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B5021C" w14:textId="0203A142" w:rsidR="007B386E" w:rsidRPr="00734942" w:rsidRDefault="002B3A40" w:rsidP="002F0C49">
      <w:pPr>
        <w:pStyle w:val="Title"/>
      </w:pPr>
      <w:r w:rsidRPr="00734942">
        <w:t>HTA report</w:t>
      </w:r>
    </w:p>
    <w:p w14:paraId="13A6783E" w14:textId="77777777" w:rsidR="002F0C49" w:rsidRPr="00734942" w:rsidRDefault="002F0C49" w:rsidP="002F0C49">
      <w:pPr>
        <w:pStyle w:val="Default"/>
      </w:pPr>
    </w:p>
    <w:p w14:paraId="716F660B" w14:textId="2D367178" w:rsidR="002C56DC" w:rsidRPr="00734942" w:rsidRDefault="002C56DC" w:rsidP="002C56DC">
      <w:pPr>
        <w:pStyle w:val="Heading1"/>
      </w:pPr>
      <w:bookmarkStart w:id="0" w:name="_Toc99539768"/>
      <w:r w:rsidRPr="00734942">
        <w:t>Title</w:t>
      </w:r>
      <w:bookmarkEnd w:id="0"/>
    </w:p>
    <w:p w14:paraId="6D3D6ED6" w14:textId="77D928FB" w:rsidR="002C56DC" w:rsidRPr="00734942" w:rsidRDefault="003359CA" w:rsidP="002C56DC">
      <w:pPr>
        <w:pStyle w:val="Title"/>
        <w:jc w:val="center"/>
      </w:pPr>
      <w:r w:rsidRPr="00734942">
        <w:t xml:space="preserve">Identifying </w:t>
      </w:r>
      <w:r w:rsidR="002F0C49" w:rsidRPr="00734942">
        <w:t>the optimum strategy for identifying adults and children with coeliac disease</w:t>
      </w:r>
      <w:r w:rsidRPr="00734942">
        <w:t>:</w:t>
      </w:r>
      <w:r w:rsidR="002F0C49" w:rsidRPr="00734942">
        <w:t xml:space="preserve"> systematic review and economic model</w:t>
      </w:r>
      <w:r w:rsidR="00965F62" w:rsidRPr="00734942">
        <w:t>ling</w:t>
      </w:r>
    </w:p>
    <w:p w14:paraId="594BC5E8" w14:textId="77777777" w:rsidR="002C56DC" w:rsidRPr="00734942" w:rsidRDefault="002C56DC" w:rsidP="002C56DC"/>
    <w:p w14:paraId="4F09AC65" w14:textId="77777777" w:rsidR="002C56DC" w:rsidRPr="00734942" w:rsidRDefault="002C56DC" w:rsidP="00CE4D04">
      <w:pPr>
        <w:pStyle w:val="Heading3"/>
      </w:pPr>
      <w:bookmarkStart w:id="1" w:name="_Toc99539769"/>
      <w:r w:rsidRPr="00734942">
        <w:t>Keywords</w:t>
      </w:r>
      <w:bookmarkEnd w:id="1"/>
    </w:p>
    <w:p w14:paraId="284B9968" w14:textId="34DC89D1" w:rsidR="008714FD" w:rsidRPr="00734942" w:rsidRDefault="008714FD" w:rsidP="002C56DC">
      <w:r w:rsidRPr="00734942">
        <w:t xml:space="preserve">Coeliac disease, </w:t>
      </w:r>
      <w:r w:rsidR="006C3BFE" w:rsidRPr="00734942">
        <w:t xml:space="preserve">primary care, </w:t>
      </w:r>
      <w:r w:rsidR="00566832" w:rsidRPr="00734942">
        <w:t>risk factors, diagnostic tests, economic models,</w:t>
      </w:r>
      <w:r w:rsidR="008C5F2B" w:rsidRPr="00734942">
        <w:t xml:space="preserve"> immunoglobulin A endomysial antibodies, </w:t>
      </w:r>
      <w:r w:rsidR="00740EDE" w:rsidRPr="00734942">
        <w:t xml:space="preserve">immunoglobulin A anti tissue transglutaminase, </w:t>
      </w:r>
      <w:r w:rsidR="00E06700" w:rsidRPr="00734942">
        <w:t xml:space="preserve">biopsy, </w:t>
      </w:r>
      <w:r w:rsidR="00A461B4" w:rsidRPr="00734942">
        <w:t>survey</w:t>
      </w:r>
      <w:r w:rsidR="00B5722E" w:rsidRPr="00734942">
        <w:t xml:space="preserve">, cost effectiveness, </w:t>
      </w:r>
      <w:r w:rsidR="00345E39">
        <w:t>gluten-free diet</w:t>
      </w:r>
      <w:r w:rsidR="001D6E82" w:rsidRPr="00734942">
        <w:t>, children</w:t>
      </w:r>
      <w:r w:rsidR="00CF2F51" w:rsidRPr="00734942">
        <w:t>.</w:t>
      </w:r>
    </w:p>
    <w:p w14:paraId="595CE8C5" w14:textId="09C0E9E2" w:rsidR="002C56DC" w:rsidRPr="00734942" w:rsidRDefault="002C56DC" w:rsidP="00CE4D04">
      <w:pPr>
        <w:pStyle w:val="Heading3"/>
      </w:pPr>
      <w:bookmarkStart w:id="2" w:name="_Toc99539770"/>
      <w:r w:rsidRPr="00734942">
        <w:t>Author list</w:t>
      </w:r>
      <w:bookmarkEnd w:id="2"/>
    </w:p>
    <w:p w14:paraId="4D5A6200" w14:textId="4E1621A1" w:rsidR="00C25305" w:rsidRPr="00734942" w:rsidRDefault="00C25305" w:rsidP="00E73DAF">
      <w:r w:rsidRPr="00734942">
        <w:t>Martha M.C. Elwenspoek</w:t>
      </w:r>
      <w:r w:rsidRPr="001A4EBE">
        <w:rPr>
          <w:vertAlign w:val="superscript"/>
        </w:rPr>
        <w:t>1,2</w:t>
      </w:r>
      <w:r w:rsidR="0063693B">
        <w:t xml:space="preserve">, </w:t>
      </w:r>
      <w:r w:rsidR="00BB0594" w:rsidRPr="00734942">
        <w:t>Howard Thom</w:t>
      </w:r>
      <w:r w:rsidR="00BB0594" w:rsidRPr="00734942">
        <w:rPr>
          <w:vertAlign w:val="superscript"/>
        </w:rPr>
        <w:t>2</w:t>
      </w:r>
      <w:r w:rsidR="0063693B">
        <w:t xml:space="preserve">, </w:t>
      </w:r>
      <w:r w:rsidRPr="00734942">
        <w:t>Athena L. Sheppard</w:t>
      </w:r>
      <w:r w:rsidRPr="00734942">
        <w:rPr>
          <w:vertAlign w:val="superscript"/>
        </w:rPr>
        <w:t>1,2,3</w:t>
      </w:r>
      <w:r w:rsidR="0063693B">
        <w:t xml:space="preserve">, </w:t>
      </w:r>
      <w:r w:rsidR="00E251BC" w:rsidRPr="00734942">
        <w:t xml:space="preserve">Edna </w:t>
      </w:r>
      <w:r w:rsidR="00D9505F" w:rsidRPr="00734942">
        <w:t>Keeney</w:t>
      </w:r>
      <w:r w:rsidR="00DE5886" w:rsidRPr="00734942">
        <w:rPr>
          <w:vertAlign w:val="superscript"/>
        </w:rPr>
        <w:t>2</w:t>
      </w:r>
      <w:r w:rsidR="0063693B">
        <w:t xml:space="preserve">, </w:t>
      </w:r>
      <w:r w:rsidR="00BD036E" w:rsidRPr="00734942">
        <w:t>Rachel O’Donnell</w:t>
      </w:r>
      <w:r w:rsidR="00746154" w:rsidRPr="00734942">
        <w:rPr>
          <w:vertAlign w:val="superscript"/>
        </w:rPr>
        <w:t>1,2</w:t>
      </w:r>
      <w:r w:rsidR="0063693B">
        <w:t>,</w:t>
      </w:r>
      <w:r w:rsidR="0063693B">
        <w:rPr>
          <w:vertAlign w:val="superscript"/>
        </w:rPr>
        <w:t xml:space="preserve"> </w:t>
      </w:r>
      <w:r w:rsidR="00F07435" w:rsidRPr="00734942">
        <w:t>Joni Jackson</w:t>
      </w:r>
      <w:r w:rsidR="00F07435" w:rsidRPr="00734942">
        <w:rPr>
          <w:vertAlign w:val="superscript"/>
        </w:rPr>
        <w:t>1,2</w:t>
      </w:r>
      <w:r w:rsidR="0063693B">
        <w:t xml:space="preserve">, </w:t>
      </w:r>
      <w:r w:rsidR="00E251BC" w:rsidRPr="00734942">
        <w:t>Cristina</w:t>
      </w:r>
      <w:r w:rsidR="00BC1B47" w:rsidRPr="00734942">
        <w:t xml:space="preserve"> </w:t>
      </w:r>
      <w:r w:rsidR="00B10574" w:rsidRPr="00734942">
        <w:t>Roadevin</w:t>
      </w:r>
      <w:r w:rsidR="00DE5886" w:rsidRPr="00734942">
        <w:rPr>
          <w:vertAlign w:val="superscript"/>
        </w:rPr>
        <w:t>2</w:t>
      </w:r>
      <w:r w:rsidR="0063693B">
        <w:t xml:space="preserve">, </w:t>
      </w:r>
      <w:r w:rsidR="00F07435" w:rsidRPr="00734942">
        <w:t>Sarah Dawson</w:t>
      </w:r>
      <w:r w:rsidR="00F07435" w:rsidRPr="00734942">
        <w:rPr>
          <w:vertAlign w:val="superscript"/>
        </w:rPr>
        <w:t>2</w:t>
      </w:r>
      <w:r w:rsidR="0063693B">
        <w:t xml:space="preserve">, </w:t>
      </w:r>
      <w:r w:rsidR="007E5D66" w:rsidRPr="00734942">
        <w:t>Deborah Lane</w:t>
      </w:r>
      <w:r w:rsidR="00306841" w:rsidRPr="00734942">
        <w:rPr>
          <w:vertAlign w:val="superscript"/>
        </w:rPr>
        <w:t>6</w:t>
      </w:r>
      <w:r w:rsidR="0063693B">
        <w:t xml:space="preserve">, </w:t>
      </w:r>
      <w:r w:rsidR="00004309" w:rsidRPr="00734942">
        <w:t>Jo Stubbs</w:t>
      </w:r>
      <w:r w:rsidR="00004309" w:rsidRPr="00734942">
        <w:rPr>
          <w:vertAlign w:val="superscript"/>
        </w:rPr>
        <w:t>6</w:t>
      </w:r>
      <w:r w:rsidR="00E73DAF">
        <w:t xml:space="preserve">, </w:t>
      </w:r>
      <w:r w:rsidR="00004309" w:rsidRPr="00734942">
        <w:t>Hazel Everitt</w:t>
      </w:r>
      <w:r w:rsidR="00004309" w:rsidRPr="00734942">
        <w:rPr>
          <w:vertAlign w:val="superscript"/>
        </w:rPr>
        <w:t>4</w:t>
      </w:r>
      <w:r w:rsidR="00E73DAF">
        <w:t xml:space="preserve">, </w:t>
      </w:r>
      <w:r w:rsidR="00A67CE6" w:rsidRPr="00734942">
        <w:t xml:space="preserve">Jessica </w:t>
      </w:r>
      <w:r w:rsidR="006463D9">
        <w:t xml:space="preserve">C </w:t>
      </w:r>
      <w:r w:rsidR="00A67CE6" w:rsidRPr="00734942">
        <w:t>Watson</w:t>
      </w:r>
      <w:r w:rsidR="00A67CE6" w:rsidRPr="00734942">
        <w:rPr>
          <w:vertAlign w:val="superscript"/>
        </w:rPr>
        <w:t>2</w:t>
      </w:r>
      <w:r w:rsidR="00E73DAF">
        <w:t xml:space="preserve">, </w:t>
      </w:r>
      <w:r w:rsidR="00004309" w:rsidRPr="00734942">
        <w:t>Alastair D Hay</w:t>
      </w:r>
      <w:r w:rsidR="00004309" w:rsidRPr="00734942">
        <w:rPr>
          <w:vertAlign w:val="superscript"/>
        </w:rPr>
        <w:t>2</w:t>
      </w:r>
      <w:r w:rsidR="00E73DAF">
        <w:t xml:space="preserve">, </w:t>
      </w:r>
      <w:r w:rsidR="00A67CE6" w:rsidRPr="00734942">
        <w:t>Peter Gillett</w:t>
      </w:r>
      <w:r w:rsidR="00A67CE6" w:rsidRPr="00734942">
        <w:rPr>
          <w:vertAlign w:val="superscript"/>
        </w:rPr>
        <w:t>5</w:t>
      </w:r>
      <w:r w:rsidR="00E73DAF">
        <w:t xml:space="preserve">, </w:t>
      </w:r>
      <w:r w:rsidR="007E5D66" w:rsidRPr="00734942">
        <w:t>Gerry Robins</w:t>
      </w:r>
      <w:r w:rsidR="00D0450B">
        <w:rPr>
          <w:vertAlign w:val="superscript"/>
        </w:rPr>
        <w:t>7</w:t>
      </w:r>
      <w:r w:rsidR="00E73DAF">
        <w:t xml:space="preserve">, </w:t>
      </w:r>
      <w:r w:rsidR="00004309" w:rsidRPr="00734942">
        <w:t>Hayley E</w:t>
      </w:r>
      <w:r w:rsidR="00004309" w:rsidRPr="00734942" w:rsidDel="008E71CE">
        <w:t>.</w:t>
      </w:r>
      <w:r w:rsidR="00004309" w:rsidRPr="00734942">
        <w:t xml:space="preserve"> Jones</w:t>
      </w:r>
      <w:r w:rsidR="00004309" w:rsidRPr="00734942">
        <w:rPr>
          <w:vertAlign w:val="superscript"/>
        </w:rPr>
        <w:t>2</w:t>
      </w:r>
      <w:r w:rsidR="00E73DAF">
        <w:t xml:space="preserve">, </w:t>
      </w:r>
      <w:r w:rsidR="00B3360F">
        <w:t>Sue</w:t>
      </w:r>
      <w:r w:rsidR="00B3360F" w:rsidRPr="00734942">
        <w:t xml:space="preserve"> </w:t>
      </w:r>
      <w:r w:rsidR="00004309" w:rsidRPr="00734942">
        <w:t>Mallett</w:t>
      </w:r>
      <w:r w:rsidR="00D0450B">
        <w:rPr>
          <w:vertAlign w:val="superscript"/>
        </w:rPr>
        <w:t>8</w:t>
      </w:r>
      <w:r w:rsidR="00E73DAF">
        <w:t xml:space="preserve">, </w:t>
      </w:r>
      <w:r w:rsidRPr="00734942">
        <w:t xml:space="preserve">Penny </w:t>
      </w:r>
      <w:r w:rsidR="008E71CE">
        <w:t xml:space="preserve">F. </w:t>
      </w:r>
      <w:r w:rsidRPr="00734942">
        <w:t>Whiting</w:t>
      </w:r>
      <w:r w:rsidRPr="00734942">
        <w:rPr>
          <w:vertAlign w:val="superscript"/>
        </w:rPr>
        <w:t>2</w:t>
      </w:r>
    </w:p>
    <w:p w14:paraId="3A1AE063" w14:textId="07CB1BCE" w:rsidR="00F07435" w:rsidRPr="00734942" w:rsidRDefault="00F07435" w:rsidP="00CE4D04">
      <w:pPr>
        <w:pStyle w:val="Heading3"/>
      </w:pPr>
      <w:bookmarkStart w:id="3" w:name="_Toc99539771"/>
      <w:r w:rsidRPr="00734942">
        <w:t>Affiliations</w:t>
      </w:r>
      <w:bookmarkEnd w:id="3"/>
    </w:p>
    <w:p w14:paraId="341F120E" w14:textId="77777777" w:rsidR="00F07435" w:rsidRPr="00734942" w:rsidRDefault="00F07435" w:rsidP="004E1708">
      <w:pPr>
        <w:pStyle w:val="NoSpacing"/>
        <w:numPr>
          <w:ilvl w:val="0"/>
          <w:numId w:val="2"/>
        </w:numPr>
        <w:rPr>
          <w:lang w:val="en-GB"/>
        </w:rPr>
      </w:pPr>
      <w:bookmarkStart w:id="4" w:name="_Hlk31372172"/>
      <w:r w:rsidRPr="00734942">
        <w:rPr>
          <w:lang w:val="en-GB"/>
        </w:rPr>
        <w:t xml:space="preserve">The </w:t>
      </w:r>
      <w:bookmarkStart w:id="5" w:name="_Hlk31372583"/>
      <w:r w:rsidRPr="00734942">
        <w:rPr>
          <w:lang w:val="en-GB"/>
        </w:rPr>
        <w:t>National Institute for Health Research Applied Research Collaboration West (NIHR ARC West)</w:t>
      </w:r>
      <w:bookmarkEnd w:id="5"/>
      <w:r w:rsidRPr="00734942">
        <w:rPr>
          <w:lang w:val="en-GB"/>
        </w:rPr>
        <w:t xml:space="preserve">, </w:t>
      </w:r>
      <w:bookmarkStart w:id="6" w:name="_Hlk31372776"/>
      <w:r w:rsidRPr="00734942">
        <w:rPr>
          <w:lang w:val="en-GB"/>
        </w:rPr>
        <w:t>University Hospitals Bristol NHS Foundation Trust, BS1 2NT Bristol, UK</w:t>
      </w:r>
    </w:p>
    <w:p w14:paraId="27045FA1" w14:textId="77777777" w:rsidR="00F07435" w:rsidRPr="00734942" w:rsidRDefault="00F07435" w:rsidP="004E1708">
      <w:pPr>
        <w:pStyle w:val="NoSpacing"/>
        <w:numPr>
          <w:ilvl w:val="0"/>
          <w:numId w:val="2"/>
        </w:numPr>
        <w:rPr>
          <w:lang w:val="en-GB"/>
        </w:rPr>
      </w:pPr>
      <w:bookmarkStart w:id="7" w:name="_Hlk31372623"/>
      <w:bookmarkStart w:id="8" w:name="_Hlk31372866"/>
      <w:r w:rsidRPr="00734942">
        <w:rPr>
          <w:lang w:val="en-GB"/>
        </w:rPr>
        <w:t xml:space="preserve">Population Health Sciences, Bristol Medical School, </w:t>
      </w:r>
      <w:bookmarkEnd w:id="7"/>
      <w:r w:rsidRPr="00734942">
        <w:rPr>
          <w:lang w:val="en-GB"/>
        </w:rPr>
        <w:t>University of Bristol</w:t>
      </w:r>
      <w:bookmarkEnd w:id="6"/>
      <w:bookmarkEnd w:id="8"/>
      <w:r w:rsidRPr="00734942">
        <w:rPr>
          <w:lang w:val="en-GB"/>
        </w:rPr>
        <w:t>, BS8 2PS Bristol, UK</w:t>
      </w:r>
    </w:p>
    <w:p w14:paraId="6994B973" w14:textId="77777777" w:rsidR="00BB6337" w:rsidRPr="00734942" w:rsidRDefault="00BB6337" w:rsidP="004E1708">
      <w:pPr>
        <w:pStyle w:val="NoSpacing"/>
        <w:numPr>
          <w:ilvl w:val="0"/>
          <w:numId w:val="2"/>
        </w:numPr>
        <w:rPr>
          <w:lang w:val="en-GB"/>
        </w:rPr>
      </w:pPr>
      <w:bookmarkStart w:id="9" w:name="_Hlk31372919"/>
      <w:r w:rsidRPr="00734942">
        <w:rPr>
          <w:lang w:val="en-GB"/>
        </w:rPr>
        <w:t>Department of Health Sciences, University of Leicester, Leicester, UK</w:t>
      </w:r>
    </w:p>
    <w:p w14:paraId="6DD57455" w14:textId="2837922E" w:rsidR="00F07435" w:rsidRPr="00734942" w:rsidRDefault="00054488" w:rsidP="004E1708">
      <w:pPr>
        <w:pStyle w:val="NoSpacing"/>
        <w:numPr>
          <w:ilvl w:val="0"/>
          <w:numId w:val="2"/>
        </w:numPr>
        <w:rPr>
          <w:lang w:val="en-GB"/>
        </w:rPr>
      </w:pPr>
      <w:r w:rsidRPr="00734942">
        <w:rPr>
          <w:lang w:val="en-GB"/>
        </w:rPr>
        <w:t>Primary Care Research Centre</w:t>
      </w:r>
      <w:r w:rsidR="00F07435" w:rsidRPr="00734942">
        <w:rPr>
          <w:lang w:val="en-GB"/>
        </w:rPr>
        <w:t>, Population Sciences and Medical Education, University of Southampton</w:t>
      </w:r>
      <w:bookmarkEnd w:id="9"/>
      <w:r w:rsidR="00F07435" w:rsidRPr="00734942">
        <w:rPr>
          <w:lang w:val="en-GB"/>
        </w:rPr>
        <w:t>, Southampton SO16 5ST, UK</w:t>
      </w:r>
    </w:p>
    <w:p w14:paraId="30DCE0B5" w14:textId="77777777" w:rsidR="00F07435" w:rsidRPr="00734942" w:rsidRDefault="00F07435" w:rsidP="004E1708">
      <w:pPr>
        <w:pStyle w:val="NoSpacing"/>
        <w:numPr>
          <w:ilvl w:val="0"/>
          <w:numId w:val="2"/>
        </w:numPr>
        <w:rPr>
          <w:lang w:val="en-GB"/>
        </w:rPr>
      </w:pPr>
      <w:bookmarkStart w:id="10" w:name="_Hlk31372943"/>
      <w:r w:rsidRPr="00734942">
        <w:rPr>
          <w:lang w:val="en-GB"/>
        </w:rPr>
        <w:t xml:space="preserve">Paediatric Gastroenterology, Hepatology and Nutrition Department, Royal Hospital for Sick Children, Edinburgh </w:t>
      </w:r>
      <w:bookmarkEnd w:id="10"/>
      <w:r w:rsidRPr="00734942">
        <w:rPr>
          <w:lang w:val="en-GB"/>
        </w:rPr>
        <w:t>EH9 1LF Scotland, UK</w:t>
      </w:r>
    </w:p>
    <w:p w14:paraId="24A55519" w14:textId="77777777" w:rsidR="00F07435" w:rsidRPr="00734942" w:rsidRDefault="00F07435" w:rsidP="004E1708">
      <w:pPr>
        <w:pStyle w:val="NoSpacing"/>
        <w:numPr>
          <w:ilvl w:val="0"/>
          <w:numId w:val="2"/>
        </w:numPr>
        <w:rPr>
          <w:lang w:val="en-GB"/>
        </w:rPr>
      </w:pPr>
      <w:r w:rsidRPr="00734942">
        <w:rPr>
          <w:lang w:val="en-GB"/>
        </w:rPr>
        <w:t>Patient representative</w:t>
      </w:r>
    </w:p>
    <w:p w14:paraId="4AAEA2AE" w14:textId="77777777" w:rsidR="00D0450B" w:rsidRPr="00734942" w:rsidRDefault="00D0450B" w:rsidP="00D0450B">
      <w:pPr>
        <w:pStyle w:val="NoSpacing"/>
        <w:numPr>
          <w:ilvl w:val="0"/>
          <w:numId w:val="2"/>
        </w:numPr>
        <w:rPr>
          <w:lang w:val="en-GB"/>
        </w:rPr>
      </w:pPr>
      <w:bookmarkStart w:id="11" w:name="_Hlk31373002"/>
      <w:r w:rsidRPr="00734942">
        <w:rPr>
          <w:lang w:val="en-GB"/>
        </w:rPr>
        <w:t>Department of Gastroenterology, York Teaching Hospital NHS Foundation Trust, York, UK</w:t>
      </w:r>
    </w:p>
    <w:p w14:paraId="0ECF94B8" w14:textId="77777777" w:rsidR="00A67CE6" w:rsidRPr="00734942" w:rsidRDefault="00A67CE6" w:rsidP="004E1708">
      <w:pPr>
        <w:pStyle w:val="NoSpacing"/>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rPr>
          <w:lang w:val="en-GB"/>
        </w:rPr>
      </w:pPr>
      <w:r w:rsidRPr="00734942">
        <w:rPr>
          <w:lang w:val="en-GB"/>
        </w:rPr>
        <w:t>Centre for Medical Imaging, University College London, 2nd Floor, Charles Bell House, 43-45 Foley Street, London, W1W 7TS, UK</w:t>
      </w:r>
    </w:p>
    <w:bookmarkEnd w:id="11"/>
    <w:p w14:paraId="0063DFA0" w14:textId="1F1D07D6" w:rsidR="0096490E" w:rsidRPr="0096490E" w:rsidRDefault="00A8745C" w:rsidP="0096490E">
      <w:pPr>
        <w:pStyle w:val="NoSpacing"/>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rPr>
          <w:lang w:val="en-GB"/>
        </w:rPr>
      </w:pPr>
      <w:r w:rsidRPr="00734942">
        <w:rPr>
          <w:lang w:val="en-GB"/>
        </w:rPr>
        <w:t>Bristol Medical School, University of Bristol, Bristol, UK</w:t>
      </w:r>
    </w:p>
    <w:p w14:paraId="200E1412" w14:textId="77777777" w:rsidR="00A8745C" w:rsidRDefault="00A8745C" w:rsidP="00A67CE6">
      <w:pPr>
        <w:pStyle w:val="NoSpacing"/>
        <w:rPr>
          <w:lang w:val="en-GB"/>
        </w:rPr>
      </w:pPr>
    </w:p>
    <w:p w14:paraId="1451F8DD" w14:textId="77777777" w:rsidR="0096490E" w:rsidRDefault="0096490E" w:rsidP="005E77C4">
      <w:pPr>
        <w:pStyle w:val="Heading3"/>
      </w:pPr>
      <w:bookmarkStart w:id="12" w:name="_Toc99539772"/>
      <w:r>
        <w:t>Corresponding author</w:t>
      </w:r>
      <w:bookmarkEnd w:id="12"/>
    </w:p>
    <w:p w14:paraId="27C4E411" w14:textId="77777777" w:rsidR="0096490E" w:rsidRDefault="0096490E" w:rsidP="0096490E">
      <w:pPr>
        <w:pStyle w:val="NoSpacing"/>
        <w:rPr>
          <w:lang w:val="en-GB"/>
        </w:rPr>
      </w:pPr>
      <w:r>
        <w:rPr>
          <w:lang w:val="en-GB"/>
        </w:rPr>
        <w:t>Martha M C Elwenspoek</w:t>
      </w:r>
    </w:p>
    <w:p w14:paraId="476E3957" w14:textId="77777777" w:rsidR="0096490E" w:rsidRDefault="0096490E" w:rsidP="0096490E">
      <w:pPr>
        <w:pStyle w:val="NoSpacing"/>
        <w:rPr>
          <w:lang w:val="en-GB"/>
        </w:rPr>
      </w:pPr>
      <w:r>
        <w:rPr>
          <w:lang w:val="en-GB"/>
        </w:rPr>
        <w:t>9th Floor, Whitefriars, Lewins Mead,</w:t>
      </w:r>
    </w:p>
    <w:p w14:paraId="6A9A9E49" w14:textId="77777777" w:rsidR="0096490E" w:rsidRDefault="0096490E" w:rsidP="0096490E">
      <w:pPr>
        <w:pStyle w:val="NoSpacing"/>
        <w:rPr>
          <w:lang w:val="en-GB"/>
        </w:rPr>
      </w:pPr>
      <w:r>
        <w:rPr>
          <w:lang w:val="en-GB"/>
        </w:rPr>
        <w:t>Bristol, BS1 2NT</w:t>
      </w:r>
    </w:p>
    <w:p w14:paraId="48B75500" w14:textId="77777777" w:rsidR="0096490E" w:rsidRDefault="0096490E" w:rsidP="0096490E">
      <w:pPr>
        <w:pStyle w:val="NoSpacing"/>
        <w:rPr>
          <w:lang w:val="en-GB"/>
        </w:rPr>
      </w:pPr>
      <w:r>
        <w:rPr>
          <w:lang w:val="en-GB"/>
        </w:rPr>
        <w:t>Email: Martha.Elwenspoek@bristol.ac.uk</w:t>
      </w:r>
    </w:p>
    <w:p w14:paraId="3C44ABDB" w14:textId="77777777" w:rsidR="0096490E" w:rsidRDefault="0096490E" w:rsidP="0096490E">
      <w:pPr>
        <w:pStyle w:val="NoSpacing"/>
        <w:rPr>
          <w:b/>
          <w:bCs/>
          <w:lang w:val="en-GB"/>
        </w:rPr>
      </w:pPr>
      <w:r>
        <w:rPr>
          <w:lang w:val="en-GB"/>
        </w:rPr>
        <w:t>Tel: +44/0 117 3427689</w:t>
      </w:r>
    </w:p>
    <w:p w14:paraId="6310D172" w14:textId="77777777" w:rsidR="0096490E" w:rsidRPr="00734942" w:rsidRDefault="0096490E" w:rsidP="00A67CE6">
      <w:pPr>
        <w:pStyle w:val="NoSpacing"/>
        <w:rPr>
          <w:lang w:val="en-GB"/>
        </w:rPr>
      </w:pPr>
    </w:p>
    <w:p w14:paraId="0C3D080B" w14:textId="4CF787BD" w:rsidR="0007463C" w:rsidRPr="00734942" w:rsidRDefault="0007463C" w:rsidP="00DB0E98">
      <w:pPr>
        <w:pStyle w:val="Heading3"/>
      </w:pPr>
      <w:bookmarkStart w:id="13" w:name="_Toc99539773"/>
      <w:bookmarkEnd w:id="4"/>
      <w:r>
        <w:lastRenderedPageBreak/>
        <w:t>Word Counts</w:t>
      </w:r>
      <w:bookmarkEnd w:id="13"/>
    </w:p>
    <w:p w14:paraId="7990E637" w14:textId="329E04FE" w:rsidR="00F07435" w:rsidRPr="005E77C4" w:rsidRDefault="00DB0E98" w:rsidP="00F07435">
      <w:r>
        <w:t>Main report text</w:t>
      </w:r>
      <w:r w:rsidR="00F86CF1" w:rsidRPr="005E77C4">
        <w:t>:</w:t>
      </w:r>
      <w:r w:rsidR="0007463C">
        <w:tab/>
      </w:r>
      <w:r w:rsidR="0007463C">
        <w:tab/>
        <w:t>47 575 words</w:t>
      </w:r>
    </w:p>
    <w:p w14:paraId="1E19B344" w14:textId="285BB368" w:rsidR="00106660" w:rsidRDefault="006C116E" w:rsidP="00F07435">
      <w:r w:rsidRPr="005E77C4">
        <w:t xml:space="preserve">Abstract: </w:t>
      </w:r>
      <w:r w:rsidR="000B2436">
        <w:tab/>
      </w:r>
      <w:r w:rsidR="000B2436">
        <w:tab/>
      </w:r>
      <w:r w:rsidR="000B2436">
        <w:tab/>
        <w:t xml:space="preserve">  </w:t>
      </w:r>
      <w:r w:rsidR="00DB0E98">
        <w:t xml:space="preserve">   </w:t>
      </w:r>
      <w:r w:rsidR="00177B3D">
        <w:t>496 words</w:t>
      </w:r>
    </w:p>
    <w:p w14:paraId="3711561D" w14:textId="18605ADF" w:rsidR="00106660" w:rsidRDefault="00106660" w:rsidP="00F07435">
      <w:r>
        <w:t xml:space="preserve">Plain </w:t>
      </w:r>
      <w:r w:rsidR="002630ED">
        <w:t>language summary:</w:t>
      </w:r>
      <w:r w:rsidR="00D5657F">
        <w:t xml:space="preserve"> </w:t>
      </w:r>
      <w:r w:rsidR="000B2436">
        <w:tab/>
        <w:t xml:space="preserve">  </w:t>
      </w:r>
      <w:r w:rsidR="00DB0E98">
        <w:t xml:space="preserve">   </w:t>
      </w:r>
      <w:r w:rsidR="00D5657F">
        <w:t>2</w:t>
      </w:r>
      <w:r w:rsidR="004B4F49">
        <w:t>90</w:t>
      </w:r>
      <w:r w:rsidR="00D5657F">
        <w:t xml:space="preserve"> words</w:t>
      </w:r>
    </w:p>
    <w:p w14:paraId="3D6DC8AA" w14:textId="62CFFEE7" w:rsidR="006C116E" w:rsidRPr="005E77C4" w:rsidRDefault="006C116E" w:rsidP="00F07435">
      <w:r w:rsidRPr="005E77C4">
        <w:t xml:space="preserve">Scientific </w:t>
      </w:r>
      <w:r w:rsidR="00106660">
        <w:t>summary</w:t>
      </w:r>
      <w:r w:rsidRPr="005E77C4">
        <w:t xml:space="preserve">: </w:t>
      </w:r>
      <w:r w:rsidR="000B2436">
        <w:tab/>
      </w:r>
      <w:r w:rsidR="000B2436">
        <w:tab/>
      </w:r>
      <w:r w:rsidR="00DB0E98">
        <w:t xml:space="preserve">   </w:t>
      </w:r>
      <w:r w:rsidR="000B2436">
        <w:t>2373 words</w:t>
      </w:r>
    </w:p>
    <w:p w14:paraId="18E0EDFA" w14:textId="77777777" w:rsidR="00AF5593" w:rsidRPr="00734942" w:rsidRDefault="00AF5593" w:rsidP="00AF5593"/>
    <w:p w14:paraId="5174AFF9" w14:textId="77777777" w:rsidR="00E449F4" w:rsidRDefault="008E7937" w:rsidP="00B84E30">
      <w:pPr>
        <w:pStyle w:val="Heading3"/>
      </w:pPr>
      <w:bookmarkStart w:id="14" w:name="_Toc99539774"/>
      <w:r w:rsidRPr="00E06C87">
        <w:rPr>
          <w:bCs/>
        </w:rPr>
        <w:t>Disclosure of interest</w:t>
      </w:r>
      <w:bookmarkEnd w:id="14"/>
    </w:p>
    <w:p w14:paraId="0FFE4E7F" w14:textId="77777777" w:rsidR="002576B0" w:rsidRDefault="00BD03B0" w:rsidP="002C56DC">
      <w:pPr>
        <w:rPr>
          <w:color w:val="000000"/>
        </w:rPr>
      </w:pPr>
      <w:r w:rsidRPr="00F71DDD">
        <w:rPr>
          <w:color w:val="000000"/>
        </w:rPr>
        <w:t>H. Thom reports grants from National Institute for Health Research UK (NIHR HTA 18/34 and NIHR Bristol Biomedical Research Centre (BRC)), and Medical Research Council UK (MR/S036709/1); Consulting fees from Novartis Pharma AG, Roche Holding AG, Pfizer Inc, BMS, Eisai, Argenx, Lundbeck &amp; Janssen;  other from Clifton Insight (part owner). A. Sheppard reports grants from NIHR Health Technology Assessment Programme (18/134), payments made to institution, and F. Hoffmann-La Roche; Training grant from National Centre for Research Methods. E. Keeney reports personal fees from Novartis Pharma AG, personal fees from Roche, personal fees from Pfizer Inc, personal fees from BMS. A. Hay reports grants from NIHR (NIHR200151); membership of EME Funding Committee 2020-2024; NICE managing common infections committee (2019-present). G. Robins reports membership of Trustee Board for Coeliac UK. H. Jones reports grants from MRC-NIHR (New Investigator Research Grant MR/T044594/1); consulting fees from Aquarius Population Health. All other authors have no competing interests to disclose.</w:t>
      </w:r>
    </w:p>
    <w:p w14:paraId="0CF9E1A8" w14:textId="7A46FA53" w:rsidR="002F0C49" w:rsidRPr="00734942" w:rsidRDefault="002F0C49" w:rsidP="002C56DC">
      <w:r w:rsidRPr="00734942">
        <w:br w:type="page"/>
      </w:r>
    </w:p>
    <w:p w14:paraId="108ED9C5" w14:textId="77777777" w:rsidR="00106660" w:rsidRPr="00734942" w:rsidRDefault="00106660" w:rsidP="00106660">
      <w:pPr>
        <w:pStyle w:val="Heading1"/>
      </w:pPr>
      <w:bookmarkStart w:id="15" w:name="_Toc87550901"/>
      <w:bookmarkStart w:id="16" w:name="_Toc99539775"/>
      <w:r w:rsidRPr="00734942">
        <w:lastRenderedPageBreak/>
        <w:t>Abstract</w:t>
      </w:r>
      <w:bookmarkEnd w:id="15"/>
      <w:bookmarkEnd w:id="16"/>
    </w:p>
    <w:p w14:paraId="53451D2D" w14:textId="77777777" w:rsidR="00106660" w:rsidRPr="00734942" w:rsidRDefault="00106660" w:rsidP="00106660">
      <w:pPr>
        <w:pStyle w:val="Heading2"/>
      </w:pPr>
      <w:bookmarkStart w:id="17" w:name="_Toc87550902"/>
      <w:bookmarkStart w:id="18" w:name="_Toc99539776"/>
      <w:r w:rsidRPr="00734942">
        <w:t>Background</w:t>
      </w:r>
      <w:bookmarkEnd w:id="17"/>
      <w:bookmarkEnd w:id="18"/>
    </w:p>
    <w:p w14:paraId="1D7D338C" w14:textId="793C9F53" w:rsidR="00106660" w:rsidRPr="00734942" w:rsidRDefault="00106660" w:rsidP="00106660">
      <w:r w:rsidRPr="00734942">
        <w:t xml:space="preserve">Coeliac disease (CD) is an autoimmune disorder, triggered by ingesting gluten </w:t>
      </w:r>
      <w:r w:rsidR="00482399">
        <w:t>that</w:t>
      </w:r>
      <w:r w:rsidRPr="00734942">
        <w:t xml:space="preserve"> affects </w:t>
      </w:r>
      <w:r>
        <w:t>approximately</w:t>
      </w:r>
      <w:r w:rsidRPr="00734942">
        <w:t xml:space="preserve"> 1% of the UK population. However, only 1 in 3 are thought to </w:t>
      </w:r>
      <w:r w:rsidR="00E03A68">
        <w:t>have a diagnosis.</w:t>
      </w:r>
      <w:r w:rsidRPr="00734942">
        <w:t xml:space="preserve"> </w:t>
      </w:r>
      <w:r w:rsidR="00E03A68">
        <w:t>U</w:t>
      </w:r>
      <w:r w:rsidRPr="00734942">
        <w:t>ntreated CD may lead to malnutrition, anaemia, osteoporosis, and lymphoma.</w:t>
      </w:r>
    </w:p>
    <w:p w14:paraId="672F406C" w14:textId="77777777" w:rsidR="00106660" w:rsidRPr="00734942" w:rsidRDefault="00106660" w:rsidP="00106660">
      <w:pPr>
        <w:pStyle w:val="Heading2"/>
      </w:pPr>
      <w:bookmarkStart w:id="19" w:name="_Toc87550903"/>
      <w:bookmarkStart w:id="20" w:name="_Toc99539777"/>
      <w:r w:rsidRPr="00734942">
        <w:t>Objective</w:t>
      </w:r>
      <w:bookmarkEnd w:id="19"/>
      <w:bookmarkEnd w:id="20"/>
    </w:p>
    <w:p w14:paraId="1F1627C4" w14:textId="20095571" w:rsidR="001B09D1" w:rsidRDefault="001B09D1" w:rsidP="001B09D1">
      <w:bookmarkStart w:id="21" w:name="_Hlk87627160"/>
      <w:bookmarkStart w:id="22" w:name="_Toc87550904"/>
      <w:r w:rsidRPr="00697507">
        <w:t xml:space="preserve">To </w:t>
      </w:r>
      <w:r>
        <w:t xml:space="preserve">define </w:t>
      </w:r>
      <w:r w:rsidRPr="00697507">
        <w:t>at risk groups</w:t>
      </w:r>
      <w:r>
        <w:t xml:space="preserve"> and </w:t>
      </w:r>
      <w:r w:rsidRPr="00697507">
        <w:t>determine the cost-effectiveness</w:t>
      </w:r>
      <w:r>
        <w:t xml:space="preserve"> </w:t>
      </w:r>
      <w:r w:rsidR="00482399">
        <w:t xml:space="preserve">of </w:t>
      </w:r>
      <w:r w:rsidRPr="00697507">
        <w:t>active case finding in primary care</w:t>
      </w:r>
      <w:r w:rsidR="00482399">
        <w:t>.</w:t>
      </w:r>
      <w:r w:rsidRPr="00734942">
        <w:t xml:space="preserve"> </w:t>
      </w:r>
    </w:p>
    <w:p w14:paraId="6E252337" w14:textId="77777777" w:rsidR="00106660" w:rsidRPr="00734942" w:rsidRDefault="00106660" w:rsidP="00106660">
      <w:pPr>
        <w:pStyle w:val="Heading2"/>
      </w:pPr>
      <w:bookmarkStart w:id="23" w:name="_Toc99539778"/>
      <w:bookmarkEnd w:id="21"/>
      <w:r w:rsidRPr="00734942">
        <w:t>Design</w:t>
      </w:r>
      <w:bookmarkEnd w:id="22"/>
      <w:bookmarkEnd w:id="23"/>
    </w:p>
    <w:p w14:paraId="21C4D44B" w14:textId="25B91C0E" w:rsidR="00106660" w:rsidRDefault="00106660" w:rsidP="00106660">
      <w:pPr>
        <w:pStyle w:val="ListParagraph"/>
        <w:numPr>
          <w:ilvl w:val="0"/>
          <w:numId w:val="118"/>
        </w:numPr>
        <w:ind w:left="426" w:hanging="284"/>
      </w:pPr>
      <w:bookmarkStart w:id="24" w:name="_Toc87550911"/>
      <w:r>
        <w:t xml:space="preserve">Systematic review of the accuracy of potential diagnostic indicators for </w:t>
      </w:r>
      <w:r w:rsidR="00693CFF">
        <w:t>CD</w:t>
      </w:r>
      <w:r w:rsidR="00292069">
        <w:t xml:space="preserve"> (</w:t>
      </w:r>
      <w:r w:rsidR="00CF036E">
        <w:t>literature search</w:t>
      </w:r>
      <w:r w:rsidR="00292069">
        <w:t xml:space="preserve"> </w:t>
      </w:r>
      <w:r w:rsidR="00292069" w:rsidRPr="00734942">
        <w:t>April 2021</w:t>
      </w:r>
      <w:r w:rsidR="00292069">
        <w:t>)</w:t>
      </w:r>
      <w:r>
        <w:t>.</w:t>
      </w:r>
    </w:p>
    <w:p w14:paraId="1710F686" w14:textId="4F826A54" w:rsidR="00106660" w:rsidRPr="00D56D10" w:rsidRDefault="00106660" w:rsidP="00106660">
      <w:pPr>
        <w:pStyle w:val="ListParagraph"/>
        <w:numPr>
          <w:ilvl w:val="0"/>
          <w:numId w:val="118"/>
        </w:numPr>
        <w:ind w:left="426" w:hanging="284"/>
      </w:pPr>
      <w:r w:rsidRPr="00D56D10">
        <w:t>Routine data analysis to develop prediction model</w:t>
      </w:r>
      <w:r>
        <w:t>s</w:t>
      </w:r>
      <w:r w:rsidRPr="00D56D10">
        <w:t xml:space="preserve"> </w:t>
      </w:r>
      <w:r>
        <w:t xml:space="preserve">for identification of people who </w:t>
      </w:r>
      <w:r w:rsidR="00E03A68">
        <w:t>may benefit from</w:t>
      </w:r>
      <w:r>
        <w:t xml:space="preserve"> test</w:t>
      </w:r>
      <w:r w:rsidR="00E03A68">
        <w:t>ing</w:t>
      </w:r>
      <w:r>
        <w:t xml:space="preserve"> for CD.</w:t>
      </w:r>
    </w:p>
    <w:p w14:paraId="00CE2BC7" w14:textId="5935E551" w:rsidR="00106660" w:rsidRDefault="00106660" w:rsidP="00106660">
      <w:pPr>
        <w:pStyle w:val="ListParagraph"/>
        <w:numPr>
          <w:ilvl w:val="0"/>
          <w:numId w:val="118"/>
        </w:numPr>
        <w:ind w:left="426" w:hanging="284"/>
      </w:pPr>
      <w:r>
        <w:t>Systematic review of the accuracy of diagnostic tests for CD</w:t>
      </w:r>
      <w:r w:rsidR="00231C52">
        <w:t xml:space="preserve"> (</w:t>
      </w:r>
      <w:r w:rsidR="00CF036E">
        <w:t xml:space="preserve">literature search </w:t>
      </w:r>
      <w:r w:rsidR="00231C52">
        <w:t>August</w:t>
      </w:r>
      <w:r w:rsidR="00231C52" w:rsidRPr="00734942">
        <w:t xml:space="preserve"> 202</w:t>
      </w:r>
      <w:r w:rsidR="00231C52">
        <w:t>0)</w:t>
      </w:r>
      <w:r>
        <w:t>.</w:t>
      </w:r>
    </w:p>
    <w:p w14:paraId="00723482" w14:textId="03AB353D" w:rsidR="00106660" w:rsidRDefault="00106660" w:rsidP="00106660">
      <w:pPr>
        <w:pStyle w:val="ListParagraph"/>
        <w:numPr>
          <w:ilvl w:val="0"/>
          <w:numId w:val="118"/>
        </w:numPr>
        <w:ind w:left="426" w:hanging="284"/>
      </w:pPr>
      <w:r>
        <w:t>Systematic review of the accuracy of genetic tests for CD</w:t>
      </w:r>
      <w:r w:rsidR="00AF578C">
        <w:t xml:space="preserve"> (</w:t>
      </w:r>
      <w:r w:rsidR="00CF036E">
        <w:t xml:space="preserve">literature search </w:t>
      </w:r>
      <w:r w:rsidR="00AF578C" w:rsidRPr="00734942">
        <w:t>April 2021</w:t>
      </w:r>
      <w:r w:rsidR="00AF578C">
        <w:t>)</w:t>
      </w:r>
      <w:r>
        <w:t>.</w:t>
      </w:r>
    </w:p>
    <w:p w14:paraId="38551015" w14:textId="6C95EA77" w:rsidR="00106660" w:rsidRPr="00D56D10" w:rsidRDefault="00482399" w:rsidP="00106660">
      <w:pPr>
        <w:pStyle w:val="ListParagraph"/>
        <w:numPr>
          <w:ilvl w:val="0"/>
          <w:numId w:val="118"/>
        </w:numPr>
        <w:ind w:left="426" w:hanging="284"/>
      </w:pPr>
      <w:r>
        <w:t>O</w:t>
      </w:r>
      <w:r w:rsidR="00106660" w:rsidRPr="00D56D10">
        <w:t xml:space="preserve">nline survey to identify diagnostic </w:t>
      </w:r>
      <w:r>
        <w:t>threshold</w:t>
      </w:r>
      <w:r w:rsidR="00106660" w:rsidRPr="00D56D10">
        <w:t xml:space="preserve"> for testing, starting treatment and referral for biopsy</w:t>
      </w:r>
      <w:r w:rsidR="00106660">
        <w:t>.</w:t>
      </w:r>
    </w:p>
    <w:p w14:paraId="3256C517" w14:textId="14A95AE1" w:rsidR="00106660" w:rsidRPr="00D56D10" w:rsidRDefault="00106660" w:rsidP="00106660">
      <w:pPr>
        <w:pStyle w:val="ListParagraph"/>
        <w:numPr>
          <w:ilvl w:val="0"/>
          <w:numId w:val="118"/>
        </w:numPr>
        <w:ind w:left="426" w:hanging="284"/>
      </w:pPr>
      <w:r w:rsidRPr="00D56D10">
        <w:t>Economic modelling to identify the cost-effectiveness of different active case finding strategies</w:t>
      </w:r>
      <w:r>
        <w:t xml:space="preserve">, informed by the findings </w:t>
      </w:r>
      <w:r w:rsidR="00482399">
        <w:t>from</w:t>
      </w:r>
      <w:r>
        <w:t xml:space="preserve"> previous </w:t>
      </w:r>
      <w:r w:rsidR="00482399">
        <w:t>objectives</w:t>
      </w:r>
      <w:r>
        <w:t>.</w:t>
      </w:r>
    </w:p>
    <w:p w14:paraId="45D3CB36" w14:textId="77777777" w:rsidR="00106660" w:rsidRPr="00734942" w:rsidRDefault="00106660" w:rsidP="00106660">
      <w:pPr>
        <w:pStyle w:val="Heading2"/>
      </w:pPr>
      <w:bookmarkStart w:id="25" w:name="_Toc99539779"/>
      <w:r w:rsidRPr="00734942">
        <w:t>Results</w:t>
      </w:r>
      <w:bookmarkEnd w:id="24"/>
      <w:bookmarkEnd w:id="25"/>
    </w:p>
    <w:p w14:paraId="6927B7DF" w14:textId="3E406021" w:rsidR="00106660" w:rsidRDefault="00106660" w:rsidP="00106660">
      <w:r w:rsidRPr="00177B3D">
        <w:t>People with dermatitis herpetiformis, family history of CD, migraine, anaemia, type 1 diabetes, osteoporosis, or chronic liver disease are</w:t>
      </w:r>
      <w:r w:rsidRPr="00734942">
        <w:t xml:space="preserve"> </w:t>
      </w:r>
      <w:r w:rsidR="002F03D9">
        <w:t xml:space="preserve">1.5 to 2 times </w:t>
      </w:r>
      <w:r w:rsidRPr="00734942">
        <w:t>more likely than the general population to have CD</w:t>
      </w:r>
      <w:r>
        <w:t xml:space="preserve">; </w:t>
      </w:r>
      <w:r w:rsidR="00782171">
        <w:t xml:space="preserve">individual </w:t>
      </w:r>
      <w:r>
        <w:t>g</w:t>
      </w:r>
      <w:r w:rsidRPr="00734942">
        <w:t>astrointestinal symptoms were not useful for identifying CD.</w:t>
      </w:r>
    </w:p>
    <w:p w14:paraId="6B693CDE" w14:textId="77777777" w:rsidR="003C15C4" w:rsidRDefault="003C15C4" w:rsidP="003C15C4">
      <w:r>
        <w:t>For</w:t>
      </w:r>
      <w:r w:rsidRPr="00734942">
        <w:t xml:space="preserve"> children, women, and men</w:t>
      </w:r>
      <w:r>
        <w:t xml:space="preserve"> respectively,</w:t>
      </w:r>
      <w:r w:rsidRPr="00734942">
        <w:t xml:space="preserve"> prediction models included 24, 24, and 21 </w:t>
      </w:r>
      <w:r>
        <w:t>indicators</w:t>
      </w:r>
      <w:r w:rsidRPr="00734942">
        <w:t xml:space="preserve"> of CD. The models showed good discrimination between patients with and without CD but performed less well </w:t>
      </w:r>
      <w:r>
        <w:t xml:space="preserve">when </w:t>
      </w:r>
      <w:r w:rsidRPr="00734942">
        <w:t>external</w:t>
      </w:r>
      <w:r>
        <w:t>ly</w:t>
      </w:r>
      <w:r w:rsidRPr="00734942">
        <w:t xml:space="preserve"> validat</w:t>
      </w:r>
      <w:r>
        <w:t>ed</w:t>
      </w:r>
      <w:r w:rsidRPr="00734942">
        <w:t>.</w:t>
      </w:r>
    </w:p>
    <w:p w14:paraId="48CA6CEA" w14:textId="4CDF8D53" w:rsidR="00106660" w:rsidRDefault="00106660" w:rsidP="00106660">
      <w:r>
        <w:t xml:space="preserve">Serological tests were found to have good </w:t>
      </w:r>
      <w:r w:rsidR="003C15C4">
        <w:t xml:space="preserve">diagnostic </w:t>
      </w:r>
      <w:r>
        <w:t>accuracy for CD. IgA</w:t>
      </w:r>
      <w:r w:rsidRPr="00734942">
        <w:t xml:space="preserve"> tTG had the highest sensitivity</w:t>
      </w:r>
      <w:r>
        <w:t xml:space="preserve"> </w:t>
      </w:r>
      <w:r w:rsidRPr="00734942">
        <w:t>and EMA had highest specificity. There was little improvement when tests were used in combination.</w:t>
      </w:r>
    </w:p>
    <w:p w14:paraId="18C119F6" w14:textId="6E3FFFAA" w:rsidR="00106660" w:rsidRPr="00734942" w:rsidRDefault="00106660" w:rsidP="00106660">
      <w:r w:rsidRPr="00734942">
        <w:t xml:space="preserve">Survey respondents (n=472) wished to be 66% certain of the diagnosis </w:t>
      </w:r>
      <w:r>
        <w:t xml:space="preserve">from a blood test </w:t>
      </w:r>
      <w:r w:rsidRPr="00734942">
        <w:t xml:space="preserve">before starting a </w:t>
      </w:r>
      <w:r>
        <w:t>gluten-free diet</w:t>
      </w:r>
      <w:r w:rsidRPr="00734942">
        <w:t xml:space="preserve"> </w:t>
      </w:r>
      <w:r>
        <w:t>if</w:t>
      </w:r>
      <w:r w:rsidRPr="00734942">
        <w:t xml:space="preserve"> symptomatic, and 90% certain if asymptomatic.</w:t>
      </w:r>
    </w:p>
    <w:p w14:paraId="12BAAD7B" w14:textId="51B9AF33" w:rsidR="004D6BE5" w:rsidRPr="007419C0" w:rsidRDefault="00106660" w:rsidP="0076057A">
      <w:pPr>
        <w:rPr>
          <w:rFonts w:cstheme="minorHAnsi"/>
        </w:rPr>
      </w:pPr>
      <w:r>
        <w:rPr>
          <w:rFonts w:cstheme="minorHAnsi"/>
        </w:rPr>
        <w:t>Cost-effectiveness analys</w:t>
      </w:r>
      <w:r w:rsidR="003C15C4">
        <w:rPr>
          <w:rFonts w:cstheme="minorHAnsi"/>
        </w:rPr>
        <w:t>e</w:t>
      </w:r>
      <w:r>
        <w:rPr>
          <w:rFonts w:cstheme="minorHAnsi"/>
        </w:rPr>
        <w:t>s found that, i</w:t>
      </w:r>
      <w:r w:rsidRPr="003A3918">
        <w:rPr>
          <w:rFonts w:cstheme="minorHAnsi"/>
        </w:rPr>
        <w:t>n adult</w:t>
      </w:r>
      <w:r>
        <w:rPr>
          <w:rFonts w:cstheme="minorHAnsi"/>
        </w:rPr>
        <w:t>s</w:t>
      </w:r>
      <w:r w:rsidR="0076057A">
        <w:rPr>
          <w:rFonts w:cstheme="minorHAnsi"/>
        </w:rPr>
        <w:t xml:space="preserve"> and using serological testing alone,</w:t>
      </w:r>
      <w:r>
        <w:rPr>
          <w:rFonts w:cstheme="minorHAnsi"/>
        </w:rPr>
        <w:t xml:space="preserve"> IgA tTG at</w:t>
      </w:r>
      <w:r w:rsidRPr="003A3918">
        <w:rPr>
          <w:rFonts w:cstheme="minorHAnsi"/>
        </w:rPr>
        <w:t xml:space="preserve"> a 1% pre-test probability</w:t>
      </w:r>
      <w:r>
        <w:rPr>
          <w:rFonts w:cstheme="minorHAnsi"/>
        </w:rPr>
        <w:t xml:space="preserve"> (equivalent to population screening)</w:t>
      </w:r>
      <w:r w:rsidRPr="003A3918">
        <w:rPr>
          <w:rFonts w:cstheme="minorHAnsi"/>
        </w:rPr>
        <w:t xml:space="preserve"> </w:t>
      </w:r>
      <w:r>
        <w:rPr>
          <w:rFonts w:cstheme="minorHAnsi"/>
        </w:rPr>
        <w:t>was most cost-effective</w:t>
      </w:r>
      <w:r w:rsidRPr="003A3918">
        <w:rPr>
          <w:rFonts w:cstheme="minorHAnsi"/>
        </w:rPr>
        <w:t>.</w:t>
      </w:r>
      <w:r>
        <w:rPr>
          <w:rFonts w:cstheme="minorHAnsi"/>
        </w:rPr>
        <w:t xml:space="preserve"> </w:t>
      </w:r>
      <w:r w:rsidR="0076057A">
        <w:rPr>
          <w:rFonts w:cstheme="minorHAnsi"/>
        </w:rPr>
        <w:t>Strategies using IgA EMA plus HLA or HLA plus IgA tTG with any pre-test probability had similar cost-effectiveness to each other and to IgA tTG at</w:t>
      </w:r>
      <w:r w:rsidR="0076057A" w:rsidRPr="003A3918">
        <w:rPr>
          <w:rFonts w:cstheme="minorHAnsi"/>
        </w:rPr>
        <w:t xml:space="preserve"> a 1% pre-test</w:t>
      </w:r>
      <w:r w:rsidR="0076057A">
        <w:rPr>
          <w:rFonts w:cstheme="minorHAnsi"/>
        </w:rPr>
        <w:t xml:space="preserve"> probability. </w:t>
      </w:r>
      <w:r w:rsidR="00725368">
        <w:rPr>
          <w:rFonts w:cstheme="minorHAnsi"/>
        </w:rPr>
        <w:t>The</w:t>
      </w:r>
      <w:r w:rsidR="004F7D2B">
        <w:rPr>
          <w:rFonts w:cstheme="minorHAnsi"/>
        </w:rPr>
        <w:t xml:space="preserve"> most</w:t>
      </w:r>
      <w:r w:rsidR="00D14398">
        <w:rPr>
          <w:rFonts w:cstheme="minorHAnsi"/>
        </w:rPr>
        <w:t xml:space="preserve"> practical alternative for implementation within the NHS is likely to be</w:t>
      </w:r>
      <w:r w:rsidR="00725368">
        <w:rPr>
          <w:rFonts w:cstheme="minorHAnsi"/>
        </w:rPr>
        <w:t xml:space="preserve"> a combination of HLA</w:t>
      </w:r>
      <w:r w:rsidR="00D14398">
        <w:rPr>
          <w:rFonts w:cstheme="minorHAnsi"/>
        </w:rPr>
        <w:t xml:space="preserve"> </w:t>
      </w:r>
      <w:r w:rsidR="00725368">
        <w:rPr>
          <w:rFonts w:cstheme="minorHAnsi"/>
        </w:rPr>
        <w:t xml:space="preserve">and </w:t>
      </w:r>
      <w:r w:rsidR="006E601F">
        <w:rPr>
          <w:rFonts w:cstheme="minorHAnsi"/>
        </w:rPr>
        <w:t>IgA tTG</w:t>
      </w:r>
      <w:r w:rsidR="00725368">
        <w:rPr>
          <w:rFonts w:cstheme="minorHAnsi"/>
        </w:rPr>
        <w:t xml:space="preserve"> testing in those above a pre-test probability of 1.5%</w:t>
      </w:r>
      <w:r w:rsidR="00D14398">
        <w:rPr>
          <w:rFonts w:cstheme="minorHAnsi"/>
        </w:rPr>
        <w:t>.</w:t>
      </w:r>
      <w:r w:rsidR="00177B3D">
        <w:rPr>
          <w:rFonts w:cstheme="minorHAnsi"/>
        </w:rPr>
        <w:t xml:space="preserve"> </w:t>
      </w:r>
      <w:r w:rsidR="0076057A">
        <w:rPr>
          <w:rFonts w:cstheme="minorHAnsi"/>
        </w:rPr>
        <w:t>In children, the most cost-effective strategy was</w:t>
      </w:r>
      <w:r w:rsidR="00CE375C">
        <w:rPr>
          <w:rFonts w:cstheme="minorHAnsi"/>
        </w:rPr>
        <w:t xml:space="preserve"> a 10% pre-test probability with </w:t>
      </w:r>
      <w:r w:rsidR="00CE375C" w:rsidRPr="003A3918">
        <w:rPr>
          <w:rFonts w:cstheme="minorHAnsi"/>
        </w:rPr>
        <w:t>HLA</w:t>
      </w:r>
      <w:r w:rsidR="00CE375C">
        <w:rPr>
          <w:rFonts w:cstheme="minorHAnsi"/>
        </w:rPr>
        <w:t xml:space="preserve"> plus IgA tTG but there was uncertainty around the most cost-effective pre-test probability. </w:t>
      </w:r>
      <w:r w:rsidR="004D6BE5">
        <w:t>There was substantial uncertainty in economic model results and high value in conducting further research.</w:t>
      </w:r>
    </w:p>
    <w:p w14:paraId="00C21D10" w14:textId="77777777" w:rsidR="00106660" w:rsidRPr="00734942" w:rsidRDefault="00106660" w:rsidP="00106660">
      <w:pPr>
        <w:pStyle w:val="Heading2"/>
      </w:pPr>
      <w:bookmarkStart w:id="26" w:name="_Toc87550912"/>
      <w:bookmarkStart w:id="27" w:name="_Toc99539780"/>
      <w:r w:rsidRPr="00734942">
        <w:t>Limitations</w:t>
      </w:r>
      <w:bookmarkEnd w:id="26"/>
      <w:bookmarkEnd w:id="27"/>
    </w:p>
    <w:p w14:paraId="486731A8" w14:textId="5A2B1180" w:rsidR="003A7CC8" w:rsidRPr="00F66173" w:rsidRDefault="003A7CC8" w:rsidP="003A7CC8">
      <w:bookmarkStart w:id="28" w:name="_Toc87550913"/>
      <w:r>
        <w:t>Residual economic model uncertainty and ‘real-world’ limitations should be quantified.</w:t>
      </w:r>
    </w:p>
    <w:p w14:paraId="3835A165" w14:textId="38662F17" w:rsidR="00106660" w:rsidRPr="00734942" w:rsidRDefault="00106660" w:rsidP="00106660">
      <w:pPr>
        <w:pStyle w:val="Heading2"/>
      </w:pPr>
      <w:bookmarkStart w:id="29" w:name="_Toc99539781"/>
      <w:r w:rsidRPr="00734942">
        <w:lastRenderedPageBreak/>
        <w:t>Conclusions</w:t>
      </w:r>
      <w:bookmarkEnd w:id="28"/>
      <w:bookmarkEnd w:id="29"/>
    </w:p>
    <w:p w14:paraId="47D38F8C" w14:textId="04C1746E" w:rsidR="001B095F" w:rsidRPr="006D1949" w:rsidRDefault="00826FF8" w:rsidP="001B095F">
      <w:bookmarkStart w:id="30" w:name="_Toc87550914"/>
      <w:r>
        <w:t>Population screening with</w:t>
      </w:r>
      <w:r w:rsidR="00EC56F6">
        <w:t xml:space="preserve"> IgA tTG </w:t>
      </w:r>
      <w:r w:rsidR="000D2C79">
        <w:t>(</w:t>
      </w:r>
      <w:r w:rsidR="00EC56F6">
        <w:t>1% pre-test probability</w:t>
      </w:r>
      <w:r w:rsidR="000D2C79">
        <w:t>) and</w:t>
      </w:r>
      <w:r w:rsidR="00EC56F6">
        <w:t xml:space="preserve"> of </w:t>
      </w:r>
      <w:r w:rsidR="00EC56F6">
        <w:rPr>
          <w:rFonts w:cstheme="minorHAnsi"/>
        </w:rPr>
        <w:t xml:space="preserve">IgA EMA </w:t>
      </w:r>
      <w:r w:rsidR="00D83797">
        <w:rPr>
          <w:rFonts w:cstheme="minorHAnsi"/>
        </w:rPr>
        <w:t>followed by</w:t>
      </w:r>
      <w:r w:rsidR="00EC56F6">
        <w:rPr>
          <w:rFonts w:cstheme="minorHAnsi"/>
        </w:rPr>
        <w:t xml:space="preserve"> HLA </w:t>
      </w:r>
      <w:r w:rsidR="00D83797">
        <w:rPr>
          <w:rFonts w:cstheme="minorHAnsi"/>
        </w:rPr>
        <w:t xml:space="preserve">testing </w:t>
      </w:r>
      <w:r w:rsidR="00EC56F6">
        <w:rPr>
          <w:rFonts w:cstheme="minorHAnsi"/>
        </w:rPr>
        <w:t>or HLA</w:t>
      </w:r>
      <w:r w:rsidR="00D83797">
        <w:rPr>
          <w:rFonts w:cstheme="minorHAnsi"/>
        </w:rPr>
        <w:t xml:space="preserve"> testing followed by </w:t>
      </w:r>
      <w:r w:rsidR="00EC56F6">
        <w:rPr>
          <w:rFonts w:cstheme="minorHAnsi"/>
        </w:rPr>
        <w:t xml:space="preserve">IgA tTG with any pre-test probability appear to have similar cost-effectiveness. </w:t>
      </w:r>
      <w:r>
        <w:t xml:space="preserve">As </w:t>
      </w:r>
      <w:r w:rsidR="00084349">
        <w:t xml:space="preserve">decisions to implement </w:t>
      </w:r>
      <w:r w:rsidR="000D2C79">
        <w:t xml:space="preserve">population screening </w:t>
      </w:r>
      <w:r w:rsidR="00084349">
        <w:t>cannot be made based on our economic analysis alone</w:t>
      </w:r>
      <w:r w:rsidR="000D2C79">
        <w:t>, and given practical challenges of identifying patients with higher pre-test probabilities, we recommend</w:t>
      </w:r>
      <w:r w:rsidR="001B095F">
        <w:t xml:space="preserve"> HLA </w:t>
      </w:r>
      <w:r w:rsidR="009D762F">
        <w:t>combi</w:t>
      </w:r>
      <w:r w:rsidR="00575213">
        <w:t>n</w:t>
      </w:r>
      <w:r w:rsidR="009D762F">
        <w:t xml:space="preserve">ed with </w:t>
      </w:r>
      <w:r w:rsidR="00AC4931">
        <w:t xml:space="preserve">IgA tTG </w:t>
      </w:r>
      <w:r w:rsidR="001B095F">
        <w:t xml:space="preserve">testing should be considered in those with at least a </w:t>
      </w:r>
      <w:r w:rsidR="000D2C79">
        <w:t>1.</w:t>
      </w:r>
      <w:r w:rsidR="00AC4931">
        <w:t>5</w:t>
      </w:r>
      <w:r w:rsidR="001B095F">
        <w:t>% pre-test probability of CD in adults</w:t>
      </w:r>
      <w:r w:rsidR="001D236C">
        <w:t xml:space="preserve"> </w:t>
      </w:r>
      <w:r w:rsidR="001D236C">
        <w:rPr>
          <w:rFonts w:cstheme="minorHAnsi"/>
        </w:rPr>
        <w:t>- equivalent to having at least one predictor</w:t>
      </w:r>
      <w:r w:rsidR="001B095F">
        <w:t>.</w:t>
      </w:r>
      <w:r w:rsidR="000D2C79">
        <w:t xml:space="preserve"> A more target</w:t>
      </w:r>
      <w:r w:rsidR="00CE4394">
        <w:t>ed</w:t>
      </w:r>
      <w:r w:rsidR="000D2C79">
        <w:t xml:space="preserve"> strategy of 10% pre-test probability is recommended in children</w:t>
      </w:r>
      <w:r w:rsidR="00C80FB9">
        <w:t xml:space="preserve"> (e.g. children with anaemia).</w:t>
      </w:r>
    </w:p>
    <w:p w14:paraId="5AF433B7" w14:textId="77777777" w:rsidR="00106660" w:rsidRPr="00734942" w:rsidRDefault="00106660" w:rsidP="00106660">
      <w:pPr>
        <w:pStyle w:val="Heading2"/>
      </w:pPr>
      <w:bookmarkStart w:id="31" w:name="_Toc99539782"/>
      <w:r w:rsidRPr="00734942">
        <w:t>Future work</w:t>
      </w:r>
      <w:bookmarkEnd w:id="30"/>
      <w:bookmarkEnd w:id="31"/>
    </w:p>
    <w:p w14:paraId="6570C7EC" w14:textId="13CB91F1" w:rsidR="00106660" w:rsidRPr="00734942" w:rsidRDefault="00106660" w:rsidP="00106660">
      <w:r>
        <w:t xml:space="preserve">Future work should consider whether population based screening for CD could meet the UK National Screening Committee </w:t>
      </w:r>
      <w:r w:rsidR="00BA1AAC">
        <w:t>c</w:t>
      </w:r>
      <w:r>
        <w:t xml:space="preserve">riteria </w:t>
      </w:r>
      <w:r w:rsidR="00BA1AAC">
        <w:t xml:space="preserve">and </w:t>
      </w:r>
      <w:r>
        <w:t xml:space="preserve">requires a </w:t>
      </w:r>
      <w:r w:rsidRPr="00F45E88">
        <w:t>long-term randomised controlled trial of screening strategies</w:t>
      </w:r>
      <w:r>
        <w:t xml:space="preserve">. </w:t>
      </w:r>
      <w:r w:rsidR="00BA1AAC">
        <w:t>L</w:t>
      </w:r>
      <w:r w:rsidRPr="00734942">
        <w:t xml:space="preserve">arge </w:t>
      </w:r>
      <w:r>
        <w:t xml:space="preserve">prospective </w:t>
      </w:r>
      <w:r w:rsidRPr="00734942">
        <w:t xml:space="preserve">cohort studies where all participants </w:t>
      </w:r>
      <w:r>
        <w:t>receive</w:t>
      </w:r>
      <w:r w:rsidRPr="00734942">
        <w:t xml:space="preserve"> accurate test</w:t>
      </w:r>
      <w:r>
        <w:t>s</w:t>
      </w:r>
      <w:r w:rsidRPr="00734942">
        <w:t xml:space="preserve"> for CD</w:t>
      </w:r>
      <w:r w:rsidR="00B42F5E">
        <w:t xml:space="preserve"> are needed</w:t>
      </w:r>
      <w:r>
        <w:t>.</w:t>
      </w:r>
    </w:p>
    <w:p w14:paraId="32B29DC6" w14:textId="77777777" w:rsidR="00106660" w:rsidRPr="00734942" w:rsidRDefault="00106660" w:rsidP="00106660">
      <w:pPr>
        <w:pStyle w:val="Heading2"/>
      </w:pPr>
      <w:bookmarkStart w:id="32" w:name="_Toc87550915"/>
      <w:bookmarkStart w:id="33" w:name="_Toc99539783"/>
      <w:r w:rsidRPr="00734942">
        <w:t>Study registration</w:t>
      </w:r>
      <w:bookmarkEnd w:id="32"/>
      <w:bookmarkEnd w:id="33"/>
      <w:r w:rsidRPr="00734942">
        <w:t xml:space="preserve"> </w:t>
      </w:r>
    </w:p>
    <w:p w14:paraId="095B8422" w14:textId="07A9A38A" w:rsidR="00106660" w:rsidRDefault="00106660" w:rsidP="00106660">
      <w:pPr>
        <w:pStyle w:val="NoSpacing"/>
        <w:rPr>
          <w:lang w:val="en-GB"/>
        </w:rPr>
      </w:pPr>
      <w:r w:rsidRPr="00734942">
        <w:rPr>
          <w:lang w:val="en-GB"/>
        </w:rPr>
        <w:t>The reviews were registered at PROSPERO (CRD42019115506</w:t>
      </w:r>
      <w:r>
        <w:rPr>
          <w:lang w:val="en-GB"/>
        </w:rPr>
        <w:t>,</w:t>
      </w:r>
      <w:r w:rsidR="006E3954">
        <w:rPr>
          <w:lang w:val="en-GB"/>
        </w:rPr>
        <w:t xml:space="preserve"> </w:t>
      </w:r>
      <w:r w:rsidRPr="00734942">
        <w:rPr>
          <w:lang w:val="en-GB"/>
        </w:rPr>
        <w:t>CRD42020170766)</w:t>
      </w:r>
      <w:r>
        <w:rPr>
          <w:lang w:val="en-GB"/>
        </w:rPr>
        <w:t>.</w:t>
      </w:r>
    </w:p>
    <w:p w14:paraId="16E8BF9B" w14:textId="77777777" w:rsidR="00106660" w:rsidRDefault="00106660" w:rsidP="00106660">
      <w:pPr>
        <w:pStyle w:val="NoSpacing"/>
        <w:rPr>
          <w:lang w:val="en-GB"/>
        </w:rPr>
      </w:pPr>
    </w:p>
    <w:p w14:paraId="7A0B5A12" w14:textId="77777777" w:rsidR="00106660" w:rsidRDefault="00106660" w:rsidP="00106660">
      <w:pPr>
        <w:pStyle w:val="Heading2"/>
      </w:pPr>
      <w:bookmarkStart w:id="34" w:name="_Toc87550916"/>
      <w:bookmarkStart w:id="35" w:name="_Toc99539784"/>
      <w:r>
        <w:t>Funding</w:t>
      </w:r>
      <w:bookmarkEnd w:id="34"/>
      <w:bookmarkEnd w:id="35"/>
    </w:p>
    <w:p w14:paraId="208B70A8" w14:textId="03AA7EB4" w:rsidR="00106660" w:rsidRPr="00734942" w:rsidRDefault="00106660" w:rsidP="00106660">
      <w:pPr>
        <w:pStyle w:val="NoSpacing"/>
        <w:rPr>
          <w:lang w:val="en-GB"/>
        </w:rPr>
      </w:pPr>
      <w:r w:rsidRPr="00092526">
        <w:rPr>
          <w:lang w:val="en-GB"/>
        </w:rPr>
        <w:t xml:space="preserve">This project was funded by the </w:t>
      </w:r>
      <w:r>
        <w:rPr>
          <w:lang w:val="en-GB"/>
        </w:rPr>
        <w:t>NIHR</w:t>
      </w:r>
      <w:r w:rsidRPr="00092526">
        <w:rPr>
          <w:lang w:val="en-GB"/>
        </w:rPr>
        <w:t xml:space="preserve"> </w:t>
      </w:r>
      <w:r>
        <w:rPr>
          <w:lang w:val="en-GB"/>
        </w:rPr>
        <w:t>HTA</w:t>
      </w:r>
      <w:r w:rsidRPr="00092526">
        <w:rPr>
          <w:lang w:val="en-GB"/>
        </w:rPr>
        <w:t xml:space="preserve"> </w:t>
      </w:r>
      <w:r w:rsidRPr="009E0774">
        <w:rPr>
          <w:lang w:val="en-GB"/>
        </w:rPr>
        <w:t xml:space="preserve">programme </w:t>
      </w:r>
      <w:r w:rsidR="00B42F5E" w:rsidRPr="009E0774">
        <w:rPr>
          <w:lang w:val="en-GB"/>
        </w:rPr>
        <w:t>(</w:t>
      </w:r>
      <w:r w:rsidR="009E0774" w:rsidRPr="009E0774">
        <w:rPr>
          <w:lang w:val="en-GB"/>
        </w:rPr>
        <w:t>NIHR129020</w:t>
      </w:r>
      <w:r w:rsidR="00B42F5E" w:rsidRPr="009E0774">
        <w:rPr>
          <w:lang w:val="en-GB"/>
        </w:rPr>
        <w:t xml:space="preserve">) </w:t>
      </w:r>
      <w:r w:rsidRPr="009E0774">
        <w:rPr>
          <w:lang w:val="en-GB"/>
        </w:rPr>
        <w:t>and</w:t>
      </w:r>
      <w:r w:rsidRPr="00092526">
        <w:rPr>
          <w:lang w:val="en-GB"/>
        </w:rPr>
        <w:t xml:space="preserve"> will be published in full in </w:t>
      </w:r>
      <w:r w:rsidR="0016076A">
        <w:rPr>
          <w:lang w:val="en-GB"/>
        </w:rPr>
        <w:t xml:space="preserve">the </w:t>
      </w:r>
      <w:r>
        <w:rPr>
          <w:lang w:val="en-GB"/>
        </w:rPr>
        <w:t>HTA</w:t>
      </w:r>
      <w:r w:rsidRPr="00092526">
        <w:rPr>
          <w:lang w:val="en-GB"/>
        </w:rPr>
        <w:t xml:space="preserve"> Journal.</w:t>
      </w:r>
    </w:p>
    <w:p w14:paraId="206DAA49" w14:textId="77777777" w:rsidR="00106660" w:rsidRDefault="00106660" w:rsidP="00106660">
      <w:pPr>
        <w:pStyle w:val="NoSpacing"/>
        <w:rPr>
          <w:lang w:val="en-GB"/>
        </w:rPr>
      </w:pPr>
    </w:p>
    <w:p w14:paraId="3345673A" w14:textId="77777777" w:rsidR="002F0C49" w:rsidRPr="00734942" w:rsidRDefault="002F0C49">
      <w:r w:rsidRPr="00734942">
        <w:br w:type="page"/>
      </w:r>
    </w:p>
    <w:p w14:paraId="112F6F49" w14:textId="560C5C7F" w:rsidR="002B3A40" w:rsidRPr="00734942" w:rsidRDefault="002B3A40" w:rsidP="002C56DC">
      <w:pPr>
        <w:pStyle w:val="Heading1"/>
      </w:pPr>
      <w:bookmarkStart w:id="36" w:name="_Toc99539785"/>
      <w:r w:rsidRPr="00734942">
        <w:lastRenderedPageBreak/>
        <w:t>Table of contents</w:t>
      </w:r>
      <w:bookmarkEnd w:id="36"/>
    </w:p>
    <w:sdt>
      <w:sdtPr>
        <w:rPr>
          <w:rFonts w:asciiTheme="minorHAnsi" w:eastAsiaTheme="minorHAnsi" w:hAnsiTheme="minorHAnsi" w:cstheme="minorBidi"/>
          <w:color w:val="auto"/>
          <w:sz w:val="22"/>
          <w:szCs w:val="22"/>
          <w:lang w:val="en-GB"/>
        </w:rPr>
        <w:id w:val="1711760916"/>
        <w:docPartObj>
          <w:docPartGallery w:val="Table of Contents"/>
          <w:docPartUnique/>
        </w:docPartObj>
      </w:sdtPr>
      <w:sdtEndPr>
        <w:rPr>
          <w:b/>
          <w:bCs/>
          <w:noProof/>
        </w:rPr>
      </w:sdtEndPr>
      <w:sdtContent>
        <w:p w14:paraId="39A7A245" w14:textId="3B39C9E9" w:rsidR="008E08A3" w:rsidRPr="00734942" w:rsidRDefault="008E08A3">
          <w:pPr>
            <w:pStyle w:val="TOCHeading"/>
          </w:pPr>
          <w:r w:rsidRPr="00734942">
            <w:t>Contents</w:t>
          </w:r>
        </w:p>
        <w:p w14:paraId="5853411D" w14:textId="2F36E9ED" w:rsidR="008B5583" w:rsidRDefault="008E08A3">
          <w:pPr>
            <w:pStyle w:val="TOC1"/>
            <w:rPr>
              <w:rFonts w:eastAsiaTheme="minorEastAsia"/>
              <w:noProof/>
              <w:lang w:eastAsia="en-GB"/>
            </w:rPr>
          </w:pPr>
          <w:r w:rsidRPr="00734942">
            <w:fldChar w:fldCharType="begin"/>
          </w:r>
          <w:r w:rsidRPr="00734942">
            <w:instrText xml:space="preserve"> TOC \o "1-3" \h \z \u </w:instrText>
          </w:r>
          <w:r w:rsidRPr="00734942">
            <w:fldChar w:fldCharType="separate"/>
          </w:r>
          <w:hyperlink w:anchor="_Toc99539768" w:history="1">
            <w:r w:rsidR="008B5583" w:rsidRPr="00BA0C07">
              <w:rPr>
                <w:rStyle w:val="Hyperlink"/>
                <w:noProof/>
              </w:rPr>
              <w:t>Title</w:t>
            </w:r>
            <w:r w:rsidR="008B5583">
              <w:rPr>
                <w:noProof/>
                <w:webHidden/>
              </w:rPr>
              <w:tab/>
            </w:r>
            <w:r w:rsidR="008B5583">
              <w:rPr>
                <w:noProof/>
                <w:webHidden/>
              </w:rPr>
              <w:fldChar w:fldCharType="begin"/>
            </w:r>
            <w:r w:rsidR="008B5583">
              <w:rPr>
                <w:noProof/>
                <w:webHidden/>
              </w:rPr>
              <w:instrText xml:space="preserve"> PAGEREF _Toc99539768 \h </w:instrText>
            </w:r>
            <w:r w:rsidR="008B5583">
              <w:rPr>
                <w:noProof/>
                <w:webHidden/>
              </w:rPr>
            </w:r>
            <w:r w:rsidR="008B5583">
              <w:rPr>
                <w:noProof/>
                <w:webHidden/>
              </w:rPr>
              <w:fldChar w:fldCharType="separate"/>
            </w:r>
            <w:r w:rsidR="008B5583">
              <w:rPr>
                <w:noProof/>
                <w:webHidden/>
              </w:rPr>
              <w:t>1</w:t>
            </w:r>
            <w:r w:rsidR="008B5583">
              <w:rPr>
                <w:noProof/>
                <w:webHidden/>
              </w:rPr>
              <w:fldChar w:fldCharType="end"/>
            </w:r>
          </w:hyperlink>
        </w:p>
        <w:p w14:paraId="0CF5DA78" w14:textId="6A6BEE65" w:rsidR="008B5583" w:rsidRDefault="008B5583">
          <w:pPr>
            <w:pStyle w:val="TOC3"/>
            <w:tabs>
              <w:tab w:val="right" w:leader="dot" w:pos="9016"/>
            </w:tabs>
            <w:rPr>
              <w:rFonts w:eastAsiaTheme="minorEastAsia"/>
              <w:noProof/>
              <w:lang w:eastAsia="en-GB"/>
            </w:rPr>
          </w:pPr>
          <w:hyperlink w:anchor="_Toc99539769" w:history="1">
            <w:r w:rsidRPr="00BA0C07">
              <w:rPr>
                <w:rStyle w:val="Hyperlink"/>
                <w:noProof/>
              </w:rPr>
              <w:t>Keywords</w:t>
            </w:r>
            <w:r>
              <w:rPr>
                <w:noProof/>
                <w:webHidden/>
              </w:rPr>
              <w:tab/>
            </w:r>
            <w:r>
              <w:rPr>
                <w:noProof/>
                <w:webHidden/>
              </w:rPr>
              <w:fldChar w:fldCharType="begin"/>
            </w:r>
            <w:r>
              <w:rPr>
                <w:noProof/>
                <w:webHidden/>
              </w:rPr>
              <w:instrText xml:space="preserve"> PAGEREF _Toc99539769 \h </w:instrText>
            </w:r>
            <w:r>
              <w:rPr>
                <w:noProof/>
                <w:webHidden/>
              </w:rPr>
            </w:r>
            <w:r>
              <w:rPr>
                <w:noProof/>
                <w:webHidden/>
              </w:rPr>
              <w:fldChar w:fldCharType="separate"/>
            </w:r>
            <w:r>
              <w:rPr>
                <w:noProof/>
                <w:webHidden/>
              </w:rPr>
              <w:t>1</w:t>
            </w:r>
            <w:r>
              <w:rPr>
                <w:noProof/>
                <w:webHidden/>
              </w:rPr>
              <w:fldChar w:fldCharType="end"/>
            </w:r>
          </w:hyperlink>
        </w:p>
        <w:p w14:paraId="4ECAD468" w14:textId="1330A1EB" w:rsidR="008B5583" w:rsidRDefault="008B5583">
          <w:pPr>
            <w:pStyle w:val="TOC3"/>
            <w:tabs>
              <w:tab w:val="right" w:leader="dot" w:pos="9016"/>
            </w:tabs>
            <w:rPr>
              <w:rFonts w:eastAsiaTheme="minorEastAsia"/>
              <w:noProof/>
              <w:lang w:eastAsia="en-GB"/>
            </w:rPr>
          </w:pPr>
          <w:hyperlink w:anchor="_Toc99539770" w:history="1">
            <w:r w:rsidRPr="00BA0C07">
              <w:rPr>
                <w:rStyle w:val="Hyperlink"/>
                <w:noProof/>
              </w:rPr>
              <w:t>Author list</w:t>
            </w:r>
            <w:r>
              <w:rPr>
                <w:noProof/>
                <w:webHidden/>
              </w:rPr>
              <w:tab/>
            </w:r>
            <w:r>
              <w:rPr>
                <w:noProof/>
                <w:webHidden/>
              </w:rPr>
              <w:fldChar w:fldCharType="begin"/>
            </w:r>
            <w:r>
              <w:rPr>
                <w:noProof/>
                <w:webHidden/>
              </w:rPr>
              <w:instrText xml:space="preserve"> PAGEREF _Toc99539770 \h </w:instrText>
            </w:r>
            <w:r>
              <w:rPr>
                <w:noProof/>
                <w:webHidden/>
              </w:rPr>
            </w:r>
            <w:r>
              <w:rPr>
                <w:noProof/>
                <w:webHidden/>
              </w:rPr>
              <w:fldChar w:fldCharType="separate"/>
            </w:r>
            <w:r>
              <w:rPr>
                <w:noProof/>
                <w:webHidden/>
              </w:rPr>
              <w:t>1</w:t>
            </w:r>
            <w:r>
              <w:rPr>
                <w:noProof/>
                <w:webHidden/>
              </w:rPr>
              <w:fldChar w:fldCharType="end"/>
            </w:r>
          </w:hyperlink>
        </w:p>
        <w:p w14:paraId="56437711" w14:textId="715B7E49" w:rsidR="008B5583" w:rsidRDefault="008B5583">
          <w:pPr>
            <w:pStyle w:val="TOC3"/>
            <w:tabs>
              <w:tab w:val="right" w:leader="dot" w:pos="9016"/>
            </w:tabs>
            <w:rPr>
              <w:rFonts w:eastAsiaTheme="minorEastAsia"/>
              <w:noProof/>
              <w:lang w:eastAsia="en-GB"/>
            </w:rPr>
          </w:pPr>
          <w:hyperlink w:anchor="_Toc99539771" w:history="1">
            <w:r w:rsidRPr="00BA0C07">
              <w:rPr>
                <w:rStyle w:val="Hyperlink"/>
                <w:noProof/>
              </w:rPr>
              <w:t>Affiliations</w:t>
            </w:r>
            <w:r>
              <w:rPr>
                <w:noProof/>
                <w:webHidden/>
              </w:rPr>
              <w:tab/>
            </w:r>
            <w:r>
              <w:rPr>
                <w:noProof/>
                <w:webHidden/>
              </w:rPr>
              <w:fldChar w:fldCharType="begin"/>
            </w:r>
            <w:r>
              <w:rPr>
                <w:noProof/>
                <w:webHidden/>
              </w:rPr>
              <w:instrText xml:space="preserve"> PAGEREF _Toc99539771 \h </w:instrText>
            </w:r>
            <w:r>
              <w:rPr>
                <w:noProof/>
                <w:webHidden/>
              </w:rPr>
            </w:r>
            <w:r>
              <w:rPr>
                <w:noProof/>
                <w:webHidden/>
              </w:rPr>
              <w:fldChar w:fldCharType="separate"/>
            </w:r>
            <w:r>
              <w:rPr>
                <w:noProof/>
                <w:webHidden/>
              </w:rPr>
              <w:t>1</w:t>
            </w:r>
            <w:r>
              <w:rPr>
                <w:noProof/>
                <w:webHidden/>
              </w:rPr>
              <w:fldChar w:fldCharType="end"/>
            </w:r>
          </w:hyperlink>
        </w:p>
        <w:p w14:paraId="753BA67B" w14:textId="47B317BE" w:rsidR="008B5583" w:rsidRDefault="008B5583">
          <w:pPr>
            <w:pStyle w:val="TOC3"/>
            <w:tabs>
              <w:tab w:val="right" w:leader="dot" w:pos="9016"/>
            </w:tabs>
            <w:rPr>
              <w:rFonts w:eastAsiaTheme="minorEastAsia"/>
              <w:noProof/>
              <w:lang w:eastAsia="en-GB"/>
            </w:rPr>
          </w:pPr>
          <w:hyperlink w:anchor="_Toc99539772" w:history="1">
            <w:r w:rsidRPr="00BA0C07">
              <w:rPr>
                <w:rStyle w:val="Hyperlink"/>
                <w:noProof/>
              </w:rPr>
              <w:t>Corresponding author</w:t>
            </w:r>
            <w:r>
              <w:rPr>
                <w:noProof/>
                <w:webHidden/>
              </w:rPr>
              <w:tab/>
            </w:r>
            <w:r>
              <w:rPr>
                <w:noProof/>
                <w:webHidden/>
              </w:rPr>
              <w:fldChar w:fldCharType="begin"/>
            </w:r>
            <w:r>
              <w:rPr>
                <w:noProof/>
                <w:webHidden/>
              </w:rPr>
              <w:instrText xml:space="preserve"> PAGEREF _Toc99539772 \h </w:instrText>
            </w:r>
            <w:r>
              <w:rPr>
                <w:noProof/>
                <w:webHidden/>
              </w:rPr>
            </w:r>
            <w:r>
              <w:rPr>
                <w:noProof/>
                <w:webHidden/>
              </w:rPr>
              <w:fldChar w:fldCharType="separate"/>
            </w:r>
            <w:r>
              <w:rPr>
                <w:noProof/>
                <w:webHidden/>
              </w:rPr>
              <w:t>1</w:t>
            </w:r>
            <w:r>
              <w:rPr>
                <w:noProof/>
                <w:webHidden/>
              </w:rPr>
              <w:fldChar w:fldCharType="end"/>
            </w:r>
          </w:hyperlink>
        </w:p>
        <w:p w14:paraId="0C6EBEB0" w14:textId="31B15043" w:rsidR="008B5583" w:rsidRDefault="008B5583">
          <w:pPr>
            <w:pStyle w:val="TOC3"/>
            <w:tabs>
              <w:tab w:val="right" w:leader="dot" w:pos="9016"/>
            </w:tabs>
            <w:rPr>
              <w:rFonts w:eastAsiaTheme="minorEastAsia"/>
              <w:noProof/>
              <w:lang w:eastAsia="en-GB"/>
            </w:rPr>
          </w:pPr>
          <w:hyperlink w:anchor="_Toc99539773" w:history="1">
            <w:r w:rsidRPr="00BA0C07">
              <w:rPr>
                <w:rStyle w:val="Hyperlink"/>
                <w:noProof/>
              </w:rPr>
              <w:t>Word Counts</w:t>
            </w:r>
            <w:r>
              <w:rPr>
                <w:noProof/>
                <w:webHidden/>
              </w:rPr>
              <w:tab/>
            </w:r>
            <w:r>
              <w:rPr>
                <w:noProof/>
                <w:webHidden/>
              </w:rPr>
              <w:fldChar w:fldCharType="begin"/>
            </w:r>
            <w:r>
              <w:rPr>
                <w:noProof/>
                <w:webHidden/>
              </w:rPr>
              <w:instrText xml:space="preserve"> PAGEREF _Toc99539773 \h </w:instrText>
            </w:r>
            <w:r>
              <w:rPr>
                <w:noProof/>
                <w:webHidden/>
              </w:rPr>
            </w:r>
            <w:r>
              <w:rPr>
                <w:noProof/>
                <w:webHidden/>
              </w:rPr>
              <w:fldChar w:fldCharType="separate"/>
            </w:r>
            <w:r>
              <w:rPr>
                <w:noProof/>
                <w:webHidden/>
              </w:rPr>
              <w:t>2</w:t>
            </w:r>
            <w:r>
              <w:rPr>
                <w:noProof/>
                <w:webHidden/>
              </w:rPr>
              <w:fldChar w:fldCharType="end"/>
            </w:r>
          </w:hyperlink>
        </w:p>
        <w:p w14:paraId="0F961F1C" w14:textId="0DF3BFCF" w:rsidR="008B5583" w:rsidRDefault="008B5583">
          <w:pPr>
            <w:pStyle w:val="TOC3"/>
            <w:tabs>
              <w:tab w:val="right" w:leader="dot" w:pos="9016"/>
            </w:tabs>
            <w:rPr>
              <w:rFonts w:eastAsiaTheme="minorEastAsia"/>
              <w:noProof/>
              <w:lang w:eastAsia="en-GB"/>
            </w:rPr>
          </w:pPr>
          <w:hyperlink w:anchor="_Toc99539774" w:history="1">
            <w:r w:rsidRPr="00BA0C07">
              <w:rPr>
                <w:rStyle w:val="Hyperlink"/>
                <w:bCs/>
                <w:noProof/>
              </w:rPr>
              <w:t>Disclosure of interest</w:t>
            </w:r>
            <w:r>
              <w:rPr>
                <w:noProof/>
                <w:webHidden/>
              </w:rPr>
              <w:tab/>
            </w:r>
            <w:r>
              <w:rPr>
                <w:noProof/>
                <w:webHidden/>
              </w:rPr>
              <w:fldChar w:fldCharType="begin"/>
            </w:r>
            <w:r>
              <w:rPr>
                <w:noProof/>
                <w:webHidden/>
              </w:rPr>
              <w:instrText xml:space="preserve"> PAGEREF _Toc99539774 \h </w:instrText>
            </w:r>
            <w:r>
              <w:rPr>
                <w:noProof/>
                <w:webHidden/>
              </w:rPr>
            </w:r>
            <w:r>
              <w:rPr>
                <w:noProof/>
                <w:webHidden/>
              </w:rPr>
              <w:fldChar w:fldCharType="separate"/>
            </w:r>
            <w:r>
              <w:rPr>
                <w:noProof/>
                <w:webHidden/>
              </w:rPr>
              <w:t>2</w:t>
            </w:r>
            <w:r>
              <w:rPr>
                <w:noProof/>
                <w:webHidden/>
              </w:rPr>
              <w:fldChar w:fldCharType="end"/>
            </w:r>
          </w:hyperlink>
        </w:p>
        <w:p w14:paraId="0D343F5B" w14:textId="141BF498" w:rsidR="008B5583" w:rsidRDefault="008B5583">
          <w:pPr>
            <w:pStyle w:val="TOC1"/>
            <w:rPr>
              <w:rFonts w:eastAsiaTheme="minorEastAsia"/>
              <w:noProof/>
              <w:lang w:eastAsia="en-GB"/>
            </w:rPr>
          </w:pPr>
          <w:hyperlink w:anchor="_Toc99539775" w:history="1">
            <w:r w:rsidRPr="00BA0C07">
              <w:rPr>
                <w:rStyle w:val="Hyperlink"/>
                <w:noProof/>
              </w:rPr>
              <w:t>Abstract</w:t>
            </w:r>
            <w:r>
              <w:rPr>
                <w:noProof/>
                <w:webHidden/>
              </w:rPr>
              <w:tab/>
            </w:r>
            <w:r>
              <w:rPr>
                <w:noProof/>
                <w:webHidden/>
              </w:rPr>
              <w:fldChar w:fldCharType="begin"/>
            </w:r>
            <w:r>
              <w:rPr>
                <w:noProof/>
                <w:webHidden/>
              </w:rPr>
              <w:instrText xml:space="preserve"> PAGEREF _Toc99539775 \h </w:instrText>
            </w:r>
            <w:r>
              <w:rPr>
                <w:noProof/>
                <w:webHidden/>
              </w:rPr>
            </w:r>
            <w:r>
              <w:rPr>
                <w:noProof/>
                <w:webHidden/>
              </w:rPr>
              <w:fldChar w:fldCharType="separate"/>
            </w:r>
            <w:r>
              <w:rPr>
                <w:noProof/>
                <w:webHidden/>
              </w:rPr>
              <w:t>3</w:t>
            </w:r>
            <w:r>
              <w:rPr>
                <w:noProof/>
                <w:webHidden/>
              </w:rPr>
              <w:fldChar w:fldCharType="end"/>
            </w:r>
          </w:hyperlink>
        </w:p>
        <w:p w14:paraId="286F32CB" w14:textId="3DE67AA4" w:rsidR="008B5583" w:rsidRDefault="008B5583">
          <w:pPr>
            <w:pStyle w:val="TOC2"/>
            <w:tabs>
              <w:tab w:val="right" w:leader="dot" w:pos="9016"/>
            </w:tabs>
            <w:rPr>
              <w:rFonts w:eastAsiaTheme="minorEastAsia"/>
              <w:noProof/>
              <w:lang w:eastAsia="en-GB"/>
            </w:rPr>
          </w:pPr>
          <w:hyperlink w:anchor="_Toc99539776" w:history="1">
            <w:r w:rsidRPr="00BA0C07">
              <w:rPr>
                <w:rStyle w:val="Hyperlink"/>
                <w:noProof/>
              </w:rPr>
              <w:t>Background</w:t>
            </w:r>
            <w:r>
              <w:rPr>
                <w:noProof/>
                <w:webHidden/>
              </w:rPr>
              <w:tab/>
            </w:r>
            <w:r>
              <w:rPr>
                <w:noProof/>
                <w:webHidden/>
              </w:rPr>
              <w:fldChar w:fldCharType="begin"/>
            </w:r>
            <w:r>
              <w:rPr>
                <w:noProof/>
                <w:webHidden/>
              </w:rPr>
              <w:instrText xml:space="preserve"> PAGEREF _Toc99539776 \h </w:instrText>
            </w:r>
            <w:r>
              <w:rPr>
                <w:noProof/>
                <w:webHidden/>
              </w:rPr>
            </w:r>
            <w:r>
              <w:rPr>
                <w:noProof/>
                <w:webHidden/>
              </w:rPr>
              <w:fldChar w:fldCharType="separate"/>
            </w:r>
            <w:r>
              <w:rPr>
                <w:noProof/>
                <w:webHidden/>
              </w:rPr>
              <w:t>3</w:t>
            </w:r>
            <w:r>
              <w:rPr>
                <w:noProof/>
                <w:webHidden/>
              </w:rPr>
              <w:fldChar w:fldCharType="end"/>
            </w:r>
          </w:hyperlink>
        </w:p>
        <w:p w14:paraId="4CFC5A15" w14:textId="78E664FB" w:rsidR="008B5583" w:rsidRDefault="008B5583">
          <w:pPr>
            <w:pStyle w:val="TOC2"/>
            <w:tabs>
              <w:tab w:val="right" w:leader="dot" w:pos="9016"/>
            </w:tabs>
            <w:rPr>
              <w:rFonts w:eastAsiaTheme="minorEastAsia"/>
              <w:noProof/>
              <w:lang w:eastAsia="en-GB"/>
            </w:rPr>
          </w:pPr>
          <w:hyperlink w:anchor="_Toc99539777" w:history="1">
            <w:r w:rsidRPr="00BA0C07">
              <w:rPr>
                <w:rStyle w:val="Hyperlink"/>
                <w:noProof/>
              </w:rPr>
              <w:t>Objective</w:t>
            </w:r>
            <w:r>
              <w:rPr>
                <w:noProof/>
                <w:webHidden/>
              </w:rPr>
              <w:tab/>
            </w:r>
            <w:r>
              <w:rPr>
                <w:noProof/>
                <w:webHidden/>
              </w:rPr>
              <w:fldChar w:fldCharType="begin"/>
            </w:r>
            <w:r>
              <w:rPr>
                <w:noProof/>
                <w:webHidden/>
              </w:rPr>
              <w:instrText xml:space="preserve"> PAGEREF _Toc99539777 \h </w:instrText>
            </w:r>
            <w:r>
              <w:rPr>
                <w:noProof/>
                <w:webHidden/>
              </w:rPr>
            </w:r>
            <w:r>
              <w:rPr>
                <w:noProof/>
                <w:webHidden/>
              </w:rPr>
              <w:fldChar w:fldCharType="separate"/>
            </w:r>
            <w:r>
              <w:rPr>
                <w:noProof/>
                <w:webHidden/>
              </w:rPr>
              <w:t>3</w:t>
            </w:r>
            <w:r>
              <w:rPr>
                <w:noProof/>
                <w:webHidden/>
              </w:rPr>
              <w:fldChar w:fldCharType="end"/>
            </w:r>
          </w:hyperlink>
        </w:p>
        <w:p w14:paraId="0818A449" w14:textId="2EB6853C" w:rsidR="008B5583" w:rsidRDefault="008B5583">
          <w:pPr>
            <w:pStyle w:val="TOC2"/>
            <w:tabs>
              <w:tab w:val="right" w:leader="dot" w:pos="9016"/>
            </w:tabs>
            <w:rPr>
              <w:rFonts w:eastAsiaTheme="minorEastAsia"/>
              <w:noProof/>
              <w:lang w:eastAsia="en-GB"/>
            </w:rPr>
          </w:pPr>
          <w:hyperlink w:anchor="_Toc99539778" w:history="1">
            <w:r w:rsidRPr="00BA0C07">
              <w:rPr>
                <w:rStyle w:val="Hyperlink"/>
                <w:noProof/>
              </w:rPr>
              <w:t>Design</w:t>
            </w:r>
            <w:r>
              <w:rPr>
                <w:noProof/>
                <w:webHidden/>
              </w:rPr>
              <w:tab/>
            </w:r>
            <w:r>
              <w:rPr>
                <w:noProof/>
                <w:webHidden/>
              </w:rPr>
              <w:fldChar w:fldCharType="begin"/>
            </w:r>
            <w:r>
              <w:rPr>
                <w:noProof/>
                <w:webHidden/>
              </w:rPr>
              <w:instrText xml:space="preserve"> PAGEREF _Toc99539778 \h </w:instrText>
            </w:r>
            <w:r>
              <w:rPr>
                <w:noProof/>
                <w:webHidden/>
              </w:rPr>
            </w:r>
            <w:r>
              <w:rPr>
                <w:noProof/>
                <w:webHidden/>
              </w:rPr>
              <w:fldChar w:fldCharType="separate"/>
            </w:r>
            <w:r>
              <w:rPr>
                <w:noProof/>
                <w:webHidden/>
              </w:rPr>
              <w:t>3</w:t>
            </w:r>
            <w:r>
              <w:rPr>
                <w:noProof/>
                <w:webHidden/>
              </w:rPr>
              <w:fldChar w:fldCharType="end"/>
            </w:r>
          </w:hyperlink>
        </w:p>
        <w:p w14:paraId="34633107" w14:textId="02A3EAA7" w:rsidR="008B5583" w:rsidRDefault="008B5583">
          <w:pPr>
            <w:pStyle w:val="TOC2"/>
            <w:tabs>
              <w:tab w:val="right" w:leader="dot" w:pos="9016"/>
            </w:tabs>
            <w:rPr>
              <w:rFonts w:eastAsiaTheme="minorEastAsia"/>
              <w:noProof/>
              <w:lang w:eastAsia="en-GB"/>
            </w:rPr>
          </w:pPr>
          <w:hyperlink w:anchor="_Toc99539779" w:history="1">
            <w:r w:rsidRPr="00BA0C07">
              <w:rPr>
                <w:rStyle w:val="Hyperlink"/>
                <w:noProof/>
              </w:rPr>
              <w:t>Results</w:t>
            </w:r>
            <w:r>
              <w:rPr>
                <w:noProof/>
                <w:webHidden/>
              </w:rPr>
              <w:tab/>
            </w:r>
            <w:r>
              <w:rPr>
                <w:noProof/>
                <w:webHidden/>
              </w:rPr>
              <w:fldChar w:fldCharType="begin"/>
            </w:r>
            <w:r>
              <w:rPr>
                <w:noProof/>
                <w:webHidden/>
              </w:rPr>
              <w:instrText xml:space="preserve"> PAGEREF _Toc99539779 \h </w:instrText>
            </w:r>
            <w:r>
              <w:rPr>
                <w:noProof/>
                <w:webHidden/>
              </w:rPr>
            </w:r>
            <w:r>
              <w:rPr>
                <w:noProof/>
                <w:webHidden/>
              </w:rPr>
              <w:fldChar w:fldCharType="separate"/>
            </w:r>
            <w:r>
              <w:rPr>
                <w:noProof/>
                <w:webHidden/>
              </w:rPr>
              <w:t>3</w:t>
            </w:r>
            <w:r>
              <w:rPr>
                <w:noProof/>
                <w:webHidden/>
              </w:rPr>
              <w:fldChar w:fldCharType="end"/>
            </w:r>
          </w:hyperlink>
        </w:p>
        <w:p w14:paraId="5C5CAF56" w14:textId="509EA470" w:rsidR="008B5583" w:rsidRDefault="008B5583">
          <w:pPr>
            <w:pStyle w:val="TOC2"/>
            <w:tabs>
              <w:tab w:val="right" w:leader="dot" w:pos="9016"/>
            </w:tabs>
            <w:rPr>
              <w:rFonts w:eastAsiaTheme="minorEastAsia"/>
              <w:noProof/>
              <w:lang w:eastAsia="en-GB"/>
            </w:rPr>
          </w:pPr>
          <w:hyperlink w:anchor="_Toc99539780" w:history="1">
            <w:r w:rsidRPr="00BA0C07">
              <w:rPr>
                <w:rStyle w:val="Hyperlink"/>
                <w:noProof/>
              </w:rPr>
              <w:t>Limitations</w:t>
            </w:r>
            <w:r>
              <w:rPr>
                <w:noProof/>
                <w:webHidden/>
              </w:rPr>
              <w:tab/>
            </w:r>
            <w:r>
              <w:rPr>
                <w:noProof/>
                <w:webHidden/>
              </w:rPr>
              <w:fldChar w:fldCharType="begin"/>
            </w:r>
            <w:r>
              <w:rPr>
                <w:noProof/>
                <w:webHidden/>
              </w:rPr>
              <w:instrText xml:space="preserve"> PAGEREF _Toc99539780 \h </w:instrText>
            </w:r>
            <w:r>
              <w:rPr>
                <w:noProof/>
                <w:webHidden/>
              </w:rPr>
            </w:r>
            <w:r>
              <w:rPr>
                <w:noProof/>
                <w:webHidden/>
              </w:rPr>
              <w:fldChar w:fldCharType="separate"/>
            </w:r>
            <w:r>
              <w:rPr>
                <w:noProof/>
                <w:webHidden/>
              </w:rPr>
              <w:t>3</w:t>
            </w:r>
            <w:r>
              <w:rPr>
                <w:noProof/>
                <w:webHidden/>
              </w:rPr>
              <w:fldChar w:fldCharType="end"/>
            </w:r>
          </w:hyperlink>
        </w:p>
        <w:p w14:paraId="6ABF4F41" w14:textId="30A48979" w:rsidR="008B5583" w:rsidRDefault="008B5583">
          <w:pPr>
            <w:pStyle w:val="TOC2"/>
            <w:tabs>
              <w:tab w:val="right" w:leader="dot" w:pos="9016"/>
            </w:tabs>
            <w:rPr>
              <w:rFonts w:eastAsiaTheme="minorEastAsia"/>
              <w:noProof/>
              <w:lang w:eastAsia="en-GB"/>
            </w:rPr>
          </w:pPr>
          <w:hyperlink w:anchor="_Toc99539781" w:history="1">
            <w:r w:rsidRPr="00BA0C07">
              <w:rPr>
                <w:rStyle w:val="Hyperlink"/>
                <w:noProof/>
              </w:rPr>
              <w:t>Conclusions</w:t>
            </w:r>
            <w:r>
              <w:rPr>
                <w:noProof/>
                <w:webHidden/>
              </w:rPr>
              <w:tab/>
            </w:r>
            <w:r>
              <w:rPr>
                <w:noProof/>
                <w:webHidden/>
              </w:rPr>
              <w:fldChar w:fldCharType="begin"/>
            </w:r>
            <w:r>
              <w:rPr>
                <w:noProof/>
                <w:webHidden/>
              </w:rPr>
              <w:instrText xml:space="preserve"> PAGEREF _Toc99539781 \h </w:instrText>
            </w:r>
            <w:r>
              <w:rPr>
                <w:noProof/>
                <w:webHidden/>
              </w:rPr>
            </w:r>
            <w:r>
              <w:rPr>
                <w:noProof/>
                <w:webHidden/>
              </w:rPr>
              <w:fldChar w:fldCharType="separate"/>
            </w:r>
            <w:r>
              <w:rPr>
                <w:noProof/>
                <w:webHidden/>
              </w:rPr>
              <w:t>4</w:t>
            </w:r>
            <w:r>
              <w:rPr>
                <w:noProof/>
                <w:webHidden/>
              </w:rPr>
              <w:fldChar w:fldCharType="end"/>
            </w:r>
          </w:hyperlink>
        </w:p>
        <w:p w14:paraId="485068B9" w14:textId="59DED876" w:rsidR="008B5583" w:rsidRDefault="008B5583">
          <w:pPr>
            <w:pStyle w:val="TOC2"/>
            <w:tabs>
              <w:tab w:val="right" w:leader="dot" w:pos="9016"/>
            </w:tabs>
            <w:rPr>
              <w:rFonts w:eastAsiaTheme="minorEastAsia"/>
              <w:noProof/>
              <w:lang w:eastAsia="en-GB"/>
            </w:rPr>
          </w:pPr>
          <w:hyperlink w:anchor="_Toc99539782" w:history="1">
            <w:r w:rsidRPr="00BA0C07">
              <w:rPr>
                <w:rStyle w:val="Hyperlink"/>
                <w:noProof/>
              </w:rPr>
              <w:t>Future work</w:t>
            </w:r>
            <w:r>
              <w:rPr>
                <w:noProof/>
                <w:webHidden/>
              </w:rPr>
              <w:tab/>
            </w:r>
            <w:r>
              <w:rPr>
                <w:noProof/>
                <w:webHidden/>
              </w:rPr>
              <w:fldChar w:fldCharType="begin"/>
            </w:r>
            <w:r>
              <w:rPr>
                <w:noProof/>
                <w:webHidden/>
              </w:rPr>
              <w:instrText xml:space="preserve"> PAGEREF _Toc99539782 \h </w:instrText>
            </w:r>
            <w:r>
              <w:rPr>
                <w:noProof/>
                <w:webHidden/>
              </w:rPr>
            </w:r>
            <w:r>
              <w:rPr>
                <w:noProof/>
                <w:webHidden/>
              </w:rPr>
              <w:fldChar w:fldCharType="separate"/>
            </w:r>
            <w:r>
              <w:rPr>
                <w:noProof/>
                <w:webHidden/>
              </w:rPr>
              <w:t>4</w:t>
            </w:r>
            <w:r>
              <w:rPr>
                <w:noProof/>
                <w:webHidden/>
              </w:rPr>
              <w:fldChar w:fldCharType="end"/>
            </w:r>
          </w:hyperlink>
        </w:p>
        <w:p w14:paraId="4FCE6190" w14:textId="4384EE4D" w:rsidR="008B5583" w:rsidRDefault="008B5583">
          <w:pPr>
            <w:pStyle w:val="TOC2"/>
            <w:tabs>
              <w:tab w:val="right" w:leader="dot" w:pos="9016"/>
            </w:tabs>
            <w:rPr>
              <w:rFonts w:eastAsiaTheme="minorEastAsia"/>
              <w:noProof/>
              <w:lang w:eastAsia="en-GB"/>
            </w:rPr>
          </w:pPr>
          <w:hyperlink w:anchor="_Toc99539783" w:history="1">
            <w:r w:rsidRPr="00BA0C07">
              <w:rPr>
                <w:rStyle w:val="Hyperlink"/>
                <w:noProof/>
              </w:rPr>
              <w:t>Study registration</w:t>
            </w:r>
            <w:r>
              <w:rPr>
                <w:noProof/>
                <w:webHidden/>
              </w:rPr>
              <w:tab/>
            </w:r>
            <w:r>
              <w:rPr>
                <w:noProof/>
                <w:webHidden/>
              </w:rPr>
              <w:fldChar w:fldCharType="begin"/>
            </w:r>
            <w:r>
              <w:rPr>
                <w:noProof/>
                <w:webHidden/>
              </w:rPr>
              <w:instrText xml:space="preserve"> PAGEREF _Toc99539783 \h </w:instrText>
            </w:r>
            <w:r>
              <w:rPr>
                <w:noProof/>
                <w:webHidden/>
              </w:rPr>
            </w:r>
            <w:r>
              <w:rPr>
                <w:noProof/>
                <w:webHidden/>
              </w:rPr>
              <w:fldChar w:fldCharType="separate"/>
            </w:r>
            <w:r>
              <w:rPr>
                <w:noProof/>
                <w:webHidden/>
              </w:rPr>
              <w:t>4</w:t>
            </w:r>
            <w:r>
              <w:rPr>
                <w:noProof/>
                <w:webHidden/>
              </w:rPr>
              <w:fldChar w:fldCharType="end"/>
            </w:r>
          </w:hyperlink>
        </w:p>
        <w:p w14:paraId="3B81C1C8" w14:textId="6F22F665" w:rsidR="008B5583" w:rsidRDefault="008B5583">
          <w:pPr>
            <w:pStyle w:val="TOC2"/>
            <w:tabs>
              <w:tab w:val="right" w:leader="dot" w:pos="9016"/>
            </w:tabs>
            <w:rPr>
              <w:rFonts w:eastAsiaTheme="minorEastAsia"/>
              <w:noProof/>
              <w:lang w:eastAsia="en-GB"/>
            </w:rPr>
          </w:pPr>
          <w:hyperlink w:anchor="_Toc99539784" w:history="1">
            <w:r w:rsidRPr="00BA0C07">
              <w:rPr>
                <w:rStyle w:val="Hyperlink"/>
                <w:noProof/>
              </w:rPr>
              <w:t>Funding</w:t>
            </w:r>
            <w:r>
              <w:rPr>
                <w:noProof/>
                <w:webHidden/>
              </w:rPr>
              <w:tab/>
            </w:r>
            <w:r>
              <w:rPr>
                <w:noProof/>
                <w:webHidden/>
              </w:rPr>
              <w:fldChar w:fldCharType="begin"/>
            </w:r>
            <w:r>
              <w:rPr>
                <w:noProof/>
                <w:webHidden/>
              </w:rPr>
              <w:instrText xml:space="preserve"> PAGEREF _Toc99539784 \h </w:instrText>
            </w:r>
            <w:r>
              <w:rPr>
                <w:noProof/>
                <w:webHidden/>
              </w:rPr>
            </w:r>
            <w:r>
              <w:rPr>
                <w:noProof/>
                <w:webHidden/>
              </w:rPr>
              <w:fldChar w:fldCharType="separate"/>
            </w:r>
            <w:r>
              <w:rPr>
                <w:noProof/>
                <w:webHidden/>
              </w:rPr>
              <w:t>4</w:t>
            </w:r>
            <w:r>
              <w:rPr>
                <w:noProof/>
                <w:webHidden/>
              </w:rPr>
              <w:fldChar w:fldCharType="end"/>
            </w:r>
          </w:hyperlink>
        </w:p>
        <w:p w14:paraId="7BF3E1C8" w14:textId="65823206" w:rsidR="008B5583" w:rsidRDefault="008B5583">
          <w:pPr>
            <w:pStyle w:val="TOC1"/>
            <w:rPr>
              <w:rFonts w:eastAsiaTheme="minorEastAsia"/>
              <w:noProof/>
              <w:lang w:eastAsia="en-GB"/>
            </w:rPr>
          </w:pPr>
          <w:hyperlink w:anchor="_Toc99539785" w:history="1">
            <w:r w:rsidRPr="00BA0C07">
              <w:rPr>
                <w:rStyle w:val="Hyperlink"/>
                <w:noProof/>
              </w:rPr>
              <w:t>Table of contents</w:t>
            </w:r>
            <w:r>
              <w:rPr>
                <w:noProof/>
                <w:webHidden/>
              </w:rPr>
              <w:tab/>
            </w:r>
            <w:r>
              <w:rPr>
                <w:noProof/>
                <w:webHidden/>
              </w:rPr>
              <w:fldChar w:fldCharType="begin"/>
            </w:r>
            <w:r>
              <w:rPr>
                <w:noProof/>
                <w:webHidden/>
              </w:rPr>
              <w:instrText xml:space="preserve"> PAGEREF _Toc99539785 \h </w:instrText>
            </w:r>
            <w:r>
              <w:rPr>
                <w:noProof/>
                <w:webHidden/>
              </w:rPr>
            </w:r>
            <w:r>
              <w:rPr>
                <w:noProof/>
                <w:webHidden/>
              </w:rPr>
              <w:fldChar w:fldCharType="separate"/>
            </w:r>
            <w:r>
              <w:rPr>
                <w:noProof/>
                <w:webHidden/>
              </w:rPr>
              <w:t>5</w:t>
            </w:r>
            <w:r>
              <w:rPr>
                <w:noProof/>
                <w:webHidden/>
              </w:rPr>
              <w:fldChar w:fldCharType="end"/>
            </w:r>
          </w:hyperlink>
        </w:p>
        <w:p w14:paraId="5629A479" w14:textId="0428B587" w:rsidR="008B5583" w:rsidRDefault="008B5583">
          <w:pPr>
            <w:pStyle w:val="TOC1"/>
            <w:rPr>
              <w:rFonts w:eastAsiaTheme="minorEastAsia"/>
              <w:noProof/>
              <w:lang w:eastAsia="en-GB"/>
            </w:rPr>
          </w:pPr>
          <w:hyperlink w:anchor="_Toc99539786" w:history="1">
            <w:r w:rsidRPr="00BA0C07">
              <w:rPr>
                <w:rStyle w:val="Hyperlink"/>
                <w:noProof/>
              </w:rPr>
              <w:t>List of tables</w:t>
            </w:r>
            <w:r>
              <w:rPr>
                <w:noProof/>
                <w:webHidden/>
              </w:rPr>
              <w:tab/>
            </w:r>
            <w:r>
              <w:rPr>
                <w:noProof/>
                <w:webHidden/>
              </w:rPr>
              <w:fldChar w:fldCharType="begin"/>
            </w:r>
            <w:r>
              <w:rPr>
                <w:noProof/>
                <w:webHidden/>
              </w:rPr>
              <w:instrText xml:space="preserve"> PAGEREF _Toc99539786 \h </w:instrText>
            </w:r>
            <w:r>
              <w:rPr>
                <w:noProof/>
                <w:webHidden/>
              </w:rPr>
            </w:r>
            <w:r>
              <w:rPr>
                <w:noProof/>
                <w:webHidden/>
              </w:rPr>
              <w:fldChar w:fldCharType="separate"/>
            </w:r>
            <w:r>
              <w:rPr>
                <w:noProof/>
                <w:webHidden/>
              </w:rPr>
              <w:t>11</w:t>
            </w:r>
            <w:r>
              <w:rPr>
                <w:noProof/>
                <w:webHidden/>
              </w:rPr>
              <w:fldChar w:fldCharType="end"/>
            </w:r>
          </w:hyperlink>
        </w:p>
        <w:p w14:paraId="1697A8AD" w14:textId="0BD26F0A" w:rsidR="008B5583" w:rsidRDefault="008B5583">
          <w:pPr>
            <w:pStyle w:val="TOC1"/>
            <w:rPr>
              <w:rFonts w:eastAsiaTheme="minorEastAsia"/>
              <w:noProof/>
              <w:lang w:eastAsia="en-GB"/>
            </w:rPr>
          </w:pPr>
          <w:hyperlink w:anchor="_Toc99539787" w:history="1">
            <w:r w:rsidRPr="00BA0C07">
              <w:rPr>
                <w:rStyle w:val="Hyperlink"/>
                <w:noProof/>
              </w:rPr>
              <w:t>List of figures</w:t>
            </w:r>
            <w:r>
              <w:rPr>
                <w:noProof/>
                <w:webHidden/>
              </w:rPr>
              <w:tab/>
            </w:r>
            <w:r>
              <w:rPr>
                <w:noProof/>
                <w:webHidden/>
              </w:rPr>
              <w:fldChar w:fldCharType="begin"/>
            </w:r>
            <w:r>
              <w:rPr>
                <w:noProof/>
                <w:webHidden/>
              </w:rPr>
              <w:instrText xml:space="preserve"> PAGEREF _Toc99539787 \h </w:instrText>
            </w:r>
            <w:r>
              <w:rPr>
                <w:noProof/>
                <w:webHidden/>
              </w:rPr>
            </w:r>
            <w:r>
              <w:rPr>
                <w:noProof/>
                <w:webHidden/>
              </w:rPr>
              <w:fldChar w:fldCharType="separate"/>
            </w:r>
            <w:r>
              <w:rPr>
                <w:noProof/>
                <w:webHidden/>
              </w:rPr>
              <w:t>12</w:t>
            </w:r>
            <w:r>
              <w:rPr>
                <w:noProof/>
                <w:webHidden/>
              </w:rPr>
              <w:fldChar w:fldCharType="end"/>
            </w:r>
          </w:hyperlink>
        </w:p>
        <w:p w14:paraId="532EABD8" w14:textId="70E1F152" w:rsidR="008B5583" w:rsidRDefault="008B5583">
          <w:pPr>
            <w:pStyle w:val="TOC1"/>
            <w:rPr>
              <w:rFonts w:eastAsiaTheme="minorEastAsia"/>
              <w:noProof/>
              <w:lang w:eastAsia="en-GB"/>
            </w:rPr>
          </w:pPr>
          <w:hyperlink w:anchor="_Toc99539788" w:history="1">
            <w:r w:rsidRPr="00BA0C07">
              <w:rPr>
                <w:rStyle w:val="Hyperlink"/>
                <w:noProof/>
              </w:rPr>
              <w:t>Alphabetical list of abbreviations/glossary</w:t>
            </w:r>
            <w:r>
              <w:rPr>
                <w:noProof/>
                <w:webHidden/>
              </w:rPr>
              <w:tab/>
            </w:r>
            <w:r>
              <w:rPr>
                <w:noProof/>
                <w:webHidden/>
              </w:rPr>
              <w:fldChar w:fldCharType="begin"/>
            </w:r>
            <w:r>
              <w:rPr>
                <w:noProof/>
                <w:webHidden/>
              </w:rPr>
              <w:instrText xml:space="preserve"> PAGEREF _Toc99539788 \h </w:instrText>
            </w:r>
            <w:r>
              <w:rPr>
                <w:noProof/>
                <w:webHidden/>
              </w:rPr>
            </w:r>
            <w:r>
              <w:rPr>
                <w:noProof/>
                <w:webHidden/>
              </w:rPr>
              <w:fldChar w:fldCharType="separate"/>
            </w:r>
            <w:r>
              <w:rPr>
                <w:noProof/>
                <w:webHidden/>
              </w:rPr>
              <w:t>15</w:t>
            </w:r>
            <w:r>
              <w:rPr>
                <w:noProof/>
                <w:webHidden/>
              </w:rPr>
              <w:fldChar w:fldCharType="end"/>
            </w:r>
          </w:hyperlink>
        </w:p>
        <w:p w14:paraId="408363BF" w14:textId="36C2F80A" w:rsidR="008B5583" w:rsidRDefault="008B5583">
          <w:pPr>
            <w:pStyle w:val="TOC1"/>
            <w:rPr>
              <w:rFonts w:eastAsiaTheme="minorEastAsia"/>
              <w:noProof/>
              <w:lang w:eastAsia="en-GB"/>
            </w:rPr>
          </w:pPr>
          <w:hyperlink w:anchor="_Toc99539789" w:history="1">
            <w:r w:rsidRPr="00BA0C07">
              <w:rPr>
                <w:rStyle w:val="Hyperlink"/>
                <w:noProof/>
              </w:rPr>
              <w:t>Plain English Summary</w:t>
            </w:r>
            <w:r>
              <w:rPr>
                <w:noProof/>
                <w:webHidden/>
              </w:rPr>
              <w:tab/>
            </w:r>
            <w:r>
              <w:rPr>
                <w:noProof/>
                <w:webHidden/>
              </w:rPr>
              <w:fldChar w:fldCharType="begin"/>
            </w:r>
            <w:r>
              <w:rPr>
                <w:noProof/>
                <w:webHidden/>
              </w:rPr>
              <w:instrText xml:space="preserve"> PAGEREF _Toc99539789 \h </w:instrText>
            </w:r>
            <w:r>
              <w:rPr>
                <w:noProof/>
                <w:webHidden/>
              </w:rPr>
            </w:r>
            <w:r>
              <w:rPr>
                <w:noProof/>
                <w:webHidden/>
              </w:rPr>
              <w:fldChar w:fldCharType="separate"/>
            </w:r>
            <w:r>
              <w:rPr>
                <w:noProof/>
                <w:webHidden/>
              </w:rPr>
              <w:t>17</w:t>
            </w:r>
            <w:r>
              <w:rPr>
                <w:noProof/>
                <w:webHidden/>
              </w:rPr>
              <w:fldChar w:fldCharType="end"/>
            </w:r>
          </w:hyperlink>
        </w:p>
        <w:p w14:paraId="0B966DE8" w14:textId="47ADF6FB" w:rsidR="008B5583" w:rsidRDefault="008B5583">
          <w:pPr>
            <w:pStyle w:val="TOC2"/>
            <w:tabs>
              <w:tab w:val="right" w:leader="dot" w:pos="9016"/>
            </w:tabs>
            <w:rPr>
              <w:rFonts w:eastAsiaTheme="minorEastAsia"/>
              <w:noProof/>
              <w:lang w:eastAsia="en-GB"/>
            </w:rPr>
          </w:pPr>
          <w:hyperlink w:anchor="_Toc99539790" w:history="1">
            <w:r w:rsidRPr="00BA0C07">
              <w:rPr>
                <w:rStyle w:val="Hyperlink"/>
                <w:noProof/>
              </w:rPr>
              <w:t>What is the problem?</w:t>
            </w:r>
            <w:r>
              <w:rPr>
                <w:noProof/>
                <w:webHidden/>
              </w:rPr>
              <w:tab/>
            </w:r>
            <w:r>
              <w:rPr>
                <w:noProof/>
                <w:webHidden/>
              </w:rPr>
              <w:fldChar w:fldCharType="begin"/>
            </w:r>
            <w:r>
              <w:rPr>
                <w:noProof/>
                <w:webHidden/>
              </w:rPr>
              <w:instrText xml:space="preserve"> PAGEREF _Toc99539790 \h </w:instrText>
            </w:r>
            <w:r>
              <w:rPr>
                <w:noProof/>
                <w:webHidden/>
              </w:rPr>
            </w:r>
            <w:r>
              <w:rPr>
                <w:noProof/>
                <w:webHidden/>
              </w:rPr>
              <w:fldChar w:fldCharType="separate"/>
            </w:r>
            <w:r>
              <w:rPr>
                <w:noProof/>
                <w:webHidden/>
              </w:rPr>
              <w:t>17</w:t>
            </w:r>
            <w:r>
              <w:rPr>
                <w:noProof/>
                <w:webHidden/>
              </w:rPr>
              <w:fldChar w:fldCharType="end"/>
            </w:r>
          </w:hyperlink>
        </w:p>
        <w:p w14:paraId="250316C1" w14:textId="64E88A9D" w:rsidR="008B5583" w:rsidRDefault="008B5583">
          <w:pPr>
            <w:pStyle w:val="TOC2"/>
            <w:tabs>
              <w:tab w:val="right" w:leader="dot" w:pos="9016"/>
            </w:tabs>
            <w:rPr>
              <w:rFonts w:eastAsiaTheme="minorEastAsia"/>
              <w:noProof/>
              <w:lang w:eastAsia="en-GB"/>
            </w:rPr>
          </w:pPr>
          <w:hyperlink w:anchor="_Toc99539791" w:history="1">
            <w:r w:rsidRPr="00BA0C07">
              <w:rPr>
                <w:rStyle w:val="Hyperlink"/>
                <w:noProof/>
              </w:rPr>
              <w:t>What did we do?</w:t>
            </w:r>
            <w:r>
              <w:rPr>
                <w:noProof/>
                <w:webHidden/>
              </w:rPr>
              <w:tab/>
            </w:r>
            <w:r>
              <w:rPr>
                <w:noProof/>
                <w:webHidden/>
              </w:rPr>
              <w:fldChar w:fldCharType="begin"/>
            </w:r>
            <w:r>
              <w:rPr>
                <w:noProof/>
                <w:webHidden/>
              </w:rPr>
              <w:instrText xml:space="preserve"> PAGEREF _Toc99539791 \h </w:instrText>
            </w:r>
            <w:r>
              <w:rPr>
                <w:noProof/>
                <w:webHidden/>
              </w:rPr>
            </w:r>
            <w:r>
              <w:rPr>
                <w:noProof/>
                <w:webHidden/>
              </w:rPr>
              <w:fldChar w:fldCharType="separate"/>
            </w:r>
            <w:r>
              <w:rPr>
                <w:noProof/>
                <w:webHidden/>
              </w:rPr>
              <w:t>17</w:t>
            </w:r>
            <w:r>
              <w:rPr>
                <w:noProof/>
                <w:webHidden/>
              </w:rPr>
              <w:fldChar w:fldCharType="end"/>
            </w:r>
          </w:hyperlink>
        </w:p>
        <w:p w14:paraId="028CA9CE" w14:textId="4AF02C64" w:rsidR="008B5583" w:rsidRDefault="008B5583">
          <w:pPr>
            <w:pStyle w:val="TOC2"/>
            <w:tabs>
              <w:tab w:val="right" w:leader="dot" w:pos="9016"/>
            </w:tabs>
            <w:rPr>
              <w:rFonts w:eastAsiaTheme="minorEastAsia"/>
              <w:noProof/>
              <w:lang w:eastAsia="en-GB"/>
            </w:rPr>
          </w:pPr>
          <w:hyperlink w:anchor="_Toc99539792" w:history="1">
            <w:r w:rsidRPr="00BA0C07">
              <w:rPr>
                <w:rStyle w:val="Hyperlink"/>
                <w:noProof/>
              </w:rPr>
              <w:t>What did we find?</w:t>
            </w:r>
            <w:r>
              <w:rPr>
                <w:noProof/>
                <w:webHidden/>
              </w:rPr>
              <w:tab/>
            </w:r>
            <w:r>
              <w:rPr>
                <w:noProof/>
                <w:webHidden/>
              </w:rPr>
              <w:fldChar w:fldCharType="begin"/>
            </w:r>
            <w:r>
              <w:rPr>
                <w:noProof/>
                <w:webHidden/>
              </w:rPr>
              <w:instrText xml:space="preserve"> PAGEREF _Toc99539792 \h </w:instrText>
            </w:r>
            <w:r>
              <w:rPr>
                <w:noProof/>
                <w:webHidden/>
              </w:rPr>
            </w:r>
            <w:r>
              <w:rPr>
                <w:noProof/>
                <w:webHidden/>
              </w:rPr>
              <w:fldChar w:fldCharType="separate"/>
            </w:r>
            <w:r>
              <w:rPr>
                <w:noProof/>
                <w:webHidden/>
              </w:rPr>
              <w:t>17</w:t>
            </w:r>
            <w:r>
              <w:rPr>
                <w:noProof/>
                <w:webHidden/>
              </w:rPr>
              <w:fldChar w:fldCharType="end"/>
            </w:r>
          </w:hyperlink>
        </w:p>
        <w:p w14:paraId="695B0672" w14:textId="697D4480" w:rsidR="008B5583" w:rsidRDefault="008B5583">
          <w:pPr>
            <w:pStyle w:val="TOC1"/>
            <w:rPr>
              <w:rFonts w:eastAsiaTheme="minorEastAsia"/>
              <w:noProof/>
              <w:lang w:eastAsia="en-GB"/>
            </w:rPr>
          </w:pPr>
          <w:hyperlink w:anchor="_Toc99539793" w:history="1">
            <w:r w:rsidRPr="00BA0C07">
              <w:rPr>
                <w:rStyle w:val="Hyperlink"/>
                <w:noProof/>
              </w:rPr>
              <w:t>Scientific Summary</w:t>
            </w:r>
            <w:r>
              <w:rPr>
                <w:noProof/>
                <w:webHidden/>
              </w:rPr>
              <w:tab/>
            </w:r>
            <w:r>
              <w:rPr>
                <w:noProof/>
                <w:webHidden/>
              </w:rPr>
              <w:fldChar w:fldCharType="begin"/>
            </w:r>
            <w:r>
              <w:rPr>
                <w:noProof/>
                <w:webHidden/>
              </w:rPr>
              <w:instrText xml:space="preserve"> PAGEREF _Toc99539793 \h </w:instrText>
            </w:r>
            <w:r>
              <w:rPr>
                <w:noProof/>
                <w:webHidden/>
              </w:rPr>
            </w:r>
            <w:r>
              <w:rPr>
                <w:noProof/>
                <w:webHidden/>
              </w:rPr>
              <w:fldChar w:fldCharType="separate"/>
            </w:r>
            <w:r>
              <w:rPr>
                <w:noProof/>
                <w:webHidden/>
              </w:rPr>
              <w:t>18</w:t>
            </w:r>
            <w:r>
              <w:rPr>
                <w:noProof/>
                <w:webHidden/>
              </w:rPr>
              <w:fldChar w:fldCharType="end"/>
            </w:r>
          </w:hyperlink>
        </w:p>
        <w:p w14:paraId="64132F9C" w14:textId="14371FEE" w:rsidR="008B5583" w:rsidRDefault="008B5583">
          <w:pPr>
            <w:pStyle w:val="TOC2"/>
            <w:tabs>
              <w:tab w:val="right" w:leader="dot" w:pos="9016"/>
            </w:tabs>
            <w:rPr>
              <w:rFonts w:eastAsiaTheme="minorEastAsia"/>
              <w:noProof/>
              <w:lang w:eastAsia="en-GB"/>
            </w:rPr>
          </w:pPr>
          <w:hyperlink w:anchor="_Toc99539794" w:history="1">
            <w:r w:rsidRPr="00BA0C07">
              <w:rPr>
                <w:rStyle w:val="Hyperlink"/>
                <w:noProof/>
              </w:rPr>
              <w:t>Background</w:t>
            </w:r>
            <w:r>
              <w:rPr>
                <w:noProof/>
                <w:webHidden/>
              </w:rPr>
              <w:tab/>
            </w:r>
            <w:r>
              <w:rPr>
                <w:noProof/>
                <w:webHidden/>
              </w:rPr>
              <w:fldChar w:fldCharType="begin"/>
            </w:r>
            <w:r>
              <w:rPr>
                <w:noProof/>
                <w:webHidden/>
              </w:rPr>
              <w:instrText xml:space="preserve"> PAGEREF _Toc99539794 \h </w:instrText>
            </w:r>
            <w:r>
              <w:rPr>
                <w:noProof/>
                <w:webHidden/>
              </w:rPr>
            </w:r>
            <w:r>
              <w:rPr>
                <w:noProof/>
                <w:webHidden/>
              </w:rPr>
              <w:fldChar w:fldCharType="separate"/>
            </w:r>
            <w:r>
              <w:rPr>
                <w:noProof/>
                <w:webHidden/>
              </w:rPr>
              <w:t>18</w:t>
            </w:r>
            <w:r>
              <w:rPr>
                <w:noProof/>
                <w:webHidden/>
              </w:rPr>
              <w:fldChar w:fldCharType="end"/>
            </w:r>
          </w:hyperlink>
        </w:p>
        <w:p w14:paraId="4F166F9A" w14:textId="1D2405D1" w:rsidR="008B5583" w:rsidRDefault="008B5583">
          <w:pPr>
            <w:pStyle w:val="TOC2"/>
            <w:tabs>
              <w:tab w:val="right" w:leader="dot" w:pos="9016"/>
            </w:tabs>
            <w:rPr>
              <w:rFonts w:eastAsiaTheme="minorEastAsia"/>
              <w:noProof/>
              <w:lang w:eastAsia="en-GB"/>
            </w:rPr>
          </w:pPr>
          <w:hyperlink w:anchor="_Toc99539795" w:history="1">
            <w:r w:rsidRPr="00BA0C07">
              <w:rPr>
                <w:rStyle w:val="Hyperlink"/>
                <w:noProof/>
              </w:rPr>
              <w:t>Objectives</w:t>
            </w:r>
            <w:r>
              <w:rPr>
                <w:noProof/>
                <w:webHidden/>
              </w:rPr>
              <w:tab/>
            </w:r>
            <w:r>
              <w:rPr>
                <w:noProof/>
                <w:webHidden/>
              </w:rPr>
              <w:fldChar w:fldCharType="begin"/>
            </w:r>
            <w:r>
              <w:rPr>
                <w:noProof/>
                <w:webHidden/>
              </w:rPr>
              <w:instrText xml:space="preserve"> PAGEREF _Toc99539795 \h </w:instrText>
            </w:r>
            <w:r>
              <w:rPr>
                <w:noProof/>
                <w:webHidden/>
              </w:rPr>
            </w:r>
            <w:r>
              <w:rPr>
                <w:noProof/>
                <w:webHidden/>
              </w:rPr>
              <w:fldChar w:fldCharType="separate"/>
            </w:r>
            <w:r>
              <w:rPr>
                <w:noProof/>
                <w:webHidden/>
              </w:rPr>
              <w:t>18</w:t>
            </w:r>
            <w:r>
              <w:rPr>
                <w:noProof/>
                <w:webHidden/>
              </w:rPr>
              <w:fldChar w:fldCharType="end"/>
            </w:r>
          </w:hyperlink>
        </w:p>
        <w:p w14:paraId="2AC4516C" w14:textId="3E30C58D" w:rsidR="008B5583" w:rsidRDefault="008B5583">
          <w:pPr>
            <w:pStyle w:val="TOC2"/>
            <w:tabs>
              <w:tab w:val="right" w:leader="dot" w:pos="9016"/>
            </w:tabs>
            <w:rPr>
              <w:rFonts w:eastAsiaTheme="minorEastAsia"/>
              <w:noProof/>
              <w:lang w:eastAsia="en-GB"/>
            </w:rPr>
          </w:pPr>
          <w:hyperlink w:anchor="_Toc99539796" w:history="1">
            <w:r w:rsidRPr="00BA0C07">
              <w:rPr>
                <w:rStyle w:val="Hyperlink"/>
                <w:noProof/>
              </w:rPr>
              <w:t>Methods</w:t>
            </w:r>
            <w:r>
              <w:rPr>
                <w:noProof/>
                <w:webHidden/>
              </w:rPr>
              <w:tab/>
            </w:r>
            <w:r>
              <w:rPr>
                <w:noProof/>
                <w:webHidden/>
              </w:rPr>
              <w:fldChar w:fldCharType="begin"/>
            </w:r>
            <w:r>
              <w:rPr>
                <w:noProof/>
                <w:webHidden/>
              </w:rPr>
              <w:instrText xml:space="preserve"> PAGEREF _Toc99539796 \h </w:instrText>
            </w:r>
            <w:r>
              <w:rPr>
                <w:noProof/>
                <w:webHidden/>
              </w:rPr>
            </w:r>
            <w:r>
              <w:rPr>
                <w:noProof/>
                <w:webHidden/>
              </w:rPr>
              <w:fldChar w:fldCharType="separate"/>
            </w:r>
            <w:r>
              <w:rPr>
                <w:noProof/>
                <w:webHidden/>
              </w:rPr>
              <w:t>18</w:t>
            </w:r>
            <w:r>
              <w:rPr>
                <w:noProof/>
                <w:webHidden/>
              </w:rPr>
              <w:fldChar w:fldCharType="end"/>
            </w:r>
          </w:hyperlink>
        </w:p>
        <w:p w14:paraId="487453FB" w14:textId="2E8371F1" w:rsidR="008B5583" w:rsidRDefault="008B5583">
          <w:pPr>
            <w:pStyle w:val="TOC3"/>
            <w:tabs>
              <w:tab w:val="right" w:leader="dot" w:pos="9016"/>
            </w:tabs>
            <w:rPr>
              <w:rFonts w:eastAsiaTheme="minorEastAsia"/>
              <w:noProof/>
              <w:lang w:eastAsia="en-GB"/>
            </w:rPr>
          </w:pPr>
          <w:hyperlink w:anchor="_Toc99539797" w:history="1">
            <w:r w:rsidRPr="00BA0C07">
              <w:rPr>
                <w:rStyle w:val="Hyperlink"/>
                <w:noProof/>
              </w:rPr>
              <w:t>Accuracy of diagnostic indicators</w:t>
            </w:r>
            <w:r>
              <w:rPr>
                <w:noProof/>
                <w:webHidden/>
              </w:rPr>
              <w:tab/>
            </w:r>
            <w:r>
              <w:rPr>
                <w:noProof/>
                <w:webHidden/>
              </w:rPr>
              <w:fldChar w:fldCharType="begin"/>
            </w:r>
            <w:r>
              <w:rPr>
                <w:noProof/>
                <w:webHidden/>
              </w:rPr>
              <w:instrText xml:space="preserve"> PAGEREF _Toc99539797 \h </w:instrText>
            </w:r>
            <w:r>
              <w:rPr>
                <w:noProof/>
                <w:webHidden/>
              </w:rPr>
            </w:r>
            <w:r>
              <w:rPr>
                <w:noProof/>
                <w:webHidden/>
              </w:rPr>
              <w:fldChar w:fldCharType="separate"/>
            </w:r>
            <w:r>
              <w:rPr>
                <w:noProof/>
                <w:webHidden/>
              </w:rPr>
              <w:t>18</w:t>
            </w:r>
            <w:r>
              <w:rPr>
                <w:noProof/>
                <w:webHidden/>
              </w:rPr>
              <w:fldChar w:fldCharType="end"/>
            </w:r>
          </w:hyperlink>
        </w:p>
        <w:p w14:paraId="31C6A36B" w14:textId="48DEEB91" w:rsidR="008B5583" w:rsidRDefault="008B5583">
          <w:pPr>
            <w:pStyle w:val="TOC3"/>
            <w:tabs>
              <w:tab w:val="right" w:leader="dot" w:pos="9016"/>
            </w:tabs>
            <w:rPr>
              <w:rFonts w:eastAsiaTheme="minorEastAsia"/>
              <w:noProof/>
              <w:lang w:eastAsia="en-GB"/>
            </w:rPr>
          </w:pPr>
          <w:hyperlink w:anchor="_Toc99539798" w:history="1">
            <w:r w:rsidRPr="00BA0C07">
              <w:rPr>
                <w:rStyle w:val="Hyperlink"/>
                <w:noProof/>
              </w:rPr>
              <w:t>Prediction model development</w:t>
            </w:r>
            <w:r>
              <w:rPr>
                <w:noProof/>
                <w:webHidden/>
              </w:rPr>
              <w:tab/>
            </w:r>
            <w:r>
              <w:rPr>
                <w:noProof/>
                <w:webHidden/>
              </w:rPr>
              <w:fldChar w:fldCharType="begin"/>
            </w:r>
            <w:r>
              <w:rPr>
                <w:noProof/>
                <w:webHidden/>
              </w:rPr>
              <w:instrText xml:space="preserve"> PAGEREF _Toc99539798 \h </w:instrText>
            </w:r>
            <w:r>
              <w:rPr>
                <w:noProof/>
                <w:webHidden/>
              </w:rPr>
            </w:r>
            <w:r>
              <w:rPr>
                <w:noProof/>
                <w:webHidden/>
              </w:rPr>
              <w:fldChar w:fldCharType="separate"/>
            </w:r>
            <w:r>
              <w:rPr>
                <w:noProof/>
                <w:webHidden/>
              </w:rPr>
              <w:t>18</w:t>
            </w:r>
            <w:r>
              <w:rPr>
                <w:noProof/>
                <w:webHidden/>
              </w:rPr>
              <w:fldChar w:fldCharType="end"/>
            </w:r>
          </w:hyperlink>
        </w:p>
        <w:p w14:paraId="2C78148B" w14:textId="7D7E1E08" w:rsidR="008B5583" w:rsidRDefault="008B5583">
          <w:pPr>
            <w:pStyle w:val="TOC3"/>
            <w:tabs>
              <w:tab w:val="right" w:leader="dot" w:pos="9016"/>
            </w:tabs>
            <w:rPr>
              <w:rFonts w:eastAsiaTheme="minorEastAsia"/>
              <w:noProof/>
              <w:lang w:eastAsia="en-GB"/>
            </w:rPr>
          </w:pPr>
          <w:hyperlink w:anchor="_Toc99539799" w:history="1">
            <w:r w:rsidRPr="00BA0C07">
              <w:rPr>
                <w:rStyle w:val="Hyperlink"/>
                <w:noProof/>
              </w:rPr>
              <w:t>Accuracy of serological tests</w:t>
            </w:r>
            <w:r>
              <w:rPr>
                <w:noProof/>
                <w:webHidden/>
              </w:rPr>
              <w:tab/>
            </w:r>
            <w:r>
              <w:rPr>
                <w:noProof/>
                <w:webHidden/>
              </w:rPr>
              <w:fldChar w:fldCharType="begin"/>
            </w:r>
            <w:r>
              <w:rPr>
                <w:noProof/>
                <w:webHidden/>
              </w:rPr>
              <w:instrText xml:space="preserve"> PAGEREF _Toc99539799 \h </w:instrText>
            </w:r>
            <w:r>
              <w:rPr>
                <w:noProof/>
                <w:webHidden/>
              </w:rPr>
            </w:r>
            <w:r>
              <w:rPr>
                <w:noProof/>
                <w:webHidden/>
              </w:rPr>
              <w:fldChar w:fldCharType="separate"/>
            </w:r>
            <w:r>
              <w:rPr>
                <w:noProof/>
                <w:webHidden/>
              </w:rPr>
              <w:t>19</w:t>
            </w:r>
            <w:r>
              <w:rPr>
                <w:noProof/>
                <w:webHidden/>
              </w:rPr>
              <w:fldChar w:fldCharType="end"/>
            </w:r>
          </w:hyperlink>
        </w:p>
        <w:p w14:paraId="15B8D5B7" w14:textId="6E06CB76" w:rsidR="008B5583" w:rsidRDefault="008B5583">
          <w:pPr>
            <w:pStyle w:val="TOC3"/>
            <w:tabs>
              <w:tab w:val="right" w:leader="dot" w:pos="9016"/>
            </w:tabs>
            <w:rPr>
              <w:rFonts w:eastAsiaTheme="minorEastAsia"/>
              <w:noProof/>
              <w:lang w:eastAsia="en-GB"/>
            </w:rPr>
          </w:pPr>
          <w:hyperlink w:anchor="_Toc99539800" w:history="1">
            <w:r w:rsidRPr="00BA0C07">
              <w:rPr>
                <w:rStyle w:val="Hyperlink"/>
                <w:noProof/>
              </w:rPr>
              <w:t>Accuracy of genetic tests</w:t>
            </w:r>
            <w:r>
              <w:rPr>
                <w:noProof/>
                <w:webHidden/>
              </w:rPr>
              <w:tab/>
            </w:r>
            <w:r>
              <w:rPr>
                <w:noProof/>
                <w:webHidden/>
              </w:rPr>
              <w:fldChar w:fldCharType="begin"/>
            </w:r>
            <w:r>
              <w:rPr>
                <w:noProof/>
                <w:webHidden/>
              </w:rPr>
              <w:instrText xml:space="preserve"> PAGEREF _Toc99539800 \h </w:instrText>
            </w:r>
            <w:r>
              <w:rPr>
                <w:noProof/>
                <w:webHidden/>
              </w:rPr>
            </w:r>
            <w:r>
              <w:rPr>
                <w:noProof/>
                <w:webHidden/>
              </w:rPr>
              <w:fldChar w:fldCharType="separate"/>
            </w:r>
            <w:r>
              <w:rPr>
                <w:noProof/>
                <w:webHidden/>
              </w:rPr>
              <w:t>19</w:t>
            </w:r>
            <w:r>
              <w:rPr>
                <w:noProof/>
                <w:webHidden/>
              </w:rPr>
              <w:fldChar w:fldCharType="end"/>
            </w:r>
          </w:hyperlink>
        </w:p>
        <w:p w14:paraId="6EEB9050" w14:textId="4AB0224C" w:rsidR="008B5583" w:rsidRDefault="008B5583">
          <w:pPr>
            <w:pStyle w:val="TOC3"/>
            <w:tabs>
              <w:tab w:val="right" w:leader="dot" w:pos="9016"/>
            </w:tabs>
            <w:rPr>
              <w:rFonts w:eastAsiaTheme="minorEastAsia"/>
              <w:noProof/>
              <w:lang w:eastAsia="en-GB"/>
            </w:rPr>
          </w:pPr>
          <w:hyperlink w:anchor="_Toc99539801" w:history="1">
            <w:r w:rsidRPr="00BA0C07">
              <w:rPr>
                <w:rStyle w:val="Hyperlink"/>
                <w:noProof/>
              </w:rPr>
              <w:t>Online survey</w:t>
            </w:r>
            <w:r>
              <w:rPr>
                <w:noProof/>
                <w:webHidden/>
              </w:rPr>
              <w:tab/>
            </w:r>
            <w:r>
              <w:rPr>
                <w:noProof/>
                <w:webHidden/>
              </w:rPr>
              <w:fldChar w:fldCharType="begin"/>
            </w:r>
            <w:r>
              <w:rPr>
                <w:noProof/>
                <w:webHidden/>
              </w:rPr>
              <w:instrText xml:space="preserve"> PAGEREF _Toc99539801 \h </w:instrText>
            </w:r>
            <w:r>
              <w:rPr>
                <w:noProof/>
                <w:webHidden/>
              </w:rPr>
            </w:r>
            <w:r>
              <w:rPr>
                <w:noProof/>
                <w:webHidden/>
              </w:rPr>
              <w:fldChar w:fldCharType="separate"/>
            </w:r>
            <w:r>
              <w:rPr>
                <w:noProof/>
                <w:webHidden/>
              </w:rPr>
              <w:t>19</w:t>
            </w:r>
            <w:r>
              <w:rPr>
                <w:noProof/>
                <w:webHidden/>
              </w:rPr>
              <w:fldChar w:fldCharType="end"/>
            </w:r>
          </w:hyperlink>
        </w:p>
        <w:p w14:paraId="5E0C4E2A" w14:textId="47625E5D" w:rsidR="008B5583" w:rsidRDefault="008B5583">
          <w:pPr>
            <w:pStyle w:val="TOC3"/>
            <w:tabs>
              <w:tab w:val="right" w:leader="dot" w:pos="9016"/>
            </w:tabs>
            <w:rPr>
              <w:rFonts w:eastAsiaTheme="minorEastAsia"/>
              <w:noProof/>
              <w:lang w:eastAsia="en-GB"/>
            </w:rPr>
          </w:pPr>
          <w:hyperlink w:anchor="_Toc99539802" w:history="1">
            <w:r w:rsidRPr="00BA0C07">
              <w:rPr>
                <w:rStyle w:val="Hyperlink"/>
                <w:noProof/>
              </w:rPr>
              <w:t>Economic modelling</w:t>
            </w:r>
            <w:r>
              <w:rPr>
                <w:noProof/>
                <w:webHidden/>
              </w:rPr>
              <w:tab/>
            </w:r>
            <w:r>
              <w:rPr>
                <w:noProof/>
                <w:webHidden/>
              </w:rPr>
              <w:fldChar w:fldCharType="begin"/>
            </w:r>
            <w:r>
              <w:rPr>
                <w:noProof/>
                <w:webHidden/>
              </w:rPr>
              <w:instrText xml:space="preserve"> PAGEREF _Toc99539802 \h </w:instrText>
            </w:r>
            <w:r>
              <w:rPr>
                <w:noProof/>
                <w:webHidden/>
              </w:rPr>
            </w:r>
            <w:r>
              <w:rPr>
                <w:noProof/>
                <w:webHidden/>
              </w:rPr>
              <w:fldChar w:fldCharType="separate"/>
            </w:r>
            <w:r>
              <w:rPr>
                <w:noProof/>
                <w:webHidden/>
              </w:rPr>
              <w:t>19</w:t>
            </w:r>
            <w:r>
              <w:rPr>
                <w:noProof/>
                <w:webHidden/>
              </w:rPr>
              <w:fldChar w:fldCharType="end"/>
            </w:r>
          </w:hyperlink>
        </w:p>
        <w:p w14:paraId="191F79E7" w14:textId="07C3BE01" w:rsidR="008B5583" w:rsidRDefault="008B5583">
          <w:pPr>
            <w:pStyle w:val="TOC2"/>
            <w:tabs>
              <w:tab w:val="right" w:leader="dot" w:pos="9016"/>
            </w:tabs>
            <w:rPr>
              <w:rFonts w:eastAsiaTheme="minorEastAsia"/>
              <w:noProof/>
              <w:lang w:eastAsia="en-GB"/>
            </w:rPr>
          </w:pPr>
          <w:hyperlink w:anchor="_Toc99539803" w:history="1">
            <w:r w:rsidRPr="00BA0C07">
              <w:rPr>
                <w:rStyle w:val="Hyperlink"/>
                <w:noProof/>
              </w:rPr>
              <w:t>Results</w:t>
            </w:r>
            <w:r>
              <w:rPr>
                <w:noProof/>
                <w:webHidden/>
              </w:rPr>
              <w:tab/>
            </w:r>
            <w:r>
              <w:rPr>
                <w:noProof/>
                <w:webHidden/>
              </w:rPr>
              <w:fldChar w:fldCharType="begin"/>
            </w:r>
            <w:r>
              <w:rPr>
                <w:noProof/>
                <w:webHidden/>
              </w:rPr>
              <w:instrText xml:space="preserve"> PAGEREF _Toc99539803 \h </w:instrText>
            </w:r>
            <w:r>
              <w:rPr>
                <w:noProof/>
                <w:webHidden/>
              </w:rPr>
            </w:r>
            <w:r>
              <w:rPr>
                <w:noProof/>
                <w:webHidden/>
              </w:rPr>
              <w:fldChar w:fldCharType="separate"/>
            </w:r>
            <w:r>
              <w:rPr>
                <w:noProof/>
                <w:webHidden/>
              </w:rPr>
              <w:t>19</w:t>
            </w:r>
            <w:r>
              <w:rPr>
                <w:noProof/>
                <w:webHidden/>
              </w:rPr>
              <w:fldChar w:fldCharType="end"/>
            </w:r>
          </w:hyperlink>
        </w:p>
        <w:p w14:paraId="679441D2" w14:textId="7170A80A" w:rsidR="008B5583" w:rsidRDefault="008B5583">
          <w:pPr>
            <w:pStyle w:val="TOC3"/>
            <w:tabs>
              <w:tab w:val="right" w:leader="dot" w:pos="9016"/>
            </w:tabs>
            <w:rPr>
              <w:rFonts w:eastAsiaTheme="minorEastAsia"/>
              <w:noProof/>
              <w:lang w:eastAsia="en-GB"/>
            </w:rPr>
          </w:pPr>
          <w:hyperlink w:anchor="_Toc99539804" w:history="1">
            <w:r w:rsidRPr="00BA0C07">
              <w:rPr>
                <w:rStyle w:val="Hyperlink"/>
                <w:noProof/>
              </w:rPr>
              <w:t>Accuracy of diagnostic indicators</w:t>
            </w:r>
            <w:r>
              <w:rPr>
                <w:noProof/>
                <w:webHidden/>
              </w:rPr>
              <w:tab/>
            </w:r>
            <w:r>
              <w:rPr>
                <w:noProof/>
                <w:webHidden/>
              </w:rPr>
              <w:fldChar w:fldCharType="begin"/>
            </w:r>
            <w:r>
              <w:rPr>
                <w:noProof/>
                <w:webHidden/>
              </w:rPr>
              <w:instrText xml:space="preserve"> PAGEREF _Toc99539804 \h </w:instrText>
            </w:r>
            <w:r>
              <w:rPr>
                <w:noProof/>
                <w:webHidden/>
              </w:rPr>
            </w:r>
            <w:r>
              <w:rPr>
                <w:noProof/>
                <w:webHidden/>
              </w:rPr>
              <w:fldChar w:fldCharType="separate"/>
            </w:r>
            <w:r>
              <w:rPr>
                <w:noProof/>
                <w:webHidden/>
              </w:rPr>
              <w:t>19</w:t>
            </w:r>
            <w:r>
              <w:rPr>
                <w:noProof/>
                <w:webHidden/>
              </w:rPr>
              <w:fldChar w:fldCharType="end"/>
            </w:r>
          </w:hyperlink>
        </w:p>
        <w:p w14:paraId="3DAE0A41" w14:textId="317A8681" w:rsidR="008B5583" w:rsidRDefault="008B5583">
          <w:pPr>
            <w:pStyle w:val="TOC3"/>
            <w:tabs>
              <w:tab w:val="right" w:leader="dot" w:pos="9016"/>
            </w:tabs>
            <w:rPr>
              <w:rFonts w:eastAsiaTheme="minorEastAsia"/>
              <w:noProof/>
              <w:lang w:eastAsia="en-GB"/>
            </w:rPr>
          </w:pPr>
          <w:hyperlink w:anchor="_Toc99539805" w:history="1">
            <w:r w:rsidRPr="00BA0C07">
              <w:rPr>
                <w:rStyle w:val="Hyperlink"/>
                <w:noProof/>
              </w:rPr>
              <w:t>Prediction model development</w:t>
            </w:r>
            <w:r>
              <w:rPr>
                <w:noProof/>
                <w:webHidden/>
              </w:rPr>
              <w:tab/>
            </w:r>
            <w:r>
              <w:rPr>
                <w:noProof/>
                <w:webHidden/>
              </w:rPr>
              <w:fldChar w:fldCharType="begin"/>
            </w:r>
            <w:r>
              <w:rPr>
                <w:noProof/>
                <w:webHidden/>
              </w:rPr>
              <w:instrText xml:space="preserve"> PAGEREF _Toc99539805 \h </w:instrText>
            </w:r>
            <w:r>
              <w:rPr>
                <w:noProof/>
                <w:webHidden/>
              </w:rPr>
            </w:r>
            <w:r>
              <w:rPr>
                <w:noProof/>
                <w:webHidden/>
              </w:rPr>
              <w:fldChar w:fldCharType="separate"/>
            </w:r>
            <w:r>
              <w:rPr>
                <w:noProof/>
                <w:webHidden/>
              </w:rPr>
              <w:t>19</w:t>
            </w:r>
            <w:r>
              <w:rPr>
                <w:noProof/>
                <w:webHidden/>
              </w:rPr>
              <w:fldChar w:fldCharType="end"/>
            </w:r>
          </w:hyperlink>
        </w:p>
        <w:p w14:paraId="58CC27D8" w14:textId="4C2DAAA7" w:rsidR="008B5583" w:rsidRDefault="008B5583">
          <w:pPr>
            <w:pStyle w:val="TOC3"/>
            <w:tabs>
              <w:tab w:val="right" w:leader="dot" w:pos="9016"/>
            </w:tabs>
            <w:rPr>
              <w:rFonts w:eastAsiaTheme="minorEastAsia"/>
              <w:noProof/>
              <w:lang w:eastAsia="en-GB"/>
            </w:rPr>
          </w:pPr>
          <w:hyperlink w:anchor="_Toc99539806" w:history="1">
            <w:r w:rsidRPr="00BA0C07">
              <w:rPr>
                <w:rStyle w:val="Hyperlink"/>
                <w:noProof/>
              </w:rPr>
              <w:t>Accuracy of serological tests</w:t>
            </w:r>
            <w:r>
              <w:rPr>
                <w:noProof/>
                <w:webHidden/>
              </w:rPr>
              <w:tab/>
            </w:r>
            <w:r>
              <w:rPr>
                <w:noProof/>
                <w:webHidden/>
              </w:rPr>
              <w:fldChar w:fldCharType="begin"/>
            </w:r>
            <w:r>
              <w:rPr>
                <w:noProof/>
                <w:webHidden/>
              </w:rPr>
              <w:instrText xml:space="preserve"> PAGEREF _Toc99539806 \h </w:instrText>
            </w:r>
            <w:r>
              <w:rPr>
                <w:noProof/>
                <w:webHidden/>
              </w:rPr>
            </w:r>
            <w:r>
              <w:rPr>
                <w:noProof/>
                <w:webHidden/>
              </w:rPr>
              <w:fldChar w:fldCharType="separate"/>
            </w:r>
            <w:r>
              <w:rPr>
                <w:noProof/>
                <w:webHidden/>
              </w:rPr>
              <w:t>20</w:t>
            </w:r>
            <w:r>
              <w:rPr>
                <w:noProof/>
                <w:webHidden/>
              </w:rPr>
              <w:fldChar w:fldCharType="end"/>
            </w:r>
          </w:hyperlink>
        </w:p>
        <w:p w14:paraId="2B216735" w14:textId="4C9CCBCB" w:rsidR="008B5583" w:rsidRDefault="008B5583">
          <w:pPr>
            <w:pStyle w:val="TOC3"/>
            <w:tabs>
              <w:tab w:val="right" w:leader="dot" w:pos="9016"/>
            </w:tabs>
            <w:rPr>
              <w:rFonts w:eastAsiaTheme="minorEastAsia"/>
              <w:noProof/>
              <w:lang w:eastAsia="en-GB"/>
            </w:rPr>
          </w:pPr>
          <w:hyperlink w:anchor="_Toc99539807" w:history="1">
            <w:r w:rsidRPr="00BA0C07">
              <w:rPr>
                <w:rStyle w:val="Hyperlink"/>
                <w:noProof/>
              </w:rPr>
              <w:t>Accuracy of genetic tests</w:t>
            </w:r>
            <w:r>
              <w:rPr>
                <w:noProof/>
                <w:webHidden/>
              </w:rPr>
              <w:tab/>
            </w:r>
            <w:r>
              <w:rPr>
                <w:noProof/>
                <w:webHidden/>
              </w:rPr>
              <w:fldChar w:fldCharType="begin"/>
            </w:r>
            <w:r>
              <w:rPr>
                <w:noProof/>
                <w:webHidden/>
              </w:rPr>
              <w:instrText xml:space="preserve"> PAGEREF _Toc99539807 \h </w:instrText>
            </w:r>
            <w:r>
              <w:rPr>
                <w:noProof/>
                <w:webHidden/>
              </w:rPr>
            </w:r>
            <w:r>
              <w:rPr>
                <w:noProof/>
                <w:webHidden/>
              </w:rPr>
              <w:fldChar w:fldCharType="separate"/>
            </w:r>
            <w:r>
              <w:rPr>
                <w:noProof/>
                <w:webHidden/>
              </w:rPr>
              <w:t>20</w:t>
            </w:r>
            <w:r>
              <w:rPr>
                <w:noProof/>
                <w:webHidden/>
              </w:rPr>
              <w:fldChar w:fldCharType="end"/>
            </w:r>
          </w:hyperlink>
        </w:p>
        <w:p w14:paraId="3B8118A6" w14:textId="4DF42A95" w:rsidR="008B5583" w:rsidRDefault="008B5583">
          <w:pPr>
            <w:pStyle w:val="TOC3"/>
            <w:tabs>
              <w:tab w:val="right" w:leader="dot" w:pos="9016"/>
            </w:tabs>
            <w:rPr>
              <w:rFonts w:eastAsiaTheme="minorEastAsia"/>
              <w:noProof/>
              <w:lang w:eastAsia="en-GB"/>
            </w:rPr>
          </w:pPr>
          <w:hyperlink w:anchor="_Toc99539808" w:history="1">
            <w:r w:rsidRPr="00BA0C07">
              <w:rPr>
                <w:rStyle w:val="Hyperlink"/>
                <w:noProof/>
              </w:rPr>
              <w:t>Online survey</w:t>
            </w:r>
            <w:r>
              <w:rPr>
                <w:noProof/>
                <w:webHidden/>
              </w:rPr>
              <w:tab/>
            </w:r>
            <w:r>
              <w:rPr>
                <w:noProof/>
                <w:webHidden/>
              </w:rPr>
              <w:fldChar w:fldCharType="begin"/>
            </w:r>
            <w:r>
              <w:rPr>
                <w:noProof/>
                <w:webHidden/>
              </w:rPr>
              <w:instrText xml:space="preserve"> PAGEREF _Toc99539808 \h </w:instrText>
            </w:r>
            <w:r>
              <w:rPr>
                <w:noProof/>
                <w:webHidden/>
              </w:rPr>
            </w:r>
            <w:r>
              <w:rPr>
                <w:noProof/>
                <w:webHidden/>
              </w:rPr>
              <w:fldChar w:fldCharType="separate"/>
            </w:r>
            <w:r>
              <w:rPr>
                <w:noProof/>
                <w:webHidden/>
              </w:rPr>
              <w:t>20</w:t>
            </w:r>
            <w:r>
              <w:rPr>
                <w:noProof/>
                <w:webHidden/>
              </w:rPr>
              <w:fldChar w:fldCharType="end"/>
            </w:r>
          </w:hyperlink>
        </w:p>
        <w:p w14:paraId="629B5B37" w14:textId="72EF4FA1" w:rsidR="008B5583" w:rsidRDefault="008B5583">
          <w:pPr>
            <w:pStyle w:val="TOC3"/>
            <w:tabs>
              <w:tab w:val="right" w:leader="dot" w:pos="9016"/>
            </w:tabs>
            <w:rPr>
              <w:rFonts w:eastAsiaTheme="minorEastAsia"/>
              <w:noProof/>
              <w:lang w:eastAsia="en-GB"/>
            </w:rPr>
          </w:pPr>
          <w:hyperlink w:anchor="_Toc99539809" w:history="1">
            <w:r w:rsidRPr="00BA0C07">
              <w:rPr>
                <w:rStyle w:val="Hyperlink"/>
                <w:noProof/>
              </w:rPr>
              <w:t>Economic modelling</w:t>
            </w:r>
            <w:r>
              <w:rPr>
                <w:noProof/>
                <w:webHidden/>
              </w:rPr>
              <w:tab/>
            </w:r>
            <w:r>
              <w:rPr>
                <w:noProof/>
                <w:webHidden/>
              </w:rPr>
              <w:fldChar w:fldCharType="begin"/>
            </w:r>
            <w:r>
              <w:rPr>
                <w:noProof/>
                <w:webHidden/>
              </w:rPr>
              <w:instrText xml:space="preserve"> PAGEREF _Toc99539809 \h </w:instrText>
            </w:r>
            <w:r>
              <w:rPr>
                <w:noProof/>
                <w:webHidden/>
              </w:rPr>
            </w:r>
            <w:r>
              <w:rPr>
                <w:noProof/>
                <w:webHidden/>
              </w:rPr>
              <w:fldChar w:fldCharType="separate"/>
            </w:r>
            <w:r>
              <w:rPr>
                <w:noProof/>
                <w:webHidden/>
              </w:rPr>
              <w:t>20</w:t>
            </w:r>
            <w:r>
              <w:rPr>
                <w:noProof/>
                <w:webHidden/>
              </w:rPr>
              <w:fldChar w:fldCharType="end"/>
            </w:r>
          </w:hyperlink>
        </w:p>
        <w:p w14:paraId="7D072EAF" w14:textId="7311D1C9" w:rsidR="008B5583" w:rsidRDefault="008B5583">
          <w:pPr>
            <w:pStyle w:val="TOC2"/>
            <w:tabs>
              <w:tab w:val="right" w:leader="dot" w:pos="9016"/>
            </w:tabs>
            <w:rPr>
              <w:rFonts w:eastAsiaTheme="minorEastAsia"/>
              <w:noProof/>
              <w:lang w:eastAsia="en-GB"/>
            </w:rPr>
          </w:pPr>
          <w:hyperlink w:anchor="_Toc99539810" w:history="1">
            <w:r w:rsidRPr="00BA0C07">
              <w:rPr>
                <w:rStyle w:val="Hyperlink"/>
                <w:noProof/>
              </w:rPr>
              <w:t>Conclusions</w:t>
            </w:r>
            <w:r>
              <w:rPr>
                <w:noProof/>
                <w:webHidden/>
              </w:rPr>
              <w:tab/>
            </w:r>
            <w:r>
              <w:rPr>
                <w:noProof/>
                <w:webHidden/>
              </w:rPr>
              <w:fldChar w:fldCharType="begin"/>
            </w:r>
            <w:r>
              <w:rPr>
                <w:noProof/>
                <w:webHidden/>
              </w:rPr>
              <w:instrText xml:space="preserve"> PAGEREF _Toc99539810 \h </w:instrText>
            </w:r>
            <w:r>
              <w:rPr>
                <w:noProof/>
                <w:webHidden/>
              </w:rPr>
            </w:r>
            <w:r>
              <w:rPr>
                <w:noProof/>
                <w:webHidden/>
              </w:rPr>
              <w:fldChar w:fldCharType="separate"/>
            </w:r>
            <w:r>
              <w:rPr>
                <w:noProof/>
                <w:webHidden/>
              </w:rPr>
              <w:t>21</w:t>
            </w:r>
            <w:r>
              <w:rPr>
                <w:noProof/>
                <w:webHidden/>
              </w:rPr>
              <w:fldChar w:fldCharType="end"/>
            </w:r>
          </w:hyperlink>
        </w:p>
        <w:p w14:paraId="1796EA62" w14:textId="28DDE1AD" w:rsidR="008B5583" w:rsidRDefault="008B5583">
          <w:pPr>
            <w:pStyle w:val="TOC3"/>
            <w:tabs>
              <w:tab w:val="right" w:leader="dot" w:pos="9016"/>
            </w:tabs>
            <w:rPr>
              <w:rFonts w:eastAsiaTheme="minorEastAsia"/>
              <w:noProof/>
              <w:lang w:eastAsia="en-GB"/>
            </w:rPr>
          </w:pPr>
          <w:hyperlink w:anchor="_Toc99539811" w:history="1">
            <w:r w:rsidRPr="00BA0C07">
              <w:rPr>
                <w:rStyle w:val="Hyperlink"/>
                <w:noProof/>
              </w:rPr>
              <w:t>Implications for practice</w:t>
            </w:r>
            <w:r>
              <w:rPr>
                <w:noProof/>
                <w:webHidden/>
              </w:rPr>
              <w:tab/>
            </w:r>
            <w:r>
              <w:rPr>
                <w:noProof/>
                <w:webHidden/>
              </w:rPr>
              <w:fldChar w:fldCharType="begin"/>
            </w:r>
            <w:r>
              <w:rPr>
                <w:noProof/>
                <w:webHidden/>
              </w:rPr>
              <w:instrText xml:space="preserve"> PAGEREF _Toc99539811 \h </w:instrText>
            </w:r>
            <w:r>
              <w:rPr>
                <w:noProof/>
                <w:webHidden/>
              </w:rPr>
            </w:r>
            <w:r>
              <w:rPr>
                <w:noProof/>
                <w:webHidden/>
              </w:rPr>
              <w:fldChar w:fldCharType="separate"/>
            </w:r>
            <w:r>
              <w:rPr>
                <w:noProof/>
                <w:webHidden/>
              </w:rPr>
              <w:t>21</w:t>
            </w:r>
            <w:r>
              <w:rPr>
                <w:noProof/>
                <w:webHidden/>
              </w:rPr>
              <w:fldChar w:fldCharType="end"/>
            </w:r>
          </w:hyperlink>
        </w:p>
        <w:p w14:paraId="13AA805B" w14:textId="31A2F73C" w:rsidR="008B5583" w:rsidRDefault="008B5583">
          <w:pPr>
            <w:pStyle w:val="TOC2"/>
            <w:tabs>
              <w:tab w:val="right" w:leader="dot" w:pos="9016"/>
            </w:tabs>
            <w:rPr>
              <w:rFonts w:eastAsiaTheme="minorEastAsia"/>
              <w:noProof/>
              <w:lang w:eastAsia="en-GB"/>
            </w:rPr>
          </w:pPr>
          <w:hyperlink w:anchor="_Toc99539812" w:history="1">
            <w:r w:rsidRPr="00BA0C07">
              <w:rPr>
                <w:rStyle w:val="Hyperlink"/>
                <w:noProof/>
              </w:rPr>
              <w:t>Suggested research priorities</w:t>
            </w:r>
            <w:r>
              <w:rPr>
                <w:noProof/>
                <w:webHidden/>
              </w:rPr>
              <w:tab/>
            </w:r>
            <w:r>
              <w:rPr>
                <w:noProof/>
                <w:webHidden/>
              </w:rPr>
              <w:fldChar w:fldCharType="begin"/>
            </w:r>
            <w:r>
              <w:rPr>
                <w:noProof/>
                <w:webHidden/>
              </w:rPr>
              <w:instrText xml:space="preserve"> PAGEREF _Toc99539812 \h </w:instrText>
            </w:r>
            <w:r>
              <w:rPr>
                <w:noProof/>
                <w:webHidden/>
              </w:rPr>
            </w:r>
            <w:r>
              <w:rPr>
                <w:noProof/>
                <w:webHidden/>
              </w:rPr>
              <w:fldChar w:fldCharType="separate"/>
            </w:r>
            <w:r>
              <w:rPr>
                <w:noProof/>
                <w:webHidden/>
              </w:rPr>
              <w:t>22</w:t>
            </w:r>
            <w:r>
              <w:rPr>
                <w:noProof/>
                <w:webHidden/>
              </w:rPr>
              <w:fldChar w:fldCharType="end"/>
            </w:r>
          </w:hyperlink>
        </w:p>
        <w:p w14:paraId="0F0AD2DE" w14:textId="2C61EC5B" w:rsidR="008B5583" w:rsidRDefault="008B5583">
          <w:pPr>
            <w:pStyle w:val="TOC2"/>
            <w:tabs>
              <w:tab w:val="right" w:leader="dot" w:pos="9016"/>
            </w:tabs>
            <w:rPr>
              <w:rFonts w:eastAsiaTheme="minorEastAsia"/>
              <w:noProof/>
              <w:lang w:eastAsia="en-GB"/>
            </w:rPr>
          </w:pPr>
          <w:hyperlink w:anchor="_Toc99539813" w:history="1">
            <w:r w:rsidRPr="00BA0C07">
              <w:rPr>
                <w:rStyle w:val="Hyperlink"/>
                <w:noProof/>
              </w:rPr>
              <w:t>Study registration</w:t>
            </w:r>
            <w:r>
              <w:rPr>
                <w:noProof/>
                <w:webHidden/>
              </w:rPr>
              <w:tab/>
            </w:r>
            <w:r>
              <w:rPr>
                <w:noProof/>
                <w:webHidden/>
              </w:rPr>
              <w:fldChar w:fldCharType="begin"/>
            </w:r>
            <w:r>
              <w:rPr>
                <w:noProof/>
                <w:webHidden/>
              </w:rPr>
              <w:instrText xml:space="preserve"> PAGEREF _Toc99539813 \h </w:instrText>
            </w:r>
            <w:r>
              <w:rPr>
                <w:noProof/>
                <w:webHidden/>
              </w:rPr>
            </w:r>
            <w:r>
              <w:rPr>
                <w:noProof/>
                <w:webHidden/>
              </w:rPr>
              <w:fldChar w:fldCharType="separate"/>
            </w:r>
            <w:r>
              <w:rPr>
                <w:noProof/>
                <w:webHidden/>
              </w:rPr>
              <w:t>22</w:t>
            </w:r>
            <w:r>
              <w:rPr>
                <w:noProof/>
                <w:webHidden/>
              </w:rPr>
              <w:fldChar w:fldCharType="end"/>
            </w:r>
          </w:hyperlink>
        </w:p>
        <w:p w14:paraId="2D483DC8" w14:textId="3124B22C" w:rsidR="008B5583" w:rsidRDefault="008B5583">
          <w:pPr>
            <w:pStyle w:val="TOC2"/>
            <w:tabs>
              <w:tab w:val="right" w:leader="dot" w:pos="9016"/>
            </w:tabs>
            <w:rPr>
              <w:rFonts w:eastAsiaTheme="minorEastAsia"/>
              <w:noProof/>
              <w:lang w:eastAsia="en-GB"/>
            </w:rPr>
          </w:pPr>
          <w:hyperlink w:anchor="_Toc99539814" w:history="1">
            <w:r w:rsidRPr="00BA0C07">
              <w:rPr>
                <w:rStyle w:val="Hyperlink"/>
                <w:noProof/>
              </w:rPr>
              <w:t>Funding</w:t>
            </w:r>
            <w:r>
              <w:rPr>
                <w:noProof/>
                <w:webHidden/>
              </w:rPr>
              <w:tab/>
            </w:r>
            <w:r>
              <w:rPr>
                <w:noProof/>
                <w:webHidden/>
              </w:rPr>
              <w:fldChar w:fldCharType="begin"/>
            </w:r>
            <w:r>
              <w:rPr>
                <w:noProof/>
                <w:webHidden/>
              </w:rPr>
              <w:instrText xml:space="preserve"> PAGEREF _Toc99539814 \h </w:instrText>
            </w:r>
            <w:r>
              <w:rPr>
                <w:noProof/>
                <w:webHidden/>
              </w:rPr>
            </w:r>
            <w:r>
              <w:rPr>
                <w:noProof/>
                <w:webHidden/>
              </w:rPr>
              <w:fldChar w:fldCharType="separate"/>
            </w:r>
            <w:r>
              <w:rPr>
                <w:noProof/>
                <w:webHidden/>
              </w:rPr>
              <w:t>22</w:t>
            </w:r>
            <w:r>
              <w:rPr>
                <w:noProof/>
                <w:webHidden/>
              </w:rPr>
              <w:fldChar w:fldCharType="end"/>
            </w:r>
          </w:hyperlink>
        </w:p>
        <w:p w14:paraId="4776DECC" w14:textId="3BABD6C5" w:rsidR="008B5583" w:rsidRDefault="008B5583">
          <w:pPr>
            <w:pStyle w:val="TOC1"/>
            <w:rPr>
              <w:rFonts w:eastAsiaTheme="minorEastAsia"/>
              <w:noProof/>
              <w:lang w:eastAsia="en-GB"/>
            </w:rPr>
          </w:pPr>
          <w:hyperlink w:anchor="_Toc99539815" w:history="1">
            <w:r w:rsidRPr="00BA0C07">
              <w:rPr>
                <w:rStyle w:val="Hyperlink"/>
                <w:noProof/>
              </w:rPr>
              <w:t>Chapter 1: Objectives</w:t>
            </w:r>
            <w:r>
              <w:rPr>
                <w:noProof/>
                <w:webHidden/>
              </w:rPr>
              <w:tab/>
            </w:r>
            <w:r>
              <w:rPr>
                <w:noProof/>
                <w:webHidden/>
              </w:rPr>
              <w:fldChar w:fldCharType="begin"/>
            </w:r>
            <w:r>
              <w:rPr>
                <w:noProof/>
                <w:webHidden/>
              </w:rPr>
              <w:instrText xml:space="preserve"> PAGEREF _Toc99539815 \h </w:instrText>
            </w:r>
            <w:r>
              <w:rPr>
                <w:noProof/>
                <w:webHidden/>
              </w:rPr>
            </w:r>
            <w:r>
              <w:rPr>
                <w:noProof/>
                <w:webHidden/>
              </w:rPr>
              <w:fldChar w:fldCharType="separate"/>
            </w:r>
            <w:r>
              <w:rPr>
                <w:noProof/>
                <w:webHidden/>
              </w:rPr>
              <w:t>23</w:t>
            </w:r>
            <w:r>
              <w:rPr>
                <w:noProof/>
                <w:webHidden/>
              </w:rPr>
              <w:fldChar w:fldCharType="end"/>
            </w:r>
          </w:hyperlink>
        </w:p>
        <w:p w14:paraId="364E1A57" w14:textId="57FFC1EA" w:rsidR="008B5583" w:rsidRDefault="008B5583">
          <w:pPr>
            <w:pStyle w:val="TOC1"/>
            <w:rPr>
              <w:rFonts w:eastAsiaTheme="minorEastAsia"/>
              <w:noProof/>
              <w:lang w:eastAsia="en-GB"/>
            </w:rPr>
          </w:pPr>
          <w:hyperlink w:anchor="_Toc99539816" w:history="1">
            <w:r w:rsidRPr="00BA0C07">
              <w:rPr>
                <w:rStyle w:val="Hyperlink"/>
                <w:noProof/>
              </w:rPr>
              <w:t>Chapter 2: Background</w:t>
            </w:r>
            <w:r>
              <w:rPr>
                <w:noProof/>
                <w:webHidden/>
              </w:rPr>
              <w:tab/>
            </w:r>
            <w:r>
              <w:rPr>
                <w:noProof/>
                <w:webHidden/>
              </w:rPr>
              <w:fldChar w:fldCharType="begin"/>
            </w:r>
            <w:r>
              <w:rPr>
                <w:noProof/>
                <w:webHidden/>
              </w:rPr>
              <w:instrText xml:space="preserve"> PAGEREF _Toc99539816 \h </w:instrText>
            </w:r>
            <w:r>
              <w:rPr>
                <w:noProof/>
                <w:webHidden/>
              </w:rPr>
            </w:r>
            <w:r>
              <w:rPr>
                <w:noProof/>
                <w:webHidden/>
              </w:rPr>
              <w:fldChar w:fldCharType="separate"/>
            </w:r>
            <w:r>
              <w:rPr>
                <w:noProof/>
                <w:webHidden/>
              </w:rPr>
              <w:t>24</w:t>
            </w:r>
            <w:r>
              <w:rPr>
                <w:noProof/>
                <w:webHidden/>
              </w:rPr>
              <w:fldChar w:fldCharType="end"/>
            </w:r>
          </w:hyperlink>
        </w:p>
        <w:p w14:paraId="6D555A76" w14:textId="4087AD9B" w:rsidR="008B5583" w:rsidRDefault="008B5583">
          <w:pPr>
            <w:pStyle w:val="TOC2"/>
            <w:tabs>
              <w:tab w:val="right" w:leader="dot" w:pos="9016"/>
            </w:tabs>
            <w:rPr>
              <w:rFonts w:eastAsiaTheme="minorEastAsia"/>
              <w:noProof/>
              <w:lang w:eastAsia="en-GB"/>
            </w:rPr>
          </w:pPr>
          <w:hyperlink w:anchor="_Toc99539817" w:history="1">
            <w:r w:rsidRPr="00BA0C07">
              <w:rPr>
                <w:rStyle w:val="Hyperlink"/>
                <w:noProof/>
              </w:rPr>
              <w:t>Overview of coeliac disease</w:t>
            </w:r>
            <w:r>
              <w:rPr>
                <w:noProof/>
                <w:webHidden/>
              </w:rPr>
              <w:tab/>
            </w:r>
            <w:r>
              <w:rPr>
                <w:noProof/>
                <w:webHidden/>
              </w:rPr>
              <w:fldChar w:fldCharType="begin"/>
            </w:r>
            <w:r>
              <w:rPr>
                <w:noProof/>
                <w:webHidden/>
              </w:rPr>
              <w:instrText xml:space="preserve"> PAGEREF _Toc99539817 \h </w:instrText>
            </w:r>
            <w:r>
              <w:rPr>
                <w:noProof/>
                <w:webHidden/>
              </w:rPr>
            </w:r>
            <w:r>
              <w:rPr>
                <w:noProof/>
                <w:webHidden/>
              </w:rPr>
              <w:fldChar w:fldCharType="separate"/>
            </w:r>
            <w:r>
              <w:rPr>
                <w:noProof/>
                <w:webHidden/>
              </w:rPr>
              <w:t>24</w:t>
            </w:r>
            <w:r>
              <w:rPr>
                <w:noProof/>
                <w:webHidden/>
              </w:rPr>
              <w:fldChar w:fldCharType="end"/>
            </w:r>
          </w:hyperlink>
        </w:p>
        <w:p w14:paraId="7E7C5F6B" w14:textId="4DD63C74" w:rsidR="008B5583" w:rsidRDefault="008B5583">
          <w:pPr>
            <w:pStyle w:val="TOC2"/>
            <w:tabs>
              <w:tab w:val="right" w:leader="dot" w:pos="9016"/>
            </w:tabs>
            <w:rPr>
              <w:rFonts w:eastAsiaTheme="minorEastAsia"/>
              <w:noProof/>
              <w:lang w:eastAsia="en-GB"/>
            </w:rPr>
          </w:pPr>
          <w:hyperlink w:anchor="_Toc99539818" w:history="1">
            <w:r w:rsidRPr="00BA0C07">
              <w:rPr>
                <w:rStyle w:val="Hyperlink"/>
                <w:noProof/>
              </w:rPr>
              <w:t>Diagnostic pathway</w:t>
            </w:r>
            <w:r>
              <w:rPr>
                <w:noProof/>
                <w:webHidden/>
              </w:rPr>
              <w:tab/>
            </w:r>
            <w:r>
              <w:rPr>
                <w:noProof/>
                <w:webHidden/>
              </w:rPr>
              <w:fldChar w:fldCharType="begin"/>
            </w:r>
            <w:r>
              <w:rPr>
                <w:noProof/>
                <w:webHidden/>
              </w:rPr>
              <w:instrText xml:space="preserve"> PAGEREF _Toc99539818 \h </w:instrText>
            </w:r>
            <w:r>
              <w:rPr>
                <w:noProof/>
                <w:webHidden/>
              </w:rPr>
            </w:r>
            <w:r>
              <w:rPr>
                <w:noProof/>
                <w:webHidden/>
              </w:rPr>
              <w:fldChar w:fldCharType="separate"/>
            </w:r>
            <w:r>
              <w:rPr>
                <w:noProof/>
                <w:webHidden/>
              </w:rPr>
              <w:t>24</w:t>
            </w:r>
            <w:r>
              <w:rPr>
                <w:noProof/>
                <w:webHidden/>
              </w:rPr>
              <w:fldChar w:fldCharType="end"/>
            </w:r>
          </w:hyperlink>
        </w:p>
        <w:p w14:paraId="04658423" w14:textId="1DFCE429" w:rsidR="008B5583" w:rsidRDefault="008B5583">
          <w:pPr>
            <w:pStyle w:val="TOC3"/>
            <w:tabs>
              <w:tab w:val="right" w:leader="dot" w:pos="9016"/>
            </w:tabs>
            <w:rPr>
              <w:rFonts w:eastAsiaTheme="minorEastAsia"/>
              <w:noProof/>
              <w:lang w:eastAsia="en-GB"/>
            </w:rPr>
          </w:pPr>
          <w:hyperlink w:anchor="_Toc99539819" w:history="1">
            <w:r w:rsidRPr="00BA0C07">
              <w:rPr>
                <w:rStyle w:val="Hyperlink"/>
                <w:noProof/>
              </w:rPr>
              <w:t>Identifying patients at risk who should be tested</w:t>
            </w:r>
            <w:r>
              <w:rPr>
                <w:noProof/>
                <w:webHidden/>
              </w:rPr>
              <w:tab/>
            </w:r>
            <w:r>
              <w:rPr>
                <w:noProof/>
                <w:webHidden/>
              </w:rPr>
              <w:fldChar w:fldCharType="begin"/>
            </w:r>
            <w:r>
              <w:rPr>
                <w:noProof/>
                <w:webHidden/>
              </w:rPr>
              <w:instrText xml:space="preserve"> PAGEREF _Toc99539819 \h </w:instrText>
            </w:r>
            <w:r>
              <w:rPr>
                <w:noProof/>
                <w:webHidden/>
              </w:rPr>
            </w:r>
            <w:r>
              <w:rPr>
                <w:noProof/>
                <w:webHidden/>
              </w:rPr>
              <w:fldChar w:fldCharType="separate"/>
            </w:r>
            <w:r>
              <w:rPr>
                <w:noProof/>
                <w:webHidden/>
              </w:rPr>
              <w:t>24</w:t>
            </w:r>
            <w:r>
              <w:rPr>
                <w:noProof/>
                <w:webHidden/>
              </w:rPr>
              <w:fldChar w:fldCharType="end"/>
            </w:r>
          </w:hyperlink>
        </w:p>
        <w:p w14:paraId="458AD45C" w14:textId="5E08F1B8" w:rsidR="008B5583" w:rsidRDefault="008B5583">
          <w:pPr>
            <w:pStyle w:val="TOC3"/>
            <w:tabs>
              <w:tab w:val="right" w:leader="dot" w:pos="9016"/>
            </w:tabs>
            <w:rPr>
              <w:rFonts w:eastAsiaTheme="minorEastAsia"/>
              <w:noProof/>
              <w:lang w:eastAsia="en-GB"/>
            </w:rPr>
          </w:pPr>
          <w:hyperlink w:anchor="_Toc99539820" w:history="1">
            <w:r w:rsidRPr="00BA0C07">
              <w:rPr>
                <w:rStyle w:val="Hyperlink"/>
                <w:noProof/>
              </w:rPr>
              <w:t>Serological Testing</w:t>
            </w:r>
            <w:r>
              <w:rPr>
                <w:noProof/>
                <w:webHidden/>
              </w:rPr>
              <w:tab/>
            </w:r>
            <w:r>
              <w:rPr>
                <w:noProof/>
                <w:webHidden/>
              </w:rPr>
              <w:fldChar w:fldCharType="begin"/>
            </w:r>
            <w:r>
              <w:rPr>
                <w:noProof/>
                <w:webHidden/>
              </w:rPr>
              <w:instrText xml:space="preserve"> PAGEREF _Toc99539820 \h </w:instrText>
            </w:r>
            <w:r>
              <w:rPr>
                <w:noProof/>
                <w:webHidden/>
              </w:rPr>
            </w:r>
            <w:r>
              <w:rPr>
                <w:noProof/>
                <w:webHidden/>
              </w:rPr>
              <w:fldChar w:fldCharType="separate"/>
            </w:r>
            <w:r>
              <w:rPr>
                <w:noProof/>
                <w:webHidden/>
              </w:rPr>
              <w:t>25</w:t>
            </w:r>
            <w:r>
              <w:rPr>
                <w:noProof/>
                <w:webHidden/>
              </w:rPr>
              <w:fldChar w:fldCharType="end"/>
            </w:r>
          </w:hyperlink>
        </w:p>
        <w:p w14:paraId="7A019640" w14:textId="179FBDAC" w:rsidR="008B5583" w:rsidRDefault="008B5583">
          <w:pPr>
            <w:pStyle w:val="TOC3"/>
            <w:tabs>
              <w:tab w:val="right" w:leader="dot" w:pos="9016"/>
            </w:tabs>
            <w:rPr>
              <w:rFonts w:eastAsiaTheme="minorEastAsia"/>
              <w:noProof/>
              <w:lang w:eastAsia="en-GB"/>
            </w:rPr>
          </w:pPr>
          <w:hyperlink w:anchor="_Toc99539821" w:history="1">
            <w:r w:rsidRPr="00BA0C07">
              <w:rPr>
                <w:rStyle w:val="Hyperlink"/>
                <w:noProof/>
              </w:rPr>
              <w:t>Genetic testing</w:t>
            </w:r>
            <w:r>
              <w:rPr>
                <w:noProof/>
                <w:webHidden/>
              </w:rPr>
              <w:tab/>
            </w:r>
            <w:r>
              <w:rPr>
                <w:noProof/>
                <w:webHidden/>
              </w:rPr>
              <w:fldChar w:fldCharType="begin"/>
            </w:r>
            <w:r>
              <w:rPr>
                <w:noProof/>
                <w:webHidden/>
              </w:rPr>
              <w:instrText xml:space="preserve"> PAGEREF _Toc99539821 \h </w:instrText>
            </w:r>
            <w:r>
              <w:rPr>
                <w:noProof/>
                <w:webHidden/>
              </w:rPr>
            </w:r>
            <w:r>
              <w:rPr>
                <w:noProof/>
                <w:webHidden/>
              </w:rPr>
              <w:fldChar w:fldCharType="separate"/>
            </w:r>
            <w:r>
              <w:rPr>
                <w:noProof/>
                <w:webHidden/>
              </w:rPr>
              <w:t>26</w:t>
            </w:r>
            <w:r>
              <w:rPr>
                <w:noProof/>
                <w:webHidden/>
              </w:rPr>
              <w:fldChar w:fldCharType="end"/>
            </w:r>
          </w:hyperlink>
        </w:p>
        <w:p w14:paraId="29EE045F" w14:textId="62F61952" w:rsidR="008B5583" w:rsidRDefault="008B5583">
          <w:pPr>
            <w:pStyle w:val="TOC3"/>
            <w:tabs>
              <w:tab w:val="right" w:leader="dot" w:pos="9016"/>
            </w:tabs>
            <w:rPr>
              <w:rFonts w:eastAsiaTheme="minorEastAsia"/>
              <w:noProof/>
              <w:lang w:eastAsia="en-GB"/>
            </w:rPr>
          </w:pPr>
          <w:hyperlink w:anchor="_Toc99539822" w:history="1">
            <w:r w:rsidRPr="00BA0C07">
              <w:rPr>
                <w:rStyle w:val="Hyperlink"/>
                <w:noProof/>
              </w:rPr>
              <w:t>Biopsy confirmation</w:t>
            </w:r>
            <w:r>
              <w:rPr>
                <w:noProof/>
                <w:webHidden/>
              </w:rPr>
              <w:tab/>
            </w:r>
            <w:r>
              <w:rPr>
                <w:noProof/>
                <w:webHidden/>
              </w:rPr>
              <w:fldChar w:fldCharType="begin"/>
            </w:r>
            <w:r>
              <w:rPr>
                <w:noProof/>
                <w:webHidden/>
              </w:rPr>
              <w:instrText xml:space="preserve"> PAGEREF _Toc99539822 \h </w:instrText>
            </w:r>
            <w:r>
              <w:rPr>
                <w:noProof/>
                <w:webHidden/>
              </w:rPr>
            </w:r>
            <w:r>
              <w:rPr>
                <w:noProof/>
                <w:webHidden/>
              </w:rPr>
              <w:fldChar w:fldCharType="separate"/>
            </w:r>
            <w:r>
              <w:rPr>
                <w:noProof/>
                <w:webHidden/>
              </w:rPr>
              <w:t>27</w:t>
            </w:r>
            <w:r>
              <w:rPr>
                <w:noProof/>
                <w:webHidden/>
              </w:rPr>
              <w:fldChar w:fldCharType="end"/>
            </w:r>
          </w:hyperlink>
        </w:p>
        <w:p w14:paraId="2B2A7260" w14:textId="27B708D8" w:rsidR="008B5583" w:rsidRDefault="008B5583">
          <w:pPr>
            <w:pStyle w:val="TOC1"/>
            <w:rPr>
              <w:rFonts w:eastAsiaTheme="minorEastAsia"/>
              <w:noProof/>
              <w:lang w:eastAsia="en-GB"/>
            </w:rPr>
          </w:pPr>
          <w:hyperlink w:anchor="_Toc99539823" w:history="1">
            <w:r w:rsidRPr="00BA0C07">
              <w:rPr>
                <w:rStyle w:val="Hyperlink"/>
                <w:noProof/>
              </w:rPr>
              <w:t>Chapter 3: Accuracy of diagnostic indicators for coeliac disease</w:t>
            </w:r>
            <w:r>
              <w:rPr>
                <w:noProof/>
                <w:webHidden/>
              </w:rPr>
              <w:tab/>
            </w:r>
            <w:r>
              <w:rPr>
                <w:noProof/>
                <w:webHidden/>
              </w:rPr>
              <w:fldChar w:fldCharType="begin"/>
            </w:r>
            <w:r>
              <w:rPr>
                <w:noProof/>
                <w:webHidden/>
              </w:rPr>
              <w:instrText xml:space="preserve"> PAGEREF _Toc99539823 \h </w:instrText>
            </w:r>
            <w:r>
              <w:rPr>
                <w:noProof/>
                <w:webHidden/>
              </w:rPr>
            </w:r>
            <w:r>
              <w:rPr>
                <w:noProof/>
                <w:webHidden/>
              </w:rPr>
              <w:fldChar w:fldCharType="separate"/>
            </w:r>
            <w:r>
              <w:rPr>
                <w:noProof/>
                <w:webHidden/>
              </w:rPr>
              <w:t>28</w:t>
            </w:r>
            <w:r>
              <w:rPr>
                <w:noProof/>
                <w:webHidden/>
              </w:rPr>
              <w:fldChar w:fldCharType="end"/>
            </w:r>
          </w:hyperlink>
        </w:p>
        <w:p w14:paraId="167299C1" w14:textId="3A5719FA" w:rsidR="008B5583" w:rsidRDefault="008B5583">
          <w:pPr>
            <w:pStyle w:val="TOC2"/>
            <w:tabs>
              <w:tab w:val="right" w:leader="dot" w:pos="9016"/>
            </w:tabs>
            <w:rPr>
              <w:rFonts w:eastAsiaTheme="minorEastAsia"/>
              <w:noProof/>
              <w:lang w:eastAsia="en-GB"/>
            </w:rPr>
          </w:pPr>
          <w:hyperlink w:anchor="_Toc99539824" w:history="1">
            <w:r w:rsidRPr="00BA0C07">
              <w:rPr>
                <w:rStyle w:val="Hyperlink"/>
                <w:noProof/>
              </w:rPr>
              <w:t>Systematic review methods</w:t>
            </w:r>
            <w:r>
              <w:rPr>
                <w:noProof/>
                <w:webHidden/>
              </w:rPr>
              <w:tab/>
            </w:r>
            <w:r>
              <w:rPr>
                <w:noProof/>
                <w:webHidden/>
              </w:rPr>
              <w:fldChar w:fldCharType="begin"/>
            </w:r>
            <w:r>
              <w:rPr>
                <w:noProof/>
                <w:webHidden/>
              </w:rPr>
              <w:instrText xml:space="preserve"> PAGEREF _Toc99539824 \h </w:instrText>
            </w:r>
            <w:r>
              <w:rPr>
                <w:noProof/>
                <w:webHidden/>
              </w:rPr>
            </w:r>
            <w:r>
              <w:rPr>
                <w:noProof/>
                <w:webHidden/>
              </w:rPr>
              <w:fldChar w:fldCharType="separate"/>
            </w:r>
            <w:r>
              <w:rPr>
                <w:noProof/>
                <w:webHidden/>
              </w:rPr>
              <w:t>28</w:t>
            </w:r>
            <w:r>
              <w:rPr>
                <w:noProof/>
                <w:webHidden/>
              </w:rPr>
              <w:fldChar w:fldCharType="end"/>
            </w:r>
          </w:hyperlink>
        </w:p>
        <w:p w14:paraId="45814287" w14:textId="483BDBA5" w:rsidR="008B5583" w:rsidRDefault="008B5583">
          <w:pPr>
            <w:pStyle w:val="TOC3"/>
            <w:tabs>
              <w:tab w:val="right" w:leader="dot" w:pos="9016"/>
            </w:tabs>
            <w:rPr>
              <w:rFonts w:eastAsiaTheme="minorEastAsia"/>
              <w:noProof/>
              <w:lang w:eastAsia="en-GB"/>
            </w:rPr>
          </w:pPr>
          <w:hyperlink w:anchor="_Toc99539825" w:history="1">
            <w:r w:rsidRPr="00BA0C07">
              <w:rPr>
                <w:rStyle w:val="Hyperlink"/>
                <w:noProof/>
              </w:rPr>
              <w:t>Eligibility criteria</w:t>
            </w:r>
            <w:r>
              <w:rPr>
                <w:noProof/>
                <w:webHidden/>
              </w:rPr>
              <w:tab/>
            </w:r>
            <w:r>
              <w:rPr>
                <w:noProof/>
                <w:webHidden/>
              </w:rPr>
              <w:fldChar w:fldCharType="begin"/>
            </w:r>
            <w:r>
              <w:rPr>
                <w:noProof/>
                <w:webHidden/>
              </w:rPr>
              <w:instrText xml:space="preserve"> PAGEREF _Toc99539825 \h </w:instrText>
            </w:r>
            <w:r>
              <w:rPr>
                <w:noProof/>
                <w:webHidden/>
              </w:rPr>
            </w:r>
            <w:r>
              <w:rPr>
                <w:noProof/>
                <w:webHidden/>
              </w:rPr>
              <w:fldChar w:fldCharType="separate"/>
            </w:r>
            <w:r>
              <w:rPr>
                <w:noProof/>
                <w:webHidden/>
              </w:rPr>
              <w:t>28</w:t>
            </w:r>
            <w:r>
              <w:rPr>
                <w:noProof/>
                <w:webHidden/>
              </w:rPr>
              <w:fldChar w:fldCharType="end"/>
            </w:r>
          </w:hyperlink>
        </w:p>
        <w:p w14:paraId="0AE1FE7A" w14:textId="0210D73A" w:rsidR="008B5583" w:rsidRDefault="008B5583">
          <w:pPr>
            <w:pStyle w:val="TOC3"/>
            <w:tabs>
              <w:tab w:val="right" w:leader="dot" w:pos="9016"/>
            </w:tabs>
            <w:rPr>
              <w:rFonts w:eastAsiaTheme="minorEastAsia"/>
              <w:noProof/>
              <w:lang w:eastAsia="en-GB"/>
            </w:rPr>
          </w:pPr>
          <w:hyperlink w:anchor="_Toc99539826" w:history="1">
            <w:r w:rsidRPr="00BA0C07">
              <w:rPr>
                <w:rStyle w:val="Hyperlink"/>
                <w:noProof/>
              </w:rPr>
              <w:t>Search strategy</w:t>
            </w:r>
            <w:r>
              <w:rPr>
                <w:noProof/>
                <w:webHidden/>
              </w:rPr>
              <w:tab/>
            </w:r>
            <w:r>
              <w:rPr>
                <w:noProof/>
                <w:webHidden/>
              </w:rPr>
              <w:fldChar w:fldCharType="begin"/>
            </w:r>
            <w:r>
              <w:rPr>
                <w:noProof/>
                <w:webHidden/>
              </w:rPr>
              <w:instrText xml:space="preserve"> PAGEREF _Toc99539826 \h </w:instrText>
            </w:r>
            <w:r>
              <w:rPr>
                <w:noProof/>
                <w:webHidden/>
              </w:rPr>
            </w:r>
            <w:r>
              <w:rPr>
                <w:noProof/>
                <w:webHidden/>
              </w:rPr>
              <w:fldChar w:fldCharType="separate"/>
            </w:r>
            <w:r>
              <w:rPr>
                <w:noProof/>
                <w:webHidden/>
              </w:rPr>
              <w:t>28</w:t>
            </w:r>
            <w:r>
              <w:rPr>
                <w:noProof/>
                <w:webHidden/>
              </w:rPr>
              <w:fldChar w:fldCharType="end"/>
            </w:r>
          </w:hyperlink>
        </w:p>
        <w:p w14:paraId="1AEC4219" w14:textId="45E376A7" w:rsidR="008B5583" w:rsidRDefault="008B5583">
          <w:pPr>
            <w:pStyle w:val="TOC3"/>
            <w:tabs>
              <w:tab w:val="right" w:leader="dot" w:pos="9016"/>
            </w:tabs>
            <w:rPr>
              <w:rFonts w:eastAsiaTheme="minorEastAsia"/>
              <w:noProof/>
              <w:lang w:eastAsia="en-GB"/>
            </w:rPr>
          </w:pPr>
          <w:hyperlink w:anchor="_Toc99539827" w:history="1">
            <w:r w:rsidRPr="00BA0C07">
              <w:rPr>
                <w:rStyle w:val="Hyperlink"/>
                <w:noProof/>
              </w:rPr>
              <w:t>Study selection</w:t>
            </w:r>
            <w:r>
              <w:rPr>
                <w:noProof/>
                <w:webHidden/>
              </w:rPr>
              <w:tab/>
            </w:r>
            <w:r>
              <w:rPr>
                <w:noProof/>
                <w:webHidden/>
              </w:rPr>
              <w:fldChar w:fldCharType="begin"/>
            </w:r>
            <w:r>
              <w:rPr>
                <w:noProof/>
                <w:webHidden/>
              </w:rPr>
              <w:instrText xml:space="preserve"> PAGEREF _Toc99539827 \h </w:instrText>
            </w:r>
            <w:r>
              <w:rPr>
                <w:noProof/>
                <w:webHidden/>
              </w:rPr>
            </w:r>
            <w:r>
              <w:rPr>
                <w:noProof/>
                <w:webHidden/>
              </w:rPr>
              <w:fldChar w:fldCharType="separate"/>
            </w:r>
            <w:r>
              <w:rPr>
                <w:noProof/>
                <w:webHidden/>
              </w:rPr>
              <w:t>29</w:t>
            </w:r>
            <w:r>
              <w:rPr>
                <w:noProof/>
                <w:webHidden/>
              </w:rPr>
              <w:fldChar w:fldCharType="end"/>
            </w:r>
          </w:hyperlink>
        </w:p>
        <w:p w14:paraId="74B08043" w14:textId="51FC965B" w:rsidR="008B5583" w:rsidRDefault="008B5583">
          <w:pPr>
            <w:pStyle w:val="TOC3"/>
            <w:tabs>
              <w:tab w:val="right" w:leader="dot" w:pos="9016"/>
            </w:tabs>
            <w:rPr>
              <w:rFonts w:eastAsiaTheme="minorEastAsia"/>
              <w:noProof/>
              <w:lang w:eastAsia="en-GB"/>
            </w:rPr>
          </w:pPr>
          <w:hyperlink w:anchor="_Toc99539828" w:history="1">
            <w:r w:rsidRPr="00BA0C07">
              <w:rPr>
                <w:rStyle w:val="Hyperlink"/>
                <w:noProof/>
              </w:rPr>
              <w:t>Data collection process</w:t>
            </w:r>
            <w:r>
              <w:rPr>
                <w:noProof/>
                <w:webHidden/>
              </w:rPr>
              <w:tab/>
            </w:r>
            <w:r>
              <w:rPr>
                <w:noProof/>
                <w:webHidden/>
              </w:rPr>
              <w:fldChar w:fldCharType="begin"/>
            </w:r>
            <w:r>
              <w:rPr>
                <w:noProof/>
                <w:webHidden/>
              </w:rPr>
              <w:instrText xml:space="preserve"> PAGEREF _Toc99539828 \h </w:instrText>
            </w:r>
            <w:r>
              <w:rPr>
                <w:noProof/>
                <w:webHidden/>
              </w:rPr>
            </w:r>
            <w:r>
              <w:rPr>
                <w:noProof/>
                <w:webHidden/>
              </w:rPr>
              <w:fldChar w:fldCharType="separate"/>
            </w:r>
            <w:r>
              <w:rPr>
                <w:noProof/>
                <w:webHidden/>
              </w:rPr>
              <w:t>29</w:t>
            </w:r>
            <w:r>
              <w:rPr>
                <w:noProof/>
                <w:webHidden/>
              </w:rPr>
              <w:fldChar w:fldCharType="end"/>
            </w:r>
          </w:hyperlink>
        </w:p>
        <w:p w14:paraId="3235799C" w14:textId="163CC7B8" w:rsidR="008B5583" w:rsidRDefault="008B5583">
          <w:pPr>
            <w:pStyle w:val="TOC3"/>
            <w:tabs>
              <w:tab w:val="right" w:leader="dot" w:pos="9016"/>
            </w:tabs>
            <w:rPr>
              <w:rFonts w:eastAsiaTheme="minorEastAsia"/>
              <w:noProof/>
              <w:lang w:eastAsia="en-GB"/>
            </w:rPr>
          </w:pPr>
          <w:hyperlink w:anchor="_Toc99539829" w:history="1">
            <w:r w:rsidRPr="00BA0C07">
              <w:rPr>
                <w:rStyle w:val="Hyperlink"/>
                <w:noProof/>
              </w:rPr>
              <w:t>Risk of bias</w:t>
            </w:r>
            <w:r>
              <w:rPr>
                <w:noProof/>
                <w:webHidden/>
              </w:rPr>
              <w:tab/>
            </w:r>
            <w:r>
              <w:rPr>
                <w:noProof/>
                <w:webHidden/>
              </w:rPr>
              <w:fldChar w:fldCharType="begin"/>
            </w:r>
            <w:r>
              <w:rPr>
                <w:noProof/>
                <w:webHidden/>
              </w:rPr>
              <w:instrText xml:space="preserve"> PAGEREF _Toc99539829 \h </w:instrText>
            </w:r>
            <w:r>
              <w:rPr>
                <w:noProof/>
                <w:webHidden/>
              </w:rPr>
            </w:r>
            <w:r>
              <w:rPr>
                <w:noProof/>
                <w:webHidden/>
              </w:rPr>
              <w:fldChar w:fldCharType="separate"/>
            </w:r>
            <w:r>
              <w:rPr>
                <w:noProof/>
                <w:webHidden/>
              </w:rPr>
              <w:t>29</w:t>
            </w:r>
            <w:r>
              <w:rPr>
                <w:noProof/>
                <w:webHidden/>
              </w:rPr>
              <w:fldChar w:fldCharType="end"/>
            </w:r>
          </w:hyperlink>
        </w:p>
        <w:p w14:paraId="48872578" w14:textId="478D3572" w:rsidR="008B5583" w:rsidRDefault="008B5583">
          <w:pPr>
            <w:pStyle w:val="TOC3"/>
            <w:tabs>
              <w:tab w:val="right" w:leader="dot" w:pos="9016"/>
            </w:tabs>
            <w:rPr>
              <w:rFonts w:eastAsiaTheme="minorEastAsia"/>
              <w:noProof/>
              <w:lang w:eastAsia="en-GB"/>
            </w:rPr>
          </w:pPr>
          <w:hyperlink w:anchor="_Toc99539830" w:history="1">
            <w:r w:rsidRPr="00BA0C07">
              <w:rPr>
                <w:rStyle w:val="Hyperlink"/>
                <w:noProof/>
              </w:rPr>
              <w:t>Synthesis of results</w:t>
            </w:r>
            <w:r>
              <w:rPr>
                <w:noProof/>
                <w:webHidden/>
              </w:rPr>
              <w:tab/>
            </w:r>
            <w:r>
              <w:rPr>
                <w:noProof/>
                <w:webHidden/>
              </w:rPr>
              <w:fldChar w:fldCharType="begin"/>
            </w:r>
            <w:r>
              <w:rPr>
                <w:noProof/>
                <w:webHidden/>
              </w:rPr>
              <w:instrText xml:space="preserve"> PAGEREF _Toc99539830 \h </w:instrText>
            </w:r>
            <w:r>
              <w:rPr>
                <w:noProof/>
                <w:webHidden/>
              </w:rPr>
            </w:r>
            <w:r>
              <w:rPr>
                <w:noProof/>
                <w:webHidden/>
              </w:rPr>
              <w:fldChar w:fldCharType="separate"/>
            </w:r>
            <w:r>
              <w:rPr>
                <w:noProof/>
                <w:webHidden/>
              </w:rPr>
              <w:t>30</w:t>
            </w:r>
            <w:r>
              <w:rPr>
                <w:noProof/>
                <w:webHidden/>
              </w:rPr>
              <w:fldChar w:fldCharType="end"/>
            </w:r>
          </w:hyperlink>
        </w:p>
        <w:p w14:paraId="03B55798" w14:textId="656C43F5" w:rsidR="008B5583" w:rsidRDefault="008B5583">
          <w:pPr>
            <w:pStyle w:val="TOC3"/>
            <w:tabs>
              <w:tab w:val="right" w:leader="dot" w:pos="9016"/>
            </w:tabs>
            <w:rPr>
              <w:rFonts w:eastAsiaTheme="minorEastAsia"/>
              <w:noProof/>
              <w:lang w:eastAsia="en-GB"/>
            </w:rPr>
          </w:pPr>
          <w:hyperlink w:anchor="_Toc99539831" w:history="1">
            <w:r w:rsidRPr="00BA0C07">
              <w:rPr>
                <w:rStyle w:val="Hyperlink"/>
                <w:noProof/>
              </w:rPr>
              <w:t>Sensitivity analyses and subgroup analyses</w:t>
            </w:r>
            <w:r>
              <w:rPr>
                <w:noProof/>
                <w:webHidden/>
              </w:rPr>
              <w:tab/>
            </w:r>
            <w:r>
              <w:rPr>
                <w:noProof/>
                <w:webHidden/>
              </w:rPr>
              <w:fldChar w:fldCharType="begin"/>
            </w:r>
            <w:r>
              <w:rPr>
                <w:noProof/>
                <w:webHidden/>
              </w:rPr>
              <w:instrText xml:space="preserve"> PAGEREF _Toc99539831 \h </w:instrText>
            </w:r>
            <w:r>
              <w:rPr>
                <w:noProof/>
                <w:webHidden/>
              </w:rPr>
            </w:r>
            <w:r>
              <w:rPr>
                <w:noProof/>
                <w:webHidden/>
              </w:rPr>
              <w:fldChar w:fldCharType="separate"/>
            </w:r>
            <w:r>
              <w:rPr>
                <w:noProof/>
                <w:webHidden/>
              </w:rPr>
              <w:t>31</w:t>
            </w:r>
            <w:r>
              <w:rPr>
                <w:noProof/>
                <w:webHidden/>
              </w:rPr>
              <w:fldChar w:fldCharType="end"/>
            </w:r>
          </w:hyperlink>
        </w:p>
        <w:p w14:paraId="5EEE2461" w14:textId="7DF6D543" w:rsidR="008B5583" w:rsidRDefault="008B5583">
          <w:pPr>
            <w:pStyle w:val="TOC3"/>
            <w:tabs>
              <w:tab w:val="right" w:leader="dot" w:pos="9016"/>
            </w:tabs>
            <w:rPr>
              <w:rFonts w:eastAsiaTheme="minorEastAsia"/>
              <w:noProof/>
              <w:lang w:eastAsia="en-GB"/>
            </w:rPr>
          </w:pPr>
          <w:hyperlink w:anchor="_Toc99539832" w:history="1">
            <w:r w:rsidRPr="00BA0C07">
              <w:rPr>
                <w:rStyle w:val="Hyperlink"/>
                <w:noProof/>
              </w:rPr>
              <w:t>Deviations from the protocol</w:t>
            </w:r>
            <w:r>
              <w:rPr>
                <w:noProof/>
                <w:webHidden/>
              </w:rPr>
              <w:tab/>
            </w:r>
            <w:r>
              <w:rPr>
                <w:noProof/>
                <w:webHidden/>
              </w:rPr>
              <w:fldChar w:fldCharType="begin"/>
            </w:r>
            <w:r>
              <w:rPr>
                <w:noProof/>
                <w:webHidden/>
              </w:rPr>
              <w:instrText xml:space="preserve"> PAGEREF _Toc99539832 \h </w:instrText>
            </w:r>
            <w:r>
              <w:rPr>
                <w:noProof/>
                <w:webHidden/>
              </w:rPr>
            </w:r>
            <w:r>
              <w:rPr>
                <w:noProof/>
                <w:webHidden/>
              </w:rPr>
              <w:fldChar w:fldCharType="separate"/>
            </w:r>
            <w:r>
              <w:rPr>
                <w:noProof/>
                <w:webHidden/>
              </w:rPr>
              <w:t>31</w:t>
            </w:r>
            <w:r>
              <w:rPr>
                <w:noProof/>
                <w:webHidden/>
              </w:rPr>
              <w:fldChar w:fldCharType="end"/>
            </w:r>
          </w:hyperlink>
        </w:p>
        <w:p w14:paraId="70F685FC" w14:textId="28548F22" w:rsidR="008B5583" w:rsidRDefault="008B5583">
          <w:pPr>
            <w:pStyle w:val="TOC2"/>
            <w:tabs>
              <w:tab w:val="right" w:leader="dot" w:pos="9016"/>
            </w:tabs>
            <w:rPr>
              <w:rFonts w:eastAsiaTheme="minorEastAsia"/>
              <w:noProof/>
              <w:lang w:eastAsia="en-GB"/>
            </w:rPr>
          </w:pPr>
          <w:hyperlink w:anchor="_Toc99539833" w:history="1">
            <w:r w:rsidRPr="00BA0C07">
              <w:rPr>
                <w:rStyle w:val="Hyperlink"/>
                <w:noProof/>
              </w:rPr>
              <w:t>Results of assessment of diagnostic accuracy of indicators</w:t>
            </w:r>
            <w:r>
              <w:rPr>
                <w:noProof/>
                <w:webHidden/>
              </w:rPr>
              <w:tab/>
            </w:r>
            <w:r>
              <w:rPr>
                <w:noProof/>
                <w:webHidden/>
              </w:rPr>
              <w:fldChar w:fldCharType="begin"/>
            </w:r>
            <w:r>
              <w:rPr>
                <w:noProof/>
                <w:webHidden/>
              </w:rPr>
              <w:instrText xml:space="preserve"> PAGEREF _Toc99539833 \h </w:instrText>
            </w:r>
            <w:r>
              <w:rPr>
                <w:noProof/>
                <w:webHidden/>
              </w:rPr>
            </w:r>
            <w:r>
              <w:rPr>
                <w:noProof/>
                <w:webHidden/>
              </w:rPr>
              <w:fldChar w:fldCharType="separate"/>
            </w:r>
            <w:r>
              <w:rPr>
                <w:noProof/>
                <w:webHidden/>
              </w:rPr>
              <w:t>31</w:t>
            </w:r>
            <w:r>
              <w:rPr>
                <w:noProof/>
                <w:webHidden/>
              </w:rPr>
              <w:fldChar w:fldCharType="end"/>
            </w:r>
          </w:hyperlink>
        </w:p>
        <w:p w14:paraId="3C7F1234" w14:textId="27F6FC69" w:rsidR="008B5583" w:rsidRDefault="008B5583">
          <w:pPr>
            <w:pStyle w:val="TOC3"/>
            <w:tabs>
              <w:tab w:val="right" w:leader="dot" w:pos="9016"/>
            </w:tabs>
            <w:rPr>
              <w:rFonts w:eastAsiaTheme="minorEastAsia"/>
              <w:noProof/>
              <w:lang w:eastAsia="en-GB"/>
            </w:rPr>
          </w:pPr>
          <w:hyperlink w:anchor="_Toc99539834" w:history="1">
            <w:r w:rsidRPr="00BA0C07">
              <w:rPr>
                <w:rStyle w:val="Hyperlink"/>
                <w:noProof/>
              </w:rPr>
              <w:t>Study characteristics</w:t>
            </w:r>
            <w:r>
              <w:rPr>
                <w:noProof/>
                <w:webHidden/>
              </w:rPr>
              <w:tab/>
            </w:r>
            <w:r>
              <w:rPr>
                <w:noProof/>
                <w:webHidden/>
              </w:rPr>
              <w:fldChar w:fldCharType="begin"/>
            </w:r>
            <w:r>
              <w:rPr>
                <w:noProof/>
                <w:webHidden/>
              </w:rPr>
              <w:instrText xml:space="preserve"> PAGEREF _Toc99539834 \h </w:instrText>
            </w:r>
            <w:r>
              <w:rPr>
                <w:noProof/>
                <w:webHidden/>
              </w:rPr>
            </w:r>
            <w:r>
              <w:rPr>
                <w:noProof/>
                <w:webHidden/>
              </w:rPr>
              <w:fldChar w:fldCharType="separate"/>
            </w:r>
            <w:r>
              <w:rPr>
                <w:noProof/>
                <w:webHidden/>
              </w:rPr>
              <w:t>31</w:t>
            </w:r>
            <w:r>
              <w:rPr>
                <w:noProof/>
                <w:webHidden/>
              </w:rPr>
              <w:fldChar w:fldCharType="end"/>
            </w:r>
          </w:hyperlink>
        </w:p>
        <w:p w14:paraId="71EA1FE4" w14:textId="3749BA09" w:rsidR="008B5583" w:rsidRDefault="008B5583">
          <w:pPr>
            <w:pStyle w:val="TOC3"/>
            <w:tabs>
              <w:tab w:val="right" w:leader="dot" w:pos="9016"/>
            </w:tabs>
            <w:rPr>
              <w:rFonts w:eastAsiaTheme="minorEastAsia"/>
              <w:noProof/>
              <w:lang w:eastAsia="en-GB"/>
            </w:rPr>
          </w:pPr>
          <w:hyperlink w:anchor="_Toc99539835" w:history="1">
            <w:r w:rsidRPr="00BA0C07">
              <w:rPr>
                <w:rStyle w:val="Hyperlink"/>
                <w:noProof/>
              </w:rPr>
              <w:t>Risk of bias</w:t>
            </w:r>
            <w:r>
              <w:rPr>
                <w:noProof/>
                <w:webHidden/>
              </w:rPr>
              <w:tab/>
            </w:r>
            <w:r>
              <w:rPr>
                <w:noProof/>
                <w:webHidden/>
              </w:rPr>
              <w:fldChar w:fldCharType="begin"/>
            </w:r>
            <w:r>
              <w:rPr>
                <w:noProof/>
                <w:webHidden/>
              </w:rPr>
              <w:instrText xml:space="preserve"> PAGEREF _Toc99539835 \h </w:instrText>
            </w:r>
            <w:r>
              <w:rPr>
                <w:noProof/>
                <w:webHidden/>
              </w:rPr>
            </w:r>
            <w:r>
              <w:rPr>
                <w:noProof/>
                <w:webHidden/>
              </w:rPr>
              <w:fldChar w:fldCharType="separate"/>
            </w:r>
            <w:r>
              <w:rPr>
                <w:noProof/>
                <w:webHidden/>
              </w:rPr>
              <w:t>32</w:t>
            </w:r>
            <w:r>
              <w:rPr>
                <w:noProof/>
                <w:webHidden/>
              </w:rPr>
              <w:fldChar w:fldCharType="end"/>
            </w:r>
          </w:hyperlink>
        </w:p>
        <w:p w14:paraId="3DD66736" w14:textId="7D6EABAB" w:rsidR="008B5583" w:rsidRDefault="008B5583">
          <w:pPr>
            <w:pStyle w:val="TOC3"/>
            <w:tabs>
              <w:tab w:val="right" w:leader="dot" w:pos="9016"/>
            </w:tabs>
            <w:rPr>
              <w:rFonts w:eastAsiaTheme="minorEastAsia"/>
              <w:noProof/>
              <w:lang w:eastAsia="en-GB"/>
            </w:rPr>
          </w:pPr>
          <w:hyperlink w:anchor="_Toc99539836" w:history="1">
            <w:r w:rsidRPr="00BA0C07">
              <w:rPr>
                <w:rStyle w:val="Hyperlink"/>
                <w:noProof/>
              </w:rPr>
              <w:t>Accuracy of diagnostic indicators to detect coeliac disease</w:t>
            </w:r>
            <w:r>
              <w:rPr>
                <w:noProof/>
                <w:webHidden/>
              </w:rPr>
              <w:tab/>
            </w:r>
            <w:r>
              <w:rPr>
                <w:noProof/>
                <w:webHidden/>
              </w:rPr>
              <w:fldChar w:fldCharType="begin"/>
            </w:r>
            <w:r>
              <w:rPr>
                <w:noProof/>
                <w:webHidden/>
              </w:rPr>
              <w:instrText xml:space="preserve"> PAGEREF _Toc99539836 \h </w:instrText>
            </w:r>
            <w:r>
              <w:rPr>
                <w:noProof/>
                <w:webHidden/>
              </w:rPr>
            </w:r>
            <w:r>
              <w:rPr>
                <w:noProof/>
                <w:webHidden/>
              </w:rPr>
              <w:fldChar w:fldCharType="separate"/>
            </w:r>
            <w:r>
              <w:rPr>
                <w:noProof/>
                <w:webHidden/>
              </w:rPr>
              <w:t>32</w:t>
            </w:r>
            <w:r>
              <w:rPr>
                <w:noProof/>
                <w:webHidden/>
              </w:rPr>
              <w:fldChar w:fldCharType="end"/>
            </w:r>
          </w:hyperlink>
        </w:p>
        <w:p w14:paraId="65426658" w14:textId="076D9D7D" w:rsidR="008B5583" w:rsidRDefault="008B5583">
          <w:pPr>
            <w:pStyle w:val="TOC3"/>
            <w:tabs>
              <w:tab w:val="right" w:leader="dot" w:pos="9016"/>
            </w:tabs>
            <w:rPr>
              <w:rFonts w:eastAsiaTheme="minorEastAsia"/>
              <w:noProof/>
              <w:lang w:eastAsia="en-GB"/>
            </w:rPr>
          </w:pPr>
          <w:hyperlink w:anchor="_Toc99539837" w:history="1">
            <w:r w:rsidRPr="00BA0C07">
              <w:rPr>
                <w:rStyle w:val="Hyperlink"/>
                <w:noProof/>
              </w:rPr>
              <w:t>Subgroup and sensitivity analyses</w:t>
            </w:r>
            <w:r>
              <w:rPr>
                <w:noProof/>
                <w:webHidden/>
              </w:rPr>
              <w:tab/>
            </w:r>
            <w:r>
              <w:rPr>
                <w:noProof/>
                <w:webHidden/>
              </w:rPr>
              <w:fldChar w:fldCharType="begin"/>
            </w:r>
            <w:r>
              <w:rPr>
                <w:noProof/>
                <w:webHidden/>
              </w:rPr>
              <w:instrText xml:space="preserve"> PAGEREF _Toc99539837 \h </w:instrText>
            </w:r>
            <w:r>
              <w:rPr>
                <w:noProof/>
                <w:webHidden/>
              </w:rPr>
            </w:r>
            <w:r>
              <w:rPr>
                <w:noProof/>
                <w:webHidden/>
              </w:rPr>
              <w:fldChar w:fldCharType="separate"/>
            </w:r>
            <w:r>
              <w:rPr>
                <w:noProof/>
                <w:webHidden/>
              </w:rPr>
              <w:t>33</w:t>
            </w:r>
            <w:r>
              <w:rPr>
                <w:noProof/>
                <w:webHidden/>
              </w:rPr>
              <w:fldChar w:fldCharType="end"/>
            </w:r>
          </w:hyperlink>
        </w:p>
        <w:p w14:paraId="3F5D351B" w14:textId="5F77B277" w:rsidR="008B5583" w:rsidRDefault="008B5583">
          <w:pPr>
            <w:pStyle w:val="TOC1"/>
            <w:rPr>
              <w:rFonts w:eastAsiaTheme="minorEastAsia"/>
              <w:noProof/>
              <w:lang w:eastAsia="en-GB"/>
            </w:rPr>
          </w:pPr>
          <w:hyperlink w:anchor="_Toc99539838" w:history="1">
            <w:r w:rsidRPr="00BA0C07">
              <w:rPr>
                <w:rStyle w:val="Hyperlink"/>
                <w:noProof/>
              </w:rPr>
              <w:t>Chapter 4: Prediction rule for coeliac disease diagnosis</w:t>
            </w:r>
            <w:r>
              <w:rPr>
                <w:noProof/>
                <w:webHidden/>
              </w:rPr>
              <w:tab/>
            </w:r>
            <w:r>
              <w:rPr>
                <w:noProof/>
                <w:webHidden/>
              </w:rPr>
              <w:fldChar w:fldCharType="begin"/>
            </w:r>
            <w:r>
              <w:rPr>
                <w:noProof/>
                <w:webHidden/>
              </w:rPr>
              <w:instrText xml:space="preserve"> PAGEREF _Toc99539838 \h </w:instrText>
            </w:r>
            <w:r>
              <w:rPr>
                <w:noProof/>
                <w:webHidden/>
              </w:rPr>
            </w:r>
            <w:r>
              <w:rPr>
                <w:noProof/>
                <w:webHidden/>
              </w:rPr>
              <w:fldChar w:fldCharType="separate"/>
            </w:r>
            <w:r>
              <w:rPr>
                <w:noProof/>
                <w:webHidden/>
              </w:rPr>
              <w:t>35</w:t>
            </w:r>
            <w:r>
              <w:rPr>
                <w:noProof/>
                <w:webHidden/>
              </w:rPr>
              <w:fldChar w:fldCharType="end"/>
            </w:r>
          </w:hyperlink>
        </w:p>
        <w:p w14:paraId="75CB1F4D" w14:textId="13DE30B3" w:rsidR="008B5583" w:rsidRDefault="008B5583">
          <w:pPr>
            <w:pStyle w:val="TOC2"/>
            <w:tabs>
              <w:tab w:val="right" w:leader="dot" w:pos="9016"/>
            </w:tabs>
            <w:rPr>
              <w:rFonts w:eastAsiaTheme="minorEastAsia"/>
              <w:noProof/>
              <w:lang w:eastAsia="en-GB"/>
            </w:rPr>
          </w:pPr>
          <w:hyperlink w:anchor="_Toc99539839" w:history="1">
            <w:r w:rsidRPr="00BA0C07">
              <w:rPr>
                <w:rStyle w:val="Hyperlink"/>
                <w:noProof/>
              </w:rPr>
              <w:t>Prediction modelling methods</w:t>
            </w:r>
            <w:r>
              <w:rPr>
                <w:noProof/>
                <w:webHidden/>
              </w:rPr>
              <w:tab/>
            </w:r>
            <w:r>
              <w:rPr>
                <w:noProof/>
                <w:webHidden/>
              </w:rPr>
              <w:fldChar w:fldCharType="begin"/>
            </w:r>
            <w:r>
              <w:rPr>
                <w:noProof/>
                <w:webHidden/>
              </w:rPr>
              <w:instrText xml:space="preserve"> PAGEREF _Toc99539839 \h </w:instrText>
            </w:r>
            <w:r>
              <w:rPr>
                <w:noProof/>
                <w:webHidden/>
              </w:rPr>
            </w:r>
            <w:r>
              <w:rPr>
                <w:noProof/>
                <w:webHidden/>
              </w:rPr>
              <w:fldChar w:fldCharType="separate"/>
            </w:r>
            <w:r>
              <w:rPr>
                <w:noProof/>
                <w:webHidden/>
              </w:rPr>
              <w:t>35</w:t>
            </w:r>
            <w:r>
              <w:rPr>
                <w:noProof/>
                <w:webHidden/>
              </w:rPr>
              <w:fldChar w:fldCharType="end"/>
            </w:r>
          </w:hyperlink>
        </w:p>
        <w:p w14:paraId="0C7CCCA7" w14:textId="1108B595" w:rsidR="008B5583" w:rsidRDefault="008B5583">
          <w:pPr>
            <w:pStyle w:val="TOC3"/>
            <w:tabs>
              <w:tab w:val="right" w:leader="dot" w:pos="9016"/>
            </w:tabs>
            <w:rPr>
              <w:rFonts w:eastAsiaTheme="minorEastAsia"/>
              <w:noProof/>
              <w:lang w:eastAsia="en-GB"/>
            </w:rPr>
          </w:pPr>
          <w:hyperlink w:anchor="_Toc99539840" w:history="1">
            <w:r w:rsidRPr="00BA0C07">
              <w:rPr>
                <w:rStyle w:val="Hyperlink"/>
                <w:noProof/>
              </w:rPr>
              <w:t>Protocol</w:t>
            </w:r>
            <w:r>
              <w:rPr>
                <w:noProof/>
                <w:webHidden/>
              </w:rPr>
              <w:tab/>
            </w:r>
            <w:r>
              <w:rPr>
                <w:noProof/>
                <w:webHidden/>
              </w:rPr>
              <w:fldChar w:fldCharType="begin"/>
            </w:r>
            <w:r>
              <w:rPr>
                <w:noProof/>
                <w:webHidden/>
              </w:rPr>
              <w:instrText xml:space="preserve"> PAGEREF _Toc99539840 \h </w:instrText>
            </w:r>
            <w:r>
              <w:rPr>
                <w:noProof/>
                <w:webHidden/>
              </w:rPr>
            </w:r>
            <w:r>
              <w:rPr>
                <w:noProof/>
                <w:webHidden/>
              </w:rPr>
              <w:fldChar w:fldCharType="separate"/>
            </w:r>
            <w:r>
              <w:rPr>
                <w:noProof/>
                <w:webHidden/>
              </w:rPr>
              <w:t>35</w:t>
            </w:r>
            <w:r>
              <w:rPr>
                <w:noProof/>
                <w:webHidden/>
              </w:rPr>
              <w:fldChar w:fldCharType="end"/>
            </w:r>
          </w:hyperlink>
        </w:p>
        <w:p w14:paraId="2AC3E9ED" w14:textId="3B876EFE" w:rsidR="008B5583" w:rsidRDefault="008B5583">
          <w:pPr>
            <w:pStyle w:val="TOC3"/>
            <w:tabs>
              <w:tab w:val="right" w:leader="dot" w:pos="9016"/>
            </w:tabs>
            <w:rPr>
              <w:rFonts w:eastAsiaTheme="minorEastAsia"/>
              <w:noProof/>
              <w:lang w:eastAsia="en-GB"/>
            </w:rPr>
          </w:pPr>
          <w:hyperlink w:anchor="_Toc99539841" w:history="1">
            <w:r w:rsidRPr="00BA0C07">
              <w:rPr>
                <w:rStyle w:val="Hyperlink"/>
                <w:noProof/>
              </w:rPr>
              <w:t>Model development</w:t>
            </w:r>
            <w:r>
              <w:rPr>
                <w:noProof/>
                <w:webHidden/>
              </w:rPr>
              <w:tab/>
            </w:r>
            <w:r>
              <w:rPr>
                <w:noProof/>
                <w:webHidden/>
              </w:rPr>
              <w:fldChar w:fldCharType="begin"/>
            </w:r>
            <w:r>
              <w:rPr>
                <w:noProof/>
                <w:webHidden/>
              </w:rPr>
              <w:instrText xml:space="preserve"> PAGEREF _Toc99539841 \h </w:instrText>
            </w:r>
            <w:r>
              <w:rPr>
                <w:noProof/>
                <w:webHidden/>
              </w:rPr>
            </w:r>
            <w:r>
              <w:rPr>
                <w:noProof/>
                <w:webHidden/>
              </w:rPr>
              <w:fldChar w:fldCharType="separate"/>
            </w:r>
            <w:r>
              <w:rPr>
                <w:noProof/>
                <w:webHidden/>
              </w:rPr>
              <w:t>35</w:t>
            </w:r>
            <w:r>
              <w:rPr>
                <w:noProof/>
                <w:webHidden/>
              </w:rPr>
              <w:fldChar w:fldCharType="end"/>
            </w:r>
          </w:hyperlink>
        </w:p>
        <w:p w14:paraId="38F1F8F9" w14:textId="273E4A9E" w:rsidR="008B5583" w:rsidRDefault="008B5583">
          <w:pPr>
            <w:pStyle w:val="TOC3"/>
            <w:tabs>
              <w:tab w:val="right" w:leader="dot" w:pos="9016"/>
            </w:tabs>
            <w:rPr>
              <w:rFonts w:eastAsiaTheme="minorEastAsia"/>
              <w:noProof/>
              <w:lang w:eastAsia="en-GB"/>
            </w:rPr>
          </w:pPr>
          <w:hyperlink w:anchor="_Toc99539842" w:history="1">
            <w:r w:rsidRPr="00BA0C07">
              <w:rPr>
                <w:rStyle w:val="Hyperlink"/>
                <w:noProof/>
              </w:rPr>
              <w:t>External validation</w:t>
            </w:r>
            <w:r>
              <w:rPr>
                <w:noProof/>
                <w:webHidden/>
              </w:rPr>
              <w:tab/>
            </w:r>
            <w:r>
              <w:rPr>
                <w:noProof/>
                <w:webHidden/>
              </w:rPr>
              <w:fldChar w:fldCharType="begin"/>
            </w:r>
            <w:r>
              <w:rPr>
                <w:noProof/>
                <w:webHidden/>
              </w:rPr>
              <w:instrText xml:space="preserve"> PAGEREF _Toc99539842 \h </w:instrText>
            </w:r>
            <w:r>
              <w:rPr>
                <w:noProof/>
                <w:webHidden/>
              </w:rPr>
            </w:r>
            <w:r>
              <w:rPr>
                <w:noProof/>
                <w:webHidden/>
              </w:rPr>
              <w:fldChar w:fldCharType="separate"/>
            </w:r>
            <w:r>
              <w:rPr>
                <w:noProof/>
                <w:webHidden/>
              </w:rPr>
              <w:t>39</w:t>
            </w:r>
            <w:r>
              <w:rPr>
                <w:noProof/>
                <w:webHidden/>
              </w:rPr>
              <w:fldChar w:fldCharType="end"/>
            </w:r>
          </w:hyperlink>
        </w:p>
        <w:p w14:paraId="35E93410" w14:textId="789907D1" w:rsidR="008B5583" w:rsidRDefault="008B5583">
          <w:pPr>
            <w:pStyle w:val="TOC3"/>
            <w:tabs>
              <w:tab w:val="right" w:leader="dot" w:pos="9016"/>
            </w:tabs>
            <w:rPr>
              <w:rFonts w:eastAsiaTheme="minorEastAsia"/>
              <w:noProof/>
              <w:lang w:eastAsia="en-GB"/>
            </w:rPr>
          </w:pPr>
          <w:hyperlink w:anchor="_Toc99539843" w:history="1">
            <w:r w:rsidRPr="00BA0C07">
              <w:rPr>
                <w:rStyle w:val="Hyperlink"/>
                <w:noProof/>
              </w:rPr>
              <w:t>Model development in ALSPAC</w:t>
            </w:r>
            <w:r>
              <w:rPr>
                <w:noProof/>
                <w:webHidden/>
              </w:rPr>
              <w:tab/>
            </w:r>
            <w:r>
              <w:rPr>
                <w:noProof/>
                <w:webHidden/>
              </w:rPr>
              <w:fldChar w:fldCharType="begin"/>
            </w:r>
            <w:r>
              <w:rPr>
                <w:noProof/>
                <w:webHidden/>
              </w:rPr>
              <w:instrText xml:space="preserve"> PAGEREF _Toc99539843 \h </w:instrText>
            </w:r>
            <w:r>
              <w:rPr>
                <w:noProof/>
                <w:webHidden/>
              </w:rPr>
            </w:r>
            <w:r>
              <w:rPr>
                <w:noProof/>
                <w:webHidden/>
              </w:rPr>
              <w:fldChar w:fldCharType="separate"/>
            </w:r>
            <w:r>
              <w:rPr>
                <w:noProof/>
                <w:webHidden/>
              </w:rPr>
              <w:t>39</w:t>
            </w:r>
            <w:r>
              <w:rPr>
                <w:noProof/>
                <w:webHidden/>
              </w:rPr>
              <w:fldChar w:fldCharType="end"/>
            </w:r>
          </w:hyperlink>
        </w:p>
        <w:p w14:paraId="4E7F07DA" w14:textId="39349E35" w:rsidR="008B5583" w:rsidRDefault="008B5583">
          <w:pPr>
            <w:pStyle w:val="TOC3"/>
            <w:tabs>
              <w:tab w:val="right" w:leader="dot" w:pos="9016"/>
            </w:tabs>
            <w:rPr>
              <w:rFonts w:eastAsiaTheme="minorEastAsia"/>
              <w:noProof/>
              <w:lang w:eastAsia="en-GB"/>
            </w:rPr>
          </w:pPr>
          <w:hyperlink w:anchor="_Toc99539844" w:history="1">
            <w:r w:rsidRPr="00BA0C07">
              <w:rPr>
                <w:rStyle w:val="Hyperlink"/>
                <w:noProof/>
              </w:rPr>
              <w:t>Deviations from protocol</w:t>
            </w:r>
            <w:r>
              <w:rPr>
                <w:noProof/>
                <w:webHidden/>
              </w:rPr>
              <w:tab/>
            </w:r>
            <w:r>
              <w:rPr>
                <w:noProof/>
                <w:webHidden/>
              </w:rPr>
              <w:fldChar w:fldCharType="begin"/>
            </w:r>
            <w:r>
              <w:rPr>
                <w:noProof/>
                <w:webHidden/>
              </w:rPr>
              <w:instrText xml:space="preserve"> PAGEREF _Toc99539844 \h </w:instrText>
            </w:r>
            <w:r>
              <w:rPr>
                <w:noProof/>
                <w:webHidden/>
              </w:rPr>
            </w:r>
            <w:r>
              <w:rPr>
                <w:noProof/>
                <w:webHidden/>
              </w:rPr>
              <w:fldChar w:fldCharType="separate"/>
            </w:r>
            <w:r>
              <w:rPr>
                <w:noProof/>
                <w:webHidden/>
              </w:rPr>
              <w:t>40</w:t>
            </w:r>
            <w:r>
              <w:rPr>
                <w:noProof/>
                <w:webHidden/>
              </w:rPr>
              <w:fldChar w:fldCharType="end"/>
            </w:r>
          </w:hyperlink>
        </w:p>
        <w:p w14:paraId="7A5D1F51" w14:textId="6BE35318" w:rsidR="008B5583" w:rsidRDefault="008B5583">
          <w:pPr>
            <w:pStyle w:val="TOC2"/>
            <w:tabs>
              <w:tab w:val="right" w:leader="dot" w:pos="9016"/>
            </w:tabs>
            <w:rPr>
              <w:rFonts w:eastAsiaTheme="minorEastAsia"/>
              <w:noProof/>
              <w:lang w:eastAsia="en-GB"/>
            </w:rPr>
          </w:pPr>
          <w:hyperlink w:anchor="_Toc99539845" w:history="1">
            <w:r w:rsidRPr="00BA0C07">
              <w:rPr>
                <w:rStyle w:val="Hyperlink"/>
                <w:noProof/>
              </w:rPr>
              <w:t>Results</w:t>
            </w:r>
            <w:r>
              <w:rPr>
                <w:noProof/>
                <w:webHidden/>
              </w:rPr>
              <w:tab/>
            </w:r>
            <w:r>
              <w:rPr>
                <w:noProof/>
                <w:webHidden/>
              </w:rPr>
              <w:fldChar w:fldCharType="begin"/>
            </w:r>
            <w:r>
              <w:rPr>
                <w:noProof/>
                <w:webHidden/>
              </w:rPr>
              <w:instrText xml:space="preserve"> PAGEREF _Toc99539845 \h </w:instrText>
            </w:r>
            <w:r>
              <w:rPr>
                <w:noProof/>
                <w:webHidden/>
              </w:rPr>
            </w:r>
            <w:r>
              <w:rPr>
                <w:noProof/>
                <w:webHidden/>
              </w:rPr>
              <w:fldChar w:fldCharType="separate"/>
            </w:r>
            <w:r>
              <w:rPr>
                <w:noProof/>
                <w:webHidden/>
              </w:rPr>
              <w:t>41</w:t>
            </w:r>
            <w:r>
              <w:rPr>
                <w:noProof/>
                <w:webHidden/>
              </w:rPr>
              <w:fldChar w:fldCharType="end"/>
            </w:r>
          </w:hyperlink>
        </w:p>
        <w:p w14:paraId="6187608F" w14:textId="74CF62CD" w:rsidR="008B5583" w:rsidRDefault="008B5583">
          <w:pPr>
            <w:pStyle w:val="TOC3"/>
            <w:tabs>
              <w:tab w:val="right" w:leader="dot" w:pos="9016"/>
            </w:tabs>
            <w:rPr>
              <w:rFonts w:eastAsiaTheme="minorEastAsia"/>
              <w:noProof/>
              <w:lang w:eastAsia="en-GB"/>
            </w:rPr>
          </w:pPr>
          <w:hyperlink w:anchor="_Toc99539846" w:history="1">
            <w:r w:rsidRPr="00BA0C07">
              <w:rPr>
                <w:rStyle w:val="Hyperlink"/>
                <w:noProof/>
              </w:rPr>
              <w:t>CPRD participants</w:t>
            </w:r>
            <w:r>
              <w:rPr>
                <w:noProof/>
                <w:webHidden/>
              </w:rPr>
              <w:tab/>
            </w:r>
            <w:r>
              <w:rPr>
                <w:noProof/>
                <w:webHidden/>
              </w:rPr>
              <w:fldChar w:fldCharType="begin"/>
            </w:r>
            <w:r>
              <w:rPr>
                <w:noProof/>
                <w:webHidden/>
              </w:rPr>
              <w:instrText xml:space="preserve"> PAGEREF _Toc99539846 \h </w:instrText>
            </w:r>
            <w:r>
              <w:rPr>
                <w:noProof/>
                <w:webHidden/>
              </w:rPr>
            </w:r>
            <w:r>
              <w:rPr>
                <w:noProof/>
                <w:webHidden/>
              </w:rPr>
              <w:fldChar w:fldCharType="separate"/>
            </w:r>
            <w:r>
              <w:rPr>
                <w:noProof/>
                <w:webHidden/>
              </w:rPr>
              <w:t>41</w:t>
            </w:r>
            <w:r>
              <w:rPr>
                <w:noProof/>
                <w:webHidden/>
              </w:rPr>
              <w:fldChar w:fldCharType="end"/>
            </w:r>
          </w:hyperlink>
        </w:p>
        <w:p w14:paraId="21902ACA" w14:textId="56FC840C" w:rsidR="008B5583" w:rsidRDefault="008B5583">
          <w:pPr>
            <w:pStyle w:val="TOC3"/>
            <w:tabs>
              <w:tab w:val="right" w:leader="dot" w:pos="9016"/>
            </w:tabs>
            <w:rPr>
              <w:rFonts w:eastAsiaTheme="minorEastAsia"/>
              <w:noProof/>
              <w:lang w:eastAsia="en-GB"/>
            </w:rPr>
          </w:pPr>
          <w:hyperlink w:anchor="_Toc99539847" w:history="1">
            <w:r w:rsidRPr="00BA0C07">
              <w:rPr>
                <w:rStyle w:val="Hyperlink"/>
                <w:noProof/>
              </w:rPr>
              <w:t>Diagnostic indicator selection</w:t>
            </w:r>
            <w:r>
              <w:rPr>
                <w:noProof/>
                <w:webHidden/>
              </w:rPr>
              <w:tab/>
            </w:r>
            <w:r>
              <w:rPr>
                <w:noProof/>
                <w:webHidden/>
              </w:rPr>
              <w:fldChar w:fldCharType="begin"/>
            </w:r>
            <w:r>
              <w:rPr>
                <w:noProof/>
                <w:webHidden/>
              </w:rPr>
              <w:instrText xml:space="preserve"> PAGEREF _Toc99539847 \h </w:instrText>
            </w:r>
            <w:r>
              <w:rPr>
                <w:noProof/>
                <w:webHidden/>
              </w:rPr>
            </w:r>
            <w:r>
              <w:rPr>
                <w:noProof/>
                <w:webHidden/>
              </w:rPr>
              <w:fldChar w:fldCharType="separate"/>
            </w:r>
            <w:r>
              <w:rPr>
                <w:noProof/>
                <w:webHidden/>
              </w:rPr>
              <w:t>49</w:t>
            </w:r>
            <w:r>
              <w:rPr>
                <w:noProof/>
                <w:webHidden/>
              </w:rPr>
              <w:fldChar w:fldCharType="end"/>
            </w:r>
          </w:hyperlink>
        </w:p>
        <w:p w14:paraId="32C63CE2" w14:textId="635D009E" w:rsidR="008B5583" w:rsidRDefault="008B5583">
          <w:pPr>
            <w:pStyle w:val="TOC3"/>
            <w:tabs>
              <w:tab w:val="right" w:leader="dot" w:pos="9016"/>
            </w:tabs>
            <w:rPr>
              <w:rFonts w:eastAsiaTheme="minorEastAsia"/>
              <w:noProof/>
              <w:lang w:eastAsia="en-GB"/>
            </w:rPr>
          </w:pPr>
          <w:hyperlink w:anchor="_Toc99539848" w:history="1">
            <w:r w:rsidRPr="00BA0C07">
              <w:rPr>
                <w:rStyle w:val="Hyperlink"/>
                <w:noProof/>
              </w:rPr>
              <w:t>Model specification</w:t>
            </w:r>
            <w:r>
              <w:rPr>
                <w:noProof/>
                <w:webHidden/>
              </w:rPr>
              <w:tab/>
            </w:r>
            <w:r>
              <w:rPr>
                <w:noProof/>
                <w:webHidden/>
              </w:rPr>
              <w:fldChar w:fldCharType="begin"/>
            </w:r>
            <w:r>
              <w:rPr>
                <w:noProof/>
                <w:webHidden/>
              </w:rPr>
              <w:instrText xml:space="preserve"> PAGEREF _Toc99539848 \h </w:instrText>
            </w:r>
            <w:r>
              <w:rPr>
                <w:noProof/>
                <w:webHidden/>
              </w:rPr>
            </w:r>
            <w:r>
              <w:rPr>
                <w:noProof/>
                <w:webHidden/>
              </w:rPr>
              <w:fldChar w:fldCharType="separate"/>
            </w:r>
            <w:r>
              <w:rPr>
                <w:noProof/>
                <w:webHidden/>
              </w:rPr>
              <w:t>49</w:t>
            </w:r>
            <w:r>
              <w:rPr>
                <w:noProof/>
                <w:webHidden/>
              </w:rPr>
              <w:fldChar w:fldCharType="end"/>
            </w:r>
          </w:hyperlink>
        </w:p>
        <w:p w14:paraId="7A1A7819" w14:textId="099E20FE" w:rsidR="008B5583" w:rsidRDefault="008B5583">
          <w:pPr>
            <w:pStyle w:val="TOC3"/>
            <w:tabs>
              <w:tab w:val="right" w:leader="dot" w:pos="9016"/>
            </w:tabs>
            <w:rPr>
              <w:rFonts w:eastAsiaTheme="minorEastAsia"/>
              <w:noProof/>
              <w:lang w:eastAsia="en-GB"/>
            </w:rPr>
          </w:pPr>
          <w:hyperlink w:anchor="_Toc99539849" w:history="1">
            <w:r w:rsidRPr="00BA0C07">
              <w:rPr>
                <w:rStyle w:val="Hyperlink"/>
                <w:noProof/>
              </w:rPr>
              <w:t>Model performance</w:t>
            </w:r>
            <w:r>
              <w:rPr>
                <w:noProof/>
                <w:webHidden/>
              </w:rPr>
              <w:tab/>
            </w:r>
            <w:r>
              <w:rPr>
                <w:noProof/>
                <w:webHidden/>
              </w:rPr>
              <w:fldChar w:fldCharType="begin"/>
            </w:r>
            <w:r>
              <w:rPr>
                <w:noProof/>
                <w:webHidden/>
              </w:rPr>
              <w:instrText xml:space="preserve"> PAGEREF _Toc99539849 \h </w:instrText>
            </w:r>
            <w:r>
              <w:rPr>
                <w:noProof/>
                <w:webHidden/>
              </w:rPr>
            </w:r>
            <w:r>
              <w:rPr>
                <w:noProof/>
                <w:webHidden/>
              </w:rPr>
              <w:fldChar w:fldCharType="separate"/>
            </w:r>
            <w:r>
              <w:rPr>
                <w:noProof/>
                <w:webHidden/>
              </w:rPr>
              <w:t>52</w:t>
            </w:r>
            <w:r>
              <w:rPr>
                <w:noProof/>
                <w:webHidden/>
              </w:rPr>
              <w:fldChar w:fldCharType="end"/>
            </w:r>
          </w:hyperlink>
        </w:p>
        <w:p w14:paraId="647E5AA7" w14:textId="49BBD291" w:rsidR="008B5583" w:rsidRDefault="008B5583">
          <w:pPr>
            <w:pStyle w:val="TOC3"/>
            <w:tabs>
              <w:tab w:val="right" w:leader="dot" w:pos="9016"/>
            </w:tabs>
            <w:rPr>
              <w:rFonts w:eastAsiaTheme="minorEastAsia"/>
              <w:noProof/>
              <w:lang w:eastAsia="en-GB"/>
            </w:rPr>
          </w:pPr>
          <w:hyperlink w:anchor="_Toc99539850" w:history="1">
            <w:r w:rsidRPr="00BA0C07">
              <w:rPr>
                <w:rStyle w:val="Hyperlink"/>
                <w:noProof/>
              </w:rPr>
              <w:t>External validation</w:t>
            </w:r>
            <w:r>
              <w:rPr>
                <w:noProof/>
                <w:webHidden/>
              </w:rPr>
              <w:tab/>
            </w:r>
            <w:r>
              <w:rPr>
                <w:noProof/>
                <w:webHidden/>
              </w:rPr>
              <w:fldChar w:fldCharType="begin"/>
            </w:r>
            <w:r>
              <w:rPr>
                <w:noProof/>
                <w:webHidden/>
              </w:rPr>
              <w:instrText xml:space="preserve"> PAGEREF _Toc99539850 \h </w:instrText>
            </w:r>
            <w:r>
              <w:rPr>
                <w:noProof/>
                <w:webHidden/>
              </w:rPr>
            </w:r>
            <w:r>
              <w:rPr>
                <w:noProof/>
                <w:webHidden/>
              </w:rPr>
              <w:fldChar w:fldCharType="separate"/>
            </w:r>
            <w:r>
              <w:rPr>
                <w:noProof/>
                <w:webHidden/>
              </w:rPr>
              <w:t>52</w:t>
            </w:r>
            <w:r>
              <w:rPr>
                <w:noProof/>
                <w:webHidden/>
              </w:rPr>
              <w:fldChar w:fldCharType="end"/>
            </w:r>
          </w:hyperlink>
        </w:p>
        <w:p w14:paraId="5E68B75F" w14:textId="640EF8C9" w:rsidR="008B5583" w:rsidRDefault="008B5583">
          <w:pPr>
            <w:pStyle w:val="TOC3"/>
            <w:tabs>
              <w:tab w:val="right" w:leader="dot" w:pos="9016"/>
            </w:tabs>
            <w:rPr>
              <w:rFonts w:eastAsiaTheme="minorEastAsia"/>
              <w:noProof/>
              <w:lang w:eastAsia="en-GB"/>
            </w:rPr>
          </w:pPr>
          <w:hyperlink w:anchor="_Toc99539851" w:history="1">
            <w:r w:rsidRPr="00BA0C07">
              <w:rPr>
                <w:rStyle w:val="Hyperlink"/>
                <w:noProof/>
              </w:rPr>
              <w:t>Clinical usefulness</w:t>
            </w:r>
            <w:r>
              <w:rPr>
                <w:noProof/>
                <w:webHidden/>
              </w:rPr>
              <w:tab/>
            </w:r>
            <w:r>
              <w:rPr>
                <w:noProof/>
                <w:webHidden/>
              </w:rPr>
              <w:fldChar w:fldCharType="begin"/>
            </w:r>
            <w:r>
              <w:rPr>
                <w:noProof/>
                <w:webHidden/>
              </w:rPr>
              <w:instrText xml:space="preserve"> PAGEREF _Toc99539851 \h </w:instrText>
            </w:r>
            <w:r>
              <w:rPr>
                <w:noProof/>
                <w:webHidden/>
              </w:rPr>
            </w:r>
            <w:r>
              <w:rPr>
                <w:noProof/>
                <w:webHidden/>
              </w:rPr>
              <w:fldChar w:fldCharType="separate"/>
            </w:r>
            <w:r>
              <w:rPr>
                <w:noProof/>
                <w:webHidden/>
              </w:rPr>
              <w:t>53</w:t>
            </w:r>
            <w:r>
              <w:rPr>
                <w:noProof/>
                <w:webHidden/>
              </w:rPr>
              <w:fldChar w:fldCharType="end"/>
            </w:r>
          </w:hyperlink>
        </w:p>
        <w:p w14:paraId="724F9744" w14:textId="4982F3EC" w:rsidR="008B5583" w:rsidRDefault="008B5583">
          <w:pPr>
            <w:pStyle w:val="TOC3"/>
            <w:tabs>
              <w:tab w:val="right" w:leader="dot" w:pos="9016"/>
            </w:tabs>
            <w:rPr>
              <w:rFonts w:eastAsiaTheme="minorEastAsia"/>
              <w:noProof/>
              <w:lang w:eastAsia="en-GB"/>
            </w:rPr>
          </w:pPr>
          <w:hyperlink w:anchor="_Toc99539852" w:history="1">
            <w:r w:rsidRPr="00BA0C07">
              <w:rPr>
                <w:rStyle w:val="Hyperlink"/>
                <w:noProof/>
              </w:rPr>
              <w:t>Sensitivity analysis on CD patients diagnosed after 1997</w:t>
            </w:r>
            <w:r>
              <w:rPr>
                <w:noProof/>
                <w:webHidden/>
              </w:rPr>
              <w:tab/>
            </w:r>
            <w:r>
              <w:rPr>
                <w:noProof/>
                <w:webHidden/>
              </w:rPr>
              <w:fldChar w:fldCharType="begin"/>
            </w:r>
            <w:r>
              <w:rPr>
                <w:noProof/>
                <w:webHidden/>
              </w:rPr>
              <w:instrText xml:space="preserve"> PAGEREF _Toc99539852 \h </w:instrText>
            </w:r>
            <w:r>
              <w:rPr>
                <w:noProof/>
                <w:webHidden/>
              </w:rPr>
            </w:r>
            <w:r>
              <w:rPr>
                <w:noProof/>
                <w:webHidden/>
              </w:rPr>
              <w:fldChar w:fldCharType="separate"/>
            </w:r>
            <w:r>
              <w:rPr>
                <w:noProof/>
                <w:webHidden/>
              </w:rPr>
              <w:t>56</w:t>
            </w:r>
            <w:r>
              <w:rPr>
                <w:noProof/>
                <w:webHidden/>
              </w:rPr>
              <w:fldChar w:fldCharType="end"/>
            </w:r>
          </w:hyperlink>
        </w:p>
        <w:p w14:paraId="726B1126" w14:textId="55F5E6DE" w:rsidR="008B5583" w:rsidRDefault="008B5583">
          <w:pPr>
            <w:pStyle w:val="TOC3"/>
            <w:tabs>
              <w:tab w:val="right" w:leader="dot" w:pos="9016"/>
            </w:tabs>
            <w:rPr>
              <w:rFonts w:eastAsiaTheme="minorEastAsia"/>
              <w:noProof/>
              <w:lang w:eastAsia="en-GB"/>
            </w:rPr>
          </w:pPr>
          <w:hyperlink w:anchor="_Toc99539853" w:history="1">
            <w:r w:rsidRPr="00BA0C07">
              <w:rPr>
                <w:rStyle w:val="Hyperlink"/>
                <w:noProof/>
              </w:rPr>
              <w:t>Sensitivity analysis including ethnicity and deprivation as predictions</w:t>
            </w:r>
            <w:r>
              <w:rPr>
                <w:noProof/>
                <w:webHidden/>
              </w:rPr>
              <w:tab/>
            </w:r>
            <w:r>
              <w:rPr>
                <w:noProof/>
                <w:webHidden/>
              </w:rPr>
              <w:fldChar w:fldCharType="begin"/>
            </w:r>
            <w:r>
              <w:rPr>
                <w:noProof/>
                <w:webHidden/>
              </w:rPr>
              <w:instrText xml:space="preserve"> PAGEREF _Toc99539853 \h </w:instrText>
            </w:r>
            <w:r>
              <w:rPr>
                <w:noProof/>
                <w:webHidden/>
              </w:rPr>
            </w:r>
            <w:r>
              <w:rPr>
                <w:noProof/>
                <w:webHidden/>
              </w:rPr>
              <w:fldChar w:fldCharType="separate"/>
            </w:r>
            <w:r>
              <w:rPr>
                <w:noProof/>
                <w:webHidden/>
              </w:rPr>
              <w:t>56</w:t>
            </w:r>
            <w:r>
              <w:rPr>
                <w:noProof/>
                <w:webHidden/>
              </w:rPr>
              <w:fldChar w:fldCharType="end"/>
            </w:r>
          </w:hyperlink>
        </w:p>
        <w:p w14:paraId="107DCBFA" w14:textId="1BE188B9" w:rsidR="008B5583" w:rsidRDefault="008B5583">
          <w:pPr>
            <w:pStyle w:val="TOC3"/>
            <w:tabs>
              <w:tab w:val="right" w:leader="dot" w:pos="9016"/>
            </w:tabs>
            <w:rPr>
              <w:rFonts w:eastAsiaTheme="minorEastAsia"/>
              <w:noProof/>
              <w:lang w:eastAsia="en-GB"/>
            </w:rPr>
          </w:pPr>
          <w:hyperlink w:anchor="_Toc99539854" w:history="1">
            <w:r w:rsidRPr="00BA0C07">
              <w:rPr>
                <w:rStyle w:val="Hyperlink"/>
                <w:noProof/>
              </w:rPr>
              <w:t>ALSPAC analysis</w:t>
            </w:r>
            <w:r>
              <w:rPr>
                <w:noProof/>
                <w:webHidden/>
              </w:rPr>
              <w:tab/>
            </w:r>
            <w:r>
              <w:rPr>
                <w:noProof/>
                <w:webHidden/>
              </w:rPr>
              <w:fldChar w:fldCharType="begin"/>
            </w:r>
            <w:r>
              <w:rPr>
                <w:noProof/>
                <w:webHidden/>
              </w:rPr>
              <w:instrText xml:space="preserve"> PAGEREF _Toc99539854 \h </w:instrText>
            </w:r>
            <w:r>
              <w:rPr>
                <w:noProof/>
                <w:webHidden/>
              </w:rPr>
            </w:r>
            <w:r>
              <w:rPr>
                <w:noProof/>
                <w:webHidden/>
              </w:rPr>
              <w:fldChar w:fldCharType="separate"/>
            </w:r>
            <w:r>
              <w:rPr>
                <w:noProof/>
                <w:webHidden/>
              </w:rPr>
              <w:t>56</w:t>
            </w:r>
            <w:r>
              <w:rPr>
                <w:noProof/>
                <w:webHidden/>
              </w:rPr>
              <w:fldChar w:fldCharType="end"/>
            </w:r>
          </w:hyperlink>
        </w:p>
        <w:p w14:paraId="45070252" w14:textId="52CCD4B5" w:rsidR="008B5583" w:rsidRDefault="008B5583">
          <w:pPr>
            <w:pStyle w:val="TOC1"/>
            <w:rPr>
              <w:rFonts w:eastAsiaTheme="minorEastAsia"/>
              <w:noProof/>
              <w:lang w:eastAsia="en-GB"/>
            </w:rPr>
          </w:pPr>
          <w:hyperlink w:anchor="_Toc99539855" w:history="1">
            <w:r w:rsidRPr="00BA0C07">
              <w:rPr>
                <w:rStyle w:val="Hyperlink"/>
                <w:noProof/>
              </w:rPr>
              <w:t>Chapter 5: Accuracy of diagnostic tests for coeliac disease</w:t>
            </w:r>
            <w:r>
              <w:rPr>
                <w:noProof/>
                <w:webHidden/>
              </w:rPr>
              <w:tab/>
            </w:r>
            <w:r>
              <w:rPr>
                <w:noProof/>
                <w:webHidden/>
              </w:rPr>
              <w:fldChar w:fldCharType="begin"/>
            </w:r>
            <w:r>
              <w:rPr>
                <w:noProof/>
                <w:webHidden/>
              </w:rPr>
              <w:instrText xml:space="preserve"> PAGEREF _Toc99539855 \h </w:instrText>
            </w:r>
            <w:r>
              <w:rPr>
                <w:noProof/>
                <w:webHidden/>
              </w:rPr>
            </w:r>
            <w:r>
              <w:rPr>
                <w:noProof/>
                <w:webHidden/>
              </w:rPr>
              <w:fldChar w:fldCharType="separate"/>
            </w:r>
            <w:r>
              <w:rPr>
                <w:noProof/>
                <w:webHidden/>
              </w:rPr>
              <w:t>59</w:t>
            </w:r>
            <w:r>
              <w:rPr>
                <w:noProof/>
                <w:webHidden/>
              </w:rPr>
              <w:fldChar w:fldCharType="end"/>
            </w:r>
          </w:hyperlink>
        </w:p>
        <w:p w14:paraId="38F0EF16" w14:textId="36C930E6" w:rsidR="008B5583" w:rsidRDefault="008B5583">
          <w:pPr>
            <w:pStyle w:val="TOC2"/>
            <w:tabs>
              <w:tab w:val="right" w:leader="dot" w:pos="9016"/>
            </w:tabs>
            <w:rPr>
              <w:rFonts w:eastAsiaTheme="minorEastAsia"/>
              <w:noProof/>
              <w:lang w:eastAsia="en-GB"/>
            </w:rPr>
          </w:pPr>
          <w:hyperlink w:anchor="_Toc99539856" w:history="1">
            <w:r w:rsidRPr="00BA0C07">
              <w:rPr>
                <w:rStyle w:val="Hyperlink"/>
                <w:noProof/>
              </w:rPr>
              <w:t>Systematic review methods</w:t>
            </w:r>
            <w:r>
              <w:rPr>
                <w:noProof/>
                <w:webHidden/>
              </w:rPr>
              <w:tab/>
            </w:r>
            <w:r>
              <w:rPr>
                <w:noProof/>
                <w:webHidden/>
              </w:rPr>
              <w:fldChar w:fldCharType="begin"/>
            </w:r>
            <w:r>
              <w:rPr>
                <w:noProof/>
                <w:webHidden/>
              </w:rPr>
              <w:instrText xml:space="preserve"> PAGEREF _Toc99539856 \h </w:instrText>
            </w:r>
            <w:r>
              <w:rPr>
                <w:noProof/>
                <w:webHidden/>
              </w:rPr>
            </w:r>
            <w:r>
              <w:rPr>
                <w:noProof/>
                <w:webHidden/>
              </w:rPr>
              <w:fldChar w:fldCharType="separate"/>
            </w:r>
            <w:r>
              <w:rPr>
                <w:noProof/>
                <w:webHidden/>
              </w:rPr>
              <w:t>59</w:t>
            </w:r>
            <w:r>
              <w:rPr>
                <w:noProof/>
                <w:webHidden/>
              </w:rPr>
              <w:fldChar w:fldCharType="end"/>
            </w:r>
          </w:hyperlink>
        </w:p>
        <w:p w14:paraId="0E10FD08" w14:textId="792D8423" w:rsidR="008B5583" w:rsidRDefault="008B5583">
          <w:pPr>
            <w:pStyle w:val="TOC3"/>
            <w:tabs>
              <w:tab w:val="right" w:leader="dot" w:pos="9016"/>
            </w:tabs>
            <w:rPr>
              <w:rFonts w:eastAsiaTheme="minorEastAsia"/>
              <w:noProof/>
              <w:lang w:eastAsia="en-GB"/>
            </w:rPr>
          </w:pPr>
          <w:hyperlink w:anchor="_Toc99539857" w:history="1">
            <w:r w:rsidRPr="00BA0C07">
              <w:rPr>
                <w:rStyle w:val="Hyperlink"/>
                <w:noProof/>
              </w:rPr>
              <w:t>Eligibility criteria</w:t>
            </w:r>
            <w:r>
              <w:rPr>
                <w:noProof/>
                <w:webHidden/>
              </w:rPr>
              <w:tab/>
            </w:r>
            <w:r>
              <w:rPr>
                <w:noProof/>
                <w:webHidden/>
              </w:rPr>
              <w:fldChar w:fldCharType="begin"/>
            </w:r>
            <w:r>
              <w:rPr>
                <w:noProof/>
                <w:webHidden/>
              </w:rPr>
              <w:instrText xml:space="preserve"> PAGEREF _Toc99539857 \h </w:instrText>
            </w:r>
            <w:r>
              <w:rPr>
                <w:noProof/>
                <w:webHidden/>
              </w:rPr>
            </w:r>
            <w:r>
              <w:rPr>
                <w:noProof/>
                <w:webHidden/>
              </w:rPr>
              <w:fldChar w:fldCharType="separate"/>
            </w:r>
            <w:r>
              <w:rPr>
                <w:noProof/>
                <w:webHidden/>
              </w:rPr>
              <w:t>59</w:t>
            </w:r>
            <w:r>
              <w:rPr>
                <w:noProof/>
                <w:webHidden/>
              </w:rPr>
              <w:fldChar w:fldCharType="end"/>
            </w:r>
          </w:hyperlink>
        </w:p>
        <w:p w14:paraId="3CC7CDCF" w14:textId="23D3F61A" w:rsidR="008B5583" w:rsidRDefault="008B5583">
          <w:pPr>
            <w:pStyle w:val="TOC3"/>
            <w:tabs>
              <w:tab w:val="right" w:leader="dot" w:pos="9016"/>
            </w:tabs>
            <w:rPr>
              <w:rFonts w:eastAsiaTheme="minorEastAsia"/>
              <w:noProof/>
              <w:lang w:eastAsia="en-GB"/>
            </w:rPr>
          </w:pPr>
          <w:hyperlink w:anchor="_Toc99539858" w:history="1">
            <w:r w:rsidRPr="00BA0C07">
              <w:rPr>
                <w:rStyle w:val="Hyperlink"/>
                <w:noProof/>
              </w:rPr>
              <w:t>Search strategy</w:t>
            </w:r>
            <w:r>
              <w:rPr>
                <w:noProof/>
                <w:webHidden/>
              </w:rPr>
              <w:tab/>
            </w:r>
            <w:r>
              <w:rPr>
                <w:noProof/>
                <w:webHidden/>
              </w:rPr>
              <w:fldChar w:fldCharType="begin"/>
            </w:r>
            <w:r>
              <w:rPr>
                <w:noProof/>
                <w:webHidden/>
              </w:rPr>
              <w:instrText xml:space="preserve"> PAGEREF _Toc99539858 \h </w:instrText>
            </w:r>
            <w:r>
              <w:rPr>
                <w:noProof/>
                <w:webHidden/>
              </w:rPr>
            </w:r>
            <w:r>
              <w:rPr>
                <w:noProof/>
                <w:webHidden/>
              </w:rPr>
              <w:fldChar w:fldCharType="separate"/>
            </w:r>
            <w:r>
              <w:rPr>
                <w:noProof/>
                <w:webHidden/>
              </w:rPr>
              <w:t>59</w:t>
            </w:r>
            <w:r>
              <w:rPr>
                <w:noProof/>
                <w:webHidden/>
              </w:rPr>
              <w:fldChar w:fldCharType="end"/>
            </w:r>
          </w:hyperlink>
        </w:p>
        <w:p w14:paraId="582F56FD" w14:textId="29BE1305" w:rsidR="008B5583" w:rsidRDefault="008B5583">
          <w:pPr>
            <w:pStyle w:val="TOC3"/>
            <w:tabs>
              <w:tab w:val="right" w:leader="dot" w:pos="9016"/>
            </w:tabs>
            <w:rPr>
              <w:rFonts w:eastAsiaTheme="minorEastAsia"/>
              <w:noProof/>
              <w:lang w:eastAsia="en-GB"/>
            </w:rPr>
          </w:pPr>
          <w:hyperlink w:anchor="_Toc99539859" w:history="1">
            <w:r w:rsidRPr="00BA0C07">
              <w:rPr>
                <w:rStyle w:val="Hyperlink"/>
                <w:noProof/>
              </w:rPr>
              <w:t>Study selection</w:t>
            </w:r>
            <w:r>
              <w:rPr>
                <w:noProof/>
                <w:webHidden/>
              </w:rPr>
              <w:tab/>
            </w:r>
            <w:r>
              <w:rPr>
                <w:noProof/>
                <w:webHidden/>
              </w:rPr>
              <w:fldChar w:fldCharType="begin"/>
            </w:r>
            <w:r>
              <w:rPr>
                <w:noProof/>
                <w:webHidden/>
              </w:rPr>
              <w:instrText xml:space="preserve"> PAGEREF _Toc99539859 \h </w:instrText>
            </w:r>
            <w:r>
              <w:rPr>
                <w:noProof/>
                <w:webHidden/>
              </w:rPr>
            </w:r>
            <w:r>
              <w:rPr>
                <w:noProof/>
                <w:webHidden/>
              </w:rPr>
              <w:fldChar w:fldCharType="separate"/>
            </w:r>
            <w:r>
              <w:rPr>
                <w:noProof/>
                <w:webHidden/>
              </w:rPr>
              <w:t>60</w:t>
            </w:r>
            <w:r>
              <w:rPr>
                <w:noProof/>
                <w:webHidden/>
              </w:rPr>
              <w:fldChar w:fldCharType="end"/>
            </w:r>
          </w:hyperlink>
        </w:p>
        <w:p w14:paraId="2B290B1E" w14:textId="326FBB2A" w:rsidR="008B5583" w:rsidRDefault="008B5583">
          <w:pPr>
            <w:pStyle w:val="TOC3"/>
            <w:tabs>
              <w:tab w:val="right" w:leader="dot" w:pos="9016"/>
            </w:tabs>
            <w:rPr>
              <w:rFonts w:eastAsiaTheme="minorEastAsia"/>
              <w:noProof/>
              <w:lang w:eastAsia="en-GB"/>
            </w:rPr>
          </w:pPr>
          <w:hyperlink w:anchor="_Toc99539860" w:history="1">
            <w:r w:rsidRPr="00BA0C07">
              <w:rPr>
                <w:rStyle w:val="Hyperlink"/>
                <w:noProof/>
              </w:rPr>
              <w:t>Data collection process</w:t>
            </w:r>
            <w:r>
              <w:rPr>
                <w:noProof/>
                <w:webHidden/>
              </w:rPr>
              <w:tab/>
            </w:r>
            <w:r>
              <w:rPr>
                <w:noProof/>
                <w:webHidden/>
              </w:rPr>
              <w:fldChar w:fldCharType="begin"/>
            </w:r>
            <w:r>
              <w:rPr>
                <w:noProof/>
                <w:webHidden/>
              </w:rPr>
              <w:instrText xml:space="preserve"> PAGEREF _Toc99539860 \h </w:instrText>
            </w:r>
            <w:r>
              <w:rPr>
                <w:noProof/>
                <w:webHidden/>
              </w:rPr>
            </w:r>
            <w:r>
              <w:rPr>
                <w:noProof/>
                <w:webHidden/>
              </w:rPr>
              <w:fldChar w:fldCharType="separate"/>
            </w:r>
            <w:r>
              <w:rPr>
                <w:noProof/>
                <w:webHidden/>
              </w:rPr>
              <w:t>60</w:t>
            </w:r>
            <w:r>
              <w:rPr>
                <w:noProof/>
                <w:webHidden/>
              </w:rPr>
              <w:fldChar w:fldCharType="end"/>
            </w:r>
          </w:hyperlink>
        </w:p>
        <w:p w14:paraId="609C4441" w14:textId="4CC5F6CB" w:rsidR="008B5583" w:rsidRDefault="008B5583">
          <w:pPr>
            <w:pStyle w:val="TOC3"/>
            <w:tabs>
              <w:tab w:val="right" w:leader="dot" w:pos="9016"/>
            </w:tabs>
            <w:rPr>
              <w:rFonts w:eastAsiaTheme="minorEastAsia"/>
              <w:noProof/>
              <w:lang w:eastAsia="en-GB"/>
            </w:rPr>
          </w:pPr>
          <w:hyperlink w:anchor="_Toc99539861" w:history="1">
            <w:r w:rsidRPr="00BA0C07">
              <w:rPr>
                <w:rStyle w:val="Hyperlink"/>
                <w:noProof/>
              </w:rPr>
              <w:t>Risk of bias</w:t>
            </w:r>
            <w:r>
              <w:rPr>
                <w:noProof/>
                <w:webHidden/>
              </w:rPr>
              <w:tab/>
            </w:r>
            <w:r>
              <w:rPr>
                <w:noProof/>
                <w:webHidden/>
              </w:rPr>
              <w:fldChar w:fldCharType="begin"/>
            </w:r>
            <w:r>
              <w:rPr>
                <w:noProof/>
                <w:webHidden/>
              </w:rPr>
              <w:instrText xml:space="preserve"> PAGEREF _Toc99539861 \h </w:instrText>
            </w:r>
            <w:r>
              <w:rPr>
                <w:noProof/>
                <w:webHidden/>
              </w:rPr>
            </w:r>
            <w:r>
              <w:rPr>
                <w:noProof/>
                <w:webHidden/>
              </w:rPr>
              <w:fldChar w:fldCharType="separate"/>
            </w:r>
            <w:r>
              <w:rPr>
                <w:noProof/>
                <w:webHidden/>
              </w:rPr>
              <w:t>60</w:t>
            </w:r>
            <w:r>
              <w:rPr>
                <w:noProof/>
                <w:webHidden/>
              </w:rPr>
              <w:fldChar w:fldCharType="end"/>
            </w:r>
          </w:hyperlink>
        </w:p>
        <w:p w14:paraId="65F360F4" w14:textId="5890193F" w:rsidR="008B5583" w:rsidRDefault="008B5583">
          <w:pPr>
            <w:pStyle w:val="TOC3"/>
            <w:tabs>
              <w:tab w:val="right" w:leader="dot" w:pos="9016"/>
            </w:tabs>
            <w:rPr>
              <w:rFonts w:eastAsiaTheme="minorEastAsia"/>
              <w:noProof/>
              <w:lang w:eastAsia="en-GB"/>
            </w:rPr>
          </w:pPr>
          <w:hyperlink w:anchor="_Toc99539862" w:history="1">
            <w:r w:rsidRPr="00BA0C07">
              <w:rPr>
                <w:rStyle w:val="Hyperlink"/>
                <w:noProof/>
              </w:rPr>
              <w:t>Synthesis of results</w:t>
            </w:r>
            <w:r>
              <w:rPr>
                <w:noProof/>
                <w:webHidden/>
              </w:rPr>
              <w:tab/>
            </w:r>
            <w:r>
              <w:rPr>
                <w:noProof/>
                <w:webHidden/>
              </w:rPr>
              <w:fldChar w:fldCharType="begin"/>
            </w:r>
            <w:r>
              <w:rPr>
                <w:noProof/>
                <w:webHidden/>
              </w:rPr>
              <w:instrText xml:space="preserve"> PAGEREF _Toc99539862 \h </w:instrText>
            </w:r>
            <w:r>
              <w:rPr>
                <w:noProof/>
                <w:webHidden/>
              </w:rPr>
            </w:r>
            <w:r>
              <w:rPr>
                <w:noProof/>
                <w:webHidden/>
              </w:rPr>
              <w:fldChar w:fldCharType="separate"/>
            </w:r>
            <w:r>
              <w:rPr>
                <w:noProof/>
                <w:webHidden/>
              </w:rPr>
              <w:t>61</w:t>
            </w:r>
            <w:r>
              <w:rPr>
                <w:noProof/>
                <w:webHidden/>
              </w:rPr>
              <w:fldChar w:fldCharType="end"/>
            </w:r>
          </w:hyperlink>
        </w:p>
        <w:p w14:paraId="44DB6DB2" w14:textId="020A3859" w:rsidR="008B5583" w:rsidRDefault="008B5583">
          <w:pPr>
            <w:pStyle w:val="TOC3"/>
            <w:tabs>
              <w:tab w:val="right" w:leader="dot" w:pos="9016"/>
            </w:tabs>
            <w:rPr>
              <w:rFonts w:eastAsiaTheme="minorEastAsia"/>
              <w:noProof/>
              <w:lang w:eastAsia="en-GB"/>
            </w:rPr>
          </w:pPr>
          <w:hyperlink w:anchor="_Toc99539863" w:history="1">
            <w:r w:rsidRPr="00BA0C07">
              <w:rPr>
                <w:rStyle w:val="Hyperlink"/>
                <w:noProof/>
              </w:rPr>
              <w:t>Deviations from the protocol</w:t>
            </w:r>
            <w:r>
              <w:rPr>
                <w:noProof/>
                <w:webHidden/>
              </w:rPr>
              <w:tab/>
            </w:r>
            <w:r>
              <w:rPr>
                <w:noProof/>
                <w:webHidden/>
              </w:rPr>
              <w:fldChar w:fldCharType="begin"/>
            </w:r>
            <w:r>
              <w:rPr>
                <w:noProof/>
                <w:webHidden/>
              </w:rPr>
              <w:instrText xml:space="preserve"> PAGEREF _Toc99539863 \h </w:instrText>
            </w:r>
            <w:r>
              <w:rPr>
                <w:noProof/>
                <w:webHidden/>
              </w:rPr>
            </w:r>
            <w:r>
              <w:rPr>
                <w:noProof/>
                <w:webHidden/>
              </w:rPr>
              <w:fldChar w:fldCharType="separate"/>
            </w:r>
            <w:r>
              <w:rPr>
                <w:noProof/>
                <w:webHidden/>
              </w:rPr>
              <w:t>62</w:t>
            </w:r>
            <w:r>
              <w:rPr>
                <w:noProof/>
                <w:webHidden/>
              </w:rPr>
              <w:fldChar w:fldCharType="end"/>
            </w:r>
          </w:hyperlink>
        </w:p>
        <w:p w14:paraId="310C2593" w14:textId="48FA55F2" w:rsidR="008B5583" w:rsidRDefault="008B5583">
          <w:pPr>
            <w:pStyle w:val="TOC2"/>
            <w:tabs>
              <w:tab w:val="right" w:leader="dot" w:pos="9016"/>
            </w:tabs>
            <w:rPr>
              <w:rFonts w:eastAsiaTheme="minorEastAsia"/>
              <w:noProof/>
              <w:lang w:eastAsia="en-GB"/>
            </w:rPr>
          </w:pPr>
          <w:hyperlink w:anchor="_Toc99539864" w:history="1">
            <w:r w:rsidRPr="00BA0C07">
              <w:rPr>
                <w:rStyle w:val="Hyperlink"/>
                <w:noProof/>
              </w:rPr>
              <w:t>Results of assessment of diagnostic accuracy of serological tests</w:t>
            </w:r>
            <w:r>
              <w:rPr>
                <w:noProof/>
                <w:webHidden/>
              </w:rPr>
              <w:tab/>
            </w:r>
            <w:r>
              <w:rPr>
                <w:noProof/>
                <w:webHidden/>
              </w:rPr>
              <w:fldChar w:fldCharType="begin"/>
            </w:r>
            <w:r>
              <w:rPr>
                <w:noProof/>
                <w:webHidden/>
              </w:rPr>
              <w:instrText xml:space="preserve"> PAGEREF _Toc99539864 \h </w:instrText>
            </w:r>
            <w:r>
              <w:rPr>
                <w:noProof/>
                <w:webHidden/>
              </w:rPr>
            </w:r>
            <w:r>
              <w:rPr>
                <w:noProof/>
                <w:webHidden/>
              </w:rPr>
              <w:fldChar w:fldCharType="separate"/>
            </w:r>
            <w:r>
              <w:rPr>
                <w:noProof/>
                <w:webHidden/>
              </w:rPr>
              <w:t>63</w:t>
            </w:r>
            <w:r>
              <w:rPr>
                <w:noProof/>
                <w:webHidden/>
              </w:rPr>
              <w:fldChar w:fldCharType="end"/>
            </w:r>
          </w:hyperlink>
        </w:p>
        <w:p w14:paraId="3A0A3F0F" w14:textId="365CF1C2" w:rsidR="008B5583" w:rsidRDefault="008B5583">
          <w:pPr>
            <w:pStyle w:val="TOC3"/>
            <w:tabs>
              <w:tab w:val="right" w:leader="dot" w:pos="9016"/>
            </w:tabs>
            <w:rPr>
              <w:rFonts w:eastAsiaTheme="minorEastAsia"/>
              <w:noProof/>
              <w:lang w:eastAsia="en-GB"/>
            </w:rPr>
          </w:pPr>
          <w:hyperlink w:anchor="_Toc99539865" w:history="1">
            <w:r w:rsidRPr="00BA0C07">
              <w:rPr>
                <w:rStyle w:val="Hyperlink"/>
                <w:noProof/>
              </w:rPr>
              <w:t>Study characteristics</w:t>
            </w:r>
            <w:r>
              <w:rPr>
                <w:noProof/>
                <w:webHidden/>
              </w:rPr>
              <w:tab/>
            </w:r>
            <w:r>
              <w:rPr>
                <w:noProof/>
                <w:webHidden/>
              </w:rPr>
              <w:fldChar w:fldCharType="begin"/>
            </w:r>
            <w:r>
              <w:rPr>
                <w:noProof/>
                <w:webHidden/>
              </w:rPr>
              <w:instrText xml:space="preserve"> PAGEREF _Toc99539865 \h </w:instrText>
            </w:r>
            <w:r>
              <w:rPr>
                <w:noProof/>
                <w:webHidden/>
              </w:rPr>
            </w:r>
            <w:r>
              <w:rPr>
                <w:noProof/>
                <w:webHidden/>
              </w:rPr>
              <w:fldChar w:fldCharType="separate"/>
            </w:r>
            <w:r>
              <w:rPr>
                <w:noProof/>
                <w:webHidden/>
              </w:rPr>
              <w:t>64</w:t>
            </w:r>
            <w:r>
              <w:rPr>
                <w:noProof/>
                <w:webHidden/>
              </w:rPr>
              <w:fldChar w:fldCharType="end"/>
            </w:r>
          </w:hyperlink>
        </w:p>
        <w:p w14:paraId="3622074E" w14:textId="5B59F4D1" w:rsidR="008B5583" w:rsidRDefault="008B5583">
          <w:pPr>
            <w:pStyle w:val="TOC3"/>
            <w:tabs>
              <w:tab w:val="right" w:leader="dot" w:pos="9016"/>
            </w:tabs>
            <w:rPr>
              <w:rFonts w:eastAsiaTheme="minorEastAsia"/>
              <w:noProof/>
              <w:lang w:eastAsia="en-GB"/>
            </w:rPr>
          </w:pPr>
          <w:hyperlink w:anchor="_Toc99539866" w:history="1">
            <w:r w:rsidRPr="00BA0C07">
              <w:rPr>
                <w:rStyle w:val="Hyperlink"/>
                <w:noProof/>
              </w:rPr>
              <w:t>Risk of bias</w:t>
            </w:r>
            <w:r>
              <w:rPr>
                <w:noProof/>
                <w:webHidden/>
              </w:rPr>
              <w:tab/>
            </w:r>
            <w:r>
              <w:rPr>
                <w:noProof/>
                <w:webHidden/>
              </w:rPr>
              <w:fldChar w:fldCharType="begin"/>
            </w:r>
            <w:r>
              <w:rPr>
                <w:noProof/>
                <w:webHidden/>
              </w:rPr>
              <w:instrText xml:space="preserve"> PAGEREF _Toc99539866 \h </w:instrText>
            </w:r>
            <w:r>
              <w:rPr>
                <w:noProof/>
                <w:webHidden/>
              </w:rPr>
            </w:r>
            <w:r>
              <w:rPr>
                <w:noProof/>
                <w:webHidden/>
              </w:rPr>
              <w:fldChar w:fldCharType="separate"/>
            </w:r>
            <w:r>
              <w:rPr>
                <w:noProof/>
                <w:webHidden/>
              </w:rPr>
              <w:t>64</w:t>
            </w:r>
            <w:r>
              <w:rPr>
                <w:noProof/>
                <w:webHidden/>
              </w:rPr>
              <w:fldChar w:fldCharType="end"/>
            </w:r>
          </w:hyperlink>
        </w:p>
        <w:p w14:paraId="527F018B" w14:textId="36B37C32" w:rsidR="008B5583" w:rsidRDefault="008B5583">
          <w:pPr>
            <w:pStyle w:val="TOC3"/>
            <w:tabs>
              <w:tab w:val="right" w:leader="dot" w:pos="9016"/>
            </w:tabs>
            <w:rPr>
              <w:rFonts w:eastAsiaTheme="minorEastAsia"/>
              <w:noProof/>
              <w:lang w:eastAsia="en-GB"/>
            </w:rPr>
          </w:pPr>
          <w:hyperlink w:anchor="_Toc99539867" w:history="1">
            <w:r w:rsidRPr="00BA0C07">
              <w:rPr>
                <w:rStyle w:val="Hyperlink"/>
                <w:noProof/>
              </w:rPr>
              <w:t>Accuracy of serological tests for diagnosing coeliac disease</w:t>
            </w:r>
            <w:r>
              <w:rPr>
                <w:noProof/>
                <w:webHidden/>
              </w:rPr>
              <w:tab/>
            </w:r>
            <w:r>
              <w:rPr>
                <w:noProof/>
                <w:webHidden/>
              </w:rPr>
              <w:fldChar w:fldCharType="begin"/>
            </w:r>
            <w:r>
              <w:rPr>
                <w:noProof/>
                <w:webHidden/>
              </w:rPr>
              <w:instrText xml:space="preserve"> PAGEREF _Toc99539867 \h </w:instrText>
            </w:r>
            <w:r>
              <w:rPr>
                <w:noProof/>
                <w:webHidden/>
              </w:rPr>
            </w:r>
            <w:r>
              <w:rPr>
                <w:noProof/>
                <w:webHidden/>
              </w:rPr>
              <w:fldChar w:fldCharType="separate"/>
            </w:r>
            <w:r>
              <w:rPr>
                <w:noProof/>
                <w:webHidden/>
              </w:rPr>
              <w:t>64</w:t>
            </w:r>
            <w:r>
              <w:rPr>
                <w:noProof/>
                <w:webHidden/>
              </w:rPr>
              <w:fldChar w:fldCharType="end"/>
            </w:r>
          </w:hyperlink>
        </w:p>
        <w:p w14:paraId="6D6B12E7" w14:textId="0AE9415A" w:rsidR="008B5583" w:rsidRDefault="008B5583">
          <w:pPr>
            <w:pStyle w:val="TOC3"/>
            <w:tabs>
              <w:tab w:val="right" w:leader="dot" w:pos="9016"/>
            </w:tabs>
            <w:rPr>
              <w:rFonts w:eastAsiaTheme="minorEastAsia"/>
              <w:noProof/>
              <w:lang w:eastAsia="en-GB"/>
            </w:rPr>
          </w:pPr>
          <w:hyperlink w:anchor="_Toc99539868" w:history="1">
            <w:r w:rsidRPr="00BA0C07">
              <w:rPr>
                <w:rStyle w:val="Hyperlink"/>
                <w:noProof/>
              </w:rPr>
              <w:t>Direct comparisons and test combinations</w:t>
            </w:r>
            <w:r>
              <w:rPr>
                <w:noProof/>
                <w:webHidden/>
              </w:rPr>
              <w:tab/>
            </w:r>
            <w:r>
              <w:rPr>
                <w:noProof/>
                <w:webHidden/>
              </w:rPr>
              <w:fldChar w:fldCharType="begin"/>
            </w:r>
            <w:r>
              <w:rPr>
                <w:noProof/>
                <w:webHidden/>
              </w:rPr>
              <w:instrText xml:space="preserve"> PAGEREF _Toc99539868 \h </w:instrText>
            </w:r>
            <w:r>
              <w:rPr>
                <w:noProof/>
                <w:webHidden/>
              </w:rPr>
            </w:r>
            <w:r>
              <w:rPr>
                <w:noProof/>
                <w:webHidden/>
              </w:rPr>
              <w:fldChar w:fldCharType="separate"/>
            </w:r>
            <w:r>
              <w:rPr>
                <w:noProof/>
                <w:webHidden/>
              </w:rPr>
              <w:t>69</w:t>
            </w:r>
            <w:r>
              <w:rPr>
                <w:noProof/>
                <w:webHidden/>
              </w:rPr>
              <w:fldChar w:fldCharType="end"/>
            </w:r>
          </w:hyperlink>
        </w:p>
        <w:p w14:paraId="3FC106DA" w14:textId="43D7359B" w:rsidR="008B5583" w:rsidRDefault="008B5583">
          <w:pPr>
            <w:pStyle w:val="TOC3"/>
            <w:tabs>
              <w:tab w:val="right" w:leader="dot" w:pos="9016"/>
            </w:tabs>
            <w:rPr>
              <w:rFonts w:eastAsiaTheme="minorEastAsia"/>
              <w:noProof/>
              <w:lang w:eastAsia="en-GB"/>
            </w:rPr>
          </w:pPr>
          <w:hyperlink w:anchor="_Toc99539869" w:history="1">
            <w:r w:rsidRPr="00BA0C07">
              <w:rPr>
                <w:rStyle w:val="Hyperlink"/>
                <w:noProof/>
              </w:rPr>
              <w:t>Sensitivity analyses</w:t>
            </w:r>
            <w:r>
              <w:rPr>
                <w:noProof/>
                <w:webHidden/>
              </w:rPr>
              <w:tab/>
            </w:r>
            <w:r>
              <w:rPr>
                <w:noProof/>
                <w:webHidden/>
              </w:rPr>
              <w:fldChar w:fldCharType="begin"/>
            </w:r>
            <w:r>
              <w:rPr>
                <w:noProof/>
                <w:webHidden/>
              </w:rPr>
              <w:instrText xml:space="preserve"> PAGEREF _Toc99539869 \h </w:instrText>
            </w:r>
            <w:r>
              <w:rPr>
                <w:noProof/>
                <w:webHidden/>
              </w:rPr>
            </w:r>
            <w:r>
              <w:rPr>
                <w:noProof/>
                <w:webHidden/>
              </w:rPr>
              <w:fldChar w:fldCharType="separate"/>
            </w:r>
            <w:r>
              <w:rPr>
                <w:noProof/>
                <w:webHidden/>
              </w:rPr>
              <w:t>70</w:t>
            </w:r>
            <w:r>
              <w:rPr>
                <w:noProof/>
                <w:webHidden/>
              </w:rPr>
              <w:fldChar w:fldCharType="end"/>
            </w:r>
          </w:hyperlink>
        </w:p>
        <w:p w14:paraId="6B30B86D" w14:textId="14E6193B" w:rsidR="008B5583" w:rsidRDefault="008B5583">
          <w:pPr>
            <w:pStyle w:val="TOC1"/>
            <w:rPr>
              <w:rFonts w:eastAsiaTheme="minorEastAsia"/>
              <w:noProof/>
              <w:lang w:eastAsia="en-GB"/>
            </w:rPr>
          </w:pPr>
          <w:hyperlink w:anchor="_Toc99539870" w:history="1">
            <w:r w:rsidRPr="00BA0C07">
              <w:rPr>
                <w:rStyle w:val="Hyperlink"/>
                <w:noProof/>
              </w:rPr>
              <w:t>Chapter 6: Accuracy of genetic tests for coeliac disease</w:t>
            </w:r>
            <w:r>
              <w:rPr>
                <w:noProof/>
                <w:webHidden/>
              </w:rPr>
              <w:tab/>
            </w:r>
            <w:r>
              <w:rPr>
                <w:noProof/>
                <w:webHidden/>
              </w:rPr>
              <w:fldChar w:fldCharType="begin"/>
            </w:r>
            <w:r>
              <w:rPr>
                <w:noProof/>
                <w:webHidden/>
              </w:rPr>
              <w:instrText xml:space="preserve"> PAGEREF _Toc99539870 \h </w:instrText>
            </w:r>
            <w:r>
              <w:rPr>
                <w:noProof/>
                <w:webHidden/>
              </w:rPr>
            </w:r>
            <w:r>
              <w:rPr>
                <w:noProof/>
                <w:webHidden/>
              </w:rPr>
              <w:fldChar w:fldCharType="separate"/>
            </w:r>
            <w:r>
              <w:rPr>
                <w:noProof/>
                <w:webHidden/>
              </w:rPr>
              <w:t>72</w:t>
            </w:r>
            <w:r>
              <w:rPr>
                <w:noProof/>
                <w:webHidden/>
              </w:rPr>
              <w:fldChar w:fldCharType="end"/>
            </w:r>
          </w:hyperlink>
        </w:p>
        <w:p w14:paraId="472028A1" w14:textId="2CE7492B" w:rsidR="008B5583" w:rsidRDefault="008B5583">
          <w:pPr>
            <w:pStyle w:val="TOC2"/>
            <w:tabs>
              <w:tab w:val="right" w:leader="dot" w:pos="9016"/>
            </w:tabs>
            <w:rPr>
              <w:rFonts w:eastAsiaTheme="minorEastAsia"/>
              <w:noProof/>
              <w:lang w:eastAsia="en-GB"/>
            </w:rPr>
          </w:pPr>
          <w:hyperlink w:anchor="_Toc99539871" w:history="1">
            <w:r w:rsidRPr="00BA0C07">
              <w:rPr>
                <w:rStyle w:val="Hyperlink"/>
                <w:noProof/>
              </w:rPr>
              <w:t>Systematic review methods</w:t>
            </w:r>
            <w:r>
              <w:rPr>
                <w:noProof/>
                <w:webHidden/>
              </w:rPr>
              <w:tab/>
            </w:r>
            <w:r>
              <w:rPr>
                <w:noProof/>
                <w:webHidden/>
              </w:rPr>
              <w:fldChar w:fldCharType="begin"/>
            </w:r>
            <w:r>
              <w:rPr>
                <w:noProof/>
                <w:webHidden/>
              </w:rPr>
              <w:instrText xml:space="preserve"> PAGEREF _Toc99539871 \h </w:instrText>
            </w:r>
            <w:r>
              <w:rPr>
                <w:noProof/>
                <w:webHidden/>
              </w:rPr>
            </w:r>
            <w:r>
              <w:rPr>
                <w:noProof/>
                <w:webHidden/>
              </w:rPr>
              <w:fldChar w:fldCharType="separate"/>
            </w:r>
            <w:r>
              <w:rPr>
                <w:noProof/>
                <w:webHidden/>
              </w:rPr>
              <w:t>72</w:t>
            </w:r>
            <w:r>
              <w:rPr>
                <w:noProof/>
                <w:webHidden/>
              </w:rPr>
              <w:fldChar w:fldCharType="end"/>
            </w:r>
          </w:hyperlink>
        </w:p>
        <w:p w14:paraId="37C38C38" w14:textId="2F84B67F" w:rsidR="008B5583" w:rsidRDefault="008B5583">
          <w:pPr>
            <w:pStyle w:val="TOC3"/>
            <w:tabs>
              <w:tab w:val="right" w:leader="dot" w:pos="9016"/>
            </w:tabs>
            <w:rPr>
              <w:rFonts w:eastAsiaTheme="minorEastAsia"/>
              <w:noProof/>
              <w:lang w:eastAsia="en-GB"/>
            </w:rPr>
          </w:pPr>
          <w:hyperlink w:anchor="_Toc99539872" w:history="1">
            <w:r w:rsidRPr="00BA0C07">
              <w:rPr>
                <w:rStyle w:val="Hyperlink"/>
                <w:noProof/>
              </w:rPr>
              <w:t>Eligibility criteria</w:t>
            </w:r>
            <w:r>
              <w:rPr>
                <w:noProof/>
                <w:webHidden/>
              </w:rPr>
              <w:tab/>
            </w:r>
            <w:r>
              <w:rPr>
                <w:noProof/>
                <w:webHidden/>
              </w:rPr>
              <w:fldChar w:fldCharType="begin"/>
            </w:r>
            <w:r>
              <w:rPr>
                <w:noProof/>
                <w:webHidden/>
              </w:rPr>
              <w:instrText xml:space="preserve"> PAGEREF _Toc99539872 \h </w:instrText>
            </w:r>
            <w:r>
              <w:rPr>
                <w:noProof/>
                <w:webHidden/>
              </w:rPr>
            </w:r>
            <w:r>
              <w:rPr>
                <w:noProof/>
                <w:webHidden/>
              </w:rPr>
              <w:fldChar w:fldCharType="separate"/>
            </w:r>
            <w:r>
              <w:rPr>
                <w:noProof/>
                <w:webHidden/>
              </w:rPr>
              <w:t>72</w:t>
            </w:r>
            <w:r>
              <w:rPr>
                <w:noProof/>
                <w:webHidden/>
              </w:rPr>
              <w:fldChar w:fldCharType="end"/>
            </w:r>
          </w:hyperlink>
        </w:p>
        <w:p w14:paraId="63E7111D" w14:textId="55562818" w:rsidR="008B5583" w:rsidRDefault="008B5583">
          <w:pPr>
            <w:pStyle w:val="TOC3"/>
            <w:tabs>
              <w:tab w:val="right" w:leader="dot" w:pos="9016"/>
            </w:tabs>
            <w:rPr>
              <w:rFonts w:eastAsiaTheme="minorEastAsia"/>
              <w:noProof/>
              <w:lang w:eastAsia="en-GB"/>
            </w:rPr>
          </w:pPr>
          <w:hyperlink w:anchor="_Toc99539873" w:history="1">
            <w:r w:rsidRPr="00BA0C07">
              <w:rPr>
                <w:rStyle w:val="Hyperlink"/>
                <w:noProof/>
              </w:rPr>
              <w:t>Search strategy</w:t>
            </w:r>
            <w:r>
              <w:rPr>
                <w:noProof/>
                <w:webHidden/>
              </w:rPr>
              <w:tab/>
            </w:r>
            <w:r>
              <w:rPr>
                <w:noProof/>
                <w:webHidden/>
              </w:rPr>
              <w:fldChar w:fldCharType="begin"/>
            </w:r>
            <w:r>
              <w:rPr>
                <w:noProof/>
                <w:webHidden/>
              </w:rPr>
              <w:instrText xml:space="preserve"> PAGEREF _Toc99539873 \h </w:instrText>
            </w:r>
            <w:r>
              <w:rPr>
                <w:noProof/>
                <w:webHidden/>
              </w:rPr>
            </w:r>
            <w:r>
              <w:rPr>
                <w:noProof/>
                <w:webHidden/>
              </w:rPr>
              <w:fldChar w:fldCharType="separate"/>
            </w:r>
            <w:r>
              <w:rPr>
                <w:noProof/>
                <w:webHidden/>
              </w:rPr>
              <w:t>72</w:t>
            </w:r>
            <w:r>
              <w:rPr>
                <w:noProof/>
                <w:webHidden/>
              </w:rPr>
              <w:fldChar w:fldCharType="end"/>
            </w:r>
          </w:hyperlink>
        </w:p>
        <w:p w14:paraId="32887E65" w14:textId="7AD63B0E" w:rsidR="008B5583" w:rsidRDefault="008B5583">
          <w:pPr>
            <w:pStyle w:val="TOC3"/>
            <w:tabs>
              <w:tab w:val="right" w:leader="dot" w:pos="9016"/>
            </w:tabs>
            <w:rPr>
              <w:rFonts w:eastAsiaTheme="minorEastAsia"/>
              <w:noProof/>
              <w:lang w:eastAsia="en-GB"/>
            </w:rPr>
          </w:pPr>
          <w:hyperlink w:anchor="_Toc99539874" w:history="1">
            <w:r w:rsidRPr="00BA0C07">
              <w:rPr>
                <w:rStyle w:val="Hyperlink"/>
                <w:noProof/>
              </w:rPr>
              <w:t>Study selection</w:t>
            </w:r>
            <w:r>
              <w:rPr>
                <w:noProof/>
                <w:webHidden/>
              </w:rPr>
              <w:tab/>
            </w:r>
            <w:r>
              <w:rPr>
                <w:noProof/>
                <w:webHidden/>
              </w:rPr>
              <w:fldChar w:fldCharType="begin"/>
            </w:r>
            <w:r>
              <w:rPr>
                <w:noProof/>
                <w:webHidden/>
              </w:rPr>
              <w:instrText xml:space="preserve"> PAGEREF _Toc99539874 \h </w:instrText>
            </w:r>
            <w:r>
              <w:rPr>
                <w:noProof/>
                <w:webHidden/>
              </w:rPr>
            </w:r>
            <w:r>
              <w:rPr>
                <w:noProof/>
                <w:webHidden/>
              </w:rPr>
              <w:fldChar w:fldCharType="separate"/>
            </w:r>
            <w:r>
              <w:rPr>
                <w:noProof/>
                <w:webHidden/>
              </w:rPr>
              <w:t>72</w:t>
            </w:r>
            <w:r>
              <w:rPr>
                <w:noProof/>
                <w:webHidden/>
              </w:rPr>
              <w:fldChar w:fldCharType="end"/>
            </w:r>
          </w:hyperlink>
        </w:p>
        <w:p w14:paraId="3965C202" w14:textId="5D0D26B4" w:rsidR="008B5583" w:rsidRDefault="008B5583">
          <w:pPr>
            <w:pStyle w:val="TOC3"/>
            <w:tabs>
              <w:tab w:val="right" w:leader="dot" w:pos="9016"/>
            </w:tabs>
            <w:rPr>
              <w:rFonts w:eastAsiaTheme="minorEastAsia"/>
              <w:noProof/>
              <w:lang w:eastAsia="en-GB"/>
            </w:rPr>
          </w:pPr>
          <w:hyperlink w:anchor="_Toc99539875" w:history="1">
            <w:r w:rsidRPr="00BA0C07">
              <w:rPr>
                <w:rStyle w:val="Hyperlink"/>
                <w:noProof/>
              </w:rPr>
              <w:t>Data collection process</w:t>
            </w:r>
            <w:r>
              <w:rPr>
                <w:noProof/>
                <w:webHidden/>
              </w:rPr>
              <w:tab/>
            </w:r>
            <w:r>
              <w:rPr>
                <w:noProof/>
                <w:webHidden/>
              </w:rPr>
              <w:fldChar w:fldCharType="begin"/>
            </w:r>
            <w:r>
              <w:rPr>
                <w:noProof/>
                <w:webHidden/>
              </w:rPr>
              <w:instrText xml:space="preserve"> PAGEREF _Toc99539875 \h </w:instrText>
            </w:r>
            <w:r>
              <w:rPr>
                <w:noProof/>
                <w:webHidden/>
              </w:rPr>
            </w:r>
            <w:r>
              <w:rPr>
                <w:noProof/>
                <w:webHidden/>
              </w:rPr>
              <w:fldChar w:fldCharType="separate"/>
            </w:r>
            <w:r>
              <w:rPr>
                <w:noProof/>
                <w:webHidden/>
              </w:rPr>
              <w:t>72</w:t>
            </w:r>
            <w:r>
              <w:rPr>
                <w:noProof/>
                <w:webHidden/>
              </w:rPr>
              <w:fldChar w:fldCharType="end"/>
            </w:r>
          </w:hyperlink>
        </w:p>
        <w:p w14:paraId="0FD08DFD" w14:textId="04598BB7" w:rsidR="008B5583" w:rsidRDefault="008B5583">
          <w:pPr>
            <w:pStyle w:val="TOC3"/>
            <w:tabs>
              <w:tab w:val="right" w:leader="dot" w:pos="9016"/>
            </w:tabs>
            <w:rPr>
              <w:rFonts w:eastAsiaTheme="minorEastAsia"/>
              <w:noProof/>
              <w:lang w:eastAsia="en-GB"/>
            </w:rPr>
          </w:pPr>
          <w:hyperlink w:anchor="_Toc99539876" w:history="1">
            <w:r w:rsidRPr="00BA0C07">
              <w:rPr>
                <w:rStyle w:val="Hyperlink"/>
                <w:noProof/>
              </w:rPr>
              <w:t>Risk of bias</w:t>
            </w:r>
            <w:r>
              <w:rPr>
                <w:noProof/>
                <w:webHidden/>
              </w:rPr>
              <w:tab/>
            </w:r>
            <w:r>
              <w:rPr>
                <w:noProof/>
                <w:webHidden/>
              </w:rPr>
              <w:fldChar w:fldCharType="begin"/>
            </w:r>
            <w:r>
              <w:rPr>
                <w:noProof/>
                <w:webHidden/>
              </w:rPr>
              <w:instrText xml:space="preserve"> PAGEREF _Toc99539876 \h </w:instrText>
            </w:r>
            <w:r>
              <w:rPr>
                <w:noProof/>
                <w:webHidden/>
              </w:rPr>
            </w:r>
            <w:r>
              <w:rPr>
                <w:noProof/>
                <w:webHidden/>
              </w:rPr>
              <w:fldChar w:fldCharType="separate"/>
            </w:r>
            <w:r>
              <w:rPr>
                <w:noProof/>
                <w:webHidden/>
              </w:rPr>
              <w:t>73</w:t>
            </w:r>
            <w:r>
              <w:rPr>
                <w:noProof/>
                <w:webHidden/>
              </w:rPr>
              <w:fldChar w:fldCharType="end"/>
            </w:r>
          </w:hyperlink>
        </w:p>
        <w:p w14:paraId="4EE3CC6B" w14:textId="5D11E075" w:rsidR="008B5583" w:rsidRDefault="008B5583">
          <w:pPr>
            <w:pStyle w:val="TOC3"/>
            <w:tabs>
              <w:tab w:val="right" w:leader="dot" w:pos="9016"/>
            </w:tabs>
            <w:rPr>
              <w:rFonts w:eastAsiaTheme="minorEastAsia"/>
              <w:noProof/>
              <w:lang w:eastAsia="en-GB"/>
            </w:rPr>
          </w:pPr>
          <w:hyperlink w:anchor="_Toc99539877" w:history="1">
            <w:r w:rsidRPr="00BA0C07">
              <w:rPr>
                <w:rStyle w:val="Hyperlink"/>
                <w:noProof/>
              </w:rPr>
              <w:t>Synthesis of results</w:t>
            </w:r>
            <w:r>
              <w:rPr>
                <w:noProof/>
                <w:webHidden/>
              </w:rPr>
              <w:tab/>
            </w:r>
            <w:r>
              <w:rPr>
                <w:noProof/>
                <w:webHidden/>
              </w:rPr>
              <w:fldChar w:fldCharType="begin"/>
            </w:r>
            <w:r>
              <w:rPr>
                <w:noProof/>
                <w:webHidden/>
              </w:rPr>
              <w:instrText xml:space="preserve"> PAGEREF _Toc99539877 \h </w:instrText>
            </w:r>
            <w:r>
              <w:rPr>
                <w:noProof/>
                <w:webHidden/>
              </w:rPr>
            </w:r>
            <w:r>
              <w:rPr>
                <w:noProof/>
                <w:webHidden/>
              </w:rPr>
              <w:fldChar w:fldCharType="separate"/>
            </w:r>
            <w:r>
              <w:rPr>
                <w:noProof/>
                <w:webHidden/>
              </w:rPr>
              <w:t>73</w:t>
            </w:r>
            <w:r>
              <w:rPr>
                <w:noProof/>
                <w:webHidden/>
              </w:rPr>
              <w:fldChar w:fldCharType="end"/>
            </w:r>
          </w:hyperlink>
        </w:p>
        <w:p w14:paraId="142616D7" w14:textId="2B01CF75" w:rsidR="008B5583" w:rsidRDefault="008B5583">
          <w:pPr>
            <w:pStyle w:val="TOC2"/>
            <w:tabs>
              <w:tab w:val="right" w:leader="dot" w:pos="9016"/>
            </w:tabs>
            <w:rPr>
              <w:rFonts w:eastAsiaTheme="minorEastAsia"/>
              <w:noProof/>
              <w:lang w:eastAsia="en-GB"/>
            </w:rPr>
          </w:pPr>
          <w:hyperlink w:anchor="_Toc99539878" w:history="1">
            <w:r w:rsidRPr="00BA0C07">
              <w:rPr>
                <w:rStyle w:val="Hyperlink"/>
                <w:noProof/>
              </w:rPr>
              <w:t>Results of assessment of diagnostic accuracy of indicators</w:t>
            </w:r>
            <w:r>
              <w:rPr>
                <w:noProof/>
                <w:webHidden/>
              </w:rPr>
              <w:tab/>
            </w:r>
            <w:r>
              <w:rPr>
                <w:noProof/>
                <w:webHidden/>
              </w:rPr>
              <w:fldChar w:fldCharType="begin"/>
            </w:r>
            <w:r>
              <w:rPr>
                <w:noProof/>
                <w:webHidden/>
              </w:rPr>
              <w:instrText xml:space="preserve"> PAGEREF _Toc99539878 \h </w:instrText>
            </w:r>
            <w:r>
              <w:rPr>
                <w:noProof/>
                <w:webHidden/>
              </w:rPr>
            </w:r>
            <w:r>
              <w:rPr>
                <w:noProof/>
                <w:webHidden/>
              </w:rPr>
              <w:fldChar w:fldCharType="separate"/>
            </w:r>
            <w:r>
              <w:rPr>
                <w:noProof/>
                <w:webHidden/>
              </w:rPr>
              <w:t>73</w:t>
            </w:r>
            <w:r>
              <w:rPr>
                <w:noProof/>
                <w:webHidden/>
              </w:rPr>
              <w:fldChar w:fldCharType="end"/>
            </w:r>
          </w:hyperlink>
        </w:p>
        <w:p w14:paraId="1446F426" w14:textId="79192CF4" w:rsidR="008B5583" w:rsidRDefault="008B5583">
          <w:pPr>
            <w:pStyle w:val="TOC3"/>
            <w:tabs>
              <w:tab w:val="right" w:leader="dot" w:pos="9016"/>
            </w:tabs>
            <w:rPr>
              <w:rFonts w:eastAsiaTheme="minorEastAsia"/>
              <w:noProof/>
              <w:lang w:eastAsia="en-GB"/>
            </w:rPr>
          </w:pPr>
          <w:hyperlink w:anchor="_Toc99539879" w:history="1">
            <w:r w:rsidRPr="00BA0C07">
              <w:rPr>
                <w:rStyle w:val="Hyperlink"/>
                <w:noProof/>
              </w:rPr>
              <w:t>Study characteristics</w:t>
            </w:r>
            <w:r>
              <w:rPr>
                <w:noProof/>
                <w:webHidden/>
              </w:rPr>
              <w:tab/>
            </w:r>
            <w:r>
              <w:rPr>
                <w:noProof/>
                <w:webHidden/>
              </w:rPr>
              <w:fldChar w:fldCharType="begin"/>
            </w:r>
            <w:r>
              <w:rPr>
                <w:noProof/>
                <w:webHidden/>
              </w:rPr>
              <w:instrText xml:space="preserve"> PAGEREF _Toc99539879 \h </w:instrText>
            </w:r>
            <w:r>
              <w:rPr>
                <w:noProof/>
                <w:webHidden/>
              </w:rPr>
            </w:r>
            <w:r>
              <w:rPr>
                <w:noProof/>
                <w:webHidden/>
              </w:rPr>
              <w:fldChar w:fldCharType="separate"/>
            </w:r>
            <w:r>
              <w:rPr>
                <w:noProof/>
                <w:webHidden/>
              </w:rPr>
              <w:t>74</w:t>
            </w:r>
            <w:r>
              <w:rPr>
                <w:noProof/>
                <w:webHidden/>
              </w:rPr>
              <w:fldChar w:fldCharType="end"/>
            </w:r>
          </w:hyperlink>
        </w:p>
        <w:p w14:paraId="01111892" w14:textId="7A64AEA1" w:rsidR="008B5583" w:rsidRDefault="008B5583">
          <w:pPr>
            <w:pStyle w:val="TOC3"/>
            <w:tabs>
              <w:tab w:val="right" w:leader="dot" w:pos="9016"/>
            </w:tabs>
            <w:rPr>
              <w:rFonts w:eastAsiaTheme="minorEastAsia"/>
              <w:noProof/>
              <w:lang w:eastAsia="en-GB"/>
            </w:rPr>
          </w:pPr>
          <w:hyperlink w:anchor="_Toc99539880" w:history="1">
            <w:r w:rsidRPr="00BA0C07">
              <w:rPr>
                <w:rStyle w:val="Hyperlink"/>
                <w:noProof/>
              </w:rPr>
              <w:t>Risk of bias</w:t>
            </w:r>
            <w:r>
              <w:rPr>
                <w:noProof/>
                <w:webHidden/>
              </w:rPr>
              <w:tab/>
            </w:r>
            <w:r>
              <w:rPr>
                <w:noProof/>
                <w:webHidden/>
              </w:rPr>
              <w:fldChar w:fldCharType="begin"/>
            </w:r>
            <w:r>
              <w:rPr>
                <w:noProof/>
                <w:webHidden/>
              </w:rPr>
              <w:instrText xml:space="preserve"> PAGEREF _Toc99539880 \h </w:instrText>
            </w:r>
            <w:r>
              <w:rPr>
                <w:noProof/>
                <w:webHidden/>
              </w:rPr>
            </w:r>
            <w:r>
              <w:rPr>
                <w:noProof/>
                <w:webHidden/>
              </w:rPr>
              <w:fldChar w:fldCharType="separate"/>
            </w:r>
            <w:r>
              <w:rPr>
                <w:noProof/>
                <w:webHidden/>
              </w:rPr>
              <w:t>74</w:t>
            </w:r>
            <w:r>
              <w:rPr>
                <w:noProof/>
                <w:webHidden/>
              </w:rPr>
              <w:fldChar w:fldCharType="end"/>
            </w:r>
          </w:hyperlink>
        </w:p>
        <w:p w14:paraId="07E84673" w14:textId="2745B624" w:rsidR="008B5583" w:rsidRDefault="008B5583">
          <w:pPr>
            <w:pStyle w:val="TOC3"/>
            <w:tabs>
              <w:tab w:val="right" w:leader="dot" w:pos="9016"/>
            </w:tabs>
            <w:rPr>
              <w:rFonts w:eastAsiaTheme="minorEastAsia"/>
              <w:noProof/>
              <w:lang w:eastAsia="en-GB"/>
            </w:rPr>
          </w:pPr>
          <w:hyperlink w:anchor="_Toc99539881" w:history="1">
            <w:r w:rsidRPr="00BA0C07">
              <w:rPr>
                <w:rStyle w:val="Hyperlink"/>
                <w:noProof/>
              </w:rPr>
              <w:t>Accuracy of diagnostic indicators to detect coeliac disease</w:t>
            </w:r>
            <w:r>
              <w:rPr>
                <w:noProof/>
                <w:webHidden/>
              </w:rPr>
              <w:tab/>
            </w:r>
            <w:r>
              <w:rPr>
                <w:noProof/>
                <w:webHidden/>
              </w:rPr>
              <w:fldChar w:fldCharType="begin"/>
            </w:r>
            <w:r>
              <w:rPr>
                <w:noProof/>
                <w:webHidden/>
              </w:rPr>
              <w:instrText xml:space="preserve"> PAGEREF _Toc99539881 \h </w:instrText>
            </w:r>
            <w:r>
              <w:rPr>
                <w:noProof/>
                <w:webHidden/>
              </w:rPr>
            </w:r>
            <w:r>
              <w:rPr>
                <w:noProof/>
                <w:webHidden/>
              </w:rPr>
              <w:fldChar w:fldCharType="separate"/>
            </w:r>
            <w:r>
              <w:rPr>
                <w:noProof/>
                <w:webHidden/>
              </w:rPr>
              <w:t>74</w:t>
            </w:r>
            <w:r>
              <w:rPr>
                <w:noProof/>
                <w:webHidden/>
              </w:rPr>
              <w:fldChar w:fldCharType="end"/>
            </w:r>
          </w:hyperlink>
        </w:p>
        <w:p w14:paraId="74E36019" w14:textId="1E260FCF" w:rsidR="008B5583" w:rsidRDefault="008B5583">
          <w:pPr>
            <w:pStyle w:val="TOC1"/>
            <w:rPr>
              <w:rFonts w:eastAsiaTheme="minorEastAsia"/>
              <w:noProof/>
              <w:lang w:eastAsia="en-GB"/>
            </w:rPr>
          </w:pPr>
          <w:hyperlink w:anchor="_Toc99539882" w:history="1">
            <w:r w:rsidRPr="00BA0C07">
              <w:rPr>
                <w:rStyle w:val="Hyperlink"/>
                <w:noProof/>
              </w:rPr>
              <w:t>Chapter 7: Establishing diagnostic thresholds</w:t>
            </w:r>
            <w:r>
              <w:rPr>
                <w:noProof/>
                <w:webHidden/>
              </w:rPr>
              <w:tab/>
            </w:r>
            <w:r>
              <w:rPr>
                <w:noProof/>
                <w:webHidden/>
              </w:rPr>
              <w:fldChar w:fldCharType="begin"/>
            </w:r>
            <w:r>
              <w:rPr>
                <w:noProof/>
                <w:webHidden/>
              </w:rPr>
              <w:instrText xml:space="preserve"> PAGEREF _Toc99539882 \h </w:instrText>
            </w:r>
            <w:r>
              <w:rPr>
                <w:noProof/>
                <w:webHidden/>
              </w:rPr>
            </w:r>
            <w:r>
              <w:rPr>
                <w:noProof/>
                <w:webHidden/>
              </w:rPr>
              <w:fldChar w:fldCharType="separate"/>
            </w:r>
            <w:r>
              <w:rPr>
                <w:noProof/>
                <w:webHidden/>
              </w:rPr>
              <w:t>77</w:t>
            </w:r>
            <w:r>
              <w:rPr>
                <w:noProof/>
                <w:webHidden/>
              </w:rPr>
              <w:fldChar w:fldCharType="end"/>
            </w:r>
          </w:hyperlink>
        </w:p>
        <w:p w14:paraId="51EA9EDF" w14:textId="636000AD" w:rsidR="008B5583" w:rsidRDefault="008B5583">
          <w:pPr>
            <w:pStyle w:val="TOC2"/>
            <w:tabs>
              <w:tab w:val="right" w:leader="dot" w:pos="9016"/>
            </w:tabs>
            <w:rPr>
              <w:rFonts w:eastAsiaTheme="minorEastAsia"/>
              <w:noProof/>
              <w:lang w:eastAsia="en-GB"/>
            </w:rPr>
          </w:pPr>
          <w:hyperlink w:anchor="_Toc99539883" w:history="1">
            <w:r w:rsidRPr="00BA0C07">
              <w:rPr>
                <w:rStyle w:val="Hyperlink"/>
                <w:noProof/>
              </w:rPr>
              <w:t>Survey development and dissemination methods</w:t>
            </w:r>
            <w:r>
              <w:rPr>
                <w:noProof/>
                <w:webHidden/>
              </w:rPr>
              <w:tab/>
            </w:r>
            <w:r>
              <w:rPr>
                <w:noProof/>
                <w:webHidden/>
              </w:rPr>
              <w:fldChar w:fldCharType="begin"/>
            </w:r>
            <w:r>
              <w:rPr>
                <w:noProof/>
                <w:webHidden/>
              </w:rPr>
              <w:instrText xml:space="preserve"> PAGEREF _Toc99539883 \h </w:instrText>
            </w:r>
            <w:r>
              <w:rPr>
                <w:noProof/>
                <w:webHidden/>
              </w:rPr>
            </w:r>
            <w:r>
              <w:rPr>
                <w:noProof/>
                <w:webHidden/>
              </w:rPr>
              <w:fldChar w:fldCharType="separate"/>
            </w:r>
            <w:r>
              <w:rPr>
                <w:noProof/>
                <w:webHidden/>
              </w:rPr>
              <w:t>77</w:t>
            </w:r>
            <w:r>
              <w:rPr>
                <w:noProof/>
                <w:webHidden/>
              </w:rPr>
              <w:fldChar w:fldCharType="end"/>
            </w:r>
          </w:hyperlink>
        </w:p>
        <w:p w14:paraId="30DDB5F1" w14:textId="04762479" w:rsidR="008B5583" w:rsidRDefault="008B5583">
          <w:pPr>
            <w:pStyle w:val="TOC3"/>
            <w:tabs>
              <w:tab w:val="right" w:leader="dot" w:pos="9016"/>
            </w:tabs>
            <w:rPr>
              <w:rFonts w:eastAsiaTheme="minorEastAsia"/>
              <w:noProof/>
              <w:lang w:eastAsia="en-GB"/>
            </w:rPr>
          </w:pPr>
          <w:hyperlink w:anchor="_Toc99539884" w:history="1">
            <w:r w:rsidRPr="00BA0C07">
              <w:rPr>
                <w:rStyle w:val="Hyperlink"/>
                <w:noProof/>
              </w:rPr>
              <w:t>Survey development</w:t>
            </w:r>
            <w:r>
              <w:rPr>
                <w:noProof/>
                <w:webHidden/>
              </w:rPr>
              <w:tab/>
            </w:r>
            <w:r>
              <w:rPr>
                <w:noProof/>
                <w:webHidden/>
              </w:rPr>
              <w:fldChar w:fldCharType="begin"/>
            </w:r>
            <w:r>
              <w:rPr>
                <w:noProof/>
                <w:webHidden/>
              </w:rPr>
              <w:instrText xml:space="preserve"> PAGEREF _Toc99539884 \h </w:instrText>
            </w:r>
            <w:r>
              <w:rPr>
                <w:noProof/>
                <w:webHidden/>
              </w:rPr>
            </w:r>
            <w:r>
              <w:rPr>
                <w:noProof/>
                <w:webHidden/>
              </w:rPr>
              <w:fldChar w:fldCharType="separate"/>
            </w:r>
            <w:r>
              <w:rPr>
                <w:noProof/>
                <w:webHidden/>
              </w:rPr>
              <w:t>77</w:t>
            </w:r>
            <w:r>
              <w:rPr>
                <w:noProof/>
                <w:webHidden/>
              </w:rPr>
              <w:fldChar w:fldCharType="end"/>
            </w:r>
          </w:hyperlink>
        </w:p>
        <w:p w14:paraId="4499ABBA" w14:textId="1DBB2A99" w:rsidR="008B5583" w:rsidRDefault="008B5583">
          <w:pPr>
            <w:pStyle w:val="TOC3"/>
            <w:tabs>
              <w:tab w:val="right" w:leader="dot" w:pos="9016"/>
            </w:tabs>
            <w:rPr>
              <w:rFonts w:eastAsiaTheme="minorEastAsia"/>
              <w:noProof/>
              <w:lang w:eastAsia="en-GB"/>
            </w:rPr>
          </w:pPr>
          <w:hyperlink w:anchor="_Toc99539885" w:history="1">
            <w:r w:rsidRPr="00BA0C07">
              <w:rPr>
                <w:rStyle w:val="Hyperlink"/>
                <w:noProof/>
              </w:rPr>
              <w:t>Survey questions</w:t>
            </w:r>
            <w:r>
              <w:rPr>
                <w:noProof/>
                <w:webHidden/>
              </w:rPr>
              <w:tab/>
            </w:r>
            <w:r>
              <w:rPr>
                <w:noProof/>
                <w:webHidden/>
              </w:rPr>
              <w:fldChar w:fldCharType="begin"/>
            </w:r>
            <w:r>
              <w:rPr>
                <w:noProof/>
                <w:webHidden/>
              </w:rPr>
              <w:instrText xml:space="preserve"> PAGEREF _Toc99539885 \h </w:instrText>
            </w:r>
            <w:r>
              <w:rPr>
                <w:noProof/>
                <w:webHidden/>
              </w:rPr>
            </w:r>
            <w:r>
              <w:rPr>
                <w:noProof/>
                <w:webHidden/>
              </w:rPr>
              <w:fldChar w:fldCharType="separate"/>
            </w:r>
            <w:r>
              <w:rPr>
                <w:noProof/>
                <w:webHidden/>
              </w:rPr>
              <w:t>77</w:t>
            </w:r>
            <w:r>
              <w:rPr>
                <w:noProof/>
                <w:webHidden/>
              </w:rPr>
              <w:fldChar w:fldCharType="end"/>
            </w:r>
          </w:hyperlink>
        </w:p>
        <w:p w14:paraId="565DDBDB" w14:textId="1CB328DC" w:rsidR="008B5583" w:rsidRDefault="008B5583">
          <w:pPr>
            <w:pStyle w:val="TOC3"/>
            <w:tabs>
              <w:tab w:val="right" w:leader="dot" w:pos="9016"/>
            </w:tabs>
            <w:rPr>
              <w:rFonts w:eastAsiaTheme="minorEastAsia"/>
              <w:noProof/>
              <w:lang w:eastAsia="en-GB"/>
            </w:rPr>
          </w:pPr>
          <w:hyperlink w:anchor="_Toc99539886" w:history="1">
            <w:r w:rsidRPr="00BA0C07">
              <w:rPr>
                <w:rStyle w:val="Hyperlink"/>
                <w:noProof/>
              </w:rPr>
              <w:t>Survey distribution</w:t>
            </w:r>
            <w:r>
              <w:rPr>
                <w:noProof/>
                <w:webHidden/>
              </w:rPr>
              <w:tab/>
            </w:r>
            <w:r>
              <w:rPr>
                <w:noProof/>
                <w:webHidden/>
              </w:rPr>
              <w:fldChar w:fldCharType="begin"/>
            </w:r>
            <w:r>
              <w:rPr>
                <w:noProof/>
                <w:webHidden/>
              </w:rPr>
              <w:instrText xml:space="preserve"> PAGEREF _Toc99539886 \h </w:instrText>
            </w:r>
            <w:r>
              <w:rPr>
                <w:noProof/>
                <w:webHidden/>
              </w:rPr>
            </w:r>
            <w:r>
              <w:rPr>
                <w:noProof/>
                <w:webHidden/>
              </w:rPr>
              <w:fldChar w:fldCharType="separate"/>
            </w:r>
            <w:r>
              <w:rPr>
                <w:noProof/>
                <w:webHidden/>
              </w:rPr>
              <w:t>78</w:t>
            </w:r>
            <w:r>
              <w:rPr>
                <w:noProof/>
                <w:webHidden/>
              </w:rPr>
              <w:fldChar w:fldCharType="end"/>
            </w:r>
          </w:hyperlink>
        </w:p>
        <w:p w14:paraId="69C83FDD" w14:textId="62FD9E3F" w:rsidR="008B5583" w:rsidRDefault="008B5583">
          <w:pPr>
            <w:pStyle w:val="TOC3"/>
            <w:tabs>
              <w:tab w:val="right" w:leader="dot" w:pos="9016"/>
            </w:tabs>
            <w:rPr>
              <w:rFonts w:eastAsiaTheme="minorEastAsia"/>
              <w:noProof/>
              <w:lang w:eastAsia="en-GB"/>
            </w:rPr>
          </w:pPr>
          <w:hyperlink w:anchor="_Toc99539887" w:history="1">
            <w:r w:rsidRPr="00BA0C07">
              <w:rPr>
                <w:rStyle w:val="Hyperlink"/>
                <w:noProof/>
              </w:rPr>
              <w:t>Data analysis</w:t>
            </w:r>
            <w:r>
              <w:rPr>
                <w:noProof/>
                <w:webHidden/>
              </w:rPr>
              <w:tab/>
            </w:r>
            <w:r>
              <w:rPr>
                <w:noProof/>
                <w:webHidden/>
              </w:rPr>
              <w:fldChar w:fldCharType="begin"/>
            </w:r>
            <w:r>
              <w:rPr>
                <w:noProof/>
                <w:webHidden/>
              </w:rPr>
              <w:instrText xml:space="preserve"> PAGEREF _Toc99539887 \h </w:instrText>
            </w:r>
            <w:r>
              <w:rPr>
                <w:noProof/>
                <w:webHidden/>
              </w:rPr>
            </w:r>
            <w:r>
              <w:rPr>
                <w:noProof/>
                <w:webHidden/>
              </w:rPr>
              <w:fldChar w:fldCharType="separate"/>
            </w:r>
            <w:r>
              <w:rPr>
                <w:noProof/>
                <w:webHidden/>
              </w:rPr>
              <w:t>79</w:t>
            </w:r>
            <w:r>
              <w:rPr>
                <w:noProof/>
                <w:webHidden/>
              </w:rPr>
              <w:fldChar w:fldCharType="end"/>
            </w:r>
          </w:hyperlink>
        </w:p>
        <w:p w14:paraId="42470349" w14:textId="4382CB03" w:rsidR="008B5583" w:rsidRDefault="008B5583">
          <w:pPr>
            <w:pStyle w:val="TOC2"/>
            <w:tabs>
              <w:tab w:val="right" w:leader="dot" w:pos="9016"/>
            </w:tabs>
            <w:rPr>
              <w:rFonts w:eastAsiaTheme="minorEastAsia"/>
              <w:noProof/>
              <w:lang w:eastAsia="en-GB"/>
            </w:rPr>
          </w:pPr>
          <w:hyperlink w:anchor="_Toc99539888" w:history="1">
            <w:r w:rsidRPr="00BA0C07">
              <w:rPr>
                <w:rStyle w:val="Hyperlink"/>
                <w:noProof/>
              </w:rPr>
              <w:t>Results</w:t>
            </w:r>
            <w:r>
              <w:rPr>
                <w:noProof/>
                <w:webHidden/>
              </w:rPr>
              <w:tab/>
            </w:r>
            <w:r>
              <w:rPr>
                <w:noProof/>
                <w:webHidden/>
              </w:rPr>
              <w:fldChar w:fldCharType="begin"/>
            </w:r>
            <w:r>
              <w:rPr>
                <w:noProof/>
                <w:webHidden/>
              </w:rPr>
              <w:instrText xml:space="preserve"> PAGEREF _Toc99539888 \h </w:instrText>
            </w:r>
            <w:r>
              <w:rPr>
                <w:noProof/>
                <w:webHidden/>
              </w:rPr>
            </w:r>
            <w:r>
              <w:rPr>
                <w:noProof/>
                <w:webHidden/>
              </w:rPr>
              <w:fldChar w:fldCharType="separate"/>
            </w:r>
            <w:r>
              <w:rPr>
                <w:noProof/>
                <w:webHidden/>
              </w:rPr>
              <w:t>79</w:t>
            </w:r>
            <w:r>
              <w:rPr>
                <w:noProof/>
                <w:webHidden/>
              </w:rPr>
              <w:fldChar w:fldCharType="end"/>
            </w:r>
          </w:hyperlink>
        </w:p>
        <w:p w14:paraId="3955E6FB" w14:textId="594D4071" w:rsidR="008B5583" w:rsidRDefault="008B5583">
          <w:pPr>
            <w:pStyle w:val="TOC3"/>
            <w:tabs>
              <w:tab w:val="right" w:leader="dot" w:pos="9016"/>
            </w:tabs>
            <w:rPr>
              <w:rFonts w:eastAsiaTheme="minorEastAsia"/>
              <w:noProof/>
              <w:lang w:eastAsia="en-GB"/>
            </w:rPr>
          </w:pPr>
          <w:hyperlink w:anchor="_Toc99539889" w:history="1">
            <w:r w:rsidRPr="00BA0C07">
              <w:rPr>
                <w:rStyle w:val="Hyperlink"/>
                <w:noProof/>
              </w:rPr>
              <w:t>Respondent characteristics</w:t>
            </w:r>
            <w:r>
              <w:rPr>
                <w:noProof/>
                <w:webHidden/>
              </w:rPr>
              <w:tab/>
            </w:r>
            <w:r>
              <w:rPr>
                <w:noProof/>
                <w:webHidden/>
              </w:rPr>
              <w:fldChar w:fldCharType="begin"/>
            </w:r>
            <w:r>
              <w:rPr>
                <w:noProof/>
                <w:webHidden/>
              </w:rPr>
              <w:instrText xml:space="preserve"> PAGEREF _Toc99539889 \h </w:instrText>
            </w:r>
            <w:r>
              <w:rPr>
                <w:noProof/>
                <w:webHidden/>
              </w:rPr>
            </w:r>
            <w:r>
              <w:rPr>
                <w:noProof/>
                <w:webHidden/>
              </w:rPr>
              <w:fldChar w:fldCharType="separate"/>
            </w:r>
            <w:r>
              <w:rPr>
                <w:noProof/>
                <w:webHidden/>
              </w:rPr>
              <w:t>79</w:t>
            </w:r>
            <w:r>
              <w:rPr>
                <w:noProof/>
                <w:webHidden/>
              </w:rPr>
              <w:fldChar w:fldCharType="end"/>
            </w:r>
          </w:hyperlink>
        </w:p>
        <w:p w14:paraId="2F8AEE65" w14:textId="3840BA46" w:rsidR="008B5583" w:rsidRDefault="008B5583">
          <w:pPr>
            <w:pStyle w:val="TOC3"/>
            <w:tabs>
              <w:tab w:val="right" w:leader="dot" w:pos="9016"/>
            </w:tabs>
            <w:rPr>
              <w:rFonts w:eastAsiaTheme="minorEastAsia"/>
              <w:noProof/>
              <w:lang w:eastAsia="en-GB"/>
            </w:rPr>
          </w:pPr>
          <w:hyperlink w:anchor="_Toc99539890" w:history="1">
            <w:r w:rsidRPr="00BA0C07">
              <w:rPr>
                <w:rStyle w:val="Hyperlink"/>
                <w:noProof/>
              </w:rPr>
              <w:t>Scenarios</w:t>
            </w:r>
            <w:r>
              <w:rPr>
                <w:noProof/>
                <w:webHidden/>
              </w:rPr>
              <w:tab/>
            </w:r>
            <w:r>
              <w:rPr>
                <w:noProof/>
                <w:webHidden/>
              </w:rPr>
              <w:fldChar w:fldCharType="begin"/>
            </w:r>
            <w:r>
              <w:rPr>
                <w:noProof/>
                <w:webHidden/>
              </w:rPr>
              <w:instrText xml:space="preserve"> PAGEREF _Toc99539890 \h </w:instrText>
            </w:r>
            <w:r>
              <w:rPr>
                <w:noProof/>
                <w:webHidden/>
              </w:rPr>
            </w:r>
            <w:r>
              <w:rPr>
                <w:noProof/>
                <w:webHidden/>
              </w:rPr>
              <w:fldChar w:fldCharType="separate"/>
            </w:r>
            <w:r>
              <w:rPr>
                <w:noProof/>
                <w:webHidden/>
              </w:rPr>
              <w:t>80</w:t>
            </w:r>
            <w:r>
              <w:rPr>
                <w:noProof/>
                <w:webHidden/>
              </w:rPr>
              <w:fldChar w:fldCharType="end"/>
            </w:r>
          </w:hyperlink>
        </w:p>
        <w:p w14:paraId="7FE86FE8" w14:textId="10FB6126" w:rsidR="008B5583" w:rsidRDefault="008B5583">
          <w:pPr>
            <w:pStyle w:val="TOC3"/>
            <w:tabs>
              <w:tab w:val="right" w:leader="dot" w:pos="9016"/>
            </w:tabs>
            <w:rPr>
              <w:rFonts w:eastAsiaTheme="minorEastAsia"/>
              <w:noProof/>
              <w:lang w:eastAsia="en-GB"/>
            </w:rPr>
          </w:pPr>
          <w:hyperlink w:anchor="_Toc99539891" w:history="1">
            <w:r w:rsidRPr="00BA0C07">
              <w:rPr>
                <w:rStyle w:val="Hyperlink"/>
                <w:noProof/>
              </w:rPr>
              <w:t>Certainty of CD diagnosis</w:t>
            </w:r>
            <w:r>
              <w:rPr>
                <w:noProof/>
                <w:webHidden/>
              </w:rPr>
              <w:tab/>
            </w:r>
            <w:r>
              <w:rPr>
                <w:noProof/>
                <w:webHidden/>
              </w:rPr>
              <w:fldChar w:fldCharType="begin"/>
            </w:r>
            <w:r>
              <w:rPr>
                <w:noProof/>
                <w:webHidden/>
              </w:rPr>
              <w:instrText xml:space="preserve"> PAGEREF _Toc99539891 \h </w:instrText>
            </w:r>
            <w:r>
              <w:rPr>
                <w:noProof/>
                <w:webHidden/>
              </w:rPr>
            </w:r>
            <w:r>
              <w:rPr>
                <w:noProof/>
                <w:webHidden/>
              </w:rPr>
              <w:fldChar w:fldCharType="separate"/>
            </w:r>
            <w:r>
              <w:rPr>
                <w:noProof/>
                <w:webHidden/>
              </w:rPr>
              <w:t>81</w:t>
            </w:r>
            <w:r>
              <w:rPr>
                <w:noProof/>
                <w:webHidden/>
              </w:rPr>
              <w:fldChar w:fldCharType="end"/>
            </w:r>
          </w:hyperlink>
        </w:p>
        <w:p w14:paraId="131A019C" w14:textId="0090C344" w:rsidR="008B5583" w:rsidRDefault="008B5583">
          <w:pPr>
            <w:pStyle w:val="TOC3"/>
            <w:tabs>
              <w:tab w:val="right" w:leader="dot" w:pos="9016"/>
            </w:tabs>
            <w:rPr>
              <w:rFonts w:eastAsiaTheme="minorEastAsia"/>
              <w:noProof/>
              <w:lang w:eastAsia="en-GB"/>
            </w:rPr>
          </w:pPr>
          <w:hyperlink w:anchor="_Toc99539892" w:history="1">
            <w:r w:rsidRPr="00BA0C07">
              <w:rPr>
                <w:rStyle w:val="Hyperlink"/>
                <w:noProof/>
              </w:rPr>
              <w:t>Gluten-free diet adherence and difficulty</w:t>
            </w:r>
            <w:r>
              <w:rPr>
                <w:noProof/>
                <w:webHidden/>
              </w:rPr>
              <w:tab/>
            </w:r>
            <w:r>
              <w:rPr>
                <w:noProof/>
                <w:webHidden/>
              </w:rPr>
              <w:fldChar w:fldCharType="begin"/>
            </w:r>
            <w:r>
              <w:rPr>
                <w:noProof/>
                <w:webHidden/>
              </w:rPr>
              <w:instrText xml:space="preserve"> PAGEREF _Toc99539892 \h </w:instrText>
            </w:r>
            <w:r>
              <w:rPr>
                <w:noProof/>
                <w:webHidden/>
              </w:rPr>
            </w:r>
            <w:r>
              <w:rPr>
                <w:noProof/>
                <w:webHidden/>
              </w:rPr>
              <w:fldChar w:fldCharType="separate"/>
            </w:r>
            <w:r>
              <w:rPr>
                <w:noProof/>
                <w:webHidden/>
              </w:rPr>
              <w:t>81</w:t>
            </w:r>
            <w:r>
              <w:rPr>
                <w:noProof/>
                <w:webHidden/>
              </w:rPr>
              <w:fldChar w:fldCharType="end"/>
            </w:r>
          </w:hyperlink>
        </w:p>
        <w:p w14:paraId="67BC678E" w14:textId="6F2AF2FE" w:rsidR="008B5583" w:rsidRDefault="008B5583">
          <w:pPr>
            <w:pStyle w:val="TOC3"/>
            <w:tabs>
              <w:tab w:val="right" w:leader="dot" w:pos="9016"/>
            </w:tabs>
            <w:rPr>
              <w:rFonts w:eastAsiaTheme="minorEastAsia"/>
              <w:noProof/>
              <w:lang w:eastAsia="en-GB"/>
            </w:rPr>
          </w:pPr>
          <w:hyperlink w:anchor="_Toc99539893" w:history="1">
            <w:r w:rsidRPr="00BA0C07">
              <w:rPr>
                <w:rStyle w:val="Hyperlink"/>
                <w:noProof/>
              </w:rPr>
              <w:t>Quality of life among CD patients</w:t>
            </w:r>
            <w:r>
              <w:rPr>
                <w:noProof/>
                <w:webHidden/>
              </w:rPr>
              <w:tab/>
            </w:r>
            <w:r>
              <w:rPr>
                <w:noProof/>
                <w:webHidden/>
              </w:rPr>
              <w:fldChar w:fldCharType="begin"/>
            </w:r>
            <w:r>
              <w:rPr>
                <w:noProof/>
                <w:webHidden/>
              </w:rPr>
              <w:instrText xml:space="preserve"> PAGEREF _Toc99539893 \h </w:instrText>
            </w:r>
            <w:r>
              <w:rPr>
                <w:noProof/>
                <w:webHidden/>
              </w:rPr>
            </w:r>
            <w:r>
              <w:rPr>
                <w:noProof/>
                <w:webHidden/>
              </w:rPr>
              <w:fldChar w:fldCharType="separate"/>
            </w:r>
            <w:r>
              <w:rPr>
                <w:noProof/>
                <w:webHidden/>
              </w:rPr>
              <w:t>82</w:t>
            </w:r>
            <w:r>
              <w:rPr>
                <w:noProof/>
                <w:webHidden/>
              </w:rPr>
              <w:fldChar w:fldCharType="end"/>
            </w:r>
          </w:hyperlink>
        </w:p>
        <w:p w14:paraId="41DDA108" w14:textId="4DF2FD7C" w:rsidR="008B5583" w:rsidRDefault="008B5583">
          <w:pPr>
            <w:pStyle w:val="TOC3"/>
            <w:tabs>
              <w:tab w:val="right" w:leader="dot" w:pos="9016"/>
            </w:tabs>
            <w:rPr>
              <w:rFonts w:eastAsiaTheme="minorEastAsia"/>
              <w:noProof/>
              <w:lang w:eastAsia="en-GB"/>
            </w:rPr>
          </w:pPr>
          <w:hyperlink w:anchor="_Toc99539894" w:history="1">
            <w:r w:rsidRPr="00BA0C07">
              <w:rPr>
                <w:rStyle w:val="Hyperlink"/>
                <w:noProof/>
              </w:rPr>
              <w:t>Qualitative analysis</w:t>
            </w:r>
            <w:r>
              <w:rPr>
                <w:noProof/>
                <w:webHidden/>
              </w:rPr>
              <w:tab/>
            </w:r>
            <w:r>
              <w:rPr>
                <w:noProof/>
                <w:webHidden/>
              </w:rPr>
              <w:fldChar w:fldCharType="begin"/>
            </w:r>
            <w:r>
              <w:rPr>
                <w:noProof/>
                <w:webHidden/>
              </w:rPr>
              <w:instrText xml:space="preserve"> PAGEREF _Toc99539894 \h </w:instrText>
            </w:r>
            <w:r>
              <w:rPr>
                <w:noProof/>
                <w:webHidden/>
              </w:rPr>
            </w:r>
            <w:r>
              <w:rPr>
                <w:noProof/>
                <w:webHidden/>
              </w:rPr>
              <w:fldChar w:fldCharType="separate"/>
            </w:r>
            <w:r>
              <w:rPr>
                <w:noProof/>
                <w:webHidden/>
              </w:rPr>
              <w:t>83</w:t>
            </w:r>
            <w:r>
              <w:rPr>
                <w:noProof/>
                <w:webHidden/>
              </w:rPr>
              <w:fldChar w:fldCharType="end"/>
            </w:r>
          </w:hyperlink>
        </w:p>
        <w:p w14:paraId="6E777FB4" w14:textId="57913475" w:rsidR="008B5583" w:rsidRDefault="008B5583">
          <w:pPr>
            <w:pStyle w:val="TOC1"/>
            <w:rPr>
              <w:rFonts w:eastAsiaTheme="minorEastAsia"/>
              <w:noProof/>
              <w:lang w:eastAsia="en-GB"/>
            </w:rPr>
          </w:pPr>
          <w:hyperlink w:anchor="_Toc99539895" w:history="1">
            <w:r w:rsidRPr="00BA0C07">
              <w:rPr>
                <w:rStyle w:val="Hyperlink"/>
                <w:noProof/>
              </w:rPr>
              <w:t>Chapter 8: Assessment of cost-effectiveness of diagnostic strategies</w:t>
            </w:r>
            <w:r>
              <w:rPr>
                <w:noProof/>
                <w:webHidden/>
              </w:rPr>
              <w:tab/>
            </w:r>
            <w:r>
              <w:rPr>
                <w:noProof/>
                <w:webHidden/>
              </w:rPr>
              <w:fldChar w:fldCharType="begin"/>
            </w:r>
            <w:r>
              <w:rPr>
                <w:noProof/>
                <w:webHidden/>
              </w:rPr>
              <w:instrText xml:space="preserve"> PAGEREF _Toc99539895 \h </w:instrText>
            </w:r>
            <w:r>
              <w:rPr>
                <w:noProof/>
                <w:webHidden/>
              </w:rPr>
            </w:r>
            <w:r>
              <w:rPr>
                <w:noProof/>
                <w:webHidden/>
              </w:rPr>
              <w:fldChar w:fldCharType="separate"/>
            </w:r>
            <w:r>
              <w:rPr>
                <w:noProof/>
                <w:webHidden/>
              </w:rPr>
              <w:t>86</w:t>
            </w:r>
            <w:r>
              <w:rPr>
                <w:noProof/>
                <w:webHidden/>
              </w:rPr>
              <w:fldChar w:fldCharType="end"/>
            </w:r>
          </w:hyperlink>
        </w:p>
        <w:p w14:paraId="796B0763" w14:textId="74B329B7" w:rsidR="008B5583" w:rsidRDefault="008B5583">
          <w:pPr>
            <w:pStyle w:val="TOC2"/>
            <w:tabs>
              <w:tab w:val="right" w:leader="dot" w:pos="9016"/>
            </w:tabs>
            <w:rPr>
              <w:rFonts w:eastAsiaTheme="minorEastAsia"/>
              <w:noProof/>
              <w:lang w:eastAsia="en-GB"/>
            </w:rPr>
          </w:pPr>
          <w:hyperlink w:anchor="_Toc99539896" w:history="1">
            <w:r w:rsidRPr="00BA0C07">
              <w:rPr>
                <w:rStyle w:val="Hyperlink"/>
                <w:noProof/>
              </w:rPr>
              <w:t>Screening strategies to investigate</w:t>
            </w:r>
            <w:r>
              <w:rPr>
                <w:noProof/>
                <w:webHidden/>
              </w:rPr>
              <w:tab/>
            </w:r>
            <w:r>
              <w:rPr>
                <w:noProof/>
                <w:webHidden/>
              </w:rPr>
              <w:fldChar w:fldCharType="begin"/>
            </w:r>
            <w:r>
              <w:rPr>
                <w:noProof/>
                <w:webHidden/>
              </w:rPr>
              <w:instrText xml:space="preserve"> PAGEREF _Toc99539896 \h </w:instrText>
            </w:r>
            <w:r>
              <w:rPr>
                <w:noProof/>
                <w:webHidden/>
              </w:rPr>
            </w:r>
            <w:r>
              <w:rPr>
                <w:noProof/>
                <w:webHidden/>
              </w:rPr>
              <w:fldChar w:fldCharType="separate"/>
            </w:r>
            <w:r>
              <w:rPr>
                <w:noProof/>
                <w:webHidden/>
              </w:rPr>
              <w:t>86</w:t>
            </w:r>
            <w:r>
              <w:rPr>
                <w:noProof/>
                <w:webHidden/>
              </w:rPr>
              <w:fldChar w:fldCharType="end"/>
            </w:r>
          </w:hyperlink>
        </w:p>
        <w:p w14:paraId="1A07497E" w14:textId="373018BB" w:rsidR="008B5583" w:rsidRDefault="008B5583">
          <w:pPr>
            <w:pStyle w:val="TOC2"/>
            <w:tabs>
              <w:tab w:val="right" w:leader="dot" w:pos="9016"/>
            </w:tabs>
            <w:rPr>
              <w:rFonts w:eastAsiaTheme="minorEastAsia"/>
              <w:noProof/>
              <w:lang w:eastAsia="en-GB"/>
            </w:rPr>
          </w:pPr>
          <w:hyperlink w:anchor="_Toc99539897" w:history="1">
            <w:r w:rsidRPr="00BA0C07">
              <w:rPr>
                <w:rStyle w:val="Hyperlink"/>
                <w:noProof/>
              </w:rPr>
              <w:t>Methods for cost-effectiveness analysis</w:t>
            </w:r>
            <w:r>
              <w:rPr>
                <w:noProof/>
                <w:webHidden/>
              </w:rPr>
              <w:tab/>
            </w:r>
            <w:r>
              <w:rPr>
                <w:noProof/>
                <w:webHidden/>
              </w:rPr>
              <w:fldChar w:fldCharType="begin"/>
            </w:r>
            <w:r>
              <w:rPr>
                <w:noProof/>
                <w:webHidden/>
              </w:rPr>
              <w:instrText xml:space="preserve"> PAGEREF _Toc99539897 \h </w:instrText>
            </w:r>
            <w:r>
              <w:rPr>
                <w:noProof/>
                <w:webHidden/>
              </w:rPr>
            </w:r>
            <w:r>
              <w:rPr>
                <w:noProof/>
                <w:webHidden/>
              </w:rPr>
              <w:fldChar w:fldCharType="separate"/>
            </w:r>
            <w:r>
              <w:rPr>
                <w:noProof/>
                <w:webHidden/>
              </w:rPr>
              <w:t>86</w:t>
            </w:r>
            <w:r>
              <w:rPr>
                <w:noProof/>
                <w:webHidden/>
              </w:rPr>
              <w:fldChar w:fldCharType="end"/>
            </w:r>
          </w:hyperlink>
        </w:p>
        <w:p w14:paraId="249B293D" w14:textId="68A38020" w:rsidR="008B5583" w:rsidRDefault="008B5583">
          <w:pPr>
            <w:pStyle w:val="TOC3"/>
            <w:tabs>
              <w:tab w:val="right" w:leader="dot" w:pos="9016"/>
            </w:tabs>
            <w:rPr>
              <w:rFonts w:eastAsiaTheme="minorEastAsia"/>
              <w:noProof/>
              <w:lang w:eastAsia="en-GB"/>
            </w:rPr>
          </w:pPr>
          <w:hyperlink w:anchor="_Toc99539898" w:history="1">
            <w:r w:rsidRPr="00BA0C07">
              <w:rPr>
                <w:rStyle w:val="Hyperlink"/>
                <w:noProof/>
              </w:rPr>
              <w:t>Review of previous cost-effectiveness models</w:t>
            </w:r>
            <w:r>
              <w:rPr>
                <w:noProof/>
                <w:webHidden/>
              </w:rPr>
              <w:tab/>
            </w:r>
            <w:r>
              <w:rPr>
                <w:noProof/>
                <w:webHidden/>
              </w:rPr>
              <w:fldChar w:fldCharType="begin"/>
            </w:r>
            <w:r>
              <w:rPr>
                <w:noProof/>
                <w:webHidden/>
              </w:rPr>
              <w:instrText xml:space="preserve"> PAGEREF _Toc99539898 \h </w:instrText>
            </w:r>
            <w:r>
              <w:rPr>
                <w:noProof/>
                <w:webHidden/>
              </w:rPr>
            </w:r>
            <w:r>
              <w:rPr>
                <w:noProof/>
                <w:webHidden/>
              </w:rPr>
              <w:fldChar w:fldCharType="separate"/>
            </w:r>
            <w:r>
              <w:rPr>
                <w:noProof/>
                <w:webHidden/>
              </w:rPr>
              <w:t>87</w:t>
            </w:r>
            <w:r>
              <w:rPr>
                <w:noProof/>
                <w:webHidden/>
              </w:rPr>
              <w:fldChar w:fldCharType="end"/>
            </w:r>
          </w:hyperlink>
        </w:p>
        <w:p w14:paraId="6F89C10E" w14:textId="3B1104AE" w:rsidR="008B5583" w:rsidRDefault="008B5583">
          <w:pPr>
            <w:pStyle w:val="TOC3"/>
            <w:tabs>
              <w:tab w:val="right" w:leader="dot" w:pos="9016"/>
            </w:tabs>
            <w:rPr>
              <w:rFonts w:eastAsiaTheme="minorEastAsia"/>
              <w:noProof/>
              <w:lang w:eastAsia="en-GB"/>
            </w:rPr>
          </w:pPr>
          <w:hyperlink w:anchor="_Toc99539899" w:history="1">
            <w:r w:rsidRPr="00BA0C07">
              <w:rPr>
                <w:rStyle w:val="Hyperlink"/>
                <w:noProof/>
              </w:rPr>
              <w:t>Model structure</w:t>
            </w:r>
            <w:r>
              <w:rPr>
                <w:noProof/>
                <w:webHidden/>
              </w:rPr>
              <w:tab/>
            </w:r>
            <w:r>
              <w:rPr>
                <w:noProof/>
                <w:webHidden/>
              </w:rPr>
              <w:fldChar w:fldCharType="begin"/>
            </w:r>
            <w:r>
              <w:rPr>
                <w:noProof/>
                <w:webHidden/>
              </w:rPr>
              <w:instrText xml:space="preserve"> PAGEREF _Toc99539899 \h </w:instrText>
            </w:r>
            <w:r>
              <w:rPr>
                <w:noProof/>
                <w:webHidden/>
              </w:rPr>
            </w:r>
            <w:r>
              <w:rPr>
                <w:noProof/>
                <w:webHidden/>
              </w:rPr>
              <w:fldChar w:fldCharType="separate"/>
            </w:r>
            <w:r>
              <w:rPr>
                <w:noProof/>
                <w:webHidden/>
              </w:rPr>
              <w:t>89</w:t>
            </w:r>
            <w:r>
              <w:rPr>
                <w:noProof/>
                <w:webHidden/>
              </w:rPr>
              <w:fldChar w:fldCharType="end"/>
            </w:r>
          </w:hyperlink>
        </w:p>
        <w:p w14:paraId="12C02342" w14:textId="2EF7258B" w:rsidR="008B5583" w:rsidRDefault="008B5583">
          <w:pPr>
            <w:pStyle w:val="TOC3"/>
            <w:tabs>
              <w:tab w:val="right" w:leader="dot" w:pos="9016"/>
            </w:tabs>
            <w:rPr>
              <w:rFonts w:eastAsiaTheme="minorEastAsia"/>
              <w:noProof/>
              <w:lang w:eastAsia="en-GB"/>
            </w:rPr>
          </w:pPr>
          <w:hyperlink w:anchor="_Toc99539900" w:history="1">
            <w:r w:rsidRPr="00BA0C07">
              <w:rPr>
                <w:rStyle w:val="Hyperlink"/>
                <w:noProof/>
              </w:rPr>
              <w:t>Input parameters</w:t>
            </w:r>
            <w:r>
              <w:rPr>
                <w:noProof/>
                <w:webHidden/>
              </w:rPr>
              <w:tab/>
            </w:r>
            <w:r>
              <w:rPr>
                <w:noProof/>
                <w:webHidden/>
              </w:rPr>
              <w:fldChar w:fldCharType="begin"/>
            </w:r>
            <w:r>
              <w:rPr>
                <w:noProof/>
                <w:webHidden/>
              </w:rPr>
              <w:instrText xml:space="preserve"> PAGEREF _Toc99539900 \h </w:instrText>
            </w:r>
            <w:r>
              <w:rPr>
                <w:noProof/>
                <w:webHidden/>
              </w:rPr>
            </w:r>
            <w:r>
              <w:rPr>
                <w:noProof/>
                <w:webHidden/>
              </w:rPr>
              <w:fldChar w:fldCharType="separate"/>
            </w:r>
            <w:r>
              <w:rPr>
                <w:noProof/>
                <w:webHidden/>
              </w:rPr>
              <w:t>92</w:t>
            </w:r>
            <w:r>
              <w:rPr>
                <w:noProof/>
                <w:webHidden/>
              </w:rPr>
              <w:fldChar w:fldCharType="end"/>
            </w:r>
          </w:hyperlink>
        </w:p>
        <w:p w14:paraId="7015677A" w14:textId="729FDB23" w:rsidR="008B5583" w:rsidRDefault="008B5583">
          <w:pPr>
            <w:pStyle w:val="TOC3"/>
            <w:tabs>
              <w:tab w:val="right" w:leader="dot" w:pos="9016"/>
            </w:tabs>
            <w:rPr>
              <w:rFonts w:eastAsiaTheme="minorEastAsia"/>
              <w:noProof/>
              <w:lang w:eastAsia="en-GB"/>
            </w:rPr>
          </w:pPr>
          <w:hyperlink w:anchor="_Toc99539901" w:history="1">
            <w:r w:rsidRPr="00BA0C07">
              <w:rPr>
                <w:rStyle w:val="Hyperlink"/>
                <w:noProof/>
                <w:lang w:eastAsia="ko-KR"/>
              </w:rPr>
              <w:t>Analyses</w:t>
            </w:r>
            <w:r>
              <w:rPr>
                <w:noProof/>
                <w:webHidden/>
              </w:rPr>
              <w:tab/>
            </w:r>
            <w:r>
              <w:rPr>
                <w:noProof/>
                <w:webHidden/>
              </w:rPr>
              <w:fldChar w:fldCharType="begin"/>
            </w:r>
            <w:r>
              <w:rPr>
                <w:noProof/>
                <w:webHidden/>
              </w:rPr>
              <w:instrText xml:space="preserve"> PAGEREF _Toc99539901 \h </w:instrText>
            </w:r>
            <w:r>
              <w:rPr>
                <w:noProof/>
                <w:webHidden/>
              </w:rPr>
            </w:r>
            <w:r>
              <w:rPr>
                <w:noProof/>
                <w:webHidden/>
              </w:rPr>
              <w:fldChar w:fldCharType="separate"/>
            </w:r>
            <w:r>
              <w:rPr>
                <w:noProof/>
                <w:webHidden/>
              </w:rPr>
              <w:t>104</w:t>
            </w:r>
            <w:r>
              <w:rPr>
                <w:noProof/>
                <w:webHidden/>
              </w:rPr>
              <w:fldChar w:fldCharType="end"/>
            </w:r>
          </w:hyperlink>
        </w:p>
        <w:p w14:paraId="002F9E9F" w14:textId="52AD4BB6" w:rsidR="008B5583" w:rsidRDefault="008B5583">
          <w:pPr>
            <w:pStyle w:val="TOC3"/>
            <w:tabs>
              <w:tab w:val="right" w:leader="dot" w:pos="9016"/>
            </w:tabs>
            <w:rPr>
              <w:rFonts w:eastAsiaTheme="minorEastAsia"/>
              <w:noProof/>
              <w:lang w:eastAsia="en-GB"/>
            </w:rPr>
          </w:pPr>
          <w:hyperlink w:anchor="_Toc99539902" w:history="1">
            <w:r w:rsidRPr="00BA0C07">
              <w:rPr>
                <w:rStyle w:val="Hyperlink"/>
                <w:noProof/>
              </w:rPr>
              <w:t>Software</w:t>
            </w:r>
            <w:r>
              <w:rPr>
                <w:noProof/>
                <w:webHidden/>
              </w:rPr>
              <w:tab/>
            </w:r>
            <w:r>
              <w:rPr>
                <w:noProof/>
                <w:webHidden/>
              </w:rPr>
              <w:fldChar w:fldCharType="begin"/>
            </w:r>
            <w:r>
              <w:rPr>
                <w:noProof/>
                <w:webHidden/>
              </w:rPr>
              <w:instrText xml:space="preserve"> PAGEREF _Toc99539902 \h </w:instrText>
            </w:r>
            <w:r>
              <w:rPr>
                <w:noProof/>
                <w:webHidden/>
              </w:rPr>
            </w:r>
            <w:r>
              <w:rPr>
                <w:noProof/>
                <w:webHidden/>
              </w:rPr>
              <w:fldChar w:fldCharType="separate"/>
            </w:r>
            <w:r>
              <w:rPr>
                <w:noProof/>
                <w:webHidden/>
              </w:rPr>
              <w:t>105</w:t>
            </w:r>
            <w:r>
              <w:rPr>
                <w:noProof/>
                <w:webHidden/>
              </w:rPr>
              <w:fldChar w:fldCharType="end"/>
            </w:r>
          </w:hyperlink>
        </w:p>
        <w:p w14:paraId="3DE4F16F" w14:textId="6F3F3799" w:rsidR="008B5583" w:rsidRDefault="008B5583">
          <w:pPr>
            <w:pStyle w:val="TOC3"/>
            <w:tabs>
              <w:tab w:val="right" w:leader="dot" w:pos="9016"/>
            </w:tabs>
            <w:rPr>
              <w:rFonts w:eastAsiaTheme="minorEastAsia"/>
              <w:noProof/>
              <w:lang w:eastAsia="en-GB"/>
            </w:rPr>
          </w:pPr>
          <w:hyperlink w:anchor="_Toc99539903" w:history="1">
            <w:r w:rsidRPr="00BA0C07">
              <w:rPr>
                <w:rStyle w:val="Hyperlink"/>
                <w:noProof/>
              </w:rPr>
              <w:t>Summary of modelling assumptions</w:t>
            </w:r>
            <w:r>
              <w:rPr>
                <w:noProof/>
                <w:webHidden/>
              </w:rPr>
              <w:tab/>
            </w:r>
            <w:r>
              <w:rPr>
                <w:noProof/>
                <w:webHidden/>
              </w:rPr>
              <w:fldChar w:fldCharType="begin"/>
            </w:r>
            <w:r>
              <w:rPr>
                <w:noProof/>
                <w:webHidden/>
              </w:rPr>
              <w:instrText xml:space="preserve"> PAGEREF _Toc99539903 \h </w:instrText>
            </w:r>
            <w:r>
              <w:rPr>
                <w:noProof/>
                <w:webHidden/>
              </w:rPr>
            </w:r>
            <w:r>
              <w:rPr>
                <w:noProof/>
                <w:webHidden/>
              </w:rPr>
              <w:fldChar w:fldCharType="separate"/>
            </w:r>
            <w:r>
              <w:rPr>
                <w:noProof/>
                <w:webHidden/>
              </w:rPr>
              <w:t>105</w:t>
            </w:r>
            <w:r>
              <w:rPr>
                <w:noProof/>
                <w:webHidden/>
              </w:rPr>
              <w:fldChar w:fldCharType="end"/>
            </w:r>
          </w:hyperlink>
        </w:p>
        <w:p w14:paraId="130F0798" w14:textId="373244F3" w:rsidR="008B5583" w:rsidRDefault="008B5583">
          <w:pPr>
            <w:pStyle w:val="TOC3"/>
            <w:tabs>
              <w:tab w:val="right" w:leader="dot" w:pos="9016"/>
            </w:tabs>
            <w:rPr>
              <w:rFonts w:eastAsiaTheme="minorEastAsia"/>
              <w:noProof/>
              <w:lang w:eastAsia="en-GB"/>
            </w:rPr>
          </w:pPr>
          <w:hyperlink w:anchor="_Toc99539904" w:history="1">
            <w:r w:rsidRPr="00BA0C07">
              <w:rPr>
                <w:rStyle w:val="Hyperlink"/>
                <w:noProof/>
              </w:rPr>
              <w:t>Results</w:t>
            </w:r>
            <w:r>
              <w:rPr>
                <w:noProof/>
                <w:webHidden/>
              </w:rPr>
              <w:tab/>
            </w:r>
            <w:r>
              <w:rPr>
                <w:noProof/>
                <w:webHidden/>
              </w:rPr>
              <w:fldChar w:fldCharType="begin"/>
            </w:r>
            <w:r>
              <w:rPr>
                <w:noProof/>
                <w:webHidden/>
              </w:rPr>
              <w:instrText xml:space="preserve"> PAGEREF _Toc99539904 \h </w:instrText>
            </w:r>
            <w:r>
              <w:rPr>
                <w:noProof/>
                <w:webHidden/>
              </w:rPr>
            </w:r>
            <w:r>
              <w:rPr>
                <w:noProof/>
                <w:webHidden/>
              </w:rPr>
              <w:fldChar w:fldCharType="separate"/>
            </w:r>
            <w:r>
              <w:rPr>
                <w:noProof/>
                <w:webHidden/>
              </w:rPr>
              <w:t>106</w:t>
            </w:r>
            <w:r>
              <w:rPr>
                <w:noProof/>
                <w:webHidden/>
              </w:rPr>
              <w:fldChar w:fldCharType="end"/>
            </w:r>
          </w:hyperlink>
        </w:p>
        <w:p w14:paraId="42A31308" w14:textId="091DCEAD" w:rsidR="008B5583" w:rsidRDefault="008B5583">
          <w:pPr>
            <w:pStyle w:val="TOC1"/>
            <w:rPr>
              <w:rFonts w:eastAsiaTheme="minorEastAsia"/>
              <w:noProof/>
              <w:lang w:eastAsia="en-GB"/>
            </w:rPr>
          </w:pPr>
          <w:hyperlink w:anchor="_Toc99539905" w:history="1">
            <w:r w:rsidRPr="00BA0C07">
              <w:rPr>
                <w:rStyle w:val="Hyperlink"/>
                <w:noProof/>
              </w:rPr>
              <w:t>Chapter 9: Discussion</w:t>
            </w:r>
            <w:r>
              <w:rPr>
                <w:noProof/>
                <w:webHidden/>
              </w:rPr>
              <w:tab/>
            </w:r>
            <w:r>
              <w:rPr>
                <w:noProof/>
                <w:webHidden/>
              </w:rPr>
              <w:fldChar w:fldCharType="begin"/>
            </w:r>
            <w:r>
              <w:rPr>
                <w:noProof/>
                <w:webHidden/>
              </w:rPr>
              <w:instrText xml:space="preserve"> PAGEREF _Toc99539905 \h </w:instrText>
            </w:r>
            <w:r>
              <w:rPr>
                <w:noProof/>
                <w:webHidden/>
              </w:rPr>
            </w:r>
            <w:r>
              <w:rPr>
                <w:noProof/>
                <w:webHidden/>
              </w:rPr>
              <w:fldChar w:fldCharType="separate"/>
            </w:r>
            <w:r>
              <w:rPr>
                <w:noProof/>
                <w:webHidden/>
              </w:rPr>
              <w:t>125</w:t>
            </w:r>
            <w:r>
              <w:rPr>
                <w:noProof/>
                <w:webHidden/>
              </w:rPr>
              <w:fldChar w:fldCharType="end"/>
            </w:r>
          </w:hyperlink>
        </w:p>
        <w:p w14:paraId="051DF852" w14:textId="39C26264" w:rsidR="008B5583" w:rsidRDefault="008B5583">
          <w:pPr>
            <w:pStyle w:val="TOC2"/>
            <w:tabs>
              <w:tab w:val="right" w:leader="dot" w:pos="9016"/>
            </w:tabs>
            <w:rPr>
              <w:rFonts w:eastAsiaTheme="minorEastAsia"/>
              <w:noProof/>
              <w:lang w:eastAsia="en-GB"/>
            </w:rPr>
          </w:pPr>
          <w:hyperlink w:anchor="_Toc99539906" w:history="1">
            <w:r w:rsidRPr="00BA0C07">
              <w:rPr>
                <w:rStyle w:val="Hyperlink"/>
                <w:noProof/>
              </w:rPr>
              <w:t>Statement of principal findings</w:t>
            </w:r>
            <w:r>
              <w:rPr>
                <w:noProof/>
                <w:webHidden/>
              </w:rPr>
              <w:tab/>
            </w:r>
            <w:r>
              <w:rPr>
                <w:noProof/>
                <w:webHidden/>
              </w:rPr>
              <w:fldChar w:fldCharType="begin"/>
            </w:r>
            <w:r>
              <w:rPr>
                <w:noProof/>
                <w:webHidden/>
              </w:rPr>
              <w:instrText xml:space="preserve"> PAGEREF _Toc99539906 \h </w:instrText>
            </w:r>
            <w:r>
              <w:rPr>
                <w:noProof/>
                <w:webHidden/>
              </w:rPr>
            </w:r>
            <w:r>
              <w:rPr>
                <w:noProof/>
                <w:webHidden/>
              </w:rPr>
              <w:fldChar w:fldCharType="separate"/>
            </w:r>
            <w:r>
              <w:rPr>
                <w:noProof/>
                <w:webHidden/>
              </w:rPr>
              <w:t>125</w:t>
            </w:r>
            <w:r>
              <w:rPr>
                <w:noProof/>
                <w:webHidden/>
              </w:rPr>
              <w:fldChar w:fldCharType="end"/>
            </w:r>
          </w:hyperlink>
        </w:p>
        <w:p w14:paraId="69CC102B" w14:textId="2E199DC6" w:rsidR="008B5583" w:rsidRDefault="008B5583">
          <w:pPr>
            <w:pStyle w:val="TOC2"/>
            <w:tabs>
              <w:tab w:val="right" w:leader="dot" w:pos="9016"/>
            </w:tabs>
            <w:rPr>
              <w:rFonts w:eastAsiaTheme="minorEastAsia"/>
              <w:noProof/>
              <w:lang w:eastAsia="en-GB"/>
            </w:rPr>
          </w:pPr>
          <w:hyperlink w:anchor="_Toc99539907" w:history="1">
            <w:r w:rsidRPr="00BA0C07">
              <w:rPr>
                <w:rStyle w:val="Hyperlink"/>
                <w:noProof/>
              </w:rPr>
              <w:t>Strengths and limitations</w:t>
            </w:r>
            <w:r>
              <w:rPr>
                <w:noProof/>
                <w:webHidden/>
              </w:rPr>
              <w:tab/>
            </w:r>
            <w:r>
              <w:rPr>
                <w:noProof/>
                <w:webHidden/>
              </w:rPr>
              <w:fldChar w:fldCharType="begin"/>
            </w:r>
            <w:r>
              <w:rPr>
                <w:noProof/>
                <w:webHidden/>
              </w:rPr>
              <w:instrText xml:space="preserve"> PAGEREF _Toc99539907 \h </w:instrText>
            </w:r>
            <w:r>
              <w:rPr>
                <w:noProof/>
                <w:webHidden/>
              </w:rPr>
            </w:r>
            <w:r>
              <w:rPr>
                <w:noProof/>
                <w:webHidden/>
              </w:rPr>
              <w:fldChar w:fldCharType="separate"/>
            </w:r>
            <w:r>
              <w:rPr>
                <w:noProof/>
                <w:webHidden/>
              </w:rPr>
              <w:t>127</w:t>
            </w:r>
            <w:r>
              <w:rPr>
                <w:noProof/>
                <w:webHidden/>
              </w:rPr>
              <w:fldChar w:fldCharType="end"/>
            </w:r>
          </w:hyperlink>
        </w:p>
        <w:p w14:paraId="54952C2B" w14:textId="4D044D65" w:rsidR="008B5583" w:rsidRDefault="008B5583">
          <w:pPr>
            <w:pStyle w:val="TOC2"/>
            <w:tabs>
              <w:tab w:val="right" w:leader="dot" w:pos="9016"/>
            </w:tabs>
            <w:rPr>
              <w:rFonts w:eastAsiaTheme="minorEastAsia"/>
              <w:noProof/>
              <w:lang w:eastAsia="en-GB"/>
            </w:rPr>
          </w:pPr>
          <w:hyperlink w:anchor="_Toc99539908" w:history="1">
            <w:r w:rsidRPr="00BA0C07">
              <w:rPr>
                <w:rStyle w:val="Hyperlink"/>
                <w:noProof/>
              </w:rPr>
              <w:t>Comparison with other studies</w:t>
            </w:r>
            <w:r>
              <w:rPr>
                <w:noProof/>
                <w:webHidden/>
              </w:rPr>
              <w:tab/>
            </w:r>
            <w:r>
              <w:rPr>
                <w:noProof/>
                <w:webHidden/>
              </w:rPr>
              <w:fldChar w:fldCharType="begin"/>
            </w:r>
            <w:r>
              <w:rPr>
                <w:noProof/>
                <w:webHidden/>
              </w:rPr>
              <w:instrText xml:space="preserve"> PAGEREF _Toc99539908 \h </w:instrText>
            </w:r>
            <w:r>
              <w:rPr>
                <w:noProof/>
                <w:webHidden/>
              </w:rPr>
            </w:r>
            <w:r>
              <w:rPr>
                <w:noProof/>
                <w:webHidden/>
              </w:rPr>
              <w:fldChar w:fldCharType="separate"/>
            </w:r>
            <w:r>
              <w:rPr>
                <w:noProof/>
                <w:webHidden/>
              </w:rPr>
              <w:t>131</w:t>
            </w:r>
            <w:r>
              <w:rPr>
                <w:noProof/>
                <w:webHidden/>
              </w:rPr>
              <w:fldChar w:fldCharType="end"/>
            </w:r>
          </w:hyperlink>
        </w:p>
        <w:p w14:paraId="79CC52B2" w14:textId="17F95B76" w:rsidR="008B5583" w:rsidRDefault="008B5583">
          <w:pPr>
            <w:pStyle w:val="TOC1"/>
            <w:rPr>
              <w:rFonts w:eastAsiaTheme="minorEastAsia"/>
              <w:noProof/>
              <w:lang w:eastAsia="en-GB"/>
            </w:rPr>
          </w:pPr>
          <w:hyperlink w:anchor="_Toc99539909" w:history="1">
            <w:r w:rsidRPr="00BA0C07">
              <w:rPr>
                <w:rStyle w:val="Hyperlink"/>
                <w:noProof/>
              </w:rPr>
              <w:t>Chapter 10: Conclusions</w:t>
            </w:r>
            <w:r>
              <w:rPr>
                <w:noProof/>
                <w:webHidden/>
              </w:rPr>
              <w:tab/>
            </w:r>
            <w:r>
              <w:rPr>
                <w:noProof/>
                <w:webHidden/>
              </w:rPr>
              <w:fldChar w:fldCharType="begin"/>
            </w:r>
            <w:r>
              <w:rPr>
                <w:noProof/>
                <w:webHidden/>
              </w:rPr>
              <w:instrText xml:space="preserve"> PAGEREF _Toc99539909 \h </w:instrText>
            </w:r>
            <w:r>
              <w:rPr>
                <w:noProof/>
                <w:webHidden/>
              </w:rPr>
            </w:r>
            <w:r>
              <w:rPr>
                <w:noProof/>
                <w:webHidden/>
              </w:rPr>
              <w:fldChar w:fldCharType="separate"/>
            </w:r>
            <w:r>
              <w:rPr>
                <w:noProof/>
                <w:webHidden/>
              </w:rPr>
              <w:t>134</w:t>
            </w:r>
            <w:r>
              <w:rPr>
                <w:noProof/>
                <w:webHidden/>
              </w:rPr>
              <w:fldChar w:fldCharType="end"/>
            </w:r>
          </w:hyperlink>
        </w:p>
        <w:p w14:paraId="2E8D7824" w14:textId="75E88A0E" w:rsidR="008B5583" w:rsidRDefault="008B5583">
          <w:pPr>
            <w:pStyle w:val="TOC2"/>
            <w:tabs>
              <w:tab w:val="right" w:leader="dot" w:pos="9016"/>
            </w:tabs>
            <w:rPr>
              <w:rFonts w:eastAsiaTheme="minorEastAsia"/>
              <w:noProof/>
              <w:lang w:eastAsia="en-GB"/>
            </w:rPr>
          </w:pPr>
          <w:hyperlink w:anchor="_Toc99539910" w:history="1">
            <w:r w:rsidRPr="00BA0C07">
              <w:rPr>
                <w:rStyle w:val="Hyperlink"/>
                <w:noProof/>
              </w:rPr>
              <w:t>Implications for practice</w:t>
            </w:r>
            <w:r>
              <w:rPr>
                <w:noProof/>
                <w:webHidden/>
              </w:rPr>
              <w:tab/>
            </w:r>
            <w:r>
              <w:rPr>
                <w:noProof/>
                <w:webHidden/>
              </w:rPr>
              <w:fldChar w:fldCharType="begin"/>
            </w:r>
            <w:r>
              <w:rPr>
                <w:noProof/>
                <w:webHidden/>
              </w:rPr>
              <w:instrText xml:space="preserve"> PAGEREF _Toc99539910 \h </w:instrText>
            </w:r>
            <w:r>
              <w:rPr>
                <w:noProof/>
                <w:webHidden/>
              </w:rPr>
            </w:r>
            <w:r>
              <w:rPr>
                <w:noProof/>
                <w:webHidden/>
              </w:rPr>
              <w:fldChar w:fldCharType="separate"/>
            </w:r>
            <w:r>
              <w:rPr>
                <w:noProof/>
                <w:webHidden/>
              </w:rPr>
              <w:t>134</w:t>
            </w:r>
            <w:r>
              <w:rPr>
                <w:noProof/>
                <w:webHidden/>
              </w:rPr>
              <w:fldChar w:fldCharType="end"/>
            </w:r>
          </w:hyperlink>
        </w:p>
        <w:p w14:paraId="0446D220" w14:textId="34B8019C" w:rsidR="008B5583" w:rsidRDefault="008B5583">
          <w:pPr>
            <w:pStyle w:val="TOC2"/>
            <w:tabs>
              <w:tab w:val="right" w:leader="dot" w:pos="9016"/>
            </w:tabs>
            <w:rPr>
              <w:rFonts w:eastAsiaTheme="minorEastAsia"/>
              <w:noProof/>
              <w:lang w:eastAsia="en-GB"/>
            </w:rPr>
          </w:pPr>
          <w:hyperlink w:anchor="_Toc99539911" w:history="1">
            <w:r w:rsidRPr="00BA0C07">
              <w:rPr>
                <w:rStyle w:val="Hyperlink"/>
                <w:noProof/>
              </w:rPr>
              <w:t>Suggested research priorities</w:t>
            </w:r>
            <w:r>
              <w:rPr>
                <w:noProof/>
                <w:webHidden/>
              </w:rPr>
              <w:tab/>
            </w:r>
            <w:r>
              <w:rPr>
                <w:noProof/>
                <w:webHidden/>
              </w:rPr>
              <w:fldChar w:fldCharType="begin"/>
            </w:r>
            <w:r>
              <w:rPr>
                <w:noProof/>
                <w:webHidden/>
              </w:rPr>
              <w:instrText xml:space="preserve"> PAGEREF _Toc99539911 \h </w:instrText>
            </w:r>
            <w:r>
              <w:rPr>
                <w:noProof/>
                <w:webHidden/>
              </w:rPr>
            </w:r>
            <w:r>
              <w:rPr>
                <w:noProof/>
                <w:webHidden/>
              </w:rPr>
              <w:fldChar w:fldCharType="separate"/>
            </w:r>
            <w:r>
              <w:rPr>
                <w:noProof/>
                <w:webHidden/>
              </w:rPr>
              <w:t>135</w:t>
            </w:r>
            <w:r>
              <w:rPr>
                <w:noProof/>
                <w:webHidden/>
              </w:rPr>
              <w:fldChar w:fldCharType="end"/>
            </w:r>
          </w:hyperlink>
        </w:p>
        <w:p w14:paraId="2BF7CF52" w14:textId="6DC71E1A" w:rsidR="008B5583" w:rsidRDefault="008B5583">
          <w:pPr>
            <w:pStyle w:val="TOC1"/>
            <w:rPr>
              <w:rFonts w:eastAsiaTheme="minorEastAsia"/>
              <w:noProof/>
              <w:lang w:eastAsia="en-GB"/>
            </w:rPr>
          </w:pPr>
          <w:hyperlink w:anchor="_Toc99539912" w:history="1">
            <w:r w:rsidRPr="00BA0C07">
              <w:rPr>
                <w:rStyle w:val="Hyperlink"/>
                <w:noProof/>
              </w:rPr>
              <w:t>Acknowledgements</w:t>
            </w:r>
            <w:r>
              <w:rPr>
                <w:noProof/>
                <w:webHidden/>
              </w:rPr>
              <w:tab/>
            </w:r>
            <w:r>
              <w:rPr>
                <w:noProof/>
                <w:webHidden/>
              </w:rPr>
              <w:fldChar w:fldCharType="begin"/>
            </w:r>
            <w:r>
              <w:rPr>
                <w:noProof/>
                <w:webHidden/>
              </w:rPr>
              <w:instrText xml:space="preserve"> PAGEREF _Toc99539912 \h </w:instrText>
            </w:r>
            <w:r>
              <w:rPr>
                <w:noProof/>
                <w:webHidden/>
              </w:rPr>
            </w:r>
            <w:r>
              <w:rPr>
                <w:noProof/>
                <w:webHidden/>
              </w:rPr>
              <w:fldChar w:fldCharType="separate"/>
            </w:r>
            <w:r>
              <w:rPr>
                <w:noProof/>
                <w:webHidden/>
              </w:rPr>
              <w:t>137</w:t>
            </w:r>
            <w:r>
              <w:rPr>
                <w:noProof/>
                <w:webHidden/>
              </w:rPr>
              <w:fldChar w:fldCharType="end"/>
            </w:r>
          </w:hyperlink>
        </w:p>
        <w:p w14:paraId="5CD95162" w14:textId="2D46CAD8" w:rsidR="008B5583" w:rsidRDefault="008B5583">
          <w:pPr>
            <w:pStyle w:val="TOC2"/>
            <w:tabs>
              <w:tab w:val="right" w:leader="dot" w:pos="9016"/>
            </w:tabs>
            <w:rPr>
              <w:rFonts w:eastAsiaTheme="minorEastAsia"/>
              <w:noProof/>
              <w:lang w:eastAsia="en-GB"/>
            </w:rPr>
          </w:pPr>
          <w:hyperlink w:anchor="_Toc99539913" w:history="1">
            <w:r w:rsidRPr="00BA0C07">
              <w:rPr>
                <w:rStyle w:val="Hyperlink"/>
                <w:noProof/>
              </w:rPr>
              <w:t>ALSPAC</w:t>
            </w:r>
            <w:r>
              <w:rPr>
                <w:noProof/>
                <w:webHidden/>
              </w:rPr>
              <w:tab/>
            </w:r>
            <w:r>
              <w:rPr>
                <w:noProof/>
                <w:webHidden/>
              </w:rPr>
              <w:fldChar w:fldCharType="begin"/>
            </w:r>
            <w:r>
              <w:rPr>
                <w:noProof/>
                <w:webHidden/>
              </w:rPr>
              <w:instrText xml:space="preserve"> PAGEREF _Toc99539913 \h </w:instrText>
            </w:r>
            <w:r>
              <w:rPr>
                <w:noProof/>
                <w:webHidden/>
              </w:rPr>
            </w:r>
            <w:r>
              <w:rPr>
                <w:noProof/>
                <w:webHidden/>
              </w:rPr>
              <w:fldChar w:fldCharType="separate"/>
            </w:r>
            <w:r>
              <w:rPr>
                <w:noProof/>
                <w:webHidden/>
              </w:rPr>
              <w:t>137</w:t>
            </w:r>
            <w:r>
              <w:rPr>
                <w:noProof/>
                <w:webHidden/>
              </w:rPr>
              <w:fldChar w:fldCharType="end"/>
            </w:r>
          </w:hyperlink>
        </w:p>
        <w:p w14:paraId="1813F937" w14:textId="0B6EDD1B" w:rsidR="008B5583" w:rsidRDefault="008B5583">
          <w:pPr>
            <w:pStyle w:val="TOC2"/>
            <w:tabs>
              <w:tab w:val="right" w:leader="dot" w:pos="9016"/>
            </w:tabs>
            <w:rPr>
              <w:rFonts w:eastAsiaTheme="minorEastAsia"/>
              <w:noProof/>
              <w:lang w:eastAsia="en-GB"/>
            </w:rPr>
          </w:pPr>
          <w:hyperlink w:anchor="_Toc99539914" w:history="1">
            <w:r w:rsidRPr="00BA0C07">
              <w:rPr>
                <w:rStyle w:val="Hyperlink"/>
                <w:noProof/>
              </w:rPr>
              <w:t>Data sharing</w:t>
            </w:r>
            <w:r>
              <w:rPr>
                <w:noProof/>
                <w:webHidden/>
              </w:rPr>
              <w:tab/>
            </w:r>
            <w:r>
              <w:rPr>
                <w:noProof/>
                <w:webHidden/>
              </w:rPr>
              <w:fldChar w:fldCharType="begin"/>
            </w:r>
            <w:r>
              <w:rPr>
                <w:noProof/>
                <w:webHidden/>
              </w:rPr>
              <w:instrText xml:space="preserve"> PAGEREF _Toc99539914 \h </w:instrText>
            </w:r>
            <w:r>
              <w:rPr>
                <w:noProof/>
                <w:webHidden/>
              </w:rPr>
            </w:r>
            <w:r>
              <w:rPr>
                <w:noProof/>
                <w:webHidden/>
              </w:rPr>
              <w:fldChar w:fldCharType="separate"/>
            </w:r>
            <w:r>
              <w:rPr>
                <w:noProof/>
                <w:webHidden/>
              </w:rPr>
              <w:t>137</w:t>
            </w:r>
            <w:r>
              <w:rPr>
                <w:noProof/>
                <w:webHidden/>
              </w:rPr>
              <w:fldChar w:fldCharType="end"/>
            </w:r>
          </w:hyperlink>
        </w:p>
        <w:p w14:paraId="514C79F0" w14:textId="304CCBC5" w:rsidR="008B5583" w:rsidRDefault="008B5583">
          <w:pPr>
            <w:pStyle w:val="TOC2"/>
            <w:tabs>
              <w:tab w:val="right" w:leader="dot" w:pos="9016"/>
            </w:tabs>
            <w:rPr>
              <w:rFonts w:eastAsiaTheme="minorEastAsia"/>
              <w:noProof/>
              <w:lang w:eastAsia="en-GB"/>
            </w:rPr>
          </w:pPr>
          <w:hyperlink w:anchor="_Toc99539915" w:history="1">
            <w:r w:rsidRPr="00BA0C07">
              <w:rPr>
                <w:rStyle w:val="Hyperlink"/>
                <w:noProof/>
              </w:rPr>
              <w:t>Publications</w:t>
            </w:r>
            <w:r>
              <w:rPr>
                <w:noProof/>
                <w:webHidden/>
              </w:rPr>
              <w:tab/>
            </w:r>
            <w:r>
              <w:rPr>
                <w:noProof/>
                <w:webHidden/>
              </w:rPr>
              <w:fldChar w:fldCharType="begin"/>
            </w:r>
            <w:r>
              <w:rPr>
                <w:noProof/>
                <w:webHidden/>
              </w:rPr>
              <w:instrText xml:space="preserve"> PAGEREF _Toc99539915 \h </w:instrText>
            </w:r>
            <w:r>
              <w:rPr>
                <w:noProof/>
                <w:webHidden/>
              </w:rPr>
            </w:r>
            <w:r>
              <w:rPr>
                <w:noProof/>
                <w:webHidden/>
              </w:rPr>
              <w:fldChar w:fldCharType="separate"/>
            </w:r>
            <w:r>
              <w:rPr>
                <w:noProof/>
                <w:webHidden/>
              </w:rPr>
              <w:t>137</w:t>
            </w:r>
            <w:r>
              <w:rPr>
                <w:noProof/>
                <w:webHidden/>
              </w:rPr>
              <w:fldChar w:fldCharType="end"/>
            </w:r>
          </w:hyperlink>
        </w:p>
        <w:p w14:paraId="7DEEC68C" w14:textId="701E5F0E" w:rsidR="008B5583" w:rsidRDefault="008B5583">
          <w:pPr>
            <w:pStyle w:val="TOC1"/>
            <w:rPr>
              <w:rFonts w:eastAsiaTheme="minorEastAsia"/>
              <w:noProof/>
              <w:lang w:eastAsia="en-GB"/>
            </w:rPr>
          </w:pPr>
          <w:hyperlink w:anchor="_Toc99539916" w:history="1">
            <w:r w:rsidRPr="00BA0C07">
              <w:rPr>
                <w:rStyle w:val="Hyperlink"/>
                <w:noProof/>
              </w:rPr>
              <w:t>Patient data statement</w:t>
            </w:r>
            <w:r>
              <w:rPr>
                <w:noProof/>
                <w:webHidden/>
              </w:rPr>
              <w:tab/>
            </w:r>
            <w:r>
              <w:rPr>
                <w:noProof/>
                <w:webHidden/>
              </w:rPr>
              <w:fldChar w:fldCharType="begin"/>
            </w:r>
            <w:r>
              <w:rPr>
                <w:noProof/>
                <w:webHidden/>
              </w:rPr>
              <w:instrText xml:space="preserve"> PAGEREF _Toc99539916 \h </w:instrText>
            </w:r>
            <w:r>
              <w:rPr>
                <w:noProof/>
                <w:webHidden/>
              </w:rPr>
            </w:r>
            <w:r>
              <w:rPr>
                <w:noProof/>
                <w:webHidden/>
              </w:rPr>
              <w:fldChar w:fldCharType="separate"/>
            </w:r>
            <w:r>
              <w:rPr>
                <w:noProof/>
                <w:webHidden/>
              </w:rPr>
              <w:t>137</w:t>
            </w:r>
            <w:r>
              <w:rPr>
                <w:noProof/>
                <w:webHidden/>
              </w:rPr>
              <w:fldChar w:fldCharType="end"/>
            </w:r>
          </w:hyperlink>
        </w:p>
        <w:p w14:paraId="4C43EB4F" w14:textId="62EBDC4B" w:rsidR="008B5583" w:rsidRDefault="008B5583">
          <w:pPr>
            <w:pStyle w:val="TOC1"/>
            <w:rPr>
              <w:rFonts w:eastAsiaTheme="minorEastAsia"/>
              <w:noProof/>
              <w:lang w:eastAsia="en-GB"/>
            </w:rPr>
          </w:pPr>
          <w:hyperlink w:anchor="_Toc99539917" w:history="1">
            <w:r w:rsidRPr="00BA0C07">
              <w:rPr>
                <w:rStyle w:val="Hyperlink"/>
                <w:noProof/>
              </w:rPr>
              <w:t>Author contributions</w:t>
            </w:r>
            <w:r>
              <w:rPr>
                <w:noProof/>
                <w:webHidden/>
              </w:rPr>
              <w:tab/>
            </w:r>
            <w:r>
              <w:rPr>
                <w:noProof/>
                <w:webHidden/>
              </w:rPr>
              <w:fldChar w:fldCharType="begin"/>
            </w:r>
            <w:r>
              <w:rPr>
                <w:noProof/>
                <w:webHidden/>
              </w:rPr>
              <w:instrText xml:space="preserve"> PAGEREF _Toc99539917 \h </w:instrText>
            </w:r>
            <w:r>
              <w:rPr>
                <w:noProof/>
                <w:webHidden/>
              </w:rPr>
            </w:r>
            <w:r>
              <w:rPr>
                <w:noProof/>
                <w:webHidden/>
              </w:rPr>
              <w:fldChar w:fldCharType="separate"/>
            </w:r>
            <w:r>
              <w:rPr>
                <w:noProof/>
                <w:webHidden/>
              </w:rPr>
              <w:t>137</w:t>
            </w:r>
            <w:r>
              <w:rPr>
                <w:noProof/>
                <w:webHidden/>
              </w:rPr>
              <w:fldChar w:fldCharType="end"/>
            </w:r>
          </w:hyperlink>
        </w:p>
        <w:p w14:paraId="64A718AD" w14:textId="504DCC14" w:rsidR="008B5583" w:rsidRDefault="008B5583">
          <w:pPr>
            <w:pStyle w:val="TOC1"/>
            <w:rPr>
              <w:rFonts w:eastAsiaTheme="minorEastAsia"/>
              <w:noProof/>
              <w:lang w:eastAsia="en-GB"/>
            </w:rPr>
          </w:pPr>
          <w:hyperlink w:anchor="_Toc99539918" w:history="1">
            <w:r w:rsidRPr="00BA0C07">
              <w:rPr>
                <w:rStyle w:val="Hyperlink"/>
                <w:noProof/>
              </w:rPr>
              <w:t>References</w:t>
            </w:r>
            <w:r>
              <w:rPr>
                <w:noProof/>
                <w:webHidden/>
              </w:rPr>
              <w:tab/>
            </w:r>
            <w:r>
              <w:rPr>
                <w:noProof/>
                <w:webHidden/>
              </w:rPr>
              <w:fldChar w:fldCharType="begin"/>
            </w:r>
            <w:r>
              <w:rPr>
                <w:noProof/>
                <w:webHidden/>
              </w:rPr>
              <w:instrText xml:space="preserve"> PAGEREF _Toc99539918 \h </w:instrText>
            </w:r>
            <w:r>
              <w:rPr>
                <w:noProof/>
                <w:webHidden/>
              </w:rPr>
            </w:r>
            <w:r>
              <w:rPr>
                <w:noProof/>
                <w:webHidden/>
              </w:rPr>
              <w:fldChar w:fldCharType="separate"/>
            </w:r>
            <w:r>
              <w:rPr>
                <w:noProof/>
                <w:webHidden/>
              </w:rPr>
              <w:t>139</w:t>
            </w:r>
            <w:r>
              <w:rPr>
                <w:noProof/>
                <w:webHidden/>
              </w:rPr>
              <w:fldChar w:fldCharType="end"/>
            </w:r>
          </w:hyperlink>
        </w:p>
        <w:p w14:paraId="796AA306" w14:textId="20FF687D" w:rsidR="008B5583" w:rsidRDefault="008B5583">
          <w:pPr>
            <w:pStyle w:val="TOC1"/>
            <w:rPr>
              <w:rFonts w:eastAsiaTheme="minorEastAsia"/>
              <w:noProof/>
              <w:lang w:eastAsia="en-GB"/>
            </w:rPr>
          </w:pPr>
          <w:hyperlink w:anchor="_Toc99539919" w:history="1">
            <w:r w:rsidRPr="00BA0C07">
              <w:rPr>
                <w:rStyle w:val="Hyperlink"/>
                <w:noProof/>
              </w:rPr>
              <w:t>Appendices</w:t>
            </w:r>
            <w:r>
              <w:rPr>
                <w:noProof/>
                <w:webHidden/>
              </w:rPr>
              <w:tab/>
            </w:r>
            <w:r>
              <w:rPr>
                <w:noProof/>
                <w:webHidden/>
              </w:rPr>
              <w:fldChar w:fldCharType="begin"/>
            </w:r>
            <w:r>
              <w:rPr>
                <w:noProof/>
                <w:webHidden/>
              </w:rPr>
              <w:instrText xml:space="preserve"> PAGEREF _Toc99539919 \h </w:instrText>
            </w:r>
            <w:r>
              <w:rPr>
                <w:noProof/>
                <w:webHidden/>
              </w:rPr>
            </w:r>
            <w:r>
              <w:rPr>
                <w:noProof/>
                <w:webHidden/>
              </w:rPr>
              <w:fldChar w:fldCharType="separate"/>
            </w:r>
            <w:r>
              <w:rPr>
                <w:noProof/>
                <w:webHidden/>
              </w:rPr>
              <w:t>168</w:t>
            </w:r>
            <w:r>
              <w:rPr>
                <w:noProof/>
                <w:webHidden/>
              </w:rPr>
              <w:fldChar w:fldCharType="end"/>
            </w:r>
          </w:hyperlink>
        </w:p>
        <w:p w14:paraId="0AFD18E4" w14:textId="2AA50927" w:rsidR="008B5583" w:rsidRDefault="008B5583">
          <w:pPr>
            <w:pStyle w:val="TOC2"/>
            <w:tabs>
              <w:tab w:val="right" w:leader="dot" w:pos="9016"/>
            </w:tabs>
            <w:rPr>
              <w:rFonts w:eastAsiaTheme="minorEastAsia"/>
              <w:noProof/>
              <w:lang w:eastAsia="en-GB"/>
            </w:rPr>
          </w:pPr>
          <w:hyperlink w:anchor="_Toc99539920" w:history="1">
            <w:r w:rsidRPr="00BA0C07">
              <w:rPr>
                <w:rStyle w:val="Hyperlink"/>
                <w:noProof/>
              </w:rPr>
              <w:t>Appendix 1</w:t>
            </w:r>
            <w:r>
              <w:rPr>
                <w:noProof/>
                <w:webHidden/>
              </w:rPr>
              <w:tab/>
            </w:r>
            <w:r>
              <w:rPr>
                <w:noProof/>
                <w:webHidden/>
              </w:rPr>
              <w:fldChar w:fldCharType="begin"/>
            </w:r>
            <w:r>
              <w:rPr>
                <w:noProof/>
                <w:webHidden/>
              </w:rPr>
              <w:instrText xml:space="preserve"> PAGEREF _Toc99539920 \h </w:instrText>
            </w:r>
            <w:r>
              <w:rPr>
                <w:noProof/>
                <w:webHidden/>
              </w:rPr>
            </w:r>
            <w:r>
              <w:rPr>
                <w:noProof/>
                <w:webHidden/>
              </w:rPr>
              <w:fldChar w:fldCharType="separate"/>
            </w:r>
            <w:r>
              <w:rPr>
                <w:noProof/>
                <w:webHidden/>
              </w:rPr>
              <w:t>168</w:t>
            </w:r>
            <w:r>
              <w:rPr>
                <w:noProof/>
                <w:webHidden/>
              </w:rPr>
              <w:fldChar w:fldCharType="end"/>
            </w:r>
          </w:hyperlink>
        </w:p>
        <w:p w14:paraId="2AB0921C" w14:textId="73A993FE" w:rsidR="008B5583" w:rsidRDefault="008B5583">
          <w:pPr>
            <w:pStyle w:val="TOC3"/>
            <w:tabs>
              <w:tab w:val="right" w:leader="dot" w:pos="9016"/>
            </w:tabs>
            <w:rPr>
              <w:rFonts w:eastAsiaTheme="minorEastAsia"/>
              <w:noProof/>
              <w:lang w:eastAsia="en-GB"/>
            </w:rPr>
          </w:pPr>
          <w:hyperlink w:anchor="_Toc99539921" w:history="1">
            <w:r w:rsidRPr="00BA0C07">
              <w:rPr>
                <w:rStyle w:val="Hyperlink"/>
                <w:noProof/>
              </w:rPr>
              <w:t>Search strategy – diagnostic indicator review</w:t>
            </w:r>
            <w:r>
              <w:rPr>
                <w:noProof/>
                <w:webHidden/>
              </w:rPr>
              <w:tab/>
            </w:r>
            <w:r>
              <w:rPr>
                <w:noProof/>
                <w:webHidden/>
              </w:rPr>
              <w:fldChar w:fldCharType="begin"/>
            </w:r>
            <w:r>
              <w:rPr>
                <w:noProof/>
                <w:webHidden/>
              </w:rPr>
              <w:instrText xml:space="preserve"> PAGEREF _Toc99539921 \h </w:instrText>
            </w:r>
            <w:r>
              <w:rPr>
                <w:noProof/>
                <w:webHidden/>
              </w:rPr>
            </w:r>
            <w:r>
              <w:rPr>
                <w:noProof/>
                <w:webHidden/>
              </w:rPr>
              <w:fldChar w:fldCharType="separate"/>
            </w:r>
            <w:r>
              <w:rPr>
                <w:noProof/>
                <w:webHidden/>
              </w:rPr>
              <w:t>168</w:t>
            </w:r>
            <w:r>
              <w:rPr>
                <w:noProof/>
                <w:webHidden/>
              </w:rPr>
              <w:fldChar w:fldCharType="end"/>
            </w:r>
          </w:hyperlink>
        </w:p>
        <w:p w14:paraId="52E20740" w14:textId="5C6646AB" w:rsidR="008B5583" w:rsidRDefault="008B5583">
          <w:pPr>
            <w:pStyle w:val="TOC2"/>
            <w:tabs>
              <w:tab w:val="right" w:leader="dot" w:pos="9016"/>
            </w:tabs>
            <w:rPr>
              <w:rFonts w:eastAsiaTheme="minorEastAsia"/>
              <w:noProof/>
              <w:lang w:eastAsia="en-GB"/>
            </w:rPr>
          </w:pPr>
          <w:hyperlink w:anchor="_Toc99539922" w:history="1">
            <w:r w:rsidRPr="00BA0C07">
              <w:rPr>
                <w:rStyle w:val="Hyperlink"/>
                <w:noProof/>
              </w:rPr>
              <w:t>Appendix 2</w:t>
            </w:r>
            <w:r>
              <w:rPr>
                <w:noProof/>
                <w:webHidden/>
              </w:rPr>
              <w:tab/>
            </w:r>
            <w:r>
              <w:rPr>
                <w:noProof/>
                <w:webHidden/>
              </w:rPr>
              <w:fldChar w:fldCharType="begin"/>
            </w:r>
            <w:r>
              <w:rPr>
                <w:noProof/>
                <w:webHidden/>
              </w:rPr>
              <w:instrText xml:space="preserve"> PAGEREF _Toc99539922 \h </w:instrText>
            </w:r>
            <w:r>
              <w:rPr>
                <w:noProof/>
                <w:webHidden/>
              </w:rPr>
            </w:r>
            <w:r>
              <w:rPr>
                <w:noProof/>
                <w:webHidden/>
              </w:rPr>
              <w:fldChar w:fldCharType="separate"/>
            </w:r>
            <w:r>
              <w:rPr>
                <w:noProof/>
                <w:webHidden/>
              </w:rPr>
              <w:t>184</w:t>
            </w:r>
            <w:r>
              <w:rPr>
                <w:noProof/>
                <w:webHidden/>
              </w:rPr>
              <w:fldChar w:fldCharType="end"/>
            </w:r>
          </w:hyperlink>
        </w:p>
        <w:p w14:paraId="443CFC3D" w14:textId="2A9557A0" w:rsidR="008B5583" w:rsidRDefault="008B5583">
          <w:pPr>
            <w:pStyle w:val="TOC2"/>
            <w:tabs>
              <w:tab w:val="right" w:leader="dot" w:pos="9016"/>
            </w:tabs>
            <w:rPr>
              <w:rFonts w:eastAsiaTheme="minorEastAsia"/>
              <w:noProof/>
              <w:lang w:eastAsia="en-GB"/>
            </w:rPr>
          </w:pPr>
          <w:hyperlink w:anchor="_Toc99539923" w:history="1">
            <w:r w:rsidRPr="00BA0C07">
              <w:rPr>
                <w:rStyle w:val="Hyperlink"/>
                <w:noProof/>
              </w:rPr>
              <w:t>Appendix 3</w:t>
            </w:r>
            <w:r>
              <w:rPr>
                <w:noProof/>
                <w:webHidden/>
              </w:rPr>
              <w:tab/>
            </w:r>
            <w:r>
              <w:rPr>
                <w:noProof/>
                <w:webHidden/>
              </w:rPr>
              <w:fldChar w:fldCharType="begin"/>
            </w:r>
            <w:r>
              <w:rPr>
                <w:noProof/>
                <w:webHidden/>
              </w:rPr>
              <w:instrText xml:space="preserve"> PAGEREF _Toc99539923 \h </w:instrText>
            </w:r>
            <w:r>
              <w:rPr>
                <w:noProof/>
                <w:webHidden/>
              </w:rPr>
            </w:r>
            <w:r>
              <w:rPr>
                <w:noProof/>
                <w:webHidden/>
              </w:rPr>
              <w:fldChar w:fldCharType="separate"/>
            </w:r>
            <w:r>
              <w:rPr>
                <w:noProof/>
                <w:webHidden/>
              </w:rPr>
              <w:t>185</w:t>
            </w:r>
            <w:r>
              <w:rPr>
                <w:noProof/>
                <w:webHidden/>
              </w:rPr>
              <w:fldChar w:fldCharType="end"/>
            </w:r>
          </w:hyperlink>
        </w:p>
        <w:p w14:paraId="72A58FC4" w14:textId="270DCB84" w:rsidR="008B5583" w:rsidRDefault="008B5583">
          <w:pPr>
            <w:pStyle w:val="TOC2"/>
            <w:tabs>
              <w:tab w:val="right" w:leader="dot" w:pos="9016"/>
            </w:tabs>
            <w:rPr>
              <w:rFonts w:eastAsiaTheme="minorEastAsia"/>
              <w:noProof/>
              <w:lang w:eastAsia="en-GB"/>
            </w:rPr>
          </w:pPr>
          <w:hyperlink w:anchor="_Toc99539924" w:history="1">
            <w:r w:rsidRPr="00BA0C07">
              <w:rPr>
                <w:rStyle w:val="Hyperlink"/>
                <w:noProof/>
              </w:rPr>
              <w:t>Appendix 4</w:t>
            </w:r>
            <w:r>
              <w:rPr>
                <w:noProof/>
                <w:webHidden/>
              </w:rPr>
              <w:tab/>
            </w:r>
            <w:r>
              <w:rPr>
                <w:noProof/>
                <w:webHidden/>
              </w:rPr>
              <w:fldChar w:fldCharType="begin"/>
            </w:r>
            <w:r>
              <w:rPr>
                <w:noProof/>
                <w:webHidden/>
              </w:rPr>
              <w:instrText xml:space="preserve"> PAGEREF _Toc99539924 \h </w:instrText>
            </w:r>
            <w:r>
              <w:rPr>
                <w:noProof/>
                <w:webHidden/>
              </w:rPr>
            </w:r>
            <w:r>
              <w:rPr>
                <w:noProof/>
                <w:webHidden/>
              </w:rPr>
              <w:fldChar w:fldCharType="separate"/>
            </w:r>
            <w:r>
              <w:rPr>
                <w:noProof/>
                <w:webHidden/>
              </w:rPr>
              <w:t>188</w:t>
            </w:r>
            <w:r>
              <w:rPr>
                <w:noProof/>
                <w:webHidden/>
              </w:rPr>
              <w:fldChar w:fldCharType="end"/>
            </w:r>
          </w:hyperlink>
        </w:p>
        <w:p w14:paraId="548949B6" w14:textId="5397A733" w:rsidR="008B5583" w:rsidRDefault="008B5583">
          <w:pPr>
            <w:pStyle w:val="TOC3"/>
            <w:tabs>
              <w:tab w:val="right" w:leader="dot" w:pos="9016"/>
            </w:tabs>
            <w:rPr>
              <w:rFonts w:eastAsiaTheme="minorEastAsia"/>
              <w:noProof/>
              <w:lang w:eastAsia="en-GB"/>
            </w:rPr>
          </w:pPr>
          <w:hyperlink w:anchor="_Toc99539925" w:history="1">
            <w:r w:rsidRPr="00BA0C07">
              <w:rPr>
                <w:rStyle w:val="Hyperlink"/>
                <w:noProof/>
              </w:rPr>
              <w:t>Study characteristics per diagnostic indictor</w:t>
            </w:r>
            <w:r>
              <w:rPr>
                <w:noProof/>
                <w:webHidden/>
              </w:rPr>
              <w:tab/>
            </w:r>
            <w:r>
              <w:rPr>
                <w:noProof/>
                <w:webHidden/>
              </w:rPr>
              <w:fldChar w:fldCharType="begin"/>
            </w:r>
            <w:r>
              <w:rPr>
                <w:noProof/>
                <w:webHidden/>
              </w:rPr>
              <w:instrText xml:space="preserve"> PAGEREF _Toc99539925 \h </w:instrText>
            </w:r>
            <w:r>
              <w:rPr>
                <w:noProof/>
                <w:webHidden/>
              </w:rPr>
            </w:r>
            <w:r>
              <w:rPr>
                <w:noProof/>
                <w:webHidden/>
              </w:rPr>
              <w:fldChar w:fldCharType="separate"/>
            </w:r>
            <w:r>
              <w:rPr>
                <w:noProof/>
                <w:webHidden/>
              </w:rPr>
              <w:t>188</w:t>
            </w:r>
            <w:r>
              <w:rPr>
                <w:noProof/>
                <w:webHidden/>
              </w:rPr>
              <w:fldChar w:fldCharType="end"/>
            </w:r>
          </w:hyperlink>
        </w:p>
        <w:p w14:paraId="31DDC088" w14:textId="2CB134E7" w:rsidR="008B5583" w:rsidRDefault="008B5583">
          <w:pPr>
            <w:pStyle w:val="TOC2"/>
            <w:tabs>
              <w:tab w:val="right" w:leader="dot" w:pos="9016"/>
            </w:tabs>
            <w:rPr>
              <w:rFonts w:eastAsiaTheme="minorEastAsia"/>
              <w:noProof/>
              <w:lang w:eastAsia="en-GB"/>
            </w:rPr>
          </w:pPr>
          <w:hyperlink w:anchor="_Toc99539926" w:history="1">
            <w:r w:rsidRPr="00BA0C07">
              <w:rPr>
                <w:rStyle w:val="Hyperlink"/>
                <w:noProof/>
              </w:rPr>
              <w:t>Appendix 5</w:t>
            </w:r>
            <w:r>
              <w:rPr>
                <w:noProof/>
                <w:webHidden/>
              </w:rPr>
              <w:tab/>
            </w:r>
            <w:r>
              <w:rPr>
                <w:noProof/>
                <w:webHidden/>
              </w:rPr>
              <w:fldChar w:fldCharType="begin"/>
            </w:r>
            <w:r>
              <w:rPr>
                <w:noProof/>
                <w:webHidden/>
              </w:rPr>
              <w:instrText xml:space="preserve"> PAGEREF _Toc99539926 \h </w:instrText>
            </w:r>
            <w:r>
              <w:rPr>
                <w:noProof/>
                <w:webHidden/>
              </w:rPr>
            </w:r>
            <w:r>
              <w:rPr>
                <w:noProof/>
                <w:webHidden/>
              </w:rPr>
              <w:fldChar w:fldCharType="separate"/>
            </w:r>
            <w:r>
              <w:rPr>
                <w:noProof/>
                <w:webHidden/>
              </w:rPr>
              <w:t>214</w:t>
            </w:r>
            <w:r>
              <w:rPr>
                <w:noProof/>
                <w:webHidden/>
              </w:rPr>
              <w:fldChar w:fldCharType="end"/>
            </w:r>
          </w:hyperlink>
        </w:p>
        <w:p w14:paraId="232FED16" w14:textId="2BD9E3B5" w:rsidR="008B5583" w:rsidRDefault="008B5583">
          <w:pPr>
            <w:pStyle w:val="TOC2"/>
            <w:tabs>
              <w:tab w:val="right" w:leader="dot" w:pos="9016"/>
            </w:tabs>
            <w:rPr>
              <w:rFonts w:eastAsiaTheme="minorEastAsia"/>
              <w:noProof/>
              <w:lang w:eastAsia="en-GB"/>
            </w:rPr>
          </w:pPr>
          <w:hyperlink w:anchor="_Toc99539927" w:history="1">
            <w:r w:rsidRPr="00BA0C07">
              <w:rPr>
                <w:rStyle w:val="Hyperlink"/>
                <w:noProof/>
              </w:rPr>
              <w:t>Appendix 6</w:t>
            </w:r>
            <w:r>
              <w:rPr>
                <w:noProof/>
                <w:webHidden/>
              </w:rPr>
              <w:tab/>
            </w:r>
            <w:r>
              <w:rPr>
                <w:noProof/>
                <w:webHidden/>
              </w:rPr>
              <w:fldChar w:fldCharType="begin"/>
            </w:r>
            <w:r>
              <w:rPr>
                <w:noProof/>
                <w:webHidden/>
              </w:rPr>
              <w:instrText xml:space="preserve"> PAGEREF _Toc99539927 \h </w:instrText>
            </w:r>
            <w:r>
              <w:rPr>
                <w:noProof/>
                <w:webHidden/>
              </w:rPr>
            </w:r>
            <w:r>
              <w:rPr>
                <w:noProof/>
                <w:webHidden/>
              </w:rPr>
              <w:fldChar w:fldCharType="separate"/>
            </w:r>
            <w:r>
              <w:rPr>
                <w:noProof/>
                <w:webHidden/>
              </w:rPr>
              <w:t>217</w:t>
            </w:r>
            <w:r>
              <w:rPr>
                <w:noProof/>
                <w:webHidden/>
              </w:rPr>
              <w:fldChar w:fldCharType="end"/>
            </w:r>
          </w:hyperlink>
        </w:p>
        <w:p w14:paraId="00A72A01" w14:textId="51D22001" w:rsidR="008B5583" w:rsidRDefault="008B5583">
          <w:pPr>
            <w:pStyle w:val="TOC3"/>
            <w:tabs>
              <w:tab w:val="right" w:leader="dot" w:pos="9016"/>
            </w:tabs>
            <w:rPr>
              <w:rFonts w:eastAsiaTheme="minorEastAsia"/>
              <w:noProof/>
              <w:lang w:eastAsia="en-GB"/>
            </w:rPr>
          </w:pPr>
          <w:hyperlink w:anchor="_Toc99539928" w:history="1">
            <w:r w:rsidRPr="00BA0C07">
              <w:rPr>
                <w:rStyle w:val="Hyperlink"/>
                <w:noProof/>
              </w:rPr>
              <w:t>Forest plots of sensitivity and specificity per diagnostic indicator</w:t>
            </w:r>
            <w:r>
              <w:rPr>
                <w:noProof/>
                <w:webHidden/>
              </w:rPr>
              <w:tab/>
            </w:r>
            <w:r>
              <w:rPr>
                <w:noProof/>
                <w:webHidden/>
              </w:rPr>
              <w:fldChar w:fldCharType="begin"/>
            </w:r>
            <w:r>
              <w:rPr>
                <w:noProof/>
                <w:webHidden/>
              </w:rPr>
              <w:instrText xml:space="preserve"> PAGEREF _Toc99539928 \h </w:instrText>
            </w:r>
            <w:r>
              <w:rPr>
                <w:noProof/>
                <w:webHidden/>
              </w:rPr>
            </w:r>
            <w:r>
              <w:rPr>
                <w:noProof/>
                <w:webHidden/>
              </w:rPr>
              <w:fldChar w:fldCharType="separate"/>
            </w:r>
            <w:r>
              <w:rPr>
                <w:noProof/>
                <w:webHidden/>
              </w:rPr>
              <w:t>217</w:t>
            </w:r>
            <w:r>
              <w:rPr>
                <w:noProof/>
                <w:webHidden/>
              </w:rPr>
              <w:fldChar w:fldCharType="end"/>
            </w:r>
          </w:hyperlink>
        </w:p>
        <w:p w14:paraId="28032701" w14:textId="3DC05F61" w:rsidR="008B5583" w:rsidRDefault="008B5583">
          <w:pPr>
            <w:pStyle w:val="TOC3"/>
            <w:tabs>
              <w:tab w:val="left" w:pos="880"/>
              <w:tab w:val="right" w:leader="dot" w:pos="9016"/>
            </w:tabs>
            <w:rPr>
              <w:rFonts w:eastAsiaTheme="minorEastAsia"/>
              <w:noProof/>
              <w:lang w:eastAsia="en-GB"/>
            </w:rPr>
          </w:pPr>
          <w:hyperlink w:anchor="_Toc99539929" w:history="1">
            <w:r w:rsidRPr="00BA0C07">
              <w:rPr>
                <w:rStyle w:val="Hyperlink"/>
                <w:noProof/>
              </w:rPr>
              <w:t>A.</w:t>
            </w:r>
            <w:r>
              <w:rPr>
                <w:rFonts w:eastAsiaTheme="minorEastAsia"/>
                <w:noProof/>
                <w:lang w:eastAsia="en-GB"/>
              </w:rPr>
              <w:tab/>
            </w:r>
            <w:r w:rsidRPr="00BA0C07">
              <w:rPr>
                <w:rStyle w:val="Hyperlink"/>
                <w:noProof/>
              </w:rPr>
              <w:t>Symptoms</w:t>
            </w:r>
            <w:r>
              <w:rPr>
                <w:noProof/>
                <w:webHidden/>
              </w:rPr>
              <w:tab/>
            </w:r>
            <w:r>
              <w:rPr>
                <w:noProof/>
                <w:webHidden/>
              </w:rPr>
              <w:fldChar w:fldCharType="begin"/>
            </w:r>
            <w:r>
              <w:rPr>
                <w:noProof/>
                <w:webHidden/>
              </w:rPr>
              <w:instrText xml:space="preserve"> PAGEREF _Toc99539929 \h </w:instrText>
            </w:r>
            <w:r>
              <w:rPr>
                <w:noProof/>
                <w:webHidden/>
              </w:rPr>
            </w:r>
            <w:r>
              <w:rPr>
                <w:noProof/>
                <w:webHidden/>
              </w:rPr>
              <w:fldChar w:fldCharType="separate"/>
            </w:r>
            <w:r>
              <w:rPr>
                <w:noProof/>
                <w:webHidden/>
              </w:rPr>
              <w:t>217</w:t>
            </w:r>
            <w:r>
              <w:rPr>
                <w:noProof/>
                <w:webHidden/>
              </w:rPr>
              <w:fldChar w:fldCharType="end"/>
            </w:r>
          </w:hyperlink>
        </w:p>
        <w:p w14:paraId="1BFC2583" w14:textId="0E66C2DB" w:rsidR="008B5583" w:rsidRDefault="008B5583">
          <w:pPr>
            <w:pStyle w:val="TOC3"/>
            <w:tabs>
              <w:tab w:val="left" w:pos="880"/>
              <w:tab w:val="right" w:leader="dot" w:pos="9016"/>
            </w:tabs>
            <w:rPr>
              <w:rFonts w:eastAsiaTheme="minorEastAsia"/>
              <w:noProof/>
              <w:lang w:eastAsia="en-GB"/>
            </w:rPr>
          </w:pPr>
          <w:hyperlink w:anchor="_Toc99539930" w:history="1">
            <w:r w:rsidRPr="00BA0C07">
              <w:rPr>
                <w:rStyle w:val="Hyperlink"/>
                <w:noProof/>
              </w:rPr>
              <w:t>B.</w:t>
            </w:r>
            <w:r>
              <w:rPr>
                <w:rFonts w:eastAsiaTheme="minorEastAsia"/>
                <w:noProof/>
                <w:lang w:eastAsia="en-GB"/>
              </w:rPr>
              <w:tab/>
            </w:r>
            <w:r w:rsidRPr="00BA0C07">
              <w:rPr>
                <w:rStyle w:val="Hyperlink"/>
                <w:noProof/>
              </w:rPr>
              <w:t>Risk conditions</w:t>
            </w:r>
            <w:r>
              <w:rPr>
                <w:noProof/>
                <w:webHidden/>
              </w:rPr>
              <w:tab/>
            </w:r>
            <w:r>
              <w:rPr>
                <w:noProof/>
                <w:webHidden/>
              </w:rPr>
              <w:fldChar w:fldCharType="begin"/>
            </w:r>
            <w:r>
              <w:rPr>
                <w:noProof/>
                <w:webHidden/>
              </w:rPr>
              <w:instrText xml:space="preserve"> PAGEREF _Toc99539930 \h </w:instrText>
            </w:r>
            <w:r>
              <w:rPr>
                <w:noProof/>
                <w:webHidden/>
              </w:rPr>
            </w:r>
            <w:r>
              <w:rPr>
                <w:noProof/>
                <w:webHidden/>
              </w:rPr>
              <w:fldChar w:fldCharType="separate"/>
            </w:r>
            <w:r>
              <w:rPr>
                <w:noProof/>
                <w:webHidden/>
              </w:rPr>
              <w:t>223</w:t>
            </w:r>
            <w:r>
              <w:rPr>
                <w:noProof/>
                <w:webHidden/>
              </w:rPr>
              <w:fldChar w:fldCharType="end"/>
            </w:r>
          </w:hyperlink>
        </w:p>
        <w:p w14:paraId="3337D0E5" w14:textId="24CD18D2" w:rsidR="008B5583" w:rsidRDefault="008B5583">
          <w:pPr>
            <w:pStyle w:val="TOC3"/>
            <w:tabs>
              <w:tab w:val="left" w:pos="880"/>
              <w:tab w:val="right" w:leader="dot" w:pos="9016"/>
            </w:tabs>
            <w:rPr>
              <w:rFonts w:eastAsiaTheme="minorEastAsia"/>
              <w:noProof/>
              <w:lang w:eastAsia="en-GB"/>
            </w:rPr>
          </w:pPr>
          <w:hyperlink w:anchor="_Toc99539931" w:history="1">
            <w:r w:rsidRPr="00BA0C07">
              <w:rPr>
                <w:rStyle w:val="Hyperlink"/>
                <w:noProof/>
              </w:rPr>
              <w:t>C.</w:t>
            </w:r>
            <w:r>
              <w:rPr>
                <w:rFonts w:eastAsiaTheme="minorEastAsia"/>
                <w:noProof/>
                <w:lang w:eastAsia="en-GB"/>
              </w:rPr>
              <w:tab/>
            </w:r>
            <w:r w:rsidRPr="00BA0C07">
              <w:rPr>
                <w:rStyle w:val="Hyperlink"/>
                <w:noProof/>
              </w:rPr>
              <w:t>Family history</w:t>
            </w:r>
            <w:r>
              <w:rPr>
                <w:noProof/>
                <w:webHidden/>
              </w:rPr>
              <w:tab/>
            </w:r>
            <w:r>
              <w:rPr>
                <w:noProof/>
                <w:webHidden/>
              </w:rPr>
              <w:fldChar w:fldCharType="begin"/>
            </w:r>
            <w:r>
              <w:rPr>
                <w:noProof/>
                <w:webHidden/>
              </w:rPr>
              <w:instrText xml:space="preserve"> PAGEREF _Toc99539931 \h </w:instrText>
            </w:r>
            <w:r>
              <w:rPr>
                <w:noProof/>
                <w:webHidden/>
              </w:rPr>
            </w:r>
            <w:r>
              <w:rPr>
                <w:noProof/>
                <w:webHidden/>
              </w:rPr>
              <w:fldChar w:fldCharType="separate"/>
            </w:r>
            <w:r>
              <w:rPr>
                <w:noProof/>
                <w:webHidden/>
              </w:rPr>
              <w:t>240</w:t>
            </w:r>
            <w:r>
              <w:rPr>
                <w:noProof/>
                <w:webHidden/>
              </w:rPr>
              <w:fldChar w:fldCharType="end"/>
            </w:r>
          </w:hyperlink>
        </w:p>
        <w:p w14:paraId="7F55A928" w14:textId="7F411B0F" w:rsidR="008B5583" w:rsidRDefault="008B5583">
          <w:pPr>
            <w:pStyle w:val="TOC2"/>
            <w:tabs>
              <w:tab w:val="right" w:leader="dot" w:pos="9016"/>
            </w:tabs>
            <w:rPr>
              <w:rFonts w:eastAsiaTheme="minorEastAsia"/>
              <w:noProof/>
              <w:lang w:eastAsia="en-GB"/>
            </w:rPr>
          </w:pPr>
          <w:hyperlink w:anchor="_Toc99539932" w:history="1">
            <w:r w:rsidRPr="00BA0C07">
              <w:rPr>
                <w:rStyle w:val="Hyperlink"/>
                <w:noProof/>
              </w:rPr>
              <w:t>Appendix 7</w:t>
            </w:r>
            <w:r>
              <w:rPr>
                <w:noProof/>
                <w:webHidden/>
              </w:rPr>
              <w:tab/>
            </w:r>
            <w:r>
              <w:rPr>
                <w:noProof/>
                <w:webHidden/>
              </w:rPr>
              <w:fldChar w:fldCharType="begin"/>
            </w:r>
            <w:r>
              <w:rPr>
                <w:noProof/>
                <w:webHidden/>
              </w:rPr>
              <w:instrText xml:space="preserve"> PAGEREF _Toc99539932 \h </w:instrText>
            </w:r>
            <w:r>
              <w:rPr>
                <w:noProof/>
                <w:webHidden/>
              </w:rPr>
            </w:r>
            <w:r>
              <w:rPr>
                <w:noProof/>
                <w:webHidden/>
              </w:rPr>
              <w:fldChar w:fldCharType="separate"/>
            </w:r>
            <w:r>
              <w:rPr>
                <w:noProof/>
                <w:webHidden/>
              </w:rPr>
              <w:t>241</w:t>
            </w:r>
            <w:r>
              <w:rPr>
                <w:noProof/>
                <w:webHidden/>
              </w:rPr>
              <w:fldChar w:fldCharType="end"/>
            </w:r>
          </w:hyperlink>
        </w:p>
        <w:p w14:paraId="1447626D" w14:textId="6AD1A07E" w:rsidR="008B5583" w:rsidRDefault="008B5583">
          <w:pPr>
            <w:pStyle w:val="TOC2"/>
            <w:tabs>
              <w:tab w:val="right" w:leader="dot" w:pos="9016"/>
            </w:tabs>
            <w:rPr>
              <w:rFonts w:eastAsiaTheme="minorEastAsia"/>
              <w:noProof/>
              <w:lang w:eastAsia="en-GB"/>
            </w:rPr>
          </w:pPr>
          <w:hyperlink w:anchor="_Toc99539933" w:history="1">
            <w:r w:rsidRPr="00BA0C07">
              <w:rPr>
                <w:rStyle w:val="Hyperlink"/>
                <w:noProof/>
              </w:rPr>
              <w:t>Appendix 8</w:t>
            </w:r>
            <w:r>
              <w:rPr>
                <w:noProof/>
                <w:webHidden/>
              </w:rPr>
              <w:tab/>
            </w:r>
            <w:r>
              <w:rPr>
                <w:noProof/>
                <w:webHidden/>
              </w:rPr>
              <w:fldChar w:fldCharType="begin"/>
            </w:r>
            <w:r>
              <w:rPr>
                <w:noProof/>
                <w:webHidden/>
              </w:rPr>
              <w:instrText xml:space="preserve"> PAGEREF _Toc99539933 \h </w:instrText>
            </w:r>
            <w:r>
              <w:rPr>
                <w:noProof/>
                <w:webHidden/>
              </w:rPr>
            </w:r>
            <w:r>
              <w:rPr>
                <w:noProof/>
                <w:webHidden/>
              </w:rPr>
              <w:fldChar w:fldCharType="separate"/>
            </w:r>
            <w:r>
              <w:rPr>
                <w:noProof/>
                <w:webHidden/>
              </w:rPr>
              <w:t>242</w:t>
            </w:r>
            <w:r>
              <w:rPr>
                <w:noProof/>
                <w:webHidden/>
              </w:rPr>
              <w:fldChar w:fldCharType="end"/>
            </w:r>
          </w:hyperlink>
        </w:p>
        <w:p w14:paraId="1197A746" w14:textId="257D066E" w:rsidR="008B5583" w:rsidRDefault="008B5583">
          <w:pPr>
            <w:pStyle w:val="TOC2"/>
            <w:tabs>
              <w:tab w:val="right" w:leader="dot" w:pos="9016"/>
            </w:tabs>
            <w:rPr>
              <w:rFonts w:eastAsiaTheme="minorEastAsia"/>
              <w:noProof/>
              <w:lang w:eastAsia="en-GB"/>
            </w:rPr>
          </w:pPr>
          <w:hyperlink w:anchor="_Toc99539934" w:history="1">
            <w:r w:rsidRPr="00BA0C07">
              <w:rPr>
                <w:rStyle w:val="Hyperlink"/>
                <w:noProof/>
              </w:rPr>
              <w:t>Appendix 9</w:t>
            </w:r>
            <w:r>
              <w:rPr>
                <w:noProof/>
                <w:webHidden/>
              </w:rPr>
              <w:tab/>
            </w:r>
            <w:r>
              <w:rPr>
                <w:noProof/>
                <w:webHidden/>
              </w:rPr>
              <w:fldChar w:fldCharType="begin"/>
            </w:r>
            <w:r>
              <w:rPr>
                <w:noProof/>
                <w:webHidden/>
              </w:rPr>
              <w:instrText xml:space="preserve"> PAGEREF _Toc99539934 \h </w:instrText>
            </w:r>
            <w:r>
              <w:rPr>
                <w:noProof/>
                <w:webHidden/>
              </w:rPr>
            </w:r>
            <w:r>
              <w:rPr>
                <w:noProof/>
                <w:webHidden/>
              </w:rPr>
              <w:fldChar w:fldCharType="separate"/>
            </w:r>
            <w:r>
              <w:rPr>
                <w:noProof/>
                <w:webHidden/>
              </w:rPr>
              <w:t>243</w:t>
            </w:r>
            <w:r>
              <w:rPr>
                <w:noProof/>
                <w:webHidden/>
              </w:rPr>
              <w:fldChar w:fldCharType="end"/>
            </w:r>
          </w:hyperlink>
        </w:p>
        <w:p w14:paraId="01F8DA56" w14:textId="79FC40F7" w:rsidR="008B5583" w:rsidRDefault="008B5583">
          <w:pPr>
            <w:pStyle w:val="TOC2"/>
            <w:tabs>
              <w:tab w:val="right" w:leader="dot" w:pos="9016"/>
            </w:tabs>
            <w:rPr>
              <w:rFonts w:eastAsiaTheme="minorEastAsia"/>
              <w:noProof/>
              <w:lang w:eastAsia="en-GB"/>
            </w:rPr>
          </w:pPr>
          <w:hyperlink w:anchor="_Toc99539935" w:history="1">
            <w:r w:rsidRPr="00BA0C07">
              <w:rPr>
                <w:rStyle w:val="Hyperlink"/>
                <w:noProof/>
              </w:rPr>
              <w:t>Appendix 10</w:t>
            </w:r>
            <w:r>
              <w:rPr>
                <w:noProof/>
                <w:webHidden/>
              </w:rPr>
              <w:tab/>
            </w:r>
            <w:r>
              <w:rPr>
                <w:noProof/>
                <w:webHidden/>
              </w:rPr>
              <w:fldChar w:fldCharType="begin"/>
            </w:r>
            <w:r>
              <w:rPr>
                <w:noProof/>
                <w:webHidden/>
              </w:rPr>
              <w:instrText xml:space="preserve"> PAGEREF _Toc99539935 \h </w:instrText>
            </w:r>
            <w:r>
              <w:rPr>
                <w:noProof/>
                <w:webHidden/>
              </w:rPr>
            </w:r>
            <w:r>
              <w:rPr>
                <w:noProof/>
                <w:webHidden/>
              </w:rPr>
              <w:fldChar w:fldCharType="separate"/>
            </w:r>
            <w:r>
              <w:rPr>
                <w:noProof/>
                <w:webHidden/>
              </w:rPr>
              <w:t>247</w:t>
            </w:r>
            <w:r>
              <w:rPr>
                <w:noProof/>
                <w:webHidden/>
              </w:rPr>
              <w:fldChar w:fldCharType="end"/>
            </w:r>
          </w:hyperlink>
        </w:p>
        <w:p w14:paraId="42DCC7AB" w14:textId="015417EB" w:rsidR="008B5583" w:rsidRDefault="008B5583">
          <w:pPr>
            <w:pStyle w:val="TOC2"/>
            <w:tabs>
              <w:tab w:val="right" w:leader="dot" w:pos="9016"/>
            </w:tabs>
            <w:rPr>
              <w:rFonts w:eastAsiaTheme="minorEastAsia"/>
              <w:noProof/>
              <w:lang w:eastAsia="en-GB"/>
            </w:rPr>
          </w:pPr>
          <w:hyperlink w:anchor="_Toc99539936" w:history="1">
            <w:r w:rsidRPr="00BA0C07">
              <w:rPr>
                <w:rStyle w:val="Hyperlink"/>
                <w:noProof/>
              </w:rPr>
              <w:t>Appendix 11</w:t>
            </w:r>
            <w:r>
              <w:rPr>
                <w:noProof/>
                <w:webHidden/>
              </w:rPr>
              <w:tab/>
            </w:r>
            <w:r>
              <w:rPr>
                <w:noProof/>
                <w:webHidden/>
              </w:rPr>
              <w:fldChar w:fldCharType="begin"/>
            </w:r>
            <w:r>
              <w:rPr>
                <w:noProof/>
                <w:webHidden/>
              </w:rPr>
              <w:instrText xml:space="preserve"> PAGEREF _Toc99539936 \h </w:instrText>
            </w:r>
            <w:r>
              <w:rPr>
                <w:noProof/>
                <w:webHidden/>
              </w:rPr>
            </w:r>
            <w:r>
              <w:rPr>
                <w:noProof/>
                <w:webHidden/>
              </w:rPr>
              <w:fldChar w:fldCharType="separate"/>
            </w:r>
            <w:r>
              <w:rPr>
                <w:noProof/>
                <w:webHidden/>
              </w:rPr>
              <w:t>248</w:t>
            </w:r>
            <w:r>
              <w:rPr>
                <w:noProof/>
                <w:webHidden/>
              </w:rPr>
              <w:fldChar w:fldCharType="end"/>
            </w:r>
          </w:hyperlink>
        </w:p>
        <w:p w14:paraId="2AE4CE55" w14:textId="0D5BB2EA" w:rsidR="008B5583" w:rsidRDefault="008B5583">
          <w:pPr>
            <w:pStyle w:val="TOC2"/>
            <w:tabs>
              <w:tab w:val="right" w:leader="dot" w:pos="9016"/>
            </w:tabs>
            <w:rPr>
              <w:rFonts w:eastAsiaTheme="minorEastAsia"/>
              <w:noProof/>
              <w:lang w:eastAsia="en-GB"/>
            </w:rPr>
          </w:pPr>
          <w:hyperlink w:anchor="_Toc99539937" w:history="1">
            <w:r w:rsidRPr="00BA0C07">
              <w:rPr>
                <w:rStyle w:val="Hyperlink"/>
                <w:noProof/>
              </w:rPr>
              <w:t>Appendix 12</w:t>
            </w:r>
            <w:r>
              <w:rPr>
                <w:noProof/>
                <w:webHidden/>
              </w:rPr>
              <w:tab/>
            </w:r>
            <w:r>
              <w:rPr>
                <w:noProof/>
                <w:webHidden/>
              </w:rPr>
              <w:fldChar w:fldCharType="begin"/>
            </w:r>
            <w:r>
              <w:rPr>
                <w:noProof/>
                <w:webHidden/>
              </w:rPr>
              <w:instrText xml:space="preserve"> PAGEREF _Toc99539937 \h </w:instrText>
            </w:r>
            <w:r>
              <w:rPr>
                <w:noProof/>
                <w:webHidden/>
              </w:rPr>
            </w:r>
            <w:r>
              <w:rPr>
                <w:noProof/>
                <w:webHidden/>
              </w:rPr>
              <w:fldChar w:fldCharType="separate"/>
            </w:r>
            <w:r>
              <w:rPr>
                <w:noProof/>
                <w:webHidden/>
              </w:rPr>
              <w:t>253</w:t>
            </w:r>
            <w:r>
              <w:rPr>
                <w:noProof/>
                <w:webHidden/>
              </w:rPr>
              <w:fldChar w:fldCharType="end"/>
            </w:r>
          </w:hyperlink>
        </w:p>
        <w:p w14:paraId="26CC49E1" w14:textId="79A6B6F2" w:rsidR="008B5583" w:rsidRDefault="008B5583">
          <w:pPr>
            <w:pStyle w:val="TOC2"/>
            <w:tabs>
              <w:tab w:val="right" w:leader="dot" w:pos="9016"/>
            </w:tabs>
            <w:rPr>
              <w:rFonts w:eastAsiaTheme="minorEastAsia"/>
              <w:noProof/>
              <w:lang w:eastAsia="en-GB"/>
            </w:rPr>
          </w:pPr>
          <w:hyperlink w:anchor="_Toc99539938" w:history="1">
            <w:r w:rsidRPr="00BA0C07">
              <w:rPr>
                <w:rStyle w:val="Hyperlink"/>
                <w:noProof/>
              </w:rPr>
              <w:t>Appendix 13</w:t>
            </w:r>
            <w:r>
              <w:rPr>
                <w:noProof/>
                <w:webHidden/>
              </w:rPr>
              <w:tab/>
            </w:r>
            <w:r>
              <w:rPr>
                <w:noProof/>
                <w:webHidden/>
              </w:rPr>
              <w:fldChar w:fldCharType="begin"/>
            </w:r>
            <w:r>
              <w:rPr>
                <w:noProof/>
                <w:webHidden/>
              </w:rPr>
              <w:instrText xml:space="preserve"> PAGEREF _Toc99539938 \h </w:instrText>
            </w:r>
            <w:r>
              <w:rPr>
                <w:noProof/>
                <w:webHidden/>
              </w:rPr>
            </w:r>
            <w:r>
              <w:rPr>
                <w:noProof/>
                <w:webHidden/>
              </w:rPr>
              <w:fldChar w:fldCharType="separate"/>
            </w:r>
            <w:r>
              <w:rPr>
                <w:noProof/>
                <w:webHidden/>
              </w:rPr>
              <w:t>254</w:t>
            </w:r>
            <w:r>
              <w:rPr>
                <w:noProof/>
                <w:webHidden/>
              </w:rPr>
              <w:fldChar w:fldCharType="end"/>
            </w:r>
          </w:hyperlink>
        </w:p>
        <w:p w14:paraId="063AFCA8" w14:textId="587E4C86" w:rsidR="008B5583" w:rsidRDefault="008B5583">
          <w:pPr>
            <w:pStyle w:val="TOC2"/>
            <w:tabs>
              <w:tab w:val="right" w:leader="dot" w:pos="9016"/>
            </w:tabs>
            <w:rPr>
              <w:rFonts w:eastAsiaTheme="minorEastAsia"/>
              <w:noProof/>
              <w:lang w:eastAsia="en-GB"/>
            </w:rPr>
          </w:pPr>
          <w:hyperlink w:anchor="_Toc99539939" w:history="1">
            <w:r w:rsidRPr="00BA0C07">
              <w:rPr>
                <w:rStyle w:val="Hyperlink"/>
                <w:noProof/>
              </w:rPr>
              <w:t>Appendix 14</w:t>
            </w:r>
            <w:r>
              <w:rPr>
                <w:noProof/>
                <w:webHidden/>
              </w:rPr>
              <w:tab/>
            </w:r>
            <w:r>
              <w:rPr>
                <w:noProof/>
                <w:webHidden/>
              </w:rPr>
              <w:fldChar w:fldCharType="begin"/>
            </w:r>
            <w:r>
              <w:rPr>
                <w:noProof/>
                <w:webHidden/>
              </w:rPr>
              <w:instrText xml:space="preserve"> PAGEREF _Toc99539939 \h </w:instrText>
            </w:r>
            <w:r>
              <w:rPr>
                <w:noProof/>
                <w:webHidden/>
              </w:rPr>
            </w:r>
            <w:r>
              <w:rPr>
                <w:noProof/>
                <w:webHidden/>
              </w:rPr>
              <w:fldChar w:fldCharType="separate"/>
            </w:r>
            <w:r>
              <w:rPr>
                <w:noProof/>
                <w:webHidden/>
              </w:rPr>
              <w:t>255</w:t>
            </w:r>
            <w:r>
              <w:rPr>
                <w:noProof/>
                <w:webHidden/>
              </w:rPr>
              <w:fldChar w:fldCharType="end"/>
            </w:r>
          </w:hyperlink>
        </w:p>
        <w:p w14:paraId="1FFB6A30" w14:textId="7E9624F2" w:rsidR="008B5583" w:rsidRDefault="008B5583">
          <w:pPr>
            <w:pStyle w:val="TOC2"/>
            <w:tabs>
              <w:tab w:val="right" w:leader="dot" w:pos="9016"/>
            </w:tabs>
            <w:rPr>
              <w:rFonts w:eastAsiaTheme="minorEastAsia"/>
              <w:noProof/>
              <w:lang w:eastAsia="en-GB"/>
            </w:rPr>
          </w:pPr>
          <w:hyperlink w:anchor="_Toc99539940" w:history="1">
            <w:r w:rsidRPr="00BA0C07">
              <w:rPr>
                <w:rStyle w:val="Hyperlink"/>
                <w:noProof/>
              </w:rPr>
              <w:t>Appendix 15</w:t>
            </w:r>
            <w:r>
              <w:rPr>
                <w:noProof/>
                <w:webHidden/>
              </w:rPr>
              <w:tab/>
            </w:r>
            <w:r>
              <w:rPr>
                <w:noProof/>
                <w:webHidden/>
              </w:rPr>
              <w:fldChar w:fldCharType="begin"/>
            </w:r>
            <w:r>
              <w:rPr>
                <w:noProof/>
                <w:webHidden/>
              </w:rPr>
              <w:instrText xml:space="preserve"> PAGEREF _Toc99539940 \h </w:instrText>
            </w:r>
            <w:r>
              <w:rPr>
                <w:noProof/>
                <w:webHidden/>
              </w:rPr>
            </w:r>
            <w:r>
              <w:rPr>
                <w:noProof/>
                <w:webHidden/>
              </w:rPr>
              <w:fldChar w:fldCharType="separate"/>
            </w:r>
            <w:r>
              <w:rPr>
                <w:noProof/>
                <w:webHidden/>
              </w:rPr>
              <w:t>256</w:t>
            </w:r>
            <w:r>
              <w:rPr>
                <w:noProof/>
                <w:webHidden/>
              </w:rPr>
              <w:fldChar w:fldCharType="end"/>
            </w:r>
          </w:hyperlink>
        </w:p>
        <w:p w14:paraId="0B256CE9" w14:textId="3AD9993E" w:rsidR="008B5583" w:rsidRDefault="008B5583">
          <w:pPr>
            <w:pStyle w:val="TOC2"/>
            <w:tabs>
              <w:tab w:val="right" w:leader="dot" w:pos="9016"/>
            </w:tabs>
            <w:rPr>
              <w:rFonts w:eastAsiaTheme="minorEastAsia"/>
              <w:noProof/>
              <w:lang w:eastAsia="en-GB"/>
            </w:rPr>
          </w:pPr>
          <w:hyperlink w:anchor="_Toc99539941" w:history="1">
            <w:r w:rsidRPr="00BA0C07">
              <w:rPr>
                <w:rStyle w:val="Hyperlink"/>
                <w:noProof/>
              </w:rPr>
              <w:t>Appendix 16</w:t>
            </w:r>
            <w:r>
              <w:rPr>
                <w:noProof/>
                <w:webHidden/>
              </w:rPr>
              <w:tab/>
            </w:r>
            <w:r>
              <w:rPr>
                <w:noProof/>
                <w:webHidden/>
              </w:rPr>
              <w:fldChar w:fldCharType="begin"/>
            </w:r>
            <w:r>
              <w:rPr>
                <w:noProof/>
                <w:webHidden/>
              </w:rPr>
              <w:instrText xml:space="preserve"> PAGEREF _Toc99539941 \h </w:instrText>
            </w:r>
            <w:r>
              <w:rPr>
                <w:noProof/>
                <w:webHidden/>
              </w:rPr>
            </w:r>
            <w:r>
              <w:rPr>
                <w:noProof/>
                <w:webHidden/>
              </w:rPr>
              <w:fldChar w:fldCharType="separate"/>
            </w:r>
            <w:r>
              <w:rPr>
                <w:noProof/>
                <w:webHidden/>
              </w:rPr>
              <w:t>257</w:t>
            </w:r>
            <w:r>
              <w:rPr>
                <w:noProof/>
                <w:webHidden/>
              </w:rPr>
              <w:fldChar w:fldCharType="end"/>
            </w:r>
          </w:hyperlink>
        </w:p>
        <w:p w14:paraId="35CFE656" w14:textId="229D52B0" w:rsidR="008B5583" w:rsidRDefault="008B5583">
          <w:pPr>
            <w:pStyle w:val="TOC3"/>
            <w:tabs>
              <w:tab w:val="right" w:leader="dot" w:pos="9016"/>
            </w:tabs>
            <w:rPr>
              <w:rFonts w:eastAsiaTheme="minorEastAsia"/>
              <w:noProof/>
              <w:lang w:eastAsia="en-GB"/>
            </w:rPr>
          </w:pPr>
          <w:hyperlink w:anchor="_Toc99539942" w:history="1">
            <w:r w:rsidRPr="00BA0C07">
              <w:rPr>
                <w:rStyle w:val="Hyperlink"/>
                <w:noProof/>
              </w:rPr>
              <w:t>Search strategy – diagnostic accuracy review on serological tests (Chapter 5)</w:t>
            </w:r>
            <w:r>
              <w:rPr>
                <w:noProof/>
                <w:webHidden/>
              </w:rPr>
              <w:tab/>
            </w:r>
            <w:r>
              <w:rPr>
                <w:noProof/>
                <w:webHidden/>
              </w:rPr>
              <w:fldChar w:fldCharType="begin"/>
            </w:r>
            <w:r>
              <w:rPr>
                <w:noProof/>
                <w:webHidden/>
              </w:rPr>
              <w:instrText xml:space="preserve"> PAGEREF _Toc99539942 \h </w:instrText>
            </w:r>
            <w:r>
              <w:rPr>
                <w:noProof/>
                <w:webHidden/>
              </w:rPr>
            </w:r>
            <w:r>
              <w:rPr>
                <w:noProof/>
                <w:webHidden/>
              </w:rPr>
              <w:fldChar w:fldCharType="separate"/>
            </w:r>
            <w:r>
              <w:rPr>
                <w:noProof/>
                <w:webHidden/>
              </w:rPr>
              <w:t>257</w:t>
            </w:r>
            <w:r>
              <w:rPr>
                <w:noProof/>
                <w:webHidden/>
              </w:rPr>
              <w:fldChar w:fldCharType="end"/>
            </w:r>
          </w:hyperlink>
        </w:p>
        <w:p w14:paraId="03C433DC" w14:textId="3483637B" w:rsidR="008B5583" w:rsidRDefault="008B5583">
          <w:pPr>
            <w:pStyle w:val="TOC2"/>
            <w:tabs>
              <w:tab w:val="right" w:leader="dot" w:pos="9016"/>
            </w:tabs>
            <w:rPr>
              <w:rFonts w:eastAsiaTheme="minorEastAsia"/>
              <w:noProof/>
              <w:lang w:eastAsia="en-GB"/>
            </w:rPr>
          </w:pPr>
          <w:hyperlink w:anchor="_Toc99539943" w:history="1">
            <w:r w:rsidRPr="00BA0C07">
              <w:rPr>
                <w:rStyle w:val="Hyperlink"/>
                <w:noProof/>
              </w:rPr>
              <w:t>Appendix 17</w:t>
            </w:r>
            <w:r>
              <w:rPr>
                <w:noProof/>
                <w:webHidden/>
              </w:rPr>
              <w:tab/>
            </w:r>
            <w:r>
              <w:rPr>
                <w:noProof/>
                <w:webHidden/>
              </w:rPr>
              <w:fldChar w:fldCharType="begin"/>
            </w:r>
            <w:r>
              <w:rPr>
                <w:noProof/>
                <w:webHidden/>
              </w:rPr>
              <w:instrText xml:space="preserve"> PAGEREF _Toc99539943 \h </w:instrText>
            </w:r>
            <w:r>
              <w:rPr>
                <w:noProof/>
                <w:webHidden/>
              </w:rPr>
            </w:r>
            <w:r>
              <w:rPr>
                <w:noProof/>
                <w:webHidden/>
              </w:rPr>
              <w:fldChar w:fldCharType="separate"/>
            </w:r>
            <w:r>
              <w:rPr>
                <w:noProof/>
                <w:webHidden/>
              </w:rPr>
              <w:t>259</w:t>
            </w:r>
            <w:r>
              <w:rPr>
                <w:noProof/>
                <w:webHidden/>
              </w:rPr>
              <w:fldChar w:fldCharType="end"/>
            </w:r>
          </w:hyperlink>
        </w:p>
        <w:p w14:paraId="19061E65" w14:textId="715ACB77" w:rsidR="008B5583" w:rsidRDefault="008B5583">
          <w:pPr>
            <w:pStyle w:val="TOC2"/>
            <w:tabs>
              <w:tab w:val="right" w:leader="dot" w:pos="9016"/>
            </w:tabs>
            <w:rPr>
              <w:rFonts w:eastAsiaTheme="minorEastAsia"/>
              <w:noProof/>
              <w:lang w:eastAsia="en-GB"/>
            </w:rPr>
          </w:pPr>
          <w:hyperlink w:anchor="_Toc99539944" w:history="1">
            <w:r w:rsidRPr="00BA0C07">
              <w:rPr>
                <w:rStyle w:val="Hyperlink"/>
                <w:noProof/>
              </w:rPr>
              <w:t>Appendix 18</w:t>
            </w:r>
            <w:r>
              <w:rPr>
                <w:noProof/>
                <w:webHidden/>
              </w:rPr>
              <w:tab/>
            </w:r>
            <w:r>
              <w:rPr>
                <w:noProof/>
                <w:webHidden/>
              </w:rPr>
              <w:fldChar w:fldCharType="begin"/>
            </w:r>
            <w:r>
              <w:rPr>
                <w:noProof/>
                <w:webHidden/>
              </w:rPr>
              <w:instrText xml:space="preserve"> PAGEREF _Toc99539944 \h </w:instrText>
            </w:r>
            <w:r>
              <w:rPr>
                <w:noProof/>
                <w:webHidden/>
              </w:rPr>
            </w:r>
            <w:r>
              <w:rPr>
                <w:noProof/>
                <w:webHidden/>
              </w:rPr>
              <w:fldChar w:fldCharType="separate"/>
            </w:r>
            <w:r>
              <w:rPr>
                <w:noProof/>
                <w:webHidden/>
              </w:rPr>
              <w:t>260</w:t>
            </w:r>
            <w:r>
              <w:rPr>
                <w:noProof/>
                <w:webHidden/>
              </w:rPr>
              <w:fldChar w:fldCharType="end"/>
            </w:r>
          </w:hyperlink>
        </w:p>
        <w:p w14:paraId="1AC8C742" w14:textId="46E0AA4F" w:rsidR="008B5583" w:rsidRDefault="008B5583">
          <w:pPr>
            <w:pStyle w:val="TOC2"/>
            <w:tabs>
              <w:tab w:val="right" w:leader="dot" w:pos="9016"/>
            </w:tabs>
            <w:rPr>
              <w:rFonts w:eastAsiaTheme="minorEastAsia"/>
              <w:noProof/>
              <w:lang w:eastAsia="en-GB"/>
            </w:rPr>
          </w:pPr>
          <w:hyperlink w:anchor="_Toc99539945" w:history="1">
            <w:r w:rsidRPr="00BA0C07">
              <w:rPr>
                <w:rStyle w:val="Hyperlink"/>
                <w:noProof/>
              </w:rPr>
              <w:t>Appendix 19</w:t>
            </w:r>
            <w:r>
              <w:rPr>
                <w:noProof/>
                <w:webHidden/>
              </w:rPr>
              <w:tab/>
            </w:r>
            <w:r>
              <w:rPr>
                <w:noProof/>
                <w:webHidden/>
              </w:rPr>
              <w:fldChar w:fldCharType="begin"/>
            </w:r>
            <w:r>
              <w:rPr>
                <w:noProof/>
                <w:webHidden/>
              </w:rPr>
              <w:instrText xml:space="preserve"> PAGEREF _Toc99539945 \h </w:instrText>
            </w:r>
            <w:r>
              <w:rPr>
                <w:noProof/>
                <w:webHidden/>
              </w:rPr>
            </w:r>
            <w:r>
              <w:rPr>
                <w:noProof/>
                <w:webHidden/>
              </w:rPr>
              <w:fldChar w:fldCharType="separate"/>
            </w:r>
            <w:r>
              <w:rPr>
                <w:noProof/>
                <w:webHidden/>
              </w:rPr>
              <w:t>261</w:t>
            </w:r>
            <w:r>
              <w:rPr>
                <w:noProof/>
                <w:webHidden/>
              </w:rPr>
              <w:fldChar w:fldCharType="end"/>
            </w:r>
          </w:hyperlink>
        </w:p>
        <w:p w14:paraId="2390FC28" w14:textId="1198F9AC" w:rsidR="008B5583" w:rsidRDefault="008B5583">
          <w:pPr>
            <w:pStyle w:val="TOC2"/>
            <w:tabs>
              <w:tab w:val="right" w:leader="dot" w:pos="9016"/>
            </w:tabs>
            <w:rPr>
              <w:rFonts w:eastAsiaTheme="minorEastAsia"/>
              <w:noProof/>
              <w:lang w:eastAsia="en-GB"/>
            </w:rPr>
          </w:pPr>
          <w:hyperlink w:anchor="_Toc99539946" w:history="1">
            <w:r w:rsidRPr="00BA0C07">
              <w:rPr>
                <w:rStyle w:val="Hyperlink"/>
                <w:noProof/>
              </w:rPr>
              <w:t>Appendix 20</w:t>
            </w:r>
            <w:r>
              <w:rPr>
                <w:noProof/>
                <w:webHidden/>
              </w:rPr>
              <w:tab/>
            </w:r>
            <w:r>
              <w:rPr>
                <w:noProof/>
                <w:webHidden/>
              </w:rPr>
              <w:fldChar w:fldCharType="begin"/>
            </w:r>
            <w:r>
              <w:rPr>
                <w:noProof/>
                <w:webHidden/>
              </w:rPr>
              <w:instrText xml:space="preserve"> PAGEREF _Toc99539946 \h </w:instrText>
            </w:r>
            <w:r>
              <w:rPr>
                <w:noProof/>
                <w:webHidden/>
              </w:rPr>
            </w:r>
            <w:r>
              <w:rPr>
                <w:noProof/>
                <w:webHidden/>
              </w:rPr>
              <w:fldChar w:fldCharType="separate"/>
            </w:r>
            <w:r>
              <w:rPr>
                <w:noProof/>
                <w:webHidden/>
              </w:rPr>
              <w:t>265</w:t>
            </w:r>
            <w:r>
              <w:rPr>
                <w:noProof/>
                <w:webHidden/>
              </w:rPr>
              <w:fldChar w:fldCharType="end"/>
            </w:r>
          </w:hyperlink>
        </w:p>
        <w:p w14:paraId="0C264175" w14:textId="2E14580D" w:rsidR="008B5583" w:rsidRDefault="008B5583">
          <w:pPr>
            <w:pStyle w:val="TOC2"/>
            <w:tabs>
              <w:tab w:val="right" w:leader="dot" w:pos="9016"/>
            </w:tabs>
            <w:rPr>
              <w:rFonts w:eastAsiaTheme="minorEastAsia"/>
              <w:noProof/>
              <w:lang w:eastAsia="en-GB"/>
            </w:rPr>
          </w:pPr>
          <w:hyperlink w:anchor="_Toc99539947" w:history="1">
            <w:r w:rsidRPr="00BA0C07">
              <w:rPr>
                <w:rStyle w:val="Hyperlink"/>
                <w:noProof/>
              </w:rPr>
              <w:t>Appendix 21</w:t>
            </w:r>
            <w:r>
              <w:rPr>
                <w:noProof/>
                <w:webHidden/>
              </w:rPr>
              <w:tab/>
            </w:r>
            <w:r>
              <w:rPr>
                <w:noProof/>
                <w:webHidden/>
              </w:rPr>
              <w:fldChar w:fldCharType="begin"/>
            </w:r>
            <w:r>
              <w:rPr>
                <w:noProof/>
                <w:webHidden/>
              </w:rPr>
              <w:instrText xml:space="preserve"> PAGEREF _Toc99539947 \h </w:instrText>
            </w:r>
            <w:r>
              <w:rPr>
                <w:noProof/>
                <w:webHidden/>
              </w:rPr>
            </w:r>
            <w:r>
              <w:rPr>
                <w:noProof/>
                <w:webHidden/>
              </w:rPr>
              <w:fldChar w:fldCharType="separate"/>
            </w:r>
            <w:r>
              <w:rPr>
                <w:noProof/>
                <w:webHidden/>
              </w:rPr>
              <w:t>266</w:t>
            </w:r>
            <w:r>
              <w:rPr>
                <w:noProof/>
                <w:webHidden/>
              </w:rPr>
              <w:fldChar w:fldCharType="end"/>
            </w:r>
          </w:hyperlink>
        </w:p>
        <w:p w14:paraId="32A9DE73" w14:textId="014C10C4" w:rsidR="008B5583" w:rsidRDefault="008B5583">
          <w:pPr>
            <w:pStyle w:val="TOC2"/>
            <w:tabs>
              <w:tab w:val="right" w:leader="dot" w:pos="9016"/>
            </w:tabs>
            <w:rPr>
              <w:rFonts w:eastAsiaTheme="minorEastAsia"/>
              <w:noProof/>
              <w:lang w:eastAsia="en-GB"/>
            </w:rPr>
          </w:pPr>
          <w:hyperlink w:anchor="_Toc99539948" w:history="1">
            <w:r w:rsidRPr="00BA0C07">
              <w:rPr>
                <w:rStyle w:val="Hyperlink"/>
                <w:noProof/>
              </w:rPr>
              <w:t>Appendix 22</w:t>
            </w:r>
            <w:r>
              <w:rPr>
                <w:noProof/>
                <w:webHidden/>
              </w:rPr>
              <w:tab/>
            </w:r>
            <w:r>
              <w:rPr>
                <w:noProof/>
                <w:webHidden/>
              </w:rPr>
              <w:fldChar w:fldCharType="begin"/>
            </w:r>
            <w:r>
              <w:rPr>
                <w:noProof/>
                <w:webHidden/>
              </w:rPr>
              <w:instrText xml:space="preserve"> PAGEREF _Toc99539948 \h </w:instrText>
            </w:r>
            <w:r>
              <w:rPr>
                <w:noProof/>
                <w:webHidden/>
              </w:rPr>
            </w:r>
            <w:r>
              <w:rPr>
                <w:noProof/>
                <w:webHidden/>
              </w:rPr>
              <w:fldChar w:fldCharType="separate"/>
            </w:r>
            <w:r>
              <w:rPr>
                <w:noProof/>
                <w:webHidden/>
              </w:rPr>
              <w:t>267</w:t>
            </w:r>
            <w:r>
              <w:rPr>
                <w:noProof/>
                <w:webHidden/>
              </w:rPr>
              <w:fldChar w:fldCharType="end"/>
            </w:r>
          </w:hyperlink>
        </w:p>
        <w:p w14:paraId="39C7BD6A" w14:textId="3E552F64" w:rsidR="008B5583" w:rsidRDefault="008B5583">
          <w:pPr>
            <w:pStyle w:val="TOC3"/>
            <w:tabs>
              <w:tab w:val="right" w:leader="dot" w:pos="9016"/>
            </w:tabs>
            <w:rPr>
              <w:rFonts w:eastAsiaTheme="minorEastAsia"/>
              <w:noProof/>
              <w:lang w:eastAsia="en-GB"/>
            </w:rPr>
          </w:pPr>
          <w:hyperlink w:anchor="_Toc99539949" w:history="1">
            <w:r w:rsidRPr="00BA0C07">
              <w:rPr>
                <w:rStyle w:val="Hyperlink"/>
                <w:noProof/>
              </w:rPr>
              <w:t>Characteristics survey respondents</w:t>
            </w:r>
            <w:r>
              <w:rPr>
                <w:noProof/>
                <w:webHidden/>
              </w:rPr>
              <w:tab/>
            </w:r>
            <w:r>
              <w:rPr>
                <w:noProof/>
                <w:webHidden/>
              </w:rPr>
              <w:fldChar w:fldCharType="begin"/>
            </w:r>
            <w:r>
              <w:rPr>
                <w:noProof/>
                <w:webHidden/>
              </w:rPr>
              <w:instrText xml:space="preserve"> PAGEREF _Toc99539949 \h </w:instrText>
            </w:r>
            <w:r>
              <w:rPr>
                <w:noProof/>
                <w:webHidden/>
              </w:rPr>
            </w:r>
            <w:r>
              <w:rPr>
                <w:noProof/>
                <w:webHidden/>
              </w:rPr>
              <w:fldChar w:fldCharType="separate"/>
            </w:r>
            <w:r>
              <w:rPr>
                <w:noProof/>
                <w:webHidden/>
              </w:rPr>
              <w:t>267</w:t>
            </w:r>
            <w:r>
              <w:rPr>
                <w:noProof/>
                <w:webHidden/>
              </w:rPr>
              <w:fldChar w:fldCharType="end"/>
            </w:r>
          </w:hyperlink>
        </w:p>
        <w:p w14:paraId="3EBA6AF8" w14:textId="04CBFC52" w:rsidR="008B5583" w:rsidRDefault="008B5583">
          <w:pPr>
            <w:pStyle w:val="TOC2"/>
            <w:tabs>
              <w:tab w:val="right" w:leader="dot" w:pos="9016"/>
            </w:tabs>
            <w:rPr>
              <w:rFonts w:eastAsiaTheme="minorEastAsia"/>
              <w:noProof/>
              <w:lang w:eastAsia="en-GB"/>
            </w:rPr>
          </w:pPr>
          <w:hyperlink w:anchor="_Toc99539950" w:history="1">
            <w:r w:rsidRPr="00BA0C07">
              <w:rPr>
                <w:rStyle w:val="Hyperlink"/>
                <w:noProof/>
              </w:rPr>
              <w:t>Appendix 23</w:t>
            </w:r>
            <w:r>
              <w:rPr>
                <w:noProof/>
                <w:webHidden/>
              </w:rPr>
              <w:tab/>
            </w:r>
            <w:r>
              <w:rPr>
                <w:noProof/>
                <w:webHidden/>
              </w:rPr>
              <w:fldChar w:fldCharType="begin"/>
            </w:r>
            <w:r>
              <w:rPr>
                <w:noProof/>
                <w:webHidden/>
              </w:rPr>
              <w:instrText xml:space="preserve"> PAGEREF _Toc99539950 \h </w:instrText>
            </w:r>
            <w:r>
              <w:rPr>
                <w:noProof/>
                <w:webHidden/>
              </w:rPr>
            </w:r>
            <w:r>
              <w:rPr>
                <w:noProof/>
                <w:webHidden/>
              </w:rPr>
              <w:fldChar w:fldCharType="separate"/>
            </w:r>
            <w:r>
              <w:rPr>
                <w:noProof/>
                <w:webHidden/>
              </w:rPr>
              <w:t>269</w:t>
            </w:r>
            <w:r>
              <w:rPr>
                <w:noProof/>
                <w:webHidden/>
              </w:rPr>
              <w:fldChar w:fldCharType="end"/>
            </w:r>
          </w:hyperlink>
        </w:p>
        <w:p w14:paraId="10A66F4F" w14:textId="3B50861F" w:rsidR="008B5583" w:rsidRDefault="008B5583">
          <w:pPr>
            <w:pStyle w:val="TOC2"/>
            <w:tabs>
              <w:tab w:val="right" w:leader="dot" w:pos="9016"/>
            </w:tabs>
            <w:rPr>
              <w:rFonts w:eastAsiaTheme="minorEastAsia"/>
              <w:noProof/>
              <w:lang w:eastAsia="en-GB"/>
            </w:rPr>
          </w:pPr>
          <w:hyperlink w:anchor="_Toc99539951" w:history="1">
            <w:r w:rsidRPr="00BA0C07">
              <w:rPr>
                <w:rStyle w:val="Hyperlink"/>
                <w:noProof/>
              </w:rPr>
              <w:t>Appendix 24</w:t>
            </w:r>
            <w:r>
              <w:rPr>
                <w:noProof/>
                <w:webHidden/>
              </w:rPr>
              <w:tab/>
            </w:r>
            <w:r>
              <w:rPr>
                <w:noProof/>
                <w:webHidden/>
              </w:rPr>
              <w:fldChar w:fldCharType="begin"/>
            </w:r>
            <w:r>
              <w:rPr>
                <w:noProof/>
                <w:webHidden/>
              </w:rPr>
              <w:instrText xml:space="preserve"> PAGEREF _Toc99539951 \h </w:instrText>
            </w:r>
            <w:r>
              <w:rPr>
                <w:noProof/>
                <w:webHidden/>
              </w:rPr>
            </w:r>
            <w:r>
              <w:rPr>
                <w:noProof/>
                <w:webHidden/>
              </w:rPr>
              <w:fldChar w:fldCharType="separate"/>
            </w:r>
            <w:r>
              <w:rPr>
                <w:noProof/>
                <w:webHidden/>
              </w:rPr>
              <w:t>270</w:t>
            </w:r>
            <w:r>
              <w:rPr>
                <w:noProof/>
                <w:webHidden/>
              </w:rPr>
              <w:fldChar w:fldCharType="end"/>
            </w:r>
          </w:hyperlink>
        </w:p>
        <w:p w14:paraId="5C08DA8D" w14:textId="70BB41EB" w:rsidR="008B5583" w:rsidRDefault="008B5583">
          <w:pPr>
            <w:pStyle w:val="TOC3"/>
            <w:tabs>
              <w:tab w:val="right" w:leader="dot" w:pos="9016"/>
            </w:tabs>
            <w:rPr>
              <w:rFonts w:eastAsiaTheme="minorEastAsia"/>
              <w:noProof/>
              <w:lang w:eastAsia="en-GB"/>
            </w:rPr>
          </w:pPr>
          <w:hyperlink w:anchor="_Toc99539952" w:history="1">
            <w:r w:rsidRPr="00BA0C07">
              <w:rPr>
                <w:rStyle w:val="Hyperlink"/>
                <w:rFonts w:cstheme="minorHAnsi"/>
                <w:noProof/>
              </w:rPr>
              <w:t>Search strategy for targeted literature review of previous cost-effectiveness models in coeliac disease</w:t>
            </w:r>
            <w:r>
              <w:rPr>
                <w:noProof/>
                <w:webHidden/>
              </w:rPr>
              <w:tab/>
            </w:r>
            <w:r>
              <w:rPr>
                <w:noProof/>
                <w:webHidden/>
              </w:rPr>
              <w:fldChar w:fldCharType="begin"/>
            </w:r>
            <w:r>
              <w:rPr>
                <w:noProof/>
                <w:webHidden/>
              </w:rPr>
              <w:instrText xml:space="preserve"> PAGEREF _Toc99539952 \h </w:instrText>
            </w:r>
            <w:r>
              <w:rPr>
                <w:noProof/>
                <w:webHidden/>
              </w:rPr>
            </w:r>
            <w:r>
              <w:rPr>
                <w:noProof/>
                <w:webHidden/>
              </w:rPr>
              <w:fldChar w:fldCharType="separate"/>
            </w:r>
            <w:r>
              <w:rPr>
                <w:noProof/>
                <w:webHidden/>
              </w:rPr>
              <w:t>270</w:t>
            </w:r>
            <w:r>
              <w:rPr>
                <w:noProof/>
                <w:webHidden/>
              </w:rPr>
              <w:fldChar w:fldCharType="end"/>
            </w:r>
          </w:hyperlink>
        </w:p>
        <w:p w14:paraId="5AB53D8B" w14:textId="7AAF82B5" w:rsidR="008B5583" w:rsidRDefault="008B5583">
          <w:pPr>
            <w:pStyle w:val="TOC2"/>
            <w:tabs>
              <w:tab w:val="right" w:leader="dot" w:pos="9016"/>
            </w:tabs>
            <w:rPr>
              <w:rFonts w:eastAsiaTheme="minorEastAsia"/>
              <w:noProof/>
              <w:lang w:eastAsia="en-GB"/>
            </w:rPr>
          </w:pPr>
          <w:hyperlink w:anchor="_Toc99539953" w:history="1">
            <w:r w:rsidRPr="00BA0C07">
              <w:rPr>
                <w:rStyle w:val="Hyperlink"/>
                <w:noProof/>
              </w:rPr>
              <w:t>Appendix 25</w:t>
            </w:r>
            <w:r>
              <w:rPr>
                <w:noProof/>
                <w:webHidden/>
              </w:rPr>
              <w:tab/>
            </w:r>
            <w:r>
              <w:rPr>
                <w:noProof/>
                <w:webHidden/>
              </w:rPr>
              <w:fldChar w:fldCharType="begin"/>
            </w:r>
            <w:r>
              <w:rPr>
                <w:noProof/>
                <w:webHidden/>
              </w:rPr>
              <w:instrText xml:space="preserve"> PAGEREF _Toc99539953 \h </w:instrText>
            </w:r>
            <w:r>
              <w:rPr>
                <w:noProof/>
                <w:webHidden/>
              </w:rPr>
            </w:r>
            <w:r>
              <w:rPr>
                <w:noProof/>
                <w:webHidden/>
              </w:rPr>
              <w:fldChar w:fldCharType="separate"/>
            </w:r>
            <w:r>
              <w:rPr>
                <w:noProof/>
                <w:webHidden/>
              </w:rPr>
              <w:t>272</w:t>
            </w:r>
            <w:r>
              <w:rPr>
                <w:noProof/>
                <w:webHidden/>
              </w:rPr>
              <w:fldChar w:fldCharType="end"/>
            </w:r>
          </w:hyperlink>
        </w:p>
        <w:p w14:paraId="7606F408" w14:textId="5865D3C6" w:rsidR="008B5583" w:rsidRDefault="008B5583">
          <w:pPr>
            <w:pStyle w:val="TOC2"/>
            <w:tabs>
              <w:tab w:val="right" w:leader="dot" w:pos="9016"/>
            </w:tabs>
            <w:rPr>
              <w:rFonts w:eastAsiaTheme="minorEastAsia"/>
              <w:noProof/>
              <w:lang w:eastAsia="en-GB"/>
            </w:rPr>
          </w:pPr>
          <w:hyperlink w:anchor="_Toc99539954" w:history="1">
            <w:r w:rsidRPr="00BA0C07">
              <w:rPr>
                <w:rStyle w:val="Hyperlink"/>
                <w:noProof/>
              </w:rPr>
              <w:t>Appendix 26</w:t>
            </w:r>
            <w:r>
              <w:rPr>
                <w:noProof/>
                <w:webHidden/>
              </w:rPr>
              <w:tab/>
            </w:r>
            <w:r>
              <w:rPr>
                <w:noProof/>
                <w:webHidden/>
              </w:rPr>
              <w:fldChar w:fldCharType="begin"/>
            </w:r>
            <w:r>
              <w:rPr>
                <w:noProof/>
                <w:webHidden/>
              </w:rPr>
              <w:instrText xml:space="preserve"> PAGEREF _Toc99539954 \h </w:instrText>
            </w:r>
            <w:r>
              <w:rPr>
                <w:noProof/>
                <w:webHidden/>
              </w:rPr>
            </w:r>
            <w:r>
              <w:rPr>
                <w:noProof/>
                <w:webHidden/>
              </w:rPr>
              <w:fldChar w:fldCharType="separate"/>
            </w:r>
            <w:r>
              <w:rPr>
                <w:noProof/>
                <w:webHidden/>
              </w:rPr>
              <w:t>281</w:t>
            </w:r>
            <w:r>
              <w:rPr>
                <w:noProof/>
                <w:webHidden/>
              </w:rPr>
              <w:fldChar w:fldCharType="end"/>
            </w:r>
          </w:hyperlink>
        </w:p>
        <w:p w14:paraId="03CCBE63" w14:textId="3750CA83" w:rsidR="008B5583" w:rsidRDefault="008B5583">
          <w:pPr>
            <w:pStyle w:val="TOC2"/>
            <w:tabs>
              <w:tab w:val="right" w:leader="dot" w:pos="9016"/>
            </w:tabs>
            <w:rPr>
              <w:rFonts w:eastAsiaTheme="minorEastAsia"/>
              <w:noProof/>
              <w:lang w:eastAsia="en-GB"/>
            </w:rPr>
          </w:pPr>
          <w:hyperlink w:anchor="_Toc99539955" w:history="1">
            <w:r w:rsidRPr="00BA0C07">
              <w:rPr>
                <w:rStyle w:val="Hyperlink"/>
                <w:noProof/>
              </w:rPr>
              <w:t>Appendix 27</w:t>
            </w:r>
            <w:r>
              <w:rPr>
                <w:noProof/>
                <w:webHidden/>
              </w:rPr>
              <w:tab/>
            </w:r>
            <w:r>
              <w:rPr>
                <w:noProof/>
                <w:webHidden/>
              </w:rPr>
              <w:fldChar w:fldCharType="begin"/>
            </w:r>
            <w:r>
              <w:rPr>
                <w:noProof/>
                <w:webHidden/>
              </w:rPr>
              <w:instrText xml:space="preserve"> PAGEREF _Toc99539955 \h </w:instrText>
            </w:r>
            <w:r>
              <w:rPr>
                <w:noProof/>
                <w:webHidden/>
              </w:rPr>
            </w:r>
            <w:r>
              <w:rPr>
                <w:noProof/>
                <w:webHidden/>
              </w:rPr>
              <w:fldChar w:fldCharType="separate"/>
            </w:r>
            <w:r>
              <w:rPr>
                <w:noProof/>
                <w:webHidden/>
              </w:rPr>
              <w:t>282</w:t>
            </w:r>
            <w:r>
              <w:rPr>
                <w:noProof/>
                <w:webHidden/>
              </w:rPr>
              <w:fldChar w:fldCharType="end"/>
            </w:r>
          </w:hyperlink>
        </w:p>
        <w:p w14:paraId="60B08998" w14:textId="69AF5FF9" w:rsidR="008B5583" w:rsidRDefault="008B5583">
          <w:pPr>
            <w:pStyle w:val="TOC3"/>
            <w:tabs>
              <w:tab w:val="right" w:leader="dot" w:pos="9016"/>
            </w:tabs>
            <w:rPr>
              <w:rFonts w:eastAsiaTheme="minorEastAsia"/>
              <w:noProof/>
              <w:lang w:eastAsia="en-GB"/>
            </w:rPr>
          </w:pPr>
          <w:hyperlink w:anchor="_Toc99539956" w:history="1">
            <w:r w:rsidRPr="00BA0C07">
              <w:rPr>
                <w:rStyle w:val="Hyperlink"/>
                <w:noProof/>
              </w:rPr>
              <w:t>Costs</w:t>
            </w:r>
            <w:r>
              <w:rPr>
                <w:noProof/>
                <w:webHidden/>
              </w:rPr>
              <w:tab/>
            </w:r>
            <w:r>
              <w:rPr>
                <w:noProof/>
                <w:webHidden/>
              </w:rPr>
              <w:fldChar w:fldCharType="begin"/>
            </w:r>
            <w:r>
              <w:rPr>
                <w:noProof/>
                <w:webHidden/>
              </w:rPr>
              <w:instrText xml:space="preserve"> PAGEREF _Toc99539956 \h </w:instrText>
            </w:r>
            <w:r>
              <w:rPr>
                <w:noProof/>
                <w:webHidden/>
              </w:rPr>
            </w:r>
            <w:r>
              <w:rPr>
                <w:noProof/>
                <w:webHidden/>
              </w:rPr>
              <w:fldChar w:fldCharType="separate"/>
            </w:r>
            <w:r>
              <w:rPr>
                <w:noProof/>
                <w:webHidden/>
              </w:rPr>
              <w:t>282</w:t>
            </w:r>
            <w:r>
              <w:rPr>
                <w:noProof/>
                <w:webHidden/>
              </w:rPr>
              <w:fldChar w:fldCharType="end"/>
            </w:r>
          </w:hyperlink>
        </w:p>
        <w:p w14:paraId="6F9B7DCF" w14:textId="37ED0D39" w:rsidR="008B5583" w:rsidRDefault="008B5583">
          <w:pPr>
            <w:pStyle w:val="TOC2"/>
            <w:tabs>
              <w:tab w:val="right" w:leader="dot" w:pos="9016"/>
            </w:tabs>
            <w:rPr>
              <w:rFonts w:eastAsiaTheme="minorEastAsia"/>
              <w:noProof/>
              <w:lang w:eastAsia="en-GB"/>
            </w:rPr>
          </w:pPr>
          <w:hyperlink w:anchor="_Toc99539957" w:history="1">
            <w:r w:rsidRPr="00BA0C07">
              <w:rPr>
                <w:rStyle w:val="Hyperlink"/>
                <w:noProof/>
              </w:rPr>
              <w:t>Appendix 28</w:t>
            </w:r>
            <w:r>
              <w:rPr>
                <w:noProof/>
                <w:webHidden/>
              </w:rPr>
              <w:tab/>
            </w:r>
            <w:r>
              <w:rPr>
                <w:noProof/>
                <w:webHidden/>
              </w:rPr>
              <w:fldChar w:fldCharType="begin"/>
            </w:r>
            <w:r>
              <w:rPr>
                <w:noProof/>
                <w:webHidden/>
              </w:rPr>
              <w:instrText xml:space="preserve"> PAGEREF _Toc99539957 \h </w:instrText>
            </w:r>
            <w:r>
              <w:rPr>
                <w:noProof/>
                <w:webHidden/>
              </w:rPr>
            </w:r>
            <w:r>
              <w:rPr>
                <w:noProof/>
                <w:webHidden/>
              </w:rPr>
              <w:fldChar w:fldCharType="separate"/>
            </w:r>
            <w:r>
              <w:rPr>
                <w:noProof/>
                <w:webHidden/>
              </w:rPr>
              <w:t>282</w:t>
            </w:r>
            <w:r>
              <w:rPr>
                <w:noProof/>
                <w:webHidden/>
              </w:rPr>
              <w:fldChar w:fldCharType="end"/>
            </w:r>
          </w:hyperlink>
        </w:p>
        <w:p w14:paraId="3B365620" w14:textId="2E16A197" w:rsidR="008B5583" w:rsidRDefault="008B5583">
          <w:pPr>
            <w:pStyle w:val="TOC3"/>
            <w:tabs>
              <w:tab w:val="right" w:leader="dot" w:pos="9016"/>
            </w:tabs>
            <w:rPr>
              <w:rFonts w:eastAsiaTheme="minorEastAsia"/>
              <w:noProof/>
              <w:lang w:eastAsia="en-GB"/>
            </w:rPr>
          </w:pPr>
          <w:hyperlink w:anchor="_Toc99539958" w:history="1">
            <w:r w:rsidRPr="00BA0C07">
              <w:rPr>
                <w:rStyle w:val="Hyperlink"/>
                <w:noProof/>
              </w:rPr>
              <w:t>Utilities</w:t>
            </w:r>
            <w:r>
              <w:rPr>
                <w:noProof/>
                <w:webHidden/>
              </w:rPr>
              <w:tab/>
            </w:r>
            <w:r>
              <w:rPr>
                <w:noProof/>
                <w:webHidden/>
              </w:rPr>
              <w:fldChar w:fldCharType="begin"/>
            </w:r>
            <w:r>
              <w:rPr>
                <w:noProof/>
                <w:webHidden/>
              </w:rPr>
              <w:instrText xml:space="preserve"> PAGEREF _Toc99539958 \h </w:instrText>
            </w:r>
            <w:r>
              <w:rPr>
                <w:noProof/>
                <w:webHidden/>
              </w:rPr>
            </w:r>
            <w:r>
              <w:rPr>
                <w:noProof/>
                <w:webHidden/>
              </w:rPr>
              <w:fldChar w:fldCharType="separate"/>
            </w:r>
            <w:r>
              <w:rPr>
                <w:noProof/>
                <w:webHidden/>
              </w:rPr>
              <w:t>282</w:t>
            </w:r>
            <w:r>
              <w:rPr>
                <w:noProof/>
                <w:webHidden/>
              </w:rPr>
              <w:fldChar w:fldCharType="end"/>
            </w:r>
          </w:hyperlink>
        </w:p>
        <w:p w14:paraId="2E92E111" w14:textId="46AFD4A5" w:rsidR="008B5583" w:rsidRDefault="008B5583">
          <w:pPr>
            <w:pStyle w:val="TOC2"/>
            <w:tabs>
              <w:tab w:val="right" w:leader="dot" w:pos="9016"/>
            </w:tabs>
            <w:rPr>
              <w:rFonts w:eastAsiaTheme="minorEastAsia"/>
              <w:noProof/>
              <w:lang w:eastAsia="en-GB"/>
            </w:rPr>
          </w:pPr>
          <w:hyperlink w:anchor="_Toc99539959" w:history="1">
            <w:r w:rsidRPr="00BA0C07">
              <w:rPr>
                <w:rStyle w:val="Hyperlink"/>
                <w:noProof/>
              </w:rPr>
              <w:t>Appendix 29</w:t>
            </w:r>
            <w:r>
              <w:rPr>
                <w:noProof/>
                <w:webHidden/>
              </w:rPr>
              <w:tab/>
            </w:r>
            <w:r>
              <w:rPr>
                <w:noProof/>
                <w:webHidden/>
              </w:rPr>
              <w:fldChar w:fldCharType="begin"/>
            </w:r>
            <w:r>
              <w:rPr>
                <w:noProof/>
                <w:webHidden/>
              </w:rPr>
              <w:instrText xml:space="preserve"> PAGEREF _Toc99539959 \h </w:instrText>
            </w:r>
            <w:r>
              <w:rPr>
                <w:noProof/>
                <w:webHidden/>
              </w:rPr>
            </w:r>
            <w:r>
              <w:rPr>
                <w:noProof/>
                <w:webHidden/>
              </w:rPr>
              <w:fldChar w:fldCharType="separate"/>
            </w:r>
            <w:r>
              <w:rPr>
                <w:noProof/>
                <w:webHidden/>
              </w:rPr>
              <w:t>283</w:t>
            </w:r>
            <w:r>
              <w:rPr>
                <w:noProof/>
                <w:webHidden/>
              </w:rPr>
              <w:fldChar w:fldCharType="end"/>
            </w:r>
          </w:hyperlink>
        </w:p>
        <w:p w14:paraId="6F090D60" w14:textId="4FABFDFF" w:rsidR="008E08A3" w:rsidRPr="00734942" w:rsidRDefault="008E08A3">
          <w:r w:rsidRPr="00734942">
            <w:rPr>
              <w:b/>
              <w:bCs/>
              <w:noProof/>
            </w:rPr>
            <w:fldChar w:fldCharType="end"/>
          </w:r>
        </w:p>
      </w:sdtContent>
    </w:sdt>
    <w:p w14:paraId="54ECE846" w14:textId="77777777" w:rsidR="008213F3" w:rsidRPr="00734942" w:rsidRDefault="008213F3">
      <w:pPr>
        <w:rPr>
          <w:rFonts w:asciiTheme="majorHAnsi" w:eastAsiaTheme="majorEastAsia" w:hAnsiTheme="majorHAnsi" w:cstheme="majorBidi"/>
          <w:color w:val="2F5496" w:themeColor="accent1" w:themeShade="BF"/>
          <w:sz w:val="32"/>
          <w:szCs w:val="32"/>
        </w:rPr>
      </w:pPr>
      <w:r w:rsidRPr="00734942">
        <w:br w:type="page"/>
      </w:r>
    </w:p>
    <w:p w14:paraId="63CD0BAC" w14:textId="62002B94" w:rsidR="002B3A40" w:rsidRPr="00734942" w:rsidRDefault="002B3A40" w:rsidP="002C56DC">
      <w:pPr>
        <w:pStyle w:val="Heading1"/>
      </w:pPr>
      <w:bookmarkStart w:id="37" w:name="_Toc99539786"/>
      <w:r w:rsidRPr="00734942">
        <w:lastRenderedPageBreak/>
        <w:t>List of tables</w:t>
      </w:r>
      <w:bookmarkEnd w:id="37"/>
    </w:p>
    <w:p w14:paraId="2E6203C7" w14:textId="05ADB516" w:rsidR="00EF35F3" w:rsidRDefault="0078676C">
      <w:pPr>
        <w:pStyle w:val="TableofFigures"/>
        <w:tabs>
          <w:tab w:val="right" w:leader="dot" w:pos="9016"/>
        </w:tabs>
        <w:rPr>
          <w:rFonts w:eastAsiaTheme="minorEastAsia"/>
          <w:noProof/>
          <w:lang w:eastAsia="en-GB"/>
        </w:rPr>
      </w:pPr>
      <w:r w:rsidRPr="00734942">
        <w:fldChar w:fldCharType="begin"/>
      </w:r>
      <w:r w:rsidRPr="00734942">
        <w:instrText xml:space="preserve"> TOC \h \z \c "Table" </w:instrText>
      </w:r>
      <w:r w:rsidRPr="00734942">
        <w:fldChar w:fldCharType="separate"/>
      </w:r>
      <w:hyperlink w:anchor="_Toc99720712" w:history="1">
        <w:r w:rsidR="00EF35F3" w:rsidRPr="00624D99">
          <w:rPr>
            <w:rStyle w:val="Hyperlink"/>
            <w:noProof/>
          </w:rPr>
          <w:t>Table 1 Serological tests for coeliac disease</w:t>
        </w:r>
        <w:r w:rsidR="00EF35F3">
          <w:rPr>
            <w:noProof/>
            <w:webHidden/>
          </w:rPr>
          <w:tab/>
        </w:r>
        <w:r w:rsidR="00EF35F3">
          <w:rPr>
            <w:noProof/>
            <w:webHidden/>
          </w:rPr>
          <w:fldChar w:fldCharType="begin"/>
        </w:r>
        <w:r w:rsidR="00EF35F3">
          <w:rPr>
            <w:noProof/>
            <w:webHidden/>
          </w:rPr>
          <w:instrText xml:space="preserve"> PAGEREF _Toc99720712 \h </w:instrText>
        </w:r>
        <w:r w:rsidR="00EF35F3">
          <w:rPr>
            <w:noProof/>
            <w:webHidden/>
          </w:rPr>
        </w:r>
        <w:r w:rsidR="00EF35F3">
          <w:rPr>
            <w:noProof/>
            <w:webHidden/>
          </w:rPr>
          <w:fldChar w:fldCharType="separate"/>
        </w:r>
        <w:r w:rsidR="00EF35F3">
          <w:rPr>
            <w:noProof/>
            <w:webHidden/>
          </w:rPr>
          <w:t>28</w:t>
        </w:r>
        <w:r w:rsidR="00EF35F3">
          <w:rPr>
            <w:noProof/>
            <w:webHidden/>
          </w:rPr>
          <w:fldChar w:fldCharType="end"/>
        </w:r>
      </w:hyperlink>
    </w:p>
    <w:p w14:paraId="0137BDD1" w14:textId="2A43F28C" w:rsidR="00EF35F3" w:rsidRDefault="00C34531">
      <w:pPr>
        <w:pStyle w:val="TableofFigures"/>
        <w:tabs>
          <w:tab w:val="right" w:leader="dot" w:pos="9016"/>
        </w:tabs>
        <w:rPr>
          <w:rFonts w:eastAsiaTheme="minorEastAsia"/>
          <w:noProof/>
          <w:lang w:eastAsia="en-GB"/>
        </w:rPr>
      </w:pPr>
      <w:hyperlink w:anchor="_Toc99720713" w:history="1">
        <w:r w:rsidR="00EF35F3" w:rsidRPr="00624D99">
          <w:rPr>
            <w:rStyle w:val="Hyperlink"/>
            <w:noProof/>
          </w:rPr>
          <w:t>Table 2 Cohort of children, women , and men – characteristics</w:t>
        </w:r>
        <w:r w:rsidR="00EF35F3">
          <w:rPr>
            <w:noProof/>
            <w:webHidden/>
          </w:rPr>
          <w:tab/>
        </w:r>
        <w:r w:rsidR="00EF35F3">
          <w:rPr>
            <w:noProof/>
            <w:webHidden/>
          </w:rPr>
          <w:fldChar w:fldCharType="begin"/>
        </w:r>
        <w:r w:rsidR="00EF35F3">
          <w:rPr>
            <w:noProof/>
            <w:webHidden/>
          </w:rPr>
          <w:instrText xml:space="preserve"> PAGEREF _Toc99720713 \h </w:instrText>
        </w:r>
        <w:r w:rsidR="00EF35F3">
          <w:rPr>
            <w:noProof/>
            <w:webHidden/>
          </w:rPr>
        </w:r>
        <w:r w:rsidR="00EF35F3">
          <w:rPr>
            <w:noProof/>
            <w:webHidden/>
          </w:rPr>
          <w:fldChar w:fldCharType="separate"/>
        </w:r>
        <w:r w:rsidR="00EF35F3">
          <w:rPr>
            <w:noProof/>
            <w:webHidden/>
          </w:rPr>
          <w:t>44</w:t>
        </w:r>
        <w:r w:rsidR="00EF35F3">
          <w:rPr>
            <w:noProof/>
            <w:webHidden/>
          </w:rPr>
          <w:fldChar w:fldCharType="end"/>
        </w:r>
      </w:hyperlink>
    </w:p>
    <w:p w14:paraId="5279AA34" w14:textId="69BCEAAA" w:rsidR="00EF35F3" w:rsidRDefault="00C34531">
      <w:pPr>
        <w:pStyle w:val="TableofFigures"/>
        <w:tabs>
          <w:tab w:val="right" w:leader="dot" w:pos="9016"/>
        </w:tabs>
        <w:rPr>
          <w:rFonts w:eastAsiaTheme="minorEastAsia"/>
          <w:noProof/>
          <w:lang w:eastAsia="en-GB"/>
        </w:rPr>
      </w:pPr>
      <w:hyperlink w:anchor="_Toc99720714" w:history="1">
        <w:r w:rsidR="00EF35F3" w:rsidRPr="00624D99">
          <w:rPr>
            <w:rStyle w:val="Hyperlink"/>
            <w:noProof/>
          </w:rPr>
          <w:t>Table 3 Model specification</w:t>
        </w:r>
        <w:r w:rsidR="00EF35F3">
          <w:rPr>
            <w:noProof/>
            <w:webHidden/>
          </w:rPr>
          <w:tab/>
        </w:r>
        <w:r w:rsidR="00EF35F3">
          <w:rPr>
            <w:noProof/>
            <w:webHidden/>
          </w:rPr>
          <w:fldChar w:fldCharType="begin"/>
        </w:r>
        <w:r w:rsidR="00EF35F3">
          <w:rPr>
            <w:noProof/>
            <w:webHidden/>
          </w:rPr>
          <w:instrText xml:space="preserve"> PAGEREF _Toc99720714 \h </w:instrText>
        </w:r>
        <w:r w:rsidR="00EF35F3">
          <w:rPr>
            <w:noProof/>
            <w:webHidden/>
          </w:rPr>
        </w:r>
        <w:r w:rsidR="00EF35F3">
          <w:rPr>
            <w:noProof/>
            <w:webHidden/>
          </w:rPr>
          <w:fldChar w:fldCharType="separate"/>
        </w:r>
        <w:r w:rsidR="00EF35F3">
          <w:rPr>
            <w:noProof/>
            <w:webHidden/>
          </w:rPr>
          <w:t>52</w:t>
        </w:r>
        <w:r w:rsidR="00EF35F3">
          <w:rPr>
            <w:noProof/>
            <w:webHidden/>
          </w:rPr>
          <w:fldChar w:fldCharType="end"/>
        </w:r>
      </w:hyperlink>
    </w:p>
    <w:p w14:paraId="20837E56" w14:textId="5E7B1D8B" w:rsidR="00EF35F3" w:rsidRDefault="00C34531">
      <w:pPr>
        <w:pStyle w:val="TableofFigures"/>
        <w:tabs>
          <w:tab w:val="right" w:leader="dot" w:pos="9016"/>
        </w:tabs>
        <w:rPr>
          <w:rFonts w:eastAsiaTheme="minorEastAsia"/>
          <w:noProof/>
          <w:lang w:eastAsia="en-GB"/>
        </w:rPr>
      </w:pPr>
      <w:hyperlink w:anchor="_Toc99720715" w:history="1">
        <w:r w:rsidR="00EF35F3" w:rsidRPr="00624D99">
          <w:rPr>
            <w:rStyle w:val="Hyperlink"/>
            <w:noProof/>
          </w:rPr>
          <w:t>Table 4 Model performance</w:t>
        </w:r>
        <w:r w:rsidR="00EF35F3">
          <w:rPr>
            <w:noProof/>
            <w:webHidden/>
          </w:rPr>
          <w:tab/>
        </w:r>
        <w:r w:rsidR="00EF35F3">
          <w:rPr>
            <w:noProof/>
            <w:webHidden/>
          </w:rPr>
          <w:fldChar w:fldCharType="begin"/>
        </w:r>
        <w:r w:rsidR="00EF35F3">
          <w:rPr>
            <w:noProof/>
            <w:webHidden/>
          </w:rPr>
          <w:instrText xml:space="preserve"> PAGEREF _Toc99720715 \h </w:instrText>
        </w:r>
        <w:r w:rsidR="00EF35F3">
          <w:rPr>
            <w:noProof/>
            <w:webHidden/>
          </w:rPr>
        </w:r>
        <w:r w:rsidR="00EF35F3">
          <w:rPr>
            <w:noProof/>
            <w:webHidden/>
          </w:rPr>
          <w:fldChar w:fldCharType="separate"/>
        </w:r>
        <w:r w:rsidR="00EF35F3">
          <w:rPr>
            <w:noProof/>
            <w:webHidden/>
          </w:rPr>
          <w:t>54</w:t>
        </w:r>
        <w:r w:rsidR="00EF35F3">
          <w:rPr>
            <w:noProof/>
            <w:webHidden/>
          </w:rPr>
          <w:fldChar w:fldCharType="end"/>
        </w:r>
      </w:hyperlink>
    </w:p>
    <w:p w14:paraId="6F926854" w14:textId="19A4B8EE" w:rsidR="00EF35F3" w:rsidRDefault="00C34531">
      <w:pPr>
        <w:pStyle w:val="TableofFigures"/>
        <w:tabs>
          <w:tab w:val="right" w:leader="dot" w:pos="9016"/>
        </w:tabs>
        <w:rPr>
          <w:rFonts w:eastAsiaTheme="minorEastAsia"/>
          <w:noProof/>
          <w:lang w:eastAsia="en-GB"/>
        </w:rPr>
      </w:pPr>
      <w:hyperlink w:anchor="_Toc99720716" w:history="1">
        <w:r w:rsidR="00EF35F3" w:rsidRPr="00624D99">
          <w:rPr>
            <w:rStyle w:val="Hyperlink"/>
            <w:noProof/>
          </w:rPr>
          <w:t>Table 5 Clinical usefulness in development data</w:t>
        </w:r>
        <w:r w:rsidR="00EF35F3">
          <w:rPr>
            <w:noProof/>
            <w:webHidden/>
          </w:rPr>
          <w:tab/>
        </w:r>
        <w:r w:rsidR="00EF35F3">
          <w:rPr>
            <w:noProof/>
            <w:webHidden/>
          </w:rPr>
          <w:fldChar w:fldCharType="begin"/>
        </w:r>
        <w:r w:rsidR="00EF35F3">
          <w:rPr>
            <w:noProof/>
            <w:webHidden/>
          </w:rPr>
          <w:instrText xml:space="preserve"> PAGEREF _Toc99720716 \h </w:instrText>
        </w:r>
        <w:r w:rsidR="00EF35F3">
          <w:rPr>
            <w:noProof/>
            <w:webHidden/>
          </w:rPr>
        </w:r>
        <w:r w:rsidR="00EF35F3">
          <w:rPr>
            <w:noProof/>
            <w:webHidden/>
          </w:rPr>
          <w:fldChar w:fldCharType="separate"/>
        </w:r>
        <w:r w:rsidR="00EF35F3">
          <w:rPr>
            <w:noProof/>
            <w:webHidden/>
          </w:rPr>
          <w:t>55</w:t>
        </w:r>
        <w:r w:rsidR="00EF35F3">
          <w:rPr>
            <w:noProof/>
            <w:webHidden/>
          </w:rPr>
          <w:fldChar w:fldCharType="end"/>
        </w:r>
      </w:hyperlink>
    </w:p>
    <w:p w14:paraId="5EB95C78" w14:textId="3D0ADBAB" w:rsidR="00EF35F3" w:rsidRDefault="00C34531">
      <w:pPr>
        <w:pStyle w:val="TableofFigures"/>
        <w:tabs>
          <w:tab w:val="right" w:leader="dot" w:pos="9016"/>
        </w:tabs>
        <w:rPr>
          <w:rFonts w:eastAsiaTheme="minorEastAsia"/>
          <w:noProof/>
          <w:lang w:eastAsia="en-GB"/>
        </w:rPr>
      </w:pPr>
      <w:hyperlink w:anchor="_Toc99720717" w:history="1">
        <w:r w:rsidR="00EF35F3" w:rsidRPr="00624D99">
          <w:rPr>
            <w:rStyle w:val="Hyperlink"/>
            <w:noProof/>
          </w:rPr>
          <w:t>Table 6 Examples of the combination of predictors in patients at several model thresholds</w:t>
        </w:r>
        <w:r w:rsidR="00EF35F3">
          <w:rPr>
            <w:noProof/>
            <w:webHidden/>
          </w:rPr>
          <w:tab/>
        </w:r>
        <w:r w:rsidR="00EF35F3">
          <w:rPr>
            <w:noProof/>
            <w:webHidden/>
          </w:rPr>
          <w:fldChar w:fldCharType="begin"/>
        </w:r>
        <w:r w:rsidR="00EF35F3">
          <w:rPr>
            <w:noProof/>
            <w:webHidden/>
          </w:rPr>
          <w:instrText xml:space="preserve"> PAGEREF _Toc99720717 \h </w:instrText>
        </w:r>
        <w:r w:rsidR="00EF35F3">
          <w:rPr>
            <w:noProof/>
            <w:webHidden/>
          </w:rPr>
        </w:r>
        <w:r w:rsidR="00EF35F3">
          <w:rPr>
            <w:noProof/>
            <w:webHidden/>
          </w:rPr>
          <w:fldChar w:fldCharType="separate"/>
        </w:r>
        <w:r w:rsidR="00EF35F3">
          <w:rPr>
            <w:noProof/>
            <w:webHidden/>
          </w:rPr>
          <w:t>56</w:t>
        </w:r>
        <w:r w:rsidR="00EF35F3">
          <w:rPr>
            <w:noProof/>
            <w:webHidden/>
          </w:rPr>
          <w:fldChar w:fldCharType="end"/>
        </w:r>
      </w:hyperlink>
    </w:p>
    <w:p w14:paraId="081D4E79" w14:textId="34FAB1F6" w:rsidR="00EF35F3" w:rsidRDefault="00C34531">
      <w:pPr>
        <w:pStyle w:val="TableofFigures"/>
        <w:tabs>
          <w:tab w:val="right" w:leader="dot" w:pos="9016"/>
        </w:tabs>
        <w:rPr>
          <w:rFonts w:eastAsiaTheme="minorEastAsia"/>
          <w:noProof/>
          <w:lang w:eastAsia="en-GB"/>
        </w:rPr>
      </w:pPr>
      <w:hyperlink w:anchor="_Toc99720718" w:history="1">
        <w:r w:rsidR="00EF35F3" w:rsidRPr="00624D99">
          <w:rPr>
            <w:rStyle w:val="Hyperlink"/>
            <w:noProof/>
          </w:rPr>
          <w:t>Table 7 Cohort of children – prevalence of predictors</w:t>
        </w:r>
        <w:r w:rsidR="00EF35F3">
          <w:rPr>
            <w:noProof/>
            <w:webHidden/>
          </w:rPr>
          <w:tab/>
        </w:r>
        <w:r w:rsidR="00EF35F3">
          <w:rPr>
            <w:noProof/>
            <w:webHidden/>
          </w:rPr>
          <w:fldChar w:fldCharType="begin"/>
        </w:r>
        <w:r w:rsidR="00EF35F3">
          <w:rPr>
            <w:noProof/>
            <w:webHidden/>
          </w:rPr>
          <w:instrText xml:space="preserve"> PAGEREF _Toc99720718 \h </w:instrText>
        </w:r>
        <w:r w:rsidR="00EF35F3">
          <w:rPr>
            <w:noProof/>
            <w:webHidden/>
          </w:rPr>
        </w:r>
        <w:r w:rsidR="00EF35F3">
          <w:rPr>
            <w:noProof/>
            <w:webHidden/>
          </w:rPr>
          <w:fldChar w:fldCharType="separate"/>
        </w:r>
        <w:r w:rsidR="00EF35F3">
          <w:rPr>
            <w:noProof/>
            <w:webHidden/>
          </w:rPr>
          <w:t>59</w:t>
        </w:r>
        <w:r w:rsidR="00EF35F3">
          <w:rPr>
            <w:noProof/>
            <w:webHidden/>
          </w:rPr>
          <w:fldChar w:fldCharType="end"/>
        </w:r>
      </w:hyperlink>
    </w:p>
    <w:p w14:paraId="67583A7E" w14:textId="52065A7F" w:rsidR="00EF35F3" w:rsidRDefault="00C34531">
      <w:pPr>
        <w:pStyle w:val="TableofFigures"/>
        <w:tabs>
          <w:tab w:val="right" w:leader="dot" w:pos="9016"/>
        </w:tabs>
        <w:rPr>
          <w:rFonts w:eastAsiaTheme="minorEastAsia"/>
          <w:noProof/>
          <w:lang w:eastAsia="en-GB"/>
        </w:rPr>
      </w:pPr>
      <w:hyperlink w:anchor="_Toc99720719" w:history="1">
        <w:r w:rsidR="00EF35F3" w:rsidRPr="00624D99">
          <w:rPr>
            <w:rStyle w:val="Hyperlink"/>
            <w:noProof/>
          </w:rPr>
          <w:t>Table 8 Study estimates of test accuracy, stratified by age group and test</w:t>
        </w:r>
        <w:r w:rsidR="00EF35F3">
          <w:rPr>
            <w:noProof/>
            <w:webHidden/>
          </w:rPr>
          <w:tab/>
        </w:r>
        <w:r w:rsidR="00EF35F3">
          <w:rPr>
            <w:noProof/>
            <w:webHidden/>
          </w:rPr>
          <w:fldChar w:fldCharType="begin"/>
        </w:r>
        <w:r w:rsidR="00EF35F3">
          <w:rPr>
            <w:noProof/>
            <w:webHidden/>
          </w:rPr>
          <w:instrText xml:space="preserve"> PAGEREF _Toc99720719 \h </w:instrText>
        </w:r>
        <w:r w:rsidR="00EF35F3">
          <w:rPr>
            <w:noProof/>
            <w:webHidden/>
          </w:rPr>
        </w:r>
        <w:r w:rsidR="00EF35F3">
          <w:rPr>
            <w:noProof/>
            <w:webHidden/>
          </w:rPr>
          <w:fldChar w:fldCharType="separate"/>
        </w:r>
        <w:r w:rsidR="00EF35F3">
          <w:rPr>
            <w:noProof/>
            <w:webHidden/>
          </w:rPr>
          <w:t>67</w:t>
        </w:r>
        <w:r w:rsidR="00EF35F3">
          <w:rPr>
            <w:noProof/>
            <w:webHidden/>
          </w:rPr>
          <w:fldChar w:fldCharType="end"/>
        </w:r>
      </w:hyperlink>
    </w:p>
    <w:p w14:paraId="3EC8D901" w14:textId="350BCD91" w:rsidR="00EF35F3" w:rsidRDefault="00C34531">
      <w:pPr>
        <w:pStyle w:val="TableofFigures"/>
        <w:tabs>
          <w:tab w:val="right" w:leader="dot" w:pos="9016"/>
        </w:tabs>
        <w:rPr>
          <w:rFonts w:eastAsiaTheme="minorEastAsia"/>
          <w:noProof/>
          <w:lang w:eastAsia="en-GB"/>
        </w:rPr>
      </w:pPr>
      <w:hyperlink w:anchor="_Toc99720720" w:history="1">
        <w:r w:rsidR="00EF35F3" w:rsidRPr="00624D99">
          <w:rPr>
            <w:rStyle w:val="Hyperlink"/>
            <w:noProof/>
          </w:rPr>
          <w:t>Table 9 Summary estimates of sensitivity and specificity, restricted to the most commonly reported threshold only</w:t>
        </w:r>
        <w:r w:rsidR="00EF35F3">
          <w:rPr>
            <w:noProof/>
            <w:webHidden/>
          </w:rPr>
          <w:tab/>
        </w:r>
        <w:r w:rsidR="00EF35F3">
          <w:rPr>
            <w:noProof/>
            <w:webHidden/>
          </w:rPr>
          <w:fldChar w:fldCharType="begin"/>
        </w:r>
        <w:r w:rsidR="00EF35F3">
          <w:rPr>
            <w:noProof/>
            <w:webHidden/>
          </w:rPr>
          <w:instrText xml:space="preserve"> PAGEREF _Toc99720720 \h </w:instrText>
        </w:r>
        <w:r w:rsidR="00EF35F3">
          <w:rPr>
            <w:noProof/>
            <w:webHidden/>
          </w:rPr>
        </w:r>
        <w:r w:rsidR="00EF35F3">
          <w:rPr>
            <w:noProof/>
            <w:webHidden/>
          </w:rPr>
          <w:fldChar w:fldCharType="separate"/>
        </w:r>
        <w:r w:rsidR="00EF35F3">
          <w:rPr>
            <w:noProof/>
            <w:webHidden/>
          </w:rPr>
          <w:t>68</w:t>
        </w:r>
        <w:r w:rsidR="00EF35F3">
          <w:rPr>
            <w:noProof/>
            <w:webHidden/>
          </w:rPr>
          <w:fldChar w:fldCharType="end"/>
        </w:r>
      </w:hyperlink>
    </w:p>
    <w:p w14:paraId="3A39BE0D" w14:textId="6BF62207" w:rsidR="00EF35F3" w:rsidRDefault="00C34531">
      <w:pPr>
        <w:pStyle w:val="TableofFigures"/>
        <w:tabs>
          <w:tab w:val="right" w:leader="dot" w:pos="9016"/>
        </w:tabs>
        <w:rPr>
          <w:rFonts w:eastAsiaTheme="minorEastAsia"/>
          <w:noProof/>
          <w:lang w:eastAsia="en-GB"/>
        </w:rPr>
      </w:pPr>
      <w:hyperlink w:anchor="_Toc99720721" w:history="1">
        <w:r w:rsidR="00EF35F3" w:rsidRPr="00624D99">
          <w:rPr>
            <w:rStyle w:val="Hyperlink"/>
            <w:noProof/>
          </w:rPr>
          <w:t>Table 10 Study estimates of sensitivity and specificity, restricted to comparative studies only</w:t>
        </w:r>
        <w:r w:rsidR="00EF35F3">
          <w:rPr>
            <w:noProof/>
            <w:webHidden/>
          </w:rPr>
          <w:tab/>
        </w:r>
        <w:r w:rsidR="00EF35F3">
          <w:rPr>
            <w:noProof/>
            <w:webHidden/>
          </w:rPr>
          <w:fldChar w:fldCharType="begin"/>
        </w:r>
        <w:r w:rsidR="00EF35F3">
          <w:rPr>
            <w:noProof/>
            <w:webHidden/>
          </w:rPr>
          <w:instrText xml:space="preserve"> PAGEREF _Toc99720721 \h </w:instrText>
        </w:r>
        <w:r w:rsidR="00EF35F3">
          <w:rPr>
            <w:noProof/>
            <w:webHidden/>
          </w:rPr>
        </w:r>
        <w:r w:rsidR="00EF35F3">
          <w:rPr>
            <w:noProof/>
            <w:webHidden/>
          </w:rPr>
          <w:fldChar w:fldCharType="separate"/>
        </w:r>
        <w:r w:rsidR="00EF35F3">
          <w:rPr>
            <w:noProof/>
            <w:webHidden/>
          </w:rPr>
          <w:t>71</w:t>
        </w:r>
        <w:r w:rsidR="00EF35F3">
          <w:rPr>
            <w:noProof/>
            <w:webHidden/>
          </w:rPr>
          <w:fldChar w:fldCharType="end"/>
        </w:r>
      </w:hyperlink>
    </w:p>
    <w:p w14:paraId="543CC586" w14:textId="0FE87872" w:rsidR="00EF35F3" w:rsidRDefault="00C34531">
      <w:pPr>
        <w:pStyle w:val="TableofFigures"/>
        <w:tabs>
          <w:tab w:val="right" w:leader="dot" w:pos="9016"/>
        </w:tabs>
        <w:rPr>
          <w:rFonts w:eastAsiaTheme="minorEastAsia"/>
          <w:noProof/>
          <w:lang w:eastAsia="en-GB"/>
        </w:rPr>
      </w:pPr>
      <w:hyperlink w:anchor="_Toc99720722" w:history="1">
        <w:r w:rsidR="00EF35F3" w:rsidRPr="00624D99">
          <w:rPr>
            <w:rStyle w:val="Hyperlink"/>
            <w:noProof/>
          </w:rPr>
          <w:t>Table 11 Estimates of accuracy for the two selected studies that provided information on the accuracy of the tests when used in combination</w:t>
        </w:r>
        <w:r w:rsidR="00EF35F3">
          <w:rPr>
            <w:noProof/>
            <w:webHidden/>
          </w:rPr>
          <w:tab/>
        </w:r>
        <w:r w:rsidR="00EF35F3">
          <w:rPr>
            <w:noProof/>
            <w:webHidden/>
          </w:rPr>
          <w:fldChar w:fldCharType="begin"/>
        </w:r>
        <w:r w:rsidR="00EF35F3">
          <w:rPr>
            <w:noProof/>
            <w:webHidden/>
          </w:rPr>
          <w:instrText xml:space="preserve"> PAGEREF _Toc99720722 \h </w:instrText>
        </w:r>
        <w:r w:rsidR="00EF35F3">
          <w:rPr>
            <w:noProof/>
            <w:webHidden/>
          </w:rPr>
        </w:r>
        <w:r w:rsidR="00EF35F3">
          <w:rPr>
            <w:noProof/>
            <w:webHidden/>
          </w:rPr>
          <w:fldChar w:fldCharType="separate"/>
        </w:r>
        <w:r w:rsidR="00EF35F3">
          <w:rPr>
            <w:noProof/>
            <w:webHidden/>
          </w:rPr>
          <w:t>72</w:t>
        </w:r>
        <w:r w:rsidR="00EF35F3">
          <w:rPr>
            <w:noProof/>
            <w:webHidden/>
          </w:rPr>
          <w:fldChar w:fldCharType="end"/>
        </w:r>
      </w:hyperlink>
    </w:p>
    <w:p w14:paraId="3A72867D" w14:textId="53139245" w:rsidR="00EF35F3" w:rsidRDefault="00C34531">
      <w:pPr>
        <w:pStyle w:val="TableofFigures"/>
        <w:tabs>
          <w:tab w:val="right" w:leader="dot" w:pos="9016"/>
        </w:tabs>
        <w:rPr>
          <w:rFonts w:eastAsiaTheme="minorEastAsia"/>
          <w:noProof/>
          <w:lang w:eastAsia="en-GB"/>
        </w:rPr>
      </w:pPr>
      <w:hyperlink w:anchor="_Toc99720723" w:history="1">
        <w:r w:rsidR="00EF35F3" w:rsidRPr="00624D99">
          <w:rPr>
            <w:rStyle w:val="Hyperlink"/>
            <w:noProof/>
          </w:rPr>
          <w:t>Table 12 Study estimates of sensitivity and specificity limited to specific subgroups, stratified by age group and test</w:t>
        </w:r>
        <w:r w:rsidR="00EF35F3">
          <w:rPr>
            <w:noProof/>
            <w:webHidden/>
          </w:rPr>
          <w:tab/>
        </w:r>
        <w:r w:rsidR="00EF35F3">
          <w:rPr>
            <w:noProof/>
            <w:webHidden/>
          </w:rPr>
          <w:fldChar w:fldCharType="begin"/>
        </w:r>
        <w:r w:rsidR="00EF35F3">
          <w:rPr>
            <w:noProof/>
            <w:webHidden/>
          </w:rPr>
          <w:instrText xml:space="preserve"> PAGEREF _Toc99720723 \h </w:instrText>
        </w:r>
        <w:r w:rsidR="00EF35F3">
          <w:rPr>
            <w:noProof/>
            <w:webHidden/>
          </w:rPr>
        </w:r>
        <w:r w:rsidR="00EF35F3">
          <w:rPr>
            <w:noProof/>
            <w:webHidden/>
          </w:rPr>
          <w:fldChar w:fldCharType="separate"/>
        </w:r>
        <w:r w:rsidR="00EF35F3">
          <w:rPr>
            <w:noProof/>
            <w:webHidden/>
          </w:rPr>
          <w:t>72</w:t>
        </w:r>
        <w:r w:rsidR="00EF35F3">
          <w:rPr>
            <w:noProof/>
            <w:webHidden/>
          </w:rPr>
          <w:fldChar w:fldCharType="end"/>
        </w:r>
      </w:hyperlink>
    </w:p>
    <w:p w14:paraId="569E36F6" w14:textId="0CCD649C" w:rsidR="00EF35F3" w:rsidRDefault="00C34531">
      <w:pPr>
        <w:pStyle w:val="TableofFigures"/>
        <w:tabs>
          <w:tab w:val="right" w:leader="dot" w:pos="9016"/>
        </w:tabs>
        <w:rPr>
          <w:rFonts w:eastAsiaTheme="minorEastAsia"/>
          <w:noProof/>
          <w:lang w:eastAsia="en-GB"/>
        </w:rPr>
      </w:pPr>
      <w:hyperlink w:anchor="_Toc99720724" w:history="1">
        <w:r w:rsidR="00EF35F3" w:rsidRPr="00624D99">
          <w:rPr>
            <w:rStyle w:val="Hyperlink"/>
            <w:noProof/>
          </w:rPr>
          <w:t>Table 13 Details of studies that evaluated the accuracy of HLA genotyping</w:t>
        </w:r>
        <w:r w:rsidR="00EF35F3">
          <w:rPr>
            <w:noProof/>
            <w:webHidden/>
          </w:rPr>
          <w:tab/>
        </w:r>
        <w:r w:rsidR="00EF35F3">
          <w:rPr>
            <w:noProof/>
            <w:webHidden/>
          </w:rPr>
          <w:fldChar w:fldCharType="begin"/>
        </w:r>
        <w:r w:rsidR="00EF35F3">
          <w:rPr>
            <w:noProof/>
            <w:webHidden/>
          </w:rPr>
          <w:instrText xml:space="preserve"> PAGEREF _Toc99720724 \h </w:instrText>
        </w:r>
        <w:r w:rsidR="00EF35F3">
          <w:rPr>
            <w:noProof/>
            <w:webHidden/>
          </w:rPr>
        </w:r>
        <w:r w:rsidR="00EF35F3">
          <w:rPr>
            <w:noProof/>
            <w:webHidden/>
          </w:rPr>
          <w:fldChar w:fldCharType="separate"/>
        </w:r>
        <w:r w:rsidR="00EF35F3">
          <w:rPr>
            <w:noProof/>
            <w:webHidden/>
          </w:rPr>
          <w:t>78</w:t>
        </w:r>
        <w:r w:rsidR="00EF35F3">
          <w:rPr>
            <w:noProof/>
            <w:webHidden/>
          </w:rPr>
          <w:fldChar w:fldCharType="end"/>
        </w:r>
      </w:hyperlink>
    </w:p>
    <w:p w14:paraId="0EAF5522" w14:textId="228DA0B6" w:rsidR="00EF35F3" w:rsidRDefault="00C34531">
      <w:pPr>
        <w:pStyle w:val="TableofFigures"/>
        <w:tabs>
          <w:tab w:val="right" w:leader="dot" w:pos="9016"/>
        </w:tabs>
        <w:rPr>
          <w:rFonts w:eastAsiaTheme="minorEastAsia"/>
          <w:noProof/>
          <w:lang w:eastAsia="en-GB"/>
        </w:rPr>
      </w:pPr>
      <w:hyperlink w:anchor="_Toc99720725" w:history="1">
        <w:r w:rsidR="00EF35F3" w:rsidRPr="00624D99">
          <w:rPr>
            <w:rStyle w:val="Hyperlink"/>
            <w:noProof/>
          </w:rPr>
          <w:t>Table 14 Responses to scenarios</w:t>
        </w:r>
        <w:r w:rsidR="00EF35F3">
          <w:rPr>
            <w:noProof/>
            <w:webHidden/>
          </w:rPr>
          <w:tab/>
        </w:r>
        <w:r w:rsidR="00EF35F3">
          <w:rPr>
            <w:noProof/>
            <w:webHidden/>
          </w:rPr>
          <w:fldChar w:fldCharType="begin"/>
        </w:r>
        <w:r w:rsidR="00EF35F3">
          <w:rPr>
            <w:noProof/>
            <w:webHidden/>
          </w:rPr>
          <w:instrText xml:space="preserve"> PAGEREF _Toc99720725 \h </w:instrText>
        </w:r>
        <w:r w:rsidR="00EF35F3">
          <w:rPr>
            <w:noProof/>
            <w:webHidden/>
          </w:rPr>
        </w:r>
        <w:r w:rsidR="00EF35F3">
          <w:rPr>
            <w:noProof/>
            <w:webHidden/>
          </w:rPr>
          <w:fldChar w:fldCharType="separate"/>
        </w:r>
        <w:r w:rsidR="00EF35F3">
          <w:rPr>
            <w:noProof/>
            <w:webHidden/>
          </w:rPr>
          <w:t>82</w:t>
        </w:r>
        <w:r w:rsidR="00EF35F3">
          <w:rPr>
            <w:noProof/>
            <w:webHidden/>
          </w:rPr>
          <w:fldChar w:fldCharType="end"/>
        </w:r>
      </w:hyperlink>
    </w:p>
    <w:p w14:paraId="7761C40D" w14:textId="2D5C0709" w:rsidR="00EF35F3" w:rsidRDefault="00C34531">
      <w:pPr>
        <w:pStyle w:val="TableofFigures"/>
        <w:tabs>
          <w:tab w:val="right" w:leader="dot" w:pos="9016"/>
        </w:tabs>
        <w:rPr>
          <w:rFonts w:eastAsiaTheme="minorEastAsia"/>
          <w:noProof/>
          <w:lang w:eastAsia="en-GB"/>
        </w:rPr>
      </w:pPr>
      <w:hyperlink w:anchor="_Toc99720726" w:history="1">
        <w:r w:rsidR="00EF35F3" w:rsidRPr="00624D99">
          <w:rPr>
            <w:rStyle w:val="Hyperlink"/>
            <w:rFonts w:cstheme="minorHAnsi"/>
            <w:noProof/>
          </w:rPr>
          <w:t>Table 15. Age-stratified rates per 1000 (95% CI) in non-CD controls from CPRD analysis</w:t>
        </w:r>
        <w:r w:rsidR="00EF35F3">
          <w:rPr>
            <w:noProof/>
            <w:webHidden/>
          </w:rPr>
          <w:tab/>
        </w:r>
        <w:r w:rsidR="00EF35F3">
          <w:rPr>
            <w:noProof/>
            <w:webHidden/>
          </w:rPr>
          <w:fldChar w:fldCharType="begin"/>
        </w:r>
        <w:r w:rsidR="00EF35F3">
          <w:rPr>
            <w:noProof/>
            <w:webHidden/>
          </w:rPr>
          <w:instrText xml:space="preserve"> PAGEREF _Toc99720726 \h </w:instrText>
        </w:r>
        <w:r w:rsidR="00EF35F3">
          <w:rPr>
            <w:noProof/>
            <w:webHidden/>
          </w:rPr>
        </w:r>
        <w:r w:rsidR="00EF35F3">
          <w:rPr>
            <w:noProof/>
            <w:webHidden/>
          </w:rPr>
          <w:fldChar w:fldCharType="separate"/>
        </w:r>
        <w:r w:rsidR="00EF35F3">
          <w:rPr>
            <w:noProof/>
            <w:webHidden/>
          </w:rPr>
          <w:t>99</w:t>
        </w:r>
        <w:r w:rsidR="00EF35F3">
          <w:rPr>
            <w:noProof/>
            <w:webHidden/>
          </w:rPr>
          <w:fldChar w:fldCharType="end"/>
        </w:r>
      </w:hyperlink>
    </w:p>
    <w:p w14:paraId="7CAB2A98" w14:textId="228A7DC9" w:rsidR="00EF35F3" w:rsidRDefault="00C34531">
      <w:pPr>
        <w:pStyle w:val="TableofFigures"/>
        <w:tabs>
          <w:tab w:val="right" w:leader="dot" w:pos="9016"/>
        </w:tabs>
        <w:rPr>
          <w:rFonts w:eastAsiaTheme="minorEastAsia"/>
          <w:noProof/>
          <w:lang w:eastAsia="en-GB"/>
        </w:rPr>
      </w:pPr>
      <w:hyperlink w:anchor="_Toc99720727" w:history="1">
        <w:r w:rsidR="00EF35F3" w:rsidRPr="00624D99">
          <w:rPr>
            <w:rStyle w:val="Hyperlink"/>
            <w:rFonts w:cstheme="minorHAnsi"/>
            <w:noProof/>
          </w:rPr>
          <w:t>Table 16 ONS data on probability of survival following diagnosis with NHL</w:t>
        </w:r>
        <w:r w:rsidR="00EF35F3">
          <w:rPr>
            <w:noProof/>
            <w:webHidden/>
          </w:rPr>
          <w:tab/>
        </w:r>
        <w:r w:rsidR="00EF35F3">
          <w:rPr>
            <w:noProof/>
            <w:webHidden/>
          </w:rPr>
          <w:fldChar w:fldCharType="begin"/>
        </w:r>
        <w:r w:rsidR="00EF35F3">
          <w:rPr>
            <w:noProof/>
            <w:webHidden/>
          </w:rPr>
          <w:instrText xml:space="preserve"> PAGEREF _Toc99720727 \h </w:instrText>
        </w:r>
        <w:r w:rsidR="00EF35F3">
          <w:rPr>
            <w:noProof/>
            <w:webHidden/>
          </w:rPr>
        </w:r>
        <w:r w:rsidR="00EF35F3">
          <w:rPr>
            <w:noProof/>
            <w:webHidden/>
          </w:rPr>
          <w:fldChar w:fldCharType="separate"/>
        </w:r>
        <w:r w:rsidR="00EF35F3">
          <w:rPr>
            <w:noProof/>
            <w:webHidden/>
          </w:rPr>
          <w:t>100</w:t>
        </w:r>
        <w:r w:rsidR="00EF35F3">
          <w:rPr>
            <w:noProof/>
            <w:webHidden/>
          </w:rPr>
          <w:fldChar w:fldCharType="end"/>
        </w:r>
      </w:hyperlink>
    </w:p>
    <w:p w14:paraId="4D8DFD6F" w14:textId="74CB897B" w:rsidR="00EF35F3" w:rsidRDefault="00C34531">
      <w:pPr>
        <w:pStyle w:val="TableofFigures"/>
        <w:tabs>
          <w:tab w:val="right" w:leader="dot" w:pos="9016"/>
        </w:tabs>
        <w:rPr>
          <w:rFonts w:eastAsiaTheme="minorEastAsia"/>
          <w:noProof/>
          <w:lang w:eastAsia="en-GB"/>
        </w:rPr>
      </w:pPr>
      <w:hyperlink w:anchor="_Toc99720728" w:history="1">
        <w:r w:rsidR="00EF35F3" w:rsidRPr="00624D99">
          <w:rPr>
            <w:rStyle w:val="Hyperlink"/>
            <w:rFonts w:cstheme="minorHAnsi"/>
            <w:noProof/>
          </w:rPr>
          <w:t xml:space="preserve">Table </w:t>
        </w:r>
        <w:r w:rsidR="00EF35F3" w:rsidRPr="00624D99">
          <w:rPr>
            <w:rStyle w:val="Hyperlink"/>
            <w:noProof/>
          </w:rPr>
          <w:t>17</w:t>
        </w:r>
        <w:r w:rsidR="00EF35F3" w:rsidRPr="00624D99">
          <w:rPr>
            <w:rStyle w:val="Hyperlink"/>
            <w:rFonts w:cstheme="minorHAnsi"/>
            <w:noProof/>
          </w:rPr>
          <w:t>. Model parameters and data sources</w:t>
        </w:r>
        <w:r w:rsidR="00EF35F3">
          <w:rPr>
            <w:noProof/>
            <w:webHidden/>
          </w:rPr>
          <w:tab/>
        </w:r>
        <w:r w:rsidR="00EF35F3">
          <w:rPr>
            <w:noProof/>
            <w:webHidden/>
          </w:rPr>
          <w:fldChar w:fldCharType="begin"/>
        </w:r>
        <w:r w:rsidR="00EF35F3">
          <w:rPr>
            <w:noProof/>
            <w:webHidden/>
          </w:rPr>
          <w:instrText xml:space="preserve"> PAGEREF _Toc99720728 \h </w:instrText>
        </w:r>
        <w:r w:rsidR="00EF35F3">
          <w:rPr>
            <w:noProof/>
            <w:webHidden/>
          </w:rPr>
        </w:r>
        <w:r w:rsidR="00EF35F3">
          <w:rPr>
            <w:noProof/>
            <w:webHidden/>
          </w:rPr>
          <w:fldChar w:fldCharType="separate"/>
        </w:r>
        <w:r w:rsidR="00EF35F3">
          <w:rPr>
            <w:noProof/>
            <w:webHidden/>
          </w:rPr>
          <w:t>102</w:t>
        </w:r>
        <w:r w:rsidR="00EF35F3">
          <w:rPr>
            <w:noProof/>
            <w:webHidden/>
          </w:rPr>
          <w:fldChar w:fldCharType="end"/>
        </w:r>
      </w:hyperlink>
    </w:p>
    <w:p w14:paraId="5B405AAC" w14:textId="547316F9" w:rsidR="00EF35F3" w:rsidRDefault="00C34531">
      <w:pPr>
        <w:pStyle w:val="TableofFigures"/>
        <w:tabs>
          <w:tab w:val="right" w:leader="dot" w:pos="9016"/>
        </w:tabs>
        <w:rPr>
          <w:rFonts w:eastAsiaTheme="minorEastAsia"/>
          <w:noProof/>
          <w:lang w:eastAsia="en-GB"/>
        </w:rPr>
      </w:pPr>
      <w:hyperlink w:anchor="_Toc99720729" w:history="1">
        <w:r w:rsidR="00EF35F3" w:rsidRPr="00624D99">
          <w:rPr>
            <w:rStyle w:val="Hyperlink"/>
            <w:noProof/>
          </w:rPr>
          <w:t>Table 18 Key assumptions of the cost-effectiveness model.</w:t>
        </w:r>
        <w:r w:rsidR="00EF35F3">
          <w:rPr>
            <w:noProof/>
            <w:webHidden/>
          </w:rPr>
          <w:tab/>
        </w:r>
        <w:r w:rsidR="00EF35F3">
          <w:rPr>
            <w:noProof/>
            <w:webHidden/>
          </w:rPr>
          <w:fldChar w:fldCharType="begin"/>
        </w:r>
        <w:r w:rsidR="00EF35F3">
          <w:rPr>
            <w:noProof/>
            <w:webHidden/>
          </w:rPr>
          <w:instrText xml:space="preserve"> PAGEREF _Toc99720729 \h </w:instrText>
        </w:r>
        <w:r w:rsidR="00EF35F3">
          <w:rPr>
            <w:noProof/>
            <w:webHidden/>
          </w:rPr>
        </w:r>
        <w:r w:rsidR="00EF35F3">
          <w:rPr>
            <w:noProof/>
            <w:webHidden/>
          </w:rPr>
          <w:fldChar w:fldCharType="separate"/>
        </w:r>
        <w:r w:rsidR="00EF35F3">
          <w:rPr>
            <w:noProof/>
            <w:webHidden/>
          </w:rPr>
          <w:t>107</w:t>
        </w:r>
        <w:r w:rsidR="00EF35F3">
          <w:rPr>
            <w:noProof/>
            <w:webHidden/>
          </w:rPr>
          <w:fldChar w:fldCharType="end"/>
        </w:r>
      </w:hyperlink>
    </w:p>
    <w:p w14:paraId="4EE36009" w14:textId="326F25FA" w:rsidR="00EF35F3" w:rsidRDefault="00C34531">
      <w:pPr>
        <w:pStyle w:val="TableofFigures"/>
        <w:tabs>
          <w:tab w:val="right" w:leader="dot" w:pos="9016"/>
        </w:tabs>
        <w:rPr>
          <w:rFonts w:eastAsiaTheme="minorEastAsia"/>
          <w:noProof/>
          <w:lang w:eastAsia="en-GB"/>
        </w:rPr>
      </w:pPr>
      <w:hyperlink w:anchor="_Toc99720730" w:history="1">
        <w:r w:rsidR="00EF35F3" w:rsidRPr="00624D99">
          <w:rPr>
            <w:rStyle w:val="Hyperlink"/>
            <w:rFonts w:cstheme="minorHAnsi"/>
            <w:noProof/>
          </w:rPr>
          <w:t>Table 19 Costs, QALYs and incremental net benefit associated with strategies of interest in adult men. Mean estimates with 95% confidence intervals.</w:t>
        </w:r>
        <w:r w:rsidR="00EF35F3">
          <w:rPr>
            <w:noProof/>
            <w:webHidden/>
          </w:rPr>
          <w:tab/>
        </w:r>
        <w:r w:rsidR="00EF35F3">
          <w:rPr>
            <w:noProof/>
            <w:webHidden/>
          </w:rPr>
          <w:fldChar w:fldCharType="begin"/>
        </w:r>
        <w:r w:rsidR="00EF35F3">
          <w:rPr>
            <w:noProof/>
            <w:webHidden/>
          </w:rPr>
          <w:instrText xml:space="preserve"> PAGEREF _Toc99720730 \h </w:instrText>
        </w:r>
        <w:r w:rsidR="00EF35F3">
          <w:rPr>
            <w:noProof/>
            <w:webHidden/>
          </w:rPr>
        </w:r>
        <w:r w:rsidR="00EF35F3">
          <w:rPr>
            <w:noProof/>
            <w:webHidden/>
          </w:rPr>
          <w:fldChar w:fldCharType="separate"/>
        </w:r>
        <w:r w:rsidR="00EF35F3">
          <w:rPr>
            <w:noProof/>
            <w:webHidden/>
          </w:rPr>
          <w:t>112</w:t>
        </w:r>
        <w:r w:rsidR="00EF35F3">
          <w:rPr>
            <w:noProof/>
            <w:webHidden/>
          </w:rPr>
          <w:fldChar w:fldCharType="end"/>
        </w:r>
      </w:hyperlink>
    </w:p>
    <w:p w14:paraId="03E81429" w14:textId="3EF8D5AB" w:rsidR="00EF35F3" w:rsidRDefault="00C34531">
      <w:pPr>
        <w:pStyle w:val="TableofFigures"/>
        <w:tabs>
          <w:tab w:val="right" w:leader="dot" w:pos="9016"/>
        </w:tabs>
        <w:rPr>
          <w:rFonts w:eastAsiaTheme="minorEastAsia"/>
          <w:noProof/>
          <w:lang w:eastAsia="en-GB"/>
        </w:rPr>
      </w:pPr>
      <w:hyperlink w:anchor="_Toc99720731" w:history="1">
        <w:r w:rsidR="00EF35F3" w:rsidRPr="00624D99">
          <w:rPr>
            <w:rStyle w:val="Hyperlink"/>
            <w:noProof/>
          </w:rPr>
          <w:t>Table 20 EVPI and EVPPI for parameter sets of interest. Adult men and women estimated by MLMC while Gaussian process estimates are presented for children. All EVPI and EVPPI in £GBP. Higher values indicate greater impact on results and greater value in conducting further research</w:t>
        </w:r>
        <w:r w:rsidR="00EF35F3">
          <w:rPr>
            <w:noProof/>
            <w:webHidden/>
          </w:rPr>
          <w:tab/>
        </w:r>
        <w:r w:rsidR="00EF35F3">
          <w:rPr>
            <w:noProof/>
            <w:webHidden/>
          </w:rPr>
          <w:fldChar w:fldCharType="begin"/>
        </w:r>
        <w:r w:rsidR="00EF35F3">
          <w:rPr>
            <w:noProof/>
            <w:webHidden/>
          </w:rPr>
          <w:instrText xml:space="preserve"> PAGEREF _Toc99720731 \h </w:instrText>
        </w:r>
        <w:r w:rsidR="00EF35F3">
          <w:rPr>
            <w:noProof/>
            <w:webHidden/>
          </w:rPr>
        </w:r>
        <w:r w:rsidR="00EF35F3">
          <w:rPr>
            <w:noProof/>
            <w:webHidden/>
          </w:rPr>
          <w:fldChar w:fldCharType="separate"/>
        </w:r>
        <w:r w:rsidR="00EF35F3">
          <w:rPr>
            <w:noProof/>
            <w:webHidden/>
          </w:rPr>
          <w:t>114</w:t>
        </w:r>
        <w:r w:rsidR="00EF35F3">
          <w:rPr>
            <w:noProof/>
            <w:webHidden/>
          </w:rPr>
          <w:fldChar w:fldCharType="end"/>
        </w:r>
      </w:hyperlink>
    </w:p>
    <w:p w14:paraId="795A2908" w14:textId="7A23C233" w:rsidR="00EF35F3" w:rsidRDefault="00C34531">
      <w:pPr>
        <w:pStyle w:val="TableofFigures"/>
        <w:tabs>
          <w:tab w:val="right" w:leader="dot" w:pos="9016"/>
        </w:tabs>
        <w:rPr>
          <w:rFonts w:eastAsiaTheme="minorEastAsia"/>
          <w:noProof/>
          <w:lang w:eastAsia="en-GB"/>
        </w:rPr>
      </w:pPr>
      <w:hyperlink w:anchor="_Toc99720732" w:history="1">
        <w:r w:rsidR="00EF35F3" w:rsidRPr="00624D99">
          <w:rPr>
            <w:rStyle w:val="Hyperlink"/>
            <w:rFonts w:cstheme="minorHAnsi"/>
            <w:noProof/>
          </w:rPr>
          <w:t>Table 21 Costs, QALYs and incremental net benefit at £20,000/QALY associated with strategies of interest in adult women. Mean estimates with 95% confidence intervals.</w:t>
        </w:r>
        <w:r w:rsidR="00EF35F3">
          <w:rPr>
            <w:noProof/>
            <w:webHidden/>
          </w:rPr>
          <w:tab/>
        </w:r>
        <w:r w:rsidR="00EF35F3">
          <w:rPr>
            <w:noProof/>
            <w:webHidden/>
          </w:rPr>
          <w:fldChar w:fldCharType="begin"/>
        </w:r>
        <w:r w:rsidR="00EF35F3">
          <w:rPr>
            <w:noProof/>
            <w:webHidden/>
          </w:rPr>
          <w:instrText xml:space="preserve"> PAGEREF _Toc99720732 \h </w:instrText>
        </w:r>
        <w:r w:rsidR="00EF35F3">
          <w:rPr>
            <w:noProof/>
            <w:webHidden/>
          </w:rPr>
        </w:r>
        <w:r w:rsidR="00EF35F3">
          <w:rPr>
            <w:noProof/>
            <w:webHidden/>
          </w:rPr>
          <w:fldChar w:fldCharType="separate"/>
        </w:r>
        <w:r w:rsidR="00EF35F3">
          <w:rPr>
            <w:noProof/>
            <w:webHidden/>
          </w:rPr>
          <w:t>118</w:t>
        </w:r>
        <w:r w:rsidR="00EF35F3">
          <w:rPr>
            <w:noProof/>
            <w:webHidden/>
          </w:rPr>
          <w:fldChar w:fldCharType="end"/>
        </w:r>
      </w:hyperlink>
    </w:p>
    <w:p w14:paraId="12E50455" w14:textId="4FB48C4D" w:rsidR="00EF35F3" w:rsidRDefault="00C34531">
      <w:pPr>
        <w:pStyle w:val="TableofFigures"/>
        <w:tabs>
          <w:tab w:val="right" w:leader="dot" w:pos="9016"/>
        </w:tabs>
        <w:rPr>
          <w:rFonts w:eastAsiaTheme="minorEastAsia"/>
          <w:noProof/>
          <w:lang w:eastAsia="en-GB"/>
        </w:rPr>
      </w:pPr>
      <w:hyperlink w:anchor="_Toc99720733" w:history="1">
        <w:r w:rsidR="00EF35F3" w:rsidRPr="00624D99">
          <w:rPr>
            <w:rStyle w:val="Hyperlink"/>
            <w:rFonts w:cstheme="minorHAnsi"/>
            <w:noProof/>
          </w:rPr>
          <w:t>Table 22 Costs, QALYs and incremental net benefit at £20,000/QALY associated with strategies of interest in children. Mean estimates with 95% confidence intervals.</w:t>
        </w:r>
        <w:r w:rsidR="00EF35F3">
          <w:rPr>
            <w:noProof/>
            <w:webHidden/>
          </w:rPr>
          <w:tab/>
        </w:r>
        <w:r w:rsidR="00EF35F3">
          <w:rPr>
            <w:noProof/>
            <w:webHidden/>
          </w:rPr>
          <w:fldChar w:fldCharType="begin"/>
        </w:r>
        <w:r w:rsidR="00EF35F3">
          <w:rPr>
            <w:noProof/>
            <w:webHidden/>
          </w:rPr>
          <w:instrText xml:space="preserve"> PAGEREF _Toc99720733 \h </w:instrText>
        </w:r>
        <w:r w:rsidR="00EF35F3">
          <w:rPr>
            <w:noProof/>
            <w:webHidden/>
          </w:rPr>
        </w:r>
        <w:r w:rsidR="00EF35F3">
          <w:rPr>
            <w:noProof/>
            <w:webHidden/>
          </w:rPr>
          <w:fldChar w:fldCharType="separate"/>
        </w:r>
        <w:r w:rsidR="00EF35F3">
          <w:rPr>
            <w:noProof/>
            <w:webHidden/>
          </w:rPr>
          <w:t>124</w:t>
        </w:r>
        <w:r w:rsidR="00EF35F3">
          <w:rPr>
            <w:noProof/>
            <w:webHidden/>
          </w:rPr>
          <w:fldChar w:fldCharType="end"/>
        </w:r>
      </w:hyperlink>
    </w:p>
    <w:p w14:paraId="76E3DE0F" w14:textId="34D53CA6" w:rsidR="00EF35F3" w:rsidRDefault="00C34531">
      <w:pPr>
        <w:pStyle w:val="TableofFigures"/>
        <w:tabs>
          <w:tab w:val="right" w:leader="dot" w:pos="9016"/>
        </w:tabs>
        <w:rPr>
          <w:rFonts w:eastAsiaTheme="minorEastAsia"/>
          <w:noProof/>
          <w:lang w:eastAsia="en-GB"/>
        </w:rPr>
      </w:pPr>
      <w:hyperlink w:anchor="_Toc99720734" w:history="1">
        <w:r w:rsidR="00EF35F3" w:rsidRPr="00624D99">
          <w:rPr>
            <w:rStyle w:val="Hyperlink"/>
            <w:noProof/>
          </w:rPr>
          <w:t>Table 23 Indicators that should prompt testing in men, women and children</w:t>
        </w:r>
        <w:r w:rsidR="00EF35F3">
          <w:rPr>
            <w:noProof/>
            <w:webHidden/>
          </w:rPr>
          <w:tab/>
        </w:r>
        <w:r w:rsidR="00EF35F3">
          <w:rPr>
            <w:noProof/>
            <w:webHidden/>
          </w:rPr>
          <w:fldChar w:fldCharType="begin"/>
        </w:r>
        <w:r w:rsidR="00EF35F3">
          <w:rPr>
            <w:noProof/>
            <w:webHidden/>
          </w:rPr>
          <w:instrText xml:space="preserve"> PAGEREF _Toc99720734 \h </w:instrText>
        </w:r>
        <w:r w:rsidR="00EF35F3">
          <w:rPr>
            <w:noProof/>
            <w:webHidden/>
          </w:rPr>
        </w:r>
        <w:r w:rsidR="00EF35F3">
          <w:rPr>
            <w:noProof/>
            <w:webHidden/>
          </w:rPr>
          <w:fldChar w:fldCharType="separate"/>
        </w:r>
        <w:r w:rsidR="00EF35F3">
          <w:rPr>
            <w:noProof/>
            <w:webHidden/>
          </w:rPr>
          <w:t>137</w:t>
        </w:r>
        <w:r w:rsidR="00EF35F3">
          <w:rPr>
            <w:noProof/>
            <w:webHidden/>
          </w:rPr>
          <w:fldChar w:fldCharType="end"/>
        </w:r>
      </w:hyperlink>
    </w:p>
    <w:p w14:paraId="1ECAD399" w14:textId="2C532FF3" w:rsidR="00EF35F3" w:rsidRDefault="00C34531">
      <w:pPr>
        <w:pStyle w:val="TableofFigures"/>
        <w:tabs>
          <w:tab w:val="right" w:leader="dot" w:pos="9016"/>
        </w:tabs>
        <w:rPr>
          <w:rFonts w:eastAsiaTheme="minorEastAsia"/>
          <w:noProof/>
          <w:lang w:eastAsia="en-GB"/>
        </w:rPr>
      </w:pPr>
      <w:hyperlink w:anchor="_Toc99720735" w:history="1">
        <w:r w:rsidR="00EF35F3" w:rsidRPr="00624D99">
          <w:rPr>
            <w:rStyle w:val="Hyperlink"/>
            <w:noProof/>
          </w:rPr>
          <w:t>Table 24 Summary table of study characteristics</w:t>
        </w:r>
        <w:r w:rsidR="00EF35F3">
          <w:rPr>
            <w:noProof/>
            <w:webHidden/>
          </w:rPr>
          <w:tab/>
        </w:r>
        <w:r w:rsidR="00EF35F3">
          <w:rPr>
            <w:noProof/>
            <w:webHidden/>
          </w:rPr>
          <w:fldChar w:fldCharType="begin"/>
        </w:r>
        <w:r w:rsidR="00EF35F3">
          <w:rPr>
            <w:noProof/>
            <w:webHidden/>
          </w:rPr>
          <w:instrText xml:space="preserve"> PAGEREF _Toc99720735 \h </w:instrText>
        </w:r>
        <w:r w:rsidR="00EF35F3">
          <w:rPr>
            <w:noProof/>
            <w:webHidden/>
          </w:rPr>
        </w:r>
        <w:r w:rsidR="00EF35F3">
          <w:rPr>
            <w:noProof/>
            <w:webHidden/>
          </w:rPr>
          <w:fldChar w:fldCharType="separate"/>
        </w:r>
        <w:r w:rsidR="00EF35F3">
          <w:rPr>
            <w:noProof/>
            <w:webHidden/>
          </w:rPr>
          <w:t>188</w:t>
        </w:r>
        <w:r w:rsidR="00EF35F3">
          <w:rPr>
            <w:noProof/>
            <w:webHidden/>
          </w:rPr>
          <w:fldChar w:fldCharType="end"/>
        </w:r>
      </w:hyperlink>
    </w:p>
    <w:p w14:paraId="662448A8" w14:textId="08450922" w:rsidR="00EF35F3" w:rsidRDefault="00C34531">
      <w:pPr>
        <w:pStyle w:val="TableofFigures"/>
        <w:tabs>
          <w:tab w:val="right" w:leader="dot" w:pos="9016"/>
        </w:tabs>
        <w:rPr>
          <w:rFonts w:eastAsiaTheme="minorEastAsia"/>
          <w:noProof/>
          <w:lang w:eastAsia="en-GB"/>
        </w:rPr>
      </w:pPr>
      <w:hyperlink w:anchor="_Toc99720736" w:history="1">
        <w:r w:rsidR="00EF35F3" w:rsidRPr="00624D99">
          <w:rPr>
            <w:rStyle w:val="Hyperlink"/>
            <w:noProof/>
          </w:rPr>
          <w:t>Table 25  Study characteristics: Abdominal pain</w:t>
        </w:r>
        <w:r w:rsidR="00EF35F3">
          <w:rPr>
            <w:noProof/>
            <w:webHidden/>
          </w:rPr>
          <w:tab/>
        </w:r>
        <w:r w:rsidR="00EF35F3">
          <w:rPr>
            <w:noProof/>
            <w:webHidden/>
          </w:rPr>
          <w:fldChar w:fldCharType="begin"/>
        </w:r>
        <w:r w:rsidR="00EF35F3">
          <w:rPr>
            <w:noProof/>
            <w:webHidden/>
          </w:rPr>
          <w:instrText xml:space="preserve"> PAGEREF _Toc99720736 \h </w:instrText>
        </w:r>
        <w:r w:rsidR="00EF35F3">
          <w:rPr>
            <w:noProof/>
            <w:webHidden/>
          </w:rPr>
        </w:r>
        <w:r w:rsidR="00EF35F3">
          <w:rPr>
            <w:noProof/>
            <w:webHidden/>
          </w:rPr>
          <w:fldChar w:fldCharType="separate"/>
        </w:r>
        <w:r w:rsidR="00EF35F3">
          <w:rPr>
            <w:noProof/>
            <w:webHidden/>
          </w:rPr>
          <w:t>191</w:t>
        </w:r>
        <w:r w:rsidR="00EF35F3">
          <w:rPr>
            <w:noProof/>
            <w:webHidden/>
          </w:rPr>
          <w:fldChar w:fldCharType="end"/>
        </w:r>
      </w:hyperlink>
    </w:p>
    <w:p w14:paraId="19043817" w14:textId="5E588FDF" w:rsidR="00EF35F3" w:rsidRDefault="00C34531">
      <w:pPr>
        <w:pStyle w:val="TableofFigures"/>
        <w:tabs>
          <w:tab w:val="right" w:leader="dot" w:pos="9016"/>
        </w:tabs>
        <w:rPr>
          <w:rFonts w:eastAsiaTheme="minorEastAsia"/>
          <w:noProof/>
          <w:lang w:eastAsia="en-GB"/>
        </w:rPr>
      </w:pPr>
      <w:hyperlink w:anchor="_Toc99720737" w:history="1">
        <w:r w:rsidR="00EF35F3" w:rsidRPr="00624D99">
          <w:rPr>
            <w:rStyle w:val="Hyperlink"/>
            <w:noProof/>
          </w:rPr>
          <w:t>Table 26  Study characteristics: Acid reflux symptoms</w:t>
        </w:r>
        <w:r w:rsidR="00EF35F3">
          <w:rPr>
            <w:noProof/>
            <w:webHidden/>
          </w:rPr>
          <w:tab/>
        </w:r>
        <w:r w:rsidR="00EF35F3">
          <w:rPr>
            <w:noProof/>
            <w:webHidden/>
          </w:rPr>
          <w:fldChar w:fldCharType="begin"/>
        </w:r>
        <w:r w:rsidR="00EF35F3">
          <w:rPr>
            <w:noProof/>
            <w:webHidden/>
          </w:rPr>
          <w:instrText xml:space="preserve"> PAGEREF _Toc99720737 \h </w:instrText>
        </w:r>
        <w:r w:rsidR="00EF35F3">
          <w:rPr>
            <w:noProof/>
            <w:webHidden/>
          </w:rPr>
        </w:r>
        <w:r w:rsidR="00EF35F3">
          <w:rPr>
            <w:noProof/>
            <w:webHidden/>
          </w:rPr>
          <w:fldChar w:fldCharType="separate"/>
        </w:r>
        <w:r w:rsidR="00EF35F3">
          <w:rPr>
            <w:noProof/>
            <w:webHidden/>
          </w:rPr>
          <w:t>192</w:t>
        </w:r>
        <w:r w:rsidR="00EF35F3">
          <w:rPr>
            <w:noProof/>
            <w:webHidden/>
          </w:rPr>
          <w:fldChar w:fldCharType="end"/>
        </w:r>
      </w:hyperlink>
    </w:p>
    <w:p w14:paraId="51E882C7" w14:textId="1363996F" w:rsidR="00EF35F3" w:rsidRDefault="00C34531">
      <w:pPr>
        <w:pStyle w:val="TableofFigures"/>
        <w:tabs>
          <w:tab w:val="right" w:leader="dot" w:pos="9016"/>
        </w:tabs>
        <w:rPr>
          <w:rFonts w:eastAsiaTheme="minorEastAsia"/>
          <w:noProof/>
          <w:lang w:eastAsia="en-GB"/>
        </w:rPr>
      </w:pPr>
      <w:hyperlink w:anchor="_Toc99720738" w:history="1">
        <w:r w:rsidR="00EF35F3" w:rsidRPr="00624D99">
          <w:rPr>
            <w:rStyle w:val="Hyperlink"/>
            <w:noProof/>
          </w:rPr>
          <w:t>Table 27  Study characteristics: Anaemia</w:t>
        </w:r>
        <w:r w:rsidR="00EF35F3">
          <w:rPr>
            <w:noProof/>
            <w:webHidden/>
          </w:rPr>
          <w:tab/>
        </w:r>
        <w:r w:rsidR="00EF35F3">
          <w:rPr>
            <w:noProof/>
            <w:webHidden/>
          </w:rPr>
          <w:fldChar w:fldCharType="begin"/>
        </w:r>
        <w:r w:rsidR="00EF35F3">
          <w:rPr>
            <w:noProof/>
            <w:webHidden/>
          </w:rPr>
          <w:instrText xml:space="preserve"> PAGEREF _Toc99720738 \h </w:instrText>
        </w:r>
        <w:r w:rsidR="00EF35F3">
          <w:rPr>
            <w:noProof/>
            <w:webHidden/>
          </w:rPr>
        </w:r>
        <w:r w:rsidR="00EF35F3">
          <w:rPr>
            <w:noProof/>
            <w:webHidden/>
          </w:rPr>
          <w:fldChar w:fldCharType="separate"/>
        </w:r>
        <w:r w:rsidR="00EF35F3">
          <w:rPr>
            <w:noProof/>
            <w:webHidden/>
          </w:rPr>
          <w:t>193</w:t>
        </w:r>
        <w:r w:rsidR="00EF35F3">
          <w:rPr>
            <w:noProof/>
            <w:webHidden/>
          </w:rPr>
          <w:fldChar w:fldCharType="end"/>
        </w:r>
      </w:hyperlink>
    </w:p>
    <w:p w14:paraId="5FEDDD83" w14:textId="654176C7" w:rsidR="00EF35F3" w:rsidRDefault="00C34531">
      <w:pPr>
        <w:pStyle w:val="TableofFigures"/>
        <w:tabs>
          <w:tab w:val="right" w:leader="dot" w:pos="9016"/>
        </w:tabs>
        <w:rPr>
          <w:rFonts w:eastAsiaTheme="minorEastAsia"/>
          <w:noProof/>
          <w:lang w:eastAsia="en-GB"/>
        </w:rPr>
      </w:pPr>
      <w:hyperlink w:anchor="_Toc99720739" w:history="1">
        <w:r w:rsidR="00EF35F3" w:rsidRPr="00624D99">
          <w:rPr>
            <w:rStyle w:val="Hyperlink"/>
            <w:noProof/>
          </w:rPr>
          <w:t>Table 28  Study characteristics: Arthritis</w:t>
        </w:r>
        <w:r w:rsidR="00EF35F3">
          <w:rPr>
            <w:noProof/>
            <w:webHidden/>
          </w:rPr>
          <w:tab/>
        </w:r>
        <w:r w:rsidR="00EF35F3">
          <w:rPr>
            <w:noProof/>
            <w:webHidden/>
          </w:rPr>
          <w:fldChar w:fldCharType="begin"/>
        </w:r>
        <w:r w:rsidR="00EF35F3">
          <w:rPr>
            <w:noProof/>
            <w:webHidden/>
          </w:rPr>
          <w:instrText xml:space="preserve"> PAGEREF _Toc99720739 \h </w:instrText>
        </w:r>
        <w:r w:rsidR="00EF35F3">
          <w:rPr>
            <w:noProof/>
            <w:webHidden/>
          </w:rPr>
        </w:r>
        <w:r w:rsidR="00EF35F3">
          <w:rPr>
            <w:noProof/>
            <w:webHidden/>
          </w:rPr>
          <w:fldChar w:fldCharType="separate"/>
        </w:r>
        <w:r w:rsidR="00EF35F3">
          <w:rPr>
            <w:noProof/>
            <w:webHidden/>
          </w:rPr>
          <w:t>194</w:t>
        </w:r>
        <w:r w:rsidR="00EF35F3">
          <w:rPr>
            <w:noProof/>
            <w:webHidden/>
          </w:rPr>
          <w:fldChar w:fldCharType="end"/>
        </w:r>
      </w:hyperlink>
    </w:p>
    <w:p w14:paraId="4357E6E5" w14:textId="42A1EC13" w:rsidR="00EF35F3" w:rsidRDefault="00C34531">
      <w:pPr>
        <w:pStyle w:val="TableofFigures"/>
        <w:tabs>
          <w:tab w:val="right" w:leader="dot" w:pos="9016"/>
        </w:tabs>
        <w:rPr>
          <w:rFonts w:eastAsiaTheme="minorEastAsia"/>
          <w:noProof/>
          <w:lang w:eastAsia="en-GB"/>
        </w:rPr>
      </w:pPr>
      <w:hyperlink w:anchor="_Toc99720740" w:history="1">
        <w:r w:rsidR="00EF35F3" w:rsidRPr="00624D99">
          <w:rPr>
            <w:rStyle w:val="Hyperlink"/>
            <w:noProof/>
          </w:rPr>
          <w:t>Table 29  Study characteristics: Bloating or abdominal distension</w:t>
        </w:r>
        <w:r w:rsidR="00EF35F3">
          <w:rPr>
            <w:noProof/>
            <w:webHidden/>
          </w:rPr>
          <w:tab/>
        </w:r>
        <w:r w:rsidR="00EF35F3">
          <w:rPr>
            <w:noProof/>
            <w:webHidden/>
          </w:rPr>
          <w:fldChar w:fldCharType="begin"/>
        </w:r>
        <w:r w:rsidR="00EF35F3">
          <w:rPr>
            <w:noProof/>
            <w:webHidden/>
          </w:rPr>
          <w:instrText xml:space="preserve"> PAGEREF _Toc99720740 \h </w:instrText>
        </w:r>
        <w:r w:rsidR="00EF35F3">
          <w:rPr>
            <w:noProof/>
            <w:webHidden/>
          </w:rPr>
        </w:r>
        <w:r w:rsidR="00EF35F3">
          <w:rPr>
            <w:noProof/>
            <w:webHidden/>
          </w:rPr>
          <w:fldChar w:fldCharType="separate"/>
        </w:r>
        <w:r w:rsidR="00EF35F3">
          <w:rPr>
            <w:noProof/>
            <w:webHidden/>
          </w:rPr>
          <w:t>196</w:t>
        </w:r>
        <w:r w:rsidR="00EF35F3">
          <w:rPr>
            <w:noProof/>
            <w:webHidden/>
          </w:rPr>
          <w:fldChar w:fldCharType="end"/>
        </w:r>
      </w:hyperlink>
    </w:p>
    <w:p w14:paraId="1E41C625" w14:textId="3C7B729B" w:rsidR="00EF35F3" w:rsidRDefault="00C34531">
      <w:pPr>
        <w:pStyle w:val="TableofFigures"/>
        <w:tabs>
          <w:tab w:val="right" w:leader="dot" w:pos="9016"/>
        </w:tabs>
        <w:rPr>
          <w:rFonts w:eastAsiaTheme="minorEastAsia"/>
          <w:noProof/>
          <w:lang w:eastAsia="en-GB"/>
        </w:rPr>
      </w:pPr>
      <w:hyperlink w:anchor="_Toc99720741" w:history="1">
        <w:r w:rsidR="00EF35F3" w:rsidRPr="00624D99">
          <w:rPr>
            <w:rStyle w:val="Hyperlink"/>
            <w:noProof/>
          </w:rPr>
          <w:t>Table 30  Study characteristics: Constipation</w:t>
        </w:r>
        <w:r w:rsidR="00EF35F3">
          <w:rPr>
            <w:noProof/>
            <w:webHidden/>
          </w:rPr>
          <w:tab/>
        </w:r>
        <w:r w:rsidR="00EF35F3">
          <w:rPr>
            <w:noProof/>
            <w:webHidden/>
          </w:rPr>
          <w:fldChar w:fldCharType="begin"/>
        </w:r>
        <w:r w:rsidR="00EF35F3">
          <w:rPr>
            <w:noProof/>
            <w:webHidden/>
          </w:rPr>
          <w:instrText xml:space="preserve"> PAGEREF _Toc99720741 \h </w:instrText>
        </w:r>
        <w:r w:rsidR="00EF35F3">
          <w:rPr>
            <w:noProof/>
            <w:webHidden/>
          </w:rPr>
        </w:r>
        <w:r w:rsidR="00EF35F3">
          <w:rPr>
            <w:noProof/>
            <w:webHidden/>
          </w:rPr>
          <w:fldChar w:fldCharType="separate"/>
        </w:r>
        <w:r w:rsidR="00EF35F3">
          <w:rPr>
            <w:noProof/>
            <w:webHidden/>
          </w:rPr>
          <w:t>196</w:t>
        </w:r>
        <w:r w:rsidR="00EF35F3">
          <w:rPr>
            <w:noProof/>
            <w:webHidden/>
          </w:rPr>
          <w:fldChar w:fldCharType="end"/>
        </w:r>
      </w:hyperlink>
    </w:p>
    <w:p w14:paraId="5C5B42F2" w14:textId="4DBB630C" w:rsidR="00EF35F3" w:rsidRDefault="00C34531">
      <w:pPr>
        <w:pStyle w:val="TableofFigures"/>
        <w:tabs>
          <w:tab w:val="right" w:leader="dot" w:pos="9016"/>
        </w:tabs>
        <w:rPr>
          <w:rFonts w:eastAsiaTheme="minorEastAsia"/>
          <w:noProof/>
          <w:lang w:eastAsia="en-GB"/>
        </w:rPr>
      </w:pPr>
      <w:hyperlink w:anchor="_Toc99720742" w:history="1">
        <w:r w:rsidR="00EF35F3" w:rsidRPr="00624D99">
          <w:rPr>
            <w:rStyle w:val="Hyperlink"/>
            <w:noProof/>
          </w:rPr>
          <w:t>Table 31  Study characteristics: Dermatitis herpetiformis</w:t>
        </w:r>
        <w:r w:rsidR="00EF35F3">
          <w:rPr>
            <w:noProof/>
            <w:webHidden/>
          </w:rPr>
          <w:tab/>
        </w:r>
        <w:r w:rsidR="00EF35F3">
          <w:rPr>
            <w:noProof/>
            <w:webHidden/>
          </w:rPr>
          <w:fldChar w:fldCharType="begin"/>
        </w:r>
        <w:r w:rsidR="00EF35F3">
          <w:rPr>
            <w:noProof/>
            <w:webHidden/>
          </w:rPr>
          <w:instrText xml:space="preserve"> PAGEREF _Toc99720742 \h </w:instrText>
        </w:r>
        <w:r w:rsidR="00EF35F3">
          <w:rPr>
            <w:noProof/>
            <w:webHidden/>
          </w:rPr>
        </w:r>
        <w:r w:rsidR="00EF35F3">
          <w:rPr>
            <w:noProof/>
            <w:webHidden/>
          </w:rPr>
          <w:fldChar w:fldCharType="separate"/>
        </w:r>
        <w:r w:rsidR="00EF35F3">
          <w:rPr>
            <w:noProof/>
            <w:webHidden/>
          </w:rPr>
          <w:t>197</w:t>
        </w:r>
        <w:r w:rsidR="00EF35F3">
          <w:rPr>
            <w:noProof/>
            <w:webHidden/>
          </w:rPr>
          <w:fldChar w:fldCharType="end"/>
        </w:r>
      </w:hyperlink>
    </w:p>
    <w:p w14:paraId="34241F06" w14:textId="38ECE20A" w:rsidR="00EF35F3" w:rsidRDefault="00C34531">
      <w:pPr>
        <w:pStyle w:val="TableofFigures"/>
        <w:tabs>
          <w:tab w:val="right" w:leader="dot" w:pos="9016"/>
        </w:tabs>
        <w:rPr>
          <w:rFonts w:eastAsiaTheme="minorEastAsia"/>
          <w:noProof/>
          <w:lang w:eastAsia="en-GB"/>
        </w:rPr>
      </w:pPr>
      <w:hyperlink w:anchor="_Toc99720743" w:history="1">
        <w:r w:rsidR="00EF35F3" w:rsidRPr="00624D99">
          <w:rPr>
            <w:rStyle w:val="Hyperlink"/>
            <w:noProof/>
          </w:rPr>
          <w:t>Table 32  Study characteristics: Diarrhoea</w:t>
        </w:r>
        <w:r w:rsidR="00EF35F3">
          <w:rPr>
            <w:noProof/>
            <w:webHidden/>
          </w:rPr>
          <w:tab/>
        </w:r>
        <w:r w:rsidR="00EF35F3">
          <w:rPr>
            <w:noProof/>
            <w:webHidden/>
          </w:rPr>
          <w:fldChar w:fldCharType="begin"/>
        </w:r>
        <w:r w:rsidR="00EF35F3">
          <w:rPr>
            <w:noProof/>
            <w:webHidden/>
          </w:rPr>
          <w:instrText xml:space="preserve"> PAGEREF _Toc99720743 \h </w:instrText>
        </w:r>
        <w:r w:rsidR="00EF35F3">
          <w:rPr>
            <w:noProof/>
            <w:webHidden/>
          </w:rPr>
        </w:r>
        <w:r w:rsidR="00EF35F3">
          <w:rPr>
            <w:noProof/>
            <w:webHidden/>
          </w:rPr>
          <w:fldChar w:fldCharType="separate"/>
        </w:r>
        <w:r w:rsidR="00EF35F3">
          <w:rPr>
            <w:noProof/>
            <w:webHidden/>
          </w:rPr>
          <w:t>198</w:t>
        </w:r>
        <w:r w:rsidR="00EF35F3">
          <w:rPr>
            <w:noProof/>
            <w:webHidden/>
          </w:rPr>
          <w:fldChar w:fldCharType="end"/>
        </w:r>
      </w:hyperlink>
    </w:p>
    <w:p w14:paraId="68C6EC3D" w14:textId="74F44F28" w:rsidR="00EF35F3" w:rsidRDefault="00C34531">
      <w:pPr>
        <w:pStyle w:val="TableofFigures"/>
        <w:tabs>
          <w:tab w:val="right" w:leader="dot" w:pos="9016"/>
        </w:tabs>
        <w:rPr>
          <w:rFonts w:eastAsiaTheme="minorEastAsia"/>
          <w:noProof/>
          <w:lang w:eastAsia="en-GB"/>
        </w:rPr>
      </w:pPr>
      <w:hyperlink w:anchor="_Toc99720744" w:history="1">
        <w:r w:rsidR="00EF35F3" w:rsidRPr="00624D99">
          <w:rPr>
            <w:rStyle w:val="Hyperlink"/>
            <w:noProof/>
          </w:rPr>
          <w:t>Table 33  Study characteristics: Epilepsy</w:t>
        </w:r>
        <w:r w:rsidR="00EF35F3">
          <w:rPr>
            <w:noProof/>
            <w:webHidden/>
          </w:rPr>
          <w:tab/>
        </w:r>
        <w:r w:rsidR="00EF35F3">
          <w:rPr>
            <w:noProof/>
            <w:webHidden/>
          </w:rPr>
          <w:fldChar w:fldCharType="begin"/>
        </w:r>
        <w:r w:rsidR="00EF35F3">
          <w:rPr>
            <w:noProof/>
            <w:webHidden/>
          </w:rPr>
          <w:instrText xml:space="preserve"> PAGEREF _Toc99720744 \h </w:instrText>
        </w:r>
        <w:r w:rsidR="00EF35F3">
          <w:rPr>
            <w:noProof/>
            <w:webHidden/>
          </w:rPr>
        </w:r>
        <w:r w:rsidR="00EF35F3">
          <w:rPr>
            <w:noProof/>
            <w:webHidden/>
          </w:rPr>
          <w:fldChar w:fldCharType="separate"/>
        </w:r>
        <w:r w:rsidR="00EF35F3">
          <w:rPr>
            <w:noProof/>
            <w:webHidden/>
          </w:rPr>
          <w:t>199</w:t>
        </w:r>
        <w:r w:rsidR="00EF35F3">
          <w:rPr>
            <w:noProof/>
            <w:webHidden/>
          </w:rPr>
          <w:fldChar w:fldCharType="end"/>
        </w:r>
      </w:hyperlink>
    </w:p>
    <w:p w14:paraId="3261CFCE" w14:textId="79D4B454" w:rsidR="00EF35F3" w:rsidRDefault="00C34531">
      <w:pPr>
        <w:pStyle w:val="TableofFigures"/>
        <w:tabs>
          <w:tab w:val="right" w:leader="dot" w:pos="9016"/>
        </w:tabs>
        <w:rPr>
          <w:rFonts w:eastAsiaTheme="minorEastAsia"/>
          <w:noProof/>
          <w:lang w:eastAsia="en-GB"/>
        </w:rPr>
      </w:pPr>
      <w:hyperlink w:anchor="_Toc99720745" w:history="1">
        <w:r w:rsidR="00EF35F3" w:rsidRPr="00624D99">
          <w:rPr>
            <w:rStyle w:val="Hyperlink"/>
            <w:noProof/>
          </w:rPr>
          <w:t>Table 34  Study characteristics: Family history of CD</w:t>
        </w:r>
        <w:r w:rsidR="00EF35F3">
          <w:rPr>
            <w:noProof/>
            <w:webHidden/>
          </w:rPr>
          <w:tab/>
        </w:r>
        <w:r w:rsidR="00EF35F3">
          <w:rPr>
            <w:noProof/>
            <w:webHidden/>
          </w:rPr>
          <w:fldChar w:fldCharType="begin"/>
        </w:r>
        <w:r w:rsidR="00EF35F3">
          <w:rPr>
            <w:noProof/>
            <w:webHidden/>
          </w:rPr>
          <w:instrText xml:space="preserve"> PAGEREF _Toc99720745 \h </w:instrText>
        </w:r>
        <w:r w:rsidR="00EF35F3">
          <w:rPr>
            <w:noProof/>
            <w:webHidden/>
          </w:rPr>
        </w:r>
        <w:r w:rsidR="00EF35F3">
          <w:rPr>
            <w:noProof/>
            <w:webHidden/>
          </w:rPr>
          <w:fldChar w:fldCharType="separate"/>
        </w:r>
        <w:r w:rsidR="00EF35F3">
          <w:rPr>
            <w:noProof/>
            <w:webHidden/>
          </w:rPr>
          <w:t>200</w:t>
        </w:r>
        <w:r w:rsidR="00EF35F3">
          <w:rPr>
            <w:noProof/>
            <w:webHidden/>
          </w:rPr>
          <w:fldChar w:fldCharType="end"/>
        </w:r>
      </w:hyperlink>
    </w:p>
    <w:p w14:paraId="6D6DDE09" w14:textId="00214F59" w:rsidR="00EF35F3" w:rsidRDefault="00C34531">
      <w:pPr>
        <w:pStyle w:val="TableofFigures"/>
        <w:tabs>
          <w:tab w:val="right" w:leader="dot" w:pos="9016"/>
        </w:tabs>
        <w:rPr>
          <w:rFonts w:eastAsiaTheme="minorEastAsia"/>
          <w:noProof/>
          <w:lang w:eastAsia="en-GB"/>
        </w:rPr>
      </w:pPr>
      <w:hyperlink w:anchor="_Toc99720746" w:history="1">
        <w:r w:rsidR="00EF35F3" w:rsidRPr="00624D99">
          <w:rPr>
            <w:rStyle w:val="Hyperlink"/>
            <w:noProof/>
          </w:rPr>
          <w:t>Table 35  Study characteristics: Fracture</w:t>
        </w:r>
        <w:r w:rsidR="00EF35F3">
          <w:rPr>
            <w:noProof/>
            <w:webHidden/>
          </w:rPr>
          <w:tab/>
        </w:r>
        <w:r w:rsidR="00EF35F3">
          <w:rPr>
            <w:noProof/>
            <w:webHidden/>
          </w:rPr>
          <w:fldChar w:fldCharType="begin"/>
        </w:r>
        <w:r w:rsidR="00EF35F3">
          <w:rPr>
            <w:noProof/>
            <w:webHidden/>
          </w:rPr>
          <w:instrText xml:space="preserve"> PAGEREF _Toc99720746 \h </w:instrText>
        </w:r>
        <w:r w:rsidR="00EF35F3">
          <w:rPr>
            <w:noProof/>
            <w:webHidden/>
          </w:rPr>
        </w:r>
        <w:r w:rsidR="00EF35F3">
          <w:rPr>
            <w:noProof/>
            <w:webHidden/>
          </w:rPr>
          <w:fldChar w:fldCharType="separate"/>
        </w:r>
        <w:r w:rsidR="00EF35F3">
          <w:rPr>
            <w:noProof/>
            <w:webHidden/>
          </w:rPr>
          <w:t>201</w:t>
        </w:r>
        <w:r w:rsidR="00EF35F3">
          <w:rPr>
            <w:noProof/>
            <w:webHidden/>
          </w:rPr>
          <w:fldChar w:fldCharType="end"/>
        </w:r>
      </w:hyperlink>
    </w:p>
    <w:p w14:paraId="2AEBF50F" w14:textId="3ED45900" w:rsidR="00EF35F3" w:rsidRDefault="00C34531">
      <w:pPr>
        <w:pStyle w:val="TableofFigures"/>
        <w:tabs>
          <w:tab w:val="right" w:leader="dot" w:pos="9016"/>
        </w:tabs>
        <w:rPr>
          <w:rFonts w:eastAsiaTheme="minorEastAsia"/>
          <w:noProof/>
          <w:lang w:eastAsia="en-GB"/>
        </w:rPr>
      </w:pPr>
      <w:hyperlink w:anchor="_Toc99720747" w:history="1">
        <w:r w:rsidR="00EF35F3" w:rsidRPr="00624D99">
          <w:rPr>
            <w:rStyle w:val="Hyperlink"/>
            <w:noProof/>
          </w:rPr>
          <w:t>Table 36  Study characteristics: HLA</w:t>
        </w:r>
        <w:r w:rsidR="00EF35F3">
          <w:rPr>
            <w:noProof/>
            <w:webHidden/>
          </w:rPr>
          <w:tab/>
        </w:r>
        <w:r w:rsidR="00EF35F3">
          <w:rPr>
            <w:noProof/>
            <w:webHidden/>
          </w:rPr>
          <w:fldChar w:fldCharType="begin"/>
        </w:r>
        <w:r w:rsidR="00EF35F3">
          <w:rPr>
            <w:noProof/>
            <w:webHidden/>
          </w:rPr>
          <w:instrText xml:space="preserve"> PAGEREF _Toc99720747 \h </w:instrText>
        </w:r>
        <w:r w:rsidR="00EF35F3">
          <w:rPr>
            <w:noProof/>
            <w:webHidden/>
          </w:rPr>
        </w:r>
        <w:r w:rsidR="00EF35F3">
          <w:rPr>
            <w:noProof/>
            <w:webHidden/>
          </w:rPr>
          <w:fldChar w:fldCharType="separate"/>
        </w:r>
        <w:r w:rsidR="00EF35F3">
          <w:rPr>
            <w:noProof/>
            <w:webHidden/>
          </w:rPr>
          <w:t>201</w:t>
        </w:r>
        <w:r w:rsidR="00EF35F3">
          <w:rPr>
            <w:noProof/>
            <w:webHidden/>
          </w:rPr>
          <w:fldChar w:fldCharType="end"/>
        </w:r>
      </w:hyperlink>
    </w:p>
    <w:p w14:paraId="3925089B" w14:textId="61E58751" w:rsidR="00EF35F3" w:rsidRDefault="00C34531">
      <w:pPr>
        <w:pStyle w:val="TableofFigures"/>
        <w:tabs>
          <w:tab w:val="right" w:leader="dot" w:pos="9016"/>
        </w:tabs>
        <w:rPr>
          <w:rFonts w:eastAsiaTheme="minorEastAsia"/>
          <w:noProof/>
          <w:lang w:eastAsia="en-GB"/>
        </w:rPr>
      </w:pPr>
      <w:hyperlink w:anchor="_Toc99720748" w:history="1">
        <w:r w:rsidR="00EF35F3" w:rsidRPr="00624D99">
          <w:rPr>
            <w:rStyle w:val="Hyperlink"/>
            <w:noProof/>
          </w:rPr>
          <w:t>Table 37  Study characteristics: Inflammatory bowel disease</w:t>
        </w:r>
        <w:r w:rsidR="00EF35F3">
          <w:rPr>
            <w:noProof/>
            <w:webHidden/>
          </w:rPr>
          <w:tab/>
        </w:r>
        <w:r w:rsidR="00EF35F3">
          <w:rPr>
            <w:noProof/>
            <w:webHidden/>
          </w:rPr>
          <w:fldChar w:fldCharType="begin"/>
        </w:r>
        <w:r w:rsidR="00EF35F3">
          <w:rPr>
            <w:noProof/>
            <w:webHidden/>
          </w:rPr>
          <w:instrText xml:space="preserve"> PAGEREF _Toc99720748 \h </w:instrText>
        </w:r>
        <w:r w:rsidR="00EF35F3">
          <w:rPr>
            <w:noProof/>
            <w:webHidden/>
          </w:rPr>
        </w:r>
        <w:r w:rsidR="00EF35F3">
          <w:rPr>
            <w:noProof/>
            <w:webHidden/>
          </w:rPr>
          <w:fldChar w:fldCharType="separate"/>
        </w:r>
        <w:r w:rsidR="00EF35F3">
          <w:rPr>
            <w:noProof/>
            <w:webHidden/>
          </w:rPr>
          <w:t>203</w:t>
        </w:r>
        <w:r w:rsidR="00EF35F3">
          <w:rPr>
            <w:noProof/>
            <w:webHidden/>
          </w:rPr>
          <w:fldChar w:fldCharType="end"/>
        </w:r>
      </w:hyperlink>
    </w:p>
    <w:p w14:paraId="5CC7F913" w14:textId="47B32679" w:rsidR="00EF35F3" w:rsidRDefault="00C34531">
      <w:pPr>
        <w:pStyle w:val="TableofFigures"/>
        <w:tabs>
          <w:tab w:val="right" w:leader="dot" w:pos="9016"/>
        </w:tabs>
        <w:rPr>
          <w:rFonts w:eastAsiaTheme="minorEastAsia"/>
          <w:noProof/>
          <w:lang w:eastAsia="en-GB"/>
        </w:rPr>
      </w:pPr>
      <w:hyperlink w:anchor="_Toc99720749" w:history="1">
        <w:r w:rsidR="00EF35F3" w:rsidRPr="00624D99">
          <w:rPr>
            <w:rStyle w:val="Hyperlink"/>
            <w:noProof/>
          </w:rPr>
          <w:t>Table 38  Study characteristics: irritable bowel syndrome</w:t>
        </w:r>
        <w:r w:rsidR="00EF35F3">
          <w:rPr>
            <w:noProof/>
            <w:webHidden/>
          </w:rPr>
          <w:tab/>
        </w:r>
        <w:r w:rsidR="00EF35F3">
          <w:rPr>
            <w:noProof/>
            <w:webHidden/>
          </w:rPr>
          <w:fldChar w:fldCharType="begin"/>
        </w:r>
        <w:r w:rsidR="00EF35F3">
          <w:rPr>
            <w:noProof/>
            <w:webHidden/>
          </w:rPr>
          <w:instrText xml:space="preserve"> PAGEREF _Toc99720749 \h </w:instrText>
        </w:r>
        <w:r w:rsidR="00EF35F3">
          <w:rPr>
            <w:noProof/>
            <w:webHidden/>
          </w:rPr>
        </w:r>
        <w:r w:rsidR="00EF35F3">
          <w:rPr>
            <w:noProof/>
            <w:webHidden/>
          </w:rPr>
          <w:fldChar w:fldCharType="separate"/>
        </w:r>
        <w:r w:rsidR="00EF35F3">
          <w:rPr>
            <w:noProof/>
            <w:webHidden/>
          </w:rPr>
          <w:t>203</w:t>
        </w:r>
        <w:r w:rsidR="00EF35F3">
          <w:rPr>
            <w:noProof/>
            <w:webHidden/>
          </w:rPr>
          <w:fldChar w:fldCharType="end"/>
        </w:r>
      </w:hyperlink>
    </w:p>
    <w:p w14:paraId="7EAB34C6" w14:textId="6DA0FE57" w:rsidR="00EF35F3" w:rsidRDefault="00C34531">
      <w:pPr>
        <w:pStyle w:val="TableofFigures"/>
        <w:tabs>
          <w:tab w:val="right" w:leader="dot" w:pos="9016"/>
        </w:tabs>
        <w:rPr>
          <w:rFonts w:eastAsiaTheme="minorEastAsia"/>
          <w:noProof/>
          <w:lang w:eastAsia="en-GB"/>
        </w:rPr>
      </w:pPr>
      <w:hyperlink w:anchor="_Toc99720750" w:history="1">
        <w:r w:rsidR="00EF35F3" w:rsidRPr="00624D99">
          <w:rPr>
            <w:rStyle w:val="Hyperlink"/>
            <w:noProof/>
          </w:rPr>
          <w:t>Table 39  Study characteristics: Chronic liver disease</w:t>
        </w:r>
        <w:r w:rsidR="00EF35F3">
          <w:rPr>
            <w:noProof/>
            <w:webHidden/>
          </w:rPr>
          <w:tab/>
        </w:r>
        <w:r w:rsidR="00EF35F3">
          <w:rPr>
            <w:noProof/>
            <w:webHidden/>
          </w:rPr>
          <w:fldChar w:fldCharType="begin"/>
        </w:r>
        <w:r w:rsidR="00EF35F3">
          <w:rPr>
            <w:noProof/>
            <w:webHidden/>
          </w:rPr>
          <w:instrText xml:space="preserve"> PAGEREF _Toc99720750 \h </w:instrText>
        </w:r>
        <w:r w:rsidR="00EF35F3">
          <w:rPr>
            <w:noProof/>
            <w:webHidden/>
          </w:rPr>
        </w:r>
        <w:r w:rsidR="00EF35F3">
          <w:rPr>
            <w:noProof/>
            <w:webHidden/>
          </w:rPr>
          <w:fldChar w:fldCharType="separate"/>
        </w:r>
        <w:r w:rsidR="00EF35F3">
          <w:rPr>
            <w:noProof/>
            <w:webHidden/>
          </w:rPr>
          <w:t>205</w:t>
        </w:r>
        <w:r w:rsidR="00EF35F3">
          <w:rPr>
            <w:noProof/>
            <w:webHidden/>
          </w:rPr>
          <w:fldChar w:fldCharType="end"/>
        </w:r>
      </w:hyperlink>
    </w:p>
    <w:p w14:paraId="09149F32" w14:textId="652EE2C8" w:rsidR="00EF35F3" w:rsidRDefault="00C34531">
      <w:pPr>
        <w:pStyle w:val="TableofFigures"/>
        <w:tabs>
          <w:tab w:val="right" w:leader="dot" w:pos="9016"/>
        </w:tabs>
        <w:rPr>
          <w:rFonts w:eastAsiaTheme="minorEastAsia"/>
          <w:noProof/>
          <w:lang w:eastAsia="en-GB"/>
        </w:rPr>
      </w:pPr>
      <w:hyperlink w:anchor="_Toc99720751" w:history="1">
        <w:r w:rsidR="00EF35F3" w:rsidRPr="00624D99">
          <w:rPr>
            <w:rStyle w:val="Hyperlink"/>
            <w:noProof/>
          </w:rPr>
          <w:t>Table 40  Study characteristics: Migraine</w:t>
        </w:r>
        <w:r w:rsidR="00EF35F3">
          <w:rPr>
            <w:noProof/>
            <w:webHidden/>
          </w:rPr>
          <w:tab/>
        </w:r>
        <w:r w:rsidR="00EF35F3">
          <w:rPr>
            <w:noProof/>
            <w:webHidden/>
          </w:rPr>
          <w:fldChar w:fldCharType="begin"/>
        </w:r>
        <w:r w:rsidR="00EF35F3">
          <w:rPr>
            <w:noProof/>
            <w:webHidden/>
          </w:rPr>
          <w:instrText xml:space="preserve"> PAGEREF _Toc99720751 \h </w:instrText>
        </w:r>
        <w:r w:rsidR="00EF35F3">
          <w:rPr>
            <w:noProof/>
            <w:webHidden/>
          </w:rPr>
        </w:r>
        <w:r w:rsidR="00EF35F3">
          <w:rPr>
            <w:noProof/>
            <w:webHidden/>
          </w:rPr>
          <w:fldChar w:fldCharType="separate"/>
        </w:r>
        <w:r w:rsidR="00EF35F3">
          <w:rPr>
            <w:noProof/>
            <w:webHidden/>
          </w:rPr>
          <w:t>206</w:t>
        </w:r>
        <w:r w:rsidR="00EF35F3">
          <w:rPr>
            <w:noProof/>
            <w:webHidden/>
          </w:rPr>
          <w:fldChar w:fldCharType="end"/>
        </w:r>
      </w:hyperlink>
    </w:p>
    <w:p w14:paraId="772C0007" w14:textId="15497028" w:rsidR="00EF35F3" w:rsidRDefault="00C34531">
      <w:pPr>
        <w:pStyle w:val="TableofFigures"/>
        <w:tabs>
          <w:tab w:val="right" w:leader="dot" w:pos="9016"/>
        </w:tabs>
        <w:rPr>
          <w:rFonts w:eastAsiaTheme="minorEastAsia"/>
          <w:noProof/>
          <w:lang w:eastAsia="en-GB"/>
        </w:rPr>
      </w:pPr>
      <w:hyperlink w:anchor="_Toc99720752" w:history="1">
        <w:r w:rsidR="00EF35F3" w:rsidRPr="00624D99">
          <w:rPr>
            <w:rStyle w:val="Hyperlink"/>
            <w:noProof/>
          </w:rPr>
          <w:t>Table 41  Study characteristics: Multiple sclerosis</w:t>
        </w:r>
        <w:r w:rsidR="00EF35F3">
          <w:rPr>
            <w:noProof/>
            <w:webHidden/>
          </w:rPr>
          <w:tab/>
        </w:r>
        <w:r w:rsidR="00EF35F3">
          <w:rPr>
            <w:noProof/>
            <w:webHidden/>
          </w:rPr>
          <w:fldChar w:fldCharType="begin"/>
        </w:r>
        <w:r w:rsidR="00EF35F3">
          <w:rPr>
            <w:noProof/>
            <w:webHidden/>
          </w:rPr>
          <w:instrText xml:space="preserve"> PAGEREF _Toc99720752 \h </w:instrText>
        </w:r>
        <w:r w:rsidR="00EF35F3">
          <w:rPr>
            <w:noProof/>
            <w:webHidden/>
          </w:rPr>
        </w:r>
        <w:r w:rsidR="00EF35F3">
          <w:rPr>
            <w:noProof/>
            <w:webHidden/>
          </w:rPr>
          <w:fldChar w:fldCharType="separate"/>
        </w:r>
        <w:r w:rsidR="00EF35F3">
          <w:rPr>
            <w:noProof/>
            <w:webHidden/>
          </w:rPr>
          <w:t>206</w:t>
        </w:r>
        <w:r w:rsidR="00EF35F3">
          <w:rPr>
            <w:noProof/>
            <w:webHidden/>
          </w:rPr>
          <w:fldChar w:fldCharType="end"/>
        </w:r>
      </w:hyperlink>
    </w:p>
    <w:p w14:paraId="6E09F597" w14:textId="36AEB3A4" w:rsidR="00EF35F3" w:rsidRDefault="00C34531">
      <w:pPr>
        <w:pStyle w:val="TableofFigures"/>
        <w:tabs>
          <w:tab w:val="right" w:leader="dot" w:pos="9016"/>
        </w:tabs>
        <w:rPr>
          <w:rFonts w:eastAsiaTheme="minorEastAsia"/>
          <w:noProof/>
          <w:lang w:eastAsia="en-GB"/>
        </w:rPr>
      </w:pPr>
      <w:hyperlink w:anchor="_Toc99720753" w:history="1">
        <w:r w:rsidR="00EF35F3" w:rsidRPr="00624D99">
          <w:rPr>
            <w:rStyle w:val="Hyperlink"/>
            <w:noProof/>
          </w:rPr>
          <w:t>Table 42  Study characteristics: Osteoporosis</w:t>
        </w:r>
        <w:r w:rsidR="00EF35F3">
          <w:rPr>
            <w:noProof/>
            <w:webHidden/>
          </w:rPr>
          <w:tab/>
        </w:r>
        <w:r w:rsidR="00EF35F3">
          <w:rPr>
            <w:noProof/>
            <w:webHidden/>
          </w:rPr>
          <w:fldChar w:fldCharType="begin"/>
        </w:r>
        <w:r w:rsidR="00EF35F3">
          <w:rPr>
            <w:noProof/>
            <w:webHidden/>
          </w:rPr>
          <w:instrText xml:space="preserve"> PAGEREF _Toc99720753 \h </w:instrText>
        </w:r>
        <w:r w:rsidR="00EF35F3">
          <w:rPr>
            <w:noProof/>
            <w:webHidden/>
          </w:rPr>
        </w:r>
        <w:r w:rsidR="00EF35F3">
          <w:rPr>
            <w:noProof/>
            <w:webHidden/>
          </w:rPr>
          <w:fldChar w:fldCharType="separate"/>
        </w:r>
        <w:r w:rsidR="00EF35F3">
          <w:rPr>
            <w:noProof/>
            <w:webHidden/>
          </w:rPr>
          <w:t>207</w:t>
        </w:r>
        <w:r w:rsidR="00EF35F3">
          <w:rPr>
            <w:noProof/>
            <w:webHidden/>
          </w:rPr>
          <w:fldChar w:fldCharType="end"/>
        </w:r>
      </w:hyperlink>
    </w:p>
    <w:p w14:paraId="0F1F952C" w14:textId="190FB7AF" w:rsidR="00EF35F3" w:rsidRDefault="00C34531">
      <w:pPr>
        <w:pStyle w:val="TableofFigures"/>
        <w:tabs>
          <w:tab w:val="right" w:leader="dot" w:pos="9016"/>
        </w:tabs>
        <w:rPr>
          <w:rFonts w:eastAsiaTheme="minorEastAsia"/>
          <w:noProof/>
          <w:lang w:eastAsia="en-GB"/>
        </w:rPr>
      </w:pPr>
      <w:hyperlink w:anchor="_Toc99720754" w:history="1">
        <w:r w:rsidR="00EF35F3" w:rsidRPr="00624D99">
          <w:rPr>
            <w:rStyle w:val="Hyperlink"/>
            <w:noProof/>
          </w:rPr>
          <w:t>Table 43  Study characteristics: Psoriasis</w:t>
        </w:r>
        <w:r w:rsidR="00EF35F3">
          <w:rPr>
            <w:noProof/>
            <w:webHidden/>
          </w:rPr>
          <w:tab/>
        </w:r>
        <w:r w:rsidR="00EF35F3">
          <w:rPr>
            <w:noProof/>
            <w:webHidden/>
          </w:rPr>
          <w:fldChar w:fldCharType="begin"/>
        </w:r>
        <w:r w:rsidR="00EF35F3">
          <w:rPr>
            <w:noProof/>
            <w:webHidden/>
          </w:rPr>
          <w:instrText xml:space="preserve"> PAGEREF _Toc99720754 \h </w:instrText>
        </w:r>
        <w:r w:rsidR="00EF35F3">
          <w:rPr>
            <w:noProof/>
            <w:webHidden/>
          </w:rPr>
        </w:r>
        <w:r w:rsidR="00EF35F3">
          <w:rPr>
            <w:noProof/>
            <w:webHidden/>
          </w:rPr>
          <w:fldChar w:fldCharType="separate"/>
        </w:r>
        <w:r w:rsidR="00EF35F3">
          <w:rPr>
            <w:noProof/>
            <w:webHidden/>
          </w:rPr>
          <w:t>208</w:t>
        </w:r>
        <w:r w:rsidR="00EF35F3">
          <w:rPr>
            <w:noProof/>
            <w:webHidden/>
          </w:rPr>
          <w:fldChar w:fldCharType="end"/>
        </w:r>
      </w:hyperlink>
    </w:p>
    <w:p w14:paraId="49AA8171" w14:textId="485D411E" w:rsidR="00EF35F3" w:rsidRDefault="00C34531">
      <w:pPr>
        <w:pStyle w:val="TableofFigures"/>
        <w:tabs>
          <w:tab w:val="right" w:leader="dot" w:pos="9016"/>
        </w:tabs>
        <w:rPr>
          <w:rFonts w:eastAsiaTheme="minorEastAsia"/>
          <w:noProof/>
          <w:lang w:eastAsia="en-GB"/>
        </w:rPr>
      </w:pPr>
      <w:hyperlink w:anchor="_Toc99720755" w:history="1">
        <w:r w:rsidR="00EF35F3" w:rsidRPr="00624D99">
          <w:rPr>
            <w:rStyle w:val="Hyperlink"/>
            <w:noProof/>
          </w:rPr>
          <w:t>Table 44  Study characteristics: Systemic lupus erythematosus</w:t>
        </w:r>
        <w:r w:rsidR="00EF35F3">
          <w:rPr>
            <w:noProof/>
            <w:webHidden/>
          </w:rPr>
          <w:tab/>
        </w:r>
        <w:r w:rsidR="00EF35F3">
          <w:rPr>
            <w:noProof/>
            <w:webHidden/>
          </w:rPr>
          <w:fldChar w:fldCharType="begin"/>
        </w:r>
        <w:r w:rsidR="00EF35F3">
          <w:rPr>
            <w:noProof/>
            <w:webHidden/>
          </w:rPr>
          <w:instrText xml:space="preserve"> PAGEREF _Toc99720755 \h </w:instrText>
        </w:r>
        <w:r w:rsidR="00EF35F3">
          <w:rPr>
            <w:noProof/>
            <w:webHidden/>
          </w:rPr>
        </w:r>
        <w:r w:rsidR="00EF35F3">
          <w:rPr>
            <w:noProof/>
            <w:webHidden/>
          </w:rPr>
          <w:fldChar w:fldCharType="separate"/>
        </w:r>
        <w:r w:rsidR="00EF35F3">
          <w:rPr>
            <w:noProof/>
            <w:webHidden/>
          </w:rPr>
          <w:t>208</w:t>
        </w:r>
        <w:r w:rsidR="00EF35F3">
          <w:rPr>
            <w:noProof/>
            <w:webHidden/>
          </w:rPr>
          <w:fldChar w:fldCharType="end"/>
        </w:r>
      </w:hyperlink>
    </w:p>
    <w:p w14:paraId="2D349854" w14:textId="693EC43A" w:rsidR="00EF35F3" w:rsidRDefault="00C34531">
      <w:pPr>
        <w:pStyle w:val="TableofFigures"/>
        <w:tabs>
          <w:tab w:val="right" w:leader="dot" w:pos="9016"/>
        </w:tabs>
        <w:rPr>
          <w:rFonts w:eastAsiaTheme="minorEastAsia"/>
          <w:noProof/>
          <w:lang w:eastAsia="en-GB"/>
        </w:rPr>
      </w:pPr>
      <w:hyperlink w:anchor="_Toc99720756" w:history="1">
        <w:r w:rsidR="00EF35F3" w:rsidRPr="00624D99">
          <w:rPr>
            <w:rStyle w:val="Hyperlink"/>
            <w:noProof/>
          </w:rPr>
          <w:t>Table 45  Study characteristics: Subfertility or recurrent pregnancy loss</w:t>
        </w:r>
        <w:r w:rsidR="00EF35F3">
          <w:rPr>
            <w:noProof/>
            <w:webHidden/>
          </w:rPr>
          <w:tab/>
        </w:r>
        <w:r w:rsidR="00EF35F3">
          <w:rPr>
            <w:noProof/>
            <w:webHidden/>
          </w:rPr>
          <w:fldChar w:fldCharType="begin"/>
        </w:r>
        <w:r w:rsidR="00EF35F3">
          <w:rPr>
            <w:noProof/>
            <w:webHidden/>
          </w:rPr>
          <w:instrText xml:space="preserve"> PAGEREF _Toc99720756 \h </w:instrText>
        </w:r>
        <w:r w:rsidR="00EF35F3">
          <w:rPr>
            <w:noProof/>
            <w:webHidden/>
          </w:rPr>
        </w:r>
        <w:r w:rsidR="00EF35F3">
          <w:rPr>
            <w:noProof/>
            <w:webHidden/>
          </w:rPr>
          <w:fldChar w:fldCharType="separate"/>
        </w:r>
        <w:r w:rsidR="00EF35F3">
          <w:rPr>
            <w:noProof/>
            <w:webHidden/>
          </w:rPr>
          <w:t>209</w:t>
        </w:r>
        <w:r w:rsidR="00EF35F3">
          <w:rPr>
            <w:noProof/>
            <w:webHidden/>
          </w:rPr>
          <w:fldChar w:fldCharType="end"/>
        </w:r>
      </w:hyperlink>
    </w:p>
    <w:p w14:paraId="55C4A4E8" w14:textId="0533CE7F" w:rsidR="00EF35F3" w:rsidRDefault="00C34531">
      <w:pPr>
        <w:pStyle w:val="TableofFigures"/>
        <w:tabs>
          <w:tab w:val="right" w:leader="dot" w:pos="9016"/>
        </w:tabs>
        <w:rPr>
          <w:rFonts w:eastAsiaTheme="minorEastAsia"/>
          <w:noProof/>
          <w:lang w:eastAsia="en-GB"/>
        </w:rPr>
      </w:pPr>
      <w:hyperlink w:anchor="_Toc99720757" w:history="1">
        <w:r w:rsidR="00EF35F3" w:rsidRPr="00624D99">
          <w:rPr>
            <w:rStyle w:val="Hyperlink"/>
            <w:noProof/>
          </w:rPr>
          <w:t>Table 46  Study characteristics: Type 1 Diabetes</w:t>
        </w:r>
        <w:r w:rsidR="00EF35F3">
          <w:rPr>
            <w:noProof/>
            <w:webHidden/>
          </w:rPr>
          <w:tab/>
        </w:r>
        <w:r w:rsidR="00EF35F3">
          <w:rPr>
            <w:noProof/>
            <w:webHidden/>
          </w:rPr>
          <w:fldChar w:fldCharType="begin"/>
        </w:r>
        <w:r w:rsidR="00EF35F3">
          <w:rPr>
            <w:noProof/>
            <w:webHidden/>
          </w:rPr>
          <w:instrText xml:space="preserve"> PAGEREF _Toc99720757 \h </w:instrText>
        </w:r>
        <w:r w:rsidR="00EF35F3">
          <w:rPr>
            <w:noProof/>
            <w:webHidden/>
          </w:rPr>
        </w:r>
        <w:r w:rsidR="00EF35F3">
          <w:rPr>
            <w:noProof/>
            <w:webHidden/>
          </w:rPr>
          <w:fldChar w:fldCharType="separate"/>
        </w:r>
        <w:r w:rsidR="00EF35F3">
          <w:rPr>
            <w:noProof/>
            <w:webHidden/>
          </w:rPr>
          <w:t>210</w:t>
        </w:r>
        <w:r w:rsidR="00EF35F3">
          <w:rPr>
            <w:noProof/>
            <w:webHidden/>
          </w:rPr>
          <w:fldChar w:fldCharType="end"/>
        </w:r>
      </w:hyperlink>
    </w:p>
    <w:p w14:paraId="73F742AD" w14:textId="200AC394" w:rsidR="00EF35F3" w:rsidRDefault="00C34531">
      <w:pPr>
        <w:pStyle w:val="TableofFigures"/>
        <w:tabs>
          <w:tab w:val="right" w:leader="dot" w:pos="9016"/>
        </w:tabs>
        <w:rPr>
          <w:rFonts w:eastAsiaTheme="minorEastAsia"/>
          <w:noProof/>
          <w:lang w:eastAsia="en-GB"/>
        </w:rPr>
      </w:pPr>
      <w:hyperlink w:anchor="_Toc99720758" w:history="1">
        <w:r w:rsidR="00EF35F3" w:rsidRPr="00624D99">
          <w:rPr>
            <w:rStyle w:val="Hyperlink"/>
            <w:noProof/>
          </w:rPr>
          <w:t>Table 47  Study characteristics: Type 2 Diabetes</w:t>
        </w:r>
        <w:r w:rsidR="00EF35F3">
          <w:rPr>
            <w:noProof/>
            <w:webHidden/>
          </w:rPr>
          <w:tab/>
        </w:r>
        <w:r w:rsidR="00EF35F3">
          <w:rPr>
            <w:noProof/>
            <w:webHidden/>
          </w:rPr>
          <w:fldChar w:fldCharType="begin"/>
        </w:r>
        <w:r w:rsidR="00EF35F3">
          <w:rPr>
            <w:noProof/>
            <w:webHidden/>
          </w:rPr>
          <w:instrText xml:space="preserve"> PAGEREF _Toc99720758 \h </w:instrText>
        </w:r>
        <w:r w:rsidR="00EF35F3">
          <w:rPr>
            <w:noProof/>
            <w:webHidden/>
          </w:rPr>
        </w:r>
        <w:r w:rsidR="00EF35F3">
          <w:rPr>
            <w:noProof/>
            <w:webHidden/>
          </w:rPr>
          <w:fldChar w:fldCharType="separate"/>
        </w:r>
        <w:r w:rsidR="00EF35F3">
          <w:rPr>
            <w:noProof/>
            <w:webHidden/>
          </w:rPr>
          <w:t>212</w:t>
        </w:r>
        <w:r w:rsidR="00EF35F3">
          <w:rPr>
            <w:noProof/>
            <w:webHidden/>
          </w:rPr>
          <w:fldChar w:fldCharType="end"/>
        </w:r>
      </w:hyperlink>
    </w:p>
    <w:p w14:paraId="6FC5E45A" w14:textId="37835B5D" w:rsidR="00EF35F3" w:rsidRDefault="00C34531">
      <w:pPr>
        <w:pStyle w:val="TableofFigures"/>
        <w:tabs>
          <w:tab w:val="right" w:leader="dot" w:pos="9016"/>
        </w:tabs>
        <w:rPr>
          <w:rFonts w:eastAsiaTheme="minorEastAsia"/>
          <w:noProof/>
          <w:lang w:eastAsia="en-GB"/>
        </w:rPr>
      </w:pPr>
      <w:hyperlink w:anchor="_Toc99720759" w:history="1">
        <w:r w:rsidR="00EF35F3" w:rsidRPr="00624D99">
          <w:rPr>
            <w:rStyle w:val="Hyperlink"/>
            <w:noProof/>
          </w:rPr>
          <w:t>Table 48  Study characteristics: Thyroid disease</w:t>
        </w:r>
        <w:r w:rsidR="00EF35F3">
          <w:rPr>
            <w:noProof/>
            <w:webHidden/>
          </w:rPr>
          <w:tab/>
        </w:r>
        <w:r w:rsidR="00EF35F3">
          <w:rPr>
            <w:noProof/>
            <w:webHidden/>
          </w:rPr>
          <w:fldChar w:fldCharType="begin"/>
        </w:r>
        <w:r w:rsidR="00EF35F3">
          <w:rPr>
            <w:noProof/>
            <w:webHidden/>
          </w:rPr>
          <w:instrText xml:space="preserve"> PAGEREF _Toc99720759 \h </w:instrText>
        </w:r>
        <w:r w:rsidR="00EF35F3">
          <w:rPr>
            <w:noProof/>
            <w:webHidden/>
          </w:rPr>
        </w:r>
        <w:r w:rsidR="00EF35F3">
          <w:rPr>
            <w:noProof/>
            <w:webHidden/>
          </w:rPr>
          <w:fldChar w:fldCharType="separate"/>
        </w:r>
        <w:r w:rsidR="00EF35F3">
          <w:rPr>
            <w:noProof/>
            <w:webHidden/>
          </w:rPr>
          <w:t>213</w:t>
        </w:r>
        <w:r w:rsidR="00EF35F3">
          <w:rPr>
            <w:noProof/>
            <w:webHidden/>
          </w:rPr>
          <w:fldChar w:fldCharType="end"/>
        </w:r>
      </w:hyperlink>
    </w:p>
    <w:p w14:paraId="15D63421" w14:textId="6122908F" w:rsidR="00EF35F3" w:rsidRDefault="00C34531">
      <w:pPr>
        <w:pStyle w:val="TableofFigures"/>
        <w:tabs>
          <w:tab w:val="right" w:leader="dot" w:pos="9016"/>
        </w:tabs>
        <w:rPr>
          <w:rFonts w:eastAsiaTheme="minorEastAsia"/>
          <w:noProof/>
          <w:lang w:eastAsia="en-GB"/>
        </w:rPr>
      </w:pPr>
      <w:hyperlink w:anchor="_Toc99720760" w:history="1">
        <w:r w:rsidR="00EF35F3" w:rsidRPr="00624D99">
          <w:rPr>
            <w:rStyle w:val="Hyperlink"/>
            <w:noProof/>
          </w:rPr>
          <w:t>Table 49  Study characteristics: Vomiting and nausea</w:t>
        </w:r>
        <w:r w:rsidR="00EF35F3">
          <w:rPr>
            <w:noProof/>
            <w:webHidden/>
          </w:rPr>
          <w:tab/>
        </w:r>
        <w:r w:rsidR="00EF35F3">
          <w:rPr>
            <w:noProof/>
            <w:webHidden/>
          </w:rPr>
          <w:fldChar w:fldCharType="begin"/>
        </w:r>
        <w:r w:rsidR="00EF35F3">
          <w:rPr>
            <w:noProof/>
            <w:webHidden/>
          </w:rPr>
          <w:instrText xml:space="preserve"> PAGEREF _Toc99720760 \h </w:instrText>
        </w:r>
        <w:r w:rsidR="00EF35F3">
          <w:rPr>
            <w:noProof/>
            <w:webHidden/>
          </w:rPr>
        </w:r>
        <w:r w:rsidR="00EF35F3">
          <w:rPr>
            <w:noProof/>
            <w:webHidden/>
          </w:rPr>
          <w:fldChar w:fldCharType="separate"/>
        </w:r>
        <w:r w:rsidR="00EF35F3">
          <w:rPr>
            <w:noProof/>
            <w:webHidden/>
          </w:rPr>
          <w:t>215</w:t>
        </w:r>
        <w:r w:rsidR="00EF35F3">
          <w:rPr>
            <w:noProof/>
            <w:webHidden/>
          </w:rPr>
          <w:fldChar w:fldCharType="end"/>
        </w:r>
      </w:hyperlink>
    </w:p>
    <w:p w14:paraId="559A8AF6" w14:textId="0424CAE3" w:rsidR="00EF35F3" w:rsidRDefault="00C34531">
      <w:pPr>
        <w:pStyle w:val="TableofFigures"/>
        <w:tabs>
          <w:tab w:val="right" w:leader="dot" w:pos="9016"/>
        </w:tabs>
        <w:rPr>
          <w:rFonts w:eastAsiaTheme="minorEastAsia"/>
          <w:noProof/>
          <w:lang w:eastAsia="en-GB"/>
        </w:rPr>
      </w:pPr>
      <w:hyperlink w:anchor="_Toc99720761" w:history="1">
        <w:r w:rsidR="00EF35F3" w:rsidRPr="00624D99">
          <w:rPr>
            <w:rStyle w:val="Hyperlink"/>
            <w:noProof/>
          </w:rPr>
          <w:t>Table 50  Study characteristics: Weight loss</w:t>
        </w:r>
        <w:r w:rsidR="00EF35F3">
          <w:rPr>
            <w:noProof/>
            <w:webHidden/>
          </w:rPr>
          <w:tab/>
        </w:r>
        <w:r w:rsidR="00EF35F3">
          <w:rPr>
            <w:noProof/>
            <w:webHidden/>
          </w:rPr>
          <w:fldChar w:fldCharType="begin"/>
        </w:r>
        <w:r w:rsidR="00EF35F3">
          <w:rPr>
            <w:noProof/>
            <w:webHidden/>
          </w:rPr>
          <w:instrText xml:space="preserve"> PAGEREF _Toc99720761 \h </w:instrText>
        </w:r>
        <w:r w:rsidR="00EF35F3">
          <w:rPr>
            <w:noProof/>
            <w:webHidden/>
          </w:rPr>
        </w:r>
        <w:r w:rsidR="00EF35F3">
          <w:rPr>
            <w:noProof/>
            <w:webHidden/>
          </w:rPr>
          <w:fldChar w:fldCharType="separate"/>
        </w:r>
        <w:r w:rsidR="00EF35F3">
          <w:rPr>
            <w:noProof/>
            <w:webHidden/>
          </w:rPr>
          <w:t>215</w:t>
        </w:r>
        <w:r w:rsidR="00EF35F3">
          <w:rPr>
            <w:noProof/>
            <w:webHidden/>
          </w:rPr>
          <w:fldChar w:fldCharType="end"/>
        </w:r>
      </w:hyperlink>
    </w:p>
    <w:p w14:paraId="24D1E951" w14:textId="2CCC6B3A" w:rsidR="00EF35F3" w:rsidRDefault="00C34531">
      <w:pPr>
        <w:pStyle w:val="TableofFigures"/>
        <w:tabs>
          <w:tab w:val="right" w:leader="dot" w:pos="9016"/>
        </w:tabs>
        <w:rPr>
          <w:rFonts w:eastAsiaTheme="minorEastAsia"/>
          <w:noProof/>
          <w:lang w:eastAsia="en-GB"/>
        </w:rPr>
      </w:pPr>
      <w:hyperlink w:anchor="_Toc99720762" w:history="1">
        <w:r w:rsidR="00EF35F3" w:rsidRPr="00624D99">
          <w:rPr>
            <w:rStyle w:val="Hyperlink"/>
            <w:noProof/>
          </w:rPr>
          <w:t>Table 51 Candidate diagnostic indicator definitions and sources</w:t>
        </w:r>
        <w:r w:rsidR="00EF35F3">
          <w:rPr>
            <w:noProof/>
            <w:webHidden/>
          </w:rPr>
          <w:tab/>
        </w:r>
        <w:r w:rsidR="00EF35F3">
          <w:rPr>
            <w:noProof/>
            <w:webHidden/>
          </w:rPr>
          <w:fldChar w:fldCharType="begin"/>
        </w:r>
        <w:r w:rsidR="00EF35F3">
          <w:rPr>
            <w:noProof/>
            <w:webHidden/>
          </w:rPr>
          <w:instrText xml:space="preserve"> PAGEREF _Toc99720762 \h </w:instrText>
        </w:r>
        <w:r w:rsidR="00EF35F3">
          <w:rPr>
            <w:noProof/>
            <w:webHidden/>
          </w:rPr>
        </w:r>
        <w:r w:rsidR="00EF35F3">
          <w:rPr>
            <w:noProof/>
            <w:webHidden/>
          </w:rPr>
          <w:fldChar w:fldCharType="separate"/>
        </w:r>
        <w:r w:rsidR="00EF35F3">
          <w:rPr>
            <w:noProof/>
            <w:webHidden/>
          </w:rPr>
          <w:t>246</w:t>
        </w:r>
        <w:r w:rsidR="00EF35F3">
          <w:rPr>
            <w:noProof/>
            <w:webHidden/>
          </w:rPr>
          <w:fldChar w:fldCharType="end"/>
        </w:r>
      </w:hyperlink>
    </w:p>
    <w:p w14:paraId="23F09C1F" w14:textId="449E1F77" w:rsidR="00EF35F3" w:rsidRDefault="00C34531">
      <w:pPr>
        <w:pStyle w:val="TableofFigures"/>
        <w:tabs>
          <w:tab w:val="right" w:leader="dot" w:pos="9016"/>
        </w:tabs>
        <w:rPr>
          <w:rFonts w:eastAsiaTheme="minorEastAsia"/>
          <w:noProof/>
          <w:lang w:eastAsia="en-GB"/>
        </w:rPr>
      </w:pPr>
      <w:hyperlink w:anchor="_Toc99720763" w:history="1">
        <w:r w:rsidR="00EF35F3" w:rsidRPr="00624D99">
          <w:rPr>
            <w:rStyle w:val="Hyperlink"/>
            <w:noProof/>
          </w:rPr>
          <w:t>Table 52  Children: Model coefficients and ORs with and without shrinkage applied</w:t>
        </w:r>
        <w:r w:rsidR="00EF35F3">
          <w:rPr>
            <w:noProof/>
            <w:webHidden/>
          </w:rPr>
          <w:tab/>
        </w:r>
        <w:r w:rsidR="00EF35F3">
          <w:rPr>
            <w:noProof/>
            <w:webHidden/>
          </w:rPr>
          <w:fldChar w:fldCharType="begin"/>
        </w:r>
        <w:r w:rsidR="00EF35F3">
          <w:rPr>
            <w:noProof/>
            <w:webHidden/>
          </w:rPr>
          <w:instrText xml:space="preserve"> PAGEREF _Toc99720763 \h </w:instrText>
        </w:r>
        <w:r w:rsidR="00EF35F3">
          <w:rPr>
            <w:noProof/>
            <w:webHidden/>
          </w:rPr>
        </w:r>
        <w:r w:rsidR="00EF35F3">
          <w:rPr>
            <w:noProof/>
            <w:webHidden/>
          </w:rPr>
          <w:fldChar w:fldCharType="separate"/>
        </w:r>
        <w:r w:rsidR="00EF35F3">
          <w:rPr>
            <w:noProof/>
            <w:webHidden/>
          </w:rPr>
          <w:t>251</w:t>
        </w:r>
        <w:r w:rsidR="00EF35F3">
          <w:rPr>
            <w:noProof/>
            <w:webHidden/>
          </w:rPr>
          <w:fldChar w:fldCharType="end"/>
        </w:r>
      </w:hyperlink>
    </w:p>
    <w:p w14:paraId="60A226FA" w14:textId="703257D2" w:rsidR="00EF35F3" w:rsidRDefault="00C34531">
      <w:pPr>
        <w:pStyle w:val="TableofFigures"/>
        <w:tabs>
          <w:tab w:val="right" w:leader="dot" w:pos="9016"/>
        </w:tabs>
        <w:rPr>
          <w:rFonts w:eastAsiaTheme="minorEastAsia"/>
          <w:noProof/>
          <w:lang w:eastAsia="en-GB"/>
        </w:rPr>
      </w:pPr>
      <w:hyperlink w:anchor="_Toc99720764" w:history="1">
        <w:r w:rsidR="00EF35F3" w:rsidRPr="00624D99">
          <w:rPr>
            <w:rStyle w:val="Hyperlink"/>
            <w:noProof/>
          </w:rPr>
          <w:t>Table 53  Women: Model coefficients and ORs with and without shrinkage applied</w:t>
        </w:r>
        <w:r w:rsidR="00EF35F3">
          <w:rPr>
            <w:noProof/>
            <w:webHidden/>
          </w:rPr>
          <w:tab/>
        </w:r>
        <w:r w:rsidR="00EF35F3">
          <w:rPr>
            <w:noProof/>
            <w:webHidden/>
          </w:rPr>
          <w:fldChar w:fldCharType="begin"/>
        </w:r>
        <w:r w:rsidR="00EF35F3">
          <w:rPr>
            <w:noProof/>
            <w:webHidden/>
          </w:rPr>
          <w:instrText xml:space="preserve"> PAGEREF _Toc99720764 \h </w:instrText>
        </w:r>
        <w:r w:rsidR="00EF35F3">
          <w:rPr>
            <w:noProof/>
            <w:webHidden/>
          </w:rPr>
        </w:r>
        <w:r w:rsidR="00EF35F3">
          <w:rPr>
            <w:noProof/>
            <w:webHidden/>
          </w:rPr>
          <w:fldChar w:fldCharType="separate"/>
        </w:r>
        <w:r w:rsidR="00EF35F3">
          <w:rPr>
            <w:noProof/>
            <w:webHidden/>
          </w:rPr>
          <w:t>252</w:t>
        </w:r>
        <w:r w:rsidR="00EF35F3">
          <w:rPr>
            <w:noProof/>
            <w:webHidden/>
          </w:rPr>
          <w:fldChar w:fldCharType="end"/>
        </w:r>
      </w:hyperlink>
    </w:p>
    <w:p w14:paraId="47BE3D3B" w14:textId="3FA35E6C" w:rsidR="00EF35F3" w:rsidRDefault="00C34531">
      <w:pPr>
        <w:pStyle w:val="TableofFigures"/>
        <w:tabs>
          <w:tab w:val="right" w:leader="dot" w:pos="9016"/>
        </w:tabs>
        <w:rPr>
          <w:rFonts w:eastAsiaTheme="minorEastAsia"/>
          <w:noProof/>
          <w:lang w:eastAsia="en-GB"/>
        </w:rPr>
      </w:pPr>
      <w:hyperlink w:anchor="_Toc99720765" w:history="1">
        <w:r w:rsidR="00EF35F3" w:rsidRPr="00624D99">
          <w:rPr>
            <w:rStyle w:val="Hyperlink"/>
            <w:noProof/>
          </w:rPr>
          <w:t>Table 54  Men: Model coefficients and ORs with and without shrinkage applied</w:t>
        </w:r>
        <w:r w:rsidR="00EF35F3">
          <w:rPr>
            <w:noProof/>
            <w:webHidden/>
          </w:rPr>
          <w:tab/>
        </w:r>
        <w:r w:rsidR="00EF35F3">
          <w:rPr>
            <w:noProof/>
            <w:webHidden/>
          </w:rPr>
          <w:fldChar w:fldCharType="begin"/>
        </w:r>
        <w:r w:rsidR="00EF35F3">
          <w:rPr>
            <w:noProof/>
            <w:webHidden/>
          </w:rPr>
          <w:instrText xml:space="preserve"> PAGEREF _Toc99720765 \h </w:instrText>
        </w:r>
        <w:r w:rsidR="00EF35F3">
          <w:rPr>
            <w:noProof/>
            <w:webHidden/>
          </w:rPr>
        </w:r>
        <w:r w:rsidR="00EF35F3">
          <w:rPr>
            <w:noProof/>
            <w:webHidden/>
          </w:rPr>
          <w:fldChar w:fldCharType="separate"/>
        </w:r>
        <w:r w:rsidR="00EF35F3">
          <w:rPr>
            <w:noProof/>
            <w:webHidden/>
          </w:rPr>
          <w:t>254</w:t>
        </w:r>
        <w:r w:rsidR="00EF35F3">
          <w:rPr>
            <w:noProof/>
            <w:webHidden/>
          </w:rPr>
          <w:fldChar w:fldCharType="end"/>
        </w:r>
      </w:hyperlink>
    </w:p>
    <w:p w14:paraId="683FD64D" w14:textId="24CA0A25" w:rsidR="00EF35F3" w:rsidRDefault="00C34531">
      <w:pPr>
        <w:pStyle w:val="TableofFigures"/>
        <w:tabs>
          <w:tab w:val="right" w:leader="dot" w:pos="9016"/>
        </w:tabs>
        <w:rPr>
          <w:rFonts w:eastAsiaTheme="minorEastAsia"/>
          <w:noProof/>
          <w:lang w:eastAsia="en-GB"/>
        </w:rPr>
      </w:pPr>
      <w:hyperlink w:anchor="_Toc99720766" w:history="1">
        <w:r w:rsidR="00EF35F3" w:rsidRPr="00624D99">
          <w:rPr>
            <w:rStyle w:val="Hyperlink"/>
            <w:noProof/>
          </w:rPr>
          <w:t>Table 55 Clinical usefulness in external validation data</w:t>
        </w:r>
        <w:r w:rsidR="00EF35F3">
          <w:rPr>
            <w:noProof/>
            <w:webHidden/>
          </w:rPr>
          <w:tab/>
        </w:r>
        <w:r w:rsidR="00EF35F3">
          <w:rPr>
            <w:noProof/>
            <w:webHidden/>
          </w:rPr>
          <w:fldChar w:fldCharType="begin"/>
        </w:r>
        <w:r w:rsidR="00EF35F3">
          <w:rPr>
            <w:noProof/>
            <w:webHidden/>
          </w:rPr>
          <w:instrText xml:space="preserve"> PAGEREF _Toc99720766 \h </w:instrText>
        </w:r>
        <w:r w:rsidR="00EF35F3">
          <w:rPr>
            <w:noProof/>
            <w:webHidden/>
          </w:rPr>
        </w:r>
        <w:r w:rsidR="00EF35F3">
          <w:rPr>
            <w:noProof/>
            <w:webHidden/>
          </w:rPr>
          <w:fldChar w:fldCharType="separate"/>
        </w:r>
        <w:r w:rsidR="00EF35F3">
          <w:rPr>
            <w:noProof/>
            <w:webHidden/>
          </w:rPr>
          <w:t>257</w:t>
        </w:r>
        <w:r w:rsidR="00EF35F3">
          <w:rPr>
            <w:noProof/>
            <w:webHidden/>
          </w:rPr>
          <w:fldChar w:fldCharType="end"/>
        </w:r>
      </w:hyperlink>
    </w:p>
    <w:p w14:paraId="740D27F4" w14:textId="72378C26" w:rsidR="00EF35F3" w:rsidRDefault="00C34531">
      <w:pPr>
        <w:pStyle w:val="TableofFigures"/>
        <w:tabs>
          <w:tab w:val="right" w:leader="dot" w:pos="9016"/>
        </w:tabs>
        <w:rPr>
          <w:rFonts w:eastAsiaTheme="minorEastAsia"/>
          <w:noProof/>
          <w:lang w:eastAsia="en-GB"/>
        </w:rPr>
      </w:pPr>
      <w:hyperlink w:anchor="_Toc99720767" w:history="1">
        <w:r w:rsidR="00EF35F3" w:rsidRPr="00624D99">
          <w:rPr>
            <w:rStyle w:val="Hyperlink"/>
            <w:noProof/>
          </w:rPr>
          <w:t>Table 56 Model performance after including ethnicity and deprivation as predictions</w:t>
        </w:r>
        <w:r w:rsidR="00EF35F3">
          <w:rPr>
            <w:noProof/>
            <w:webHidden/>
          </w:rPr>
          <w:tab/>
        </w:r>
        <w:r w:rsidR="00EF35F3">
          <w:rPr>
            <w:noProof/>
            <w:webHidden/>
          </w:rPr>
          <w:fldChar w:fldCharType="begin"/>
        </w:r>
        <w:r w:rsidR="00EF35F3">
          <w:rPr>
            <w:noProof/>
            <w:webHidden/>
          </w:rPr>
          <w:instrText xml:space="preserve"> PAGEREF _Toc99720767 \h </w:instrText>
        </w:r>
        <w:r w:rsidR="00EF35F3">
          <w:rPr>
            <w:noProof/>
            <w:webHidden/>
          </w:rPr>
        </w:r>
        <w:r w:rsidR="00EF35F3">
          <w:rPr>
            <w:noProof/>
            <w:webHidden/>
          </w:rPr>
          <w:fldChar w:fldCharType="separate"/>
        </w:r>
        <w:r w:rsidR="00EF35F3">
          <w:rPr>
            <w:noProof/>
            <w:webHidden/>
          </w:rPr>
          <w:t>258</w:t>
        </w:r>
        <w:r w:rsidR="00EF35F3">
          <w:rPr>
            <w:noProof/>
            <w:webHidden/>
          </w:rPr>
          <w:fldChar w:fldCharType="end"/>
        </w:r>
      </w:hyperlink>
    </w:p>
    <w:p w14:paraId="37C2AFA1" w14:textId="596AC569" w:rsidR="00EF35F3" w:rsidRDefault="00C34531">
      <w:pPr>
        <w:pStyle w:val="TableofFigures"/>
        <w:tabs>
          <w:tab w:val="right" w:leader="dot" w:pos="9016"/>
        </w:tabs>
        <w:rPr>
          <w:rFonts w:eastAsiaTheme="minorEastAsia"/>
          <w:noProof/>
          <w:lang w:eastAsia="en-GB"/>
        </w:rPr>
      </w:pPr>
      <w:hyperlink w:anchor="_Toc99720768" w:history="1">
        <w:r w:rsidR="00EF35F3" w:rsidRPr="00624D99">
          <w:rPr>
            <w:rStyle w:val="Hyperlink"/>
            <w:noProof/>
          </w:rPr>
          <w:t>Table 57 Association of candidate predictors with CD, complete-case univariable analysis</w:t>
        </w:r>
        <w:r w:rsidR="00EF35F3">
          <w:rPr>
            <w:noProof/>
            <w:webHidden/>
          </w:rPr>
          <w:tab/>
        </w:r>
        <w:r w:rsidR="00EF35F3">
          <w:rPr>
            <w:noProof/>
            <w:webHidden/>
          </w:rPr>
          <w:fldChar w:fldCharType="begin"/>
        </w:r>
        <w:r w:rsidR="00EF35F3">
          <w:rPr>
            <w:noProof/>
            <w:webHidden/>
          </w:rPr>
          <w:instrText xml:space="preserve"> PAGEREF _Toc99720768 \h </w:instrText>
        </w:r>
        <w:r w:rsidR="00EF35F3">
          <w:rPr>
            <w:noProof/>
            <w:webHidden/>
          </w:rPr>
        </w:r>
        <w:r w:rsidR="00EF35F3">
          <w:rPr>
            <w:noProof/>
            <w:webHidden/>
          </w:rPr>
          <w:fldChar w:fldCharType="separate"/>
        </w:r>
        <w:r w:rsidR="00EF35F3">
          <w:rPr>
            <w:noProof/>
            <w:webHidden/>
          </w:rPr>
          <w:t>259</w:t>
        </w:r>
        <w:r w:rsidR="00EF35F3">
          <w:rPr>
            <w:noProof/>
            <w:webHidden/>
          </w:rPr>
          <w:fldChar w:fldCharType="end"/>
        </w:r>
      </w:hyperlink>
    </w:p>
    <w:p w14:paraId="42D89439" w14:textId="5ADE62D5" w:rsidR="00EF35F3" w:rsidRDefault="00C34531">
      <w:pPr>
        <w:pStyle w:val="TableofFigures"/>
        <w:tabs>
          <w:tab w:val="right" w:leader="dot" w:pos="9016"/>
        </w:tabs>
        <w:rPr>
          <w:rFonts w:eastAsiaTheme="minorEastAsia"/>
          <w:noProof/>
          <w:lang w:eastAsia="en-GB"/>
        </w:rPr>
      </w:pPr>
      <w:hyperlink w:anchor="_Toc99720769" w:history="1">
        <w:r w:rsidR="00EF35F3" w:rsidRPr="00624D99">
          <w:rPr>
            <w:rStyle w:val="Hyperlink"/>
            <w:noProof/>
          </w:rPr>
          <w:t>Table 58 Hypothetical scenarios and associated risks for having CD</w:t>
        </w:r>
        <w:r w:rsidR="00EF35F3">
          <w:rPr>
            <w:noProof/>
            <w:webHidden/>
          </w:rPr>
          <w:tab/>
        </w:r>
        <w:r w:rsidR="00EF35F3">
          <w:rPr>
            <w:noProof/>
            <w:webHidden/>
          </w:rPr>
          <w:fldChar w:fldCharType="begin"/>
        </w:r>
        <w:r w:rsidR="00EF35F3">
          <w:rPr>
            <w:noProof/>
            <w:webHidden/>
          </w:rPr>
          <w:instrText xml:space="preserve"> PAGEREF _Toc99720769 \h </w:instrText>
        </w:r>
        <w:r w:rsidR="00EF35F3">
          <w:rPr>
            <w:noProof/>
            <w:webHidden/>
          </w:rPr>
        </w:r>
        <w:r w:rsidR="00EF35F3">
          <w:rPr>
            <w:noProof/>
            <w:webHidden/>
          </w:rPr>
          <w:fldChar w:fldCharType="separate"/>
        </w:r>
        <w:r w:rsidR="00EF35F3">
          <w:rPr>
            <w:noProof/>
            <w:webHidden/>
          </w:rPr>
          <w:t>269</w:t>
        </w:r>
        <w:r w:rsidR="00EF35F3">
          <w:rPr>
            <w:noProof/>
            <w:webHidden/>
          </w:rPr>
          <w:fldChar w:fldCharType="end"/>
        </w:r>
      </w:hyperlink>
    </w:p>
    <w:p w14:paraId="09BB154B" w14:textId="6739274A" w:rsidR="00EF35F3" w:rsidRDefault="00C34531">
      <w:pPr>
        <w:pStyle w:val="TableofFigures"/>
        <w:tabs>
          <w:tab w:val="right" w:leader="dot" w:pos="9016"/>
        </w:tabs>
        <w:rPr>
          <w:rFonts w:eastAsiaTheme="minorEastAsia"/>
          <w:noProof/>
          <w:lang w:eastAsia="en-GB"/>
        </w:rPr>
      </w:pPr>
      <w:hyperlink w:anchor="_Toc99720770" w:history="1">
        <w:r w:rsidR="00EF35F3" w:rsidRPr="00624D99">
          <w:rPr>
            <w:rStyle w:val="Hyperlink"/>
            <w:noProof/>
          </w:rPr>
          <w:t>Table 59 Respondent characteristics</w:t>
        </w:r>
        <w:r w:rsidR="00EF35F3">
          <w:rPr>
            <w:noProof/>
            <w:webHidden/>
          </w:rPr>
          <w:tab/>
        </w:r>
        <w:r w:rsidR="00EF35F3">
          <w:rPr>
            <w:noProof/>
            <w:webHidden/>
          </w:rPr>
          <w:fldChar w:fldCharType="begin"/>
        </w:r>
        <w:r w:rsidR="00EF35F3">
          <w:rPr>
            <w:noProof/>
            <w:webHidden/>
          </w:rPr>
          <w:instrText xml:space="preserve"> PAGEREF _Toc99720770 \h </w:instrText>
        </w:r>
        <w:r w:rsidR="00EF35F3">
          <w:rPr>
            <w:noProof/>
            <w:webHidden/>
          </w:rPr>
        </w:r>
        <w:r w:rsidR="00EF35F3">
          <w:rPr>
            <w:noProof/>
            <w:webHidden/>
          </w:rPr>
          <w:fldChar w:fldCharType="separate"/>
        </w:r>
        <w:r w:rsidR="00EF35F3">
          <w:rPr>
            <w:noProof/>
            <w:webHidden/>
          </w:rPr>
          <w:t>270</w:t>
        </w:r>
        <w:r w:rsidR="00EF35F3">
          <w:rPr>
            <w:noProof/>
            <w:webHidden/>
          </w:rPr>
          <w:fldChar w:fldCharType="end"/>
        </w:r>
      </w:hyperlink>
    </w:p>
    <w:p w14:paraId="692C95C4" w14:textId="6D6471E8" w:rsidR="00EF35F3" w:rsidRDefault="00C34531">
      <w:pPr>
        <w:pStyle w:val="TableofFigures"/>
        <w:tabs>
          <w:tab w:val="right" w:leader="dot" w:pos="9016"/>
        </w:tabs>
        <w:rPr>
          <w:rFonts w:eastAsiaTheme="minorEastAsia"/>
          <w:noProof/>
          <w:lang w:eastAsia="en-GB"/>
        </w:rPr>
      </w:pPr>
      <w:hyperlink w:anchor="_Toc99720771" w:history="1">
        <w:r w:rsidR="00EF35F3" w:rsidRPr="00624D99">
          <w:rPr>
            <w:rStyle w:val="Hyperlink"/>
            <w:noProof/>
          </w:rPr>
          <w:t>Table 60 Respondent characteristics who used free text boxes</w:t>
        </w:r>
        <w:r w:rsidR="00EF35F3">
          <w:rPr>
            <w:noProof/>
            <w:webHidden/>
          </w:rPr>
          <w:tab/>
        </w:r>
        <w:r w:rsidR="00EF35F3">
          <w:rPr>
            <w:noProof/>
            <w:webHidden/>
          </w:rPr>
          <w:fldChar w:fldCharType="begin"/>
        </w:r>
        <w:r w:rsidR="00EF35F3">
          <w:rPr>
            <w:noProof/>
            <w:webHidden/>
          </w:rPr>
          <w:instrText xml:space="preserve"> PAGEREF _Toc99720771 \h </w:instrText>
        </w:r>
        <w:r w:rsidR="00EF35F3">
          <w:rPr>
            <w:noProof/>
            <w:webHidden/>
          </w:rPr>
        </w:r>
        <w:r w:rsidR="00EF35F3">
          <w:rPr>
            <w:noProof/>
            <w:webHidden/>
          </w:rPr>
          <w:fldChar w:fldCharType="separate"/>
        </w:r>
        <w:r w:rsidR="00EF35F3">
          <w:rPr>
            <w:noProof/>
            <w:webHidden/>
          </w:rPr>
          <w:t>270</w:t>
        </w:r>
        <w:r w:rsidR="00EF35F3">
          <w:rPr>
            <w:noProof/>
            <w:webHidden/>
          </w:rPr>
          <w:fldChar w:fldCharType="end"/>
        </w:r>
      </w:hyperlink>
    </w:p>
    <w:p w14:paraId="6E7A70E5" w14:textId="3BC333A3" w:rsidR="00EF35F3" w:rsidRDefault="00C34531">
      <w:pPr>
        <w:pStyle w:val="TableofFigures"/>
        <w:tabs>
          <w:tab w:val="right" w:leader="dot" w:pos="9016"/>
        </w:tabs>
        <w:rPr>
          <w:rFonts w:eastAsiaTheme="minorEastAsia"/>
          <w:noProof/>
          <w:lang w:eastAsia="en-GB"/>
        </w:rPr>
      </w:pPr>
      <w:hyperlink w:anchor="_Toc99720772" w:history="1">
        <w:r w:rsidR="00EF35F3" w:rsidRPr="00624D99">
          <w:rPr>
            <w:rStyle w:val="Hyperlink"/>
            <w:noProof/>
          </w:rPr>
          <w:t>Table 61 Themes and sub-themes within the open text answers</w:t>
        </w:r>
        <w:r w:rsidR="00EF35F3">
          <w:rPr>
            <w:noProof/>
            <w:webHidden/>
          </w:rPr>
          <w:tab/>
        </w:r>
        <w:r w:rsidR="00EF35F3">
          <w:rPr>
            <w:noProof/>
            <w:webHidden/>
          </w:rPr>
          <w:fldChar w:fldCharType="begin"/>
        </w:r>
        <w:r w:rsidR="00EF35F3">
          <w:rPr>
            <w:noProof/>
            <w:webHidden/>
          </w:rPr>
          <w:instrText xml:space="preserve"> PAGEREF _Toc99720772 \h </w:instrText>
        </w:r>
        <w:r w:rsidR="00EF35F3">
          <w:rPr>
            <w:noProof/>
            <w:webHidden/>
          </w:rPr>
        </w:r>
        <w:r w:rsidR="00EF35F3">
          <w:rPr>
            <w:noProof/>
            <w:webHidden/>
          </w:rPr>
          <w:fldChar w:fldCharType="separate"/>
        </w:r>
        <w:r w:rsidR="00EF35F3">
          <w:rPr>
            <w:noProof/>
            <w:webHidden/>
          </w:rPr>
          <w:t>272</w:t>
        </w:r>
        <w:r w:rsidR="00EF35F3">
          <w:rPr>
            <w:noProof/>
            <w:webHidden/>
          </w:rPr>
          <w:fldChar w:fldCharType="end"/>
        </w:r>
      </w:hyperlink>
    </w:p>
    <w:p w14:paraId="6A49E239" w14:textId="3F319834" w:rsidR="00EF35F3" w:rsidRDefault="00C34531">
      <w:pPr>
        <w:pStyle w:val="TableofFigures"/>
        <w:tabs>
          <w:tab w:val="right" w:leader="dot" w:pos="9016"/>
        </w:tabs>
        <w:rPr>
          <w:rFonts w:eastAsiaTheme="minorEastAsia"/>
          <w:noProof/>
          <w:lang w:eastAsia="en-GB"/>
        </w:rPr>
      </w:pPr>
      <w:hyperlink w:anchor="_Toc99720773" w:history="1">
        <w:r w:rsidR="00EF35F3" w:rsidRPr="00624D99">
          <w:rPr>
            <w:rStyle w:val="Hyperlink"/>
            <w:noProof/>
          </w:rPr>
          <w:t>Table 62  Summary of economic models</w:t>
        </w:r>
        <w:r w:rsidR="00EF35F3">
          <w:rPr>
            <w:noProof/>
            <w:webHidden/>
          </w:rPr>
          <w:tab/>
        </w:r>
        <w:r w:rsidR="00EF35F3">
          <w:rPr>
            <w:noProof/>
            <w:webHidden/>
          </w:rPr>
          <w:fldChar w:fldCharType="begin"/>
        </w:r>
        <w:r w:rsidR="00EF35F3">
          <w:rPr>
            <w:noProof/>
            <w:webHidden/>
          </w:rPr>
          <w:instrText xml:space="preserve"> PAGEREF _Toc99720773 \h </w:instrText>
        </w:r>
        <w:r w:rsidR="00EF35F3">
          <w:rPr>
            <w:noProof/>
            <w:webHidden/>
          </w:rPr>
        </w:r>
        <w:r w:rsidR="00EF35F3">
          <w:rPr>
            <w:noProof/>
            <w:webHidden/>
          </w:rPr>
          <w:fldChar w:fldCharType="separate"/>
        </w:r>
        <w:r w:rsidR="00EF35F3">
          <w:rPr>
            <w:noProof/>
            <w:webHidden/>
          </w:rPr>
          <w:t>275</w:t>
        </w:r>
        <w:r w:rsidR="00EF35F3">
          <w:rPr>
            <w:noProof/>
            <w:webHidden/>
          </w:rPr>
          <w:fldChar w:fldCharType="end"/>
        </w:r>
      </w:hyperlink>
    </w:p>
    <w:p w14:paraId="2F78873D" w14:textId="2B8552E4" w:rsidR="00EF35F3" w:rsidRDefault="00C34531">
      <w:pPr>
        <w:pStyle w:val="TableofFigures"/>
        <w:tabs>
          <w:tab w:val="right" w:leader="dot" w:pos="9016"/>
        </w:tabs>
        <w:rPr>
          <w:rFonts w:eastAsiaTheme="minorEastAsia"/>
          <w:noProof/>
          <w:lang w:eastAsia="en-GB"/>
        </w:rPr>
      </w:pPr>
      <w:hyperlink w:anchor="_Toc99720774" w:history="1">
        <w:r w:rsidR="00EF35F3" w:rsidRPr="00624D99">
          <w:rPr>
            <w:rStyle w:val="Hyperlink"/>
            <w:rFonts w:cstheme="minorHAnsi"/>
            <w:noProof/>
          </w:rPr>
          <w:t>Table 63. Age-stratified prevalence of CD-related complications in CPRD Aurum patients with CD in a mixed gender cohort. Same prevalence at time of screening is assumed for newly diagnosed and undiagnosed CD.</w:t>
        </w:r>
        <w:r w:rsidR="00EF35F3">
          <w:rPr>
            <w:noProof/>
            <w:webHidden/>
          </w:rPr>
          <w:tab/>
        </w:r>
        <w:r w:rsidR="00EF35F3">
          <w:rPr>
            <w:noProof/>
            <w:webHidden/>
          </w:rPr>
          <w:fldChar w:fldCharType="begin"/>
        </w:r>
        <w:r w:rsidR="00EF35F3">
          <w:rPr>
            <w:noProof/>
            <w:webHidden/>
          </w:rPr>
          <w:instrText xml:space="preserve"> PAGEREF _Toc99720774 \h </w:instrText>
        </w:r>
        <w:r w:rsidR="00EF35F3">
          <w:rPr>
            <w:noProof/>
            <w:webHidden/>
          </w:rPr>
        </w:r>
        <w:r w:rsidR="00EF35F3">
          <w:rPr>
            <w:noProof/>
            <w:webHidden/>
          </w:rPr>
          <w:fldChar w:fldCharType="separate"/>
        </w:r>
        <w:r w:rsidR="00EF35F3">
          <w:rPr>
            <w:noProof/>
            <w:webHidden/>
          </w:rPr>
          <w:t>284</w:t>
        </w:r>
        <w:r w:rsidR="00EF35F3">
          <w:rPr>
            <w:noProof/>
            <w:webHidden/>
          </w:rPr>
          <w:fldChar w:fldCharType="end"/>
        </w:r>
      </w:hyperlink>
    </w:p>
    <w:p w14:paraId="3DE90388" w14:textId="521E046E" w:rsidR="00EF35F3" w:rsidRDefault="00C34531">
      <w:pPr>
        <w:pStyle w:val="TableofFigures"/>
        <w:tabs>
          <w:tab w:val="right" w:leader="dot" w:pos="9016"/>
        </w:tabs>
        <w:rPr>
          <w:rFonts w:eastAsiaTheme="minorEastAsia"/>
          <w:noProof/>
          <w:lang w:eastAsia="en-GB"/>
        </w:rPr>
      </w:pPr>
      <w:hyperlink w:anchor="_Toc99720775" w:history="1">
        <w:r w:rsidR="00EF35F3" w:rsidRPr="00624D99">
          <w:rPr>
            <w:rStyle w:val="Hyperlink"/>
            <w:rFonts w:cstheme="minorHAnsi"/>
            <w:noProof/>
          </w:rPr>
          <w:t>Table 64. Age-stratified prevalence CD-related complications in CPRD Aurum patients with CD in men. Same prevalence at time of screening is assumed for newly diagnosed and undiagnosed CD.</w:t>
        </w:r>
        <w:r w:rsidR="00EF35F3">
          <w:rPr>
            <w:noProof/>
            <w:webHidden/>
          </w:rPr>
          <w:tab/>
        </w:r>
        <w:r w:rsidR="00EF35F3">
          <w:rPr>
            <w:noProof/>
            <w:webHidden/>
          </w:rPr>
          <w:fldChar w:fldCharType="begin"/>
        </w:r>
        <w:r w:rsidR="00EF35F3">
          <w:rPr>
            <w:noProof/>
            <w:webHidden/>
          </w:rPr>
          <w:instrText xml:space="preserve"> PAGEREF _Toc99720775 \h </w:instrText>
        </w:r>
        <w:r w:rsidR="00EF35F3">
          <w:rPr>
            <w:noProof/>
            <w:webHidden/>
          </w:rPr>
        </w:r>
        <w:r w:rsidR="00EF35F3">
          <w:rPr>
            <w:noProof/>
            <w:webHidden/>
          </w:rPr>
          <w:fldChar w:fldCharType="separate"/>
        </w:r>
        <w:r w:rsidR="00EF35F3">
          <w:rPr>
            <w:noProof/>
            <w:webHidden/>
          </w:rPr>
          <w:t>284</w:t>
        </w:r>
        <w:r w:rsidR="00EF35F3">
          <w:rPr>
            <w:noProof/>
            <w:webHidden/>
          </w:rPr>
          <w:fldChar w:fldCharType="end"/>
        </w:r>
      </w:hyperlink>
    </w:p>
    <w:p w14:paraId="2F39401D" w14:textId="4778A1FE" w:rsidR="00EF35F3" w:rsidRDefault="00C34531">
      <w:pPr>
        <w:pStyle w:val="TableofFigures"/>
        <w:tabs>
          <w:tab w:val="right" w:leader="dot" w:pos="9016"/>
        </w:tabs>
        <w:rPr>
          <w:rFonts w:eastAsiaTheme="minorEastAsia"/>
          <w:noProof/>
          <w:lang w:eastAsia="en-GB"/>
        </w:rPr>
      </w:pPr>
      <w:hyperlink w:anchor="_Toc99720776" w:history="1">
        <w:r w:rsidR="00EF35F3" w:rsidRPr="00624D99">
          <w:rPr>
            <w:rStyle w:val="Hyperlink"/>
            <w:rFonts w:cstheme="minorHAnsi"/>
            <w:noProof/>
          </w:rPr>
          <w:t>Table 65. Age-stratified prevalence CD-related complications in CPRD Aurum patients with CD in women. Same prevalence at time of screening is assumed for newly diagnosed and undiagnosed CD.</w:t>
        </w:r>
        <w:r w:rsidR="00EF35F3">
          <w:rPr>
            <w:noProof/>
            <w:webHidden/>
          </w:rPr>
          <w:tab/>
        </w:r>
        <w:r w:rsidR="00EF35F3">
          <w:rPr>
            <w:noProof/>
            <w:webHidden/>
          </w:rPr>
          <w:fldChar w:fldCharType="begin"/>
        </w:r>
        <w:r w:rsidR="00EF35F3">
          <w:rPr>
            <w:noProof/>
            <w:webHidden/>
          </w:rPr>
          <w:instrText xml:space="preserve"> PAGEREF _Toc99720776 \h </w:instrText>
        </w:r>
        <w:r w:rsidR="00EF35F3">
          <w:rPr>
            <w:noProof/>
            <w:webHidden/>
          </w:rPr>
        </w:r>
        <w:r w:rsidR="00EF35F3">
          <w:rPr>
            <w:noProof/>
            <w:webHidden/>
          </w:rPr>
          <w:fldChar w:fldCharType="separate"/>
        </w:r>
        <w:r w:rsidR="00EF35F3">
          <w:rPr>
            <w:noProof/>
            <w:webHidden/>
          </w:rPr>
          <w:t>284</w:t>
        </w:r>
        <w:r w:rsidR="00EF35F3">
          <w:rPr>
            <w:noProof/>
            <w:webHidden/>
          </w:rPr>
          <w:fldChar w:fldCharType="end"/>
        </w:r>
      </w:hyperlink>
    </w:p>
    <w:p w14:paraId="425D6BDB" w14:textId="70E42417" w:rsidR="00EF35F3" w:rsidRDefault="00C34531">
      <w:pPr>
        <w:pStyle w:val="TableofFigures"/>
        <w:tabs>
          <w:tab w:val="right" w:leader="dot" w:pos="9016"/>
        </w:tabs>
        <w:rPr>
          <w:rFonts w:eastAsiaTheme="minorEastAsia"/>
          <w:noProof/>
          <w:lang w:eastAsia="en-GB"/>
        </w:rPr>
      </w:pPr>
      <w:hyperlink w:anchor="_Toc99720777" w:history="1">
        <w:r w:rsidR="00EF35F3" w:rsidRPr="00624D99">
          <w:rPr>
            <w:rStyle w:val="Hyperlink"/>
            <w:rFonts w:cstheme="minorHAnsi"/>
            <w:noProof/>
          </w:rPr>
          <w:t>Table 66. Fracture rate by age at the sites shown from Curtis et al</w:t>
        </w:r>
        <w:r w:rsidR="00EF35F3">
          <w:rPr>
            <w:noProof/>
            <w:webHidden/>
          </w:rPr>
          <w:tab/>
        </w:r>
        <w:r w:rsidR="00EF35F3">
          <w:rPr>
            <w:noProof/>
            <w:webHidden/>
          </w:rPr>
          <w:fldChar w:fldCharType="begin"/>
        </w:r>
        <w:r w:rsidR="00EF35F3">
          <w:rPr>
            <w:noProof/>
            <w:webHidden/>
          </w:rPr>
          <w:instrText xml:space="preserve"> PAGEREF _Toc99720777 \h </w:instrText>
        </w:r>
        <w:r w:rsidR="00EF35F3">
          <w:rPr>
            <w:noProof/>
            <w:webHidden/>
          </w:rPr>
        </w:r>
        <w:r w:rsidR="00EF35F3">
          <w:rPr>
            <w:noProof/>
            <w:webHidden/>
          </w:rPr>
          <w:fldChar w:fldCharType="separate"/>
        </w:r>
        <w:r w:rsidR="00EF35F3">
          <w:rPr>
            <w:noProof/>
            <w:webHidden/>
          </w:rPr>
          <w:t>285</w:t>
        </w:r>
        <w:r w:rsidR="00EF35F3">
          <w:rPr>
            <w:noProof/>
            <w:webHidden/>
          </w:rPr>
          <w:fldChar w:fldCharType="end"/>
        </w:r>
      </w:hyperlink>
    </w:p>
    <w:p w14:paraId="14FF89CD" w14:textId="1416B09A" w:rsidR="00EF35F3" w:rsidRDefault="00C34531">
      <w:pPr>
        <w:pStyle w:val="TableofFigures"/>
        <w:tabs>
          <w:tab w:val="right" w:leader="dot" w:pos="9016"/>
        </w:tabs>
        <w:rPr>
          <w:rFonts w:eastAsiaTheme="minorEastAsia"/>
          <w:noProof/>
          <w:lang w:eastAsia="en-GB"/>
        </w:rPr>
      </w:pPr>
      <w:hyperlink w:anchor="_Toc99720778" w:history="1">
        <w:r w:rsidR="00EF35F3" w:rsidRPr="00624D99">
          <w:rPr>
            <w:rStyle w:val="Hyperlink"/>
            <w:noProof/>
          </w:rPr>
          <w:t>Table 67. Cost calculations osteoporosis</w:t>
        </w:r>
        <w:r w:rsidR="00EF35F3">
          <w:rPr>
            <w:noProof/>
            <w:webHidden/>
          </w:rPr>
          <w:tab/>
        </w:r>
        <w:r w:rsidR="00EF35F3">
          <w:rPr>
            <w:noProof/>
            <w:webHidden/>
          </w:rPr>
          <w:fldChar w:fldCharType="begin"/>
        </w:r>
        <w:r w:rsidR="00EF35F3">
          <w:rPr>
            <w:noProof/>
            <w:webHidden/>
          </w:rPr>
          <w:instrText xml:space="preserve"> PAGEREF _Toc99720778 \h </w:instrText>
        </w:r>
        <w:r w:rsidR="00EF35F3">
          <w:rPr>
            <w:noProof/>
            <w:webHidden/>
          </w:rPr>
        </w:r>
        <w:r w:rsidR="00EF35F3">
          <w:rPr>
            <w:noProof/>
            <w:webHidden/>
          </w:rPr>
          <w:fldChar w:fldCharType="separate"/>
        </w:r>
        <w:r w:rsidR="00EF35F3">
          <w:rPr>
            <w:noProof/>
            <w:webHidden/>
          </w:rPr>
          <w:t>285</w:t>
        </w:r>
        <w:r w:rsidR="00EF35F3">
          <w:rPr>
            <w:noProof/>
            <w:webHidden/>
          </w:rPr>
          <w:fldChar w:fldCharType="end"/>
        </w:r>
      </w:hyperlink>
    </w:p>
    <w:p w14:paraId="2A563DC3" w14:textId="0B7FD79E" w:rsidR="00EF35F3" w:rsidRDefault="00C34531">
      <w:pPr>
        <w:pStyle w:val="TableofFigures"/>
        <w:tabs>
          <w:tab w:val="right" w:leader="dot" w:pos="9016"/>
        </w:tabs>
        <w:rPr>
          <w:rFonts w:eastAsiaTheme="minorEastAsia"/>
          <w:noProof/>
          <w:lang w:eastAsia="en-GB"/>
        </w:rPr>
      </w:pPr>
      <w:hyperlink w:anchor="_Toc99720779" w:history="1">
        <w:r w:rsidR="00EF35F3" w:rsidRPr="00624D99">
          <w:rPr>
            <w:rStyle w:val="Hyperlink"/>
            <w:rFonts w:cstheme="minorHAnsi"/>
            <w:noProof/>
          </w:rPr>
          <w:t xml:space="preserve">Table 68. EQ-5D index UK population norms </w:t>
        </w:r>
        <w:r w:rsidR="00EF35F3" w:rsidRPr="00624D99">
          <w:rPr>
            <w:rStyle w:val="Hyperlink"/>
            <w:rFonts w:cstheme="minorHAnsi"/>
            <w:noProof/>
            <w:vertAlign w:val="superscript"/>
          </w:rPr>
          <w:t>237</w:t>
        </w:r>
        <w:r w:rsidR="00EF35F3">
          <w:rPr>
            <w:noProof/>
            <w:webHidden/>
          </w:rPr>
          <w:tab/>
        </w:r>
        <w:r w:rsidR="00EF35F3">
          <w:rPr>
            <w:noProof/>
            <w:webHidden/>
          </w:rPr>
          <w:fldChar w:fldCharType="begin"/>
        </w:r>
        <w:r w:rsidR="00EF35F3">
          <w:rPr>
            <w:noProof/>
            <w:webHidden/>
          </w:rPr>
          <w:instrText xml:space="preserve"> PAGEREF _Toc99720779 \h </w:instrText>
        </w:r>
        <w:r w:rsidR="00EF35F3">
          <w:rPr>
            <w:noProof/>
            <w:webHidden/>
          </w:rPr>
        </w:r>
        <w:r w:rsidR="00EF35F3">
          <w:rPr>
            <w:noProof/>
            <w:webHidden/>
          </w:rPr>
          <w:fldChar w:fldCharType="separate"/>
        </w:r>
        <w:r w:rsidR="00EF35F3">
          <w:rPr>
            <w:noProof/>
            <w:webHidden/>
          </w:rPr>
          <w:t>285</w:t>
        </w:r>
        <w:r w:rsidR="00EF35F3">
          <w:rPr>
            <w:noProof/>
            <w:webHidden/>
          </w:rPr>
          <w:fldChar w:fldCharType="end"/>
        </w:r>
      </w:hyperlink>
    </w:p>
    <w:p w14:paraId="498C35D6" w14:textId="5727E254" w:rsidR="00EF35F3" w:rsidRDefault="00C34531">
      <w:pPr>
        <w:pStyle w:val="TableofFigures"/>
        <w:tabs>
          <w:tab w:val="right" w:leader="dot" w:pos="9016"/>
        </w:tabs>
        <w:rPr>
          <w:rFonts w:eastAsiaTheme="minorEastAsia"/>
          <w:noProof/>
          <w:lang w:eastAsia="en-GB"/>
        </w:rPr>
      </w:pPr>
      <w:hyperlink w:anchor="_Toc99720780" w:history="1">
        <w:r w:rsidR="00EF35F3" w:rsidRPr="00624D99">
          <w:rPr>
            <w:rStyle w:val="Hyperlink"/>
            <w:noProof/>
          </w:rPr>
          <w:t>Table 69. Utility calculations osteoporosis</w:t>
        </w:r>
        <w:r w:rsidR="00EF35F3">
          <w:rPr>
            <w:noProof/>
            <w:webHidden/>
          </w:rPr>
          <w:tab/>
        </w:r>
        <w:r w:rsidR="00EF35F3">
          <w:rPr>
            <w:noProof/>
            <w:webHidden/>
          </w:rPr>
          <w:fldChar w:fldCharType="begin"/>
        </w:r>
        <w:r w:rsidR="00EF35F3">
          <w:rPr>
            <w:noProof/>
            <w:webHidden/>
          </w:rPr>
          <w:instrText xml:space="preserve"> PAGEREF _Toc99720780 \h </w:instrText>
        </w:r>
        <w:r w:rsidR="00EF35F3">
          <w:rPr>
            <w:noProof/>
            <w:webHidden/>
          </w:rPr>
        </w:r>
        <w:r w:rsidR="00EF35F3">
          <w:rPr>
            <w:noProof/>
            <w:webHidden/>
          </w:rPr>
          <w:fldChar w:fldCharType="separate"/>
        </w:r>
        <w:r w:rsidR="00EF35F3">
          <w:rPr>
            <w:noProof/>
            <w:webHidden/>
          </w:rPr>
          <w:t>285</w:t>
        </w:r>
        <w:r w:rsidR="00EF35F3">
          <w:rPr>
            <w:noProof/>
            <w:webHidden/>
          </w:rPr>
          <w:fldChar w:fldCharType="end"/>
        </w:r>
      </w:hyperlink>
    </w:p>
    <w:p w14:paraId="22FA1DF9" w14:textId="57A2B35F" w:rsidR="00EF35F3" w:rsidRDefault="00C34531">
      <w:pPr>
        <w:pStyle w:val="TableofFigures"/>
        <w:tabs>
          <w:tab w:val="right" w:leader="dot" w:pos="9016"/>
        </w:tabs>
        <w:rPr>
          <w:rFonts w:eastAsiaTheme="minorEastAsia"/>
          <w:noProof/>
          <w:lang w:eastAsia="en-GB"/>
        </w:rPr>
      </w:pPr>
      <w:hyperlink w:anchor="_Toc99720781" w:history="1">
        <w:r w:rsidR="00EF35F3" w:rsidRPr="00624D99">
          <w:rPr>
            <w:rStyle w:val="Hyperlink"/>
            <w:noProof/>
          </w:rPr>
          <w:t>Table 70  Application of UK National Screening Committee Criteria to a hypothetical adult CD screening programme</w:t>
        </w:r>
        <w:r w:rsidR="00EF35F3" w:rsidRPr="00624D99">
          <w:rPr>
            <w:rStyle w:val="Hyperlink"/>
            <w:noProof/>
            <w:vertAlign w:val="superscript"/>
          </w:rPr>
          <w:t>295</w:t>
        </w:r>
        <w:r w:rsidR="00EF35F3">
          <w:rPr>
            <w:noProof/>
            <w:webHidden/>
          </w:rPr>
          <w:tab/>
        </w:r>
        <w:r w:rsidR="00EF35F3">
          <w:rPr>
            <w:noProof/>
            <w:webHidden/>
          </w:rPr>
          <w:fldChar w:fldCharType="begin"/>
        </w:r>
        <w:r w:rsidR="00EF35F3">
          <w:rPr>
            <w:noProof/>
            <w:webHidden/>
          </w:rPr>
          <w:instrText xml:space="preserve"> PAGEREF _Toc99720781 \h </w:instrText>
        </w:r>
        <w:r w:rsidR="00EF35F3">
          <w:rPr>
            <w:noProof/>
            <w:webHidden/>
          </w:rPr>
        </w:r>
        <w:r w:rsidR="00EF35F3">
          <w:rPr>
            <w:noProof/>
            <w:webHidden/>
          </w:rPr>
          <w:fldChar w:fldCharType="separate"/>
        </w:r>
        <w:r w:rsidR="00EF35F3">
          <w:rPr>
            <w:noProof/>
            <w:webHidden/>
          </w:rPr>
          <w:t>286</w:t>
        </w:r>
        <w:r w:rsidR="00EF35F3">
          <w:rPr>
            <w:noProof/>
            <w:webHidden/>
          </w:rPr>
          <w:fldChar w:fldCharType="end"/>
        </w:r>
      </w:hyperlink>
    </w:p>
    <w:p w14:paraId="0255B0CC" w14:textId="705C9B04" w:rsidR="002F0C49" w:rsidRPr="00734942" w:rsidRDefault="0078676C" w:rsidP="002B3A40">
      <w:r w:rsidRPr="00734942">
        <w:fldChar w:fldCharType="end"/>
      </w:r>
    </w:p>
    <w:p w14:paraId="06E8363D" w14:textId="51299EBC" w:rsidR="00F72DF8" w:rsidRPr="00734942" w:rsidRDefault="00F72DF8" w:rsidP="00F72DF8">
      <w:pPr>
        <w:pStyle w:val="Heading1"/>
      </w:pPr>
      <w:bookmarkStart w:id="38" w:name="_Toc99539787"/>
      <w:r w:rsidRPr="00734942">
        <w:t>List of figures</w:t>
      </w:r>
      <w:bookmarkEnd w:id="38"/>
    </w:p>
    <w:p w14:paraId="519CA5CD" w14:textId="71042CB8" w:rsidR="00EF35F3" w:rsidRDefault="00F72DF8">
      <w:pPr>
        <w:pStyle w:val="TableofFigures"/>
        <w:tabs>
          <w:tab w:val="right" w:leader="dot" w:pos="9016"/>
        </w:tabs>
        <w:rPr>
          <w:rFonts w:eastAsiaTheme="minorEastAsia"/>
          <w:noProof/>
          <w:lang w:eastAsia="en-GB"/>
        </w:rPr>
      </w:pPr>
      <w:r w:rsidRPr="00734942">
        <w:fldChar w:fldCharType="begin"/>
      </w:r>
      <w:r w:rsidRPr="00734942">
        <w:instrText xml:space="preserve"> TOC \h \z \c "Figure" </w:instrText>
      </w:r>
      <w:r w:rsidRPr="00734942">
        <w:fldChar w:fldCharType="separate"/>
      </w:r>
      <w:hyperlink w:anchor="_Toc99720782" w:history="1">
        <w:r w:rsidR="00EF35F3" w:rsidRPr="00305E64">
          <w:rPr>
            <w:rStyle w:val="Hyperlink"/>
            <w:noProof/>
          </w:rPr>
          <w:t>Figure 1 Sensitivity, specificity, and positive predictive values</w:t>
        </w:r>
        <w:r w:rsidR="00EF35F3">
          <w:rPr>
            <w:noProof/>
            <w:webHidden/>
          </w:rPr>
          <w:tab/>
        </w:r>
        <w:r w:rsidR="00EF35F3">
          <w:rPr>
            <w:noProof/>
            <w:webHidden/>
          </w:rPr>
          <w:fldChar w:fldCharType="begin"/>
        </w:r>
        <w:r w:rsidR="00EF35F3">
          <w:rPr>
            <w:noProof/>
            <w:webHidden/>
          </w:rPr>
          <w:instrText xml:space="preserve"> PAGEREF _Toc99720782 \h </w:instrText>
        </w:r>
        <w:r w:rsidR="00EF35F3">
          <w:rPr>
            <w:noProof/>
            <w:webHidden/>
          </w:rPr>
        </w:r>
        <w:r w:rsidR="00EF35F3">
          <w:rPr>
            <w:noProof/>
            <w:webHidden/>
          </w:rPr>
          <w:fldChar w:fldCharType="separate"/>
        </w:r>
        <w:r w:rsidR="00EF35F3">
          <w:rPr>
            <w:noProof/>
            <w:webHidden/>
          </w:rPr>
          <w:t>36</w:t>
        </w:r>
        <w:r w:rsidR="00EF35F3">
          <w:rPr>
            <w:noProof/>
            <w:webHidden/>
          </w:rPr>
          <w:fldChar w:fldCharType="end"/>
        </w:r>
      </w:hyperlink>
    </w:p>
    <w:p w14:paraId="019193CD" w14:textId="5F56E563" w:rsidR="00EF35F3" w:rsidRDefault="00C34531">
      <w:pPr>
        <w:pStyle w:val="TableofFigures"/>
        <w:tabs>
          <w:tab w:val="right" w:leader="dot" w:pos="9016"/>
        </w:tabs>
        <w:rPr>
          <w:rFonts w:eastAsiaTheme="minorEastAsia"/>
          <w:noProof/>
          <w:lang w:eastAsia="en-GB"/>
        </w:rPr>
      </w:pPr>
      <w:hyperlink w:anchor="_Toc99720783" w:history="1">
        <w:r w:rsidR="00EF35F3" w:rsidRPr="00305E64">
          <w:rPr>
            <w:rStyle w:val="Hyperlink"/>
            <w:noProof/>
          </w:rPr>
          <w:t>Figure 2 ROC curves model development</w:t>
        </w:r>
        <w:r w:rsidR="00EF35F3">
          <w:rPr>
            <w:noProof/>
            <w:webHidden/>
          </w:rPr>
          <w:tab/>
        </w:r>
        <w:r w:rsidR="00EF35F3">
          <w:rPr>
            <w:noProof/>
            <w:webHidden/>
          </w:rPr>
          <w:fldChar w:fldCharType="begin"/>
        </w:r>
        <w:r w:rsidR="00EF35F3">
          <w:rPr>
            <w:noProof/>
            <w:webHidden/>
          </w:rPr>
          <w:instrText xml:space="preserve"> PAGEREF _Toc99720783 \h </w:instrText>
        </w:r>
        <w:r w:rsidR="00EF35F3">
          <w:rPr>
            <w:noProof/>
            <w:webHidden/>
          </w:rPr>
        </w:r>
        <w:r w:rsidR="00EF35F3">
          <w:rPr>
            <w:noProof/>
            <w:webHidden/>
          </w:rPr>
          <w:fldChar w:fldCharType="separate"/>
        </w:r>
        <w:r w:rsidR="00EF35F3">
          <w:rPr>
            <w:noProof/>
            <w:webHidden/>
          </w:rPr>
          <w:t>57</w:t>
        </w:r>
        <w:r w:rsidR="00EF35F3">
          <w:rPr>
            <w:noProof/>
            <w:webHidden/>
          </w:rPr>
          <w:fldChar w:fldCharType="end"/>
        </w:r>
      </w:hyperlink>
    </w:p>
    <w:p w14:paraId="48DFC948" w14:textId="28B757F0" w:rsidR="00EF35F3" w:rsidRDefault="00C34531">
      <w:pPr>
        <w:pStyle w:val="TableofFigures"/>
        <w:tabs>
          <w:tab w:val="right" w:leader="dot" w:pos="9016"/>
        </w:tabs>
        <w:rPr>
          <w:rFonts w:eastAsiaTheme="minorEastAsia"/>
          <w:noProof/>
          <w:lang w:eastAsia="en-GB"/>
        </w:rPr>
      </w:pPr>
      <w:hyperlink w:anchor="_Toc99720784" w:history="1">
        <w:r w:rsidR="00EF35F3" w:rsidRPr="00305E64">
          <w:rPr>
            <w:rStyle w:val="Hyperlink"/>
            <w:noProof/>
          </w:rPr>
          <w:t>Figure 3 Coefficients and 95% CIs from complete-case univariable analysis of candidate predictors and CD</w:t>
        </w:r>
        <w:r w:rsidR="00EF35F3">
          <w:rPr>
            <w:noProof/>
            <w:webHidden/>
          </w:rPr>
          <w:tab/>
        </w:r>
        <w:r w:rsidR="00EF35F3">
          <w:rPr>
            <w:noProof/>
            <w:webHidden/>
          </w:rPr>
          <w:fldChar w:fldCharType="begin"/>
        </w:r>
        <w:r w:rsidR="00EF35F3">
          <w:rPr>
            <w:noProof/>
            <w:webHidden/>
          </w:rPr>
          <w:instrText xml:space="preserve"> PAGEREF _Toc99720784 \h </w:instrText>
        </w:r>
        <w:r w:rsidR="00EF35F3">
          <w:rPr>
            <w:noProof/>
            <w:webHidden/>
          </w:rPr>
        </w:r>
        <w:r w:rsidR="00EF35F3">
          <w:rPr>
            <w:noProof/>
            <w:webHidden/>
          </w:rPr>
          <w:fldChar w:fldCharType="separate"/>
        </w:r>
        <w:r w:rsidR="00EF35F3">
          <w:rPr>
            <w:noProof/>
            <w:webHidden/>
          </w:rPr>
          <w:t>60</w:t>
        </w:r>
        <w:r w:rsidR="00EF35F3">
          <w:rPr>
            <w:noProof/>
            <w:webHidden/>
          </w:rPr>
          <w:fldChar w:fldCharType="end"/>
        </w:r>
      </w:hyperlink>
    </w:p>
    <w:p w14:paraId="4C39B6A2" w14:textId="731F9201" w:rsidR="00EF35F3" w:rsidRDefault="00C34531">
      <w:pPr>
        <w:pStyle w:val="TableofFigures"/>
        <w:tabs>
          <w:tab w:val="right" w:leader="dot" w:pos="9016"/>
        </w:tabs>
        <w:rPr>
          <w:rFonts w:eastAsiaTheme="minorEastAsia"/>
          <w:noProof/>
          <w:lang w:eastAsia="en-GB"/>
        </w:rPr>
      </w:pPr>
      <w:hyperlink w:anchor="_Toc99720785" w:history="1">
        <w:r w:rsidR="00EF35F3" w:rsidRPr="00305E64">
          <w:rPr>
            <w:rStyle w:val="Hyperlink"/>
            <w:noProof/>
          </w:rPr>
          <w:t>Figure 4 Comparative accuracy study design</w:t>
        </w:r>
        <w:r w:rsidR="00EF35F3">
          <w:rPr>
            <w:noProof/>
            <w:webHidden/>
          </w:rPr>
          <w:tab/>
        </w:r>
        <w:r w:rsidR="00EF35F3">
          <w:rPr>
            <w:noProof/>
            <w:webHidden/>
          </w:rPr>
          <w:fldChar w:fldCharType="begin"/>
        </w:r>
        <w:r w:rsidR="00EF35F3">
          <w:rPr>
            <w:noProof/>
            <w:webHidden/>
          </w:rPr>
          <w:instrText xml:space="preserve"> PAGEREF _Toc99720785 \h </w:instrText>
        </w:r>
        <w:r w:rsidR="00EF35F3">
          <w:rPr>
            <w:noProof/>
            <w:webHidden/>
          </w:rPr>
        </w:r>
        <w:r w:rsidR="00EF35F3">
          <w:rPr>
            <w:noProof/>
            <w:webHidden/>
          </w:rPr>
          <w:fldChar w:fldCharType="separate"/>
        </w:r>
        <w:r w:rsidR="00EF35F3">
          <w:rPr>
            <w:noProof/>
            <w:webHidden/>
          </w:rPr>
          <w:t>64</w:t>
        </w:r>
        <w:r w:rsidR="00EF35F3">
          <w:rPr>
            <w:noProof/>
            <w:webHidden/>
          </w:rPr>
          <w:fldChar w:fldCharType="end"/>
        </w:r>
      </w:hyperlink>
    </w:p>
    <w:p w14:paraId="5D20443C" w14:textId="0E9F5B78" w:rsidR="00EF35F3" w:rsidRDefault="00C34531">
      <w:pPr>
        <w:pStyle w:val="TableofFigures"/>
        <w:tabs>
          <w:tab w:val="right" w:leader="dot" w:pos="9016"/>
        </w:tabs>
        <w:rPr>
          <w:rFonts w:eastAsiaTheme="minorEastAsia"/>
          <w:noProof/>
          <w:lang w:eastAsia="en-GB"/>
        </w:rPr>
      </w:pPr>
      <w:hyperlink w:anchor="_Toc99720786" w:history="1">
        <w:r w:rsidR="00EF35F3" w:rsidRPr="00305E64">
          <w:rPr>
            <w:rStyle w:val="Hyperlink"/>
            <w:noProof/>
          </w:rPr>
          <w:t>Figure 5 Study estimates of test sensitivity and specificity in adults plotted in receiver operating characteristic (ROC) space</w:t>
        </w:r>
        <w:r w:rsidR="00EF35F3">
          <w:rPr>
            <w:noProof/>
            <w:webHidden/>
          </w:rPr>
          <w:tab/>
        </w:r>
        <w:r w:rsidR="00EF35F3">
          <w:rPr>
            <w:noProof/>
            <w:webHidden/>
          </w:rPr>
          <w:fldChar w:fldCharType="begin"/>
        </w:r>
        <w:r w:rsidR="00EF35F3">
          <w:rPr>
            <w:noProof/>
            <w:webHidden/>
          </w:rPr>
          <w:instrText xml:space="preserve"> PAGEREF _Toc99720786 \h </w:instrText>
        </w:r>
        <w:r w:rsidR="00EF35F3">
          <w:rPr>
            <w:noProof/>
            <w:webHidden/>
          </w:rPr>
        </w:r>
        <w:r w:rsidR="00EF35F3">
          <w:rPr>
            <w:noProof/>
            <w:webHidden/>
          </w:rPr>
          <w:fldChar w:fldCharType="separate"/>
        </w:r>
        <w:r w:rsidR="00EF35F3">
          <w:rPr>
            <w:noProof/>
            <w:webHidden/>
          </w:rPr>
          <w:t>69</w:t>
        </w:r>
        <w:r w:rsidR="00EF35F3">
          <w:rPr>
            <w:noProof/>
            <w:webHidden/>
          </w:rPr>
          <w:fldChar w:fldCharType="end"/>
        </w:r>
      </w:hyperlink>
    </w:p>
    <w:p w14:paraId="39E69467" w14:textId="50F691FF" w:rsidR="00EF35F3" w:rsidRDefault="00C34531">
      <w:pPr>
        <w:pStyle w:val="TableofFigures"/>
        <w:tabs>
          <w:tab w:val="right" w:leader="dot" w:pos="9016"/>
        </w:tabs>
        <w:rPr>
          <w:rFonts w:eastAsiaTheme="minorEastAsia"/>
          <w:noProof/>
          <w:lang w:eastAsia="en-GB"/>
        </w:rPr>
      </w:pPr>
      <w:hyperlink w:anchor="_Toc99720787" w:history="1">
        <w:r w:rsidR="00EF35F3" w:rsidRPr="00305E64">
          <w:rPr>
            <w:rStyle w:val="Hyperlink"/>
            <w:noProof/>
          </w:rPr>
          <w:t>Figure 6 Study estimates of test sensitivity and specificity in children plotted in receiver operating characteristic (ROC) space</w:t>
        </w:r>
        <w:r w:rsidR="00EF35F3">
          <w:rPr>
            <w:noProof/>
            <w:webHidden/>
          </w:rPr>
          <w:tab/>
        </w:r>
        <w:r w:rsidR="00EF35F3">
          <w:rPr>
            <w:noProof/>
            <w:webHidden/>
          </w:rPr>
          <w:fldChar w:fldCharType="begin"/>
        </w:r>
        <w:r w:rsidR="00EF35F3">
          <w:rPr>
            <w:noProof/>
            <w:webHidden/>
          </w:rPr>
          <w:instrText xml:space="preserve"> PAGEREF _Toc99720787 \h </w:instrText>
        </w:r>
        <w:r w:rsidR="00EF35F3">
          <w:rPr>
            <w:noProof/>
            <w:webHidden/>
          </w:rPr>
        </w:r>
        <w:r w:rsidR="00EF35F3">
          <w:rPr>
            <w:noProof/>
            <w:webHidden/>
          </w:rPr>
          <w:fldChar w:fldCharType="separate"/>
        </w:r>
        <w:r w:rsidR="00EF35F3">
          <w:rPr>
            <w:noProof/>
            <w:webHidden/>
          </w:rPr>
          <w:t>70</w:t>
        </w:r>
        <w:r w:rsidR="00EF35F3">
          <w:rPr>
            <w:noProof/>
            <w:webHidden/>
          </w:rPr>
          <w:fldChar w:fldCharType="end"/>
        </w:r>
      </w:hyperlink>
    </w:p>
    <w:p w14:paraId="5DD80EC1" w14:textId="0E011111" w:rsidR="00EF35F3" w:rsidRDefault="00C34531">
      <w:pPr>
        <w:pStyle w:val="TableofFigures"/>
        <w:tabs>
          <w:tab w:val="right" w:leader="dot" w:pos="9016"/>
        </w:tabs>
        <w:rPr>
          <w:rFonts w:eastAsiaTheme="minorEastAsia"/>
          <w:noProof/>
          <w:lang w:eastAsia="en-GB"/>
        </w:rPr>
      </w:pPr>
      <w:hyperlink w:anchor="_Toc99720788" w:history="1">
        <w:r w:rsidR="00EF35F3" w:rsidRPr="00305E64">
          <w:rPr>
            <w:rStyle w:val="Hyperlink"/>
            <w:noProof/>
          </w:rPr>
          <w:t>Figure 7 Forest plots of individual study and summary estimates of sensitivity and specificity</w:t>
        </w:r>
        <w:r w:rsidR="00EF35F3">
          <w:rPr>
            <w:noProof/>
            <w:webHidden/>
          </w:rPr>
          <w:tab/>
        </w:r>
        <w:r w:rsidR="00EF35F3">
          <w:rPr>
            <w:noProof/>
            <w:webHidden/>
          </w:rPr>
          <w:fldChar w:fldCharType="begin"/>
        </w:r>
        <w:r w:rsidR="00EF35F3">
          <w:rPr>
            <w:noProof/>
            <w:webHidden/>
          </w:rPr>
          <w:instrText xml:space="preserve"> PAGEREF _Toc99720788 \h </w:instrText>
        </w:r>
        <w:r w:rsidR="00EF35F3">
          <w:rPr>
            <w:noProof/>
            <w:webHidden/>
          </w:rPr>
        </w:r>
        <w:r w:rsidR="00EF35F3">
          <w:rPr>
            <w:noProof/>
            <w:webHidden/>
          </w:rPr>
          <w:fldChar w:fldCharType="separate"/>
        </w:r>
        <w:r w:rsidR="00EF35F3">
          <w:rPr>
            <w:noProof/>
            <w:webHidden/>
          </w:rPr>
          <w:t>76</w:t>
        </w:r>
        <w:r w:rsidR="00EF35F3">
          <w:rPr>
            <w:noProof/>
            <w:webHidden/>
          </w:rPr>
          <w:fldChar w:fldCharType="end"/>
        </w:r>
      </w:hyperlink>
    </w:p>
    <w:p w14:paraId="44BAEC10" w14:textId="3831FBB3" w:rsidR="00EF35F3" w:rsidRDefault="00C34531">
      <w:pPr>
        <w:pStyle w:val="TableofFigures"/>
        <w:tabs>
          <w:tab w:val="right" w:leader="dot" w:pos="9016"/>
        </w:tabs>
        <w:rPr>
          <w:rFonts w:eastAsiaTheme="minorEastAsia"/>
          <w:noProof/>
          <w:lang w:eastAsia="en-GB"/>
        </w:rPr>
      </w:pPr>
      <w:hyperlink w:anchor="_Toc99720789" w:history="1">
        <w:r w:rsidR="00EF35F3" w:rsidRPr="00305E64">
          <w:rPr>
            <w:rStyle w:val="Hyperlink"/>
            <w:noProof/>
          </w:rPr>
          <w:t>Figure 8 Summary ROC for HLA DQ2/DQ8 for diagnosing CD</w:t>
        </w:r>
        <w:r w:rsidR="00EF35F3">
          <w:rPr>
            <w:noProof/>
            <w:webHidden/>
          </w:rPr>
          <w:tab/>
        </w:r>
        <w:r w:rsidR="00EF35F3">
          <w:rPr>
            <w:noProof/>
            <w:webHidden/>
          </w:rPr>
          <w:fldChar w:fldCharType="begin"/>
        </w:r>
        <w:r w:rsidR="00EF35F3">
          <w:rPr>
            <w:noProof/>
            <w:webHidden/>
          </w:rPr>
          <w:instrText xml:space="preserve"> PAGEREF _Toc99720789 \h </w:instrText>
        </w:r>
        <w:r w:rsidR="00EF35F3">
          <w:rPr>
            <w:noProof/>
            <w:webHidden/>
          </w:rPr>
        </w:r>
        <w:r w:rsidR="00EF35F3">
          <w:rPr>
            <w:noProof/>
            <w:webHidden/>
          </w:rPr>
          <w:fldChar w:fldCharType="separate"/>
        </w:r>
        <w:r w:rsidR="00EF35F3">
          <w:rPr>
            <w:noProof/>
            <w:webHidden/>
          </w:rPr>
          <w:t>77</w:t>
        </w:r>
        <w:r w:rsidR="00EF35F3">
          <w:rPr>
            <w:noProof/>
            <w:webHidden/>
          </w:rPr>
          <w:fldChar w:fldCharType="end"/>
        </w:r>
      </w:hyperlink>
    </w:p>
    <w:p w14:paraId="51FEF582" w14:textId="7ED5C6AA" w:rsidR="00EF35F3" w:rsidRDefault="00C34531">
      <w:pPr>
        <w:pStyle w:val="TableofFigures"/>
        <w:tabs>
          <w:tab w:val="right" w:leader="dot" w:pos="9016"/>
        </w:tabs>
        <w:rPr>
          <w:rFonts w:eastAsiaTheme="minorEastAsia"/>
          <w:noProof/>
          <w:lang w:eastAsia="en-GB"/>
        </w:rPr>
      </w:pPr>
      <w:hyperlink w:anchor="_Toc99720790" w:history="1">
        <w:r w:rsidR="00EF35F3" w:rsidRPr="00305E64">
          <w:rPr>
            <w:rStyle w:val="Hyperlink"/>
            <w:noProof/>
          </w:rPr>
          <w:t>Figure 9 Preferred certainty of CD diagnosis before starting a gluten free diet</w:t>
        </w:r>
        <w:r w:rsidR="00EF35F3">
          <w:rPr>
            <w:noProof/>
            <w:webHidden/>
          </w:rPr>
          <w:tab/>
        </w:r>
        <w:r w:rsidR="00EF35F3">
          <w:rPr>
            <w:noProof/>
            <w:webHidden/>
          </w:rPr>
          <w:fldChar w:fldCharType="begin"/>
        </w:r>
        <w:r w:rsidR="00EF35F3">
          <w:rPr>
            <w:noProof/>
            <w:webHidden/>
          </w:rPr>
          <w:instrText xml:space="preserve"> PAGEREF _Toc99720790 \h </w:instrText>
        </w:r>
        <w:r w:rsidR="00EF35F3">
          <w:rPr>
            <w:noProof/>
            <w:webHidden/>
          </w:rPr>
        </w:r>
        <w:r w:rsidR="00EF35F3">
          <w:rPr>
            <w:noProof/>
            <w:webHidden/>
          </w:rPr>
          <w:fldChar w:fldCharType="separate"/>
        </w:r>
        <w:r w:rsidR="00EF35F3">
          <w:rPr>
            <w:noProof/>
            <w:webHidden/>
          </w:rPr>
          <w:t>83</w:t>
        </w:r>
        <w:r w:rsidR="00EF35F3">
          <w:rPr>
            <w:noProof/>
            <w:webHidden/>
          </w:rPr>
          <w:fldChar w:fldCharType="end"/>
        </w:r>
      </w:hyperlink>
    </w:p>
    <w:p w14:paraId="3D1D51F2" w14:textId="7036B113" w:rsidR="00EF35F3" w:rsidRDefault="00C34531">
      <w:pPr>
        <w:pStyle w:val="TableofFigures"/>
        <w:tabs>
          <w:tab w:val="right" w:leader="dot" w:pos="9016"/>
        </w:tabs>
        <w:rPr>
          <w:rFonts w:eastAsiaTheme="minorEastAsia"/>
          <w:noProof/>
          <w:lang w:eastAsia="en-GB"/>
        </w:rPr>
      </w:pPr>
      <w:hyperlink w:anchor="_Toc99720791" w:history="1">
        <w:r w:rsidR="00EF35F3" w:rsidRPr="00305E64">
          <w:rPr>
            <w:rStyle w:val="Hyperlink"/>
            <w:noProof/>
          </w:rPr>
          <w:t>Figure 10 Difficulty following and adherence to gluten- free diet (GFD)</w:t>
        </w:r>
        <w:r w:rsidR="00EF35F3">
          <w:rPr>
            <w:noProof/>
            <w:webHidden/>
          </w:rPr>
          <w:tab/>
        </w:r>
        <w:r w:rsidR="00EF35F3">
          <w:rPr>
            <w:noProof/>
            <w:webHidden/>
          </w:rPr>
          <w:fldChar w:fldCharType="begin"/>
        </w:r>
        <w:r w:rsidR="00EF35F3">
          <w:rPr>
            <w:noProof/>
            <w:webHidden/>
          </w:rPr>
          <w:instrText xml:space="preserve"> PAGEREF _Toc99720791 \h </w:instrText>
        </w:r>
        <w:r w:rsidR="00EF35F3">
          <w:rPr>
            <w:noProof/>
            <w:webHidden/>
          </w:rPr>
        </w:r>
        <w:r w:rsidR="00EF35F3">
          <w:rPr>
            <w:noProof/>
            <w:webHidden/>
          </w:rPr>
          <w:fldChar w:fldCharType="separate"/>
        </w:r>
        <w:r w:rsidR="00EF35F3">
          <w:rPr>
            <w:noProof/>
            <w:webHidden/>
          </w:rPr>
          <w:t>84</w:t>
        </w:r>
        <w:r w:rsidR="00EF35F3">
          <w:rPr>
            <w:noProof/>
            <w:webHidden/>
          </w:rPr>
          <w:fldChar w:fldCharType="end"/>
        </w:r>
      </w:hyperlink>
    </w:p>
    <w:p w14:paraId="28DD82F6" w14:textId="32BFF521" w:rsidR="00EF35F3" w:rsidRDefault="00C34531">
      <w:pPr>
        <w:pStyle w:val="TableofFigures"/>
        <w:tabs>
          <w:tab w:val="right" w:leader="dot" w:pos="9016"/>
        </w:tabs>
        <w:rPr>
          <w:rFonts w:eastAsiaTheme="minorEastAsia"/>
          <w:noProof/>
          <w:lang w:eastAsia="en-GB"/>
        </w:rPr>
      </w:pPr>
      <w:hyperlink w:anchor="_Toc99720792" w:history="1">
        <w:r w:rsidR="00EF35F3" w:rsidRPr="00305E64">
          <w:rPr>
            <w:rStyle w:val="Hyperlink"/>
            <w:noProof/>
          </w:rPr>
          <w:t>Figure 11 Quality of Life score (CD-QoL)</w:t>
        </w:r>
        <w:r w:rsidR="00EF35F3">
          <w:rPr>
            <w:noProof/>
            <w:webHidden/>
          </w:rPr>
          <w:tab/>
        </w:r>
        <w:r w:rsidR="00EF35F3">
          <w:rPr>
            <w:noProof/>
            <w:webHidden/>
          </w:rPr>
          <w:fldChar w:fldCharType="begin"/>
        </w:r>
        <w:r w:rsidR="00EF35F3">
          <w:rPr>
            <w:noProof/>
            <w:webHidden/>
          </w:rPr>
          <w:instrText xml:space="preserve"> PAGEREF _Toc99720792 \h </w:instrText>
        </w:r>
        <w:r w:rsidR="00EF35F3">
          <w:rPr>
            <w:noProof/>
            <w:webHidden/>
          </w:rPr>
        </w:r>
        <w:r w:rsidR="00EF35F3">
          <w:rPr>
            <w:noProof/>
            <w:webHidden/>
          </w:rPr>
          <w:fldChar w:fldCharType="separate"/>
        </w:r>
        <w:r w:rsidR="00EF35F3">
          <w:rPr>
            <w:noProof/>
            <w:webHidden/>
          </w:rPr>
          <w:t>85</w:t>
        </w:r>
        <w:r w:rsidR="00EF35F3">
          <w:rPr>
            <w:noProof/>
            <w:webHidden/>
          </w:rPr>
          <w:fldChar w:fldCharType="end"/>
        </w:r>
      </w:hyperlink>
    </w:p>
    <w:p w14:paraId="54F5ED3C" w14:textId="6E58D310" w:rsidR="00EF35F3" w:rsidRDefault="00C34531">
      <w:pPr>
        <w:pStyle w:val="TableofFigures"/>
        <w:tabs>
          <w:tab w:val="right" w:leader="dot" w:pos="9016"/>
        </w:tabs>
        <w:rPr>
          <w:rFonts w:eastAsiaTheme="minorEastAsia"/>
          <w:noProof/>
          <w:lang w:eastAsia="en-GB"/>
        </w:rPr>
      </w:pPr>
      <w:hyperlink w:anchor="_Toc99720793" w:history="1">
        <w:r w:rsidR="00EF35F3" w:rsidRPr="00305E64">
          <w:rPr>
            <w:rStyle w:val="Hyperlink"/>
            <w:noProof/>
          </w:rPr>
          <w:t>Figure 12 Decision Tree representing serological and genetic testing in patients with suspected CD.*</w:t>
        </w:r>
        <w:r w:rsidR="00EF35F3">
          <w:rPr>
            <w:noProof/>
            <w:webHidden/>
          </w:rPr>
          <w:tab/>
        </w:r>
        <w:r w:rsidR="00EF35F3">
          <w:rPr>
            <w:noProof/>
            <w:webHidden/>
          </w:rPr>
          <w:fldChar w:fldCharType="begin"/>
        </w:r>
        <w:r w:rsidR="00EF35F3">
          <w:rPr>
            <w:noProof/>
            <w:webHidden/>
          </w:rPr>
          <w:instrText xml:space="preserve"> PAGEREF _Toc99720793 \h </w:instrText>
        </w:r>
        <w:r w:rsidR="00EF35F3">
          <w:rPr>
            <w:noProof/>
            <w:webHidden/>
          </w:rPr>
        </w:r>
        <w:r w:rsidR="00EF35F3">
          <w:rPr>
            <w:noProof/>
            <w:webHidden/>
          </w:rPr>
          <w:fldChar w:fldCharType="separate"/>
        </w:r>
        <w:r w:rsidR="00EF35F3">
          <w:rPr>
            <w:noProof/>
            <w:webHidden/>
          </w:rPr>
          <w:t>92</w:t>
        </w:r>
        <w:r w:rsidR="00EF35F3">
          <w:rPr>
            <w:noProof/>
            <w:webHidden/>
          </w:rPr>
          <w:fldChar w:fldCharType="end"/>
        </w:r>
      </w:hyperlink>
    </w:p>
    <w:p w14:paraId="799AF6C7" w14:textId="57EC3C63" w:rsidR="00EF35F3" w:rsidRDefault="00C34531">
      <w:pPr>
        <w:pStyle w:val="TableofFigures"/>
        <w:tabs>
          <w:tab w:val="right" w:leader="dot" w:pos="9016"/>
        </w:tabs>
        <w:rPr>
          <w:rFonts w:eastAsiaTheme="minorEastAsia"/>
          <w:noProof/>
          <w:lang w:eastAsia="en-GB"/>
        </w:rPr>
      </w:pPr>
      <w:hyperlink w:anchor="_Toc99720794" w:history="1">
        <w:r w:rsidR="00EF35F3" w:rsidRPr="00305E64">
          <w:rPr>
            <w:rStyle w:val="Hyperlink"/>
            <w:noProof/>
          </w:rPr>
          <w:t>Figure 13 Markov model structure</w:t>
        </w:r>
        <w:r w:rsidR="00EF35F3">
          <w:rPr>
            <w:noProof/>
            <w:webHidden/>
          </w:rPr>
          <w:tab/>
        </w:r>
        <w:r w:rsidR="00EF35F3">
          <w:rPr>
            <w:noProof/>
            <w:webHidden/>
          </w:rPr>
          <w:fldChar w:fldCharType="begin"/>
        </w:r>
        <w:r w:rsidR="00EF35F3">
          <w:rPr>
            <w:noProof/>
            <w:webHidden/>
          </w:rPr>
          <w:instrText xml:space="preserve"> PAGEREF _Toc99720794 \h </w:instrText>
        </w:r>
        <w:r w:rsidR="00EF35F3">
          <w:rPr>
            <w:noProof/>
            <w:webHidden/>
          </w:rPr>
        </w:r>
        <w:r w:rsidR="00EF35F3">
          <w:rPr>
            <w:noProof/>
            <w:webHidden/>
          </w:rPr>
          <w:fldChar w:fldCharType="separate"/>
        </w:r>
        <w:r w:rsidR="00EF35F3">
          <w:rPr>
            <w:noProof/>
            <w:webHidden/>
          </w:rPr>
          <w:t>94</w:t>
        </w:r>
        <w:r w:rsidR="00EF35F3">
          <w:rPr>
            <w:noProof/>
            <w:webHidden/>
          </w:rPr>
          <w:fldChar w:fldCharType="end"/>
        </w:r>
      </w:hyperlink>
    </w:p>
    <w:p w14:paraId="48FA2448" w14:textId="511F2F57" w:rsidR="00EF35F3" w:rsidRDefault="00C34531">
      <w:pPr>
        <w:pStyle w:val="TableofFigures"/>
        <w:tabs>
          <w:tab w:val="right" w:leader="dot" w:pos="9016"/>
        </w:tabs>
        <w:rPr>
          <w:rFonts w:eastAsiaTheme="minorEastAsia"/>
          <w:noProof/>
          <w:lang w:eastAsia="en-GB"/>
        </w:rPr>
      </w:pPr>
      <w:hyperlink w:anchor="_Toc99720795" w:history="1">
        <w:r w:rsidR="00EF35F3" w:rsidRPr="00305E64">
          <w:rPr>
            <w:rStyle w:val="Hyperlink"/>
            <w:noProof/>
          </w:rPr>
          <w:t>Figure 14 Incremental net benefit at £20,000/QALY compared to no screening at each combination of sensitivity (x-axis) and specificity (line colour) in adult men. Thick lines are mean and narrow lines are 95% CrI.</w:t>
        </w:r>
        <w:r w:rsidR="00EF35F3">
          <w:rPr>
            <w:noProof/>
            <w:webHidden/>
          </w:rPr>
          <w:tab/>
        </w:r>
        <w:r w:rsidR="00EF35F3">
          <w:rPr>
            <w:noProof/>
            <w:webHidden/>
          </w:rPr>
          <w:fldChar w:fldCharType="begin"/>
        </w:r>
        <w:r w:rsidR="00EF35F3">
          <w:rPr>
            <w:noProof/>
            <w:webHidden/>
          </w:rPr>
          <w:instrText xml:space="preserve"> PAGEREF _Toc99720795 \h </w:instrText>
        </w:r>
        <w:r w:rsidR="00EF35F3">
          <w:rPr>
            <w:noProof/>
            <w:webHidden/>
          </w:rPr>
        </w:r>
        <w:r w:rsidR="00EF35F3">
          <w:rPr>
            <w:noProof/>
            <w:webHidden/>
          </w:rPr>
          <w:fldChar w:fldCharType="separate"/>
        </w:r>
        <w:r w:rsidR="00EF35F3">
          <w:rPr>
            <w:noProof/>
            <w:webHidden/>
          </w:rPr>
          <w:t>109</w:t>
        </w:r>
        <w:r w:rsidR="00EF35F3">
          <w:rPr>
            <w:noProof/>
            <w:webHidden/>
          </w:rPr>
          <w:fldChar w:fldCharType="end"/>
        </w:r>
      </w:hyperlink>
    </w:p>
    <w:p w14:paraId="3F4EBEE4" w14:textId="744F8975" w:rsidR="00EF35F3" w:rsidRDefault="00C34531">
      <w:pPr>
        <w:pStyle w:val="TableofFigures"/>
        <w:tabs>
          <w:tab w:val="right" w:leader="dot" w:pos="9016"/>
        </w:tabs>
        <w:rPr>
          <w:rFonts w:eastAsiaTheme="minorEastAsia"/>
          <w:noProof/>
          <w:lang w:eastAsia="en-GB"/>
        </w:rPr>
      </w:pPr>
      <w:hyperlink w:anchor="_Toc99720796" w:history="1">
        <w:r w:rsidR="00EF35F3" w:rsidRPr="00305E64">
          <w:rPr>
            <w:rStyle w:val="Hyperlink"/>
            <w:noProof/>
          </w:rPr>
          <w:t>Figure 15 Probability cost-effective at £20,000/QALY compared to no screening at each combination of sensitivity (x-axis) and specificity (line colour) in adult men</w:t>
        </w:r>
        <w:r w:rsidR="00EF35F3">
          <w:rPr>
            <w:noProof/>
            <w:webHidden/>
          </w:rPr>
          <w:tab/>
        </w:r>
        <w:r w:rsidR="00EF35F3">
          <w:rPr>
            <w:noProof/>
            <w:webHidden/>
          </w:rPr>
          <w:fldChar w:fldCharType="begin"/>
        </w:r>
        <w:r w:rsidR="00EF35F3">
          <w:rPr>
            <w:noProof/>
            <w:webHidden/>
          </w:rPr>
          <w:instrText xml:space="preserve"> PAGEREF _Toc99720796 \h </w:instrText>
        </w:r>
        <w:r w:rsidR="00EF35F3">
          <w:rPr>
            <w:noProof/>
            <w:webHidden/>
          </w:rPr>
        </w:r>
        <w:r w:rsidR="00EF35F3">
          <w:rPr>
            <w:noProof/>
            <w:webHidden/>
          </w:rPr>
          <w:fldChar w:fldCharType="separate"/>
        </w:r>
        <w:r w:rsidR="00EF35F3">
          <w:rPr>
            <w:noProof/>
            <w:webHidden/>
          </w:rPr>
          <w:t>110</w:t>
        </w:r>
        <w:r w:rsidR="00EF35F3">
          <w:rPr>
            <w:noProof/>
            <w:webHidden/>
          </w:rPr>
          <w:fldChar w:fldCharType="end"/>
        </w:r>
      </w:hyperlink>
    </w:p>
    <w:p w14:paraId="4AFDF769" w14:textId="451BB8FB" w:rsidR="00EF35F3" w:rsidRDefault="00C34531">
      <w:pPr>
        <w:pStyle w:val="TableofFigures"/>
        <w:tabs>
          <w:tab w:val="right" w:leader="dot" w:pos="9016"/>
        </w:tabs>
        <w:rPr>
          <w:rFonts w:eastAsiaTheme="minorEastAsia"/>
          <w:noProof/>
          <w:lang w:eastAsia="en-GB"/>
        </w:rPr>
      </w:pPr>
      <w:hyperlink w:anchor="_Toc99720797" w:history="1">
        <w:r w:rsidR="00EF35F3" w:rsidRPr="00305E64">
          <w:rPr>
            <w:rStyle w:val="Hyperlink"/>
            <w:rFonts w:cstheme="minorHAnsi"/>
            <w:noProof/>
          </w:rPr>
          <w:t>Figure 16. Cost-effectiveness acceptability curves for strategies of interest in adult men</w:t>
        </w:r>
        <w:r w:rsidR="00EF35F3">
          <w:rPr>
            <w:noProof/>
            <w:webHidden/>
          </w:rPr>
          <w:tab/>
        </w:r>
        <w:r w:rsidR="00EF35F3">
          <w:rPr>
            <w:noProof/>
            <w:webHidden/>
          </w:rPr>
          <w:fldChar w:fldCharType="begin"/>
        </w:r>
        <w:r w:rsidR="00EF35F3">
          <w:rPr>
            <w:noProof/>
            <w:webHidden/>
          </w:rPr>
          <w:instrText xml:space="preserve"> PAGEREF _Toc99720797 \h </w:instrText>
        </w:r>
        <w:r w:rsidR="00EF35F3">
          <w:rPr>
            <w:noProof/>
            <w:webHidden/>
          </w:rPr>
        </w:r>
        <w:r w:rsidR="00EF35F3">
          <w:rPr>
            <w:noProof/>
            <w:webHidden/>
          </w:rPr>
          <w:fldChar w:fldCharType="separate"/>
        </w:r>
        <w:r w:rsidR="00EF35F3">
          <w:rPr>
            <w:noProof/>
            <w:webHidden/>
          </w:rPr>
          <w:t>113</w:t>
        </w:r>
        <w:r w:rsidR="00EF35F3">
          <w:rPr>
            <w:noProof/>
            <w:webHidden/>
          </w:rPr>
          <w:fldChar w:fldCharType="end"/>
        </w:r>
      </w:hyperlink>
    </w:p>
    <w:p w14:paraId="0C095508" w14:textId="69B3CEF2" w:rsidR="00EF35F3" w:rsidRDefault="00C34531">
      <w:pPr>
        <w:pStyle w:val="TableofFigures"/>
        <w:tabs>
          <w:tab w:val="right" w:leader="dot" w:pos="9016"/>
        </w:tabs>
        <w:rPr>
          <w:rFonts w:eastAsiaTheme="minorEastAsia"/>
          <w:noProof/>
          <w:lang w:eastAsia="en-GB"/>
        </w:rPr>
      </w:pPr>
      <w:hyperlink w:anchor="_Toc99720798" w:history="1">
        <w:r w:rsidR="00EF35F3" w:rsidRPr="00305E64">
          <w:rPr>
            <w:rStyle w:val="Hyperlink"/>
            <w:noProof/>
          </w:rPr>
          <w:t>Figure 17 Ratio of EVPPI for each parameter to total EVPI in adult men. Only ten most influential parameters included. Remaining parameters have minimal influence on results*</w:t>
        </w:r>
        <w:r w:rsidR="00EF35F3">
          <w:rPr>
            <w:noProof/>
            <w:webHidden/>
          </w:rPr>
          <w:tab/>
        </w:r>
        <w:r w:rsidR="00EF35F3">
          <w:rPr>
            <w:noProof/>
            <w:webHidden/>
          </w:rPr>
          <w:fldChar w:fldCharType="begin"/>
        </w:r>
        <w:r w:rsidR="00EF35F3">
          <w:rPr>
            <w:noProof/>
            <w:webHidden/>
          </w:rPr>
          <w:instrText xml:space="preserve"> PAGEREF _Toc99720798 \h </w:instrText>
        </w:r>
        <w:r w:rsidR="00EF35F3">
          <w:rPr>
            <w:noProof/>
            <w:webHidden/>
          </w:rPr>
        </w:r>
        <w:r w:rsidR="00EF35F3">
          <w:rPr>
            <w:noProof/>
            <w:webHidden/>
          </w:rPr>
          <w:fldChar w:fldCharType="separate"/>
        </w:r>
        <w:r w:rsidR="00EF35F3">
          <w:rPr>
            <w:noProof/>
            <w:webHidden/>
          </w:rPr>
          <w:t>114</w:t>
        </w:r>
        <w:r w:rsidR="00EF35F3">
          <w:rPr>
            <w:noProof/>
            <w:webHidden/>
          </w:rPr>
          <w:fldChar w:fldCharType="end"/>
        </w:r>
      </w:hyperlink>
    </w:p>
    <w:p w14:paraId="5D0FDE3C" w14:textId="529B54BA" w:rsidR="00EF35F3" w:rsidRDefault="00C34531">
      <w:pPr>
        <w:pStyle w:val="TableofFigures"/>
        <w:tabs>
          <w:tab w:val="right" w:leader="dot" w:pos="9016"/>
        </w:tabs>
        <w:rPr>
          <w:rFonts w:eastAsiaTheme="minorEastAsia"/>
          <w:noProof/>
          <w:lang w:eastAsia="en-GB"/>
        </w:rPr>
      </w:pPr>
      <w:hyperlink w:anchor="_Toc99720799" w:history="1">
        <w:r w:rsidR="00EF35F3" w:rsidRPr="00305E64">
          <w:rPr>
            <w:rStyle w:val="Hyperlink"/>
            <w:noProof/>
          </w:rPr>
          <w:t>Figure 18 Incremental net benefit at £20,000/QALY compared to no screening at each combination of sensitivity (x-axis) and specificity (line colour) in adult women. Thick lines are mean and narrow lines are 95% CrI.</w:t>
        </w:r>
        <w:r w:rsidR="00EF35F3">
          <w:rPr>
            <w:noProof/>
            <w:webHidden/>
          </w:rPr>
          <w:tab/>
        </w:r>
        <w:r w:rsidR="00EF35F3">
          <w:rPr>
            <w:noProof/>
            <w:webHidden/>
          </w:rPr>
          <w:fldChar w:fldCharType="begin"/>
        </w:r>
        <w:r w:rsidR="00EF35F3">
          <w:rPr>
            <w:noProof/>
            <w:webHidden/>
          </w:rPr>
          <w:instrText xml:space="preserve"> PAGEREF _Toc99720799 \h </w:instrText>
        </w:r>
        <w:r w:rsidR="00EF35F3">
          <w:rPr>
            <w:noProof/>
            <w:webHidden/>
          </w:rPr>
        </w:r>
        <w:r w:rsidR="00EF35F3">
          <w:rPr>
            <w:noProof/>
            <w:webHidden/>
          </w:rPr>
          <w:fldChar w:fldCharType="separate"/>
        </w:r>
        <w:r w:rsidR="00EF35F3">
          <w:rPr>
            <w:noProof/>
            <w:webHidden/>
          </w:rPr>
          <w:t>116</w:t>
        </w:r>
        <w:r w:rsidR="00EF35F3">
          <w:rPr>
            <w:noProof/>
            <w:webHidden/>
          </w:rPr>
          <w:fldChar w:fldCharType="end"/>
        </w:r>
      </w:hyperlink>
    </w:p>
    <w:p w14:paraId="44CD84D4" w14:textId="698642FC" w:rsidR="00EF35F3" w:rsidRDefault="00C34531">
      <w:pPr>
        <w:pStyle w:val="TableofFigures"/>
        <w:tabs>
          <w:tab w:val="right" w:leader="dot" w:pos="9016"/>
        </w:tabs>
        <w:rPr>
          <w:rFonts w:eastAsiaTheme="minorEastAsia"/>
          <w:noProof/>
          <w:lang w:eastAsia="en-GB"/>
        </w:rPr>
      </w:pPr>
      <w:hyperlink w:anchor="_Toc99720800" w:history="1">
        <w:r w:rsidR="00EF35F3" w:rsidRPr="00305E64">
          <w:rPr>
            <w:rStyle w:val="Hyperlink"/>
            <w:rFonts w:cstheme="minorHAnsi"/>
            <w:noProof/>
          </w:rPr>
          <w:t>Figure 19. Probability cost-effective at £20,000/QALY compared to no screening at each combination of sensitivity (x-axis) and specificity (line colour) in adult women</w:t>
        </w:r>
        <w:r w:rsidR="00EF35F3">
          <w:rPr>
            <w:noProof/>
            <w:webHidden/>
          </w:rPr>
          <w:tab/>
        </w:r>
        <w:r w:rsidR="00EF35F3">
          <w:rPr>
            <w:noProof/>
            <w:webHidden/>
          </w:rPr>
          <w:fldChar w:fldCharType="begin"/>
        </w:r>
        <w:r w:rsidR="00EF35F3">
          <w:rPr>
            <w:noProof/>
            <w:webHidden/>
          </w:rPr>
          <w:instrText xml:space="preserve"> PAGEREF _Toc99720800 \h </w:instrText>
        </w:r>
        <w:r w:rsidR="00EF35F3">
          <w:rPr>
            <w:noProof/>
            <w:webHidden/>
          </w:rPr>
        </w:r>
        <w:r w:rsidR="00EF35F3">
          <w:rPr>
            <w:noProof/>
            <w:webHidden/>
          </w:rPr>
          <w:fldChar w:fldCharType="separate"/>
        </w:r>
        <w:r w:rsidR="00EF35F3">
          <w:rPr>
            <w:noProof/>
            <w:webHidden/>
          </w:rPr>
          <w:t>117</w:t>
        </w:r>
        <w:r w:rsidR="00EF35F3">
          <w:rPr>
            <w:noProof/>
            <w:webHidden/>
          </w:rPr>
          <w:fldChar w:fldCharType="end"/>
        </w:r>
      </w:hyperlink>
    </w:p>
    <w:p w14:paraId="1B6D9B79" w14:textId="4E9D2B40" w:rsidR="00EF35F3" w:rsidRDefault="00C34531">
      <w:pPr>
        <w:pStyle w:val="TableofFigures"/>
        <w:tabs>
          <w:tab w:val="right" w:leader="dot" w:pos="9016"/>
        </w:tabs>
        <w:rPr>
          <w:rFonts w:eastAsiaTheme="minorEastAsia"/>
          <w:noProof/>
          <w:lang w:eastAsia="en-GB"/>
        </w:rPr>
      </w:pPr>
      <w:hyperlink w:anchor="_Toc99720801" w:history="1">
        <w:r w:rsidR="00EF35F3" w:rsidRPr="00305E64">
          <w:rPr>
            <w:rStyle w:val="Hyperlink"/>
            <w:rFonts w:cstheme="minorHAnsi"/>
            <w:noProof/>
          </w:rPr>
          <w:t>Figure 20. Cost-effectiveness acceptability curves for strategies of interest in adult women</w:t>
        </w:r>
        <w:r w:rsidR="00EF35F3">
          <w:rPr>
            <w:noProof/>
            <w:webHidden/>
          </w:rPr>
          <w:tab/>
        </w:r>
        <w:r w:rsidR="00EF35F3">
          <w:rPr>
            <w:noProof/>
            <w:webHidden/>
          </w:rPr>
          <w:fldChar w:fldCharType="begin"/>
        </w:r>
        <w:r w:rsidR="00EF35F3">
          <w:rPr>
            <w:noProof/>
            <w:webHidden/>
          </w:rPr>
          <w:instrText xml:space="preserve"> PAGEREF _Toc99720801 \h </w:instrText>
        </w:r>
        <w:r w:rsidR="00EF35F3">
          <w:rPr>
            <w:noProof/>
            <w:webHidden/>
          </w:rPr>
        </w:r>
        <w:r w:rsidR="00EF35F3">
          <w:rPr>
            <w:noProof/>
            <w:webHidden/>
          </w:rPr>
          <w:fldChar w:fldCharType="separate"/>
        </w:r>
        <w:r w:rsidR="00EF35F3">
          <w:rPr>
            <w:noProof/>
            <w:webHidden/>
          </w:rPr>
          <w:t>119</w:t>
        </w:r>
        <w:r w:rsidR="00EF35F3">
          <w:rPr>
            <w:noProof/>
            <w:webHidden/>
          </w:rPr>
          <w:fldChar w:fldCharType="end"/>
        </w:r>
      </w:hyperlink>
    </w:p>
    <w:p w14:paraId="56F23E5B" w14:textId="512D1424" w:rsidR="00EF35F3" w:rsidRDefault="00C34531">
      <w:pPr>
        <w:pStyle w:val="TableofFigures"/>
        <w:tabs>
          <w:tab w:val="right" w:leader="dot" w:pos="9016"/>
        </w:tabs>
        <w:rPr>
          <w:rFonts w:eastAsiaTheme="minorEastAsia"/>
          <w:noProof/>
          <w:lang w:eastAsia="en-GB"/>
        </w:rPr>
      </w:pPr>
      <w:hyperlink w:anchor="_Toc99720802" w:history="1">
        <w:r w:rsidR="00EF35F3" w:rsidRPr="00305E64">
          <w:rPr>
            <w:rStyle w:val="Hyperlink"/>
            <w:noProof/>
          </w:rPr>
          <w:t>Figure 21 Ratio of EVPPI for each parameter to total EVPI in adult women. Only ten most influential parameters included. Remaining parameters have minimal influence on results*</w:t>
        </w:r>
        <w:r w:rsidR="00EF35F3">
          <w:rPr>
            <w:noProof/>
            <w:webHidden/>
          </w:rPr>
          <w:tab/>
        </w:r>
        <w:r w:rsidR="00EF35F3">
          <w:rPr>
            <w:noProof/>
            <w:webHidden/>
          </w:rPr>
          <w:fldChar w:fldCharType="begin"/>
        </w:r>
        <w:r w:rsidR="00EF35F3">
          <w:rPr>
            <w:noProof/>
            <w:webHidden/>
          </w:rPr>
          <w:instrText xml:space="preserve"> PAGEREF _Toc99720802 \h </w:instrText>
        </w:r>
        <w:r w:rsidR="00EF35F3">
          <w:rPr>
            <w:noProof/>
            <w:webHidden/>
          </w:rPr>
        </w:r>
        <w:r w:rsidR="00EF35F3">
          <w:rPr>
            <w:noProof/>
            <w:webHidden/>
          </w:rPr>
          <w:fldChar w:fldCharType="separate"/>
        </w:r>
        <w:r w:rsidR="00EF35F3">
          <w:rPr>
            <w:noProof/>
            <w:webHidden/>
          </w:rPr>
          <w:t>120</w:t>
        </w:r>
        <w:r w:rsidR="00EF35F3">
          <w:rPr>
            <w:noProof/>
            <w:webHidden/>
          </w:rPr>
          <w:fldChar w:fldCharType="end"/>
        </w:r>
      </w:hyperlink>
    </w:p>
    <w:p w14:paraId="264F1B40" w14:textId="48568CF2" w:rsidR="00EF35F3" w:rsidRDefault="00C34531">
      <w:pPr>
        <w:pStyle w:val="TableofFigures"/>
        <w:tabs>
          <w:tab w:val="right" w:leader="dot" w:pos="9016"/>
        </w:tabs>
        <w:rPr>
          <w:rFonts w:eastAsiaTheme="minorEastAsia"/>
          <w:noProof/>
          <w:lang w:eastAsia="en-GB"/>
        </w:rPr>
      </w:pPr>
      <w:hyperlink w:anchor="_Toc99720803" w:history="1">
        <w:r w:rsidR="00EF35F3" w:rsidRPr="00305E64">
          <w:rPr>
            <w:rStyle w:val="Hyperlink"/>
            <w:rFonts w:cstheme="minorHAnsi"/>
            <w:noProof/>
          </w:rPr>
          <w:t>Figure 22. Incremental net benefit at £20,000/QALY compared to no screening at each combination of sensitivity (x-axis) and specificity (line colour) in children. Thick lines are mean and narrow lines are 95% CrI.</w:t>
        </w:r>
        <w:r w:rsidR="00EF35F3">
          <w:rPr>
            <w:noProof/>
            <w:webHidden/>
          </w:rPr>
          <w:tab/>
        </w:r>
        <w:r w:rsidR="00EF35F3">
          <w:rPr>
            <w:noProof/>
            <w:webHidden/>
          </w:rPr>
          <w:fldChar w:fldCharType="begin"/>
        </w:r>
        <w:r w:rsidR="00EF35F3">
          <w:rPr>
            <w:noProof/>
            <w:webHidden/>
          </w:rPr>
          <w:instrText xml:space="preserve"> PAGEREF _Toc99720803 \h </w:instrText>
        </w:r>
        <w:r w:rsidR="00EF35F3">
          <w:rPr>
            <w:noProof/>
            <w:webHidden/>
          </w:rPr>
        </w:r>
        <w:r w:rsidR="00EF35F3">
          <w:rPr>
            <w:noProof/>
            <w:webHidden/>
          </w:rPr>
          <w:fldChar w:fldCharType="separate"/>
        </w:r>
        <w:r w:rsidR="00EF35F3">
          <w:rPr>
            <w:noProof/>
            <w:webHidden/>
          </w:rPr>
          <w:t>121</w:t>
        </w:r>
        <w:r w:rsidR="00EF35F3">
          <w:rPr>
            <w:noProof/>
            <w:webHidden/>
          </w:rPr>
          <w:fldChar w:fldCharType="end"/>
        </w:r>
      </w:hyperlink>
    </w:p>
    <w:p w14:paraId="43D53932" w14:textId="5EB0EFF6" w:rsidR="00EF35F3" w:rsidRDefault="00C34531">
      <w:pPr>
        <w:pStyle w:val="TableofFigures"/>
        <w:tabs>
          <w:tab w:val="right" w:leader="dot" w:pos="9016"/>
        </w:tabs>
        <w:rPr>
          <w:rFonts w:eastAsiaTheme="minorEastAsia"/>
          <w:noProof/>
          <w:lang w:eastAsia="en-GB"/>
        </w:rPr>
      </w:pPr>
      <w:hyperlink w:anchor="_Toc99720804" w:history="1">
        <w:r w:rsidR="00EF35F3" w:rsidRPr="00305E64">
          <w:rPr>
            <w:rStyle w:val="Hyperlink"/>
            <w:rFonts w:cstheme="minorHAnsi"/>
            <w:noProof/>
          </w:rPr>
          <w:t>Figure 23. Probability cost-effective at £20,000/QALY compared to no screening at each combination of sensitivity (x-axis) and specificity (line colour) in children</w:t>
        </w:r>
        <w:r w:rsidR="00EF35F3">
          <w:rPr>
            <w:noProof/>
            <w:webHidden/>
          </w:rPr>
          <w:tab/>
        </w:r>
        <w:r w:rsidR="00EF35F3">
          <w:rPr>
            <w:noProof/>
            <w:webHidden/>
          </w:rPr>
          <w:fldChar w:fldCharType="begin"/>
        </w:r>
        <w:r w:rsidR="00EF35F3">
          <w:rPr>
            <w:noProof/>
            <w:webHidden/>
          </w:rPr>
          <w:instrText xml:space="preserve"> PAGEREF _Toc99720804 \h </w:instrText>
        </w:r>
        <w:r w:rsidR="00EF35F3">
          <w:rPr>
            <w:noProof/>
            <w:webHidden/>
          </w:rPr>
        </w:r>
        <w:r w:rsidR="00EF35F3">
          <w:rPr>
            <w:noProof/>
            <w:webHidden/>
          </w:rPr>
          <w:fldChar w:fldCharType="separate"/>
        </w:r>
        <w:r w:rsidR="00EF35F3">
          <w:rPr>
            <w:noProof/>
            <w:webHidden/>
          </w:rPr>
          <w:t>122</w:t>
        </w:r>
        <w:r w:rsidR="00EF35F3">
          <w:rPr>
            <w:noProof/>
            <w:webHidden/>
          </w:rPr>
          <w:fldChar w:fldCharType="end"/>
        </w:r>
      </w:hyperlink>
    </w:p>
    <w:p w14:paraId="66000FEC" w14:textId="008AACCE" w:rsidR="00EF35F3" w:rsidRDefault="00C34531">
      <w:pPr>
        <w:pStyle w:val="TableofFigures"/>
        <w:tabs>
          <w:tab w:val="right" w:leader="dot" w:pos="9016"/>
        </w:tabs>
        <w:rPr>
          <w:rFonts w:eastAsiaTheme="minorEastAsia"/>
          <w:noProof/>
          <w:lang w:eastAsia="en-GB"/>
        </w:rPr>
      </w:pPr>
      <w:hyperlink w:anchor="_Toc99720805" w:history="1">
        <w:r w:rsidR="00EF35F3" w:rsidRPr="00305E64">
          <w:rPr>
            <w:rStyle w:val="Hyperlink"/>
            <w:rFonts w:cstheme="minorHAnsi"/>
            <w:noProof/>
          </w:rPr>
          <w:t>Figure 24. Cost-effectiveness acceptability curves for strategies of interest in children</w:t>
        </w:r>
        <w:r w:rsidR="00EF35F3">
          <w:rPr>
            <w:noProof/>
            <w:webHidden/>
          </w:rPr>
          <w:tab/>
        </w:r>
        <w:r w:rsidR="00EF35F3">
          <w:rPr>
            <w:noProof/>
            <w:webHidden/>
          </w:rPr>
          <w:fldChar w:fldCharType="begin"/>
        </w:r>
        <w:r w:rsidR="00EF35F3">
          <w:rPr>
            <w:noProof/>
            <w:webHidden/>
          </w:rPr>
          <w:instrText xml:space="preserve"> PAGEREF _Toc99720805 \h </w:instrText>
        </w:r>
        <w:r w:rsidR="00EF35F3">
          <w:rPr>
            <w:noProof/>
            <w:webHidden/>
          </w:rPr>
        </w:r>
        <w:r w:rsidR="00EF35F3">
          <w:rPr>
            <w:noProof/>
            <w:webHidden/>
          </w:rPr>
          <w:fldChar w:fldCharType="separate"/>
        </w:r>
        <w:r w:rsidR="00EF35F3">
          <w:rPr>
            <w:noProof/>
            <w:webHidden/>
          </w:rPr>
          <w:t>125</w:t>
        </w:r>
        <w:r w:rsidR="00EF35F3">
          <w:rPr>
            <w:noProof/>
            <w:webHidden/>
          </w:rPr>
          <w:fldChar w:fldCharType="end"/>
        </w:r>
      </w:hyperlink>
    </w:p>
    <w:p w14:paraId="2B6FCBFE" w14:textId="275FD802" w:rsidR="00EF35F3" w:rsidRDefault="00C34531">
      <w:pPr>
        <w:pStyle w:val="TableofFigures"/>
        <w:tabs>
          <w:tab w:val="right" w:leader="dot" w:pos="9016"/>
        </w:tabs>
        <w:rPr>
          <w:rFonts w:eastAsiaTheme="minorEastAsia"/>
          <w:noProof/>
          <w:lang w:eastAsia="en-GB"/>
        </w:rPr>
      </w:pPr>
      <w:hyperlink w:anchor="_Toc99720806" w:history="1">
        <w:r w:rsidR="00EF35F3" w:rsidRPr="00305E64">
          <w:rPr>
            <w:rStyle w:val="Hyperlink"/>
            <w:noProof/>
          </w:rPr>
          <w:t>Figure 25 Ratio of EVPPI for each parameter to total EVPI in children. Only ten most influential parameters included. Note that log_or_osteoporosis_GFD is high, but this is due to numerical failure of the algorithm. Remaining parameters have minimal influence on results*</w:t>
        </w:r>
        <w:r w:rsidR="00EF35F3">
          <w:rPr>
            <w:noProof/>
            <w:webHidden/>
          </w:rPr>
          <w:tab/>
        </w:r>
        <w:r w:rsidR="00EF35F3">
          <w:rPr>
            <w:noProof/>
            <w:webHidden/>
          </w:rPr>
          <w:fldChar w:fldCharType="begin"/>
        </w:r>
        <w:r w:rsidR="00EF35F3">
          <w:rPr>
            <w:noProof/>
            <w:webHidden/>
          </w:rPr>
          <w:instrText xml:space="preserve"> PAGEREF _Toc99720806 \h </w:instrText>
        </w:r>
        <w:r w:rsidR="00EF35F3">
          <w:rPr>
            <w:noProof/>
            <w:webHidden/>
          </w:rPr>
        </w:r>
        <w:r w:rsidR="00EF35F3">
          <w:rPr>
            <w:noProof/>
            <w:webHidden/>
          </w:rPr>
          <w:fldChar w:fldCharType="separate"/>
        </w:r>
        <w:r w:rsidR="00EF35F3">
          <w:rPr>
            <w:noProof/>
            <w:webHidden/>
          </w:rPr>
          <w:t>126</w:t>
        </w:r>
        <w:r w:rsidR="00EF35F3">
          <w:rPr>
            <w:noProof/>
            <w:webHidden/>
          </w:rPr>
          <w:fldChar w:fldCharType="end"/>
        </w:r>
      </w:hyperlink>
    </w:p>
    <w:p w14:paraId="7AF1A164" w14:textId="6A1039FD" w:rsidR="00EF35F3" w:rsidRDefault="00C34531">
      <w:pPr>
        <w:pStyle w:val="TableofFigures"/>
        <w:tabs>
          <w:tab w:val="right" w:leader="dot" w:pos="9016"/>
        </w:tabs>
        <w:rPr>
          <w:rFonts w:eastAsiaTheme="minorEastAsia"/>
          <w:noProof/>
          <w:lang w:eastAsia="en-GB"/>
        </w:rPr>
      </w:pPr>
      <w:hyperlink w:anchor="_Toc99720807" w:history="1">
        <w:r w:rsidR="00EF35F3" w:rsidRPr="00305E64">
          <w:rPr>
            <w:rStyle w:val="Hyperlink"/>
            <w:noProof/>
          </w:rPr>
          <w:t>Figure 26 PRISMA flow diagram</w:t>
        </w:r>
        <w:r w:rsidR="00EF35F3">
          <w:rPr>
            <w:noProof/>
            <w:webHidden/>
          </w:rPr>
          <w:tab/>
        </w:r>
        <w:r w:rsidR="00EF35F3">
          <w:rPr>
            <w:noProof/>
            <w:webHidden/>
          </w:rPr>
          <w:fldChar w:fldCharType="begin"/>
        </w:r>
        <w:r w:rsidR="00EF35F3">
          <w:rPr>
            <w:noProof/>
            <w:webHidden/>
          </w:rPr>
          <w:instrText xml:space="preserve"> PAGEREF _Toc99720807 \h </w:instrText>
        </w:r>
        <w:r w:rsidR="00EF35F3">
          <w:rPr>
            <w:noProof/>
            <w:webHidden/>
          </w:rPr>
        </w:r>
        <w:r w:rsidR="00EF35F3">
          <w:rPr>
            <w:noProof/>
            <w:webHidden/>
          </w:rPr>
          <w:fldChar w:fldCharType="separate"/>
        </w:r>
        <w:r w:rsidR="00EF35F3">
          <w:rPr>
            <w:noProof/>
            <w:webHidden/>
          </w:rPr>
          <w:t>187</w:t>
        </w:r>
        <w:r w:rsidR="00EF35F3">
          <w:rPr>
            <w:noProof/>
            <w:webHidden/>
          </w:rPr>
          <w:fldChar w:fldCharType="end"/>
        </w:r>
      </w:hyperlink>
    </w:p>
    <w:p w14:paraId="22C97C88" w14:textId="2CE24896" w:rsidR="00EF35F3" w:rsidRDefault="00C34531">
      <w:pPr>
        <w:pStyle w:val="TableofFigures"/>
        <w:tabs>
          <w:tab w:val="right" w:leader="dot" w:pos="9016"/>
        </w:tabs>
        <w:rPr>
          <w:rFonts w:eastAsiaTheme="minorEastAsia"/>
          <w:noProof/>
          <w:lang w:eastAsia="en-GB"/>
        </w:rPr>
      </w:pPr>
      <w:hyperlink w:anchor="_Toc99720808" w:history="1">
        <w:r w:rsidR="00EF35F3" w:rsidRPr="00305E64">
          <w:rPr>
            <w:rStyle w:val="Hyperlink"/>
            <w:noProof/>
          </w:rPr>
          <w:t>Figure 27 Summary graphs of risk of bias</w:t>
        </w:r>
        <w:r w:rsidR="00EF35F3">
          <w:rPr>
            <w:noProof/>
            <w:webHidden/>
          </w:rPr>
          <w:tab/>
        </w:r>
        <w:r w:rsidR="00EF35F3">
          <w:rPr>
            <w:noProof/>
            <w:webHidden/>
          </w:rPr>
          <w:fldChar w:fldCharType="begin"/>
        </w:r>
        <w:r w:rsidR="00EF35F3">
          <w:rPr>
            <w:noProof/>
            <w:webHidden/>
          </w:rPr>
          <w:instrText xml:space="preserve"> PAGEREF _Toc99720808 \h </w:instrText>
        </w:r>
        <w:r w:rsidR="00EF35F3">
          <w:rPr>
            <w:noProof/>
            <w:webHidden/>
          </w:rPr>
        </w:r>
        <w:r w:rsidR="00EF35F3">
          <w:rPr>
            <w:noProof/>
            <w:webHidden/>
          </w:rPr>
          <w:fldChar w:fldCharType="separate"/>
        </w:r>
        <w:r w:rsidR="00EF35F3">
          <w:rPr>
            <w:noProof/>
            <w:webHidden/>
          </w:rPr>
          <w:t>219</w:t>
        </w:r>
        <w:r w:rsidR="00EF35F3">
          <w:rPr>
            <w:noProof/>
            <w:webHidden/>
          </w:rPr>
          <w:fldChar w:fldCharType="end"/>
        </w:r>
      </w:hyperlink>
    </w:p>
    <w:p w14:paraId="26BB22FB" w14:textId="06734EB8" w:rsidR="00EF35F3" w:rsidRDefault="00C34531">
      <w:pPr>
        <w:pStyle w:val="TableofFigures"/>
        <w:tabs>
          <w:tab w:val="right" w:leader="dot" w:pos="9016"/>
        </w:tabs>
        <w:rPr>
          <w:rFonts w:eastAsiaTheme="minorEastAsia"/>
          <w:noProof/>
          <w:lang w:eastAsia="en-GB"/>
        </w:rPr>
      </w:pPr>
      <w:hyperlink w:anchor="_Toc99720809" w:history="1">
        <w:r w:rsidR="00EF35F3" w:rsidRPr="00305E64">
          <w:rPr>
            <w:rStyle w:val="Hyperlink"/>
            <w:noProof/>
          </w:rPr>
          <w:t>Figure 28 Forest plot abdominal pain</w:t>
        </w:r>
        <w:r w:rsidR="00EF35F3">
          <w:rPr>
            <w:noProof/>
            <w:webHidden/>
          </w:rPr>
          <w:tab/>
        </w:r>
        <w:r w:rsidR="00EF35F3">
          <w:rPr>
            <w:noProof/>
            <w:webHidden/>
          </w:rPr>
          <w:fldChar w:fldCharType="begin"/>
        </w:r>
        <w:r w:rsidR="00EF35F3">
          <w:rPr>
            <w:noProof/>
            <w:webHidden/>
          </w:rPr>
          <w:instrText xml:space="preserve"> PAGEREF _Toc99720809 \h </w:instrText>
        </w:r>
        <w:r w:rsidR="00EF35F3">
          <w:rPr>
            <w:noProof/>
            <w:webHidden/>
          </w:rPr>
        </w:r>
        <w:r w:rsidR="00EF35F3">
          <w:rPr>
            <w:noProof/>
            <w:webHidden/>
          </w:rPr>
          <w:fldChar w:fldCharType="separate"/>
        </w:r>
        <w:r w:rsidR="00EF35F3">
          <w:rPr>
            <w:noProof/>
            <w:webHidden/>
          </w:rPr>
          <w:t>220</w:t>
        </w:r>
        <w:r w:rsidR="00EF35F3">
          <w:rPr>
            <w:noProof/>
            <w:webHidden/>
          </w:rPr>
          <w:fldChar w:fldCharType="end"/>
        </w:r>
      </w:hyperlink>
    </w:p>
    <w:p w14:paraId="7439CC26" w14:textId="6D8A94AA" w:rsidR="00EF35F3" w:rsidRDefault="00C34531">
      <w:pPr>
        <w:pStyle w:val="TableofFigures"/>
        <w:tabs>
          <w:tab w:val="right" w:leader="dot" w:pos="9016"/>
        </w:tabs>
        <w:rPr>
          <w:rFonts w:eastAsiaTheme="minorEastAsia"/>
          <w:noProof/>
          <w:lang w:eastAsia="en-GB"/>
        </w:rPr>
      </w:pPr>
      <w:hyperlink w:anchor="_Toc99720810" w:history="1">
        <w:r w:rsidR="00EF35F3" w:rsidRPr="00305E64">
          <w:rPr>
            <w:rStyle w:val="Hyperlink"/>
            <w:noProof/>
          </w:rPr>
          <w:t>Figure 29 Forest plot acid reflux symptoms</w:t>
        </w:r>
        <w:r w:rsidR="00EF35F3">
          <w:rPr>
            <w:noProof/>
            <w:webHidden/>
          </w:rPr>
          <w:tab/>
        </w:r>
        <w:r w:rsidR="00EF35F3">
          <w:rPr>
            <w:noProof/>
            <w:webHidden/>
          </w:rPr>
          <w:fldChar w:fldCharType="begin"/>
        </w:r>
        <w:r w:rsidR="00EF35F3">
          <w:rPr>
            <w:noProof/>
            <w:webHidden/>
          </w:rPr>
          <w:instrText xml:space="preserve"> PAGEREF _Toc99720810 \h </w:instrText>
        </w:r>
        <w:r w:rsidR="00EF35F3">
          <w:rPr>
            <w:noProof/>
            <w:webHidden/>
          </w:rPr>
        </w:r>
        <w:r w:rsidR="00EF35F3">
          <w:rPr>
            <w:noProof/>
            <w:webHidden/>
          </w:rPr>
          <w:fldChar w:fldCharType="separate"/>
        </w:r>
        <w:r w:rsidR="00EF35F3">
          <w:rPr>
            <w:noProof/>
            <w:webHidden/>
          </w:rPr>
          <w:t>221</w:t>
        </w:r>
        <w:r w:rsidR="00EF35F3">
          <w:rPr>
            <w:noProof/>
            <w:webHidden/>
          </w:rPr>
          <w:fldChar w:fldCharType="end"/>
        </w:r>
      </w:hyperlink>
    </w:p>
    <w:p w14:paraId="6859CD41" w14:textId="19FF1818" w:rsidR="00EF35F3" w:rsidRDefault="00C34531">
      <w:pPr>
        <w:pStyle w:val="TableofFigures"/>
        <w:tabs>
          <w:tab w:val="right" w:leader="dot" w:pos="9016"/>
        </w:tabs>
        <w:rPr>
          <w:rFonts w:eastAsiaTheme="minorEastAsia"/>
          <w:noProof/>
          <w:lang w:eastAsia="en-GB"/>
        </w:rPr>
      </w:pPr>
      <w:hyperlink w:anchor="_Toc99720811" w:history="1">
        <w:r w:rsidR="00EF35F3" w:rsidRPr="00305E64">
          <w:rPr>
            <w:rStyle w:val="Hyperlink"/>
            <w:noProof/>
          </w:rPr>
          <w:t>Figure 30 Forest plot bloating or abdominal distension</w:t>
        </w:r>
        <w:r w:rsidR="00EF35F3">
          <w:rPr>
            <w:noProof/>
            <w:webHidden/>
          </w:rPr>
          <w:tab/>
        </w:r>
        <w:r w:rsidR="00EF35F3">
          <w:rPr>
            <w:noProof/>
            <w:webHidden/>
          </w:rPr>
          <w:fldChar w:fldCharType="begin"/>
        </w:r>
        <w:r w:rsidR="00EF35F3">
          <w:rPr>
            <w:noProof/>
            <w:webHidden/>
          </w:rPr>
          <w:instrText xml:space="preserve"> PAGEREF _Toc99720811 \h </w:instrText>
        </w:r>
        <w:r w:rsidR="00EF35F3">
          <w:rPr>
            <w:noProof/>
            <w:webHidden/>
          </w:rPr>
        </w:r>
        <w:r w:rsidR="00EF35F3">
          <w:rPr>
            <w:noProof/>
            <w:webHidden/>
          </w:rPr>
          <w:fldChar w:fldCharType="separate"/>
        </w:r>
        <w:r w:rsidR="00EF35F3">
          <w:rPr>
            <w:noProof/>
            <w:webHidden/>
          </w:rPr>
          <w:t>222</w:t>
        </w:r>
        <w:r w:rsidR="00EF35F3">
          <w:rPr>
            <w:noProof/>
            <w:webHidden/>
          </w:rPr>
          <w:fldChar w:fldCharType="end"/>
        </w:r>
      </w:hyperlink>
    </w:p>
    <w:p w14:paraId="582435C4" w14:textId="3504750D" w:rsidR="00EF35F3" w:rsidRDefault="00C34531">
      <w:pPr>
        <w:pStyle w:val="TableofFigures"/>
        <w:tabs>
          <w:tab w:val="right" w:leader="dot" w:pos="9016"/>
        </w:tabs>
        <w:rPr>
          <w:rFonts w:eastAsiaTheme="minorEastAsia"/>
          <w:noProof/>
          <w:lang w:eastAsia="en-GB"/>
        </w:rPr>
      </w:pPr>
      <w:hyperlink w:anchor="_Toc99720812" w:history="1">
        <w:r w:rsidR="00EF35F3" w:rsidRPr="00305E64">
          <w:rPr>
            <w:rStyle w:val="Hyperlink"/>
            <w:noProof/>
          </w:rPr>
          <w:t>Figure 31 Forest plot constipation</w:t>
        </w:r>
        <w:r w:rsidR="00EF35F3">
          <w:rPr>
            <w:noProof/>
            <w:webHidden/>
          </w:rPr>
          <w:tab/>
        </w:r>
        <w:r w:rsidR="00EF35F3">
          <w:rPr>
            <w:noProof/>
            <w:webHidden/>
          </w:rPr>
          <w:fldChar w:fldCharType="begin"/>
        </w:r>
        <w:r w:rsidR="00EF35F3">
          <w:rPr>
            <w:noProof/>
            <w:webHidden/>
          </w:rPr>
          <w:instrText xml:space="preserve"> PAGEREF _Toc99720812 \h </w:instrText>
        </w:r>
        <w:r w:rsidR="00EF35F3">
          <w:rPr>
            <w:noProof/>
            <w:webHidden/>
          </w:rPr>
        </w:r>
        <w:r w:rsidR="00EF35F3">
          <w:rPr>
            <w:noProof/>
            <w:webHidden/>
          </w:rPr>
          <w:fldChar w:fldCharType="separate"/>
        </w:r>
        <w:r w:rsidR="00EF35F3">
          <w:rPr>
            <w:noProof/>
            <w:webHidden/>
          </w:rPr>
          <w:t>223</w:t>
        </w:r>
        <w:r w:rsidR="00EF35F3">
          <w:rPr>
            <w:noProof/>
            <w:webHidden/>
          </w:rPr>
          <w:fldChar w:fldCharType="end"/>
        </w:r>
      </w:hyperlink>
    </w:p>
    <w:p w14:paraId="002F836A" w14:textId="3CEE8122" w:rsidR="00EF35F3" w:rsidRDefault="00C34531">
      <w:pPr>
        <w:pStyle w:val="TableofFigures"/>
        <w:tabs>
          <w:tab w:val="right" w:leader="dot" w:pos="9016"/>
        </w:tabs>
        <w:rPr>
          <w:rFonts w:eastAsiaTheme="minorEastAsia"/>
          <w:noProof/>
          <w:lang w:eastAsia="en-GB"/>
        </w:rPr>
      </w:pPr>
      <w:hyperlink w:anchor="_Toc99720813" w:history="1">
        <w:r w:rsidR="00EF35F3" w:rsidRPr="00305E64">
          <w:rPr>
            <w:rStyle w:val="Hyperlink"/>
            <w:noProof/>
          </w:rPr>
          <w:t>Figure 32 Forest plot diarrhoea</w:t>
        </w:r>
        <w:r w:rsidR="00EF35F3">
          <w:rPr>
            <w:noProof/>
            <w:webHidden/>
          </w:rPr>
          <w:tab/>
        </w:r>
        <w:r w:rsidR="00EF35F3">
          <w:rPr>
            <w:noProof/>
            <w:webHidden/>
          </w:rPr>
          <w:fldChar w:fldCharType="begin"/>
        </w:r>
        <w:r w:rsidR="00EF35F3">
          <w:rPr>
            <w:noProof/>
            <w:webHidden/>
          </w:rPr>
          <w:instrText xml:space="preserve"> PAGEREF _Toc99720813 \h </w:instrText>
        </w:r>
        <w:r w:rsidR="00EF35F3">
          <w:rPr>
            <w:noProof/>
            <w:webHidden/>
          </w:rPr>
        </w:r>
        <w:r w:rsidR="00EF35F3">
          <w:rPr>
            <w:noProof/>
            <w:webHidden/>
          </w:rPr>
          <w:fldChar w:fldCharType="separate"/>
        </w:r>
        <w:r w:rsidR="00EF35F3">
          <w:rPr>
            <w:noProof/>
            <w:webHidden/>
          </w:rPr>
          <w:t>224</w:t>
        </w:r>
        <w:r w:rsidR="00EF35F3">
          <w:rPr>
            <w:noProof/>
            <w:webHidden/>
          </w:rPr>
          <w:fldChar w:fldCharType="end"/>
        </w:r>
      </w:hyperlink>
    </w:p>
    <w:p w14:paraId="39D11981" w14:textId="00705914" w:rsidR="00EF35F3" w:rsidRDefault="00C34531">
      <w:pPr>
        <w:pStyle w:val="TableofFigures"/>
        <w:tabs>
          <w:tab w:val="right" w:leader="dot" w:pos="9016"/>
        </w:tabs>
        <w:rPr>
          <w:rFonts w:eastAsiaTheme="minorEastAsia"/>
          <w:noProof/>
          <w:lang w:eastAsia="en-GB"/>
        </w:rPr>
      </w:pPr>
      <w:hyperlink w:anchor="_Toc99720814" w:history="1">
        <w:r w:rsidR="00EF35F3" w:rsidRPr="00305E64">
          <w:rPr>
            <w:rStyle w:val="Hyperlink"/>
            <w:noProof/>
          </w:rPr>
          <w:t>Figure 33 Forest plot vomiting and nausea</w:t>
        </w:r>
        <w:r w:rsidR="00EF35F3">
          <w:rPr>
            <w:noProof/>
            <w:webHidden/>
          </w:rPr>
          <w:tab/>
        </w:r>
        <w:r w:rsidR="00EF35F3">
          <w:rPr>
            <w:noProof/>
            <w:webHidden/>
          </w:rPr>
          <w:fldChar w:fldCharType="begin"/>
        </w:r>
        <w:r w:rsidR="00EF35F3">
          <w:rPr>
            <w:noProof/>
            <w:webHidden/>
          </w:rPr>
          <w:instrText xml:space="preserve"> PAGEREF _Toc99720814 \h </w:instrText>
        </w:r>
        <w:r w:rsidR="00EF35F3">
          <w:rPr>
            <w:noProof/>
            <w:webHidden/>
          </w:rPr>
        </w:r>
        <w:r w:rsidR="00EF35F3">
          <w:rPr>
            <w:noProof/>
            <w:webHidden/>
          </w:rPr>
          <w:fldChar w:fldCharType="separate"/>
        </w:r>
        <w:r w:rsidR="00EF35F3">
          <w:rPr>
            <w:noProof/>
            <w:webHidden/>
          </w:rPr>
          <w:t>225</w:t>
        </w:r>
        <w:r w:rsidR="00EF35F3">
          <w:rPr>
            <w:noProof/>
            <w:webHidden/>
          </w:rPr>
          <w:fldChar w:fldCharType="end"/>
        </w:r>
      </w:hyperlink>
    </w:p>
    <w:p w14:paraId="25CC32D9" w14:textId="33EADF2D" w:rsidR="00EF35F3" w:rsidRDefault="00C34531">
      <w:pPr>
        <w:pStyle w:val="TableofFigures"/>
        <w:tabs>
          <w:tab w:val="right" w:leader="dot" w:pos="9016"/>
        </w:tabs>
        <w:rPr>
          <w:rFonts w:eastAsiaTheme="minorEastAsia"/>
          <w:noProof/>
          <w:lang w:eastAsia="en-GB"/>
        </w:rPr>
      </w:pPr>
      <w:hyperlink w:anchor="_Toc99720815" w:history="1">
        <w:r w:rsidR="00EF35F3" w:rsidRPr="00305E64">
          <w:rPr>
            <w:rStyle w:val="Hyperlink"/>
            <w:noProof/>
          </w:rPr>
          <w:t>Figure 34 Forest plot anaemia</w:t>
        </w:r>
        <w:r w:rsidR="00EF35F3">
          <w:rPr>
            <w:noProof/>
            <w:webHidden/>
          </w:rPr>
          <w:tab/>
        </w:r>
        <w:r w:rsidR="00EF35F3">
          <w:rPr>
            <w:noProof/>
            <w:webHidden/>
          </w:rPr>
          <w:fldChar w:fldCharType="begin"/>
        </w:r>
        <w:r w:rsidR="00EF35F3">
          <w:rPr>
            <w:noProof/>
            <w:webHidden/>
          </w:rPr>
          <w:instrText xml:space="preserve"> PAGEREF _Toc99720815 \h </w:instrText>
        </w:r>
        <w:r w:rsidR="00EF35F3">
          <w:rPr>
            <w:noProof/>
            <w:webHidden/>
          </w:rPr>
        </w:r>
        <w:r w:rsidR="00EF35F3">
          <w:rPr>
            <w:noProof/>
            <w:webHidden/>
          </w:rPr>
          <w:fldChar w:fldCharType="separate"/>
        </w:r>
        <w:r w:rsidR="00EF35F3">
          <w:rPr>
            <w:noProof/>
            <w:webHidden/>
          </w:rPr>
          <w:t>226</w:t>
        </w:r>
        <w:r w:rsidR="00EF35F3">
          <w:rPr>
            <w:noProof/>
            <w:webHidden/>
          </w:rPr>
          <w:fldChar w:fldCharType="end"/>
        </w:r>
      </w:hyperlink>
    </w:p>
    <w:p w14:paraId="25C76D8D" w14:textId="4C10D6BF" w:rsidR="00EF35F3" w:rsidRDefault="00C34531">
      <w:pPr>
        <w:pStyle w:val="TableofFigures"/>
        <w:tabs>
          <w:tab w:val="right" w:leader="dot" w:pos="9016"/>
        </w:tabs>
        <w:rPr>
          <w:rFonts w:eastAsiaTheme="minorEastAsia"/>
          <w:noProof/>
          <w:lang w:eastAsia="en-GB"/>
        </w:rPr>
      </w:pPr>
      <w:hyperlink w:anchor="_Toc99720816" w:history="1">
        <w:r w:rsidR="00EF35F3" w:rsidRPr="00305E64">
          <w:rPr>
            <w:rStyle w:val="Hyperlink"/>
            <w:noProof/>
          </w:rPr>
          <w:t>Figure 35 Forest plot arthritis</w:t>
        </w:r>
        <w:r w:rsidR="00EF35F3">
          <w:rPr>
            <w:noProof/>
            <w:webHidden/>
          </w:rPr>
          <w:tab/>
        </w:r>
        <w:r w:rsidR="00EF35F3">
          <w:rPr>
            <w:noProof/>
            <w:webHidden/>
          </w:rPr>
          <w:fldChar w:fldCharType="begin"/>
        </w:r>
        <w:r w:rsidR="00EF35F3">
          <w:rPr>
            <w:noProof/>
            <w:webHidden/>
          </w:rPr>
          <w:instrText xml:space="preserve"> PAGEREF _Toc99720816 \h </w:instrText>
        </w:r>
        <w:r w:rsidR="00EF35F3">
          <w:rPr>
            <w:noProof/>
            <w:webHidden/>
          </w:rPr>
        </w:r>
        <w:r w:rsidR="00EF35F3">
          <w:rPr>
            <w:noProof/>
            <w:webHidden/>
          </w:rPr>
          <w:fldChar w:fldCharType="separate"/>
        </w:r>
        <w:r w:rsidR="00EF35F3">
          <w:rPr>
            <w:noProof/>
            <w:webHidden/>
          </w:rPr>
          <w:t>227</w:t>
        </w:r>
        <w:r w:rsidR="00EF35F3">
          <w:rPr>
            <w:noProof/>
            <w:webHidden/>
          </w:rPr>
          <w:fldChar w:fldCharType="end"/>
        </w:r>
      </w:hyperlink>
    </w:p>
    <w:p w14:paraId="6EC26EF8" w14:textId="177FD4BE" w:rsidR="00EF35F3" w:rsidRDefault="00C34531">
      <w:pPr>
        <w:pStyle w:val="TableofFigures"/>
        <w:tabs>
          <w:tab w:val="right" w:leader="dot" w:pos="9016"/>
        </w:tabs>
        <w:rPr>
          <w:rFonts w:eastAsiaTheme="minorEastAsia"/>
          <w:noProof/>
          <w:lang w:eastAsia="en-GB"/>
        </w:rPr>
      </w:pPr>
      <w:hyperlink w:anchor="_Toc99720817" w:history="1">
        <w:r w:rsidR="00EF35F3" w:rsidRPr="00305E64">
          <w:rPr>
            <w:rStyle w:val="Hyperlink"/>
            <w:noProof/>
          </w:rPr>
          <w:t>Figure 36 Forest plot dermatitis herpetiformis</w:t>
        </w:r>
        <w:r w:rsidR="00EF35F3">
          <w:rPr>
            <w:noProof/>
            <w:webHidden/>
          </w:rPr>
          <w:tab/>
        </w:r>
        <w:r w:rsidR="00EF35F3">
          <w:rPr>
            <w:noProof/>
            <w:webHidden/>
          </w:rPr>
          <w:fldChar w:fldCharType="begin"/>
        </w:r>
        <w:r w:rsidR="00EF35F3">
          <w:rPr>
            <w:noProof/>
            <w:webHidden/>
          </w:rPr>
          <w:instrText xml:space="preserve"> PAGEREF _Toc99720817 \h </w:instrText>
        </w:r>
        <w:r w:rsidR="00EF35F3">
          <w:rPr>
            <w:noProof/>
            <w:webHidden/>
          </w:rPr>
        </w:r>
        <w:r w:rsidR="00EF35F3">
          <w:rPr>
            <w:noProof/>
            <w:webHidden/>
          </w:rPr>
          <w:fldChar w:fldCharType="separate"/>
        </w:r>
        <w:r w:rsidR="00EF35F3">
          <w:rPr>
            <w:noProof/>
            <w:webHidden/>
          </w:rPr>
          <w:t>228</w:t>
        </w:r>
        <w:r w:rsidR="00EF35F3">
          <w:rPr>
            <w:noProof/>
            <w:webHidden/>
          </w:rPr>
          <w:fldChar w:fldCharType="end"/>
        </w:r>
      </w:hyperlink>
    </w:p>
    <w:p w14:paraId="34281B80" w14:textId="2BCD954D" w:rsidR="00EF35F3" w:rsidRDefault="00C34531">
      <w:pPr>
        <w:pStyle w:val="TableofFigures"/>
        <w:tabs>
          <w:tab w:val="right" w:leader="dot" w:pos="9016"/>
        </w:tabs>
        <w:rPr>
          <w:rFonts w:eastAsiaTheme="minorEastAsia"/>
          <w:noProof/>
          <w:lang w:eastAsia="en-GB"/>
        </w:rPr>
      </w:pPr>
      <w:hyperlink w:anchor="_Toc99720818" w:history="1">
        <w:r w:rsidR="00EF35F3" w:rsidRPr="00305E64">
          <w:rPr>
            <w:rStyle w:val="Hyperlink"/>
            <w:noProof/>
          </w:rPr>
          <w:t>Figure 37 Forest plot epilepsy</w:t>
        </w:r>
        <w:r w:rsidR="00EF35F3">
          <w:rPr>
            <w:noProof/>
            <w:webHidden/>
          </w:rPr>
          <w:tab/>
        </w:r>
        <w:r w:rsidR="00EF35F3">
          <w:rPr>
            <w:noProof/>
            <w:webHidden/>
          </w:rPr>
          <w:fldChar w:fldCharType="begin"/>
        </w:r>
        <w:r w:rsidR="00EF35F3">
          <w:rPr>
            <w:noProof/>
            <w:webHidden/>
          </w:rPr>
          <w:instrText xml:space="preserve"> PAGEREF _Toc99720818 \h </w:instrText>
        </w:r>
        <w:r w:rsidR="00EF35F3">
          <w:rPr>
            <w:noProof/>
            <w:webHidden/>
          </w:rPr>
        </w:r>
        <w:r w:rsidR="00EF35F3">
          <w:rPr>
            <w:noProof/>
            <w:webHidden/>
          </w:rPr>
          <w:fldChar w:fldCharType="separate"/>
        </w:r>
        <w:r w:rsidR="00EF35F3">
          <w:rPr>
            <w:noProof/>
            <w:webHidden/>
          </w:rPr>
          <w:t>229</w:t>
        </w:r>
        <w:r w:rsidR="00EF35F3">
          <w:rPr>
            <w:noProof/>
            <w:webHidden/>
          </w:rPr>
          <w:fldChar w:fldCharType="end"/>
        </w:r>
      </w:hyperlink>
    </w:p>
    <w:p w14:paraId="01B3DDA3" w14:textId="32CFCCBE" w:rsidR="00EF35F3" w:rsidRDefault="00C34531">
      <w:pPr>
        <w:pStyle w:val="TableofFigures"/>
        <w:tabs>
          <w:tab w:val="right" w:leader="dot" w:pos="9016"/>
        </w:tabs>
        <w:rPr>
          <w:rFonts w:eastAsiaTheme="minorEastAsia"/>
          <w:noProof/>
          <w:lang w:eastAsia="en-GB"/>
        </w:rPr>
      </w:pPr>
      <w:hyperlink w:anchor="_Toc99720819" w:history="1">
        <w:r w:rsidR="00EF35F3" w:rsidRPr="00305E64">
          <w:rPr>
            <w:rStyle w:val="Hyperlink"/>
            <w:noProof/>
          </w:rPr>
          <w:t>Figure 38 Forest plot fracture</w:t>
        </w:r>
        <w:r w:rsidR="00EF35F3">
          <w:rPr>
            <w:noProof/>
            <w:webHidden/>
          </w:rPr>
          <w:tab/>
        </w:r>
        <w:r w:rsidR="00EF35F3">
          <w:rPr>
            <w:noProof/>
            <w:webHidden/>
          </w:rPr>
          <w:fldChar w:fldCharType="begin"/>
        </w:r>
        <w:r w:rsidR="00EF35F3">
          <w:rPr>
            <w:noProof/>
            <w:webHidden/>
          </w:rPr>
          <w:instrText xml:space="preserve"> PAGEREF _Toc99720819 \h </w:instrText>
        </w:r>
        <w:r w:rsidR="00EF35F3">
          <w:rPr>
            <w:noProof/>
            <w:webHidden/>
          </w:rPr>
        </w:r>
        <w:r w:rsidR="00EF35F3">
          <w:rPr>
            <w:noProof/>
            <w:webHidden/>
          </w:rPr>
          <w:fldChar w:fldCharType="separate"/>
        </w:r>
        <w:r w:rsidR="00EF35F3">
          <w:rPr>
            <w:noProof/>
            <w:webHidden/>
          </w:rPr>
          <w:t>230</w:t>
        </w:r>
        <w:r w:rsidR="00EF35F3">
          <w:rPr>
            <w:noProof/>
            <w:webHidden/>
          </w:rPr>
          <w:fldChar w:fldCharType="end"/>
        </w:r>
      </w:hyperlink>
    </w:p>
    <w:p w14:paraId="6C4A6B69" w14:textId="34A6195B" w:rsidR="00EF35F3" w:rsidRDefault="00C34531">
      <w:pPr>
        <w:pStyle w:val="TableofFigures"/>
        <w:tabs>
          <w:tab w:val="right" w:leader="dot" w:pos="9016"/>
        </w:tabs>
        <w:rPr>
          <w:rFonts w:eastAsiaTheme="minorEastAsia"/>
          <w:noProof/>
          <w:lang w:eastAsia="en-GB"/>
        </w:rPr>
      </w:pPr>
      <w:hyperlink w:anchor="_Toc99720820" w:history="1">
        <w:r w:rsidR="00EF35F3" w:rsidRPr="00305E64">
          <w:rPr>
            <w:rStyle w:val="Hyperlink"/>
            <w:noProof/>
          </w:rPr>
          <w:t>Figure 39 Forest plot inflammatory bowel disease</w:t>
        </w:r>
        <w:r w:rsidR="00EF35F3">
          <w:rPr>
            <w:noProof/>
            <w:webHidden/>
          </w:rPr>
          <w:tab/>
        </w:r>
        <w:r w:rsidR="00EF35F3">
          <w:rPr>
            <w:noProof/>
            <w:webHidden/>
          </w:rPr>
          <w:fldChar w:fldCharType="begin"/>
        </w:r>
        <w:r w:rsidR="00EF35F3">
          <w:rPr>
            <w:noProof/>
            <w:webHidden/>
          </w:rPr>
          <w:instrText xml:space="preserve"> PAGEREF _Toc99720820 \h </w:instrText>
        </w:r>
        <w:r w:rsidR="00EF35F3">
          <w:rPr>
            <w:noProof/>
            <w:webHidden/>
          </w:rPr>
        </w:r>
        <w:r w:rsidR="00EF35F3">
          <w:rPr>
            <w:noProof/>
            <w:webHidden/>
          </w:rPr>
          <w:fldChar w:fldCharType="separate"/>
        </w:r>
        <w:r w:rsidR="00EF35F3">
          <w:rPr>
            <w:noProof/>
            <w:webHidden/>
          </w:rPr>
          <w:t>231</w:t>
        </w:r>
        <w:r w:rsidR="00EF35F3">
          <w:rPr>
            <w:noProof/>
            <w:webHidden/>
          </w:rPr>
          <w:fldChar w:fldCharType="end"/>
        </w:r>
      </w:hyperlink>
    </w:p>
    <w:p w14:paraId="7E0799FF" w14:textId="56F76E68" w:rsidR="00EF35F3" w:rsidRDefault="00C34531">
      <w:pPr>
        <w:pStyle w:val="TableofFigures"/>
        <w:tabs>
          <w:tab w:val="right" w:leader="dot" w:pos="9016"/>
        </w:tabs>
        <w:rPr>
          <w:rFonts w:eastAsiaTheme="minorEastAsia"/>
          <w:noProof/>
          <w:lang w:eastAsia="en-GB"/>
        </w:rPr>
      </w:pPr>
      <w:hyperlink w:anchor="_Toc99720821" w:history="1">
        <w:r w:rsidR="00EF35F3" w:rsidRPr="00305E64">
          <w:rPr>
            <w:rStyle w:val="Hyperlink"/>
            <w:noProof/>
            <w:lang w:val="fr-FR"/>
          </w:rPr>
          <w:t>Figure 40 Forest plot irritable bowel syndrome</w:t>
        </w:r>
        <w:r w:rsidR="00EF35F3">
          <w:rPr>
            <w:noProof/>
            <w:webHidden/>
          </w:rPr>
          <w:tab/>
        </w:r>
        <w:r w:rsidR="00EF35F3">
          <w:rPr>
            <w:noProof/>
            <w:webHidden/>
          </w:rPr>
          <w:fldChar w:fldCharType="begin"/>
        </w:r>
        <w:r w:rsidR="00EF35F3">
          <w:rPr>
            <w:noProof/>
            <w:webHidden/>
          </w:rPr>
          <w:instrText xml:space="preserve"> PAGEREF _Toc99720821 \h </w:instrText>
        </w:r>
        <w:r w:rsidR="00EF35F3">
          <w:rPr>
            <w:noProof/>
            <w:webHidden/>
          </w:rPr>
        </w:r>
        <w:r w:rsidR="00EF35F3">
          <w:rPr>
            <w:noProof/>
            <w:webHidden/>
          </w:rPr>
          <w:fldChar w:fldCharType="separate"/>
        </w:r>
        <w:r w:rsidR="00EF35F3">
          <w:rPr>
            <w:noProof/>
            <w:webHidden/>
          </w:rPr>
          <w:t>232</w:t>
        </w:r>
        <w:r w:rsidR="00EF35F3">
          <w:rPr>
            <w:noProof/>
            <w:webHidden/>
          </w:rPr>
          <w:fldChar w:fldCharType="end"/>
        </w:r>
      </w:hyperlink>
    </w:p>
    <w:p w14:paraId="04ABD057" w14:textId="26B9F260" w:rsidR="00EF35F3" w:rsidRDefault="00C34531">
      <w:pPr>
        <w:pStyle w:val="TableofFigures"/>
        <w:tabs>
          <w:tab w:val="right" w:leader="dot" w:pos="9016"/>
        </w:tabs>
        <w:rPr>
          <w:rFonts w:eastAsiaTheme="minorEastAsia"/>
          <w:noProof/>
          <w:lang w:eastAsia="en-GB"/>
        </w:rPr>
      </w:pPr>
      <w:hyperlink w:anchor="_Toc99720822" w:history="1">
        <w:r w:rsidR="00EF35F3" w:rsidRPr="00305E64">
          <w:rPr>
            <w:rStyle w:val="Hyperlink"/>
            <w:noProof/>
          </w:rPr>
          <w:t>Figure 41 Forest plot chronic liver disease</w:t>
        </w:r>
        <w:r w:rsidR="00EF35F3">
          <w:rPr>
            <w:noProof/>
            <w:webHidden/>
          </w:rPr>
          <w:tab/>
        </w:r>
        <w:r w:rsidR="00EF35F3">
          <w:rPr>
            <w:noProof/>
            <w:webHidden/>
          </w:rPr>
          <w:fldChar w:fldCharType="begin"/>
        </w:r>
        <w:r w:rsidR="00EF35F3">
          <w:rPr>
            <w:noProof/>
            <w:webHidden/>
          </w:rPr>
          <w:instrText xml:space="preserve"> PAGEREF _Toc99720822 \h </w:instrText>
        </w:r>
        <w:r w:rsidR="00EF35F3">
          <w:rPr>
            <w:noProof/>
            <w:webHidden/>
          </w:rPr>
        </w:r>
        <w:r w:rsidR="00EF35F3">
          <w:rPr>
            <w:noProof/>
            <w:webHidden/>
          </w:rPr>
          <w:fldChar w:fldCharType="separate"/>
        </w:r>
        <w:r w:rsidR="00EF35F3">
          <w:rPr>
            <w:noProof/>
            <w:webHidden/>
          </w:rPr>
          <w:t>233</w:t>
        </w:r>
        <w:r w:rsidR="00EF35F3">
          <w:rPr>
            <w:noProof/>
            <w:webHidden/>
          </w:rPr>
          <w:fldChar w:fldCharType="end"/>
        </w:r>
      </w:hyperlink>
    </w:p>
    <w:p w14:paraId="4E644118" w14:textId="70E31D7E" w:rsidR="00EF35F3" w:rsidRDefault="00C34531">
      <w:pPr>
        <w:pStyle w:val="TableofFigures"/>
        <w:tabs>
          <w:tab w:val="right" w:leader="dot" w:pos="9016"/>
        </w:tabs>
        <w:rPr>
          <w:rFonts w:eastAsiaTheme="minorEastAsia"/>
          <w:noProof/>
          <w:lang w:eastAsia="en-GB"/>
        </w:rPr>
      </w:pPr>
      <w:hyperlink w:anchor="_Toc99720823" w:history="1">
        <w:r w:rsidR="00EF35F3" w:rsidRPr="00305E64">
          <w:rPr>
            <w:rStyle w:val="Hyperlink"/>
            <w:noProof/>
          </w:rPr>
          <w:t>Figure 42 Forest plot migraine</w:t>
        </w:r>
        <w:r w:rsidR="00EF35F3">
          <w:rPr>
            <w:noProof/>
            <w:webHidden/>
          </w:rPr>
          <w:tab/>
        </w:r>
        <w:r w:rsidR="00EF35F3">
          <w:rPr>
            <w:noProof/>
            <w:webHidden/>
          </w:rPr>
          <w:fldChar w:fldCharType="begin"/>
        </w:r>
        <w:r w:rsidR="00EF35F3">
          <w:rPr>
            <w:noProof/>
            <w:webHidden/>
          </w:rPr>
          <w:instrText xml:space="preserve"> PAGEREF _Toc99720823 \h </w:instrText>
        </w:r>
        <w:r w:rsidR="00EF35F3">
          <w:rPr>
            <w:noProof/>
            <w:webHidden/>
          </w:rPr>
        </w:r>
        <w:r w:rsidR="00EF35F3">
          <w:rPr>
            <w:noProof/>
            <w:webHidden/>
          </w:rPr>
          <w:fldChar w:fldCharType="separate"/>
        </w:r>
        <w:r w:rsidR="00EF35F3">
          <w:rPr>
            <w:noProof/>
            <w:webHidden/>
          </w:rPr>
          <w:t>234</w:t>
        </w:r>
        <w:r w:rsidR="00EF35F3">
          <w:rPr>
            <w:noProof/>
            <w:webHidden/>
          </w:rPr>
          <w:fldChar w:fldCharType="end"/>
        </w:r>
      </w:hyperlink>
    </w:p>
    <w:p w14:paraId="772204FD" w14:textId="18AF5738" w:rsidR="00EF35F3" w:rsidRDefault="00C34531">
      <w:pPr>
        <w:pStyle w:val="TableofFigures"/>
        <w:tabs>
          <w:tab w:val="right" w:leader="dot" w:pos="9016"/>
        </w:tabs>
        <w:rPr>
          <w:rFonts w:eastAsiaTheme="minorEastAsia"/>
          <w:noProof/>
          <w:lang w:eastAsia="en-GB"/>
        </w:rPr>
      </w:pPr>
      <w:hyperlink w:anchor="_Toc99720824" w:history="1">
        <w:r w:rsidR="00EF35F3" w:rsidRPr="00305E64">
          <w:rPr>
            <w:rStyle w:val="Hyperlink"/>
            <w:noProof/>
          </w:rPr>
          <w:t>Figure 43 Forest plot multiple sclerosis</w:t>
        </w:r>
        <w:r w:rsidR="00EF35F3">
          <w:rPr>
            <w:noProof/>
            <w:webHidden/>
          </w:rPr>
          <w:tab/>
        </w:r>
        <w:r w:rsidR="00EF35F3">
          <w:rPr>
            <w:noProof/>
            <w:webHidden/>
          </w:rPr>
          <w:fldChar w:fldCharType="begin"/>
        </w:r>
        <w:r w:rsidR="00EF35F3">
          <w:rPr>
            <w:noProof/>
            <w:webHidden/>
          </w:rPr>
          <w:instrText xml:space="preserve"> PAGEREF _Toc99720824 \h </w:instrText>
        </w:r>
        <w:r w:rsidR="00EF35F3">
          <w:rPr>
            <w:noProof/>
            <w:webHidden/>
          </w:rPr>
        </w:r>
        <w:r w:rsidR="00EF35F3">
          <w:rPr>
            <w:noProof/>
            <w:webHidden/>
          </w:rPr>
          <w:fldChar w:fldCharType="separate"/>
        </w:r>
        <w:r w:rsidR="00EF35F3">
          <w:rPr>
            <w:noProof/>
            <w:webHidden/>
          </w:rPr>
          <w:t>234</w:t>
        </w:r>
        <w:r w:rsidR="00EF35F3">
          <w:rPr>
            <w:noProof/>
            <w:webHidden/>
          </w:rPr>
          <w:fldChar w:fldCharType="end"/>
        </w:r>
      </w:hyperlink>
    </w:p>
    <w:p w14:paraId="6F2664DA" w14:textId="54C5696B" w:rsidR="00EF35F3" w:rsidRDefault="00C34531">
      <w:pPr>
        <w:pStyle w:val="TableofFigures"/>
        <w:tabs>
          <w:tab w:val="right" w:leader="dot" w:pos="9016"/>
        </w:tabs>
        <w:rPr>
          <w:rFonts w:eastAsiaTheme="minorEastAsia"/>
          <w:noProof/>
          <w:lang w:eastAsia="en-GB"/>
        </w:rPr>
      </w:pPr>
      <w:hyperlink w:anchor="_Toc99720825" w:history="1">
        <w:r w:rsidR="00EF35F3" w:rsidRPr="00305E64">
          <w:rPr>
            <w:rStyle w:val="Hyperlink"/>
            <w:noProof/>
          </w:rPr>
          <w:t>Figure 44 Forest plot osteoporosis</w:t>
        </w:r>
        <w:r w:rsidR="00EF35F3">
          <w:rPr>
            <w:noProof/>
            <w:webHidden/>
          </w:rPr>
          <w:tab/>
        </w:r>
        <w:r w:rsidR="00EF35F3">
          <w:rPr>
            <w:noProof/>
            <w:webHidden/>
          </w:rPr>
          <w:fldChar w:fldCharType="begin"/>
        </w:r>
        <w:r w:rsidR="00EF35F3">
          <w:rPr>
            <w:noProof/>
            <w:webHidden/>
          </w:rPr>
          <w:instrText xml:space="preserve"> PAGEREF _Toc99720825 \h </w:instrText>
        </w:r>
        <w:r w:rsidR="00EF35F3">
          <w:rPr>
            <w:noProof/>
            <w:webHidden/>
          </w:rPr>
        </w:r>
        <w:r w:rsidR="00EF35F3">
          <w:rPr>
            <w:noProof/>
            <w:webHidden/>
          </w:rPr>
          <w:fldChar w:fldCharType="separate"/>
        </w:r>
        <w:r w:rsidR="00EF35F3">
          <w:rPr>
            <w:noProof/>
            <w:webHidden/>
          </w:rPr>
          <w:t>235</w:t>
        </w:r>
        <w:r w:rsidR="00EF35F3">
          <w:rPr>
            <w:noProof/>
            <w:webHidden/>
          </w:rPr>
          <w:fldChar w:fldCharType="end"/>
        </w:r>
      </w:hyperlink>
    </w:p>
    <w:p w14:paraId="2EF804A5" w14:textId="5DBC4632" w:rsidR="00EF35F3" w:rsidRDefault="00C34531">
      <w:pPr>
        <w:pStyle w:val="TableofFigures"/>
        <w:tabs>
          <w:tab w:val="right" w:leader="dot" w:pos="9016"/>
        </w:tabs>
        <w:rPr>
          <w:rFonts w:eastAsiaTheme="minorEastAsia"/>
          <w:noProof/>
          <w:lang w:eastAsia="en-GB"/>
        </w:rPr>
      </w:pPr>
      <w:hyperlink w:anchor="_Toc99720826" w:history="1">
        <w:r w:rsidR="00EF35F3" w:rsidRPr="00305E64">
          <w:rPr>
            <w:rStyle w:val="Hyperlink"/>
            <w:noProof/>
          </w:rPr>
          <w:t>Figure 45 Forest plot psoriasis</w:t>
        </w:r>
        <w:r w:rsidR="00EF35F3">
          <w:rPr>
            <w:noProof/>
            <w:webHidden/>
          </w:rPr>
          <w:tab/>
        </w:r>
        <w:r w:rsidR="00EF35F3">
          <w:rPr>
            <w:noProof/>
            <w:webHidden/>
          </w:rPr>
          <w:fldChar w:fldCharType="begin"/>
        </w:r>
        <w:r w:rsidR="00EF35F3">
          <w:rPr>
            <w:noProof/>
            <w:webHidden/>
          </w:rPr>
          <w:instrText xml:space="preserve"> PAGEREF _Toc99720826 \h </w:instrText>
        </w:r>
        <w:r w:rsidR="00EF35F3">
          <w:rPr>
            <w:noProof/>
            <w:webHidden/>
          </w:rPr>
        </w:r>
        <w:r w:rsidR="00EF35F3">
          <w:rPr>
            <w:noProof/>
            <w:webHidden/>
          </w:rPr>
          <w:fldChar w:fldCharType="separate"/>
        </w:r>
        <w:r w:rsidR="00EF35F3">
          <w:rPr>
            <w:noProof/>
            <w:webHidden/>
          </w:rPr>
          <w:t>236</w:t>
        </w:r>
        <w:r w:rsidR="00EF35F3">
          <w:rPr>
            <w:noProof/>
            <w:webHidden/>
          </w:rPr>
          <w:fldChar w:fldCharType="end"/>
        </w:r>
      </w:hyperlink>
    </w:p>
    <w:p w14:paraId="7BD6F4BF" w14:textId="44D71D2F" w:rsidR="00EF35F3" w:rsidRDefault="00C34531">
      <w:pPr>
        <w:pStyle w:val="TableofFigures"/>
        <w:tabs>
          <w:tab w:val="right" w:leader="dot" w:pos="9016"/>
        </w:tabs>
        <w:rPr>
          <w:rFonts w:eastAsiaTheme="minorEastAsia"/>
          <w:noProof/>
          <w:lang w:eastAsia="en-GB"/>
        </w:rPr>
      </w:pPr>
      <w:hyperlink w:anchor="_Toc99720827" w:history="1">
        <w:r w:rsidR="00EF35F3" w:rsidRPr="00305E64">
          <w:rPr>
            <w:rStyle w:val="Hyperlink"/>
            <w:noProof/>
          </w:rPr>
          <w:t>Figure 46 Forest plot systemic lupus erythematosus</w:t>
        </w:r>
        <w:r w:rsidR="00EF35F3">
          <w:rPr>
            <w:noProof/>
            <w:webHidden/>
          </w:rPr>
          <w:tab/>
        </w:r>
        <w:r w:rsidR="00EF35F3">
          <w:rPr>
            <w:noProof/>
            <w:webHidden/>
          </w:rPr>
          <w:fldChar w:fldCharType="begin"/>
        </w:r>
        <w:r w:rsidR="00EF35F3">
          <w:rPr>
            <w:noProof/>
            <w:webHidden/>
          </w:rPr>
          <w:instrText xml:space="preserve"> PAGEREF _Toc99720827 \h </w:instrText>
        </w:r>
        <w:r w:rsidR="00EF35F3">
          <w:rPr>
            <w:noProof/>
            <w:webHidden/>
          </w:rPr>
        </w:r>
        <w:r w:rsidR="00EF35F3">
          <w:rPr>
            <w:noProof/>
            <w:webHidden/>
          </w:rPr>
          <w:fldChar w:fldCharType="separate"/>
        </w:r>
        <w:r w:rsidR="00EF35F3">
          <w:rPr>
            <w:noProof/>
            <w:webHidden/>
          </w:rPr>
          <w:t>237</w:t>
        </w:r>
        <w:r w:rsidR="00EF35F3">
          <w:rPr>
            <w:noProof/>
            <w:webHidden/>
          </w:rPr>
          <w:fldChar w:fldCharType="end"/>
        </w:r>
      </w:hyperlink>
    </w:p>
    <w:p w14:paraId="0078362E" w14:textId="70F50F97" w:rsidR="00EF35F3" w:rsidRDefault="00C34531">
      <w:pPr>
        <w:pStyle w:val="TableofFigures"/>
        <w:tabs>
          <w:tab w:val="right" w:leader="dot" w:pos="9016"/>
        </w:tabs>
        <w:rPr>
          <w:rFonts w:eastAsiaTheme="minorEastAsia"/>
          <w:noProof/>
          <w:lang w:eastAsia="en-GB"/>
        </w:rPr>
      </w:pPr>
      <w:hyperlink w:anchor="_Toc99720828" w:history="1">
        <w:r w:rsidR="00EF35F3" w:rsidRPr="00305E64">
          <w:rPr>
            <w:rStyle w:val="Hyperlink"/>
            <w:noProof/>
          </w:rPr>
          <w:t>Figure 47 Forest plot subfertility or recurrent pregnancy loss</w:t>
        </w:r>
        <w:r w:rsidR="00EF35F3">
          <w:rPr>
            <w:noProof/>
            <w:webHidden/>
          </w:rPr>
          <w:tab/>
        </w:r>
        <w:r w:rsidR="00EF35F3">
          <w:rPr>
            <w:noProof/>
            <w:webHidden/>
          </w:rPr>
          <w:fldChar w:fldCharType="begin"/>
        </w:r>
        <w:r w:rsidR="00EF35F3">
          <w:rPr>
            <w:noProof/>
            <w:webHidden/>
          </w:rPr>
          <w:instrText xml:space="preserve"> PAGEREF _Toc99720828 \h </w:instrText>
        </w:r>
        <w:r w:rsidR="00EF35F3">
          <w:rPr>
            <w:noProof/>
            <w:webHidden/>
          </w:rPr>
        </w:r>
        <w:r w:rsidR="00EF35F3">
          <w:rPr>
            <w:noProof/>
            <w:webHidden/>
          </w:rPr>
          <w:fldChar w:fldCharType="separate"/>
        </w:r>
        <w:r w:rsidR="00EF35F3">
          <w:rPr>
            <w:noProof/>
            <w:webHidden/>
          </w:rPr>
          <w:t>238</w:t>
        </w:r>
        <w:r w:rsidR="00EF35F3">
          <w:rPr>
            <w:noProof/>
            <w:webHidden/>
          </w:rPr>
          <w:fldChar w:fldCharType="end"/>
        </w:r>
      </w:hyperlink>
    </w:p>
    <w:p w14:paraId="1EC340AE" w14:textId="29690EA5" w:rsidR="00EF35F3" w:rsidRDefault="00C34531">
      <w:pPr>
        <w:pStyle w:val="TableofFigures"/>
        <w:tabs>
          <w:tab w:val="right" w:leader="dot" w:pos="9016"/>
        </w:tabs>
        <w:rPr>
          <w:rFonts w:eastAsiaTheme="minorEastAsia"/>
          <w:noProof/>
          <w:lang w:eastAsia="en-GB"/>
        </w:rPr>
      </w:pPr>
      <w:hyperlink w:anchor="_Toc99720829" w:history="1">
        <w:r w:rsidR="00EF35F3" w:rsidRPr="00305E64">
          <w:rPr>
            <w:rStyle w:val="Hyperlink"/>
            <w:noProof/>
          </w:rPr>
          <w:t>Figure 48 Forest plot type 1 diabetes</w:t>
        </w:r>
        <w:r w:rsidR="00EF35F3">
          <w:rPr>
            <w:noProof/>
            <w:webHidden/>
          </w:rPr>
          <w:tab/>
        </w:r>
        <w:r w:rsidR="00EF35F3">
          <w:rPr>
            <w:noProof/>
            <w:webHidden/>
          </w:rPr>
          <w:fldChar w:fldCharType="begin"/>
        </w:r>
        <w:r w:rsidR="00EF35F3">
          <w:rPr>
            <w:noProof/>
            <w:webHidden/>
          </w:rPr>
          <w:instrText xml:space="preserve"> PAGEREF _Toc99720829 \h </w:instrText>
        </w:r>
        <w:r w:rsidR="00EF35F3">
          <w:rPr>
            <w:noProof/>
            <w:webHidden/>
          </w:rPr>
        </w:r>
        <w:r w:rsidR="00EF35F3">
          <w:rPr>
            <w:noProof/>
            <w:webHidden/>
          </w:rPr>
          <w:fldChar w:fldCharType="separate"/>
        </w:r>
        <w:r w:rsidR="00EF35F3">
          <w:rPr>
            <w:noProof/>
            <w:webHidden/>
          </w:rPr>
          <w:t>239</w:t>
        </w:r>
        <w:r w:rsidR="00EF35F3">
          <w:rPr>
            <w:noProof/>
            <w:webHidden/>
          </w:rPr>
          <w:fldChar w:fldCharType="end"/>
        </w:r>
      </w:hyperlink>
    </w:p>
    <w:p w14:paraId="43950F01" w14:textId="50FAA807" w:rsidR="00EF35F3" w:rsidRDefault="00C34531">
      <w:pPr>
        <w:pStyle w:val="TableofFigures"/>
        <w:tabs>
          <w:tab w:val="right" w:leader="dot" w:pos="9016"/>
        </w:tabs>
        <w:rPr>
          <w:rFonts w:eastAsiaTheme="minorEastAsia"/>
          <w:noProof/>
          <w:lang w:eastAsia="en-GB"/>
        </w:rPr>
      </w:pPr>
      <w:hyperlink w:anchor="_Toc99720830" w:history="1">
        <w:r w:rsidR="00EF35F3" w:rsidRPr="00305E64">
          <w:rPr>
            <w:rStyle w:val="Hyperlink"/>
            <w:noProof/>
          </w:rPr>
          <w:t>Figure 49 Forest plot type 2 diabetes</w:t>
        </w:r>
        <w:r w:rsidR="00EF35F3">
          <w:rPr>
            <w:noProof/>
            <w:webHidden/>
          </w:rPr>
          <w:tab/>
        </w:r>
        <w:r w:rsidR="00EF35F3">
          <w:rPr>
            <w:noProof/>
            <w:webHidden/>
          </w:rPr>
          <w:fldChar w:fldCharType="begin"/>
        </w:r>
        <w:r w:rsidR="00EF35F3">
          <w:rPr>
            <w:noProof/>
            <w:webHidden/>
          </w:rPr>
          <w:instrText xml:space="preserve"> PAGEREF _Toc99720830 \h </w:instrText>
        </w:r>
        <w:r w:rsidR="00EF35F3">
          <w:rPr>
            <w:noProof/>
            <w:webHidden/>
          </w:rPr>
        </w:r>
        <w:r w:rsidR="00EF35F3">
          <w:rPr>
            <w:noProof/>
            <w:webHidden/>
          </w:rPr>
          <w:fldChar w:fldCharType="separate"/>
        </w:r>
        <w:r w:rsidR="00EF35F3">
          <w:rPr>
            <w:noProof/>
            <w:webHidden/>
          </w:rPr>
          <w:t>240</w:t>
        </w:r>
        <w:r w:rsidR="00EF35F3">
          <w:rPr>
            <w:noProof/>
            <w:webHidden/>
          </w:rPr>
          <w:fldChar w:fldCharType="end"/>
        </w:r>
      </w:hyperlink>
    </w:p>
    <w:p w14:paraId="486D7CC1" w14:textId="5C509787" w:rsidR="00EF35F3" w:rsidRDefault="00C34531">
      <w:pPr>
        <w:pStyle w:val="TableofFigures"/>
        <w:tabs>
          <w:tab w:val="right" w:leader="dot" w:pos="9016"/>
        </w:tabs>
        <w:rPr>
          <w:rFonts w:eastAsiaTheme="minorEastAsia"/>
          <w:noProof/>
          <w:lang w:eastAsia="en-GB"/>
        </w:rPr>
      </w:pPr>
      <w:hyperlink w:anchor="_Toc99720831" w:history="1">
        <w:r w:rsidR="00EF35F3" w:rsidRPr="00305E64">
          <w:rPr>
            <w:rStyle w:val="Hyperlink"/>
            <w:noProof/>
          </w:rPr>
          <w:t>Figure 50 Forest plot thyroid disease</w:t>
        </w:r>
        <w:r w:rsidR="00EF35F3">
          <w:rPr>
            <w:noProof/>
            <w:webHidden/>
          </w:rPr>
          <w:tab/>
        </w:r>
        <w:r w:rsidR="00EF35F3">
          <w:rPr>
            <w:noProof/>
            <w:webHidden/>
          </w:rPr>
          <w:fldChar w:fldCharType="begin"/>
        </w:r>
        <w:r w:rsidR="00EF35F3">
          <w:rPr>
            <w:noProof/>
            <w:webHidden/>
          </w:rPr>
          <w:instrText xml:space="preserve"> PAGEREF _Toc99720831 \h </w:instrText>
        </w:r>
        <w:r w:rsidR="00EF35F3">
          <w:rPr>
            <w:noProof/>
            <w:webHidden/>
          </w:rPr>
        </w:r>
        <w:r w:rsidR="00EF35F3">
          <w:rPr>
            <w:noProof/>
            <w:webHidden/>
          </w:rPr>
          <w:fldChar w:fldCharType="separate"/>
        </w:r>
        <w:r w:rsidR="00EF35F3">
          <w:rPr>
            <w:noProof/>
            <w:webHidden/>
          </w:rPr>
          <w:t>241</w:t>
        </w:r>
        <w:r w:rsidR="00EF35F3">
          <w:rPr>
            <w:noProof/>
            <w:webHidden/>
          </w:rPr>
          <w:fldChar w:fldCharType="end"/>
        </w:r>
      </w:hyperlink>
    </w:p>
    <w:p w14:paraId="2B57E31D" w14:textId="6B598ED6" w:rsidR="00EF35F3" w:rsidRDefault="00C34531">
      <w:pPr>
        <w:pStyle w:val="TableofFigures"/>
        <w:tabs>
          <w:tab w:val="right" w:leader="dot" w:pos="9016"/>
        </w:tabs>
        <w:rPr>
          <w:rFonts w:eastAsiaTheme="minorEastAsia"/>
          <w:noProof/>
          <w:lang w:eastAsia="en-GB"/>
        </w:rPr>
      </w:pPr>
      <w:hyperlink w:anchor="_Toc99720832" w:history="1">
        <w:r w:rsidR="00EF35F3" w:rsidRPr="00305E64">
          <w:rPr>
            <w:rStyle w:val="Hyperlink"/>
            <w:noProof/>
          </w:rPr>
          <w:t>Figure 51 Forest plot family history of CD</w:t>
        </w:r>
        <w:r w:rsidR="00EF35F3">
          <w:rPr>
            <w:noProof/>
            <w:webHidden/>
          </w:rPr>
          <w:tab/>
        </w:r>
        <w:r w:rsidR="00EF35F3">
          <w:rPr>
            <w:noProof/>
            <w:webHidden/>
          </w:rPr>
          <w:fldChar w:fldCharType="begin"/>
        </w:r>
        <w:r w:rsidR="00EF35F3">
          <w:rPr>
            <w:noProof/>
            <w:webHidden/>
          </w:rPr>
          <w:instrText xml:space="preserve"> PAGEREF _Toc99720832 \h </w:instrText>
        </w:r>
        <w:r w:rsidR="00EF35F3">
          <w:rPr>
            <w:noProof/>
            <w:webHidden/>
          </w:rPr>
        </w:r>
        <w:r w:rsidR="00EF35F3">
          <w:rPr>
            <w:noProof/>
            <w:webHidden/>
          </w:rPr>
          <w:fldChar w:fldCharType="separate"/>
        </w:r>
        <w:r w:rsidR="00EF35F3">
          <w:rPr>
            <w:noProof/>
            <w:webHidden/>
          </w:rPr>
          <w:t>243</w:t>
        </w:r>
        <w:r w:rsidR="00EF35F3">
          <w:rPr>
            <w:noProof/>
            <w:webHidden/>
          </w:rPr>
          <w:fldChar w:fldCharType="end"/>
        </w:r>
      </w:hyperlink>
    </w:p>
    <w:p w14:paraId="65B091B2" w14:textId="04F74D75" w:rsidR="00EF35F3" w:rsidRDefault="00C34531">
      <w:pPr>
        <w:pStyle w:val="TableofFigures"/>
        <w:tabs>
          <w:tab w:val="right" w:leader="dot" w:pos="9016"/>
        </w:tabs>
        <w:rPr>
          <w:rFonts w:eastAsiaTheme="minorEastAsia"/>
          <w:noProof/>
          <w:lang w:eastAsia="en-GB"/>
        </w:rPr>
      </w:pPr>
      <w:hyperlink w:anchor="_Toc99720833" w:history="1">
        <w:r w:rsidR="00EF35F3" w:rsidRPr="00305E64">
          <w:rPr>
            <w:rStyle w:val="Hyperlink"/>
            <w:noProof/>
          </w:rPr>
          <w:t>Figure 52 Subgroup analysis stratified by age group and CD diagnosis</w:t>
        </w:r>
        <w:r w:rsidR="00EF35F3">
          <w:rPr>
            <w:noProof/>
            <w:webHidden/>
          </w:rPr>
          <w:tab/>
        </w:r>
        <w:r w:rsidR="00EF35F3">
          <w:rPr>
            <w:noProof/>
            <w:webHidden/>
          </w:rPr>
          <w:fldChar w:fldCharType="begin"/>
        </w:r>
        <w:r w:rsidR="00EF35F3">
          <w:rPr>
            <w:noProof/>
            <w:webHidden/>
          </w:rPr>
          <w:instrText xml:space="preserve"> PAGEREF _Toc99720833 \h </w:instrText>
        </w:r>
        <w:r w:rsidR="00EF35F3">
          <w:rPr>
            <w:noProof/>
            <w:webHidden/>
          </w:rPr>
        </w:r>
        <w:r w:rsidR="00EF35F3">
          <w:rPr>
            <w:noProof/>
            <w:webHidden/>
          </w:rPr>
          <w:fldChar w:fldCharType="separate"/>
        </w:r>
        <w:r w:rsidR="00EF35F3">
          <w:rPr>
            <w:noProof/>
            <w:webHidden/>
          </w:rPr>
          <w:t>244</w:t>
        </w:r>
        <w:r w:rsidR="00EF35F3">
          <w:rPr>
            <w:noProof/>
            <w:webHidden/>
          </w:rPr>
          <w:fldChar w:fldCharType="end"/>
        </w:r>
      </w:hyperlink>
    </w:p>
    <w:p w14:paraId="41D2426A" w14:textId="3027E160" w:rsidR="00EF35F3" w:rsidRDefault="00C34531">
      <w:pPr>
        <w:pStyle w:val="TableofFigures"/>
        <w:tabs>
          <w:tab w:val="right" w:leader="dot" w:pos="9016"/>
        </w:tabs>
        <w:rPr>
          <w:rFonts w:eastAsiaTheme="minorEastAsia"/>
          <w:noProof/>
          <w:lang w:eastAsia="en-GB"/>
        </w:rPr>
      </w:pPr>
      <w:hyperlink w:anchor="_Toc99720834" w:history="1">
        <w:r w:rsidR="00EF35F3" w:rsidRPr="00305E64">
          <w:rPr>
            <w:rStyle w:val="Hyperlink"/>
            <w:noProof/>
          </w:rPr>
          <w:t>Figure 53 Sensitivity analysis restricting to cohort studies</w:t>
        </w:r>
        <w:r w:rsidR="00EF35F3">
          <w:rPr>
            <w:noProof/>
            <w:webHidden/>
          </w:rPr>
          <w:tab/>
        </w:r>
        <w:r w:rsidR="00EF35F3">
          <w:rPr>
            <w:noProof/>
            <w:webHidden/>
          </w:rPr>
          <w:fldChar w:fldCharType="begin"/>
        </w:r>
        <w:r w:rsidR="00EF35F3">
          <w:rPr>
            <w:noProof/>
            <w:webHidden/>
          </w:rPr>
          <w:instrText xml:space="preserve"> PAGEREF _Toc99720834 \h </w:instrText>
        </w:r>
        <w:r w:rsidR="00EF35F3">
          <w:rPr>
            <w:noProof/>
            <w:webHidden/>
          </w:rPr>
        </w:r>
        <w:r w:rsidR="00EF35F3">
          <w:rPr>
            <w:noProof/>
            <w:webHidden/>
          </w:rPr>
          <w:fldChar w:fldCharType="separate"/>
        </w:r>
        <w:r w:rsidR="00EF35F3">
          <w:rPr>
            <w:noProof/>
            <w:webHidden/>
          </w:rPr>
          <w:t>245</w:t>
        </w:r>
        <w:r w:rsidR="00EF35F3">
          <w:rPr>
            <w:noProof/>
            <w:webHidden/>
          </w:rPr>
          <w:fldChar w:fldCharType="end"/>
        </w:r>
      </w:hyperlink>
    </w:p>
    <w:p w14:paraId="3A4AB3CD" w14:textId="3AD6D15A" w:rsidR="00EF35F3" w:rsidRDefault="00C34531">
      <w:pPr>
        <w:pStyle w:val="TableofFigures"/>
        <w:tabs>
          <w:tab w:val="right" w:leader="dot" w:pos="9016"/>
        </w:tabs>
        <w:rPr>
          <w:rFonts w:eastAsiaTheme="minorEastAsia"/>
          <w:noProof/>
          <w:lang w:eastAsia="en-GB"/>
        </w:rPr>
      </w:pPr>
      <w:hyperlink w:anchor="_Toc99720835" w:history="1">
        <w:r w:rsidR="00EF35F3" w:rsidRPr="00305E64">
          <w:rPr>
            <w:rStyle w:val="Hyperlink"/>
            <w:noProof/>
          </w:rPr>
          <w:t>Figure 54 Patient flow diagram development (CPRD Gold) and external validation dataset (CPRD Aurum)</w:t>
        </w:r>
        <w:r w:rsidR="00EF35F3">
          <w:rPr>
            <w:noProof/>
            <w:webHidden/>
          </w:rPr>
          <w:tab/>
        </w:r>
        <w:r w:rsidR="00EF35F3">
          <w:rPr>
            <w:noProof/>
            <w:webHidden/>
          </w:rPr>
          <w:fldChar w:fldCharType="begin"/>
        </w:r>
        <w:r w:rsidR="00EF35F3">
          <w:rPr>
            <w:noProof/>
            <w:webHidden/>
          </w:rPr>
          <w:instrText xml:space="preserve"> PAGEREF _Toc99720835 \h </w:instrText>
        </w:r>
        <w:r w:rsidR="00EF35F3">
          <w:rPr>
            <w:noProof/>
            <w:webHidden/>
          </w:rPr>
        </w:r>
        <w:r w:rsidR="00EF35F3">
          <w:rPr>
            <w:noProof/>
            <w:webHidden/>
          </w:rPr>
          <w:fldChar w:fldCharType="separate"/>
        </w:r>
        <w:r w:rsidR="00EF35F3">
          <w:rPr>
            <w:noProof/>
            <w:webHidden/>
          </w:rPr>
          <w:t>250</w:t>
        </w:r>
        <w:r w:rsidR="00EF35F3">
          <w:rPr>
            <w:noProof/>
            <w:webHidden/>
          </w:rPr>
          <w:fldChar w:fldCharType="end"/>
        </w:r>
      </w:hyperlink>
    </w:p>
    <w:p w14:paraId="5EE08A66" w14:textId="0AECC826" w:rsidR="00EF35F3" w:rsidRDefault="00C34531">
      <w:pPr>
        <w:pStyle w:val="TableofFigures"/>
        <w:tabs>
          <w:tab w:val="right" w:leader="dot" w:pos="9016"/>
        </w:tabs>
        <w:rPr>
          <w:rFonts w:eastAsiaTheme="minorEastAsia"/>
          <w:noProof/>
          <w:lang w:eastAsia="en-GB"/>
        </w:rPr>
      </w:pPr>
      <w:hyperlink w:anchor="_Toc99720836" w:history="1">
        <w:r w:rsidR="00EF35F3" w:rsidRPr="00305E64">
          <w:rPr>
            <w:rStyle w:val="Hyperlink"/>
            <w:noProof/>
          </w:rPr>
          <w:t>Figure 55 Calibration curves model development and external validation</w:t>
        </w:r>
        <w:r w:rsidR="00EF35F3">
          <w:rPr>
            <w:noProof/>
            <w:webHidden/>
          </w:rPr>
          <w:tab/>
        </w:r>
        <w:r w:rsidR="00EF35F3">
          <w:rPr>
            <w:noProof/>
            <w:webHidden/>
          </w:rPr>
          <w:fldChar w:fldCharType="begin"/>
        </w:r>
        <w:r w:rsidR="00EF35F3">
          <w:rPr>
            <w:noProof/>
            <w:webHidden/>
          </w:rPr>
          <w:instrText xml:space="preserve"> PAGEREF _Toc99720836 \h </w:instrText>
        </w:r>
        <w:r w:rsidR="00EF35F3">
          <w:rPr>
            <w:noProof/>
            <w:webHidden/>
          </w:rPr>
        </w:r>
        <w:r w:rsidR="00EF35F3">
          <w:rPr>
            <w:noProof/>
            <w:webHidden/>
          </w:rPr>
          <w:fldChar w:fldCharType="separate"/>
        </w:r>
        <w:r w:rsidR="00EF35F3">
          <w:rPr>
            <w:noProof/>
            <w:webHidden/>
          </w:rPr>
          <w:t>256</w:t>
        </w:r>
        <w:r w:rsidR="00EF35F3">
          <w:rPr>
            <w:noProof/>
            <w:webHidden/>
          </w:rPr>
          <w:fldChar w:fldCharType="end"/>
        </w:r>
      </w:hyperlink>
    </w:p>
    <w:p w14:paraId="672A5D78" w14:textId="3A03DE29" w:rsidR="00EF35F3" w:rsidRDefault="00C34531">
      <w:pPr>
        <w:pStyle w:val="TableofFigures"/>
        <w:tabs>
          <w:tab w:val="right" w:leader="dot" w:pos="9016"/>
        </w:tabs>
        <w:rPr>
          <w:rFonts w:eastAsiaTheme="minorEastAsia"/>
          <w:noProof/>
          <w:lang w:eastAsia="en-GB"/>
        </w:rPr>
      </w:pPr>
      <w:hyperlink w:anchor="_Toc99720837" w:history="1">
        <w:r w:rsidR="00EF35F3" w:rsidRPr="00305E64">
          <w:rPr>
            <w:rStyle w:val="Hyperlink"/>
            <w:noProof/>
          </w:rPr>
          <w:t>Figure 56 PRIMSA flow diagram</w:t>
        </w:r>
        <w:r w:rsidR="00EF35F3">
          <w:rPr>
            <w:noProof/>
            <w:webHidden/>
          </w:rPr>
          <w:tab/>
        </w:r>
        <w:r w:rsidR="00EF35F3">
          <w:rPr>
            <w:noProof/>
            <w:webHidden/>
          </w:rPr>
          <w:fldChar w:fldCharType="begin"/>
        </w:r>
        <w:r w:rsidR="00EF35F3">
          <w:rPr>
            <w:noProof/>
            <w:webHidden/>
          </w:rPr>
          <w:instrText xml:space="preserve"> PAGEREF _Toc99720837 \h </w:instrText>
        </w:r>
        <w:r w:rsidR="00EF35F3">
          <w:rPr>
            <w:noProof/>
            <w:webHidden/>
          </w:rPr>
        </w:r>
        <w:r w:rsidR="00EF35F3">
          <w:rPr>
            <w:noProof/>
            <w:webHidden/>
          </w:rPr>
          <w:fldChar w:fldCharType="separate"/>
        </w:r>
        <w:r w:rsidR="00EF35F3">
          <w:rPr>
            <w:noProof/>
            <w:webHidden/>
          </w:rPr>
          <w:t>262</w:t>
        </w:r>
        <w:r w:rsidR="00EF35F3">
          <w:rPr>
            <w:noProof/>
            <w:webHidden/>
          </w:rPr>
          <w:fldChar w:fldCharType="end"/>
        </w:r>
      </w:hyperlink>
    </w:p>
    <w:p w14:paraId="5F50AC71" w14:textId="161EBD75" w:rsidR="00EF35F3" w:rsidRDefault="00C34531">
      <w:pPr>
        <w:pStyle w:val="TableofFigures"/>
        <w:tabs>
          <w:tab w:val="right" w:leader="dot" w:pos="9016"/>
        </w:tabs>
        <w:rPr>
          <w:rFonts w:eastAsiaTheme="minorEastAsia"/>
          <w:noProof/>
          <w:lang w:eastAsia="en-GB"/>
        </w:rPr>
      </w:pPr>
      <w:hyperlink w:anchor="_Toc99720838" w:history="1">
        <w:r w:rsidR="00EF35F3" w:rsidRPr="00305E64">
          <w:rPr>
            <w:rStyle w:val="Hyperlink"/>
            <w:noProof/>
          </w:rPr>
          <w:t>Figure 57 Summary risk of bias plots for all studies combined; stratified according to age; and stratified according to test type</w:t>
        </w:r>
        <w:r w:rsidR="00EF35F3">
          <w:rPr>
            <w:noProof/>
            <w:webHidden/>
          </w:rPr>
          <w:tab/>
        </w:r>
        <w:r w:rsidR="00EF35F3">
          <w:rPr>
            <w:noProof/>
            <w:webHidden/>
          </w:rPr>
          <w:fldChar w:fldCharType="begin"/>
        </w:r>
        <w:r w:rsidR="00EF35F3">
          <w:rPr>
            <w:noProof/>
            <w:webHidden/>
          </w:rPr>
          <w:instrText xml:space="preserve"> PAGEREF _Toc99720838 \h </w:instrText>
        </w:r>
        <w:r w:rsidR="00EF35F3">
          <w:rPr>
            <w:noProof/>
            <w:webHidden/>
          </w:rPr>
        </w:r>
        <w:r w:rsidR="00EF35F3">
          <w:rPr>
            <w:noProof/>
            <w:webHidden/>
          </w:rPr>
          <w:fldChar w:fldCharType="separate"/>
        </w:r>
        <w:r w:rsidR="00EF35F3">
          <w:rPr>
            <w:noProof/>
            <w:webHidden/>
          </w:rPr>
          <w:t>263</w:t>
        </w:r>
        <w:r w:rsidR="00EF35F3">
          <w:rPr>
            <w:noProof/>
            <w:webHidden/>
          </w:rPr>
          <w:fldChar w:fldCharType="end"/>
        </w:r>
      </w:hyperlink>
    </w:p>
    <w:p w14:paraId="34F461D0" w14:textId="31A0F88E" w:rsidR="00EF35F3" w:rsidRDefault="00C34531">
      <w:pPr>
        <w:pStyle w:val="TableofFigures"/>
        <w:tabs>
          <w:tab w:val="right" w:leader="dot" w:pos="9016"/>
        </w:tabs>
        <w:rPr>
          <w:rFonts w:eastAsiaTheme="minorEastAsia"/>
          <w:noProof/>
          <w:lang w:eastAsia="en-GB"/>
        </w:rPr>
      </w:pPr>
      <w:hyperlink w:anchor="_Toc99720839" w:history="1">
        <w:r w:rsidR="00EF35F3" w:rsidRPr="00305E64">
          <w:rPr>
            <w:rStyle w:val="Hyperlink"/>
            <w:noProof/>
          </w:rPr>
          <w:t>Figure 58  Study estimates of IgA tTG sensitivity and specificity in adults plotted in receiver operating characteristic (ROC) space, stratified by reason for biopsy. Summary ROC curves are estimated from a meta-analysis of all data, across thresholds.</w:t>
        </w:r>
        <w:r w:rsidR="00EF35F3">
          <w:rPr>
            <w:noProof/>
            <w:webHidden/>
          </w:rPr>
          <w:tab/>
        </w:r>
        <w:r w:rsidR="00EF35F3">
          <w:rPr>
            <w:noProof/>
            <w:webHidden/>
          </w:rPr>
          <w:fldChar w:fldCharType="begin"/>
        </w:r>
        <w:r w:rsidR="00EF35F3">
          <w:rPr>
            <w:noProof/>
            <w:webHidden/>
          </w:rPr>
          <w:instrText xml:space="preserve"> PAGEREF _Toc99720839 \h </w:instrText>
        </w:r>
        <w:r w:rsidR="00EF35F3">
          <w:rPr>
            <w:noProof/>
            <w:webHidden/>
          </w:rPr>
        </w:r>
        <w:r w:rsidR="00EF35F3">
          <w:rPr>
            <w:noProof/>
            <w:webHidden/>
          </w:rPr>
          <w:fldChar w:fldCharType="separate"/>
        </w:r>
        <w:r w:rsidR="00EF35F3">
          <w:rPr>
            <w:noProof/>
            <w:webHidden/>
          </w:rPr>
          <w:t>264</w:t>
        </w:r>
        <w:r w:rsidR="00EF35F3">
          <w:rPr>
            <w:noProof/>
            <w:webHidden/>
          </w:rPr>
          <w:fldChar w:fldCharType="end"/>
        </w:r>
      </w:hyperlink>
    </w:p>
    <w:p w14:paraId="1E593E95" w14:textId="35C5D6D8" w:rsidR="00EF35F3" w:rsidRDefault="00C34531">
      <w:pPr>
        <w:pStyle w:val="TableofFigures"/>
        <w:tabs>
          <w:tab w:val="right" w:leader="dot" w:pos="9016"/>
        </w:tabs>
        <w:rPr>
          <w:rFonts w:eastAsiaTheme="minorEastAsia"/>
          <w:noProof/>
          <w:lang w:eastAsia="en-GB"/>
        </w:rPr>
      </w:pPr>
      <w:hyperlink w:anchor="_Toc99720840" w:history="1">
        <w:r w:rsidR="00EF35F3" w:rsidRPr="00305E64">
          <w:rPr>
            <w:rStyle w:val="Hyperlink"/>
            <w:noProof/>
          </w:rPr>
          <w:t>Figure 59  Study estimates of IgA EMA sensitivity and specificity in adults plotted in receiver operating characteristic (ROC) space, stratified by reason for biopsy. Summary ROC curves are estimated from a meta-analysis of all data, across thresholds.</w:t>
        </w:r>
        <w:r w:rsidR="00EF35F3">
          <w:rPr>
            <w:noProof/>
            <w:webHidden/>
          </w:rPr>
          <w:tab/>
        </w:r>
        <w:r w:rsidR="00EF35F3">
          <w:rPr>
            <w:noProof/>
            <w:webHidden/>
          </w:rPr>
          <w:fldChar w:fldCharType="begin"/>
        </w:r>
        <w:r w:rsidR="00EF35F3">
          <w:rPr>
            <w:noProof/>
            <w:webHidden/>
          </w:rPr>
          <w:instrText xml:space="preserve"> PAGEREF _Toc99720840 \h </w:instrText>
        </w:r>
        <w:r w:rsidR="00EF35F3">
          <w:rPr>
            <w:noProof/>
            <w:webHidden/>
          </w:rPr>
        </w:r>
        <w:r w:rsidR="00EF35F3">
          <w:rPr>
            <w:noProof/>
            <w:webHidden/>
          </w:rPr>
          <w:fldChar w:fldCharType="separate"/>
        </w:r>
        <w:r w:rsidR="00EF35F3">
          <w:rPr>
            <w:noProof/>
            <w:webHidden/>
          </w:rPr>
          <w:t>265</w:t>
        </w:r>
        <w:r w:rsidR="00EF35F3">
          <w:rPr>
            <w:noProof/>
            <w:webHidden/>
          </w:rPr>
          <w:fldChar w:fldCharType="end"/>
        </w:r>
      </w:hyperlink>
    </w:p>
    <w:p w14:paraId="60C2A1AF" w14:textId="2EA590D2" w:rsidR="00EF35F3" w:rsidRDefault="00C34531">
      <w:pPr>
        <w:pStyle w:val="TableofFigures"/>
        <w:tabs>
          <w:tab w:val="right" w:leader="dot" w:pos="9016"/>
        </w:tabs>
        <w:rPr>
          <w:rFonts w:eastAsiaTheme="minorEastAsia"/>
          <w:noProof/>
          <w:lang w:eastAsia="en-GB"/>
        </w:rPr>
      </w:pPr>
      <w:hyperlink w:anchor="_Toc99720841" w:history="1">
        <w:r w:rsidR="00EF35F3" w:rsidRPr="00305E64">
          <w:rPr>
            <w:rStyle w:val="Hyperlink"/>
            <w:noProof/>
          </w:rPr>
          <w:t>Figure 60  Study estimates of IgA tTG sensitivity and specificity in children plotted in receiver operating characteristic (ROC) space, stratified by reason for biopsy. Summary ROC curves are estimated from a meta-analysis of all data, across thresholds.</w:t>
        </w:r>
        <w:r w:rsidR="00EF35F3">
          <w:rPr>
            <w:noProof/>
            <w:webHidden/>
          </w:rPr>
          <w:tab/>
        </w:r>
        <w:r w:rsidR="00EF35F3">
          <w:rPr>
            <w:noProof/>
            <w:webHidden/>
          </w:rPr>
          <w:fldChar w:fldCharType="begin"/>
        </w:r>
        <w:r w:rsidR="00EF35F3">
          <w:rPr>
            <w:noProof/>
            <w:webHidden/>
          </w:rPr>
          <w:instrText xml:space="preserve"> PAGEREF _Toc99720841 \h </w:instrText>
        </w:r>
        <w:r w:rsidR="00EF35F3">
          <w:rPr>
            <w:noProof/>
            <w:webHidden/>
          </w:rPr>
        </w:r>
        <w:r w:rsidR="00EF35F3">
          <w:rPr>
            <w:noProof/>
            <w:webHidden/>
          </w:rPr>
          <w:fldChar w:fldCharType="separate"/>
        </w:r>
        <w:r w:rsidR="00EF35F3">
          <w:rPr>
            <w:noProof/>
            <w:webHidden/>
          </w:rPr>
          <w:t>266</w:t>
        </w:r>
        <w:r w:rsidR="00EF35F3">
          <w:rPr>
            <w:noProof/>
            <w:webHidden/>
          </w:rPr>
          <w:fldChar w:fldCharType="end"/>
        </w:r>
      </w:hyperlink>
    </w:p>
    <w:p w14:paraId="25C1A253" w14:textId="155D942E" w:rsidR="00EF35F3" w:rsidRDefault="00C34531">
      <w:pPr>
        <w:pStyle w:val="TableofFigures"/>
        <w:tabs>
          <w:tab w:val="right" w:leader="dot" w:pos="9016"/>
        </w:tabs>
        <w:rPr>
          <w:rFonts w:eastAsiaTheme="minorEastAsia"/>
          <w:noProof/>
          <w:lang w:eastAsia="en-GB"/>
        </w:rPr>
      </w:pPr>
      <w:hyperlink w:anchor="_Toc99720842" w:history="1">
        <w:r w:rsidR="00EF35F3" w:rsidRPr="00305E64">
          <w:rPr>
            <w:rStyle w:val="Hyperlink"/>
            <w:noProof/>
          </w:rPr>
          <w:t>Figure 61  Study estimates of IgA EMA sensitivity and specificity in children plotted in receiver operating characteristic (ROC) space, stratified by reason for biopsy. Summary ROC curves are estimated from a meta-analysis of all data, across thresholds.</w:t>
        </w:r>
        <w:r w:rsidR="00EF35F3">
          <w:rPr>
            <w:noProof/>
            <w:webHidden/>
          </w:rPr>
          <w:tab/>
        </w:r>
        <w:r w:rsidR="00EF35F3">
          <w:rPr>
            <w:noProof/>
            <w:webHidden/>
          </w:rPr>
          <w:fldChar w:fldCharType="begin"/>
        </w:r>
        <w:r w:rsidR="00EF35F3">
          <w:rPr>
            <w:noProof/>
            <w:webHidden/>
          </w:rPr>
          <w:instrText xml:space="preserve"> PAGEREF _Toc99720842 \h </w:instrText>
        </w:r>
        <w:r w:rsidR="00EF35F3">
          <w:rPr>
            <w:noProof/>
            <w:webHidden/>
          </w:rPr>
        </w:r>
        <w:r w:rsidR="00EF35F3">
          <w:rPr>
            <w:noProof/>
            <w:webHidden/>
          </w:rPr>
          <w:fldChar w:fldCharType="separate"/>
        </w:r>
        <w:r w:rsidR="00EF35F3">
          <w:rPr>
            <w:noProof/>
            <w:webHidden/>
          </w:rPr>
          <w:t>267</w:t>
        </w:r>
        <w:r w:rsidR="00EF35F3">
          <w:rPr>
            <w:noProof/>
            <w:webHidden/>
          </w:rPr>
          <w:fldChar w:fldCharType="end"/>
        </w:r>
      </w:hyperlink>
    </w:p>
    <w:p w14:paraId="107D0546" w14:textId="2A7C9D16" w:rsidR="00EF35F3" w:rsidRDefault="00C34531">
      <w:pPr>
        <w:pStyle w:val="TableofFigures"/>
        <w:tabs>
          <w:tab w:val="right" w:leader="dot" w:pos="9016"/>
        </w:tabs>
        <w:rPr>
          <w:rFonts w:eastAsiaTheme="minorEastAsia"/>
          <w:noProof/>
          <w:lang w:eastAsia="en-GB"/>
        </w:rPr>
      </w:pPr>
      <w:hyperlink w:anchor="_Toc99720843" w:history="1">
        <w:r w:rsidR="00EF35F3" w:rsidRPr="00305E64">
          <w:rPr>
            <w:rStyle w:val="Hyperlink"/>
            <w:noProof/>
          </w:rPr>
          <w:t>Figure 62 Summary graph of risk of bias</w:t>
        </w:r>
        <w:r w:rsidR="00EF35F3">
          <w:rPr>
            <w:noProof/>
            <w:webHidden/>
          </w:rPr>
          <w:tab/>
        </w:r>
        <w:r w:rsidR="00EF35F3">
          <w:rPr>
            <w:noProof/>
            <w:webHidden/>
          </w:rPr>
          <w:fldChar w:fldCharType="begin"/>
        </w:r>
        <w:r w:rsidR="00EF35F3">
          <w:rPr>
            <w:noProof/>
            <w:webHidden/>
          </w:rPr>
          <w:instrText xml:space="preserve"> PAGEREF _Toc99720843 \h </w:instrText>
        </w:r>
        <w:r w:rsidR="00EF35F3">
          <w:rPr>
            <w:noProof/>
            <w:webHidden/>
          </w:rPr>
        </w:r>
        <w:r w:rsidR="00EF35F3">
          <w:rPr>
            <w:noProof/>
            <w:webHidden/>
          </w:rPr>
          <w:fldChar w:fldCharType="separate"/>
        </w:r>
        <w:r w:rsidR="00EF35F3">
          <w:rPr>
            <w:noProof/>
            <w:webHidden/>
          </w:rPr>
          <w:t>268</w:t>
        </w:r>
        <w:r w:rsidR="00EF35F3">
          <w:rPr>
            <w:noProof/>
            <w:webHidden/>
          </w:rPr>
          <w:fldChar w:fldCharType="end"/>
        </w:r>
      </w:hyperlink>
    </w:p>
    <w:p w14:paraId="0CCE4408" w14:textId="27400DF9" w:rsidR="005D17F0" w:rsidRPr="00734942" w:rsidRDefault="00F72DF8">
      <w:pPr>
        <w:rPr>
          <w:rFonts w:asciiTheme="majorHAnsi" w:eastAsiaTheme="majorEastAsia" w:hAnsiTheme="majorHAnsi" w:cstheme="majorBidi"/>
          <w:color w:val="2F5496" w:themeColor="accent1" w:themeShade="BF"/>
          <w:sz w:val="32"/>
          <w:szCs w:val="32"/>
        </w:rPr>
      </w:pPr>
      <w:r w:rsidRPr="00734942">
        <w:fldChar w:fldCharType="end"/>
      </w:r>
      <w:r w:rsidR="005D17F0" w:rsidRPr="00734942">
        <w:br w:type="page"/>
      </w:r>
    </w:p>
    <w:p w14:paraId="3134C5CC" w14:textId="7F1539B1" w:rsidR="00242DAE" w:rsidRDefault="00242DAE" w:rsidP="00242DAE">
      <w:pPr>
        <w:pStyle w:val="Heading1"/>
      </w:pPr>
      <w:bookmarkStart w:id="39" w:name="_Toc99539788"/>
      <w:r>
        <w:lastRenderedPageBreak/>
        <w:t>List of supplementary materials</w:t>
      </w:r>
    </w:p>
    <w:p w14:paraId="76255BF7" w14:textId="1DA1415C" w:rsidR="008C2759" w:rsidRPr="008C2759" w:rsidRDefault="008C2759" w:rsidP="008C2759">
      <w:pPr>
        <w:keepNext/>
        <w:keepLines/>
        <w:spacing w:before="240" w:after="0"/>
        <w:rPr>
          <w:rFonts w:asciiTheme="majorHAnsi" w:eastAsiaTheme="majorEastAsia" w:hAnsiTheme="majorHAnsi" w:cstheme="majorBidi"/>
          <w:color w:val="2F5496" w:themeColor="accent1" w:themeShade="BF"/>
          <w:sz w:val="32"/>
          <w:szCs w:val="32"/>
          <w:lang w:val="en-US"/>
        </w:rPr>
      </w:pPr>
      <w:r w:rsidRPr="008C2759">
        <w:rPr>
          <w:rFonts w:asciiTheme="majorHAnsi" w:eastAsiaTheme="majorEastAsia" w:hAnsiTheme="majorHAnsi" w:cstheme="majorBidi"/>
          <w:color w:val="2F5496" w:themeColor="accent1" w:themeShade="BF"/>
          <w:sz w:val="32"/>
          <w:szCs w:val="32"/>
          <w:lang w:val="en-US"/>
        </w:rPr>
        <w:t>Contents</w:t>
      </w:r>
    </w:p>
    <w:p w14:paraId="12461A6E" w14:textId="77777777" w:rsidR="008C2759" w:rsidRPr="008C2759" w:rsidRDefault="008C2759" w:rsidP="008C2759">
      <w:pPr>
        <w:tabs>
          <w:tab w:val="right" w:leader="dot" w:pos="9016"/>
        </w:tabs>
        <w:spacing w:after="100"/>
        <w:ind w:left="440"/>
        <w:rPr>
          <w:rFonts w:eastAsiaTheme="minorEastAsia"/>
          <w:noProof/>
          <w:lang w:eastAsia="en-GB"/>
        </w:rPr>
      </w:pPr>
      <w:r w:rsidRPr="008C2759">
        <w:fldChar w:fldCharType="begin"/>
      </w:r>
      <w:r w:rsidRPr="008C2759">
        <w:instrText xml:space="preserve"> TOC \o "1-3" \h \z \u </w:instrText>
      </w:r>
      <w:r w:rsidRPr="008C2759">
        <w:fldChar w:fldCharType="separate"/>
      </w:r>
      <w:hyperlink w:anchor="_Toc99541850" w:history="1">
        <w:r w:rsidRPr="008C2759">
          <w:rPr>
            <w:noProof/>
            <w:color w:val="0000FF"/>
            <w:u w:val="single"/>
          </w:rPr>
          <w:t>Author list</w:t>
        </w:r>
        <w:r w:rsidRPr="008C2759">
          <w:rPr>
            <w:noProof/>
            <w:webHidden/>
          </w:rPr>
          <w:tab/>
        </w:r>
        <w:r w:rsidRPr="008C2759">
          <w:rPr>
            <w:noProof/>
            <w:webHidden/>
          </w:rPr>
          <w:fldChar w:fldCharType="begin"/>
        </w:r>
        <w:r w:rsidRPr="008C2759">
          <w:rPr>
            <w:noProof/>
            <w:webHidden/>
          </w:rPr>
          <w:instrText xml:space="preserve"> PAGEREF _Toc99541850 \h </w:instrText>
        </w:r>
        <w:r w:rsidRPr="008C2759">
          <w:rPr>
            <w:noProof/>
            <w:webHidden/>
          </w:rPr>
        </w:r>
        <w:r w:rsidRPr="008C2759">
          <w:rPr>
            <w:noProof/>
            <w:webHidden/>
          </w:rPr>
          <w:fldChar w:fldCharType="separate"/>
        </w:r>
        <w:r w:rsidRPr="008C2759">
          <w:rPr>
            <w:noProof/>
            <w:webHidden/>
          </w:rPr>
          <w:t>1</w:t>
        </w:r>
        <w:r w:rsidRPr="008C2759">
          <w:rPr>
            <w:noProof/>
            <w:webHidden/>
          </w:rPr>
          <w:fldChar w:fldCharType="end"/>
        </w:r>
      </w:hyperlink>
    </w:p>
    <w:p w14:paraId="26709FA4"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1" w:history="1">
        <w:r w:rsidRPr="008C2759">
          <w:rPr>
            <w:noProof/>
            <w:color w:val="0000FF"/>
            <w:u w:val="single"/>
          </w:rPr>
          <w:t>Affiliations</w:t>
        </w:r>
        <w:r w:rsidRPr="008C2759">
          <w:rPr>
            <w:noProof/>
            <w:webHidden/>
          </w:rPr>
          <w:tab/>
        </w:r>
        <w:r w:rsidRPr="008C2759">
          <w:rPr>
            <w:noProof/>
            <w:webHidden/>
          </w:rPr>
          <w:fldChar w:fldCharType="begin"/>
        </w:r>
        <w:r w:rsidRPr="008C2759">
          <w:rPr>
            <w:noProof/>
            <w:webHidden/>
          </w:rPr>
          <w:instrText xml:space="preserve"> PAGEREF _Toc99541851 \h </w:instrText>
        </w:r>
        <w:r w:rsidRPr="008C2759">
          <w:rPr>
            <w:noProof/>
            <w:webHidden/>
          </w:rPr>
        </w:r>
        <w:r w:rsidRPr="008C2759">
          <w:rPr>
            <w:noProof/>
            <w:webHidden/>
          </w:rPr>
          <w:fldChar w:fldCharType="separate"/>
        </w:r>
        <w:r w:rsidRPr="008C2759">
          <w:rPr>
            <w:noProof/>
            <w:webHidden/>
          </w:rPr>
          <w:t>1</w:t>
        </w:r>
        <w:r w:rsidRPr="008C2759">
          <w:rPr>
            <w:noProof/>
            <w:webHidden/>
          </w:rPr>
          <w:fldChar w:fldCharType="end"/>
        </w:r>
      </w:hyperlink>
    </w:p>
    <w:p w14:paraId="49A91A77"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2" w:history="1">
        <w:r w:rsidRPr="008C2759">
          <w:rPr>
            <w:noProof/>
            <w:color w:val="0000FF"/>
            <w:u w:val="single"/>
          </w:rPr>
          <w:t>Corresponding author</w:t>
        </w:r>
        <w:r w:rsidRPr="008C2759">
          <w:rPr>
            <w:noProof/>
            <w:webHidden/>
          </w:rPr>
          <w:tab/>
        </w:r>
        <w:r w:rsidRPr="008C2759">
          <w:rPr>
            <w:noProof/>
            <w:webHidden/>
          </w:rPr>
          <w:fldChar w:fldCharType="begin"/>
        </w:r>
        <w:r w:rsidRPr="008C2759">
          <w:rPr>
            <w:noProof/>
            <w:webHidden/>
          </w:rPr>
          <w:instrText xml:space="preserve"> PAGEREF _Toc99541852 \h </w:instrText>
        </w:r>
        <w:r w:rsidRPr="008C2759">
          <w:rPr>
            <w:noProof/>
            <w:webHidden/>
          </w:rPr>
        </w:r>
        <w:r w:rsidRPr="008C2759">
          <w:rPr>
            <w:noProof/>
            <w:webHidden/>
          </w:rPr>
          <w:fldChar w:fldCharType="separate"/>
        </w:r>
        <w:r w:rsidRPr="008C2759">
          <w:rPr>
            <w:noProof/>
            <w:webHidden/>
          </w:rPr>
          <w:t>1</w:t>
        </w:r>
        <w:r w:rsidRPr="008C2759">
          <w:rPr>
            <w:noProof/>
            <w:webHidden/>
          </w:rPr>
          <w:fldChar w:fldCharType="end"/>
        </w:r>
      </w:hyperlink>
    </w:p>
    <w:p w14:paraId="7769106F" w14:textId="77777777" w:rsidR="008C2759" w:rsidRPr="008C2759" w:rsidRDefault="008C2759" w:rsidP="008C2759">
      <w:pPr>
        <w:tabs>
          <w:tab w:val="right" w:leader="dot" w:pos="9016"/>
        </w:tabs>
        <w:spacing w:after="100"/>
        <w:rPr>
          <w:rFonts w:eastAsiaTheme="minorEastAsia"/>
          <w:noProof/>
          <w:lang w:eastAsia="en-GB"/>
        </w:rPr>
      </w:pPr>
      <w:hyperlink w:anchor="_Toc99541853" w:history="1">
        <w:r w:rsidRPr="008C2759">
          <w:rPr>
            <w:noProof/>
            <w:color w:val="0000FF"/>
            <w:u w:val="single"/>
          </w:rPr>
          <w:t>Chapter 3</w:t>
        </w:r>
        <w:r w:rsidRPr="008C2759">
          <w:rPr>
            <w:noProof/>
            <w:webHidden/>
          </w:rPr>
          <w:tab/>
        </w:r>
        <w:r w:rsidRPr="008C2759">
          <w:rPr>
            <w:noProof/>
            <w:webHidden/>
          </w:rPr>
          <w:fldChar w:fldCharType="begin"/>
        </w:r>
        <w:r w:rsidRPr="008C2759">
          <w:rPr>
            <w:noProof/>
            <w:webHidden/>
          </w:rPr>
          <w:instrText xml:space="preserve"> PAGEREF _Toc99541853 \h </w:instrText>
        </w:r>
        <w:r w:rsidRPr="008C2759">
          <w:rPr>
            <w:noProof/>
            <w:webHidden/>
          </w:rPr>
        </w:r>
        <w:r w:rsidRPr="008C2759">
          <w:rPr>
            <w:noProof/>
            <w:webHidden/>
          </w:rPr>
          <w:fldChar w:fldCharType="separate"/>
        </w:r>
        <w:r w:rsidRPr="008C2759">
          <w:rPr>
            <w:noProof/>
            <w:webHidden/>
          </w:rPr>
          <w:t>4</w:t>
        </w:r>
        <w:r w:rsidRPr="008C2759">
          <w:rPr>
            <w:noProof/>
            <w:webHidden/>
          </w:rPr>
          <w:fldChar w:fldCharType="end"/>
        </w:r>
      </w:hyperlink>
    </w:p>
    <w:p w14:paraId="14A85DED"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4" w:history="1">
        <w:r w:rsidRPr="008C2759">
          <w:rPr>
            <w:noProof/>
            <w:color w:val="0000FF"/>
            <w:u w:val="single"/>
          </w:rPr>
          <w:t>Table S1 List of diagnostic indicators not included in the meta-analysis</w:t>
        </w:r>
        <w:r w:rsidRPr="008C2759">
          <w:rPr>
            <w:noProof/>
            <w:webHidden/>
          </w:rPr>
          <w:tab/>
        </w:r>
        <w:r w:rsidRPr="008C2759">
          <w:rPr>
            <w:noProof/>
            <w:webHidden/>
          </w:rPr>
          <w:fldChar w:fldCharType="begin"/>
        </w:r>
        <w:r w:rsidRPr="008C2759">
          <w:rPr>
            <w:noProof/>
            <w:webHidden/>
          </w:rPr>
          <w:instrText xml:space="preserve"> PAGEREF _Toc99541854 \h </w:instrText>
        </w:r>
        <w:r w:rsidRPr="008C2759">
          <w:rPr>
            <w:noProof/>
            <w:webHidden/>
          </w:rPr>
        </w:r>
        <w:r w:rsidRPr="008C2759">
          <w:rPr>
            <w:noProof/>
            <w:webHidden/>
          </w:rPr>
          <w:fldChar w:fldCharType="separate"/>
        </w:r>
        <w:r w:rsidRPr="008C2759">
          <w:rPr>
            <w:noProof/>
            <w:webHidden/>
          </w:rPr>
          <w:t>4</w:t>
        </w:r>
        <w:r w:rsidRPr="008C2759">
          <w:rPr>
            <w:noProof/>
            <w:webHidden/>
          </w:rPr>
          <w:fldChar w:fldCharType="end"/>
        </w:r>
      </w:hyperlink>
    </w:p>
    <w:p w14:paraId="1A27FA48"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5" w:history="1">
        <w:r w:rsidRPr="008C2759">
          <w:rPr>
            <w:noProof/>
            <w:color w:val="0000FF"/>
            <w:u w:val="single"/>
          </w:rPr>
          <w:t>Figure S1 Summary ROC plots per diagnostic indicators</w:t>
        </w:r>
        <w:r w:rsidRPr="008C2759">
          <w:rPr>
            <w:noProof/>
            <w:webHidden/>
          </w:rPr>
          <w:tab/>
        </w:r>
        <w:r w:rsidRPr="008C2759">
          <w:rPr>
            <w:noProof/>
            <w:webHidden/>
          </w:rPr>
          <w:fldChar w:fldCharType="begin"/>
        </w:r>
        <w:r w:rsidRPr="008C2759">
          <w:rPr>
            <w:noProof/>
            <w:webHidden/>
          </w:rPr>
          <w:instrText xml:space="preserve"> PAGEREF _Toc99541855 \h </w:instrText>
        </w:r>
        <w:r w:rsidRPr="008C2759">
          <w:rPr>
            <w:noProof/>
            <w:webHidden/>
          </w:rPr>
        </w:r>
        <w:r w:rsidRPr="008C2759">
          <w:rPr>
            <w:noProof/>
            <w:webHidden/>
          </w:rPr>
          <w:fldChar w:fldCharType="separate"/>
        </w:r>
        <w:r w:rsidRPr="008C2759">
          <w:rPr>
            <w:noProof/>
            <w:webHidden/>
          </w:rPr>
          <w:t>6</w:t>
        </w:r>
        <w:r w:rsidRPr="008C2759">
          <w:rPr>
            <w:noProof/>
            <w:webHidden/>
          </w:rPr>
          <w:fldChar w:fldCharType="end"/>
        </w:r>
      </w:hyperlink>
    </w:p>
    <w:p w14:paraId="0AB963F1"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6" w:history="1">
        <w:r w:rsidRPr="008C2759">
          <w:rPr>
            <w:noProof/>
            <w:color w:val="0000FF"/>
            <w:u w:val="single"/>
          </w:rPr>
          <w:t>Table S2 Summary estimates of sensitivity, specificity, and prediction values</w:t>
        </w:r>
        <w:r w:rsidRPr="008C2759">
          <w:rPr>
            <w:noProof/>
            <w:webHidden/>
          </w:rPr>
          <w:tab/>
        </w:r>
        <w:r w:rsidRPr="008C2759">
          <w:rPr>
            <w:noProof/>
            <w:webHidden/>
          </w:rPr>
          <w:fldChar w:fldCharType="begin"/>
        </w:r>
        <w:r w:rsidRPr="008C2759">
          <w:rPr>
            <w:noProof/>
            <w:webHidden/>
          </w:rPr>
          <w:instrText xml:space="preserve"> PAGEREF _Toc99541856 \h </w:instrText>
        </w:r>
        <w:r w:rsidRPr="008C2759">
          <w:rPr>
            <w:noProof/>
            <w:webHidden/>
          </w:rPr>
        </w:r>
        <w:r w:rsidRPr="008C2759">
          <w:rPr>
            <w:noProof/>
            <w:webHidden/>
          </w:rPr>
          <w:fldChar w:fldCharType="separate"/>
        </w:r>
        <w:r w:rsidRPr="008C2759">
          <w:rPr>
            <w:noProof/>
            <w:webHidden/>
          </w:rPr>
          <w:t>9</w:t>
        </w:r>
        <w:r w:rsidRPr="008C2759">
          <w:rPr>
            <w:noProof/>
            <w:webHidden/>
          </w:rPr>
          <w:fldChar w:fldCharType="end"/>
        </w:r>
      </w:hyperlink>
    </w:p>
    <w:p w14:paraId="053BC87B"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7" w:history="1">
        <w:r w:rsidRPr="008C2759">
          <w:rPr>
            <w:noProof/>
            <w:color w:val="0000FF"/>
            <w:u w:val="single"/>
          </w:rPr>
          <w:t>Table S3 Summary estimates of sensitivity, specificity, and prediction values of subgroup analyses</w:t>
        </w:r>
        <w:r w:rsidRPr="008C2759">
          <w:rPr>
            <w:noProof/>
            <w:webHidden/>
          </w:rPr>
          <w:tab/>
        </w:r>
        <w:r w:rsidRPr="008C2759">
          <w:rPr>
            <w:noProof/>
            <w:webHidden/>
          </w:rPr>
          <w:fldChar w:fldCharType="begin"/>
        </w:r>
        <w:r w:rsidRPr="008C2759">
          <w:rPr>
            <w:noProof/>
            <w:webHidden/>
          </w:rPr>
          <w:instrText xml:space="preserve"> PAGEREF _Toc99541857 \h </w:instrText>
        </w:r>
        <w:r w:rsidRPr="008C2759">
          <w:rPr>
            <w:noProof/>
            <w:webHidden/>
          </w:rPr>
        </w:r>
        <w:r w:rsidRPr="008C2759">
          <w:rPr>
            <w:noProof/>
            <w:webHidden/>
          </w:rPr>
          <w:fldChar w:fldCharType="separate"/>
        </w:r>
        <w:r w:rsidRPr="008C2759">
          <w:rPr>
            <w:noProof/>
            <w:webHidden/>
          </w:rPr>
          <w:t>11</w:t>
        </w:r>
        <w:r w:rsidRPr="008C2759">
          <w:rPr>
            <w:noProof/>
            <w:webHidden/>
          </w:rPr>
          <w:fldChar w:fldCharType="end"/>
        </w:r>
      </w:hyperlink>
    </w:p>
    <w:p w14:paraId="6186C570"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58" w:history="1">
        <w:r w:rsidRPr="008C2759">
          <w:rPr>
            <w:noProof/>
            <w:color w:val="0000FF"/>
            <w:u w:val="single"/>
          </w:rPr>
          <w:t>Table S4 Summary estimates of sensitivity, specificity, and prediction values of sensitivity analyses</w:t>
        </w:r>
        <w:r w:rsidRPr="008C2759">
          <w:rPr>
            <w:noProof/>
            <w:webHidden/>
          </w:rPr>
          <w:tab/>
        </w:r>
        <w:r w:rsidRPr="008C2759">
          <w:rPr>
            <w:noProof/>
            <w:webHidden/>
          </w:rPr>
          <w:fldChar w:fldCharType="begin"/>
        </w:r>
        <w:r w:rsidRPr="008C2759">
          <w:rPr>
            <w:noProof/>
            <w:webHidden/>
          </w:rPr>
          <w:instrText xml:space="preserve"> PAGEREF _Toc99541858 \h </w:instrText>
        </w:r>
        <w:r w:rsidRPr="008C2759">
          <w:rPr>
            <w:noProof/>
            <w:webHidden/>
          </w:rPr>
        </w:r>
        <w:r w:rsidRPr="008C2759">
          <w:rPr>
            <w:noProof/>
            <w:webHidden/>
          </w:rPr>
          <w:fldChar w:fldCharType="separate"/>
        </w:r>
        <w:r w:rsidRPr="008C2759">
          <w:rPr>
            <w:noProof/>
            <w:webHidden/>
          </w:rPr>
          <w:t>13</w:t>
        </w:r>
        <w:r w:rsidRPr="008C2759">
          <w:rPr>
            <w:noProof/>
            <w:webHidden/>
          </w:rPr>
          <w:fldChar w:fldCharType="end"/>
        </w:r>
      </w:hyperlink>
    </w:p>
    <w:p w14:paraId="0A5140B8" w14:textId="77777777" w:rsidR="008C2759" w:rsidRPr="008C2759" w:rsidRDefault="008C2759" w:rsidP="008C2759">
      <w:pPr>
        <w:tabs>
          <w:tab w:val="right" w:leader="dot" w:pos="9016"/>
        </w:tabs>
        <w:spacing w:after="100"/>
        <w:rPr>
          <w:rFonts w:eastAsiaTheme="minorEastAsia"/>
          <w:noProof/>
          <w:lang w:eastAsia="en-GB"/>
        </w:rPr>
      </w:pPr>
      <w:hyperlink w:anchor="_Toc99541859" w:history="1">
        <w:r w:rsidRPr="008C2759">
          <w:rPr>
            <w:noProof/>
            <w:color w:val="0000FF"/>
            <w:u w:val="single"/>
          </w:rPr>
          <w:t>Chapter 4</w:t>
        </w:r>
        <w:r w:rsidRPr="008C2759">
          <w:rPr>
            <w:noProof/>
            <w:webHidden/>
          </w:rPr>
          <w:tab/>
        </w:r>
        <w:r w:rsidRPr="008C2759">
          <w:rPr>
            <w:noProof/>
            <w:webHidden/>
          </w:rPr>
          <w:fldChar w:fldCharType="begin"/>
        </w:r>
        <w:r w:rsidRPr="008C2759">
          <w:rPr>
            <w:noProof/>
            <w:webHidden/>
          </w:rPr>
          <w:instrText xml:space="preserve"> PAGEREF _Toc99541859 \h </w:instrText>
        </w:r>
        <w:r w:rsidRPr="008C2759">
          <w:rPr>
            <w:noProof/>
            <w:webHidden/>
          </w:rPr>
        </w:r>
        <w:r w:rsidRPr="008C2759">
          <w:rPr>
            <w:noProof/>
            <w:webHidden/>
          </w:rPr>
          <w:fldChar w:fldCharType="separate"/>
        </w:r>
        <w:r w:rsidRPr="008C2759">
          <w:rPr>
            <w:noProof/>
            <w:webHidden/>
          </w:rPr>
          <w:t>14</w:t>
        </w:r>
        <w:r w:rsidRPr="008C2759">
          <w:rPr>
            <w:noProof/>
            <w:webHidden/>
          </w:rPr>
          <w:fldChar w:fldCharType="end"/>
        </w:r>
      </w:hyperlink>
    </w:p>
    <w:p w14:paraId="6A2C7CF4"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0" w:history="1">
        <w:r w:rsidRPr="008C2759">
          <w:rPr>
            <w:noProof/>
            <w:color w:val="0000FF"/>
            <w:u w:val="single"/>
          </w:rPr>
          <w:t>Table S5 Medical code lists for cases with coeliac disease and controls</w:t>
        </w:r>
        <w:r w:rsidRPr="008C2759">
          <w:rPr>
            <w:noProof/>
            <w:webHidden/>
          </w:rPr>
          <w:tab/>
        </w:r>
        <w:r w:rsidRPr="008C2759">
          <w:rPr>
            <w:noProof/>
            <w:webHidden/>
          </w:rPr>
          <w:fldChar w:fldCharType="begin"/>
        </w:r>
        <w:r w:rsidRPr="008C2759">
          <w:rPr>
            <w:noProof/>
            <w:webHidden/>
          </w:rPr>
          <w:instrText xml:space="preserve"> PAGEREF _Toc99541860 \h </w:instrText>
        </w:r>
        <w:r w:rsidRPr="008C2759">
          <w:rPr>
            <w:noProof/>
            <w:webHidden/>
          </w:rPr>
        </w:r>
        <w:r w:rsidRPr="008C2759">
          <w:rPr>
            <w:noProof/>
            <w:webHidden/>
          </w:rPr>
          <w:fldChar w:fldCharType="separate"/>
        </w:r>
        <w:r w:rsidRPr="008C2759">
          <w:rPr>
            <w:noProof/>
            <w:webHidden/>
          </w:rPr>
          <w:t>14</w:t>
        </w:r>
        <w:r w:rsidRPr="008C2759">
          <w:rPr>
            <w:noProof/>
            <w:webHidden/>
          </w:rPr>
          <w:fldChar w:fldCharType="end"/>
        </w:r>
      </w:hyperlink>
    </w:p>
    <w:p w14:paraId="47C279A0"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1" w:history="1">
        <w:r w:rsidRPr="008C2759">
          <w:rPr>
            <w:noProof/>
            <w:color w:val="0000FF"/>
            <w:u w:val="single"/>
          </w:rPr>
          <w:t>Table S6 CPRD Gold code lists</w:t>
        </w:r>
        <w:r w:rsidRPr="008C2759">
          <w:rPr>
            <w:noProof/>
            <w:webHidden/>
          </w:rPr>
          <w:tab/>
        </w:r>
        <w:r w:rsidRPr="008C2759">
          <w:rPr>
            <w:noProof/>
            <w:webHidden/>
          </w:rPr>
          <w:fldChar w:fldCharType="begin"/>
        </w:r>
        <w:r w:rsidRPr="008C2759">
          <w:rPr>
            <w:noProof/>
            <w:webHidden/>
          </w:rPr>
          <w:instrText xml:space="preserve"> PAGEREF _Toc99541861 \h </w:instrText>
        </w:r>
        <w:r w:rsidRPr="008C2759">
          <w:rPr>
            <w:noProof/>
            <w:webHidden/>
          </w:rPr>
        </w:r>
        <w:r w:rsidRPr="008C2759">
          <w:rPr>
            <w:noProof/>
            <w:webHidden/>
          </w:rPr>
          <w:fldChar w:fldCharType="separate"/>
        </w:r>
        <w:r w:rsidRPr="008C2759">
          <w:rPr>
            <w:noProof/>
            <w:webHidden/>
          </w:rPr>
          <w:t>14</w:t>
        </w:r>
        <w:r w:rsidRPr="008C2759">
          <w:rPr>
            <w:noProof/>
            <w:webHidden/>
          </w:rPr>
          <w:fldChar w:fldCharType="end"/>
        </w:r>
      </w:hyperlink>
    </w:p>
    <w:p w14:paraId="0AC0D8ED"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2" w:history="1">
        <w:r w:rsidRPr="008C2759">
          <w:rPr>
            <w:noProof/>
            <w:color w:val="0000FF"/>
            <w:u w:val="single"/>
            <w:lang w:val="en-US"/>
          </w:rPr>
          <w:t>Table S7 CPRD Aurum code lists</w:t>
        </w:r>
        <w:r w:rsidRPr="008C2759">
          <w:rPr>
            <w:noProof/>
            <w:webHidden/>
          </w:rPr>
          <w:tab/>
        </w:r>
        <w:r w:rsidRPr="008C2759">
          <w:rPr>
            <w:noProof/>
            <w:webHidden/>
          </w:rPr>
          <w:fldChar w:fldCharType="begin"/>
        </w:r>
        <w:r w:rsidRPr="008C2759">
          <w:rPr>
            <w:noProof/>
            <w:webHidden/>
          </w:rPr>
          <w:instrText xml:space="preserve"> PAGEREF _Toc99541862 \h </w:instrText>
        </w:r>
        <w:r w:rsidRPr="008C2759">
          <w:rPr>
            <w:noProof/>
            <w:webHidden/>
          </w:rPr>
        </w:r>
        <w:r w:rsidRPr="008C2759">
          <w:rPr>
            <w:noProof/>
            <w:webHidden/>
          </w:rPr>
          <w:fldChar w:fldCharType="separate"/>
        </w:r>
        <w:r w:rsidRPr="008C2759">
          <w:rPr>
            <w:noProof/>
            <w:webHidden/>
          </w:rPr>
          <w:t>103</w:t>
        </w:r>
        <w:r w:rsidRPr="008C2759">
          <w:rPr>
            <w:noProof/>
            <w:webHidden/>
          </w:rPr>
          <w:fldChar w:fldCharType="end"/>
        </w:r>
      </w:hyperlink>
    </w:p>
    <w:p w14:paraId="234EC1DC"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3" w:history="1">
        <w:r w:rsidRPr="008C2759">
          <w:rPr>
            <w:noProof/>
            <w:color w:val="0000FF"/>
            <w:u w:val="single"/>
          </w:rPr>
          <w:t>Table S8 Predictor selection for children, women, and men</w:t>
        </w:r>
        <w:r w:rsidRPr="008C2759">
          <w:rPr>
            <w:noProof/>
            <w:webHidden/>
          </w:rPr>
          <w:tab/>
        </w:r>
        <w:r w:rsidRPr="008C2759">
          <w:rPr>
            <w:noProof/>
            <w:webHidden/>
          </w:rPr>
          <w:fldChar w:fldCharType="begin"/>
        </w:r>
        <w:r w:rsidRPr="008C2759">
          <w:rPr>
            <w:noProof/>
            <w:webHidden/>
          </w:rPr>
          <w:instrText xml:space="preserve"> PAGEREF _Toc99541863 \h </w:instrText>
        </w:r>
        <w:r w:rsidRPr="008C2759">
          <w:rPr>
            <w:noProof/>
            <w:webHidden/>
          </w:rPr>
        </w:r>
        <w:r w:rsidRPr="008C2759">
          <w:rPr>
            <w:noProof/>
            <w:webHidden/>
          </w:rPr>
          <w:fldChar w:fldCharType="separate"/>
        </w:r>
        <w:r w:rsidRPr="008C2759">
          <w:rPr>
            <w:noProof/>
            <w:webHidden/>
          </w:rPr>
          <w:t>268</w:t>
        </w:r>
        <w:r w:rsidRPr="008C2759">
          <w:rPr>
            <w:noProof/>
            <w:webHidden/>
          </w:rPr>
          <w:fldChar w:fldCharType="end"/>
        </w:r>
      </w:hyperlink>
    </w:p>
    <w:p w14:paraId="1F6FCC85" w14:textId="77777777" w:rsidR="008C2759" w:rsidRPr="008C2759" w:rsidRDefault="008C2759" w:rsidP="008C2759">
      <w:pPr>
        <w:tabs>
          <w:tab w:val="right" w:leader="dot" w:pos="9016"/>
        </w:tabs>
        <w:spacing w:after="100"/>
        <w:rPr>
          <w:rFonts w:eastAsiaTheme="minorEastAsia"/>
          <w:noProof/>
          <w:lang w:eastAsia="en-GB"/>
        </w:rPr>
      </w:pPr>
      <w:hyperlink w:anchor="_Toc99541864" w:history="1">
        <w:r w:rsidRPr="008C2759">
          <w:rPr>
            <w:noProof/>
            <w:color w:val="0000FF"/>
            <w:u w:val="single"/>
          </w:rPr>
          <w:t>Chapter 5</w:t>
        </w:r>
        <w:r w:rsidRPr="008C2759">
          <w:rPr>
            <w:noProof/>
            <w:webHidden/>
          </w:rPr>
          <w:tab/>
        </w:r>
        <w:r w:rsidRPr="008C2759">
          <w:rPr>
            <w:noProof/>
            <w:webHidden/>
          </w:rPr>
          <w:fldChar w:fldCharType="begin"/>
        </w:r>
        <w:r w:rsidRPr="008C2759">
          <w:rPr>
            <w:noProof/>
            <w:webHidden/>
          </w:rPr>
          <w:instrText xml:space="preserve"> PAGEREF _Toc99541864 \h </w:instrText>
        </w:r>
        <w:r w:rsidRPr="008C2759">
          <w:rPr>
            <w:noProof/>
            <w:webHidden/>
          </w:rPr>
        </w:r>
        <w:r w:rsidRPr="008C2759">
          <w:rPr>
            <w:noProof/>
            <w:webHidden/>
          </w:rPr>
          <w:fldChar w:fldCharType="separate"/>
        </w:r>
        <w:r w:rsidRPr="008C2759">
          <w:rPr>
            <w:noProof/>
            <w:webHidden/>
          </w:rPr>
          <w:t>271</w:t>
        </w:r>
        <w:r w:rsidRPr="008C2759">
          <w:rPr>
            <w:noProof/>
            <w:webHidden/>
          </w:rPr>
          <w:fldChar w:fldCharType="end"/>
        </w:r>
      </w:hyperlink>
    </w:p>
    <w:p w14:paraId="1F05DB9E"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5" w:history="1">
        <w:r w:rsidRPr="008C2759">
          <w:rPr>
            <w:noProof/>
            <w:color w:val="0000FF"/>
            <w:u w:val="single"/>
          </w:rPr>
          <w:t>Table S9 QUADAS-2 signalling questions tailored to the diagnostic accuracy review</w:t>
        </w:r>
        <w:r w:rsidRPr="008C2759">
          <w:rPr>
            <w:noProof/>
            <w:webHidden/>
          </w:rPr>
          <w:tab/>
        </w:r>
        <w:r w:rsidRPr="008C2759">
          <w:rPr>
            <w:noProof/>
            <w:webHidden/>
          </w:rPr>
          <w:fldChar w:fldCharType="begin"/>
        </w:r>
        <w:r w:rsidRPr="008C2759">
          <w:rPr>
            <w:noProof/>
            <w:webHidden/>
          </w:rPr>
          <w:instrText xml:space="preserve"> PAGEREF _Toc99541865 \h </w:instrText>
        </w:r>
        <w:r w:rsidRPr="008C2759">
          <w:rPr>
            <w:noProof/>
            <w:webHidden/>
          </w:rPr>
        </w:r>
        <w:r w:rsidRPr="008C2759">
          <w:rPr>
            <w:noProof/>
            <w:webHidden/>
          </w:rPr>
          <w:fldChar w:fldCharType="separate"/>
        </w:r>
        <w:r w:rsidRPr="008C2759">
          <w:rPr>
            <w:noProof/>
            <w:webHidden/>
          </w:rPr>
          <w:t>271</w:t>
        </w:r>
        <w:r w:rsidRPr="008C2759">
          <w:rPr>
            <w:noProof/>
            <w:webHidden/>
          </w:rPr>
          <w:fldChar w:fldCharType="end"/>
        </w:r>
      </w:hyperlink>
    </w:p>
    <w:p w14:paraId="3EC6F2F2"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6" w:history="1">
        <w:r w:rsidRPr="008C2759">
          <w:rPr>
            <w:noProof/>
            <w:color w:val="0000FF"/>
            <w:u w:val="single"/>
          </w:rPr>
          <w:t>Table S10 The raw 2x2 data extracted from each study, together with details on test and test positivity threshold</w:t>
        </w:r>
        <w:r w:rsidRPr="008C2759">
          <w:rPr>
            <w:noProof/>
            <w:webHidden/>
          </w:rPr>
          <w:tab/>
        </w:r>
        <w:r w:rsidRPr="008C2759">
          <w:rPr>
            <w:noProof/>
            <w:webHidden/>
          </w:rPr>
          <w:fldChar w:fldCharType="begin"/>
        </w:r>
        <w:r w:rsidRPr="008C2759">
          <w:rPr>
            <w:noProof/>
            <w:webHidden/>
          </w:rPr>
          <w:instrText xml:space="preserve"> PAGEREF _Toc99541866 \h </w:instrText>
        </w:r>
        <w:r w:rsidRPr="008C2759">
          <w:rPr>
            <w:noProof/>
            <w:webHidden/>
          </w:rPr>
        </w:r>
        <w:r w:rsidRPr="008C2759">
          <w:rPr>
            <w:noProof/>
            <w:webHidden/>
          </w:rPr>
          <w:fldChar w:fldCharType="separate"/>
        </w:r>
        <w:r w:rsidRPr="008C2759">
          <w:rPr>
            <w:noProof/>
            <w:webHidden/>
          </w:rPr>
          <w:t>272</w:t>
        </w:r>
        <w:r w:rsidRPr="008C2759">
          <w:rPr>
            <w:noProof/>
            <w:webHidden/>
          </w:rPr>
          <w:fldChar w:fldCharType="end"/>
        </w:r>
      </w:hyperlink>
    </w:p>
    <w:p w14:paraId="716310BE"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67" w:history="1">
        <w:r w:rsidRPr="008C2759">
          <w:rPr>
            <w:noProof/>
            <w:color w:val="0000FF"/>
            <w:u w:val="single"/>
          </w:rPr>
          <w:t>Table S11 Risk of bias assessments based on QUADAS-2</w:t>
        </w:r>
        <w:r w:rsidRPr="008C2759">
          <w:rPr>
            <w:noProof/>
            <w:webHidden/>
          </w:rPr>
          <w:tab/>
        </w:r>
        <w:r w:rsidRPr="008C2759">
          <w:rPr>
            <w:noProof/>
            <w:webHidden/>
          </w:rPr>
          <w:fldChar w:fldCharType="begin"/>
        </w:r>
        <w:r w:rsidRPr="008C2759">
          <w:rPr>
            <w:noProof/>
            <w:webHidden/>
          </w:rPr>
          <w:instrText xml:space="preserve"> PAGEREF _Toc99541867 \h </w:instrText>
        </w:r>
        <w:r w:rsidRPr="008C2759">
          <w:rPr>
            <w:noProof/>
            <w:webHidden/>
          </w:rPr>
        </w:r>
        <w:r w:rsidRPr="008C2759">
          <w:rPr>
            <w:noProof/>
            <w:webHidden/>
          </w:rPr>
          <w:fldChar w:fldCharType="separate"/>
        </w:r>
        <w:r w:rsidRPr="008C2759">
          <w:rPr>
            <w:noProof/>
            <w:webHidden/>
          </w:rPr>
          <w:t>279</w:t>
        </w:r>
        <w:r w:rsidRPr="008C2759">
          <w:rPr>
            <w:noProof/>
            <w:webHidden/>
          </w:rPr>
          <w:fldChar w:fldCharType="end"/>
        </w:r>
      </w:hyperlink>
    </w:p>
    <w:p w14:paraId="00863945" w14:textId="77777777" w:rsidR="008C2759" w:rsidRPr="008C2759" w:rsidRDefault="008C2759" w:rsidP="008C2759">
      <w:pPr>
        <w:tabs>
          <w:tab w:val="right" w:leader="dot" w:pos="9016"/>
        </w:tabs>
        <w:spacing w:after="100"/>
        <w:rPr>
          <w:rFonts w:eastAsiaTheme="minorEastAsia"/>
          <w:noProof/>
          <w:lang w:eastAsia="en-GB"/>
        </w:rPr>
      </w:pPr>
      <w:hyperlink w:anchor="_Toc99541868" w:history="1">
        <w:r w:rsidRPr="008C2759">
          <w:rPr>
            <w:noProof/>
            <w:color w:val="0000FF"/>
            <w:u w:val="single"/>
          </w:rPr>
          <w:t>Chapter 8</w:t>
        </w:r>
        <w:r w:rsidRPr="008C2759">
          <w:rPr>
            <w:noProof/>
            <w:webHidden/>
          </w:rPr>
          <w:tab/>
        </w:r>
        <w:r w:rsidRPr="008C2759">
          <w:rPr>
            <w:noProof/>
            <w:webHidden/>
          </w:rPr>
          <w:fldChar w:fldCharType="begin"/>
        </w:r>
        <w:r w:rsidRPr="008C2759">
          <w:rPr>
            <w:noProof/>
            <w:webHidden/>
          </w:rPr>
          <w:instrText xml:space="preserve"> PAGEREF _Toc99541868 \h </w:instrText>
        </w:r>
        <w:r w:rsidRPr="008C2759">
          <w:rPr>
            <w:noProof/>
            <w:webHidden/>
          </w:rPr>
        </w:r>
        <w:r w:rsidRPr="008C2759">
          <w:rPr>
            <w:noProof/>
            <w:webHidden/>
          </w:rPr>
          <w:fldChar w:fldCharType="separate"/>
        </w:r>
        <w:r w:rsidRPr="008C2759">
          <w:rPr>
            <w:noProof/>
            <w:webHidden/>
          </w:rPr>
          <w:t>284</w:t>
        </w:r>
        <w:r w:rsidRPr="008C2759">
          <w:rPr>
            <w:noProof/>
            <w:webHidden/>
          </w:rPr>
          <w:fldChar w:fldCharType="end"/>
        </w:r>
      </w:hyperlink>
    </w:p>
    <w:p w14:paraId="384FC370" w14:textId="77777777" w:rsidR="008C2759" w:rsidRPr="008C2759" w:rsidRDefault="008C2759" w:rsidP="008C2759">
      <w:pPr>
        <w:tabs>
          <w:tab w:val="right" w:leader="dot" w:pos="9016"/>
        </w:tabs>
        <w:spacing w:after="100"/>
        <w:ind w:left="220"/>
        <w:rPr>
          <w:rFonts w:eastAsiaTheme="minorEastAsia"/>
          <w:noProof/>
          <w:lang w:eastAsia="en-GB"/>
        </w:rPr>
      </w:pPr>
      <w:hyperlink w:anchor="_Toc99541869" w:history="1">
        <w:r w:rsidRPr="008C2759">
          <w:rPr>
            <w:noProof/>
            <w:color w:val="0000FF"/>
            <w:u w:val="single"/>
          </w:rPr>
          <w:t>CPRD analysis for prevalence, rates and resource use in economic model</w:t>
        </w:r>
        <w:r w:rsidRPr="008C2759">
          <w:rPr>
            <w:noProof/>
            <w:webHidden/>
          </w:rPr>
          <w:tab/>
        </w:r>
        <w:r w:rsidRPr="008C2759">
          <w:rPr>
            <w:noProof/>
            <w:webHidden/>
          </w:rPr>
          <w:fldChar w:fldCharType="begin"/>
        </w:r>
        <w:r w:rsidRPr="008C2759">
          <w:rPr>
            <w:noProof/>
            <w:webHidden/>
          </w:rPr>
          <w:instrText xml:space="preserve"> PAGEREF _Toc99541869 \h </w:instrText>
        </w:r>
        <w:r w:rsidRPr="008C2759">
          <w:rPr>
            <w:noProof/>
            <w:webHidden/>
          </w:rPr>
        </w:r>
        <w:r w:rsidRPr="008C2759">
          <w:rPr>
            <w:noProof/>
            <w:webHidden/>
          </w:rPr>
          <w:fldChar w:fldCharType="separate"/>
        </w:r>
        <w:r w:rsidRPr="008C2759">
          <w:rPr>
            <w:noProof/>
            <w:webHidden/>
          </w:rPr>
          <w:t>284</w:t>
        </w:r>
        <w:r w:rsidRPr="008C2759">
          <w:rPr>
            <w:noProof/>
            <w:webHidden/>
          </w:rPr>
          <w:fldChar w:fldCharType="end"/>
        </w:r>
      </w:hyperlink>
    </w:p>
    <w:p w14:paraId="67098271"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0" w:history="1">
        <w:r w:rsidRPr="008C2759">
          <w:rPr>
            <w:bCs/>
            <w:i/>
            <w:iCs/>
            <w:noProof/>
            <w:color w:val="0000FF"/>
            <w:u w:val="single"/>
          </w:rPr>
          <w:t>Objectives</w:t>
        </w:r>
        <w:r w:rsidRPr="008C2759">
          <w:rPr>
            <w:noProof/>
            <w:webHidden/>
          </w:rPr>
          <w:tab/>
        </w:r>
        <w:r w:rsidRPr="008C2759">
          <w:rPr>
            <w:noProof/>
            <w:webHidden/>
          </w:rPr>
          <w:fldChar w:fldCharType="begin"/>
        </w:r>
        <w:r w:rsidRPr="008C2759">
          <w:rPr>
            <w:noProof/>
            <w:webHidden/>
          </w:rPr>
          <w:instrText xml:space="preserve"> PAGEREF _Toc99541870 \h </w:instrText>
        </w:r>
        <w:r w:rsidRPr="008C2759">
          <w:rPr>
            <w:noProof/>
            <w:webHidden/>
          </w:rPr>
        </w:r>
        <w:r w:rsidRPr="008C2759">
          <w:rPr>
            <w:noProof/>
            <w:webHidden/>
          </w:rPr>
          <w:fldChar w:fldCharType="separate"/>
        </w:r>
        <w:r w:rsidRPr="008C2759">
          <w:rPr>
            <w:noProof/>
            <w:webHidden/>
          </w:rPr>
          <w:t>284</w:t>
        </w:r>
        <w:r w:rsidRPr="008C2759">
          <w:rPr>
            <w:noProof/>
            <w:webHidden/>
          </w:rPr>
          <w:fldChar w:fldCharType="end"/>
        </w:r>
      </w:hyperlink>
    </w:p>
    <w:p w14:paraId="72DE1DC9"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1" w:history="1">
        <w:r w:rsidRPr="008C2759">
          <w:rPr>
            <w:noProof/>
            <w:color w:val="0000FF"/>
            <w:u w:val="single"/>
          </w:rPr>
          <w:t>Sources of data</w:t>
        </w:r>
        <w:r w:rsidRPr="008C2759">
          <w:rPr>
            <w:noProof/>
            <w:webHidden/>
          </w:rPr>
          <w:tab/>
        </w:r>
        <w:r w:rsidRPr="008C2759">
          <w:rPr>
            <w:noProof/>
            <w:webHidden/>
          </w:rPr>
          <w:fldChar w:fldCharType="begin"/>
        </w:r>
        <w:r w:rsidRPr="008C2759">
          <w:rPr>
            <w:noProof/>
            <w:webHidden/>
          </w:rPr>
          <w:instrText xml:space="preserve"> PAGEREF _Toc99541871 \h </w:instrText>
        </w:r>
        <w:r w:rsidRPr="008C2759">
          <w:rPr>
            <w:noProof/>
            <w:webHidden/>
          </w:rPr>
        </w:r>
        <w:r w:rsidRPr="008C2759">
          <w:rPr>
            <w:noProof/>
            <w:webHidden/>
          </w:rPr>
          <w:fldChar w:fldCharType="separate"/>
        </w:r>
        <w:r w:rsidRPr="008C2759">
          <w:rPr>
            <w:noProof/>
            <w:webHidden/>
          </w:rPr>
          <w:t>284</w:t>
        </w:r>
        <w:r w:rsidRPr="008C2759">
          <w:rPr>
            <w:noProof/>
            <w:webHidden/>
          </w:rPr>
          <w:fldChar w:fldCharType="end"/>
        </w:r>
      </w:hyperlink>
    </w:p>
    <w:p w14:paraId="4E29A812"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2" w:history="1">
        <w:r w:rsidRPr="008C2759">
          <w:rPr>
            <w:noProof/>
            <w:color w:val="0000FF"/>
            <w:u w:val="single"/>
          </w:rPr>
          <w:t>Design</w:t>
        </w:r>
        <w:r w:rsidRPr="008C2759">
          <w:rPr>
            <w:noProof/>
            <w:webHidden/>
          </w:rPr>
          <w:tab/>
        </w:r>
        <w:r w:rsidRPr="008C2759">
          <w:rPr>
            <w:noProof/>
            <w:webHidden/>
          </w:rPr>
          <w:fldChar w:fldCharType="begin"/>
        </w:r>
        <w:r w:rsidRPr="008C2759">
          <w:rPr>
            <w:noProof/>
            <w:webHidden/>
          </w:rPr>
          <w:instrText xml:space="preserve"> PAGEREF _Toc99541872 \h </w:instrText>
        </w:r>
        <w:r w:rsidRPr="008C2759">
          <w:rPr>
            <w:noProof/>
            <w:webHidden/>
          </w:rPr>
        </w:r>
        <w:r w:rsidRPr="008C2759">
          <w:rPr>
            <w:noProof/>
            <w:webHidden/>
          </w:rPr>
          <w:fldChar w:fldCharType="separate"/>
        </w:r>
        <w:r w:rsidRPr="008C2759">
          <w:rPr>
            <w:noProof/>
            <w:webHidden/>
          </w:rPr>
          <w:t>284</w:t>
        </w:r>
        <w:r w:rsidRPr="008C2759">
          <w:rPr>
            <w:noProof/>
            <w:webHidden/>
          </w:rPr>
          <w:fldChar w:fldCharType="end"/>
        </w:r>
      </w:hyperlink>
    </w:p>
    <w:p w14:paraId="2F21A4B7"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3" w:history="1">
        <w:r w:rsidRPr="008C2759">
          <w:rPr>
            <w:noProof/>
            <w:color w:val="0000FF"/>
            <w:u w:val="single"/>
          </w:rPr>
          <w:t>Analysis groups</w:t>
        </w:r>
        <w:r w:rsidRPr="008C2759">
          <w:rPr>
            <w:noProof/>
            <w:webHidden/>
          </w:rPr>
          <w:tab/>
        </w:r>
        <w:r w:rsidRPr="008C2759">
          <w:rPr>
            <w:noProof/>
            <w:webHidden/>
          </w:rPr>
          <w:fldChar w:fldCharType="begin"/>
        </w:r>
        <w:r w:rsidRPr="008C2759">
          <w:rPr>
            <w:noProof/>
            <w:webHidden/>
          </w:rPr>
          <w:instrText xml:space="preserve"> PAGEREF _Toc99541873 \h </w:instrText>
        </w:r>
        <w:r w:rsidRPr="008C2759">
          <w:rPr>
            <w:noProof/>
            <w:webHidden/>
          </w:rPr>
        </w:r>
        <w:r w:rsidRPr="008C2759">
          <w:rPr>
            <w:noProof/>
            <w:webHidden/>
          </w:rPr>
          <w:fldChar w:fldCharType="separate"/>
        </w:r>
        <w:r w:rsidRPr="008C2759">
          <w:rPr>
            <w:noProof/>
            <w:webHidden/>
          </w:rPr>
          <w:t>285</w:t>
        </w:r>
        <w:r w:rsidRPr="008C2759">
          <w:rPr>
            <w:noProof/>
            <w:webHidden/>
          </w:rPr>
          <w:fldChar w:fldCharType="end"/>
        </w:r>
      </w:hyperlink>
    </w:p>
    <w:p w14:paraId="38B8C2B8"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4" w:history="1">
        <w:r w:rsidRPr="008C2759">
          <w:rPr>
            <w:noProof/>
            <w:color w:val="0000FF"/>
            <w:u w:val="single"/>
          </w:rPr>
          <w:t>Variables</w:t>
        </w:r>
        <w:r w:rsidRPr="008C2759">
          <w:rPr>
            <w:noProof/>
            <w:webHidden/>
          </w:rPr>
          <w:tab/>
        </w:r>
        <w:r w:rsidRPr="008C2759">
          <w:rPr>
            <w:noProof/>
            <w:webHidden/>
          </w:rPr>
          <w:fldChar w:fldCharType="begin"/>
        </w:r>
        <w:r w:rsidRPr="008C2759">
          <w:rPr>
            <w:noProof/>
            <w:webHidden/>
          </w:rPr>
          <w:instrText xml:space="preserve"> PAGEREF _Toc99541874 \h </w:instrText>
        </w:r>
        <w:r w:rsidRPr="008C2759">
          <w:rPr>
            <w:noProof/>
            <w:webHidden/>
          </w:rPr>
        </w:r>
        <w:r w:rsidRPr="008C2759">
          <w:rPr>
            <w:noProof/>
            <w:webHidden/>
          </w:rPr>
          <w:fldChar w:fldCharType="separate"/>
        </w:r>
        <w:r w:rsidRPr="008C2759">
          <w:rPr>
            <w:noProof/>
            <w:webHidden/>
          </w:rPr>
          <w:t>285</w:t>
        </w:r>
        <w:r w:rsidRPr="008C2759">
          <w:rPr>
            <w:noProof/>
            <w:webHidden/>
          </w:rPr>
          <w:fldChar w:fldCharType="end"/>
        </w:r>
      </w:hyperlink>
    </w:p>
    <w:p w14:paraId="2312D633"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5" w:history="1">
        <w:r w:rsidRPr="008C2759">
          <w:rPr>
            <w:noProof/>
            <w:color w:val="0000FF"/>
            <w:u w:val="single"/>
          </w:rPr>
          <w:t>Table S12 ICD10 codes</w:t>
        </w:r>
        <w:r w:rsidRPr="008C2759">
          <w:rPr>
            <w:noProof/>
            <w:webHidden/>
          </w:rPr>
          <w:tab/>
        </w:r>
        <w:r w:rsidRPr="008C2759">
          <w:rPr>
            <w:noProof/>
            <w:webHidden/>
          </w:rPr>
          <w:fldChar w:fldCharType="begin"/>
        </w:r>
        <w:r w:rsidRPr="008C2759">
          <w:rPr>
            <w:noProof/>
            <w:webHidden/>
          </w:rPr>
          <w:instrText xml:space="preserve"> PAGEREF _Toc99541875 \h </w:instrText>
        </w:r>
        <w:r w:rsidRPr="008C2759">
          <w:rPr>
            <w:noProof/>
            <w:webHidden/>
          </w:rPr>
        </w:r>
        <w:r w:rsidRPr="008C2759">
          <w:rPr>
            <w:noProof/>
            <w:webHidden/>
          </w:rPr>
          <w:fldChar w:fldCharType="separate"/>
        </w:r>
        <w:r w:rsidRPr="008C2759">
          <w:rPr>
            <w:noProof/>
            <w:webHidden/>
          </w:rPr>
          <w:t>285</w:t>
        </w:r>
        <w:r w:rsidRPr="008C2759">
          <w:rPr>
            <w:noProof/>
            <w:webHidden/>
          </w:rPr>
          <w:fldChar w:fldCharType="end"/>
        </w:r>
      </w:hyperlink>
    </w:p>
    <w:p w14:paraId="24B035B3"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6" w:history="1">
        <w:r w:rsidRPr="008C2759">
          <w:rPr>
            <w:noProof/>
            <w:color w:val="0000FF"/>
            <w:u w:val="single"/>
          </w:rPr>
          <w:t>Statistical analyses</w:t>
        </w:r>
        <w:r w:rsidRPr="008C2759">
          <w:rPr>
            <w:noProof/>
            <w:webHidden/>
          </w:rPr>
          <w:tab/>
        </w:r>
        <w:r w:rsidRPr="008C2759">
          <w:rPr>
            <w:noProof/>
            <w:webHidden/>
          </w:rPr>
          <w:fldChar w:fldCharType="begin"/>
        </w:r>
        <w:r w:rsidRPr="008C2759">
          <w:rPr>
            <w:noProof/>
            <w:webHidden/>
          </w:rPr>
          <w:instrText xml:space="preserve"> PAGEREF _Toc99541876 \h </w:instrText>
        </w:r>
        <w:r w:rsidRPr="008C2759">
          <w:rPr>
            <w:noProof/>
            <w:webHidden/>
          </w:rPr>
        </w:r>
        <w:r w:rsidRPr="008C2759">
          <w:rPr>
            <w:noProof/>
            <w:webHidden/>
          </w:rPr>
          <w:fldChar w:fldCharType="separate"/>
        </w:r>
        <w:r w:rsidRPr="008C2759">
          <w:rPr>
            <w:noProof/>
            <w:webHidden/>
          </w:rPr>
          <w:t>286</w:t>
        </w:r>
        <w:r w:rsidRPr="008C2759">
          <w:rPr>
            <w:noProof/>
            <w:webHidden/>
          </w:rPr>
          <w:fldChar w:fldCharType="end"/>
        </w:r>
      </w:hyperlink>
    </w:p>
    <w:p w14:paraId="1708DF55" w14:textId="77777777" w:rsidR="008C2759" w:rsidRPr="008C2759" w:rsidRDefault="008C2759" w:rsidP="008C2759">
      <w:pPr>
        <w:tabs>
          <w:tab w:val="right" w:leader="dot" w:pos="9016"/>
        </w:tabs>
        <w:spacing w:after="100"/>
        <w:ind w:left="220"/>
        <w:rPr>
          <w:rFonts w:eastAsiaTheme="minorEastAsia"/>
          <w:noProof/>
          <w:lang w:eastAsia="en-GB"/>
        </w:rPr>
      </w:pPr>
      <w:hyperlink w:anchor="_Toc99541877" w:history="1">
        <w:r w:rsidRPr="008C2759">
          <w:rPr>
            <w:noProof/>
            <w:color w:val="0000FF"/>
            <w:u w:val="single"/>
          </w:rPr>
          <w:t>Results</w:t>
        </w:r>
        <w:r w:rsidRPr="008C2759">
          <w:rPr>
            <w:noProof/>
            <w:webHidden/>
          </w:rPr>
          <w:tab/>
        </w:r>
        <w:r w:rsidRPr="008C2759">
          <w:rPr>
            <w:noProof/>
            <w:webHidden/>
          </w:rPr>
          <w:fldChar w:fldCharType="begin"/>
        </w:r>
        <w:r w:rsidRPr="008C2759">
          <w:rPr>
            <w:noProof/>
            <w:webHidden/>
          </w:rPr>
          <w:instrText xml:space="preserve"> PAGEREF _Toc99541877 \h </w:instrText>
        </w:r>
        <w:r w:rsidRPr="008C2759">
          <w:rPr>
            <w:noProof/>
            <w:webHidden/>
          </w:rPr>
        </w:r>
        <w:r w:rsidRPr="008C2759">
          <w:rPr>
            <w:noProof/>
            <w:webHidden/>
          </w:rPr>
          <w:fldChar w:fldCharType="separate"/>
        </w:r>
        <w:r w:rsidRPr="008C2759">
          <w:rPr>
            <w:noProof/>
            <w:webHidden/>
          </w:rPr>
          <w:t>287</w:t>
        </w:r>
        <w:r w:rsidRPr="008C2759">
          <w:rPr>
            <w:noProof/>
            <w:webHidden/>
          </w:rPr>
          <w:fldChar w:fldCharType="end"/>
        </w:r>
      </w:hyperlink>
    </w:p>
    <w:p w14:paraId="4A6C8869"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8" w:history="1">
        <w:r w:rsidRPr="008C2759">
          <w:rPr>
            <w:noProof/>
            <w:color w:val="0000FF"/>
            <w:u w:val="single"/>
          </w:rPr>
          <w:t>Prevalences</w:t>
        </w:r>
        <w:r w:rsidRPr="008C2759">
          <w:rPr>
            <w:noProof/>
            <w:webHidden/>
          </w:rPr>
          <w:tab/>
        </w:r>
        <w:r w:rsidRPr="008C2759">
          <w:rPr>
            <w:noProof/>
            <w:webHidden/>
          </w:rPr>
          <w:fldChar w:fldCharType="begin"/>
        </w:r>
        <w:r w:rsidRPr="008C2759">
          <w:rPr>
            <w:noProof/>
            <w:webHidden/>
          </w:rPr>
          <w:instrText xml:space="preserve"> PAGEREF _Toc99541878 \h </w:instrText>
        </w:r>
        <w:r w:rsidRPr="008C2759">
          <w:rPr>
            <w:noProof/>
            <w:webHidden/>
          </w:rPr>
        </w:r>
        <w:r w:rsidRPr="008C2759">
          <w:rPr>
            <w:noProof/>
            <w:webHidden/>
          </w:rPr>
          <w:fldChar w:fldCharType="separate"/>
        </w:r>
        <w:r w:rsidRPr="008C2759">
          <w:rPr>
            <w:noProof/>
            <w:webHidden/>
          </w:rPr>
          <w:t>287</w:t>
        </w:r>
        <w:r w:rsidRPr="008C2759">
          <w:rPr>
            <w:noProof/>
            <w:webHidden/>
          </w:rPr>
          <w:fldChar w:fldCharType="end"/>
        </w:r>
      </w:hyperlink>
    </w:p>
    <w:p w14:paraId="40B9F764"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79" w:history="1">
        <w:r w:rsidRPr="008C2759">
          <w:rPr>
            <w:noProof/>
            <w:color w:val="0000FF"/>
            <w:u w:val="single"/>
          </w:rPr>
          <w:t>Table S13 Prevalence of adverse outcomes in individuals with and without CD, stratified by deciles of age and gender</w:t>
        </w:r>
        <w:r w:rsidRPr="008C2759">
          <w:rPr>
            <w:noProof/>
            <w:webHidden/>
          </w:rPr>
          <w:tab/>
        </w:r>
        <w:r w:rsidRPr="008C2759">
          <w:rPr>
            <w:noProof/>
            <w:webHidden/>
          </w:rPr>
          <w:fldChar w:fldCharType="begin"/>
        </w:r>
        <w:r w:rsidRPr="008C2759">
          <w:rPr>
            <w:noProof/>
            <w:webHidden/>
          </w:rPr>
          <w:instrText xml:space="preserve"> PAGEREF _Toc99541879 \h </w:instrText>
        </w:r>
        <w:r w:rsidRPr="008C2759">
          <w:rPr>
            <w:noProof/>
            <w:webHidden/>
          </w:rPr>
        </w:r>
        <w:r w:rsidRPr="008C2759">
          <w:rPr>
            <w:noProof/>
            <w:webHidden/>
          </w:rPr>
          <w:fldChar w:fldCharType="separate"/>
        </w:r>
        <w:r w:rsidRPr="008C2759">
          <w:rPr>
            <w:noProof/>
            <w:webHidden/>
          </w:rPr>
          <w:t>288</w:t>
        </w:r>
        <w:r w:rsidRPr="008C2759">
          <w:rPr>
            <w:noProof/>
            <w:webHidden/>
          </w:rPr>
          <w:fldChar w:fldCharType="end"/>
        </w:r>
      </w:hyperlink>
    </w:p>
    <w:p w14:paraId="3954899A"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0" w:history="1">
        <w:r w:rsidRPr="008C2759">
          <w:rPr>
            <w:bCs/>
            <w:noProof/>
            <w:color w:val="0000FF"/>
            <w:u w:val="single"/>
          </w:rPr>
          <w:t>Rates</w:t>
        </w:r>
        <w:r w:rsidRPr="008C2759">
          <w:rPr>
            <w:noProof/>
            <w:webHidden/>
          </w:rPr>
          <w:tab/>
        </w:r>
        <w:r w:rsidRPr="008C2759">
          <w:rPr>
            <w:noProof/>
            <w:webHidden/>
          </w:rPr>
          <w:fldChar w:fldCharType="begin"/>
        </w:r>
        <w:r w:rsidRPr="008C2759">
          <w:rPr>
            <w:noProof/>
            <w:webHidden/>
          </w:rPr>
          <w:instrText xml:space="preserve"> PAGEREF _Toc99541880 \h </w:instrText>
        </w:r>
        <w:r w:rsidRPr="008C2759">
          <w:rPr>
            <w:noProof/>
            <w:webHidden/>
          </w:rPr>
        </w:r>
        <w:r w:rsidRPr="008C2759">
          <w:rPr>
            <w:noProof/>
            <w:webHidden/>
          </w:rPr>
          <w:fldChar w:fldCharType="separate"/>
        </w:r>
        <w:r w:rsidRPr="008C2759">
          <w:rPr>
            <w:noProof/>
            <w:webHidden/>
          </w:rPr>
          <w:t>289</w:t>
        </w:r>
        <w:r w:rsidRPr="008C2759">
          <w:rPr>
            <w:noProof/>
            <w:webHidden/>
          </w:rPr>
          <w:fldChar w:fldCharType="end"/>
        </w:r>
      </w:hyperlink>
    </w:p>
    <w:p w14:paraId="7B2F9D5A"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1" w:history="1">
        <w:r w:rsidRPr="008C2759">
          <w:rPr>
            <w:noProof/>
            <w:color w:val="0000FF"/>
            <w:u w:val="single"/>
          </w:rPr>
          <w:t>Table S14 Rates of adverse outcomes in a mixed gender cohort with and without CD, stratified by deciles of age</w:t>
        </w:r>
        <w:r w:rsidRPr="008C2759">
          <w:rPr>
            <w:noProof/>
            <w:webHidden/>
          </w:rPr>
          <w:tab/>
        </w:r>
        <w:r w:rsidRPr="008C2759">
          <w:rPr>
            <w:noProof/>
            <w:webHidden/>
          </w:rPr>
          <w:fldChar w:fldCharType="begin"/>
        </w:r>
        <w:r w:rsidRPr="008C2759">
          <w:rPr>
            <w:noProof/>
            <w:webHidden/>
          </w:rPr>
          <w:instrText xml:space="preserve"> PAGEREF _Toc99541881 \h </w:instrText>
        </w:r>
        <w:r w:rsidRPr="008C2759">
          <w:rPr>
            <w:noProof/>
            <w:webHidden/>
          </w:rPr>
        </w:r>
        <w:r w:rsidRPr="008C2759">
          <w:rPr>
            <w:noProof/>
            <w:webHidden/>
          </w:rPr>
          <w:fldChar w:fldCharType="separate"/>
        </w:r>
        <w:r w:rsidRPr="008C2759">
          <w:rPr>
            <w:noProof/>
            <w:webHidden/>
          </w:rPr>
          <w:t>289</w:t>
        </w:r>
        <w:r w:rsidRPr="008C2759">
          <w:rPr>
            <w:noProof/>
            <w:webHidden/>
          </w:rPr>
          <w:fldChar w:fldCharType="end"/>
        </w:r>
      </w:hyperlink>
    </w:p>
    <w:p w14:paraId="6CB47FAD"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2" w:history="1">
        <w:r w:rsidRPr="008C2759">
          <w:rPr>
            <w:noProof/>
            <w:color w:val="0000FF"/>
            <w:u w:val="single"/>
          </w:rPr>
          <w:t>Table S15 Rates of adverse outcomes in females with and without CD, stratified by deciles of age</w:t>
        </w:r>
        <w:r w:rsidRPr="008C2759">
          <w:rPr>
            <w:noProof/>
            <w:webHidden/>
          </w:rPr>
          <w:tab/>
        </w:r>
        <w:r w:rsidRPr="008C2759">
          <w:rPr>
            <w:noProof/>
            <w:webHidden/>
          </w:rPr>
          <w:fldChar w:fldCharType="begin"/>
        </w:r>
        <w:r w:rsidRPr="008C2759">
          <w:rPr>
            <w:noProof/>
            <w:webHidden/>
          </w:rPr>
          <w:instrText xml:space="preserve"> PAGEREF _Toc99541882 \h </w:instrText>
        </w:r>
        <w:r w:rsidRPr="008C2759">
          <w:rPr>
            <w:noProof/>
            <w:webHidden/>
          </w:rPr>
        </w:r>
        <w:r w:rsidRPr="008C2759">
          <w:rPr>
            <w:noProof/>
            <w:webHidden/>
          </w:rPr>
          <w:fldChar w:fldCharType="separate"/>
        </w:r>
        <w:r w:rsidRPr="008C2759">
          <w:rPr>
            <w:noProof/>
            <w:webHidden/>
          </w:rPr>
          <w:t>290</w:t>
        </w:r>
        <w:r w:rsidRPr="008C2759">
          <w:rPr>
            <w:noProof/>
            <w:webHidden/>
          </w:rPr>
          <w:fldChar w:fldCharType="end"/>
        </w:r>
      </w:hyperlink>
    </w:p>
    <w:p w14:paraId="639304F5"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3" w:history="1">
        <w:r w:rsidRPr="008C2759">
          <w:rPr>
            <w:noProof/>
            <w:color w:val="0000FF"/>
            <w:u w:val="single"/>
          </w:rPr>
          <w:t>Table S16 Rates of adverse outcomes in males with and without CD, stratified by deciles of age</w:t>
        </w:r>
        <w:r w:rsidRPr="008C2759">
          <w:rPr>
            <w:noProof/>
            <w:webHidden/>
          </w:rPr>
          <w:tab/>
        </w:r>
        <w:r w:rsidRPr="008C2759">
          <w:rPr>
            <w:noProof/>
            <w:webHidden/>
          </w:rPr>
          <w:fldChar w:fldCharType="begin"/>
        </w:r>
        <w:r w:rsidRPr="008C2759">
          <w:rPr>
            <w:noProof/>
            <w:webHidden/>
          </w:rPr>
          <w:instrText xml:space="preserve"> PAGEREF _Toc99541883 \h </w:instrText>
        </w:r>
        <w:r w:rsidRPr="008C2759">
          <w:rPr>
            <w:noProof/>
            <w:webHidden/>
          </w:rPr>
        </w:r>
        <w:r w:rsidRPr="008C2759">
          <w:rPr>
            <w:noProof/>
            <w:webHidden/>
          </w:rPr>
          <w:fldChar w:fldCharType="separate"/>
        </w:r>
        <w:r w:rsidRPr="008C2759">
          <w:rPr>
            <w:noProof/>
            <w:webHidden/>
          </w:rPr>
          <w:t>291</w:t>
        </w:r>
        <w:r w:rsidRPr="008C2759">
          <w:rPr>
            <w:noProof/>
            <w:webHidden/>
          </w:rPr>
          <w:fldChar w:fldCharType="end"/>
        </w:r>
      </w:hyperlink>
    </w:p>
    <w:p w14:paraId="1A32279D" w14:textId="77777777" w:rsidR="008C2759" w:rsidRPr="008C2759" w:rsidRDefault="008C2759" w:rsidP="008C2759">
      <w:pPr>
        <w:tabs>
          <w:tab w:val="right" w:leader="dot" w:pos="9016"/>
        </w:tabs>
        <w:spacing w:after="100"/>
        <w:ind w:left="220"/>
        <w:rPr>
          <w:rFonts w:eastAsiaTheme="minorEastAsia"/>
          <w:noProof/>
          <w:lang w:eastAsia="en-GB"/>
        </w:rPr>
      </w:pPr>
      <w:hyperlink w:anchor="_Toc99541884" w:history="1">
        <w:r w:rsidRPr="008C2759">
          <w:rPr>
            <w:noProof/>
            <w:color w:val="0000FF"/>
            <w:u w:val="single"/>
          </w:rPr>
          <w:t>Healthcare resource use</w:t>
        </w:r>
        <w:r w:rsidRPr="008C2759">
          <w:rPr>
            <w:noProof/>
            <w:webHidden/>
          </w:rPr>
          <w:tab/>
        </w:r>
        <w:r w:rsidRPr="008C2759">
          <w:rPr>
            <w:noProof/>
            <w:webHidden/>
          </w:rPr>
          <w:fldChar w:fldCharType="begin"/>
        </w:r>
        <w:r w:rsidRPr="008C2759">
          <w:rPr>
            <w:noProof/>
            <w:webHidden/>
          </w:rPr>
          <w:instrText xml:space="preserve"> PAGEREF _Toc99541884 \h </w:instrText>
        </w:r>
        <w:r w:rsidRPr="008C2759">
          <w:rPr>
            <w:noProof/>
            <w:webHidden/>
          </w:rPr>
        </w:r>
        <w:r w:rsidRPr="008C2759">
          <w:rPr>
            <w:noProof/>
            <w:webHidden/>
          </w:rPr>
          <w:fldChar w:fldCharType="separate"/>
        </w:r>
        <w:r w:rsidRPr="008C2759">
          <w:rPr>
            <w:noProof/>
            <w:webHidden/>
          </w:rPr>
          <w:t>291</w:t>
        </w:r>
        <w:r w:rsidRPr="008C2759">
          <w:rPr>
            <w:noProof/>
            <w:webHidden/>
          </w:rPr>
          <w:fldChar w:fldCharType="end"/>
        </w:r>
      </w:hyperlink>
    </w:p>
    <w:p w14:paraId="11266823"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5" w:history="1">
        <w:r w:rsidRPr="008C2759">
          <w:rPr>
            <w:noProof/>
            <w:color w:val="0000FF"/>
            <w:u w:val="single"/>
          </w:rPr>
          <w:t>Table S17 Unit costs used</w:t>
        </w:r>
        <w:r w:rsidRPr="008C2759">
          <w:rPr>
            <w:noProof/>
            <w:webHidden/>
          </w:rPr>
          <w:tab/>
        </w:r>
        <w:r w:rsidRPr="008C2759">
          <w:rPr>
            <w:noProof/>
            <w:webHidden/>
          </w:rPr>
          <w:fldChar w:fldCharType="begin"/>
        </w:r>
        <w:r w:rsidRPr="008C2759">
          <w:rPr>
            <w:noProof/>
            <w:webHidden/>
          </w:rPr>
          <w:instrText xml:space="preserve"> PAGEREF _Toc99541885 \h </w:instrText>
        </w:r>
        <w:r w:rsidRPr="008C2759">
          <w:rPr>
            <w:noProof/>
            <w:webHidden/>
          </w:rPr>
        </w:r>
        <w:r w:rsidRPr="008C2759">
          <w:rPr>
            <w:noProof/>
            <w:webHidden/>
          </w:rPr>
          <w:fldChar w:fldCharType="separate"/>
        </w:r>
        <w:r w:rsidRPr="008C2759">
          <w:rPr>
            <w:noProof/>
            <w:webHidden/>
          </w:rPr>
          <w:t>291</w:t>
        </w:r>
        <w:r w:rsidRPr="008C2759">
          <w:rPr>
            <w:noProof/>
            <w:webHidden/>
          </w:rPr>
          <w:fldChar w:fldCharType="end"/>
        </w:r>
      </w:hyperlink>
    </w:p>
    <w:p w14:paraId="0975BFBD"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6" w:history="1">
        <w:r w:rsidRPr="008C2759">
          <w:rPr>
            <w:noProof/>
            <w:color w:val="0000FF"/>
            <w:u w:val="single"/>
          </w:rPr>
          <w:t>Table S18 Healthcare resource use and costs: average annual amounts of healthcare resource use and costs per patient (for a maximum of 10 years before and after diagnosis) (SE in brackets)</w:t>
        </w:r>
        <w:r w:rsidRPr="008C2759">
          <w:rPr>
            <w:noProof/>
            <w:webHidden/>
          </w:rPr>
          <w:tab/>
        </w:r>
        <w:r w:rsidRPr="008C2759">
          <w:rPr>
            <w:noProof/>
            <w:webHidden/>
          </w:rPr>
          <w:fldChar w:fldCharType="begin"/>
        </w:r>
        <w:r w:rsidRPr="008C2759">
          <w:rPr>
            <w:noProof/>
            <w:webHidden/>
          </w:rPr>
          <w:instrText xml:space="preserve"> PAGEREF _Toc99541886 \h </w:instrText>
        </w:r>
        <w:r w:rsidRPr="008C2759">
          <w:rPr>
            <w:noProof/>
            <w:webHidden/>
          </w:rPr>
        </w:r>
        <w:r w:rsidRPr="008C2759">
          <w:rPr>
            <w:noProof/>
            <w:webHidden/>
          </w:rPr>
          <w:fldChar w:fldCharType="separate"/>
        </w:r>
        <w:r w:rsidRPr="008C2759">
          <w:rPr>
            <w:noProof/>
            <w:webHidden/>
          </w:rPr>
          <w:t>293</w:t>
        </w:r>
        <w:r w:rsidRPr="008C2759">
          <w:rPr>
            <w:noProof/>
            <w:webHidden/>
          </w:rPr>
          <w:fldChar w:fldCharType="end"/>
        </w:r>
      </w:hyperlink>
    </w:p>
    <w:p w14:paraId="054971E8"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7" w:history="1">
        <w:r w:rsidRPr="008C2759">
          <w:rPr>
            <w:noProof/>
            <w:color w:val="0000FF"/>
            <w:u w:val="single"/>
          </w:rPr>
          <w:t xml:space="preserve">Table S19 </w:t>
        </w:r>
        <w:r w:rsidRPr="008C2759">
          <w:rPr>
            <w:rFonts w:cstheme="minorHAnsi"/>
            <w:noProof/>
            <w:color w:val="0000FF"/>
            <w:u w:val="single"/>
          </w:rPr>
          <w:t>Proportion of time spent in each health state for adult men on the strategies of interest</w:t>
        </w:r>
        <w:r w:rsidRPr="008C2759">
          <w:rPr>
            <w:noProof/>
            <w:webHidden/>
          </w:rPr>
          <w:tab/>
        </w:r>
        <w:r w:rsidRPr="008C2759">
          <w:rPr>
            <w:noProof/>
            <w:webHidden/>
          </w:rPr>
          <w:fldChar w:fldCharType="begin"/>
        </w:r>
        <w:r w:rsidRPr="008C2759">
          <w:rPr>
            <w:noProof/>
            <w:webHidden/>
          </w:rPr>
          <w:instrText xml:space="preserve"> PAGEREF _Toc99541887 \h </w:instrText>
        </w:r>
        <w:r w:rsidRPr="008C2759">
          <w:rPr>
            <w:noProof/>
            <w:webHidden/>
          </w:rPr>
        </w:r>
        <w:r w:rsidRPr="008C2759">
          <w:rPr>
            <w:noProof/>
            <w:webHidden/>
          </w:rPr>
          <w:fldChar w:fldCharType="separate"/>
        </w:r>
        <w:r w:rsidRPr="008C2759">
          <w:rPr>
            <w:noProof/>
            <w:webHidden/>
          </w:rPr>
          <w:t>294</w:t>
        </w:r>
        <w:r w:rsidRPr="008C2759">
          <w:rPr>
            <w:noProof/>
            <w:webHidden/>
          </w:rPr>
          <w:fldChar w:fldCharType="end"/>
        </w:r>
      </w:hyperlink>
    </w:p>
    <w:p w14:paraId="6DA38641"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8" w:history="1">
        <w:r w:rsidRPr="008C2759">
          <w:rPr>
            <w:noProof/>
            <w:color w:val="0000FF"/>
            <w:u w:val="single"/>
          </w:rPr>
          <w:t>Table S20</w:t>
        </w:r>
        <w:r w:rsidRPr="008C2759">
          <w:rPr>
            <w:rFonts w:cstheme="minorHAnsi"/>
            <w:noProof/>
            <w:color w:val="0000FF"/>
            <w:u w:val="single"/>
          </w:rPr>
          <w:t xml:space="preserve"> Proportion of time spent in each health state for adult women on the strategies of interest</w:t>
        </w:r>
        <w:r w:rsidRPr="008C2759">
          <w:rPr>
            <w:noProof/>
            <w:webHidden/>
          </w:rPr>
          <w:tab/>
        </w:r>
        <w:r w:rsidRPr="008C2759">
          <w:rPr>
            <w:noProof/>
            <w:webHidden/>
          </w:rPr>
          <w:fldChar w:fldCharType="begin"/>
        </w:r>
        <w:r w:rsidRPr="008C2759">
          <w:rPr>
            <w:noProof/>
            <w:webHidden/>
          </w:rPr>
          <w:instrText xml:space="preserve"> PAGEREF _Toc99541888 \h </w:instrText>
        </w:r>
        <w:r w:rsidRPr="008C2759">
          <w:rPr>
            <w:noProof/>
            <w:webHidden/>
          </w:rPr>
        </w:r>
        <w:r w:rsidRPr="008C2759">
          <w:rPr>
            <w:noProof/>
            <w:webHidden/>
          </w:rPr>
          <w:fldChar w:fldCharType="separate"/>
        </w:r>
        <w:r w:rsidRPr="008C2759">
          <w:rPr>
            <w:noProof/>
            <w:webHidden/>
          </w:rPr>
          <w:t>294</w:t>
        </w:r>
        <w:r w:rsidRPr="008C2759">
          <w:rPr>
            <w:noProof/>
            <w:webHidden/>
          </w:rPr>
          <w:fldChar w:fldCharType="end"/>
        </w:r>
      </w:hyperlink>
    </w:p>
    <w:p w14:paraId="35625590" w14:textId="77777777" w:rsidR="008C2759" w:rsidRPr="008C2759" w:rsidRDefault="008C2759" w:rsidP="008C2759">
      <w:pPr>
        <w:tabs>
          <w:tab w:val="right" w:leader="dot" w:pos="9016"/>
        </w:tabs>
        <w:spacing w:after="100"/>
        <w:ind w:left="440"/>
        <w:rPr>
          <w:rFonts w:eastAsiaTheme="minorEastAsia"/>
          <w:noProof/>
          <w:lang w:eastAsia="en-GB"/>
        </w:rPr>
      </w:pPr>
      <w:hyperlink w:anchor="_Toc99541889" w:history="1">
        <w:r w:rsidRPr="008C2759">
          <w:rPr>
            <w:noProof/>
            <w:color w:val="0000FF"/>
            <w:u w:val="single"/>
          </w:rPr>
          <w:t xml:space="preserve">Table S21 </w:t>
        </w:r>
        <w:r w:rsidRPr="008C2759">
          <w:rPr>
            <w:rFonts w:cstheme="minorHAnsi"/>
            <w:noProof/>
            <w:color w:val="0000FF"/>
            <w:u w:val="single"/>
          </w:rPr>
          <w:t>Proportion of time spent in each health state for children on the strategies of interest</w:t>
        </w:r>
        <w:r w:rsidRPr="008C2759">
          <w:rPr>
            <w:noProof/>
            <w:webHidden/>
          </w:rPr>
          <w:tab/>
        </w:r>
        <w:r w:rsidRPr="008C2759">
          <w:rPr>
            <w:noProof/>
            <w:webHidden/>
          </w:rPr>
          <w:fldChar w:fldCharType="begin"/>
        </w:r>
        <w:r w:rsidRPr="008C2759">
          <w:rPr>
            <w:noProof/>
            <w:webHidden/>
          </w:rPr>
          <w:instrText xml:space="preserve"> PAGEREF _Toc99541889 \h </w:instrText>
        </w:r>
        <w:r w:rsidRPr="008C2759">
          <w:rPr>
            <w:noProof/>
            <w:webHidden/>
          </w:rPr>
        </w:r>
        <w:r w:rsidRPr="008C2759">
          <w:rPr>
            <w:noProof/>
            <w:webHidden/>
          </w:rPr>
          <w:fldChar w:fldCharType="separate"/>
        </w:r>
        <w:r w:rsidRPr="008C2759">
          <w:rPr>
            <w:noProof/>
            <w:webHidden/>
          </w:rPr>
          <w:t>295</w:t>
        </w:r>
        <w:r w:rsidRPr="008C2759">
          <w:rPr>
            <w:noProof/>
            <w:webHidden/>
          </w:rPr>
          <w:fldChar w:fldCharType="end"/>
        </w:r>
      </w:hyperlink>
    </w:p>
    <w:p w14:paraId="18794929" w14:textId="77777777" w:rsidR="008C2759" w:rsidRPr="008C2759" w:rsidRDefault="008C2759" w:rsidP="008C2759">
      <w:pPr>
        <w:tabs>
          <w:tab w:val="right" w:leader="dot" w:pos="9016"/>
        </w:tabs>
        <w:spacing w:after="100"/>
        <w:rPr>
          <w:rFonts w:eastAsiaTheme="minorEastAsia"/>
          <w:noProof/>
          <w:lang w:eastAsia="en-GB"/>
        </w:rPr>
      </w:pPr>
      <w:hyperlink w:anchor="_Toc99541890" w:history="1">
        <w:r w:rsidRPr="008C2759">
          <w:rPr>
            <w:noProof/>
            <w:color w:val="0000FF"/>
            <w:u w:val="single"/>
          </w:rPr>
          <w:t>References</w:t>
        </w:r>
        <w:r w:rsidRPr="008C2759">
          <w:rPr>
            <w:noProof/>
            <w:webHidden/>
          </w:rPr>
          <w:tab/>
        </w:r>
        <w:r w:rsidRPr="008C2759">
          <w:rPr>
            <w:noProof/>
            <w:webHidden/>
          </w:rPr>
          <w:fldChar w:fldCharType="begin"/>
        </w:r>
        <w:r w:rsidRPr="008C2759">
          <w:rPr>
            <w:noProof/>
            <w:webHidden/>
          </w:rPr>
          <w:instrText xml:space="preserve"> PAGEREF _Toc99541890 \h </w:instrText>
        </w:r>
        <w:r w:rsidRPr="008C2759">
          <w:rPr>
            <w:noProof/>
            <w:webHidden/>
          </w:rPr>
        </w:r>
        <w:r w:rsidRPr="008C2759">
          <w:rPr>
            <w:noProof/>
            <w:webHidden/>
          </w:rPr>
          <w:fldChar w:fldCharType="separate"/>
        </w:r>
        <w:r w:rsidRPr="008C2759">
          <w:rPr>
            <w:noProof/>
            <w:webHidden/>
          </w:rPr>
          <w:t>297</w:t>
        </w:r>
        <w:r w:rsidRPr="008C2759">
          <w:rPr>
            <w:noProof/>
            <w:webHidden/>
          </w:rPr>
          <w:fldChar w:fldCharType="end"/>
        </w:r>
      </w:hyperlink>
    </w:p>
    <w:p w14:paraId="7FF8672F" w14:textId="785630F6" w:rsidR="008C2759" w:rsidRPr="008C2759" w:rsidRDefault="008C2759" w:rsidP="008C2759">
      <w:pPr>
        <w:rPr>
          <w:b/>
          <w:bCs/>
          <w:noProof/>
        </w:rPr>
      </w:pPr>
      <w:r w:rsidRPr="008C2759">
        <w:rPr>
          <w:b/>
          <w:bCs/>
          <w:noProof/>
        </w:rPr>
        <w:fldChar w:fldCharType="end"/>
      </w:r>
    </w:p>
    <w:p w14:paraId="14EACC94" w14:textId="77777777" w:rsidR="002D4A35" w:rsidRPr="00242DAE" w:rsidRDefault="002D4A35" w:rsidP="00242DAE"/>
    <w:p w14:paraId="7581C142" w14:textId="12ED35C7" w:rsidR="00242DAE" w:rsidRDefault="00242DAE">
      <w:pPr>
        <w:rPr>
          <w:rFonts w:asciiTheme="majorHAnsi" w:eastAsiaTheme="majorEastAsia" w:hAnsiTheme="majorHAnsi" w:cstheme="majorBidi"/>
          <w:color w:val="2F5496" w:themeColor="accent1" w:themeShade="BF"/>
          <w:sz w:val="32"/>
          <w:szCs w:val="32"/>
        </w:rPr>
      </w:pPr>
      <w:r>
        <w:br w:type="page"/>
      </w:r>
    </w:p>
    <w:p w14:paraId="4C45C29D" w14:textId="570BA9E6" w:rsidR="002B3A40" w:rsidRPr="00734942" w:rsidRDefault="002B3A40" w:rsidP="002C56DC">
      <w:pPr>
        <w:pStyle w:val="Heading1"/>
      </w:pPr>
      <w:r w:rsidRPr="00734942">
        <w:lastRenderedPageBreak/>
        <w:t>Alphabetical list of abbreviations/glossary</w:t>
      </w:r>
      <w:bookmarkEnd w:id="39"/>
    </w:p>
    <w:tbl>
      <w:tblPr>
        <w:tblW w:w="9000" w:type="dxa"/>
        <w:tblInd w:w="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7732"/>
      </w:tblGrid>
      <w:tr w:rsidR="00A762E0" w:rsidRPr="00734942" w14:paraId="4EB2164B"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65B40F9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AAA</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7C79529" w14:textId="77777777" w:rsidR="00A762E0" w:rsidRPr="00734942" w:rsidRDefault="00A762E0" w:rsidP="00DE01F4">
            <w:pPr>
              <w:spacing w:after="0" w:line="240" w:lineRule="auto"/>
              <w:textAlignment w:val="baseline"/>
              <w:rPr>
                <w:rStyle w:val="normaltextrun"/>
                <w:rFonts w:ascii="Calibri" w:hAnsi="Calibri" w:cs="Calibri"/>
                <w:color w:val="000000"/>
                <w:shd w:val="clear" w:color="auto" w:fill="FFFFFF"/>
              </w:rPr>
            </w:pPr>
            <w:r w:rsidRPr="00734942">
              <w:rPr>
                <w:rStyle w:val="normaltextrun"/>
                <w:rFonts w:ascii="Calibri" w:hAnsi="Calibri" w:cs="Calibri"/>
                <w:color w:val="000000"/>
                <w:shd w:val="clear" w:color="auto" w:fill="FFFFFF"/>
              </w:rPr>
              <w:t>Anti-actin antibodies</w:t>
            </w:r>
          </w:p>
        </w:tc>
      </w:tr>
      <w:tr w:rsidR="00A762E0" w:rsidRPr="00734942" w14:paraId="60D740B9"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10E114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ADD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3B9254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Attention deficit disorder</w:t>
            </w:r>
          </w:p>
        </w:tc>
      </w:tr>
      <w:tr w:rsidR="00A762E0" w:rsidRPr="00734942" w14:paraId="4D764E25"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CDADAB0"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ADHD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30477D7"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Attention deficit hyperactivity disorder</w:t>
            </w:r>
          </w:p>
        </w:tc>
      </w:tr>
      <w:tr w:rsidR="00A762E0" w:rsidRPr="00734942" w14:paraId="3DD4CF9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EA0AF8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AGA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57A3F2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Style w:val="normaltextrun"/>
                <w:rFonts w:ascii="Calibri" w:hAnsi="Calibri" w:cs="Calibri"/>
                <w:color w:val="000000"/>
                <w:bdr w:val="none" w:sz="0" w:space="0" w:color="auto" w:frame="1"/>
              </w:rPr>
              <w:t>Antigliadin antibodies</w:t>
            </w:r>
          </w:p>
        </w:tc>
      </w:tr>
      <w:tr w:rsidR="00A762E0" w:rsidRPr="00734942" w14:paraId="5DEB2E59"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82BF42D"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ALD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943178C"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Alcoholic Liver Disease</w:t>
            </w:r>
          </w:p>
        </w:tc>
      </w:tr>
      <w:tr w:rsidR="00A762E0" w:rsidRPr="00734942" w14:paraId="62345E7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25DFA07"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ALP</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A4DB56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Alkaline Phosphatase </w:t>
            </w:r>
          </w:p>
        </w:tc>
      </w:tr>
      <w:tr w:rsidR="00A762E0" w:rsidRPr="00734942" w14:paraId="33159DF2" w14:textId="77777777" w:rsidTr="00252FE0">
        <w:tc>
          <w:tcPr>
            <w:tcW w:w="1268" w:type="dxa"/>
            <w:tcBorders>
              <w:top w:val="nil"/>
              <w:left w:val="single" w:sz="6" w:space="0" w:color="auto"/>
              <w:bottom w:val="single" w:sz="4" w:space="0" w:color="auto"/>
              <w:right w:val="single" w:sz="6" w:space="0" w:color="auto"/>
            </w:tcBorders>
            <w:shd w:val="clear" w:color="auto" w:fill="auto"/>
            <w:hideMark/>
          </w:tcPr>
          <w:p w14:paraId="0E182032"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ALSPAC</w:t>
            </w:r>
          </w:p>
        </w:tc>
        <w:tc>
          <w:tcPr>
            <w:tcW w:w="7732" w:type="dxa"/>
            <w:tcBorders>
              <w:top w:val="nil"/>
              <w:left w:val="nil"/>
              <w:bottom w:val="single" w:sz="4" w:space="0" w:color="auto"/>
              <w:right w:val="single" w:sz="6" w:space="0" w:color="auto"/>
            </w:tcBorders>
            <w:shd w:val="clear" w:color="auto" w:fill="auto"/>
            <w:hideMark/>
          </w:tcPr>
          <w:p w14:paraId="4E97DD67"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Avon Longitudinal Study of Parents and Children</w:t>
            </w:r>
          </w:p>
        </w:tc>
      </w:tr>
      <w:tr w:rsidR="00A762E0" w:rsidRPr="00734942" w14:paraId="56C38685"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F592B79"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ALT</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7AE5A3A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Alanine Transaminase</w:t>
            </w:r>
          </w:p>
        </w:tc>
      </w:tr>
      <w:tr w:rsidR="00CE3621" w:rsidRPr="00734942" w14:paraId="0E38ADA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0A4BA099" w14:textId="4A39BE6B" w:rsidR="00CE3621" w:rsidRPr="00734942" w:rsidRDefault="00CE3621" w:rsidP="00DE01F4">
            <w:pPr>
              <w:spacing w:after="0" w:line="240" w:lineRule="auto"/>
              <w:textAlignment w:val="baseline"/>
              <w:rPr>
                <w:rFonts w:ascii="Calibri" w:eastAsia="Times New Roman" w:hAnsi="Calibri" w:cs="Calibri"/>
                <w:lang w:eastAsia="en-GB"/>
              </w:rPr>
            </w:pPr>
            <w:r>
              <w:rPr>
                <w:rFonts w:ascii="Calibri" w:eastAsia="Times New Roman" w:hAnsi="Calibri" w:cs="Calibri"/>
                <w:lang w:eastAsia="en-GB"/>
              </w:rPr>
              <w:t>ARC</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25CD3DE" w14:textId="50C8C820" w:rsidR="00CE3621" w:rsidRPr="00734942" w:rsidRDefault="00CE3621" w:rsidP="00DE01F4">
            <w:pPr>
              <w:spacing w:after="0" w:line="240" w:lineRule="auto"/>
              <w:textAlignment w:val="baseline"/>
              <w:rPr>
                <w:rFonts w:ascii="Calibri" w:eastAsia="Times New Roman" w:hAnsi="Calibri" w:cs="Calibri"/>
                <w:lang w:eastAsia="en-GB"/>
              </w:rPr>
            </w:pPr>
            <w:r>
              <w:rPr>
                <w:rFonts w:ascii="Calibri" w:eastAsia="Times New Roman" w:hAnsi="Calibri" w:cs="Calibri"/>
                <w:lang w:eastAsia="en-GB"/>
              </w:rPr>
              <w:t>Applied Research Collaboration</w:t>
            </w:r>
          </w:p>
        </w:tc>
      </w:tr>
      <w:tr w:rsidR="00A762E0" w:rsidRPr="00734942" w14:paraId="44B308C9"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60C8225"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AS</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8E9998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Ankylosing spondylitis </w:t>
            </w:r>
          </w:p>
        </w:tc>
      </w:tr>
      <w:tr w:rsidR="00A762E0" w:rsidRPr="00734942" w14:paraId="74C48910"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364EAD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AST</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7191786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Aspartate Transaminase</w:t>
            </w:r>
          </w:p>
        </w:tc>
      </w:tr>
      <w:tr w:rsidR="00A762E0" w:rsidRPr="00734942" w14:paraId="621A26E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2CB2B0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B</w:t>
            </w:r>
            <w:r w:rsidRPr="00734942">
              <w:rPr>
                <w:rFonts w:eastAsia="Times New Roman"/>
                <w:lang w:eastAsia="en-GB"/>
              </w:rPr>
              <w:t>SG</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73E0A3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B</w:t>
            </w:r>
            <w:r w:rsidRPr="00734942">
              <w:rPr>
                <w:rFonts w:eastAsia="Times New Roman"/>
                <w:lang w:eastAsia="en-GB"/>
              </w:rPr>
              <w:t xml:space="preserve">ritish Society of Gastroenterology </w:t>
            </w:r>
          </w:p>
        </w:tc>
      </w:tr>
      <w:tr w:rsidR="00A762E0" w:rsidRPr="00734942" w14:paraId="5E628F13"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0529C9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Style w:val="normaltextrun"/>
                <w:rFonts w:ascii="Calibri" w:hAnsi="Calibri" w:cs="Calibri"/>
                <w:color w:val="000000"/>
                <w:bdr w:val="none" w:sz="0" w:space="0" w:color="auto" w:frame="1"/>
              </w:rPr>
              <w:t>BSPGHAN</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C4D592B" w14:textId="77777777" w:rsidR="00A762E0" w:rsidRPr="00734942" w:rsidRDefault="00A762E0" w:rsidP="00DE01F4">
            <w:pPr>
              <w:spacing w:after="0" w:line="240" w:lineRule="auto"/>
              <w:textAlignment w:val="baseline"/>
              <w:rPr>
                <w:rStyle w:val="normaltextrun"/>
                <w:rFonts w:ascii="Calibri" w:hAnsi="Calibri" w:cs="Calibri"/>
                <w:color w:val="000000"/>
                <w:shd w:val="clear" w:color="auto" w:fill="FFFFFF"/>
              </w:rPr>
            </w:pPr>
            <w:r w:rsidRPr="00734942">
              <w:rPr>
                <w:rStyle w:val="normaltextrun"/>
                <w:rFonts w:ascii="Calibri" w:hAnsi="Calibri" w:cs="Calibri"/>
                <w:color w:val="000000"/>
                <w:bdr w:val="none" w:sz="0" w:space="0" w:color="auto" w:frame="1"/>
              </w:rPr>
              <w:t>British Society of Paediatric Gastroenterology, Hepatology and Nutrition</w:t>
            </w:r>
          </w:p>
        </w:tc>
      </w:tr>
      <w:tr w:rsidR="00A762E0" w:rsidRPr="00734942" w14:paraId="078FDEDE"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0617BE8C" w14:textId="77777777" w:rsidR="00A762E0" w:rsidRPr="00734942" w:rsidRDefault="00A762E0" w:rsidP="00DE01F4">
            <w:pPr>
              <w:spacing w:after="0" w:line="240" w:lineRule="auto"/>
              <w:textAlignment w:val="baseline"/>
              <w:rPr>
                <w:rFonts w:ascii="Segoe UI" w:eastAsia="Times New Roman" w:hAnsi="Segoe UI" w:cs="Segoe UI"/>
                <w:color w:val="000000"/>
                <w:sz w:val="18"/>
                <w:szCs w:val="18"/>
                <w:lang w:eastAsia="en-GB"/>
              </w:rPr>
            </w:pPr>
            <w:r w:rsidRPr="00734942">
              <w:rPr>
                <w:rFonts w:ascii="Calibri" w:eastAsia="Times New Roman" w:hAnsi="Calibri" w:cs="Calibri"/>
                <w:color w:val="000000"/>
                <w:lang w:eastAsia="en-GB"/>
              </w:rPr>
              <w:t>CD </w:t>
            </w:r>
          </w:p>
        </w:tc>
        <w:tc>
          <w:tcPr>
            <w:tcW w:w="7732" w:type="dxa"/>
            <w:tcBorders>
              <w:top w:val="nil"/>
              <w:left w:val="nil"/>
              <w:bottom w:val="single" w:sz="6" w:space="0" w:color="auto"/>
              <w:right w:val="single" w:sz="6" w:space="0" w:color="auto"/>
            </w:tcBorders>
            <w:shd w:val="clear" w:color="auto" w:fill="auto"/>
            <w:hideMark/>
          </w:tcPr>
          <w:p w14:paraId="57F5B0E3"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Coeliac disease </w:t>
            </w:r>
          </w:p>
        </w:tc>
      </w:tr>
      <w:tr w:rsidR="00FC605F" w:rsidRPr="00734942" w14:paraId="44DAD03F" w14:textId="77777777" w:rsidTr="00252FE0">
        <w:tc>
          <w:tcPr>
            <w:tcW w:w="1268" w:type="dxa"/>
            <w:tcBorders>
              <w:top w:val="nil"/>
              <w:left w:val="single" w:sz="6" w:space="0" w:color="auto"/>
              <w:bottom w:val="single" w:sz="6" w:space="0" w:color="auto"/>
              <w:right w:val="single" w:sz="6" w:space="0" w:color="auto"/>
            </w:tcBorders>
            <w:shd w:val="clear" w:color="auto" w:fill="auto"/>
          </w:tcPr>
          <w:p w14:paraId="587E7923" w14:textId="34F0D482" w:rsidR="00FC605F" w:rsidRPr="00734942" w:rsidRDefault="00FC605F" w:rsidP="00DE01F4">
            <w:pPr>
              <w:spacing w:after="0" w:line="240" w:lineRule="auto"/>
              <w:textAlignment w:val="baseline"/>
              <w:rPr>
                <w:rFonts w:ascii="Calibri" w:eastAsia="Times New Roman" w:hAnsi="Calibri" w:cs="Calibri"/>
                <w:color w:val="000000"/>
                <w:lang w:eastAsia="en-GB"/>
              </w:rPr>
            </w:pPr>
            <w:r w:rsidRPr="00C815FD">
              <w:rPr>
                <w:rFonts w:cstheme="minorHAnsi"/>
                <w:lang w:eastAsia="ko-KR"/>
              </w:rPr>
              <w:t>CEAC</w:t>
            </w:r>
          </w:p>
        </w:tc>
        <w:tc>
          <w:tcPr>
            <w:tcW w:w="7732" w:type="dxa"/>
            <w:tcBorders>
              <w:top w:val="nil"/>
              <w:left w:val="nil"/>
              <w:bottom w:val="single" w:sz="6" w:space="0" w:color="auto"/>
              <w:right w:val="single" w:sz="6" w:space="0" w:color="auto"/>
            </w:tcBorders>
            <w:shd w:val="clear" w:color="auto" w:fill="auto"/>
          </w:tcPr>
          <w:p w14:paraId="06FA2144" w14:textId="75B78DE3" w:rsidR="00FC605F" w:rsidRPr="00734942" w:rsidRDefault="00FC605F" w:rsidP="00DE01F4">
            <w:pPr>
              <w:spacing w:after="0" w:line="240" w:lineRule="auto"/>
              <w:textAlignment w:val="baseline"/>
              <w:rPr>
                <w:rFonts w:ascii="Calibri" w:eastAsia="Times New Roman" w:hAnsi="Calibri" w:cs="Calibri"/>
                <w:lang w:eastAsia="en-GB"/>
              </w:rPr>
            </w:pPr>
            <w:r>
              <w:rPr>
                <w:rFonts w:cstheme="minorHAnsi"/>
                <w:lang w:eastAsia="ko-KR"/>
              </w:rPr>
              <w:t>Cost-</w:t>
            </w:r>
            <w:r w:rsidRPr="00C815FD">
              <w:rPr>
                <w:rFonts w:cstheme="minorHAnsi"/>
                <w:lang w:eastAsia="ko-KR"/>
              </w:rPr>
              <w:t>effectiveness acceptability curve</w:t>
            </w:r>
          </w:p>
        </w:tc>
      </w:tr>
      <w:tr w:rsidR="00A762E0" w:rsidRPr="00734942" w14:paraId="60546FEF"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5659B6D"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CI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60887F5"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Confidence Interval</w:t>
            </w:r>
          </w:p>
        </w:tc>
      </w:tr>
      <w:tr w:rsidR="00045D0D" w:rsidRPr="00734942" w14:paraId="24649E66"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0F944EC4" w14:textId="715B0F80" w:rsidR="00045D0D" w:rsidRPr="00734942" w:rsidRDefault="00045D0D" w:rsidP="00DE01F4">
            <w:pPr>
              <w:spacing w:after="0" w:line="240" w:lineRule="auto"/>
              <w:textAlignment w:val="baseline"/>
              <w:rPr>
                <w:rFonts w:ascii="Calibri" w:eastAsia="Times New Roman" w:hAnsi="Calibri" w:cs="Calibri"/>
                <w:lang w:eastAsia="en-GB"/>
              </w:rPr>
            </w:pPr>
            <w:r>
              <w:rPr>
                <w:rFonts w:ascii="Calibri" w:eastAsia="Times New Roman" w:hAnsi="Calibri" w:cs="Calibri"/>
                <w:lang w:eastAsia="en-GB"/>
              </w:rPr>
              <w:t>CrI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79E7112" w14:textId="2E048B50" w:rsidR="00045D0D" w:rsidRPr="00734942" w:rsidRDefault="00045D0D" w:rsidP="00DE01F4">
            <w:pPr>
              <w:spacing w:after="0" w:line="240" w:lineRule="auto"/>
              <w:textAlignment w:val="baseline"/>
              <w:rPr>
                <w:rFonts w:ascii="Calibri" w:eastAsia="Times New Roman" w:hAnsi="Calibri" w:cs="Calibri"/>
                <w:lang w:eastAsia="en-GB"/>
              </w:rPr>
            </w:pPr>
            <w:r>
              <w:rPr>
                <w:rFonts w:ascii="Calibri" w:eastAsia="Times New Roman" w:hAnsi="Calibri" w:cs="Calibri"/>
                <w:lang w:eastAsia="en-GB"/>
              </w:rPr>
              <w:t>Credible Interval</w:t>
            </w:r>
          </w:p>
        </w:tc>
      </w:tr>
      <w:tr w:rsidR="00A762E0" w:rsidRPr="00734942" w14:paraId="57ED6FFF"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2570AED"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CPRD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04AFD8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Clinical Practice Research Datalink</w:t>
            </w:r>
          </w:p>
        </w:tc>
      </w:tr>
      <w:tr w:rsidR="00A762E0" w:rsidRPr="00734942" w14:paraId="2E95CD00"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AEE73D0"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CVA</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8DDC330"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Cerebrovascular Accident </w:t>
            </w:r>
          </w:p>
        </w:tc>
      </w:tr>
      <w:tr w:rsidR="00A762E0" w:rsidRPr="00734942" w14:paraId="03BE2568"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3E6343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CVD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716D28A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Cardiovascular disease</w:t>
            </w:r>
          </w:p>
        </w:tc>
      </w:tr>
      <w:tr w:rsidR="00A762E0" w:rsidRPr="00734942" w14:paraId="182DA551"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0ADAED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DGP</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21A5B4F"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shd w:val="clear" w:color="auto" w:fill="FFFFFF"/>
              </w:rPr>
              <w:t>Deamidated gliadin peptide </w:t>
            </w:r>
          </w:p>
        </w:tc>
      </w:tr>
      <w:tr w:rsidR="00A762E0" w:rsidRPr="00734942" w14:paraId="611E2253"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A2BD01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DH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DDA0C7E"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Dermatitis herpetiformis</w:t>
            </w:r>
          </w:p>
        </w:tc>
      </w:tr>
      <w:tr w:rsidR="00A762E0" w:rsidRPr="00734942" w14:paraId="44CAFA7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C17C15D"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DI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661E641"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Diagnostic Indicator</w:t>
            </w:r>
          </w:p>
        </w:tc>
      </w:tr>
      <w:tr w:rsidR="00A762E0" w:rsidRPr="00734942" w14:paraId="4CE7C27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9F6AF0C"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 xml:space="preserve">DTA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7A62BB6"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Diagnostic Test Accuracy</w:t>
            </w:r>
          </w:p>
        </w:tc>
      </w:tr>
      <w:tr w:rsidR="008477CE" w:rsidRPr="00734942" w14:paraId="4F2172D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8F5A445" w14:textId="4D3F8F80" w:rsidR="008477CE" w:rsidRPr="00734942" w:rsidRDefault="008477CE"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EGD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2ABAD3A" w14:textId="5C55A93D" w:rsidR="008477CE" w:rsidRPr="00734942" w:rsidRDefault="008477CE" w:rsidP="00DE01F4">
            <w:pPr>
              <w:spacing w:after="0" w:line="240" w:lineRule="auto"/>
              <w:textAlignment w:val="baseline"/>
              <w:rPr>
                <w:rStyle w:val="normaltextrun"/>
                <w:rFonts w:ascii="Calibri" w:hAnsi="Calibri" w:cs="Calibri"/>
                <w:color w:val="000000"/>
                <w:bdr w:val="none" w:sz="0" w:space="0" w:color="auto" w:frame="1"/>
              </w:rPr>
            </w:pPr>
            <w:r>
              <w:rPr>
                <w:rFonts w:cstheme="minorHAnsi"/>
              </w:rPr>
              <w:t>E</w:t>
            </w:r>
            <w:r w:rsidRPr="00C3631C">
              <w:rPr>
                <w:rFonts w:cstheme="minorHAnsi"/>
              </w:rPr>
              <w:t>sophagogastroduodenoscopy</w:t>
            </w:r>
          </w:p>
        </w:tc>
      </w:tr>
      <w:tr w:rsidR="00A762E0" w:rsidRPr="00734942" w14:paraId="5ED517E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721CA898"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 xml:space="preserve">ELISA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507CCD19"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Enzyme-linked immunosorbent assay</w:t>
            </w:r>
          </w:p>
        </w:tc>
      </w:tr>
      <w:tr w:rsidR="00A762E0" w:rsidRPr="00734942" w14:paraId="03B4056F"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30035210"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EMA </w:t>
            </w:r>
          </w:p>
        </w:tc>
        <w:tc>
          <w:tcPr>
            <w:tcW w:w="7732" w:type="dxa"/>
            <w:tcBorders>
              <w:top w:val="nil"/>
              <w:left w:val="nil"/>
              <w:bottom w:val="single" w:sz="6" w:space="0" w:color="auto"/>
              <w:right w:val="single" w:sz="6" w:space="0" w:color="auto"/>
            </w:tcBorders>
            <w:shd w:val="clear" w:color="auto" w:fill="auto"/>
            <w:hideMark/>
          </w:tcPr>
          <w:p w14:paraId="0A6FF26D" w14:textId="483DDCE1"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Endomysial</w:t>
            </w:r>
            <w:r w:rsidR="00ED2764" w:rsidRPr="00734942">
              <w:rPr>
                <w:rFonts w:ascii="Calibri" w:eastAsia="Times New Roman" w:hAnsi="Calibri" w:cs="Calibri"/>
                <w:lang w:eastAsia="en-GB"/>
              </w:rPr>
              <w:t xml:space="preserve"> antibody</w:t>
            </w:r>
          </w:p>
        </w:tc>
      </w:tr>
      <w:tr w:rsidR="00A762E0" w:rsidRPr="00734942" w14:paraId="634994A6"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C4131E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ESPGHAN</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5C23C501"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European Society Paediatric Gastroenterology, Hepatology and Nutrition Guidelines </w:t>
            </w:r>
          </w:p>
        </w:tc>
      </w:tr>
      <w:tr w:rsidR="00A762E0" w:rsidRPr="00734942" w14:paraId="75A01AF1"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18D8839E"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ESsCD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53DF9AC"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European Society for the Study of Coeliac Disease</w:t>
            </w:r>
          </w:p>
        </w:tc>
      </w:tr>
      <w:tr w:rsidR="00CE3621" w:rsidRPr="00734942" w14:paraId="4BD9EF6E"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06EC699" w14:textId="7468832A" w:rsidR="00CE3621" w:rsidRPr="00734942" w:rsidRDefault="00CE3621"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EVPI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24C59B0C" w14:textId="1B7174F7" w:rsidR="00CE3621" w:rsidRPr="00734942" w:rsidRDefault="00971964"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Expected value of perfect information</w:t>
            </w:r>
          </w:p>
        </w:tc>
      </w:tr>
      <w:tr w:rsidR="00CE3621" w:rsidRPr="00734942" w14:paraId="50910104"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723E8E75" w14:textId="2A10D308" w:rsidR="00CE3621" w:rsidRDefault="00CE3621"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EVPPI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4EC193C" w14:textId="583AF9AE" w:rsidR="00CE3621" w:rsidRPr="00734942" w:rsidRDefault="00F21B9D"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Expected value of partially perfect information</w:t>
            </w:r>
          </w:p>
        </w:tc>
      </w:tr>
      <w:tr w:rsidR="00CE3621" w:rsidRPr="00734942" w14:paraId="51A870C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1DB099B" w14:textId="72A80BB2" w:rsidR="00CE3621" w:rsidRDefault="00CE3621"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EVSI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B0C4B0F" w14:textId="268F47FA" w:rsidR="00CE3621" w:rsidRPr="00734942" w:rsidRDefault="00F21B9D"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Expected value of sample information</w:t>
            </w:r>
          </w:p>
        </w:tc>
      </w:tr>
      <w:tr w:rsidR="00A762E0" w:rsidRPr="00734942" w14:paraId="21BDDD4D"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1A367921"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Fonts w:ascii="Calibri" w:eastAsia="Times New Roman" w:hAnsi="Calibri" w:cs="Calibri"/>
                <w:lang w:eastAsia="en-GB"/>
              </w:rPr>
              <w:t>FDR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36D197EB" w14:textId="56270C68"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Fonts w:ascii="Calibri" w:eastAsia="Times New Roman" w:hAnsi="Calibri" w:cs="Calibri"/>
                <w:lang w:eastAsia="en-GB"/>
              </w:rPr>
              <w:t>First degree relative</w:t>
            </w:r>
          </w:p>
        </w:tc>
      </w:tr>
      <w:tr w:rsidR="00A762E0" w:rsidRPr="00734942" w14:paraId="079CB04F"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0BDF9F07"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FN</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CE49108"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False Negatives</w:t>
            </w:r>
          </w:p>
        </w:tc>
      </w:tr>
      <w:tr w:rsidR="00A762E0" w:rsidRPr="00734942" w14:paraId="5A379AC8"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124765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FP</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EDD489E"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False Positives</w:t>
            </w:r>
          </w:p>
        </w:tc>
      </w:tr>
      <w:tr w:rsidR="00A762E0" w:rsidRPr="00734942" w14:paraId="6110C86F"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239CC2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FPR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E59409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False Positive Rate</w:t>
            </w:r>
          </w:p>
        </w:tc>
      </w:tr>
      <w:tr w:rsidR="00AB328E" w:rsidRPr="00734942" w14:paraId="08F45444"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5EFBA70" w14:textId="5F837CB2" w:rsidR="00AB328E" w:rsidRPr="00734942" w:rsidRDefault="00AB328E" w:rsidP="00DE01F4">
            <w:pPr>
              <w:spacing w:after="0" w:line="240" w:lineRule="auto"/>
              <w:textAlignment w:val="baseline"/>
              <w:rPr>
                <w:rFonts w:ascii="Calibri" w:eastAsia="Times New Roman" w:hAnsi="Calibri" w:cs="Calibri"/>
                <w:lang w:eastAsia="en-GB"/>
              </w:rPr>
            </w:pPr>
            <w:r w:rsidRPr="00AB328E">
              <w:rPr>
                <w:rFonts w:ascii="Calibri" w:eastAsia="Times New Roman" w:hAnsi="Calibri" w:cs="Calibri"/>
                <w:lang w:eastAsia="en-GB"/>
              </w:rPr>
              <w:t>GERD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8D04503" w14:textId="77273AF0" w:rsidR="00AB328E" w:rsidRPr="00734942" w:rsidRDefault="00AB328E" w:rsidP="00DE01F4">
            <w:pPr>
              <w:spacing w:after="0" w:line="240" w:lineRule="auto"/>
              <w:textAlignment w:val="baseline"/>
              <w:rPr>
                <w:rFonts w:ascii="Calibri" w:eastAsia="Times New Roman" w:hAnsi="Calibri" w:cs="Calibri"/>
                <w:lang w:eastAsia="en-GB"/>
              </w:rPr>
            </w:pPr>
            <w:r w:rsidRPr="00AB328E">
              <w:rPr>
                <w:rFonts w:ascii="Calibri" w:eastAsia="Times New Roman" w:hAnsi="Calibri" w:cs="Calibri"/>
                <w:lang w:eastAsia="en-GB"/>
              </w:rPr>
              <w:t>Gastroesophageal reflux disease</w:t>
            </w:r>
          </w:p>
        </w:tc>
      </w:tr>
      <w:tr w:rsidR="00A762E0" w:rsidRPr="00734942" w14:paraId="1F34CB0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BE63EC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GERS</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2B02A305"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Gastroesophageal reflux symptoms</w:t>
            </w:r>
          </w:p>
        </w:tc>
      </w:tr>
      <w:tr w:rsidR="00A762E0" w:rsidRPr="00734942" w14:paraId="18550FAD"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475DF867"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GFD</w:t>
            </w:r>
          </w:p>
        </w:tc>
        <w:tc>
          <w:tcPr>
            <w:tcW w:w="7732" w:type="dxa"/>
            <w:tcBorders>
              <w:top w:val="nil"/>
              <w:left w:val="nil"/>
              <w:bottom w:val="single" w:sz="6" w:space="0" w:color="auto"/>
              <w:right w:val="single" w:sz="6" w:space="0" w:color="auto"/>
            </w:tcBorders>
            <w:shd w:val="clear" w:color="auto" w:fill="auto"/>
            <w:hideMark/>
          </w:tcPr>
          <w:p w14:paraId="7B0F62FA" w14:textId="359B674A" w:rsidR="00A762E0" w:rsidRPr="00734942" w:rsidRDefault="00345E39" w:rsidP="00DE01F4">
            <w:pPr>
              <w:spacing w:after="0" w:line="240" w:lineRule="auto"/>
              <w:textAlignment w:val="baseline"/>
              <w:rPr>
                <w:rFonts w:eastAsia="Times New Roman" w:cstheme="minorHAnsi"/>
                <w:lang w:eastAsia="en-GB"/>
              </w:rPr>
            </w:pPr>
            <w:r>
              <w:rPr>
                <w:rFonts w:eastAsia="Times New Roman" w:cstheme="minorHAnsi"/>
                <w:lang w:eastAsia="en-GB"/>
              </w:rPr>
              <w:t>Gluten-free diet</w:t>
            </w:r>
          </w:p>
        </w:tc>
      </w:tr>
      <w:tr w:rsidR="00A762E0" w:rsidRPr="00734942" w14:paraId="47FE06F5"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1247274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GGT</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EB9C66C"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Gamma-glutamyl Transpeptidase </w:t>
            </w:r>
          </w:p>
        </w:tc>
      </w:tr>
      <w:tr w:rsidR="00A762E0" w:rsidRPr="00734942" w14:paraId="6B055208"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775DCA27"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GI</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421429C"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Gastrointestinal </w:t>
            </w:r>
          </w:p>
        </w:tc>
      </w:tr>
      <w:tr w:rsidR="00A762E0" w:rsidRPr="00734942" w14:paraId="7DBA0A0C"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4628E44F"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HLA </w:t>
            </w:r>
          </w:p>
        </w:tc>
        <w:tc>
          <w:tcPr>
            <w:tcW w:w="7732" w:type="dxa"/>
            <w:tcBorders>
              <w:top w:val="nil"/>
              <w:left w:val="nil"/>
              <w:bottom w:val="single" w:sz="6" w:space="0" w:color="auto"/>
              <w:right w:val="single" w:sz="6" w:space="0" w:color="auto"/>
            </w:tcBorders>
            <w:shd w:val="clear" w:color="auto" w:fill="auto"/>
            <w:hideMark/>
          </w:tcPr>
          <w:p w14:paraId="29CB77A7"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Human leukocyte antigen </w:t>
            </w:r>
          </w:p>
        </w:tc>
      </w:tr>
      <w:tr w:rsidR="00A762E0" w:rsidRPr="00734942" w14:paraId="740135C3"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65205A08"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IBD</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252ABF7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Inflammatory Bowel Disease </w:t>
            </w:r>
          </w:p>
        </w:tc>
      </w:tr>
      <w:tr w:rsidR="00DC6A8F" w:rsidRPr="00734942" w14:paraId="5A327A1B"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E1E3525" w14:textId="6EABF347" w:rsidR="00DC6A8F" w:rsidRPr="00734942" w:rsidRDefault="00DC6A8F" w:rsidP="00DE01F4">
            <w:pPr>
              <w:spacing w:after="0" w:line="240" w:lineRule="auto"/>
              <w:textAlignment w:val="baseline"/>
              <w:rPr>
                <w:rFonts w:ascii="Calibri" w:eastAsia="Times New Roman" w:hAnsi="Calibri" w:cs="Calibri"/>
                <w:lang w:eastAsia="en-GB"/>
              </w:rPr>
            </w:pPr>
            <w:r>
              <w:rPr>
                <w:rFonts w:ascii="Calibri" w:eastAsia="Times New Roman" w:hAnsi="Calibri" w:cs="Calibri"/>
                <w:lang w:eastAsia="en-GB"/>
              </w:rPr>
              <w:t>ICER</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77E9AA2D" w14:textId="2B16F659" w:rsidR="00DC6A8F" w:rsidRPr="00734942" w:rsidRDefault="00DC6A8F" w:rsidP="00DE01F4">
            <w:pPr>
              <w:spacing w:after="0" w:line="240" w:lineRule="auto"/>
              <w:textAlignment w:val="baseline"/>
              <w:rPr>
                <w:rFonts w:ascii="Calibri" w:eastAsia="Times New Roman" w:hAnsi="Calibri" w:cs="Calibri"/>
                <w:lang w:eastAsia="en-GB"/>
              </w:rPr>
            </w:pPr>
            <w:r w:rsidRPr="00DC6A8F">
              <w:rPr>
                <w:rFonts w:ascii="Calibri" w:eastAsia="Times New Roman" w:hAnsi="Calibri" w:cs="Calibri"/>
                <w:lang w:eastAsia="en-GB"/>
              </w:rPr>
              <w:t>Incremental Cost-Effectiveness Ratio</w:t>
            </w:r>
          </w:p>
        </w:tc>
      </w:tr>
      <w:tr w:rsidR="00A762E0" w:rsidRPr="00734942" w14:paraId="0CA42B45"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6D7876BE"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IDA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1704F6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Iron Deficiency Anaemia </w:t>
            </w:r>
          </w:p>
        </w:tc>
      </w:tr>
      <w:tr w:rsidR="00A762E0" w:rsidRPr="00734942" w14:paraId="0658ACE1"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111CB6A8"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I</w:t>
            </w:r>
            <w:r w:rsidRPr="00734942">
              <w:rPr>
                <w:rStyle w:val="normaltextrun"/>
                <w:color w:val="000000"/>
                <w:bdr w:val="none" w:sz="0" w:space="0" w:color="auto" w:frame="1"/>
              </w:rPr>
              <w:t>FA</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1598148A"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Indirect Fluorescent Antibody</w:t>
            </w:r>
          </w:p>
        </w:tc>
      </w:tr>
      <w:tr w:rsidR="00A762E0" w:rsidRPr="00734942" w14:paraId="46C8BB51"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12ECF6CD"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IgA </w:t>
            </w:r>
          </w:p>
        </w:tc>
        <w:tc>
          <w:tcPr>
            <w:tcW w:w="7732" w:type="dxa"/>
            <w:tcBorders>
              <w:top w:val="nil"/>
              <w:left w:val="nil"/>
              <w:bottom w:val="single" w:sz="6" w:space="0" w:color="auto"/>
              <w:right w:val="single" w:sz="6" w:space="0" w:color="auto"/>
            </w:tcBorders>
            <w:shd w:val="clear" w:color="auto" w:fill="auto"/>
            <w:hideMark/>
          </w:tcPr>
          <w:p w14:paraId="27C4DFC1"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Immunoglobulin A </w:t>
            </w:r>
          </w:p>
        </w:tc>
      </w:tr>
      <w:tr w:rsidR="00A762E0" w:rsidRPr="00734942" w14:paraId="4DF2C376"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1DC6E1DA"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IgG </w:t>
            </w:r>
          </w:p>
        </w:tc>
        <w:tc>
          <w:tcPr>
            <w:tcW w:w="7732" w:type="dxa"/>
            <w:tcBorders>
              <w:top w:val="nil"/>
              <w:left w:val="nil"/>
              <w:bottom w:val="single" w:sz="6" w:space="0" w:color="auto"/>
              <w:right w:val="single" w:sz="6" w:space="0" w:color="auto"/>
            </w:tcBorders>
            <w:shd w:val="clear" w:color="auto" w:fill="auto"/>
            <w:hideMark/>
          </w:tcPr>
          <w:p w14:paraId="71D33059" w14:textId="77777777" w:rsidR="00A762E0" w:rsidRPr="00734942" w:rsidRDefault="00A762E0" w:rsidP="00DE01F4">
            <w:pPr>
              <w:spacing w:after="0" w:line="240" w:lineRule="auto"/>
              <w:textAlignment w:val="baseline"/>
              <w:rPr>
                <w:rFonts w:ascii="Segoe UI" w:eastAsia="Times New Roman" w:hAnsi="Segoe UI" w:cs="Segoe UI"/>
                <w:color w:val="000000"/>
                <w:sz w:val="18"/>
                <w:szCs w:val="18"/>
                <w:lang w:eastAsia="en-GB"/>
              </w:rPr>
            </w:pPr>
            <w:r w:rsidRPr="00734942">
              <w:rPr>
                <w:rFonts w:ascii="Calibri" w:eastAsia="Times New Roman" w:hAnsi="Calibri" w:cs="Calibri"/>
                <w:color w:val="000000"/>
                <w:lang w:eastAsia="en-GB"/>
              </w:rPr>
              <w:t>Immunoglobulin G </w:t>
            </w:r>
          </w:p>
        </w:tc>
      </w:tr>
      <w:tr w:rsidR="00A762E0" w:rsidRPr="00734942" w14:paraId="6B451FE4"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75416CE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lastRenderedPageBreak/>
              <w:t>IQS</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9FB5DAA"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Inter quartile ranges</w:t>
            </w:r>
          </w:p>
        </w:tc>
      </w:tr>
      <w:tr w:rsidR="00CE3621" w:rsidRPr="00734942" w14:paraId="17E7A31E"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7D38649" w14:textId="35BD4FEF" w:rsidR="00CE3621" w:rsidRPr="00734942" w:rsidRDefault="00CE3621"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MLMC</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8D39428" w14:textId="63C3E526" w:rsidR="00CE3621" w:rsidRPr="00734942" w:rsidRDefault="00CE584D" w:rsidP="00DE01F4">
            <w:pPr>
              <w:spacing w:after="0" w:line="240" w:lineRule="auto"/>
              <w:textAlignment w:val="baseline"/>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Multilevel Monte Carlo</w:t>
            </w:r>
          </w:p>
        </w:tc>
      </w:tr>
      <w:tr w:rsidR="00A762E0" w:rsidRPr="00734942" w14:paraId="3C1CDB41"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5E56590" w14:textId="77777777" w:rsidR="00A762E0" w:rsidRPr="00734942" w:rsidRDefault="00A762E0" w:rsidP="00DE01F4">
            <w:pPr>
              <w:spacing w:after="0" w:line="240" w:lineRule="auto"/>
              <w:textAlignment w:val="baseline"/>
              <w:rPr>
                <w:rStyle w:val="normaltextrun"/>
                <w:rFonts w:ascii="Calibri" w:hAnsi="Calibri" w:cs="Calibri"/>
                <w:color w:val="000000"/>
                <w:highlight w:val="yellow"/>
                <w:bdr w:val="none" w:sz="0" w:space="0" w:color="auto" w:frame="1"/>
              </w:rPr>
            </w:pPr>
            <w:r w:rsidRPr="00734942">
              <w:rPr>
                <w:rStyle w:val="normaltextrun"/>
                <w:rFonts w:ascii="Calibri" w:hAnsi="Calibri" w:cs="Calibri"/>
                <w:color w:val="000000"/>
                <w:bdr w:val="none" w:sz="0" w:space="0" w:color="auto" w:frame="1"/>
              </w:rPr>
              <w:t>NICE</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5C762957"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National Institute for Health and Care Excellence</w:t>
            </w:r>
          </w:p>
        </w:tc>
      </w:tr>
      <w:tr w:rsidR="00A762E0" w:rsidRPr="00734942" w14:paraId="491ED8B9"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A140EA0"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PBS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2E81EAF1"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Primary Biliary Cirrhosis </w:t>
            </w:r>
          </w:p>
        </w:tc>
      </w:tr>
      <w:tr w:rsidR="00A762E0" w:rsidRPr="00734942" w14:paraId="1611A226"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F6CFB6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PPV</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52F4D80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Positive Predictive Values</w:t>
            </w:r>
          </w:p>
        </w:tc>
      </w:tr>
      <w:tr w:rsidR="00A762E0" w:rsidRPr="00734942" w14:paraId="1C175FAC"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D865875"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PROSPERO</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5FC535F"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The International Prospective Register of Systematic Reviews</w:t>
            </w:r>
          </w:p>
        </w:tc>
      </w:tr>
      <w:tr w:rsidR="00A762E0" w:rsidRPr="00734942" w14:paraId="3A453B3A"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47BDFC23"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PsA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5E7E9C76" w14:textId="18BF6CB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Psoriatic arthritis</w:t>
            </w:r>
          </w:p>
        </w:tc>
      </w:tr>
      <w:tr w:rsidR="00A762E0" w:rsidRPr="00734942" w14:paraId="16D2ECC7"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0CFDEA2E"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QALY</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40D8C7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Quality-Adjusted Life Year</w:t>
            </w:r>
          </w:p>
        </w:tc>
      </w:tr>
      <w:tr w:rsidR="00A762E0" w:rsidRPr="00734942" w14:paraId="097E8B5D"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4D25A9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RA</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4E9696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Rheumatoid Arthritis </w:t>
            </w:r>
          </w:p>
        </w:tc>
      </w:tr>
      <w:tr w:rsidR="00A762E0" w:rsidRPr="00734942" w14:paraId="016E066B"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6B51F90"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ROC</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7D88BAAA" w14:textId="77777777" w:rsidR="00A762E0" w:rsidRPr="00734942" w:rsidRDefault="00A762E0" w:rsidP="00DE01F4">
            <w:pPr>
              <w:spacing w:after="0" w:line="240" w:lineRule="auto"/>
              <w:textAlignment w:val="baseline"/>
              <w:rPr>
                <w:rStyle w:val="normaltextrun"/>
                <w:rFonts w:ascii="Calibri" w:hAnsi="Calibri" w:cs="Calibri"/>
                <w:color w:val="000000"/>
                <w:highlight w:val="yellow"/>
                <w:bdr w:val="none" w:sz="0" w:space="0" w:color="auto" w:frame="1"/>
              </w:rPr>
            </w:pPr>
            <w:r w:rsidRPr="00734942">
              <w:rPr>
                <w:rStyle w:val="normaltextrun"/>
                <w:rFonts w:ascii="Calibri" w:hAnsi="Calibri" w:cs="Calibri"/>
                <w:color w:val="000000"/>
                <w:bdr w:val="none" w:sz="0" w:space="0" w:color="auto" w:frame="1"/>
              </w:rPr>
              <w:t xml:space="preserve">Receiver Operating Characteristic </w:t>
            </w:r>
          </w:p>
        </w:tc>
      </w:tr>
      <w:tr w:rsidR="00A762E0" w:rsidRPr="00734942" w14:paraId="34A4EDD5"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74F8F7AE"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 xml:space="preserve">SROC </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E42D2FD"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S</w:t>
            </w:r>
            <w:r w:rsidRPr="00734942">
              <w:rPr>
                <w:rStyle w:val="normaltextrun"/>
                <w:color w:val="000000"/>
                <w:bdr w:val="none" w:sz="0" w:space="0" w:color="auto" w:frame="1"/>
              </w:rPr>
              <w:t>ummary Receiver Operator Curve</w:t>
            </w:r>
          </w:p>
        </w:tc>
      </w:tr>
      <w:tr w:rsidR="00A762E0" w:rsidRPr="00734942" w14:paraId="286709F9"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3644C784"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TIA</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07A6E335"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Transient Ischaemic Attack </w:t>
            </w:r>
          </w:p>
        </w:tc>
      </w:tr>
      <w:tr w:rsidR="00A762E0" w:rsidRPr="00734942" w14:paraId="3F559E32"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13F66542"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TN</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E97599C"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True Negatives</w:t>
            </w:r>
          </w:p>
        </w:tc>
      </w:tr>
      <w:tr w:rsidR="00A762E0" w:rsidRPr="00734942" w14:paraId="4CA432CB"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52A2CCFD"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TP</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4A9EE42B"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 xml:space="preserve">True Positives </w:t>
            </w:r>
          </w:p>
        </w:tc>
      </w:tr>
      <w:tr w:rsidR="00A762E0" w:rsidRPr="00734942" w14:paraId="5720DD38" w14:textId="77777777" w:rsidTr="00252FE0">
        <w:tc>
          <w:tcPr>
            <w:tcW w:w="1268" w:type="dxa"/>
            <w:tcBorders>
              <w:top w:val="nil"/>
              <w:left w:val="single" w:sz="6" w:space="0" w:color="auto"/>
              <w:bottom w:val="single" w:sz="6" w:space="0" w:color="auto"/>
              <w:right w:val="single" w:sz="6" w:space="0" w:color="auto"/>
            </w:tcBorders>
            <w:shd w:val="clear" w:color="auto" w:fill="auto"/>
            <w:hideMark/>
          </w:tcPr>
          <w:p w14:paraId="523D622C"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tTG </w:t>
            </w:r>
          </w:p>
        </w:tc>
        <w:tc>
          <w:tcPr>
            <w:tcW w:w="7732" w:type="dxa"/>
            <w:tcBorders>
              <w:top w:val="nil"/>
              <w:left w:val="nil"/>
              <w:bottom w:val="single" w:sz="6" w:space="0" w:color="auto"/>
              <w:right w:val="single" w:sz="6" w:space="0" w:color="auto"/>
            </w:tcBorders>
            <w:shd w:val="clear" w:color="auto" w:fill="auto"/>
            <w:hideMark/>
          </w:tcPr>
          <w:p w14:paraId="17EC1651" w14:textId="77777777" w:rsidR="00A762E0" w:rsidRPr="00734942" w:rsidRDefault="00A762E0" w:rsidP="00DE01F4">
            <w:pPr>
              <w:spacing w:after="0" w:line="240" w:lineRule="auto"/>
              <w:textAlignment w:val="baseline"/>
              <w:rPr>
                <w:rFonts w:ascii="Segoe UI" w:eastAsia="Times New Roman" w:hAnsi="Segoe UI" w:cs="Segoe UI"/>
                <w:sz w:val="18"/>
                <w:szCs w:val="18"/>
                <w:lang w:eastAsia="en-GB"/>
              </w:rPr>
            </w:pPr>
            <w:r w:rsidRPr="00734942">
              <w:rPr>
                <w:rFonts w:ascii="Calibri" w:eastAsia="Times New Roman" w:hAnsi="Calibri" w:cs="Calibri"/>
                <w:lang w:eastAsia="en-GB"/>
              </w:rPr>
              <w:t>tissue transglutaminase </w:t>
            </w:r>
          </w:p>
        </w:tc>
      </w:tr>
      <w:tr w:rsidR="00A762E0" w:rsidRPr="00734942" w14:paraId="6CA1A29E"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22D3853D"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ULN</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27AB2B1C" w14:textId="77777777" w:rsidR="00A762E0" w:rsidRPr="00734942" w:rsidRDefault="00A762E0" w:rsidP="00DE01F4">
            <w:pPr>
              <w:spacing w:after="0" w:line="240" w:lineRule="auto"/>
              <w:textAlignment w:val="baseline"/>
              <w:rPr>
                <w:rStyle w:val="normaltextrun"/>
                <w:rFonts w:ascii="Calibri" w:hAnsi="Calibri" w:cs="Calibri"/>
                <w:color w:val="000000"/>
                <w:bdr w:val="none" w:sz="0" w:space="0" w:color="auto" w:frame="1"/>
              </w:rPr>
            </w:pPr>
            <w:r w:rsidRPr="00734942">
              <w:rPr>
                <w:rStyle w:val="normaltextrun"/>
                <w:rFonts w:ascii="Calibri" w:hAnsi="Calibri" w:cs="Calibri"/>
                <w:color w:val="000000"/>
                <w:bdr w:val="none" w:sz="0" w:space="0" w:color="auto" w:frame="1"/>
              </w:rPr>
              <w:t>Upper limit of normal</w:t>
            </w:r>
          </w:p>
        </w:tc>
      </w:tr>
      <w:tr w:rsidR="00A762E0" w:rsidRPr="00734942" w14:paraId="690B93B0" w14:textId="77777777" w:rsidTr="00252FE0">
        <w:tc>
          <w:tcPr>
            <w:tcW w:w="1268" w:type="dxa"/>
            <w:tcBorders>
              <w:top w:val="single" w:sz="4" w:space="0" w:color="auto"/>
              <w:left w:val="single" w:sz="4" w:space="0" w:color="auto"/>
              <w:bottom w:val="single" w:sz="4" w:space="0" w:color="auto"/>
              <w:right w:val="single" w:sz="4" w:space="0" w:color="auto"/>
            </w:tcBorders>
            <w:shd w:val="clear" w:color="auto" w:fill="auto"/>
          </w:tcPr>
          <w:p w14:paraId="0FE87240"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UTS</w:t>
            </w:r>
          </w:p>
        </w:tc>
        <w:tc>
          <w:tcPr>
            <w:tcW w:w="7732" w:type="dxa"/>
            <w:tcBorders>
              <w:top w:val="single" w:sz="4" w:space="0" w:color="auto"/>
              <w:left w:val="single" w:sz="4" w:space="0" w:color="auto"/>
              <w:bottom w:val="single" w:sz="4" w:space="0" w:color="auto"/>
              <w:right w:val="single" w:sz="4" w:space="0" w:color="auto"/>
            </w:tcBorders>
            <w:shd w:val="clear" w:color="auto" w:fill="auto"/>
          </w:tcPr>
          <w:p w14:paraId="6373B59F" w14:textId="77777777" w:rsidR="00A762E0" w:rsidRPr="00734942" w:rsidRDefault="00A762E0" w:rsidP="00DE01F4">
            <w:pPr>
              <w:spacing w:after="0" w:line="240" w:lineRule="auto"/>
              <w:textAlignment w:val="baseline"/>
              <w:rPr>
                <w:rFonts w:ascii="Calibri" w:eastAsia="Times New Roman" w:hAnsi="Calibri" w:cs="Calibri"/>
                <w:lang w:eastAsia="en-GB"/>
              </w:rPr>
            </w:pPr>
            <w:r w:rsidRPr="00734942">
              <w:rPr>
                <w:rFonts w:ascii="Calibri" w:eastAsia="Times New Roman" w:hAnsi="Calibri" w:cs="Calibri"/>
                <w:lang w:eastAsia="en-GB"/>
              </w:rPr>
              <w:t>Up-to-standard</w:t>
            </w:r>
          </w:p>
        </w:tc>
      </w:tr>
    </w:tbl>
    <w:p w14:paraId="499E408D" w14:textId="77777777" w:rsidR="009B0009" w:rsidRPr="00734942" w:rsidRDefault="009B0009">
      <w:pPr>
        <w:rPr>
          <w:rFonts w:asciiTheme="majorHAnsi" w:eastAsiaTheme="majorEastAsia" w:hAnsiTheme="majorHAnsi" w:cstheme="majorBidi"/>
          <w:color w:val="2F5496" w:themeColor="accent1" w:themeShade="BF"/>
          <w:sz w:val="32"/>
          <w:szCs w:val="32"/>
        </w:rPr>
      </w:pPr>
      <w:r w:rsidRPr="00734942">
        <w:br w:type="page"/>
      </w:r>
    </w:p>
    <w:p w14:paraId="2B47E7EA" w14:textId="4EF5DFF9" w:rsidR="002B3A40" w:rsidRPr="00734942" w:rsidRDefault="002B3A40" w:rsidP="002C56DC">
      <w:pPr>
        <w:pStyle w:val="Heading1"/>
      </w:pPr>
      <w:bookmarkStart w:id="40" w:name="_Toc99539789"/>
      <w:r w:rsidRPr="00734942">
        <w:lastRenderedPageBreak/>
        <w:t>Plain English Summary</w:t>
      </w:r>
      <w:bookmarkEnd w:id="40"/>
    </w:p>
    <w:p w14:paraId="76579AF1" w14:textId="77777777" w:rsidR="00B11148" w:rsidRDefault="00B11148" w:rsidP="00B11148">
      <w:pPr>
        <w:pStyle w:val="Heading2"/>
      </w:pPr>
      <w:bookmarkStart w:id="41" w:name="_Toc99539790"/>
      <w:r>
        <w:t>What is the problem?</w:t>
      </w:r>
      <w:bookmarkEnd w:id="41"/>
    </w:p>
    <w:p w14:paraId="44E85B3B" w14:textId="2B9379E6" w:rsidR="00913500" w:rsidRDefault="00913500" w:rsidP="00913500">
      <w:r>
        <w:t>Around 1 in 100 people in the UK have coeliac disease (CD)</w:t>
      </w:r>
      <w:r w:rsidR="00BC65A7">
        <w:t>. It</w:t>
      </w:r>
      <w:r>
        <w:t xml:space="preserve"> develops when </w:t>
      </w:r>
      <w:r w:rsidR="002374BA">
        <w:t xml:space="preserve">the </w:t>
      </w:r>
      <w:r>
        <w:t xml:space="preserve">immune system attacks </w:t>
      </w:r>
      <w:r w:rsidR="004B4F49">
        <w:t>the lining of the gut</w:t>
      </w:r>
      <w:r w:rsidR="000E0431">
        <w:t xml:space="preserve"> </w:t>
      </w:r>
      <w:r w:rsidR="00184A88">
        <w:t xml:space="preserve">after </w:t>
      </w:r>
      <w:r>
        <w:t xml:space="preserve">eating gluten. </w:t>
      </w:r>
      <w:r w:rsidR="00927A5C">
        <w:t xml:space="preserve">It’s thought only one in three people with CD are currently diagnosed. Without </w:t>
      </w:r>
      <w:r>
        <w:t>treatment people are at an increased risk of anaemia, osteoporosis and cancer. Treatment is a life-long gluten free diet.</w:t>
      </w:r>
    </w:p>
    <w:p w14:paraId="2100B6FC" w14:textId="5E1BAF42" w:rsidR="00913500" w:rsidRDefault="00913500" w:rsidP="00913500">
      <w:r>
        <w:t xml:space="preserve">Diagnosing CD is difficult. Some people </w:t>
      </w:r>
      <w:r w:rsidR="00F23723">
        <w:t>have minimal</w:t>
      </w:r>
      <w:r>
        <w:t xml:space="preserve"> </w:t>
      </w:r>
      <w:r w:rsidR="00F23723">
        <w:t>or</w:t>
      </w:r>
      <w:r>
        <w:t xml:space="preserve"> non-specific symptoms such as pain, indigestion or bloating</w:t>
      </w:r>
      <w:r w:rsidR="00F23723">
        <w:t xml:space="preserve"> so knowing who to test is tricky</w:t>
      </w:r>
      <w:r>
        <w:t xml:space="preserve">. </w:t>
      </w:r>
    </w:p>
    <w:p w14:paraId="33789F24" w14:textId="77777777" w:rsidR="00913500" w:rsidRPr="00734942" w:rsidRDefault="00913500" w:rsidP="00913500">
      <w:pPr>
        <w:pStyle w:val="Heading2"/>
      </w:pPr>
      <w:bookmarkStart w:id="42" w:name="_Toc99539791"/>
      <w:r>
        <w:t>What did we do?</w:t>
      </w:r>
      <w:bookmarkEnd w:id="42"/>
    </w:p>
    <w:p w14:paraId="357DE765" w14:textId="671F5D1A" w:rsidR="00913500" w:rsidRPr="001D547B" w:rsidRDefault="00913500" w:rsidP="00913500">
      <w:r w:rsidRPr="001D547B">
        <w:t>We want</w:t>
      </w:r>
      <w:r w:rsidRPr="006E2427">
        <w:t>ed</w:t>
      </w:r>
      <w:r w:rsidRPr="001D547B">
        <w:t xml:space="preserve"> to establish who should be tested for </w:t>
      </w:r>
      <w:r>
        <w:t>CD</w:t>
      </w:r>
      <w:r w:rsidRPr="001D547B">
        <w:t xml:space="preserve">, what tests should be </w:t>
      </w:r>
      <w:r w:rsidR="000335F0">
        <w:t>used</w:t>
      </w:r>
      <w:r w:rsidRPr="001D547B">
        <w:t xml:space="preserve">, and whether </w:t>
      </w:r>
      <w:r>
        <w:t xml:space="preserve">invasive testing </w:t>
      </w:r>
      <w:r w:rsidR="000335F0">
        <w:t xml:space="preserve">(a gut biopsy) </w:t>
      </w:r>
      <w:r w:rsidRPr="001D547B">
        <w:t xml:space="preserve">is necessary for </w:t>
      </w:r>
      <w:r>
        <w:t>everyone</w:t>
      </w:r>
      <w:r w:rsidRPr="001D547B">
        <w:t>.</w:t>
      </w:r>
      <w:r w:rsidRPr="006E2427">
        <w:t xml:space="preserve"> </w:t>
      </w:r>
      <w:r>
        <w:t>We looked at existing studies, data from GP practices, an online survey, and brought everything together in an economic (cost) analysis.</w:t>
      </w:r>
    </w:p>
    <w:p w14:paraId="3A22D3D3" w14:textId="77777777" w:rsidR="00913500" w:rsidRDefault="00913500" w:rsidP="00913500">
      <w:pPr>
        <w:pStyle w:val="Heading2"/>
      </w:pPr>
      <w:bookmarkStart w:id="43" w:name="_Toc99539792"/>
      <w:r>
        <w:t>What did we find?</w:t>
      </w:r>
      <w:bookmarkEnd w:id="43"/>
    </w:p>
    <w:p w14:paraId="65252017" w14:textId="561378EF" w:rsidR="00913500" w:rsidDel="008B72FC" w:rsidRDefault="00D73954" w:rsidP="00913500">
      <w:pPr>
        <w:spacing w:after="0" w:line="240" w:lineRule="auto"/>
      </w:pPr>
      <w:r>
        <w:t>Using i</w:t>
      </w:r>
      <w:r w:rsidR="00913500" w:rsidDel="008B72FC">
        <w:t xml:space="preserve">ndividual symptoms </w:t>
      </w:r>
      <w:r>
        <w:t>isn’t</w:t>
      </w:r>
      <w:r w:rsidR="00913500" w:rsidDel="008B72FC">
        <w:t xml:space="preserve"> helpful to identify people who may have CD</w:t>
      </w:r>
      <w:r w:rsidR="00913500">
        <w:t>. People with CD are more likely to have a combination of symptoms</w:t>
      </w:r>
      <w:r w:rsidR="00913500" w:rsidDel="008B72FC">
        <w:t>. P</w:t>
      </w:r>
      <w:r w:rsidR="00913500" w:rsidRPr="00734942" w:rsidDel="008B72FC">
        <w:t xml:space="preserve">eople with anaemia, </w:t>
      </w:r>
      <w:r w:rsidR="00913500">
        <w:t xml:space="preserve">type 1 diabetes, </w:t>
      </w:r>
      <w:r w:rsidR="00913500" w:rsidRPr="00734942" w:rsidDel="008B72FC">
        <w:t>osteoporosis</w:t>
      </w:r>
      <w:r w:rsidR="00913500" w:rsidDel="008B72FC">
        <w:t xml:space="preserve">, thyroid disorders, IgA deficiency, Down </w:t>
      </w:r>
      <w:r w:rsidR="00913500">
        <w:t xml:space="preserve">and Turner </w:t>
      </w:r>
      <w:r w:rsidR="00913500" w:rsidDel="008B72FC">
        <w:t>syndrome</w:t>
      </w:r>
      <w:r w:rsidR="00913500">
        <w:t>s</w:t>
      </w:r>
      <w:r w:rsidR="00B11148">
        <w:t>, or</w:t>
      </w:r>
      <w:r w:rsidR="00913500" w:rsidDel="008B72FC">
        <w:t xml:space="preserve"> </w:t>
      </w:r>
      <w:r w:rsidR="00B11148" w:rsidDel="008B72FC">
        <w:t xml:space="preserve">a </w:t>
      </w:r>
      <w:r w:rsidR="00B11148" w:rsidRPr="00734942" w:rsidDel="008B72FC">
        <w:t>family history of CD</w:t>
      </w:r>
      <w:r w:rsidR="00913500" w:rsidDel="008B72FC">
        <w:t xml:space="preserve"> </w:t>
      </w:r>
      <w:r w:rsidR="00913500">
        <w:t>are more likely to have</w:t>
      </w:r>
      <w:r w:rsidR="00913500" w:rsidRPr="00734942" w:rsidDel="008B72FC">
        <w:t xml:space="preserve"> CD</w:t>
      </w:r>
      <w:r w:rsidR="00913500">
        <w:t xml:space="preserve"> and </w:t>
      </w:r>
      <w:r w:rsidR="00913500" w:rsidDel="008B72FC">
        <w:t>should be offered tests.</w:t>
      </w:r>
    </w:p>
    <w:p w14:paraId="5C4CF569" w14:textId="77777777" w:rsidR="00913500" w:rsidRDefault="00913500" w:rsidP="00913500">
      <w:pPr>
        <w:spacing w:after="0" w:line="240" w:lineRule="auto"/>
      </w:pPr>
    </w:p>
    <w:p w14:paraId="39341790" w14:textId="70FD14F0" w:rsidR="0016076A" w:rsidRDefault="00913500" w:rsidP="005F3AB4">
      <w:pPr>
        <w:spacing w:after="0" w:line="240" w:lineRule="auto"/>
      </w:pPr>
      <w:r>
        <w:t>C</w:t>
      </w:r>
      <w:r w:rsidRPr="00734942">
        <w:t xml:space="preserve">ommon </w:t>
      </w:r>
      <w:r>
        <w:t xml:space="preserve">blood </w:t>
      </w:r>
      <w:r w:rsidRPr="00734942">
        <w:t>tests for CD are very accurate</w:t>
      </w:r>
      <w:r>
        <w:t>, particularly</w:t>
      </w:r>
      <w:r w:rsidRPr="00734942">
        <w:t xml:space="preserve"> when used in combination </w:t>
      </w:r>
      <w:r>
        <w:t>with</w:t>
      </w:r>
      <w:r w:rsidRPr="00734942">
        <w:t xml:space="preserve"> genetic test</w:t>
      </w:r>
      <w:r>
        <w:t>ing</w:t>
      </w:r>
      <w:r w:rsidRPr="00734942">
        <w:t xml:space="preserve">. </w:t>
      </w:r>
      <w:r>
        <w:t xml:space="preserve">Blood tests alone can be used </w:t>
      </w:r>
      <w:r w:rsidR="00E10BE9">
        <w:t>for diagnosis</w:t>
      </w:r>
      <w:r>
        <w:t xml:space="preserve"> in some people. Others will need </w:t>
      </w:r>
      <w:r w:rsidR="00523E70">
        <w:t xml:space="preserve">a biopsy </w:t>
      </w:r>
      <w:r>
        <w:t>to confirm the diagnosis. Whether this is needed depends on their risk of CD - whether they have symptoms and whether they have a condition that puts them at higher risk. S</w:t>
      </w:r>
      <w:r w:rsidRPr="00734942">
        <w:t xml:space="preserve">hared decision making </w:t>
      </w:r>
      <w:r>
        <w:t>is important for individuals considering an invasive test, depending on how certain they want to be about their diagnosis before starting a gluten free diet.</w:t>
      </w:r>
    </w:p>
    <w:p w14:paraId="776168B9" w14:textId="43A20203" w:rsidR="00796272" w:rsidRPr="00734942" w:rsidRDefault="00796272" w:rsidP="005F3AB4">
      <w:pPr>
        <w:spacing w:after="0" w:line="240" w:lineRule="auto"/>
        <w:rPr>
          <w:rFonts w:asciiTheme="majorHAnsi" w:eastAsiaTheme="majorEastAsia" w:hAnsiTheme="majorHAnsi" w:cstheme="majorBidi"/>
          <w:color w:val="2F5496" w:themeColor="accent1" w:themeShade="BF"/>
          <w:sz w:val="32"/>
          <w:szCs w:val="32"/>
        </w:rPr>
      </w:pPr>
      <w:r w:rsidRPr="00734942">
        <w:br w:type="page"/>
      </w:r>
    </w:p>
    <w:p w14:paraId="0098BE8C" w14:textId="6D3A79D9" w:rsidR="002B3A40" w:rsidRPr="00734942" w:rsidRDefault="002B3A40" w:rsidP="002C56DC">
      <w:pPr>
        <w:pStyle w:val="Heading1"/>
      </w:pPr>
      <w:bookmarkStart w:id="44" w:name="_Toc99539793"/>
      <w:r w:rsidRPr="00734942">
        <w:lastRenderedPageBreak/>
        <w:t>Scientific Summary</w:t>
      </w:r>
      <w:bookmarkEnd w:id="44"/>
    </w:p>
    <w:p w14:paraId="1DA6461A" w14:textId="04F563E2" w:rsidR="00796011" w:rsidRPr="00734942" w:rsidRDefault="00796011" w:rsidP="00796011">
      <w:pPr>
        <w:pStyle w:val="Heading2"/>
      </w:pPr>
      <w:bookmarkStart w:id="45" w:name="_Toc87550926"/>
      <w:bookmarkStart w:id="46" w:name="_Toc99539794"/>
      <w:r w:rsidRPr="00734942">
        <w:t>Background</w:t>
      </w:r>
      <w:bookmarkEnd w:id="45"/>
      <w:bookmarkEnd w:id="46"/>
    </w:p>
    <w:p w14:paraId="6F46C247" w14:textId="37EEE0C5" w:rsidR="00796011" w:rsidRPr="00734942" w:rsidRDefault="00796011" w:rsidP="00796011">
      <w:r>
        <w:t>Coeliac disease (</w:t>
      </w:r>
      <w:r w:rsidRPr="00734942">
        <w:t>CD</w:t>
      </w:r>
      <w:r>
        <w:t>)</w:t>
      </w:r>
      <w:r w:rsidRPr="00734942">
        <w:t xml:space="preserve"> is an autoimmune disorder, triggered by the protein gluten, and affects an estimated 1% of the UK population. Some patients with CD may </w:t>
      </w:r>
      <w:r w:rsidR="00CE584D">
        <w:t>have minimal symptoms</w:t>
      </w:r>
      <w:r w:rsidRPr="00734942">
        <w:t xml:space="preserve">, others present with non-specific symptoms, making diagnosis difficult; only 1 in 3 are thought to be diagnosed. Treatment for CD is lifetime adherence to a </w:t>
      </w:r>
      <w:r>
        <w:t>gluten-free diet</w:t>
      </w:r>
      <w:r w:rsidRPr="00734942">
        <w:t xml:space="preserve">. Untreated CD may lead to </w:t>
      </w:r>
      <w:r w:rsidR="00E80F11">
        <w:t>persistent symptoms</w:t>
      </w:r>
      <w:r w:rsidRPr="00734942">
        <w:t>, anaemia, osteoporosis, and</w:t>
      </w:r>
      <w:r w:rsidR="00810A64">
        <w:t xml:space="preserve"> occasionally</w:t>
      </w:r>
      <w:r w:rsidRPr="00734942">
        <w:t xml:space="preserve"> lymphoma. Guidelines recommend that adults and children “at high risk” of CD should be offered testing. However, it is not clear which groups are at sufficiently high risk to justify testing, which symptoms should prompt testing, which tests should be offered, and whether confirmatory biopsy is necessary.</w:t>
      </w:r>
    </w:p>
    <w:p w14:paraId="08981EC0" w14:textId="77777777" w:rsidR="00796011" w:rsidRPr="00734942" w:rsidRDefault="00796011" w:rsidP="00796011">
      <w:pPr>
        <w:pStyle w:val="Heading2"/>
      </w:pPr>
      <w:bookmarkStart w:id="47" w:name="_Toc87550927"/>
      <w:bookmarkStart w:id="48" w:name="_Toc99539795"/>
      <w:r w:rsidRPr="00734942">
        <w:t>Objectives</w:t>
      </w:r>
      <w:bookmarkEnd w:id="47"/>
      <w:bookmarkEnd w:id="48"/>
    </w:p>
    <w:p w14:paraId="3B29DFEA" w14:textId="369D11DE" w:rsidR="00177B3D" w:rsidRDefault="00796011" w:rsidP="00177B3D">
      <w:bookmarkStart w:id="49" w:name="_Toc87550928"/>
      <w:r w:rsidRPr="00734942">
        <w:t xml:space="preserve">The overall aim of this project is </w:t>
      </w:r>
      <w:r w:rsidR="00177B3D">
        <w:t>t</w:t>
      </w:r>
      <w:r w:rsidR="00177B3D" w:rsidRPr="00697507">
        <w:t xml:space="preserve">o </w:t>
      </w:r>
      <w:r w:rsidR="00177B3D">
        <w:t xml:space="preserve">define </w:t>
      </w:r>
      <w:r w:rsidR="00177B3D" w:rsidRPr="00697507">
        <w:t>at risk groups</w:t>
      </w:r>
      <w:r w:rsidR="00177B3D">
        <w:t xml:space="preserve"> and </w:t>
      </w:r>
      <w:r w:rsidR="00177B3D" w:rsidRPr="00697507">
        <w:t>determine the cost-effectiveness</w:t>
      </w:r>
      <w:r w:rsidR="00177B3D">
        <w:t xml:space="preserve"> of </w:t>
      </w:r>
      <w:r w:rsidR="00177B3D" w:rsidRPr="00697507">
        <w:t>active case finding in primary care</w:t>
      </w:r>
      <w:r w:rsidR="00177B3D">
        <w:t>.</w:t>
      </w:r>
      <w:r w:rsidR="00177B3D" w:rsidRPr="00734942">
        <w:t xml:space="preserve"> </w:t>
      </w:r>
    </w:p>
    <w:p w14:paraId="0E6D5FDF" w14:textId="77777777" w:rsidR="00796011" w:rsidRPr="00734942" w:rsidRDefault="00796011" w:rsidP="00796011">
      <w:r w:rsidRPr="00734942">
        <w:t>We defined the following objectives to address this overall aim:</w:t>
      </w:r>
    </w:p>
    <w:p w14:paraId="15039580" w14:textId="77777777" w:rsidR="00796011" w:rsidRDefault="00796011" w:rsidP="00796011">
      <w:pPr>
        <w:pStyle w:val="ListParagraph"/>
        <w:numPr>
          <w:ilvl w:val="0"/>
          <w:numId w:val="50"/>
        </w:numPr>
      </w:pPr>
      <w:r>
        <w:t>Objective 1: Systematic review of the accuracy of potential diagnostic indicators for coeliac disease (Chapter 3)</w:t>
      </w:r>
    </w:p>
    <w:p w14:paraId="458B1EC6" w14:textId="77777777" w:rsidR="00796011" w:rsidRPr="00D56D10" w:rsidRDefault="00796011" w:rsidP="00796011">
      <w:pPr>
        <w:pStyle w:val="ListParagraph"/>
        <w:numPr>
          <w:ilvl w:val="0"/>
          <w:numId w:val="50"/>
        </w:numPr>
      </w:pPr>
      <w:r>
        <w:t xml:space="preserve">Objective 2: </w:t>
      </w:r>
      <w:r w:rsidRPr="00D56D10">
        <w:t xml:space="preserve">Routine data analysis to develop a prediction model </w:t>
      </w:r>
      <w:r>
        <w:t>for identification of people who should be tested for coeliac disease (Chapter 4)</w:t>
      </w:r>
    </w:p>
    <w:p w14:paraId="05287284" w14:textId="77777777" w:rsidR="00796011" w:rsidRDefault="00796011" w:rsidP="00796011">
      <w:pPr>
        <w:pStyle w:val="ListParagraph"/>
        <w:numPr>
          <w:ilvl w:val="0"/>
          <w:numId w:val="50"/>
        </w:numPr>
      </w:pPr>
      <w:r>
        <w:t>Objective 3: Systematic review of the accuracy of diagnostic tests for coeliac disease (Chapter 5)</w:t>
      </w:r>
    </w:p>
    <w:p w14:paraId="7BBDEA98" w14:textId="77777777" w:rsidR="00796011" w:rsidRDefault="00796011" w:rsidP="00796011">
      <w:pPr>
        <w:pStyle w:val="ListParagraph"/>
        <w:numPr>
          <w:ilvl w:val="0"/>
          <w:numId w:val="50"/>
        </w:numPr>
      </w:pPr>
      <w:r>
        <w:t>Objective 4: Systematic review of the accuracy of genetic tests for coeliac disease (Chapter 6)</w:t>
      </w:r>
    </w:p>
    <w:p w14:paraId="3FDDD5B6" w14:textId="3121D76F" w:rsidR="00796011" w:rsidRPr="00D56D10" w:rsidRDefault="00796011" w:rsidP="00796011">
      <w:pPr>
        <w:pStyle w:val="ListParagraph"/>
        <w:numPr>
          <w:ilvl w:val="0"/>
          <w:numId w:val="50"/>
        </w:numPr>
      </w:pPr>
      <w:r>
        <w:t xml:space="preserve">Objective 5: </w:t>
      </w:r>
      <w:r w:rsidR="00810A64">
        <w:t>O</w:t>
      </w:r>
      <w:r w:rsidRPr="00D56D10">
        <w:t xml:space="preserve">nline survey to identify diagnostic </w:t>
      </w:r>
      <w:r w:rsidR="00A44CC8">
        <w:t>thresholds</w:t>
      </w:r>
      <w:r w:rsidRPr="00D56D10">
        <w:t xml:space="preserve"> for testing, starting treatment and referral for biopsy</w:t>
      </w:r>
      <w:r>
        <w:t xml:space="preserve"> (Chapter 7)</w:t>
      </w:r>
    </w:p>
    <w:p w14:paraId="3C5C70C6" w14:textId="77777777" w:rsidR="00796011" w:rsidRPr="00D56D10" w:rsidRDefault="00796011" w:rsidP="00796011">
      <w:pPr>
        <w:pStyle w:val="ListParagraph"/>
        <w:numPr>
          <w:ilvl w:val="0"/>
          <w:numId w:val="50"/>
        </w:numPr>
      </w:pPr>
      <w:r>
        <w:t xml:space="preserve">Objective 6: </w:t>
      </w:r>
      <w:r w:rsidRPr="00D56D10">
        <w:t>Economic modelling to identify the cost-effectiveness of different active case finding strategies</w:t>
      </w:r>
      <w:r>
        <w:t>, informed by the findings of previous chapters</w:t>
      </w:r>
      <w:r w:rsidRPr="00D56D10">
        <w:t xml:space="preserve"> </w:t>
      </w:r>
      <w:r>
        <w:t>(Chapter 8)</w:t>
      </w:r>
    </w:p>
    <w:p w14:paraId="757C40F6" w14:textId="261A2355" w:rsidR="00796011" w:rsidRPr="00734942" w:rsidRDefault="00796011" w:rsidP="00796011">
      <w:pPr>
        <w:pStyle w:val="Heading2"/>
      </w:pPr>
      <w:bookmarkStart w:id="50" w:name="_Toc99539796"/>
      <w:r w:rsidRPr="00734942">
        <w:t>Methods</w:t>
      </w:r>
      <w:bookmarkEnd w:id="49"/>
      <w:bookmarkEnd w:id="50"/>
    </w:p>
    <w:p w14:paraId="7A0C55DA" w14:textId="77777777" w:rsidR="00796011" w:rsidRDefault="00796011" w:rsidP="00796011">
      <w:pPr>
        <w:pStyle w:val="Heading3"/>
      </w:pPr>
      <w:bookmarkStart w:id="51" w:name="_Toc99539797"/>
      <w:r>
        <w:t>Accuracy of diagnostic indicators</w:t>
      </w:r>
      <w:bookmarkEnd w:id="51"/>
    </w:p>
    <w:p w14:paraId="46467C96" w14:textId="703725B2" w:rsidR="00796011" w:rsidRPr="00734942" w:rsidRDefault="00796011" w:rsidP="00796011">
      <w:r w:rsidRPr="00734942">
        <w:t xml:space="preserve">For the </w:t>
      </w:r>
      <w:r>
        <w:t>first</w:t>
      </w:r>
      <w:r w:rsidRPr="00734942">
        <w:t xml:space="preserve"> review, six databases were searched from January 1990 to April 2021. Studies investigating diagnostic indicators, such as symptoms or risk conditions, in people with and without CD were eligible for inclusion. International guidance for systematic review methods were followed and the reviews were registered at PROSPERO</w:t>
      </w:r>
      <w:r>
        <w:t xml:space="preserve">. </w:t>
      </w:r>
      <w:r w:rsidRPr="00734942">
        <w:t>Risk of bias assessment was performed using QUADAS-2. Bivariate random effects meta-analyses were used to pool sensitivity and specificity across studies.</w:t>
      </w:r>
    </w:p>
    <w:p w14:paraId="19267204" w14:textId="77777777" w:rsidR="00796011" w:rsidRDefault="00796011" w:rsidP="00796011">
      <w:pPr>
        <w:pStyle w:val="Heading3"/>
      </w:pPr>
      <w:bookmarkStart w:id="52" w:name="_Toc99539798"/>
      <w:r>
        <w:t>Prediction model development</w:t>
      </w:r>
      <w:bookmarkEnd w:id="52"/>
    </w:p>
    <w:p w14:paraId="72F0D007" w14:textId="12854ECA" w:rsidR="00796011" w:rsidRDefault="00796011" w:rsidP="00796011">
      <w:r w:rsidRPr="00734942">
        <w:t xml:space="preserve">For the prediction models, we used three datasets: </w:t>
      </w:r>
      <w:r>
        <w:t xml:space="preserve">two </w:t>
      </w:r>
      <w:r w:rsidRPr="00734942">
        <w:t>primary care databases Clinical Practice Research Datalink</w:t>
      </w:r>
      <w:r w:rsidRPr="00734942" w:rsidDel="00EC2C15">
        <w:t xml:space="preserve"> </w:t>
      </w:r>
      <w:r w:rsidRPr="00734942">
        <w:t xml:space="preserve">(CPRD) Gold and Aurum containing routinely collected </w:t>
      </w:r>
      <w:r>
        <w:t xml:space="preserve">primary care </w:t>
      </w:r>
      <w:r w:rsidRPr="00734942">
        <w:t>data, and a sub cohort of the Avon Longitudinal Study of Parents and Children (ALSPAC). We fitted logistic regression models with CD as the outcome and multiple diagnostic indicators as predictors. From the results, we produced estimates of discrimination and calibration of the models, the accuracy of predictions at different thresholds, and the percentage of CD patients missed at these thresholds.</w:t>
      </w:r>
    </w:p>
    <w:p w14:paraId="1B698ED0" w14:textId="77777777" w:rsidR="00796011" w:rsidRDefault="00796011" w:rsidP="00796011">
      <w:pPr>
        <w:pStyle w:val="Heading3"/>
      </w:pPr>
      <w:bookmarkStart w:id="53" w:name="_Toc99539799"/>
      <w:r>
        <w:lastRenderedPageBreak/>
        <w:t>Accuracy of serological tests</w:t>
      </w:r>
      <w:bookmarkEnd w:id="53"/>
    </w:p>
    <w:p w14:paraId="3B987530" w14:textId="77777777" w:rsidR="00796011" w:rsidRDefault="00796011" w:rsidP="00796011">
      <w:r w:rsidRPr="00734942">
        <w:t xml:space="preserve">For the </w:t>
      </w:r>
      <w:r>
        <w:t>second</w:t>
      </w:r>
      <w:r w:rsidRPr="00734942">
        <w:t xml:space="preserve"> systematic review on the accuracy of tests for CD, seven electronic databases were searched from January 1990 to August 2020.</w:t>
      </w:r>
      <w:r>
        <w:t xml:space="preserve"> We included diagnostic cohort </w:t>
      </w:r>
      <w:r w:rsidRPr="00534AD1">
        <w:t>studies that evaluated</w:t>
      </w:r>
      <w:r>
        <w:t xml:space="preserve"> serological tests for CD (</w:t>
      </w:r>
      <w:r w:rsidRPr="00734942">
        <w:t xml:space="preserve">IgA tTG, IgG tTG, IgA EMA, IgG EMA, IgA DGP, IgG DGP and IgA </w:t>
      </w:r>
      <w:r>
        <w:t>AAA) in people presenting with symptoms suggestive of CD.</w:t>
      </w:r>
    </w:p>
    <w:p w14:paraId="62D4920B" w14:textId="77777777" w:rsidR="00796011" w:rsidRDefault="00796011" w:rsidP="00796011">
      <w:pPr>
        <w:pStyle w:val="Heading3"/>
      </w:pPr>
      <w:bookmarkStart w:id="54" w:name="_Toc99539800"/>
      <w:r>
        <w:t>Accuracy of genetic tests</w:t>
      </w:r>
      <w:bookmarkEnd w:id="54"/>
    </w:p>
    <w:p w14:paraId="0FF3A783" w14:textId="77777777" w:rsidR="00796011" w:rsidRPr="00734942" w:rsidRDefault="00796011" w:rsidP="00796011">
      <w:r>
        <w:t>The review on the accuracy of genetic tests for CD was based on the same search used for the first review of diagnostic indicators and included studies that provided accuracy on the combination of HLA DQ2/DQ8 testing. All reviews followed the same internationally recognised methods for systematic reviews.</w:t>
      </w:r>
    </w:p>
    <w:p w14:paraId="116DF534" w14:textId="5D81BE49" w:rsidR="00796011" w:rsidRDefault="00133E51" w:rsidP="00796011">
      <w:pPr>
        <w:pStyle w:val="Heading3"/>
      </w:pPr>
      <w:bookmarkStart w:id="55" w:name="_Toc99539801"/>
      <w:r>
        <w:t>O</w:t>
      </w:r>
      <w:r w:rsidR="00796011" w:rsidRPr="00734942">
        <w:t>nline survey</w:t>
      </w:r>
      <w:bookmarkEnd w:id="55"/>
    </w:p>
    <w:p w14:paraId="668548C2" w14:textId="48327092" w:rsidR="00796011" w:rsidRPr="00734942" w:rsidRDefault="00796011" w:rsidP="00796011">
      <w:r w:rsidRPr="00734942">
        <w:t xml:space="preserve">We developed an online survey in collaboration with patient representatives to identify how confident people want to be in their diagnosis before starting a </w:t>
      </w:r>
      <w:r>
        <w:t>gluten-free diet</w:t>
      </w:r>
      <w:r w:rsidRPr="00734942">
        <w:t xml:space="preserve"> or accepting a biopsy. The survey was open for two months in January to March 2021 and was disseminated using social media.</w:t>
      </w:r>
    </w:p>
    <w:p w14:paraId="270C2D14" w14:textId="77777777" w:rsidR="00796011" w:rsidRDefault="00796011" w:rsidP="00796011">
      <w:pPr>
        <w:pStyle w:val="Heading3"/>
      </w:pPr>
      <w:bookmarkStart w:id="56" w:name="_Toc99539802"/>
      <w:r>
        <w:t>Economic modelling</w:t>
      </w:r>
      <w:bookmarkEnd w:id="56"/>
    </w:p>
    <w:p w14:paraId="192A1689" w14:textId="77777777" w:rsidR="00796011" w:rsidRDefault="00796011" w:rsidP="00796011">
      <w:r w:rsidRPr="00D22E3B">
        <w:t xml:space="preserve">The cost-effectiveness of CD testing of patients with pre-test probabilities of CD above certain thresholds was evaluated with long-term economic models. </w:t>
      </w:r>
      <w:r w:rsidRPr="003A3918">
        <w:rPr>
          <w:rFonts w:cstheme="minorHAnsi"/>
        </w:rPr>
        <w:t xml:space="preserve">We used a decision tree and discrete-time cohort Markov model to compare the cost-effectiveness of case finding strategies </w:t>
      </w:r>
      <w:r>
        <w:rPr>
          <w:rFonts w:cstheme="minorHAnsi"/>
        </w:rPr>
        <w:t>at different levels of pre-test probability separately for men, women and children.</w:t>
      </w:r>
    </w:p>
    <w:p w14:paraId="7EAF3712" w14:textId="77777777" w:rsidR="00796011" w:rsidRPr="00734942" w:rsidRDefault="00796011" w:rsidP="00796011">
      <w:pPr>
        <w:pStyle w:val="Heading2"/>
      </w:pPr>
      <w:bookmarkStart w:id="57" w:name="_Toc87550929"/>
      <w:bookmarkStart w:id="58" w:name="_Toc99539803"/>
      <w:r w:rsidRPr="00734942">
        <w:t>Results</w:t>
      </w:r>
      <w:bookmarkEnd w:id="57"/>
      <w:bookmarkEnd w:id="58"/>
    </w:p>
    <w:p w14:paraId="22E09B50" w14:textId="1C270CCD" w:rsidR="00796011" w:rsidRDefault="00796011" w:rsidP="00796011">
      <w:pPr>
        <w:pStyle w:val="Heading3"/>
      </w:pPr>
      <w:bookmarkStart w:id="59" w:name="_Toc99539804"/>
      <w:r>
        <w:t>Accuracy of diagnostic indicators</w:t>
      </w:r>
      <w:bookmarkEnd w:id="59"/>
    </w:p>
    <w:p w14:paraId="1DB30396" w14:textId="77777777" w:rsidR="00796011" w:rsidRDefault="00796011" w:rsidP="00796011">
      <w:r w:rsidRPr="00734942">
        <w:t xml:space="preserve">The review of diagnostic indicators included </w:t>
      </w:r>
      <w:r>
        <w:t>183</w:t>
      </w:r>
      <w:r w:rsidRPr="00734942">
        <w:t xml:space="preserve"> studies reporting on </w:t>
      </w:r>
      <w:r>
        <w:t>25</w:t>
      </w:r>
      <w:r w:rsidRPr="00734942">
        <w:t xml:space="preserve"> indicators</w:t>
      </w:r>
      <w:r>
        <w:t xml:space="preserve"> – these included </w:t>
      </w:r>
      <w:r w:rsidRPr="00734942">
        <w:t xml:space="preserve">7 symptoms, 17 risk conditions, and </w:t>
      </w:r>
      <w:r>
        <w:t>family history.</w:t>
      </w:r>
      <w:r w:rsidRPr="00734942">
        <w:t xml:space="preserve"> </w:t>
      </w:r>
      <w:r w:rsidRPr="00734942">
        <w:rPr>
          <w:lang w:eastAsia="en-GB"/>
        </w:rPr>
        <w:t xml:space="preserve">There was large variation in diagnostic accuracy estimates between studies and most studies were at high risk of bias. </w:t>
      </w:r>
      <w:r w:rsidRPr="00734942">
        <w:t xml:space="preserve">None of the identified diagnostic indicators </w:t>
      </w:r>
      <w:r>
        <w:t>alone had good sensitivity for detecting CD</w:t>
      </w:r>
      <w:r w:rsidRPr="00734942">
        <w:t>; however, some showed promise in helping to identify patients who should be offered serological testing. The estimated PPVs for migraine, family history of CD, anaemia, type 1 diabetes, osteoporosis, and chronic liver disease were all above 2%, with 95% CIs lying entirely above the population prevalence of 1%.</w:t>
      </w:r>
      <w:r w:rsidRPr="00C219B0">
        <w:t xml:space="preserve"> </w:t>
      </w:r>
      <w:r>
        <w:t>Individual g</w:t>
      </w:r>
      <w:r w:rsidRPr="00734942">
        <w:t>astrointestinal symptoms showed poor diagnostic ability</w:t>
      </w:r>
      <w:r>
        <w:t xml:space="preserve">. People </w:t>
      </w:r>
      <w:r w:rsidRPr="00734942">
        <w:t>with a first-degree relative with CD had a three times higher risk of CD than the general population.</w:t>
      </w:r>
    </w:p>
    <w:p w14:paraId="779D5BD1" w14:textId="77777777" w:rsidR="00796011" w:rsidRDefault="00796011" w:rsidP="00796011">
      <w:pPr>
        <w:pStyle w:val="Heading3"/>
      </w:pPr>
      <w:bookmarkStart w:id="60" w:name="_Toc99539805"/>
      <w:r>
        <w:t>Prediction model development</w:t>
      </w:r>
      <w:bookmarkEnd w:id="60"/>
    </w:p>
    <w:p w14:paraId="6AD86852" w14:textId="77777777" w:rsidR="00796011" w:rsidRPr="00734942" w:rsidRDefault="00796011" w:rsidP="00796011">
      <w:r w:rsidRPr="00734942">
        <w:t xml:space="preserve">We developed prediction models for children, women, and men including 24, 24, and 21 predictors, respectively. For children, having type 1 diabetes, Turner syndrome, IgA deficiency, or a first-degree </w:t>
      </w:r>
      <w:r w:rsidRPr="00734942" w:rsidDel="000A7B03">
        <w:t>relative</w:t>
      </w:r>
      <w:r w:rsidRPr="00734942" w:rsidDel="00D04057">
        <w:t xml:space="preserve"> </w:t>
      </w:r>
      <w:r w:rsidRPr="00734942">
        <w:t>with CD were estimated</w:t>
      </w:r>
      <w:r w:rsidRPr="00734942" w:rsidDel="00B77DA9">
        <w:t xml:space="preserve"> to </w:t>
      </w:r>
      <w:r w:rsidRPr="00734942">
        <w:t xml:space="preserve">be </w:t>
      </w:r>
      <w:r w:rsidRPr="00734942" w:rsidDel="00B77DA9">
        <w:t xml:space="preserve">the </w:t>
      </w:r>
      <w:r w:rsidRPr="00734942">
        <w:t>strongest predictors (</w:t>
      </w:r>
      <w:r>
        <w:t xml:space="preserve">i.e. had the </w:t>
      </w:r>
      <w:r w:rsidRPr="00734942">
        <w:t xml:space="preserve">highest </w:t>
      </w:r>
      <w:r>
        <w:t xml:space="preserve">estimated </w:t>
      </w:r>
      <w:r w:rsidRPr="00734942">
        <w:t xml:space="preserve">coefficients). For women and </w:t>
      </w:r>
      <w:r w:rsidRPr="00734942" w:rsidDel="001B57C7">
        <w:t>men</w:t>
      </w:r>
      <w:r w:rsidRPr="00734942">
        <w:t xml:space="preserve">, </w:t>
      </w:r>
      <w:r>
        <w:t>the strongest predictors</w:t>
      </w:r>
      <w:r w:rsidRPr="00734942">
        <w:t xml:space="preserve"> were having a first-degree relative with CD or anaemia. In the development dataset, the model showed good discrimination between patients with and without CD, as demonstrated by a high </w:t>
      </w:r>
      <w:r w:rsidRPr="00FB1D5E">
        <w:t>c</w:t>
      </w:r>
      <w:r w:rsidRPr="00734942">
        <w:t xml:space="preserve"> statistic of 0.84 (95% CI: 0.83, 0.84) in children, 0.77 (0.77, 0.78) in women, and 0.81 (0.81, 0.82) in men. The model discriminated less well between patients with and without CD in the external validation dataset, where the </w:t>
      </w:r>
      <w:r w:rsidRPr="00FB1D5E">
        <w:t>c</w:t>
      </w:r>
      <w:r w:rsidRPr="00734942">
        <w:t xml:space="preserve"> statistics reduced to 0.60 in children, 0.55 in women, and 0.62 in men. However, the predictor first-degree relative was not recorded in the validation dataset, which was one of the most important predictors</w:t>
      </w:r>
      <w:r w:rsidRPr="00B33D3A">
        <w:t xml:space="preserve"> </w:t>
      </w:r>
      <w:r w:rsidRPr="00734942">
        <w:t xml:space="preserve">leading to an underestimation of model performance in this dataset. The models were poorly calibrated and tended to overestimate the risk of having CD in all three groups in the development </w:t>
      </w:r>
      <w:r w:rsidRPr="00734942">
        <w:lastRenderedPageBreak/>
        <w:t>dataset and validation dataset.</w:t>
      </w:r>
      <w:r>
        <w:t xml:space="preserve"> The models suggest that individuals with any of the selected predictors have an increased risk of CD of more than 50% and thus warrant testing for CD.</w:t>
      </w:r>
    </w:p>
    <w:p w14:paraId="0B26F453" w14:textId="77777777" w:rsidR="00796011" w:rsidRDefault="00796011" w:rsidP="00796011">
      <w:pPr>
        <w:pStyle w:val="Heading3"/>
      </w:pPr>
      <w:bookmarkStart w:id="61" w:name="_Toc99539806"/>
      <w:r>
        <w:t>Accuracy of serological tests</w:t>
      </w:r>
      <w:bookmarkEnd w:id="61"/>
    </w:p>
    <w:p w14:paraId="7077C23B" w14:textId="018719DD" w:rsidR="00796011" w:rsidRPr="004D15C5" w:rsidRDefault="00796011" w:rsidP="00796011">
      <w:r w:rsidRPr="00734942">
        <w:t xml:space="preserve">The review of test accuracy included 113 studies (n=28,338), all in secondary care populations. A subset of studies was included in meta-analyses due to variations in diagnostic thresholds. The majority of included studies were at high risk of bias. Summary sensitivity and specificity of </w:t>
      </w:r>
      <w:r>
        <w:t>IgA tTG</w:t>
      </w:r>
      <w:r w:rsidRPr="00734942">
        <w:t xml:space="preserve"> were 91% (95% confidence interval: 87%, 93%) and 87% (84%, 90%) in adults (5 studies) and 98% (91%, 99%) and 70% (39%, 90%) in children (6 studies); and of immunoglobulin A endomysial antibodies were 88% (75%, 95%) and 99.6% (92%, 100%) in adults (5 studies) and 95% (89%, 97%) and 94% (85%, 98%) in children (5 studies). </w:t>
      </w:r>
      <w:r>
        <w:t>To select estimates to inform the economic model we restricted to studies that had evaluated the two main serological tests of interest – IgA tTG and IgA EMA, alone and in combination – at the same threshold. This was to ensure that estimates used in the economic model were directly comparable. N</w:t>
      </w:r>
      <w:r w:rsidRPr="00734942">
        <w:t>one of the</w:t>
      </w:r>
      <w:r>
        <w:t xml:space="preserve"> studies that evaluated both tests alone and in combination </w:t>
      </w:r>
      <w:r w:rsidRPr="00734942">
        <w:t>reported accuracy estimates for the same thresholds. We therefore selected the studies that were judged at lowest risk of bias and that had the largest sample sizes. In both adults and children</w:t>
      </w:r>
      <w:r>
        <w:t>, IgA</w:t>
      </w:r>
      <w:r w:rsidRPr="00734942">
        <w:t xml:space="preserve"> tTG had the highest sensitivity, although estimates in children were very similar, and EMA had the highest specificity. There was little improvement in either sensitivity or specificity when the tests were used in combination.</w:t>
      </w:r>
    </w:p>
    <w:p w14:paraId="3D634679" w14:textId="77777777" w:rsidR="00796011" w:rsidRDefault="00796011" w:rsidP="00796011">
      <w:pPr>
        <w:pStyle w:val="Heading3"/>
      </w:pPr>
      <w:bookmarkStart w:id="62" w:name="_Toc99539807"/>
      <w:r>
        <w:t>Accuracy of genetic tests</w:t>
      </w:r>
      <w:bookmarkEnd w:id="62"/>
    </w:p>
    <w:p w14:paraId="24935F4F" w14:textId="36F7D4EE" w:rsidR="00796011" w:rsidRDefault="00796011" w:rsidP="00796011">
      <w:r>
        <w:t xml:space="preserve">Four studies (n=12 087) evaluated </w:t>
      </w:r>
      <w:r w:rsidRPr="00734942">
        <w:t>the accuracy of HLA-DQ2 and/or DQ8</w:t>
      </w:r>
      <w:r>
        <w:t xml:space="preserve"> for diagnosing CD. Three studies were at low risk of bias, one was at high risk of bias as serology alone was used to confirm CD status. Summary</w:t>
      </w:r>
      <w:r w:rsidRPr="00734942">
        <w:t xml:space="preserve"> sensitivity </w:t>
      </w:r>
      <w:r>
        <w:t>was</w:t>
      </w:r>
      <w:r w:rsidRPr="00734942">
        <w:t xml:space="preserve"> </w:t>
      </w:r>
      <w:r>
        <w:t>99</w:t>
      </w:r>
      <w:r w:rsidRPr="00734942">
        <w:t>% (</w:t>
      </w:r>
      <w:r>
        <w:t>83</w:t>
      </w:r>
      <w:r w:rsidRPr="00734942">
        <w:t xml:space="preserve">%, </w:t>
      </w:r>
      <w:r>
        <w:t>100</w:t>
      </w:r>
      <w:r w:rsidRPr="00734942">
        <w:t xml:space="preserve">%) and specificity </w:t>
      </w:r>
      <w:r>
        <w:t>56</w:t>
      </w:r>
      <w:r w:rsidRPr="00734942">
        <w:t>% (</w:t>
      </w:r>
      <w:r>
        <w:t>50</w:t>
      </w:r>
      <w:r w:rsidRPr="00734942">
        <w:t xml:space="preserve">%, </w:t>
      </w:r>
      <w:r>
        <w:t>61</w:t>
      </w:r>
      <w:r w:rsidRPr="00734942">
        <w:t>%), suggesting it would be a useful test to rule out CD.</w:t>
      </w:r>
    </w:p>
    <w:p w14:paraId="44BC1AE3" w14:textId="3034238B" w:rsidR="00796011" w:rsidRDefault="000B2436" w:rsidP="00796011">
      <w:pPr>
        <w:pStyle w:val="Heading3"/>
      </w:pPr>
      <w:bookmarkStart w:id="63" w:name="_Toc99539808"/>
      <w:r>
        <w:t>O</w:t>
      </w:r>
      <w:r w:rsidR="00796011" w:rsidRPr="00734942">
        <w:t>nline survey</w:t>
      </w:r>
      <w:bookmarkEnd w:id="63"/>
    </w:p>
    <w:p w14:paraId="7F605159" w14:textId="77777777" w:rsidR="00796011" w:rsidRPr="00734942" w:rsidRDefault="00796011" w:rsidP="00796011">
      <w:r w:rsidRPr="00734942">
        <w:t xml:space="preserve">The survey was completed by 472 people. 244 (52%) respondents had CD, with the disease confirmed by a blood test and/or biopsy. Among those who completed the demographic questions, the vast majority were white (n=264, 95%) and female (n=239, 86%), most respondents went to university or college (n=159, 58%) and lived in the Southwest of England (n=98, 36%). Survey respondents wanted to be 66% (median, IQR 33 to 90%) certain of the diagnosis before starting a </w:t>
      </w:r>
      <w:r>
        <w:t>gluten-free diet</w:t>
      </w:r>
      <w:r w:rsidRPr="00734942">
        <w:t xml:space="preserve"> if they were asked to imagine that they had CD symptoms. Without symptoms, respondents</w:t>
      </w:r>
      <w:r w:rsidRPr="00734942" w:rsidDel="006847B6">
        <w:t xml:space="preserve"> </w:t>
      </w:r>
      <w:r w:rsidRPr="00734942">
        <w:t xml:space="preserve">wanted to be more certain, </w:t>
      </w:r>
      <w:r>
        <w:t>around</w:t>
      </w:r>
      <w:r w:rsidRPr="00734942">
        <w:t xml:space="preserve"> 90% (median, IQR 66 to 99%) before committing to a </w:t>
      </w:r>
      <w:r>
        <w:t>gluten-free diet</w:t>
      </w:r>
      <w:r w:rsidRPr="00734942">
        <w:t>.</w:t>
      </w:r>
      <w:r>
        <w:t xml:space="preserve"> However, a higher proportion of respondents opted to wait for a confirmation biopsy if given the option instead of starting a gluten-free diet immediately, even if a hypothetical blood test gave 75-90% certainty.</w:t>
      </w:r>
    </w:p>
    <w:p w14:paraId="2D1DD033" w14:textId="2122D729" w:rsidR="00796011" w:rsidRDefault="00796011" w:rsidP="00796011">
      <w:pPr>
        <w:pStyle w:val="Heading3"/>
      </w:pPr>
      <w:bookmarkStart w:id="64" w:name="_Toc99539809"/>
      <w:bookmarkStart w:id="65" w:name="_Toc87550930"/>
      <w:r>
        <w:t>Economic modelling</w:t>
      </w:r>
      <w:bookmarkEnd w:id="64"/>
    </w:p>
    <w:p w14:paraId="6040362E" w14:textId="12CC53A5" w:rsidR="00585CE9" w:rsidRPr="00195718" w:rsidRDefault="00585CE9" w:rsidP="00585CE9">
      <w:pPr>
        <w:rPr>
          <w:rFonts w:cstheme="minorHAnsi"/>
        </w:rPr>
      </w:pPr>
      <w:r>
        <w:rPr>
          <w:rFonts w:cstheme="minorHAnsi"/>
        </w:rPr>
        <w:t>The cost-effectiveness analysis found that, i</w:t>
      </w:r>
      <w:r w:rsidRPr="003A3918">
        <w:rPr>
          <w:rFonts w:cstheme="minorHAnsi"/>
        </w:rPr>
        <w:t xml:space="preserve">n adult men and women, </w:t>
      </w:r>
      <w:r>
        <w:rPr>
          <w:rFonts w:cstheme="minorHAnsi"/>
        </w:rPr>
        <w:t xml:space="preserve">with serological testing alone </w:t>
      </w:r>
      <w:r w:rsidRPr="003A3918">
        <w:rPr>
          <w:rFonts w:cstheme="minorHAnsi"/>
        </w:rPr>
        <w:t>a 1% pre-test probability</w:t>
      </w:r>
      <w:r>
        <w:rPr>
          <w:rFonts w:cstheme="minorHAnsi"/>
        </w:rPr>
        <w:t xml:space="preserve"> (</w:t>
      </w:r>
      <w:r w:rsidR="005D0A9E">
        <w:rPr>
          <w:rFonts w:cstheme="minorHAnsi"/>
        </w:rPr>
        <w:t xml:space="preserve">i.e. testing all adults with a 1% pre-test probability of CD, which is </w:t>
      </w:r>
      <w:r>
        <w:rPr>
          <w:rFonts w:cstheme="minorHAnsi"/>
        </w:rPr>
        <w:t>equivalent to population screening)</w:t>
      </w:r>
      <w:r w:rsidRPr="003A3918">
        <w:rPr>
          <w:rFonts w:cstheme="minorHAnsi"/>
        </w:rPr>
        <w:t xml:space="preserve"> ha</w:t>
      </w:r>
      <w:r>
        <w:rPr>
          <w:rFonts w:cstheme="minorHAnsi"/>
        </w:rPr>
        <w:t>d</w:t>
      </w:r>
      <w:r w:rsidRPr="003A3918">
        <w:rPr>
          <w:rFonts w:cstheme="minorHAnsi"/>
        </w:rPr>
        <w:t xml:space="preserve"> highest net benefit at £20,000/QALY</w:t>
      </w:r>
      <w:r>
        <w:rPr>
          <w:rFonts w:cstheme="minorHAnsi"/>
        </w:rPr>
        <w:t>. This had incremental net benefit relative to no screening of £</w:t>
      </w:r>
      <w:r w:rsidRPr="0013321B">
        <w:rPr>
          <w:rFonts w:cstheme="minorHAnsi"/>
        </w:rPr>
        <w:t>24</w:t>
      </w:r>
      <w:r>
        <w:rPr>
          <w:rFonts w:cstheme="minorHAnsi"/>
        </w:rPr>
        <w:t>,</w:t>
      </w:r>
      <w:r w:rsidRPr="0013321B">
        <w:rPr>
          <w:rFonts w:cstheme="minorHAnsi"/>
        </w:rPr>
        <w:t>331 (</w:t>
      </w:r>
      <w:r>
        <w:rPr>
          <w:rFonts w:cstheme="minorHAnsi"/>
        </w:rPr>
        <w:t xml:space="preserve">95% </w:t>
      </w:r>
      <w:r w:rsidR="00E4015C">
        <w:rPr>
          <w:rFonts w:cstheme="minorHAnsi"/>
        </w:rPr>
        <w:t>credible intervals</w:t>
      </w:r>
      <w:r>
        <w:rPr>
          <w:rFonts w:cstheme="minorHAnsi"/>
        </w:rPr>
        <w:t xml:space="preserve">: </w:t>
      </w:r>
      <w:r w:rsidRPr="0013321B">
        <w:rPr>
          <w:rFonts w:cstheme="minorHAnsi"/>
        </w:rPr>
        <w:t>5080</w:t>
      </w:r>
      <w:r>
        <w:rPr>
          <w:rFonts w:cstheme="minorHAnsi"/>
        </w:rPr>
        <w:t xml:space="preserve">, </w:t>
      </w:r>
      <w:r w:rsidRPr="0013321B">
        <w:rPr>
          <w:rFonts w:cstheme="minorHAnsi"/>
        </w:rPr>
        <w:t>56493)</w:t>
      </w:r>
      <w:r>
        <w:rPr>
          <w:rFonts w:cstheme="minorHAnsi"/>
        </w:rPr>
        <w:t xml:space="preserve"> in men and £</w:t>
      </w:r>
      <w:r w:rsidRPr="009908F4">
        <w:rPr>
          <w:rFonts w:cstheme="minorHAnsi"/>
        </w:rPr>
        <w:t>24</w:t>
      </w:r>
      <w:r>
        <w:rPr>
          <w:rFonts w:cstheme="minorHAnsi"/>
        </w:rPr>
        <w:t>,</w:t>
      </w:r>
      <w:r w:rsidRPr="009908F4">
        <w:rPr>
          <w:rFonts w:cstheme="minorHAnsi"/>
        </w:rPr>
        <w:t>382 (4829, 59154)</w:t>
      </w:r>
      <w:r>
        <w:rPr>
          <w:rFonts w:cstheme="minorHAnsi"/>
        </w:rPr>
        <w:t xml:space="preserve"> in women. Serological tests (</w:t>
      </w:r>
      <w:r w:rsidRPr="003A3918">
        <w:rPr>
          <w:rFonts w:cstheme="minorHAnsi"/>
        </w:rPr>
        <w:t>IgA EMA</w:t>
      </w:r>
      <w:r>
        <w:rPr>
          <w:rFonts w:cstheme="minorHAnsi"/>
        </w:rPr>
        <w:t xml:space="preserve"> and </w:t>
      </w:r>
      <w:r w:rsidRPr="003A3918">
        <w:rPr>
          <w:rFonts w:cstheme="minorHAnsi"/>
        </w:rPr>
        <w:t xml:space="preserve">IgA </w:t>
      </w:r>
      <w:r w:rsidRPr="00195718">
        <w:rPr>
          <w:rFonts w:cstheme="minorHAnsi"/>
        </w:rPr>
        <w:t>tTG</w:t>
      </w:r>
      <w:r w:rsidRPr="003A3918">
        <w:rPr>
          <w:rFonts w:cstheme="minorHAnsi"/>
        </w:rPr>
        <w:t xml:space="preserve">) had similar cost-effectiveness and there was limited benefit to including both EMA and </w:t>
      </w:r>
      <w:r w:rsidRPr="00195718">
        <w:rPr>
          <w:rFonts w:cstheme="minorHAnsi"/>
        </w:rPr>
        <w:t>tTG</w:t>
      </w:r>
      <w:r>
        <w:rPr>
          <w:rFonts w:cstheme="minorHAnsi"/>
        </w:rPr>
        <w:t xml:space="preserve">. </w:t>
      </w:r>
      <w:r w:rsidR="00057DE1">
        <w:rPr>
          <w:rFonts w:cstheme="minorHAnsi"/>
        </w:rPr>
        <w:t>S</w:t>
      </w:r>
      <w:r>
        <w:rPr>
          <w:rFonts w:cstheme="minorHAnsi"/>
        </w:rPr>
        <w:t>trategies using both HLA and serological testing</w:t>
      </w:r>
      <w:r w:rsidR="00057DE1">
        <w:rPr>
          <w:rFonts w:cstheme="minorHAnsi"/>
        </w:rPr>
        <w:t xml:space="preserve"> and pre-test probabilities 1-20% had very similar net benefits to each other and to IgA tTG with 1% pre-test probability and 95% </w:t>
      </w:r>
      <w:r w:rsidR="00B43F46">
        <w:rPr>
          <w:rFonts w:cstheme="minorHAnsi"/>
        </w:rPr>
        <w:t xml:space="preserve">credible intervals </w:t>
      </w:r>
      <w:r w:rsidR="00057DE1">
        <w:rPr>
          <w:rFonts w:cstheme="minorHAnsi"/>
        </w:rPr>
        <w:t>were completely overlapping</w:t>
      </w:r>
      <w:r>
        <w:rPr>
          <w:rFonts w:cstheme="minorHAnsi"/>
        </w:rPr>
        <w:t xml:space="preserve">. </w:t>
      </w:r>
      <w:r w:rsidR="00057DE1">
        <w:rPr>
          <w:rFonts w:cstheme="minorHAnsi"/>
        </w:rPr>
        <w:t xml:space="preserve">The probability that any one test had highest net benefit was below 60% in adult men and 50% in adult women, suggesting uncertainty. </w:t>
      </w:r>
    </w:p>
    <w:p w14:paraId="1A6B701C" w14:textId="732C8834" w:rsidR="00585CE9" w:rsidRPr="006D31D4" w:rsidRDefault="00585CE9" w:rsidP="00585CE9">
      <w:pPr>
        <w:rPr>
          <w:rFonts w:cstheme="minorHAnsi"/>
        </w:rPr>
      </w:pPr>
      <w:r w:rsidRPr="003A3918">
        <w:rPr>
          <w:rFonts w:cstheme="minorHAnsi"/>
        </w:rPr>
        <w:lastRenderedPageBreak/>
        <w:t xml:space="preserve">In children, </w:t>
      </w:r>
      <w:r w:rsidR="005D0A9E">
        <w:rPr>
          <w:rFonts w:cstheme="minorHAnsi"/>
        </w:rPr>
        <w:t>testing all those with a</w:t>
      </w:r>
      <w:r>
        <w:rPr>
          <w:rFonts w:cstheme="minorHAnsi"/>
        </w:rPr>
        <w:t xml:space="preserve"> </w:t>
      </w:r>
      <w:r w:rsidRPr="003A3918">
        <w:rPr>
          <w:rFonts w:cstheme="minorHAnsi"/>
        </w:rPr>
        <w:t xml:space="preserve">pre- test probability of </w:t>
      </w:r>
      <w:r>
        <w:rPr>
          <w:rFonts w:cstheme="minorHAnsi"/>
        </w:rPr>
        <w:t>10</w:t>
      </w:r>
      <w:r w:rsidRPr="003A3918">
        <w:rPr>
          <w:rFonts w:cstheme="minorHAnsi"/>
        </w:rPr>
        <w:t xml:space="preserve">% </w:t>
      </w:r>
      <w:r w:rsidR="00CE54AC">
        <w:rPr>
          <w:rFonts w:cstheme="minorHAnsi"/>
        </w:rPr>
        <w:t>or</w:t>
      </w:r>
      <w:r w:rsidR="005D0A9E">
        <w:rPr>
          <w:rFonts w:cstheme="minorHAnsi"/>
        </w:rPr>
        <w:t xml:space="preserve"> more </w:t>
      </w:r>
      <w:r w:rsidRPr="003A3918">
        <w:rPr>
          <w:rFonts w:cstheme="minorHAnsi"/>
        </w:rPr>
        <w:t>with HLA</w:t>
      </w:r>
      <w:r>
        <w:rPr>
          <w:rFonts w:cstheme="minorHAnsi"/>
        </w:rPr>
        <w:t xml:space="preserve"> plus IgA tTG</w:t>
      </w:r>
      <w:r w:rsidRPr="003A3918">
        <w:rPr>
          <w:rFonts w:cstheme="minorHAnsi"/>
        </w:rPr>
        <w:t xml:space="preserve"> ha</w:t>
      </w:r>
      <w:r>
        <w:rPr>
          <w:rFonts w:cstheme="minorHAnsi"/>
        </w:rPr>
        <w:t>d the</w:t>
      </w:r>
      <w:r w:rsidRPr="003A3918">
        <w:rPr>
          <w:rFonts w:cstheme="minorHAnsi"/>
        </w:rPr>
        <w:t xml:space="preserve"> greatest net benefit at £20,000/QALY</w:t>
      </w:r>
      <w:r>
        <w:rPr>
          <w:rFonts w:cstheme="minorHAnsi"/>
        </w:rPr>
        <w:t>, with incremental net benefit £</w:t>
      </w:r>
      <w:r w:rsidRPr="0034625B">
        <w:rPr>
          <w:rFonts w:cstheme="minorHAnsi"/>
        </w:rPr>
        <w:t>13</w:t>
      </w:r>
      <w:r>
        <w:rPr>
          <w:rFonts w:cstheme="minorHAnsi"/>
        </w:rPr>
        <w:t>,</w:t>
      </w:r>
      <w:r w:rsidRPr="0034625B">
        <w:rPr>
          <w:rFonts w:cstheme="minorHAnsi"/>
        </w:rPr>
        <w:t>090 (3929, 36260)</w:t>
      </w:r>
      <w:r>
        <w:rPr>
          <w:rFonts w:cstheme="minorHAnsi"/>
        </w:rPr>
        <w:t xml:space="preserve"> relative to no screening, and</w:t>
      </w:r>
      <w:r w:rsidRPr="003A3918">
        <w:rPr>
          <w:rFonts w:cstheme="minorHAnsi"/>
        </w:rPr>
        <w:t xml:space="preserve"> highest probability</w:t>
      </w:r>
      <w:r w:rsidR="005D0A9E">
        <w:rPr>
          <w:rFonts w:cstheme="minorHAnsi"/>
        </w:rPr>
        <w:t xml:space="preserve"> (~80%)</w:t>
      </w:r>
      <w:r w:rsidRPr="003A3918">
        <w:rPr>
          <w:rFonts w:cstheme="minorHAnsi"/>
        </w:rPr>
        <w:t xml:space="preserve"> of being cost-effective above £10,000/QALY. </w:t>
      </w:r>
      <w:r w:rsidR="00221987">
        <w:rPr>
          <w:rFonts w:cstheme="minorHAnsi"/>
        </w:rPr>
        <w:t>Again, there was limited difference in cost-effectiveness between pre-test probabilities so long as either IgA EMA plus HLA or HLA plus IgA tTG were used as the testing combination.</w:t>
      </w:r>
    </w:p>
    <w:p w14:paraId="3BD107B2" w14:textId="114A95EE" w:rsidR="00796011" w:rsidRDefault="00F85AFE" w:rsidP="00796011">
      <w:pPr>
        <w:rPr>
          <w:rFonts w:cstheme="minorHAnsi"/>
        </w:rPr>
      </w:pPr>
      <w:r>
        <w:t>T</w:t>
      </w:r>
      <w:r w:rsidRPr="00047D0A">
        <w:t xml:space="preserve">here </w:t>
      </w:r>
      <w:r>
        <w:t>wa</w:t>
      </w:r>
      <w:r w:rsidRPr="00047D0A">
        <w:t>s substantial uncertainty in these results</w:t>
      </w:r>
      <w:r>
        <w:t xml:space="preserve">, and value of information analysis indicated they were sensitive to </w:t>
      </w:r>
      <w:r w:rsidR="005D0A9E">
        <w:t>the probability of</w:t>
      </w:r>
      <w:r>
        <w:t xml:space="preserve"> diagnosis of </w:t>
      </w:r>
      <w:r w:rsidR="00CB3F76">
        <w:t>CD</w:t>
      </w:r>
      <w:r>
        <w:t xml:space="preserve"> </w:t>
      </w:r>
      <w:r w:rsidR="005D0A9E">
        <w:t xml:space="preserve">during routine care and the </w:t>
      </w:r>
      <w:r>
        <w:t xml:space="preserve">accuracy of HLA and serological tests. </w:t>
      </w:r>
      <w:r w:rsidR="00796011" w:rsidRPr="008E5E5A">
        <w:rPr>
          <w:rFonts w:cstheme="minorHAnsi"/>
        </w:rPr>
        <w:t xml:space="preserve">The total population </w:t>
      </w:r>
      <w:r w:rsidR="00B87D07">
        <w:rPr>
          <w:rFonts w:cstheme="minorHAnsi"/>
        </w:rPr>
        <w:t>expected value of perfect information (</w:t>
      </w:r>
      <w:r w:rsidR="00796011" w:rsidRPr="008E5E5A">
        <w:rPr>
          <w:rFonts w:cstheme="minorHAnsi"/>
        </w:rPr>
        <w:t>EVPI</w:t>
      </w:r>
      <w:r w:rsidR="00B87D07">
        <w:rPr>
          <w:rFonts w:cstheme="minorHAnsi"/>
        </w:rPr>
        <w:t>)</w:t>
      </w:r>
      <w:r w:rsidR="00796011" w:rsidRPr="008E5E5A">
        <w:rPr>
          <w:rFonts w:cstheme="minorHAnsi"/>
        </w:rPr>
        <w:t xml:space="preserve"> in men was £</w:t>
      </w:r>
      <w:r w:rsidR="00057DE1">
        <w:rPr>
          <w:rFonts w:cstheme="minorHAnsi"/>
        </w:rPr>
        <w:t>25.7</w:t>
      </w:r>
      <w:r w:rsidR="00057DE1" w:rsidRPr="008E5E5A">
        <w:rPr>
          <w:rFonts w:cstheme="minorHAnsi"/>
        </w:rPr>
        <w:t>million</w:t>
      </w:r>
      <w:r w:rsidR="00796011" w:rsidRPr="008E5E5A">
        <w:rPr>
          <w:rFonts w:cstheme="minorHAnsi"/>
        </w:rPr>
        <w:t>, in adult women was £</w:t>
      </w:r>
      <w:r w:rsidR="00057DE1">
        <w:rPr>
          <w:rFonts w:cstheme="minorHAnsi"/>
        </w:rPr>
        <w:t>79.0</w:t>
      </w:r>
      <w:r w:rsidR="00057DE1" w:rsidRPr="008E5E5A">
        <w:rPr>
          <w:rFonts w:cstheme="minorHAnsi"/>
        </w:rPr>
        <w:t>million</w:t>
      </w:r>
      <w:r w:rsidR="00796011" w:rsidRPr="008E5E5A">
        <w:rPr>
          <w:rFonts w:cstheme="minorHAnsi"/>
        </w:rPr>
        <w:t>, and in children was £</w:t>
      </w:r>
      <w:r w:rsidR="00057DE1">
        <w:rPr>
          <w:rFonts w:cstheme="minorHAnsi"/>
        </w:rPr>
        <w:t>18.4</w:t>
      </w:r>
      <w:r w:rsidR="00796011" w:rsidRPr="008E5E5A">
        <w:rPr>
          <w:rFonts w:cstheme="minorHAnsi"/>
        </w:rPr>
        <w:t>million, indicating potential value of further research</w:t>
      </w:r>
      <w:r w:rsidR="005D0A9E">
        <w:rPr>
          <w:rFonts w:cstheme="minorHAnsi"/>
        </w:rPr>
        <w:t>,</w:t>
      </w:r>
      <w:r w:rsidR="00057DE1">
        <w:rPr>
          <w:rFonts w:cstheme="minorHAnsi"/>
        </w:rPr>
        <w:t xml:space="preserve"> particularly in adult women</w:t>
      </w:r>
      <w:r w:rsidR="00796011" w:rsidRPr="008E5E5A">
        <w:rPr>
          <w:rFonts w:cstheme="minorHAnsi"/>
        </w:rPr>
        <w:t>.</w:t>
      </w:r>
    </w:p>
    <w:p w14:paraId="7722B01D" w14:textId="4A1E22F3" w:rsidR="00796011" w:rsidRDefault="00796011" w:rsidP="00796011">
      <w:pPr>
        <w:pStyle w:val="Heading2"/>
      </w:pPr>
      <w:bookmarkStart w:id="66" w:name="_Toc87550931"/>
      <w:bookmarkStart w:id="67" w:name="_Toc99539810"/>
      <w:bookmarkEnd w:id="65"/>
      <w:r w:rsidRPr="00734942">
        <w:t>Conclusions</w:t>
      </w:r>
      <w:bookmarkEnd w:id="66"/>
      <w:bookmarkEnd w:id="67"/>
    </w:p>
    <w:p w14:paraId="55AF95CE" w14:textId="77777777" w:rsidR="00796011" w:rsidRDefault="00796011" w:rsidP="00796011">
      <w:pPr>
        <w:pStyle w:val="Heading3"/>
      </w:pPr>
      <w:bookmarkStart w:id="68" w:name="_Toc87551027"/>
      <w:bookmarkStart w:id="69" w:name="_Toc99539811"/>
      <w:r w:rsidRPr="00734942">
        <w:t>Implications for practice</w:t>
      </w:r>
      <w:bookmarkEnd w:id="68"/>
      <w:bookmarkEnd w:id="69"/>
    </w:p>
    <w:p w14:paraId="4C12EB22" w14:textId="14696BFA" w:rsidR="00796011" w:rsidRDefault="00796011" w:rsidP="00796011">
      <w:r>
        <w:t>Based on the cost-effectiveness analysis, the most cost-effective strategy</w:t>
      </w:r>
      <w:r w:rsidR="008A6B61">
        <w:t xml:space="preserve"> in adults and</w:t>
      </w:r>
      <w:r w:rsidR="00333D67">
        <w:t xml:space="preserve"> using serological testing alone</w:t>
      </w:r>
      <w:r>
        <w:t xml:space="preserve"> appears to be population based screening (1% pre-test probability) with either IgA tTG or IgA EMA, or with a combination of both tests. </w:t>
      </w:r>
      <w:r w:rsidR="00C42235">
        <w:t>However,</w:t>
      </w:r>
      <w:r w:rsidR="00C42235" w:rsidRPr="00047D0A">
        <w:t xml:space="preserve"> there is substantial uncertainty in these results and </w:t>
      </w:r>
      <w:r w:rsidR="00C42235">
        <w:t xml:space="preserve">further research is needed prior to any implementation of screening. </w:t>
      </w:r>
      <w:r>
        <w:t xml:space="preserve">Given the wider availability of IgA tTG in UK laboratories, and the more objective nature of the test, IgA tTG </w:t>
      </w:r>
      <w:r w:rsidR="006653F1">
        <w:t>is probably the preferred</w:t>
      </w:r>
      <w:r>
        <w:t xml:space="preserve"> serological test.</w:t>
      </w:r>
      <w:r w:rsidR="005A7CB3">
        <w:t xml:space="preserve"> </w:t>
      </w:r>
      <w:r w:rsidR="006653F1">
        <w:t>D</w:t>
      </w:r>
      <w:r>
        <w:t xml:space="preserve">ecisions to implement population based screening </w:t>
      </w:r>
      <w:r w:rsidR="00872FB7">
        <w:t xml:space="preserve">should not </w:t>
      </w:r>
      <w:r>
        <w:t xml:space="preserve">be made based on this economic analysis alone – the proposed screening programme must meet UK National Screening Committee Criteria. Whilst a CD screening programme meets some of these criteria it does not yet meet all criteria. </w:t>
      </w:r>
      <w:r w:rsidR="006F1162">
        <w:t xml:space="preserve">Additional required </w:t>
      </w:r>
      <w:r>
        <w:t>criteria are</w:t>
      </w:r>
      <w:r w:rsidR="00872FB7">
        <w:t xml:space="preserve"> </w:t>
      </w:r>
      <w:r w:rsidR="00BA7FB5">
        <w:t xml:space="preserve">a </w:t>
      </w:r>
      <w:r>
        <w:t>consensus on an appropriate threshold for the screening test (IgA tTG), agreement on further diagnostic workup in those testing positive for IgA tTG, and randomised trials showing the effectiveness of the screening programme.</w:t>
      </w:r>
    </w:p>
    <w:p w14:paraId="0CD35564" w14:textId="2164312F" w:rsidR="00796011" w:rsidRPr="006D1949" w:rsidRDefault="00796011" w:rsidP="00796011">
      <w:r>
        <w:t xml:space="preserve">Given that population screening is not considered appropriate, we recommend a strategy </w:t>
      </w:r>
      <w:r w:rsidR="00DC420D">
        <w:t xml:space="preserve">in adults </w:t>
      </w:r>
      <w:r>
        <w:t xml:space="preserve">that combines HLA testing </w:t>
      </w:r>
      <w:r w:rsidR="005A4422">
        <w:t>with IgA tTG</w:t>
      </w:r>
      <w:r>
        <w:t xml:space="preserve"> in those with at least a 1.5% pre-test probability. </w:t>
      </w:r>
      <w:r w:rsidR="00B27BAF">
        <w:t xml:space="preserve">These strategies had nearly identical cost-effectiveness to IgA tTG with 1% pre-test probability </w:t>
      </w:r>
      <w:r>
        <w:t>based on our cost-effectiveness analysis.</w:t>
      </w:r>
      <w:r w:rsidR="00BF7F1C">
        <w:t xml:space="preserve"> </w:t>
      </w:r>
      <w:r w:rsidR="00422470">
        <w:t>They also had similar cost-effectiveness to more targeted strategies with pre-test probabilities 5-20%</w:t>
      </w:r>
      <w:r w:rsidR="00A17F16">
        <w:t xml:space="preserve"> and patients with lower pre-test probabilities are easier to identify </w:t>
      </w:r>
      <w:r w:rsidR="00A57A3E">
        <w:t>based on our review of diagnostic indicators and prediction models</w:t>
      </w:r>
      <w:r w:rsidR="00422470">
        <w:t>.</w:t>
      </w:r>
      <w:r>
        <w:t xml:space="preserve"> In children, the most cost effective testing strategy is for </w:t>
      </w:r>
      <w:r w:rsidR="00110495">
        <w:t>10</w:t>
      </w:r>
      <w:r>
        <w:t xml:space="preserve">% pre-test probability of CD (more cost effective than population screening). Indicators that should prompt testing are therefore those that increase the risk of CD to at least 1.5% in adults </w:t>
      </w:r>
      <w:r w:rsidR="007A5D85">
        <w:t>(equivalent to a</w:t>
      </w:r>
      <w:r w:rsidR="00600C1B">
        <w:t xml:space="preserve">t least one of the identified predictors) </w:t>
      </w:r>
      <w:r>
        <w:t xml:space="preserve">and to </w:t>
      </w:r>
      <w:r w:rsidR="004239D1">
        <w:t>10</w:t>
      </w:r>
      <w:r>
        <w:t>% in children</w:t>
      </w:r>
      <w:r w:rsidR="001001CB">
        <w:t>, i.e.</w:t>
      </w:r>
      <w:r w:rsidR="00600C1B">
        <w:t xml:space="preserve"> </w:t>
      </w:r>
      <w:r w:rsidR="00C80FB9">
        <w:t>children with certain high risk predictors (e.g. anaemia) or a combination of</w:t>
      </w:r>
      <w:r w:rsidR="001001CB">
        <w:t xml:space="preserve"> lower risk</w:t>
      </w:r>
      <w:r w:rsidR="00C80FB9">
        <w:t xml:space="preserve"> predictors (e.g. failure to thrive and gastrointestinal symptoms)</w:t>
      </w:r>
      <w:r>
        <w:t>. These are diagnostic indicators identified by our review of diagnostic indicators and through the prediction model.</w:t>
      </w:r>
      <w:r w:rsidR="005D3331">
        <w:t xml:space="preserve"> The most predictive indicator in all populations was having a first</w:t>
      </w:r>
      <w:r w:rsidR="00806FE6">
        <w:t>-</w:t>
      </w:r>
      <w:r w:rsidR="005D3331">
        <w:t xml:space="preserve">degree relative with CD. Other indicators identified by our review not currently recommended in existing guidelines that should prompt testing include migraine and </w:t>
      </w:r>
      <w:r w:rsidR="00E15011">
        <w:t>chronic liver disease.</w:t>
      </w:r>
    </w:p>
    <w:p w14:paraId="227F8F3C" w14:textId="104C1A70" w:rsidR="00796011" w:rsidRPr="00D905E3" w:rsidRDefault="00796011" w:rsidP="00796011">
      <w:r w:rsidRPr="00D905E3">
        <w:t xml:space="preserve">The cost-effectiveness analysis found that </w:t>
      </w:r>
      <w:r w:rsidR="00022775" w:rsidRPr="00D905E3">
        <w:t>HLA testing prior to IgA tTG</w:t>
      </w:r>
      <w:r w:rsidR="00CF4236" w:rsidRPr="00D905E3">
        <w:t xml:space="preserve"> was the most cost-effective ordering of these tests</w:t>
      </w:r>
      <w:r w:rsidRPr="00D905E3">
        <w:t xml:space="preserve">. However, in practice such a strategy may have unintended costs and consequences not captured by the economic model. A strategy where serological testing is performed first may therefore be preferable, although this would be likely to lead to a greater number of false negative and false positive results overall. </w:t>
      </w:r>
    </w:p>
    <w:p w14:paraId="12A6A33A" w14:textId="34C7C294" w:rsidR="00796011" w:rsidRPr="00D905E3" w:rsidRDefault="00796011" w:rsidP="00796011">
      <w:r w:rsidRPr="00D905E3">
        <w:lastRenderedPageBreak/>
        <w:t xml:space="preserve">All strategies </w:t>
      </w:r>
      <w:r w:rsidR="00110495" w:rsidRPr="00D905E3">
        <w:t xml:space="preserve">assumed biopsy would be </w:t>
      </w:r>
      <w:r w:rsidRPr="00D905E3">
        <w:t>recommended if the post-test probability following positive test results remained lower than 90%. Whether this is the case will depend on the pre-test probability of disease, and so it may be difficult to implement such a strategy in practice. The variation among individuals in their preferred diagnostic certainty and attitudes towards having a biopsy or following the gluten-free diet suggests that shared decision making in which patient preferences are taking into account is important in determining the ‘optimum’ diagnostic pathway.</w:t>
      </w:r>
    </w:p>
    <w:p w14:paraId="1DD0A4EA" w14:textId="77777777" w:rsidR="00796011" w:rsidRPr="00D905E3" w:rsidRDefault="00796011" w:rsidP="00796011">
      <w:pPr>
        <w:pStyle w:val="Heading2"/>
      </w:pPr>
      <w:bookmarkStart w:id="70" w:name="_Toc87551028"/>
      <w:bookmarkStart w:id="71" w:name="_Toc99539812"/>
      <w:r w:rsidRPr="00D905E3">
        <w:t>Suggested research priorities</w:t>
      </w:r>
      <w:bookmarkEnd w:id="70"/>
      <w:bookmarkEnd w:id="71"/>
    </w:p>
    <w:p w14:paraId="68536B5D" w14:textId="639E8A14" w:rsidR="00796011" w:rsidRDefault="00796011" w:rsidP="00796011">
      <w:r w:rsidRPr="00D905E3">
        <w:t xml:space="preserve">Given that </w:t>
      </w:r>
      <w:r w:rsidR="0046337D" w:rsidRPr="00D905E3">
        <w:t xml:space="preserve">one of the </w:t>
      </w:r>
      <w:r w:rsidRPr="00D905E3">
        <w:t>most cost-effective strateg</w:t>
      </w:r>
      <w:r w:rsidR="0046337D" w:rsidRPr="00D905E3">
        <w:t>ies</w:t>
      </w:r>
      <w:r w:rsidRPr="00D905E3">
        <w:t xml:space="preserve"> based on our cost-effectiveness analysis was population based screening, future work should consider whether population based screening</w:t>
      </w:r>
      <w:r>
        <w:t xml:space="preserve"> for CD could meet the UK National Screening Committee Criteria. </w:t>
      </w:r>
    </w:p>
    <w:p w14:paraId="634ABE20" w14:textId="6DF22C90" w:rsidR="00796011" w:rsidRPr="00734942" w:rsidRDefault="00796011" w:rsidP="00796011">
      <w:r>
        <w:t xml:space="preserve">Value of information analysis suggested that future research should focus on the probability of </w:t>
      </w:r>
      <w:r w:rsidR="00110495">
        <w:t xml:space="preserve">CD diagnosis during routine care </w:t>
      </w:r>
      <w:r>
        <w:t xml:space="preserve">and the </w:t>
      </w:r>
      <w:r w:rsidR="00110495">
        <w:t>accuracy of serological and HLA testing</w:t>
      </w:r>
      <w:r>
        <w:t>.</w:t>
      </w:r>
    </w:p>
    <w:p w14:paraId="456CCEAE" w14:textId="24C4A5A0" w:rsidR="00796011" w:rsidRDefault="00796011" w:rsidP="00796011">
      <w:r w:rsidRPr="00734942">
        <w:t xml:space="preserve">There is a need for large </w:t>
      </w:r>
      <w:r>
        <w:t xml:space="preserve">prospective </w:t>
      </w:r>
      <w:r w:rsidRPr="00734942">
        <w:t xml:space="preserve">cohort studies where all participants </w:t>
      </w:r>
      <w:r>
        <w:t>receive</w:t>
      </w:r>
      <w:r w:rsidRPr="00734942">
        <w:t xml:space="preserve"> accurate test</w:t>
      </w:r>
      <w:r>
        <w:t>s</w:t>
      </w:r>
      <w:r w:rsidRPr="00734942">
        <w:t xml:space="preserve"> for CD to </w:t>
      </w:r>
      <w:r w:rsidR="000B2436">
        <w:t>provide more accurate estimate</w:t>
      </w:r>
      <w:r w:rsidRPr="00734942">
        <w:t xml:space="preserve"> of the diagnostic ability of indicators</w:t>
      </w:r>
      <w:r>
        <w:t xml:space="preserve"> and to develop a more robust clinical prediction model</w:t>
      </w:r>
      <w:r w:rsidRPr="00734942">
        <w:t>.</w:t>
      </w:r>
    </w:p>
    <w:p w14:paraId="7A41C91E" w14:textId="77777777" w:rsidR="00796011" w:rsidRPr="00734942" w:rsidRDefault="00796011" w:rsidP="00796011">
      <w:pPr>
        <w:pStyle w:val="Heading2"/>
      </w:pPr>
      <w:bookmarkStart w:id="72" w:name="_Toc99539813"/>
      <w:r w:rsidRPr="00734942">
        <w:t>Study registration</w:t>
      </w:r>
      <w:bookmarkEnd w:id="72"/>
      <w:r w:rsidRPr="00734942">
        <w:t xml:space="preserve"> </w:t>
      </w:r>
    </w:p>
    <w:p w14:paraId="48CD70EB" w14:textId="77777777" w:rsidR="00796011" w:rsidRDefault="00796011" w:rsidP="00796011">
      <w:pPr>
        <w:pStyle w:val="NoSpacing"/>
        <w:rPr>
          <w:lang w:val="en-GB"/>
        </w:rPr>
      </w:pPr>
      <w:r w:rsidRPr="00734942">
        <w:rPr>
          <w:lang w:val="en-GB"/>
        </w:rPr>
        <w:t>The reviews were registered at PROSPERO (CRD42019115506 and CRD42020170766)</w:t>
      </w:r>
    </w:p>
    <w:p w14:paraId="0C71CC4E" w14:textId="77777777" w:rsidR="00796011" w:rsidRDefault="00796011" w:rsidP="00796011">
      <w:pPr>
        <w:pStyle w:val="NoSpacing"/>
        <w:rPr>
          <w:lang w:val="en-GB"/>
        </w:rPr>
      </w:pPr>
    </w:p>
    <w:p w14:paraId="04B77327" w14:textId="77777777" w:rsidR="00796011" w:rsidRDefault="00796011" w:rsidP="00796011">
      <w:pPr>
        <w:pStyle w:val="Heading2"/>
      </w:pPr>
      <w:bookmarkStart w:id="73" w:name="_Toc99539814"/>
      <w:r>
        <w:t>Funding</w:t>
      </w:r>
      <w:bookmarkEnd w:id="73"/>
    </w:p>
    <w:p w14:paraId="0CC95618" w14:textId="77777777" w:rsidR="00796011" w:rsidRPr="004545BD" w:rsidRDefault="00796011" w:rsidP="00796011">
      <w:r w:rsidRPr="006E19C6">
        <w:t>Funding for this study was provided by the Health Technology Assessment programme of the National</w:t>
      </w:r>
      <w:r>
        <w:t xml:space="preserve"> </w:t>
      </w:r>
      <w:r w:rsidRPr="006E19C6">
        <w:t>Institute for Health Research.</w:t>
      </w:r>
    </w:p>
    <w:p w14:paraId="2FDD6039" w14:textId="77777777" w:rsidR="002C56DC" w:rsidRPr="00734942" w:rsidRDefault="002C56DC">
      <w:r w:rsidRPr="00734942">
        <w:br w:type="page"/>
      </w:r>
    </w:p>
    <w:p w14:paraId="7C0EDF9B" w14:textId="4CC2C896" w:rsidR="00D239FE" w:rsidRPr="00734942" w:rsidRDefault="002C56DC" w:rsidP="006E7A8E">
      <w:pPr>
        <w:pStyle w:val="Heading1"/>
      </w:pPr>
      <w:bookmarkStart w:id="74" w:name="_Toc99539815"/>
      <w:r w:rsidRPr="00734942">
        <w:lastRenderedPageBreak/>
        <w:t>Ch</w:t>
      </w:r>
      <w:r w:rsidR="00D239FE" w:rsidRPr="00734942">
        <w:t xml:space="preserve">apter </w:t>
      </w:r>
      <w:r w:rsidRPr="00734942">
        <w:t xml:space="preserve">1: </w:t>
      </w:r>
      <w:r w:rsidR="00D239FE" w:rsidRPr="00734942">
        <w:t>Objectives</w:t>
      </w:r>
      <w:bookmarkEnd w:id="74"/>
    </w:p>
    <w:p w14:paraId="7F4174A3" w14:textId="43C3E405" w:rsidR="00177B3D" w:rsidRDefault="00FC2CD0" w:rsidP="00177B3D">
      <w:r w:rsidRPr="00734942">
        <w:t xml:space="preserve">The overall aim of this project is </w:t>
      </w:r>
      <w:r w:rsidR="00177B3D">
        <w:t>t</w:t>
      </w:r>
      <w:r w:rsidR="00177B3D" w:rsidRPr="00697507">
        <w:t xml:space="preserve">o </w:t>
      </w:r>
      <w:r w:rsidR="00177B3D">
        <w:t xml:space="preserve">define </w:t>
      </w:r>
      <w:r w:rsidR="00177B3D" w:rsidRPr="00697507">
        <w:t>at risk groups</w:t>
      </w:r>
      <w:r w:rsidR="00177B3D">
        <w:t xml:space="preserve"> and </w:t>
      </w:r>
      <w:r w:rsidR="00177B3D" w:rsidRPr="00697507">
        <w:t>determine the cost-effectiveness</w:t>
      </w:r>
      <w:r w:rsidR="00177B3D">
        <w:t xml:space="preserve"> of </w:t>
      </w:r>
      <w:r w:rsidR="00177B3D" w:rsidRPr="00697507">
        <w:t>active case finding in primary care</w:t>
      </w:r>
      <w:r w:rsidR="00177B3D">
        <w:t>.</w:t>
      </w:r>
      <w:r w:rsidR="00177B3D" w:rsidRPr="00734942">
        <w:t xml:space="preserve"> </w:t>
      </w:r>
    </w:p>
    <w:p w14:paraId="7F0DA7F6" w14:textId="77777777" w:rsidR="00FC2CD0" w:rsidRPr="00734942" w:rsidRDefault="00FC2CD0" w:rsidP="00FC2CD0">
      <w:r w:rsidRPr="00734942">
        <w:t>We defined the following objectives to address this overall aim:</w:t>
      </w:r>
    </w:p>
    <w:p w14:paraId="78EC64BC" w14:textId="1349920B" w:rsidR="00734942" w:rsidRDefault="00D56D10" w:rsidP="002E4111">
      <w:pPr>
        <w:pStyle w:val="ListParagraph"/>
        <w:numPr>
          <w:ilvl w:val="0"/>
          <w:numId w:val="50"/>
        </w:numPr>
      </w:pPr>
      <w:r>
        <w:t xml:space="preserve">Objective 1: Systematic review </w:t>
      </w:r>
      <w:r w:rsidR="00734942">
        <w:t xml:space="preserve">of the accuracy of potential diagnostic indicators for coeliac disease </w:t>
      </w:r>
      <w:r>
        <w:t>(Chapter 3)</w:t>
      </w:r>
    </w:p>
    <w:p w14:paraId="72845773" w14:textId="7FE1637E" w:rsidR="00D56D10" w:rsidRPr="00D56D10" w:rsidRDefault="00D56D10" w:rsidP="002E4111">
      <w:pPr>
        <w:pStyle w:val="ListParagraph"/>
        <w:numPr>
          <w:ilvl w:val="0"/>
          <w:numId w:val="50"/>
        </w:numPr>
      </w:pPr>
      <w:r>
        <w:t xml:space="preserve">Objective 2: </w:t>
      </w:r>
      <w:r w:rsidRPr="00D56D10">
        <w:t xml:space="preserve">Routine data analysis to develop a prediction model </w:t>
      </w:r>
      <w:r>
        <w:t xml:space="preserve">for </w:t>
      </w:r>
      <w:r w:rsidR="00B213E6">
        <w:t xml:space="preserve">identification </w:t>
      </w:r>
      <w:r>
        <w:t xml:space="preserve">of </w:t>
      </w:r>
      <w:r w:rsidR="00B213E6">
        <w:t xml:space="preserve">people who should be tested for </w:t>
      </w:r>
      <w:r>
        <w:t>coeliac disease (Chapter 4)</w:t>
      </w:r>
    </w:p>
    <w:p w14:paraId="27A933F1" w14:textId="20986BAE" w:rsidR="00734942" w:rsidRDefault="00D56D10" w:rsidP="002E4111">
      <w:pPr>
        <w:pStyle w:val="ListParagraph"/>
        <w:numPr>
          <w:ilvl w:val="0"/>
          <w:numId w:val="50"/>
        </w:numPr>
      </w:pPr>
      <w:r>
        <w:t>Objective 3: Systematic review of the accuracy of diagnostic tests for coeliac disease (Chapter 5)</w:t>
      </w:r>
    </w:p>
    <w:p w14:paraId="1267C1F0" w14:textId="5DCE0B7F" w:rsidR="00D56D10" w:rsidRDefault="00D56D10" w:rsidP="002E4111">
      <w:pPr>
        <w:pStyle w:val="ListParagraph"/>
        <w:numPr>
          <w:ilvl w:val="0"/>
          <w:numId w:val="50"/>
        </w:numPr>
      </w:pPr>
      <w:r>
        <w:t>Objective 4: Systematic review of the accuracy of genetic tests for coeliac disease (Chapter 6)</w:t>
      </w:r>
    </w:p>
    <w:p w14:paraId="5AADAD18" w14:textId="36ED29F7" w:rsidR="00D56D10" w:rsidRPr="00D56D10" w:rsidRDefault="00D56D10" w:rsidP="002E4111">
      <w:pPr>
        <w:pStyle w:val="ListParagraph"/>
        <w:numPr>
          <w:ilvl w:val="0"/>
          <w:numId w:val="50"/>
        </w:numPr>
      </w:pPr>
      <w:r>
        <w:t xml:space="preserve">Objective 5: </w:t>
      </w:r>
      <w:r w:rsidR="00A44CC8">
        <w:t>O</w:t>
      </w:r>
      <w:r w:rsidR="00A44CC8" w:rsidRPr="00D56D10">
        <w:t xml:space="preserve">nline survey to identify diagnostic </w:t>
      </w:r>
      <w:r w:rsidR="00A44CC8">
        <w:t>thresholds</w:t>
      </w:r>
      <w:r w:rsidR="00A44CC8" w:rsidRPr="00D56D10">
        <w:t xml:space="preserve"> for testing, starting treatment and referral for biopsy</w:t>
      </w:r>
      <w:r w:rsidR="00A44CC8">
        <w:t xml:space="preserve"> (Chapter 7) </w:t>
      </w:r>
    </w:p>
    <w:p w14:paraId="760A9A86" w14:textId="7ADBAC46" w:rsidR="00D56D10" w:rsidRPr="00D56D10" w:rsidRDefault="00D56D10" w:rsidP="002E4111">
      <w:pPr>
        <w:pStyle w:val="ListParagraph"/>
        <w:numPr>
          <w:ilvl w:val="0"/>
          <w:numId w:val="50"/>
        </w:numPr>
      </w:pPr>
      <w:r>
        <w:t xml:space="preserve">Objective 6: </w:t>
      </w:r>
      <w:r w:rsidRPr="00D56D10">
        <w:t>Economic modelling to identify the cost-effectiveness of different active case finding strategies</w:t>
      </w:r>
      <w:r>
        <w:t>, informed by the findings of previous chapters</w:t>
      </w:r>
      <w:r w:rsidRPr="00D56D10">
        <w:t xml:space="preserve"> </w:t>
      </w:r>
      <w:r>
        <w:t>(Chapter 8)</w:t>
      </w:r>
    </w:p>
    <w:p w14:paraId="12B021D8" w14:textId="77777777" w:rsidR="00FC2CD0" w:rsidRPr="00734942" w:rsidRDefault="00FC2CD0"/>
    <w:p w14:paraId="504553F1" w14:textId="6291E94D" w:rsidR="00414244" w:rsidRPr="00734942" w:rsidRDefault="00414244">
      <w:pPr>
        <w:rPr>
          <w:rFonts w:asciiTheme="majorHAnsi" w:eastAsiaTheme="majorEastAsia" w:hAnsiTheme="majorHAnsi" w:cstheme="majorBidi"/>
          <w:color w:val="2F5496" w:themeColor="accent1" w:themeShade="BF"/>
          <w:sz w:val="32"/>
          <w:szCs w:val="32"/>
        </w:rPr>
      </w:pPr>
      <w:r w:rsidRPr="00734942">
        <w:br w:type="page"/>
      </w:r>
    </w:p>
    <w:p w14:paraId="71990F88" w14:textId="5FAB78C7" w:rsidR="00D239FE" w:rsidRPr="00734942" w:rsidRDefault="00D239FE" w:rsidP="006E7A8E">
      <w:pPr>
        <w:pStyle w:val="Heading1"/>
      </w:pPr>
      <w:bookmarkStart w:id="75" w:name="_Toc99539816"/>
      <w:r w:rsidRPr="00734942">
        <w:lastRenderedPageBreak/>
        <w:t>Chapter 2: Background</w:t>
      </w:r>
      <w:bookmarkEnd w:id="75"/>
    </w:p>
    <w:p w14:paraId="631EC49B" w14:textId="77777777" w:rsidR="00267F45" w:rsidRPr="00734942" w:rsidRDefault="00267F45" w:rsidP="00267F45">
      <w:pPr>
        <w:pStyle w:val="Heading2"/>
      </w:pPr>
      <w:bookmarkStart w:id="76" w:name="_Toc99539817"/>
      <w:r w:rsidRPr="00734942">
        <w:t>Overview of coeliac disease</w:t>
      </w:r>
      <w:bookmarkEnd w:id="76"/>
    </w:p>
    <w:p w14:paraId="2E69539D" w14:textId="3B54F2D7" w:rsidR="00267F45" w:rsidRPr="00734942" w:rsidRDefault="00267F45" w:rsidP="00267F45">
      <w:r w:rsidRPr="00734942">
        <w:t>Coeliac disease (CD) is an autoimmune disorder, triggered by the protein gluten, found in wheat, rye and barley.</w:t>
      </w:r>
      <w:r w:rsidRPr="00734942">
        <w:fldChar w:fldCharType="begin"/>
      </w:r>
      <w:r w:rsidR="00160C21">
        <w:instrText xml:space="preserve"> ADDIN EN.CITE &lt;EndNote&gt;&lt;Cite&gt;&lt;Author&gt;Kelly&lt;/Author&gt;&lt;Year&gt;2018&lt;/Year&gt;&lt;RecNum&gt;380&lt;/RecNum&gt;&lt;DisplayText&gt;&lt;style face="superscript"&gt;1&lt;/style&gt;&lt;/DisplayText&gt;&lt;record&gt;&lt;rec-number&gt;380&lt;/rec-number&gt;&lt;foreign-keys&gt;&lt;key app="EN" db-id="tdwrx9xd1z9eepeevr355w2k959rv0f5zaax" timestamp="1633079549"&gt;380&lt;/key&gt;&lt;/foreign-keys&gt;&lt;ref-type name="Journal Article"&gt;17&lt;/ref-type&gt;&lt;contributors&gt;&lt;authors&gt;&lt;author&gt;Kelly, C.,&lt;/author&gt;&lt;author&gt;Leffler, D.&lt;/author&gt;&lt;/authors&gt;&lt;/contributors&gt;&lt;titles&gt;&lt;title&gt;Coeliac disease&lt;/title&gt;&lt;secondary-title&gt;BMJ Best Practice&lt;/secondary-title&gt;&lt;/titles&gt;&lt;periodical&gt;&lt;full-title&gt;BMJ Best Practice&lt;/full-title&gt;&lt;/periodical&gt;&lt;dates&gt;&lt;year&gt;2018&lt;/year&gt;&lt;/dates&gt;&lt;urls&gt;&lt;related-urls&gt;&lt;url&gt;&lt;style face="underline" font="default" size="100%"&gt;https://bestpractice.bmj.com/topics/en-gb/636&lt;/style&gt;&lt;/url&gt;&lt;/related-urls&gt;&lt;/urls&gt;&lt;/record&gt;&lt;/Cite&gt;&lt;/EndNote&gt;</w:instrText>
      </w:r>
      <w:r w:rsidRPr="00734942">
        <w:fldChar w:fldCharType="separate"/>
      </w:r>
      <w:r w:rsidR="00160C21" w:rsidRPr="00160C21">
        <w:rPr>
          <w:noProof/>
          <w:vertAlign w:val="superscript"/>
        </w:rPr>
        <w:t>1</w:t>
      </w:r>
      <w:r w:rsidRPr="00734942">
        <w:fldChar w:fldCharType="end"/>
      </w:r>
      <w:r w:rsidRPr="00734942">
        <w:t xml:space="preserve"> Some patients with CD may be asymptomatic, others present with non-specific symptoms including gastrointestinal symptoms (e.g. diarrhoea, bloating, gassiness, constipation, vomiting, and abdominal pain), fatigue and unexplained weight loss. CD is estimated to affect around 1% of people in the UK,</w:t>
      </w:r>
      <w:r w:rsidRPr="00734942">
        <w:fldChar w:fldCharType="begin"/>
      </w:r>
      <w:r w:rsidR="00160C21">
        <w:instrText xml:space="preserve"> ADDIN EN.CITE &lt;EndNote&gt;&lt;Cite&gt;&lt;Author&gt;Bingley&lt;/Author&gt;&lt;Year&gt;2004&lt;/Year&gt;&lt;RecNum&gt;301&lt;/RecNum&gt;&lt;DisplayText&gt;&lt;style face="superscript"&gt;2&lt;/style&gt;&lt;/DisplayText&gt;&lt;record&gt;&lt;rec-number&gt;301&lt;/rec-number&gt;&lt;foreign-keys&gt;&lt;key app="EN" db-id="tdwrx9xd1z9eepeevr355w2k959rv0f5zaax" timestamp="1632756296"&gt;301&lt;/key&gt;&lt;/foreign-keys&gt;&lt;ref-type name="Journal Article"&gt;17&lt;/ref-type&gt;&lt;contributors&gt;&lt;authors&gt;&lt;author&gt;Bingley, P. J.&lt;/author&gt;&lt;author&gt;Williams, A. J.&lt;/author&gt;&lt;author&gt;Norcross, A. J.&lt;/author&gt;&lt;author&gt;Unsworth, D. J.&lt;/author&gt;&lt;author&gt;Lock, R. J.&lt;/author&gt;&lt;author&gt;Ness, A. R.&lt;/author&gt;&lt;author&gt;Jones, R. W.&lt;/author&gt;&lt;author&gt;Avon Longitudinal Study of, Parents&lt;/author&gt;&lt;author&gt;Children Study, Team&lt;/author&gt;&lt;/authors&gt;&lt;/contributors&gt;&lt;auth-address&gt;Division of Medicine, University of Bristol, Southmead Hospital, Bristol BS10 5NB. polly.bingley@bristol.ac.uk&lt;/auth-address&gt;&lt;titles&gt;&lt;title&gt;Undiagnosed coeliac disease at age seven: population based prospective birth cohort study&lt;/title&gt;&lt;secondary-title&gt;BMJ&lt;/secondary-title&gt;&lt;/titles&gt;&lt;periodical&gt;&lt;full-title&gt;BMJ&lt;/full-title&gt;&lt;/periodical&gt;&lt;pages&gt;322-3&lt;/pages&gt;&lt;volume&gt;328&lt;/volume&gt;&lt;number&gt;7435&lt;/number&gt;&lt;edition&gt;2004/02/07&lt;/edition&gt;&lt;keywords&gt;&lt;keyword&gt;Celiac Disease/*diagnosis/epidemiology/immunology&lt;/keyword&gt;&lt;keyword&gt;Child&lt;/keyword&gt;&lt;keyword&gt;Cohort Studies&lt;/keyword&gt;&lt;keyword&gt;Female&lt;/keyword&gt;&lt;keyword&gt;Humans&lt;/keyword&gt;&lt;keyword&gt;Immunoglobulin A/analysis&lt;/keyword&gt;&lt;keyword&gt;Male&lt;/keyword&gt;&lt;keyword&gt;Muscle, Smooth/immunology&lt;/keyword&gt;&lt;keyword&gt;Prospective Studies&lt;/keyword&gt;&lt;keyword&gt;Sex Characteristics&lt;/keyword&gt;&lt;keyword&gt;United Kingdom/epidemiology&lt;/keyword&gt;&lt;/keywords&gt;&lt;dates&gt;&lt;year&gt;2004&lt;/year&gt;&lt;pub-dates&gt;&lt;date&gt;Feb 7&lt;/date&gt;&lt;/pub-dates&gt;&lt;/dates&gt;&lt;isbn&gt;1756-1833 (Electronic)&amp;#xD;0959-8138 (Linking)&lt;/isbn&gt;&lt;accession-num&gt;14764493&lt;/accession-num&gt;&lt;urls&gt;&lt;related-urls&gt;&lt;url&gt;https://www.ncbi.nlm.nih.gov/pubmed/14764493&lt;/url&gt;&lt;/related-urls&gt;&lt;/urls&gt;&lt;custom2&gt;PMC338097&lt;/custom2&gt;&lt;electronic-resource-num&gt;10.1136/bmj.328.7435.322&lt;/electronic-resource-num&gt;&lt;/record&gt;&lt;/Cite&gt;&lt;/EndNote&gt;</w:instrText>
      </w:r>
      <w:r w:rsidRPr="00734942">
        <w:fldChar w:fldCharType="separate"/>
      </w:r>
      <w:r w:rsidR="00160C21" w:rsidRPr="00160C21">
        <w:rPr>
          <w:noProof/>
          <w:vertAlign w:val="superscript"/>
        </w:rPr>
        <w:t>2</w:t>
      </w:r>
      <w:r w:rsidRPr="00734942">
        <w:fldChar w:fldCharType="end"/>
      </w:r>
      <w:r w:rsidRPr="00734942">
        <w:t xml:space="preserve"> however only </w:t>
      </w:r>
      <w:r w:rsidR="009D6BAD" w:rsidRPr="00734942">
        <w:t>30</w:t>
      </w:r>
      <w:r w:rsidRPr="00734942">
        <w:t>% of those with the condition are thought to be diagnosed.</w:t>
      </w:r>
      <w:r w:rsidR="00683DB4">
        <w:fldChar w:fldCharType="begin">
          <w:fldData xml:space="preserve">PEVuZE5vdGU+PENpdGU+PEF1dGhvcj5XZXN0PC9BdXRob3I+PFllYXI+MjAxOTwvWWVhcj48UmVj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=
</w:fldData>
        </w:fldChar>
      </w:r>
      <w:r w:rsidR="00160C21">
        <w:instrText xml:space="preserve"> ADDIN EN.CITE </w:instrText>
      </w:r>
      <w:r w:rsidR="00160C21">
        <w:fldChar w:fldCharType="begin">
          <w:fldData xml:space="preserve">PEVuZE5vdGU+PENpdGU+PEF1dGhvcj5XZXN0PC9BdXRob3I+PFllYXI+MjAxOTwvWWVhcj48UmVj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=
</w:fldData>
        </w:fldChar>
      </w:r>
      <w:r w:rsidR="00160C21">
        <w:instrText xml:space="preserve"> ADDIN EN.CITE.DATA </w:instrText>
      </w:r>
      <w:r w:rsidR="00160C21">
        <w:fldChar w:fldCharType="end"/>
      </w:r>
      <w:r w:rsidR="00683DB4">
        <w:fldChar w:fldCharType="separate"/>
      </w:r>
      <w:r w:rsidR="00160C21" w:rsidRPr="00160C21">
        <w:rPr>
          <w:noProof/>
          <w:vertAlign w:val="superscript"/>
        </w:rPr>
        <w:t>3</w:t>
      </w:r>
      <w:r w:rsidR="00683DB4">
        <w:fldChar w:fldCharType="end"/>
      </w:r>
    </w:p>
    <w:p w14:paraId="19B977B1" w14:textId="20BD6980" w:rsidR="00267F45" w:rsidRPr="00734942" w:rsidRDefault="00267F45" w:rsidP="00267F45">
      <w:r w:rsidRPr="00734942">
        <w:t xml:space="preserve">The only treatment for CD currently available is lifetime adherence to a </w:t>
      </w:r>
      <w:r w:rsidR="00345E39">
        <w:t>gluten-free diet</w:t>
      </w:r>
      <w:r w:rsidRPr="00734942">
        <w:t xml:space="preserve">, which can be difficult and restrictive, significantly impacting </w:t>
      </w:r>
      <w:r w:rsidR="00BB1EBB" w:rsidRPr="00734942">
        <w:t xml:space="preserve">the </w:t>
      </w:r>
      <w:r w:rsidRPr="00734942">
        <w:t xml:space="preserve">patient’s quality of life, meaning </w:t>
      </w:r>
      <w:r w:rsidR="00F5503D" w:rsidRPr="00734942">
        <w:t xml:space="preserve">it is important to be confident </w:t>
      </w:r>
      <w:r w:rsidR="000D1606" w:rsidRPr="00734942">
        <w:t>that a CD diagnosis is correct</w:t>
      </w:r>
      <w:r w:rsidRPr="00734942">
        <w:t>. If CD is not diagnosed promptly and the condition remains untreated, damage may be sustained to the surface of the small intestine and difficulty absorbing nutrients may lead to malnutrition, anaemia and/or osteoporosis.</w:t>
      </w:r>
      <w:r w:rsidR="00252943" w:rsidRPr="00734942">
        <w:rPr>
          <w:noProof/>
        </w:rPr>
        <w:fldChar w:fldCharType="begin">
          <w:fldData xml:space="preserve">PEVuZE5vdGU+PENpdGU+PEF1dGhvcj5XZXN0PC9BdXRob3I+PFllYXI+MjAxNDwvWWVhcj48UmVj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</w:fldData>
        </w:fldChar>
      </w:r>
      <w:r w:rsidR="00160C21">
        <w:rPr>
          <w:noProof/>
        </w:rPr>
        <w:instrText xml:space="preserve"> ADDIN EN.CITE </w:instrText>
      </w:r>
      <w:r w:rsidR="00160C21">
        <w:rPr>
          <w:noProof/>
        </w:rPr>
        <w:fldChar w:fldCharType="begin">
          <w:fldData xml:space="preserve">PEVuZE5vdGU+PENpdGU+PEF1dGhvcj5XZXN0PC9BdXRob3I+PFllYXI+MjAxNDwvWWVhcj48UmVj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</w:fldData>
        </w:fldChar>
      </w:r>
      <w:r w:rsidR="00160C21">
        <w:rPr>
          <w:noProof/>
        </w:rPr>
        <w:instrText xml:space="preserve"> ADDIN EN.CITE.DATA </w:instrText>
      </w:r>
      <w:r w:rsidR="00160C21">
        <w:rPr>
          <w:noProof/>
        </w:rPr>
      </w:r>
      <w:r w:rsidR="00160C21">
        <w:rPr>
          <w:noProof/>
        </w:rPr>
        <w:fldChar w:fldCharType="end"/>
      </w:r>
      <w:r w:rsidR="00252943" w:rsidRPr="00734942">
        <w:rPr>
          <w:noProof/>
        </w:rPr>
      </w:r>
      <w:r w:rsidR="00252943" w:rsidRPr="00734942">
        <w:rPr>
          <w:noProof/>
        </w:rPr>
        <w:fldChar w:fldCharType="separate"/>
      </w:r>
      <w:r w:rsidR="00160C21" w:rsidRPr="00160C21">
        <w:rPr>
          <w:noProof/>
          <w:vertAlign w:val="superscript"/>
        </w:rPr>
        <w:t>4</w:t>
      </w:r>
      <w:r w:rsidR="00252943" w:rsidRPr="00734942">
        <w:rPr>
          <w:noProof/>
        </w:rPr>
        <w:fldChar w:fldCharType="end"/>
      </w:r>
      <w:r w:rsidRPr="00734942">
        <w:t xml:space="preserve"> In the long-term, untreated CD may lead to a higher risk of serious complications, such as lymphoma</w:t>
      </w:r>
      <w:r w:rsidR="00EE60E9">
        <w:t>, osteoporosis</w:t>
      </w:r>
      <w:r w:rsidRPr="00734942">
        <w:t xml:space="preserve"> and small bowel cancer.</w:t>
      </w:r>
      <w:r w:rsidRPr="00734942">
        <w:fldChar w:fldCharType="begin">
          <w:fldData xml:space="preserve">PEVuZE5vdGU+PENpdGU+PEF1dGhvcj5HcmVlbjwvQXV0aG9yPjxZZWFyPjIwMDk8L1llYXI+PFJl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</w:fldData>
        </w:fldChar>
      </w:r>
      <w:r w:rsidR="00160C21">
        <w:instrText xml:space="preserve"> ADDIN EN.CITE </w:instrText>
      </w:r>
      <w:r w:rsidR="00160C21">
        <w:fldChar w:fldCharType="begin">
          <w:fldData xml:space="preserve">PEVuZE5vdGU+PENpdGU+PEF1dGhvcj5HcmVlbjwvQXV0aG9yPjxZZWFyPjIwMDk8L1llYXI+PFJl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</w:fldData>
        </w:fldChar>
      </w:r>
      <w:r w:rsidR="00160C21">
        <w:instrText xml:space="preserve"> ADDIN EN.CITE.DATA </w:instrText>
      </w:r>
      <w:r w:rsidR="00160C21">
        <w:fldChar w:fldCharType="end"/>
      </w:r>
      <w:r w:rsidRPr="00734942">
        <w:fldChar w:fldCharType="separate"/>
      </w:r>
      <w:r w:rsidR="00160C21" w:rsidRPr="00160C21">
        <w:rPr>
          <w:noProof/>
          <w:vertAlign w:val="superscript"/>
        </w:rPr>
        <w:t>5, 6</w:t>
      </w:r>
      <w:r w:rsidRPr="00734942">
        <w:fldChar w:fldCharType="end"/>
      </w:r>
    </w:p>
    <w:p w14:paraId="7B3189FA" w14:textId="76AC1B82" w:rsidR="00267F45" w:rsidRPr="00734942" w:rsidRDefault="00267F45" w:rsidP="00267F45">
      <w:r w:rsidRPr="00734942">
        <w:t>New treatments are in the development pathway, but most are still in pre-clinical phases. These aim to allow people with CD to be able to eat gluten, or to prevent inadvertent gluten contamination, without becoming symptomatic or damaging the intestinal lining.</w:t>
      </w:r>
      <w:r w:rsidRPr="00734942">
        <w:fldChar w:fldCharType="begin"/>
      </w:r>
      <w:r w:rsidR="00160C21">
        <w:instrText xml:space="preserve"> ADDIN EN.CITE &lt;EndNote&gt;&lt;Cite&gt;&lt;Author&gt;Caio&lt;/Author&gt;&lt;Year&gt;2020&lt;/Year&gt;&lt;RecNum&gt;338&lt;/RecNum&gt;&lt;DisplayText&gt;&lt;style face="superscript"&gt;7&lt;/style&gt;&lt;/DisplayText&gt;&lt;record&gt;&lt;rec-number&gt;338&lt;/rec-number&gt;&lt;foreign-keys&gt;&lt;key app="EN" db-id="tdwrx9xd1z9eepeevr355w2k959rv0f5zaax" timestamp="1633075931"&gt;338&lt;/key&gt;&lt;/foreign-keys&gt;&lt;ref-type name="Journal Article"&gt;17&lt;/ref-type&gt;&lt;contributors&gt;&lt;authors&gt;&lt;author&gt;Caio, Giacomo&lt;/author&gt;&lt;author&gt;Ciccocioppo, Rachele&lt;/author&gt;&lt;author&gt;Zoli, Giorgio&lt;/author&gt;&lt;author&gt;De Giorgio, Roberto&lt;/author&gt;&lt;author&gt;Volta, Umberto&lt;/author&gt;&lt;/authors&gt;&lt;/contributors&gt;&lt;titles&gt;&lt;title&gt;Therapeutic options for coeliac disease: What else beyond gluten-free diet?&lt;/title&gt;&lt;secondary-title&gt;Digestive and Liver Disease&lt;/secondary-title&gt;&lt;/titles&gt;&lt;periodical&gt;&lt;full-title&gt;Digestive and Liver Disease&lt;/full-title&gt;&lt;/periodical&gt;&lt;pages&gt;130-137&lt;/pages&gt;&lt;volume&gt;52&lt;/volume&gt;&lt;number&gt;2&lt;/number&gt;&lt;keywords&gt;&lt;keyword&gt;Immunotherapy&lt;/keyword&gt;&lt;keyword&gt;Larazotide acetate&lt;/keyword&gt;&lt;keyword&gt;Latiglutenase&lt;/keyword&gt;&lt;keyword&gt;Vaccine&lt;/keyword&gt;&lt;/keywords&gt;&lt;dates&gt;&lt;year&gt;2020&lt;/year&gt;&lt;pub-dates&gt;&lt;date&gt;2020/02/01/&lt;/date&gt;&lt;/pub-dates&gt;&lt;/dates&gt;&lt;isbn&gt;1590-8658&lt;/isbn&gt;&lt;urls&gt;&lt;related-urls&gt;&lt;url&gt;https://www.sciencedirect.com/science/article/pii/S1590865819309193&lt;/url&gt;&lt;/related-urls&gt;&lt;/urls&gt;&lt;electronic-resource-num&gt;https://doi.org/10.1016/j.dld.2019.11.010&lt;/electronic-resource-num&gt;&lt;/record&gt;&lt;/Cite&gt;&lt;/EndNote&gt;</w:instrText>
      </w:r>
      <w:r w:rsidRPr="00734942">
        <w:fldChar w:fldCharType="separate"/>
      </w:r>
      <w:r w:rsidR="00160C21" w:rsidRPr="00160C21">
        <w:rPr>
          <w:noProof/>
          <w:vertAlign w:val="superscript"/>
        </w:rPr>
        <w:t>7</w:t>
      </w:r>
      <w:r w:rsidRPr="00734942">
        <w:fldChar w:fldCharType="end"/>
      </w:r>
    </w:p>
    <w:p w14:paraId="3687435E" w14:textId="77777777" w:rsidR="00267F45" w:rsidRPr="00734942" w:rsidRDefault="00267F45" w:rsidP="00267F45">
      <w:pPr>
        <w:pStyle w:val="Heading2"/>
      </w:pPr>
      <w:bookmarkStart w:id="77" w:name="_Toc99539818"/>
      <w:r w:rsidRPr="00734942">
        <w:t>Diagnostic pathway</w:t>
      </w:r>
      <w:bookmarkEnd w:id="77"/>
    </w:p>
    <w:p w14:paraId="7E303740" w14:textId="77777777" w:rsidR="00267F45" w:rsidRPr="00734942" w:rsidRDefault="00267F45" w:rsidP="00267F45">
      <w:r w:rsidRPr="00734942">
        <w:t>The diagnostic pathway for CD broadly involves:</w:t>
      </w:r>
    </w:p>
    <w:p w14:paraId="1AC484BE" w14:textId="77777777" w:rsidR="00267F45" w:rsidRPr="00734942" w:rsidRDefault="00267F45" w:rsidP="004E1708">
      <w:pPr>
        <w:pStyle w:val="ListParagraph"/>
        <w:numPr>
          <w:ilvl w:val="0"/>
          <w:numId w:val="30"/>
        </w:numPr>
      </w:pPr>
      <w:r w:rsidRPr="00734942">
        <w:t>Identifying those at risk of CD who should be tested</w:t>
      </w:r>
    </w:p>
    <w:p w14:paraId="0025357C" w14:textId="77777777" w:rsidR="00267F45" w:rsidRPr="00734942" w:rsidRDefault="00267F45" w:rsidP="004E1708">
      <w:pPr>
        <w:pStyle w:val="ListParagraph"/>
        <w:numPr>
          <w:ilvl w:val="0"/>
          <w:numId w:val="30"/>
        </w:numPr>
      </w:pPr>
      <w:r w:rsidRPr="00734942">
        <w:t>Serological testing to identify potential CD</w:t>
      </w:r>
    </w:p>
    <w:p w14:paraId="2E817BF6" w14:textId="77777777" w:rsidR="00267F45" w:rsidRPr="00734942" w:rsidRDefault="00267F45" w:rsidP="004E1708">
      <w:pPr>
        <w:pStyle w:val="ListParagraph"/>
        <w:numPr>
          <w:ilvl w:val="0"/>
          <w:numId w:val="30"/>
        </w:numPr>
      </w:pPr>
      <w:r w:rsidRPr="00734942">
        <w:t>Biopsy confirmation of the diagnosis.</w:t>
      </w:r>
    </w:p>
    <w:p w14:paraId="387D62C3" w14:textId="77777777" w:rsidR="00267F45" w:rsidRPr="00734942" w:rsidRDefault="00267F45" w:rsidP="00267F45">
      <w:r w:rsidRPr="00734942">
        <w:t>However, there is lack of consensus across different guidelines on the exact diagnostic pathway – who should be tested, what tests they should have and whether biopsy confirmation is required.</w:t>
      </w:r>
    </w:p>
    <w:p w14:paraId="3D42A543" w14:textId="77777777" w:rsidR="00267F45" w:rsidRPr="00734942" w:rsidRDefault="00267F45" w:rsidP="00267F45">
      <w:pPr>
        <w:pStyle w:val="Heading3"/>
      </w:pPr>
      <w:bookmarkStart w:id="78" w:name="_Toc99539819"/>
      <w:r w:rsidRPr="00734942">
        <w:t>Identifying patients at risk who should be tested</w:t>
      </w:r>
      <w:bookmarkEnd w:id="78"/>
    </w:p>
    <w:p w14:paraId="40CACDB0" w14:textId="7BD8423C" w:rsidR="00267F45" w:rsidRPr="00734942" w:rsidRDefault="00267F45" w:rsidP="00267F45">
      <w:r w:rsidRPr="00734942">
        <w:t>Within the current diagnostic pathway for CD, adults and children “at high risk” of CD should be offered testing. However, there is a lack of consensus regarding who should be tested and whether certain patient groups are at sufficiently high risk to justify routine testing, or whether population-based screening may be appropriate. A recent cost-effectiveness analysis estimated that the cost for mass screening for CD at age 12 was 40,105 Euro per QALY</w:t>
      </w:r>
      <w:r w:rsidR="7C660D08" w:rsidRPr="00734942">
        <w:t xml:space="preserve"> (Quality-Adjusted Life Year)</w:t>
      </w:r>
      <w:r w:rsidRPr="00734942">
        <w:t xml:space="preserve"> gained – this is cost-effective at the commonly used threshold of 50,000 Euro per QALY gained.</w:t>
      </w:r>
      <w:r w:rsidRPr="00734942">
        <w:fldChar w:fldCharType="begin"/>
      </w:r>
      <w:r w:rsidR="00160C21">
        <w:instrText xml:space="preserve"> ADDIN EN.CITE &lt;EndNote&gt;&lt;Cite&gt;&lt;Author&gt;Norström&lt;/Author&gt;&lt;Year&gt;2021&lt;/Year&gt;&lt;RecNum&gt;339&lt;/RecNum&gt;&lt;DisplayText&gt;&lt;style face="superscript"&gt;8&lt;/style&gt;&lt;/DisplayText&gt;&lt;record&gt;&lt;rec-number&gt;339&lt;/rec-number&gt;&lt;foreign-keys&gt;&lt;key app="EN" db-id="tdwrx9xd1z9eepeevr355w2k959rv0f5zaax" timestamp="1633075990"&gt;339&lt;/key&gt;&lt;/foreign-keys&gt;&lt;ref-type name="Journal Article"&gt;17&lt;/ref-type&gt;&lt;contributors&gt;&lt;authors&gt;&lt;author&gt;Norström, Fredrik&lt;/author&gt;&lt;author&gt;Myléus, Anna&lt;/author&gt;&lt;author&gt;Nordyke, Katrina&lt;/author&gt;&lt;author&gt;Carlsson, Annelie&lt;/author&gt;&lt;author&gt;Högberg, Lotta&lt;/author&gt;&lt;author&gt;Sandström, Olof&lt;/author&gt;&lt;author&gt;Stenhammar, Lars&lt;/author&gt;&lt;author&gt;Ivarsson, Anneli&lt;/author&gt;&lt;author&gt;Lindholm, Lars&lt;/author&gt;&lt;/authors&gt;&lt;/contributors&gt;&lt;titles&gt;&lt;title&gt;Is mass screening for coeliac disease a wise use of resources? A health economic evaluation&lt;/title&gt;&lt;secondary-title&gt;BMC Gastroenterology&lt;/secondary-title&gt;&lt;/titles&gt;&lt;periodical&gt;&lt;full-title&gt;BMC Gastroenterology&lt;/full-title&gt;&lt;/periodical&gt;&lt;pages&gt;159&lt;/pages&gt;&lt;volume&gt;21&lt;/volume&gt;&lt;number&gt;1&lt;/number&gt;&lt;dates&gt;&lt;year&gt;2021&lt;/year&gt;&lt;pub-dates&gt;&lt;date&gt;2021/04/09&lt;/date&gt;&lt;/pub-dates&gt;&lt;/dates&gt;&lt;isbn&gt;1471-230X&lt;/isbn&gt;&lt;urls&gt;&lt;related-urls&gt;&lt;url&gt;https://doi.org/10.1186/s12876-021-01737-1&lt;/url&gt;&lt;/related-urls&gt;&lt;/urls&gt;&lt;electronic-resource-num&gt;10.1186/s12876-021-01737-1&lt;/electronic-resource-num&gt;&lt;/record&gt;&lt;/Cite&gt;&lt;/EndNote&gt;</w:instrText>
      </w:r>
      <w:r w:rsidRPr="00734942">
        <w:fldChar w:fldCharType="separate"/>
      </w:r>
      <w:r w:rsidR="00160C21" w:rsidRPr="00160C21">
        <w:rPr>
          <w:noProof/>
          <w:vertAlign w:val="superscript"/>
        </w:rPr>
        <w:t>8</w:t>
      </w:r>
      <w:r w:rsidRPr="00734942">
        <w:fldChar w:fldCharType="end"/>
      </w:r>
      <w:r w:rsidRPr="00734942">
        <w:t xml:space="preserve"> If mass screening is not considered appropriate, it is not clear what symptoms or conditions are suggestive of CD and should prompt testing, with recommendations varying across guidelines.</w:t>
      </w:r>
    </w:p>
    <w:p w14:paraId="3F41A451" w14:textId="0E9393AE" w:rsidR="00267F45" w:rsidRPr="00734942" w:rsidRDefault="00267F45" w:rsidP="00267F45">
      <w:r w:rsidRPr="00734942">
        <w:t>NICE guidelines, published in 2015,</w:t>
      </w:r>
      <w:r w:rsidRPr="00734942">
        <w:fldChar w:fldCharType="begin"/>
      </w:r>
      <w:r w:rsidR="008B12F5">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Pr="00734942">
        <w:fldChar w:fldCharType="separate"/>
      </w:r>
      <w:r w:rsidR="008B12F5" w:rsidRPr="008B12F5">
        <w:rPr>
          <w:noProof/>
          <w:vertAlign w:val="superscript"/>
        </w:rPr>
        <w:t>9</w:t>
      </w:r>
      <w:r w:rsidRPr="00734942">
        <w:fldChar w:fldCharType="end"/>
      </w:r>
      <w:r w:rsidRPr="00734942">
        <w:t xml:space="preserve"> recommend that people with any of the following symptoms or conditions be offered serological testing for </w:t>
      </w:r>
      <w:r w:rsidR="008B5E15">
        <w:t>CD</w:t>
      </w:r>
      <w:r w:rsidRPr="00734942">
        <w:t>:</w:t>
      </w:r>
    </w:p>
    <w:p w14:paraId="544986EC" w14:textId="77777777" w:rsidR="00267F45" w:rsidRPr="00734942" w:rsidRDefault="00267F45" w:rsidP="004E1708">
      <w:pPr>
        <w:pStyle w:val="ListParagraph"/>
        <w:numPr>
          <w:ilvl w:val="0"/>
          <w:numId w:val="26"/>
        </w:numPr>
      </w:pPr>
      <w:r w:rsidRPr="00734942">
        <w:t>Persistent unexplained abdominal or gastrointestinal symptoms</w:t>
      </w:r>
    </w:p>
    <w:p w14:paraId="23CA0139" w14:textId="77777777" w:rsidR="00267F45" w:rsidRPr="00734942" w:rsidRDefault="00267F45" w:rsidP="004E1708">
      <w:pPr>
        <w:pStyle w:val="ListParagraph"/>
        <w:numPr>
          <w:ilvl w:val="0"/>
          <w:numId w:val="26"/>
        </w:numPr>
      </w:pPr>
      <w:r w:rsidRPr="00734942">
        <w:t>Faltering growth</w:t>
      </w:r>
    </w:p>
    <w:p w14:paraId="179DBA5B" w14:textId="77777777" w:rsidR="00267F45" w:rsidRPr="00734942" w:rsidRDefault="00267F45" w:rsidP="004E1708">
      <w:pPr>
        <w:pStyle w:val="ListParagraph"/>
        <w:numPr>
          <w:ilvl w:val="0"/>
          <w:numId w:val="26"/>
        </w:numPr>
      </w:pPr>
      <w:r w:rsidRPr="00734942">
        <w:t>Prolonged fatigue</w:t>
      </w:r>
    </w:p>
    <w:p w14:paraId="1902F5F3" w14:textId="77777777" w:rsidR="00267F45" w:rsidRPr="00734942" w:rsidRDefault="00267F45" w:rsidP="004E1708">
      <w:pPr>
        <w:pStyle w:val="ListParagraph"/>
        <w:numPr>
          <w:ilvl w:val="0"/>
          <w:numId w:val="26"/>
        </w:numPr>
      </w:pPr>
      <w:r w:rsidRPr="00734942">
        <w:t>Unexpected weight loss</w:t>
      </w:r>
    </w:p>
    <w:p w14:paraId="21A22A4B" w14:textId="77777777" w:rsidR="00267F45" w:rsidRPr="00734942" w:rsidRDefault="00267F45" w:rsidP="004E1708">
      <w:pPr>
        <w:pStyle w:val="ListParagraph"/>
        <w:numPr>
          <w:ilvl w:val="0"/>
          <w:numId w:val="26"/>
        </w:numPr>
      </w:pPr>
      <w:r w:rsidRPr="00734942">
        <w:t>Severe or persistent mouth ulcers</w:t>
      </w:r>
    </w:p>
    <w:p w14:paraId="653D4FDE" w14:textId="77777777" w:rsidR="00267F45" w:rsidRPr="00734942" w:rsidRDefault="00267F45" w:rsidP="004E1708">
      <w:pPr>
        <w:pStyle w:val="ListParagraph"/>
        <w:numPr>
          <w:ilvl w:val="0"/>
          <w:numId w:val="26"/>
        </w:numPr>
      </w:pPr>
      <w:r w:rsidRPr="00734942">
        <w:t>Unexplained iron, vitamin B12 or folate deficiency</w:t>
      </w:r>
    </w:p>
    <w:p w14:paraId="7C2DE291" w14:textId="1AAC4BB4" w:rsidR="00267F45" w:rsidRPr="00734942" w:rsidRDefault="00267F45" w:rsidP="004E1708">
      <w:pPr>
        <w:pStyle w:val="ListParagraph"/>
        <w:numPr>
          <w:ilvl w:val="0"/>
          <w:numId w:val="26"/>
        </w:numPr>
      </w:pPr>
      <w:r w:rsidRPr="00734942">
        <w:lastRenderedPageBreak/>
        <w:t>Type</w:t>
      </w:r>
      <w:r w:rsidR="00A65A5D">
        <w:t xml:space="preserve"> </w:t>
      </w:r>
      <w:r w:rsidRPr="00734942">
        <w:t>1</w:t>
      </w:r>
      <w:r w:rsidR="00A65A5D">
        <w:t xml:space="preserve"> </w:t>
      </w:r>
      <w:r w:rsidRPr="00734942">
        <w:t>diabetes</w:t>
      </w:r>
    </w:p>
    <w:p w14:paraId="0759DC99" w14:textId="77777777" w:rsidR="00267F45" w:rsidRPr="00734942" w:rsidRDefault="00267F45" w:rsidP="004E1708">
      <w:pPr>
        <w:pStyle w:val="ListParagraph"/>
        <w:numPr>
          <w:ilvl w:val="0"/>
          <w:numId w:val="26"/>
        </w:numPr>
      </w:pPr>
      <w:r w:rsidRPr="00734942">
        <w:t>Autoimmune thyroid disease</w:t>
      </w:r>
    </w:p>
    <w:p w14:paraId="1D70A03E" w14:textId="77777777" w:rsidR="00267F45" w:rsidRPr="00734942" w:rsidRDefault="00267F45" w:rsidP="004E1708">
      <w:pPr>
        <w:pStyle w:val="ListParagraph"/>
        <w:numPr>
          <w:ilvl w:val="0"/>
          <w:numId w:val="26"/>
        </w:numPr>
      </w:pPr>
      <w:r w:rsidRPr="00734942">
        <w:t>Irritable bowel syndrome (adults only)</w:t>
      </w:r>
    </w:p>
    <w:p w14:paraId="04C02904" w14:textId="4E5A5869" w:rsidR="00267F45" w:rsidRPr="00734942" w:rsidRDefault="00267F45" w:rsidP="004E1708">
      <w:pPr>
        <w:pStyle w:val="ListParagraph"/>
        <w:numPr>
          <w:ilvl w:val="0"/>
          <w:numId w:val="26"/>
        </w:numPr>
      </w:pPr>
      <w:r w:rsidRPr="00734942">
        <w:t>First</w:t>
      </w:r>
      <w:r w:rsidR="00C21679" w:rsidRPr="00734942">
        <w:t xml:space="preserve"> </w:t>
      </w:r>
      <w:r w:rsidRPr="00734942">
        <w:t xml:space="preserve">degree relatives of people with </w:t>
      </w:r>
      <w:r w:rsidR="008B5E15">
        <w:t>CD</w:t>
      </w:r>
      <w:r w:rsidRPr="00734942">
        <w:t>.</w:t>
      </w:r>
    </w:p>
    <w:p w14:paraId="5AF244A9" w14:textId="345E0568" w:rsidR="00267F45" w:rsidRPr="00734942" w:rsidRDefault="00267F45" w:rsidP="00267F45">
      <w:r w:rsidRPr="00734942">
        <w:t xml:space="preserve">The guidelines also suggest that serological testing for </w:t>
      </w:r>
      <w:r w:rsidR="008B5E15">
        <w:t>CD</w:t>
      </w:r>
      <w:r w:rsidRPr="00734942">
        <w:t xml:space="preserve"> could be considered for people with any of the following symptoms or conditions:</w:t>
      </w:r>
    </w:p>
    <w:p w14:paraId="1B40E8CE" w14:textId="77777777" w:rsidR="00267F45" w:rsidRPr="00734942" w:rsidRDefault="00267F45" w:rsidP="004E1708">
      <w:pPr>
        <w:pStyle w:val="ListParagraph"/>
        <w:numPr>
          <w:ilvl w:val="0"/>
          <w:numId w:val="27"/>
        </w:numPr>
      </w:pPr>
      <w:r w:rsidRPr="00734942">
        <w:t>metabolic bone disorder (reduced bone mineral density or osteomalacia)</w:t>
      </w:r>
    </w:p>
    <w:p w14:paraId="242FDF69" w14:textId="77777777" w:rsidR="00267F45" w:rsidRPr="00734942" w:rsidRDefault="00267F45" w:rsidP="004E1708">
      <w:pPr>
        <w:pStyle w:val="ListParagraph"/>
        <w:numPr>
          <w:ilvl w:val="0"/>
          <w:numId w:val="27"/>
        </w:numPr>
      </w:pPr>
      <w:r w:rsidRPr="00734942">
        <w:t>unexplained neurological symptoms (particularly peripheral neuropathy or ataxia)</w:t>
      </w:r>
    </w:p>
    <w:p w14:paraId="5B9A77F0" w14:textId="77777777" w:rsidR="00267F45" w:rsidRPr="00734942" w:rsidRDefault="00267F45" w:rsidP="004E1708">
      <w:pPr>
        <w:pStyle w:val="ListParagraph"/>
        <w:numPr>
          <w:ilvl w:val="0"/>
          <w:numId w:val="27"/>
        </w:numPr>
      </w:pPr>
      <w:r w:rsidRPr="00734942">
        <w:t>unexplained subfertility or recurrent miscarriage</w:t>
      </w:r>
    </w:p>
    <w:p w14:paraId="4FF82640" w14:textId="77777777" w:rsidR="00267F45" w:rsidRPr="00734942" w:rsidRDefault="00267F45" w:rsidP="004E1708">
      <w:pPr>
        <w:pStyle w:val="ListParagraph"/>
        <w:numPr>
          <w:ilvl w:val="0"/>
          <w:numId w:val="27"/>
        </w:numPr>
      </w:pPr>
      <w:r w:rsidRPr="00734942">
        <w:t>persistently raised liver enzymes with unknown cause</w:t>
      </w:r>
    </w:p>
    <w:p w14:paraId="7DE04CF3" w14:textId="77777777" w:rsidR="00267F45" w:rsidRPr="00734942" w:rsidRDefault="00267F45" w:rsidP="004E1708">
      <w:pPr>
        <w:pStyle w:val="ListParagraph"/>
        <w:numPr>
          <w:ilvl w:val="0"/>
          <w:numId w:val="27"/>
        </w:numPr>
      </w:pPr>
      <w:r w:rsidRPr="00734942">
        <w:t>dental enamel defects</w:t>
      </w:r>
    </w:p>
    <w:p w14:paraId="20F4EF1B" w14:textId="0CBDAF83" w:rsidR="00267F45" w:rsidRPr="00734942" w:rsidRDefault="00A65A5D" w:rsidP="004E1708">
      <w:pPr>
        <w:pStyle w:val="ListParagraph"/>
        <w:numPr>
          <w:ilvl w:val="0"/>
          <w:numId w:val="27"/>
        </w:numPr>
      </w:pPr>
      <w:r>
        <w:t>Down</w:t>
      </w:r>
      <w:r w:rsidR="00267F45" w:rsidRPr="00734942">
        <w:t xml:space="preserve"> syndrome</w:t>
      </w:r>
    </w:p>
    <w:p w14:paraId="6F8596C7" w14:textId="77777777" w:rsidR="00267F45" w:rsidRPr="00734942" w:rsidRDefault="00267F45" w:rsidP="004E1708">
      <w:pPr>
        <w:pStyle w:val="ListParagraph"/>
        <w:numPr>
          <w:ilvl w:val="0"/>
          <w:numId w:val="27"/>
        </w:numPr>
      </w:pPr>
      <w:r w:rsidRPr="00734942">
        <w:t>Turner syndrome.</w:t>
      </w:r>
    </w:p>
    <w:p w14:paraId="72F6446E" w14:textId="7B8B233D" w:rsidR="00267F45" w:rsidRPr="00734942" w:rsidRDefault="00267F45" w:rsidP="00267F45">
      <w:r w:rsidRPr="00734942">
        <w:t>Other guidelines vary in recommendations on who should be tested for CD. For example, the 2020 ESPGHAN (European Society for Paediatric Gastroenterology, Hepatology and Nutrition) guidelines</w:t>
      </w:r>
      <w:r w:rsidR="004F1DC2">
        <w:fldChar w:fldCharType="begin">
          <w:fldData xml:space="preserve">PEVuZE5vdGU+PENpdGU+PEF1dGhvcj5IdXNieTwvQXV0aG9yPjxZZWFyPjIwMjA8L1llYXI+PFJl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YW5kIE51dHJpdGlvbjwvZnVsbC10aXRsZT48L3BlcmlvZGljYWw+PHBhZ2VzPjE0MS0xNTY8L3Bh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</w:fldData>
        </w:fldChar>
      </w:r>
      <w:r w:rsidR="004F191E">
        <w:instrText xml:space="preserve"> ADDIN EN.CITE </w:instrText>
      </w:r>
      <w:r w:rsidR="004F191E">
        <w:fldChar w:fldCharType="begin">
          <w:fldData xml:space="preserve">PEVuZE5vdGU+PENpdGU+PEF1dGhvcj5IdXNieTwvQXV0aG9yPjxZZWFyPjIwMjA8L1llYXI+PFJl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YW5kIE51dHJpdGlvbjwvZnVsbC10aXRsZT48L3BlcmlvZGljYWw+PHBhZ2VzPjE0MS0xNTY8L3Bh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</w:fldData>
        </w:fldChar>
      </w:r>
      <w:r w:rsidR="004F191E">
        <w:instrText xml:space="preserve"> ADDIN EN.CITE.DATA </w:instrText>
      </w:r>
      <w:r w:rsidR="004F191E">
        <w:fldChar w:fldCharType="end"/>
      </w:r>
      <w:r w:rsidR="004F1DC2">
        <w:fldChar w:fldCharType="separate"/>
      </w:r>
      <w:r w:rsidR="004F191E" w:rsidRPr="004F191E">
        <w:rPr>
          <w:noProof/>
          <w:vertAlign w:val="superscript"/>
        </w:rPr>
        <w:t>10, 11</w:t>
      </w:r>
      <w:r w:rsidR="004F1DC2">
        <w:fldChar w:fldCharType="end"/>
      </w:r>
      <w:r w:rsidRPr="00734942">
        <w:t xml:space="preserve"> for the diagnosis of paediatric CD suggest that children and adolescents with the following symptoms or conditions should also be tested:</w:t>
      </w:r>
    </w:p>
    <w:p w14:paraId="6CAC1EC7" w14:textId="77777777" w:rsidR="00267F45" w:rsidRPr="00734942" w:rsidRDefault="00267F45" w:rsidP="004E1708">
      <w:pPr>
        <w:pStyle w:val="ListParagraph"/>
        <w:numPr>
          <w:ilvl w:val="0"/>
          <w:numId w:val="28"/>
        </w:numPr>
      </w:pPr>
      <w:r w:rsidRPr="00734942">
        <w:t>Chronic or intermittent diarrhoea, constipation/abdominal pain, distended abdomen or recurrent nausea and/or vomiting</w:t>
      </w:r>
    </w:p>
    <w:p w14:paraId="2225AB03" w14:textId="77777777" w:rsidR="00267F45" w:rsidRPr="00734942" w:rsidRDefault="00267F45" w:rsidP="004E1708">
      <w:pPr>
        <w:pStyle w:val="ListParagraph"/>
        <w:numPr>
          <w:ilvl w:val="0"/>
          <w:numId w:val="28"/>
        </w:numPr>
      </w:pPr>
      <w:r w:rsidRPr="00734942">
        <w:t>Failure-to-thrive</w:t>
      </w:r>
    </w:p>
    <w:p w14:paraId="1A1E492A" w14:textId="77777777" w:rsidR="00267F45" w:rsidRPr="00734942" w:rsidRDefault="00267F45" w:rsidP="004E1708">
      <w:pPr>
        <w:pStyle w:val="ListParagraph"/>
        <w:numPr>
          <w:ilvl w:val="0"/>
          <w:numId w:val="28"/>
        </w:numPr>
      </w:pPr>
      <w:r w:rsidRPr="00734942">
        <w:t>Delayed puberty, amenorrhea</w:t>
      </w:r>
    </w:p>
    <w:p w14:paraId="16E99725" w14:textId="77777777" w:rsidR="00267F45" w:rsidRPr="00734942" w:rsidRDefault="00267F45" w:rsidP="004E1708">
      <w:pPr>
        <w:pStyle w:val="ListParagraph"/>
        <w:numPr>
          <w:ilvl w:val="0"/>
          <w:numId w:val="28"/>
        </w:numPr>
      </w:pPr>
      <w:r w:rsidRPr="00734942">
        <w:t>Irritability</w:t>
      </w:r>
    </w:p>
    <w:p w14:paraId="1A58137A" w14:textId="77777777" w:rsidR="00267F45" w:rsidRPr="00734942" w:rsidRDefault="00267F45" w:rsidP="004E1708">
      <w:pPr>
        <w:pStyle w:val="ListParagraph"/>
        <w:numPr>
          <w:ilvl w:val="0"/>
          <w:numId w:val="28"/>
        </w:numPr>
      </w:pPr>
      <w:r w:rsidRPr="00734942">
        <w:t>Arthritis/arthralgia</w:t>
      </w:r>
    </w:p>
    <w:p w14:paraId="3FEFE92A" w14:textId="77777777" w:rsidR="00267F45" w:rsidRPr="00734942" w:rsidRDefault="00267F45" w:rsidP="004E1708">
      <w:pPr>
        <w:pStyle w:val="ListParagraph"/>
        <w:numPr>
          <w:ilvl w:val="0"/>
          <w:numId w:val="28"/>
        </w:numPr>
      </w:pPr>
      <w:r w:rsidRPr="00734942">
        <w:t>Recurrent aphthous stomatitis</w:t>
      </w:r>
    </w:p>
    <w:p w14:paraId="71D0D2C9" w14:textId="77777777" w:rsidR="00267F45" w:rsidRPr="00734942" w:rsidRDefault="00267F45" w:rsidP="004E1708">
      <w:pPr>
        <w:pStyle w:val="ListParagraph"/>
        <w:numPr>
          <w:ilvl w:val="0"/>
          <w:numId w:val="28"/>
        </w:numPr>
      </w:pPr>
      <w:r w:rsidRPr="00734942">
        <w:t>Dermatitis herpetiformis–type rash</w:t>
      </w:r>
    </w:p>
    <w:p w14:paraId="733363C0" w14:textId="77777777" w:rsidR="00267F45" w:rsidRPr="00734942" w:rsidRDefault="00267F45" w:rsidP="004E1708">
      <w:pPr>
        <w:pStyle w:val="ListParagraph"/>
        <w:numPr>
          <w:ilvl w:val="0"/>
          <w:numId w:val="28"/>
        </w:numPr>
      </w:pPr>
      <w:r w:rsidRPr="00734942">
        <w:t>Williams-Beuren syndrome</w:t>
      </w:r>
    </w:p>
    <w:p w14:paraId="1586AAF9" w14:textId="77777777" w:rsidR="00267F45" w:rsidRPr="00734942" w:rsidRDefault="00267F45" w:rsidP="004E1708">
      <w:pPr>
        <w:pStyle w:val="ListParagraph"/>
        <w:numPr>
          <w:ilvl w:val="0"/>
          <w:numId w:val="28"/>
        </w:numPr>
      </w:pPr>
      <w:r w:rsidRPr="00734942">
        <w:t xml:space="preserve">IgA deficiency </w:t>
      </w:r>
    </w:p>
    <w:p w14:paraId="6A59CD6C" w14:textId="77777777" w:rsidR="00267F45" w:rsidRPr="00734942" w:rsidRDefault="00267F45" w:rsidP="004E1708">
      <w:pPr>
        <w:pStyle w:val="ListParagraph"/>
        <w:numPr>
          <w:ilvl w:val="0"/>
          <w:numId w:val="28"/>
        </w:numPr>
      </w:pPr>
      <w:r w:rsidRPr="00734942">
        <w:t>Liver disease</w:t>
      </w:r>
    </w:p>
    <w:p w14:paraId="122AA691" w14:textId="66894C05" w:rsidR="00267F45" w:rsidRPr="00734942" w:rsidRDefault="00267F45" w:rsidP="00267F45">
      <w:r w:rsidRPr="00734942">
        <w:t>The ESsCD (European Society for the Study of Coeliac Disease) 2019 guidelines</w:t>
      </w:r>
      <w:r w:rsidRPr="0073494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 </w:instrText>
      </w:r>
      <w:r w:rsidR="0005281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EN.CITE.DATA </w:instrText>
      </w:r>
      <w:r w:rsidR="00052812">
        <w:fldChar w:fldCharType="end"/>
      </w:r>
      <w:r w:rsidRPr="00734942">
        <w:fldChar w:fldCharType="separate"/>
      </w:r>
      <w:r w:rsidR="00052812" w:rsidRPr="00052812">
        <w:rPr>
          <w:noProof/>
          <w:vertAlign w:val="superscript"/>
        </w:rPr>
        <w:t>12</w:t>
      </w:r>
      <w:r w:rsidRPr="00734942">
        <w:fldChar w:fldCharType="end"/>
      </w:r>
      <w:r w:rsidR="004F1DC2">
        <w:t xml:space="preserve"> </w:t>
      </w:r>
      <w:r w:rsidRPr="00734942">
        <w:t>recommend testing in the following additional groups:</w:t>
      </w:r>
    </w:p>
    <w:p w14:paraId="0944C599" w14:textId="77777777" w:rsidR="00267F45" w:rsidRPr="00734942" w:rsidRDefault="00267F45" w:rsidP="004E1708">
      <w:pPr>
        <w:pStyle w:val="ListParagraph"/>
        <w:numPr>
          <w:ilvl w:val="0"/>
          <w:numId w:val="29"/>
        </w:numPr>
      </w:pPr>
      <w:r w:rsidRPr="00734942">
        <w:t>Microscopic colitis</w:t>
      </w:r>
    </w:p>
    <w:p w14:paraId="2E5D258C" w14:textId="77777777" w:rsidR="00267F45" w:rsidRPr="00734942" w:rsidRDefault="00267F45" w:rsidP="004E1708">
      <w:pPr>
        <w:pStyle w:val="ListParagraph"/>
        <w:numPr>
          <w:ilvl w:val="0"/>
          <w:numId w:val="29"/>
        </w:numPr>
      </w:pPr>
      <w:r w:rsidRPr="00734942">
        <w:t>Early menopause</w:t>
      </w:r>
    </w:p>
    <w:p w14:paraId="467630B8" w14:textId="77777777" w:rsidR="00267F45" w:rsidRPr="00734942" w:rsidRDefault="00267F45" w:rsidP="004E1708">
      <w:pPr>
        <w:pStyle w:val="ListParagraph"/>
        <w:numPr>
          <w:ilvl w:val="0"/>
          <w:numId w:val="29"/>
        </w:numPr>
      </w:pPr>
      <w:r w:rsidRPr="00734942">
        <w:t>Acute or chronic pancreatitis</w:t>
      </w:r>
    </w:p>
    <w:p w14:paraId="3F37D9E9" w14:textId="77777777" w:rsidR="00267F45" w:rsidRPr="00734942" w:rsidRDefault="00267F45" w:rsidP="004E1708">
      <w:pPr>
        <w:pStyle w:val="ListParagraph"/>
        <w:numPr>
          <w:ilvl w:val="0"/>
          <w:numId w:val="29"/>
        </w:numPr>
      </w:pPr>
      <w:r w:rsidRPr="00734942">
        <w:t>Epilepsy</w:t>
      </w:r>
    </w:p>
    <w:p w14:paraId="5CAF9C08" w14:textId="77777777" w:rsidR="00267F45" w:rsidRPr="00734942" w:rsidRDefault="00267F45" w:rsidP="004E1708">
      <w:pPr>
        <w:pStyle w:val="ListParagraph"/>
        <w:numPr>
          <w:ilvl w:val="0"/>
          <w:numId w:val="29"/>
        </w:numPr>
      </w:pPr>
      <w:r w:rsidRPr="00734942">
        <w:t>Headaches including migraines</w:t>
      </w:r>
    </w:p>
    <w:p w14:paraId="5801B752" w14:textId="77777777" w:rsidR="00267F45" w:rsidRPr="00734942" w:rsidRDefault="00267F45" w:rsidP="004E1708">
      <w:pPr>
        <w:pStyle w:val="ListParagraph"/>
        <w:numPr>
          <w:ilvl w:val="0"/>
          <w:numId w:val="29"/>
        </w:numPr>
      </w:pPr>
      <w:r w:rsidRPr="00734942">
        <w:t>Mood disorders</w:t>
      </w:r>
    </w:p>
    <w:p w14:paraId="54E2AB84" w14:textId="77777777" w:rsidR="00267F45" w:rsidRPr="00734942" w:rsidRDefault="00267F45" w:rsidP="004E1708">
      <w:pPr>
        <w:pStyle w:val="ListParagraph"/>
        <w:numPr>
          <w:ilvl w:val="0"/>
          <w:numId w:val="29"/>
        </w:numPr>
      </w:pPr>
      <w:r w:rsidRPr="00734942">
        <w:t>Attention-deficit disorder/cognitive impairment</w:t>
      </w:r>
    </w:p>
    <w:p w14:paraId="16DAC1EB" w14:textId="77777777" w:rsidR="00267F45" w:rsidRPr="00734942" w:rsidRDefault="00267F45" w:rsidP="004E1708">
      <w:pPr>
        <w:pStyle w:val="ListParagraph"/>
        <w:numPr>
          <w:ilvl w:val="0"/>
          <w:numId w:val="29"/>
        </w:numPr>
      </w:pPr>
      <w:r w:rsidRPr="00734942">
        <w:t>Hyposplenism or functional asplenia, psoriasis or other skin lesions, pulmonary haemosiderosis, and IgA nephropathy.</w:t>
      </w:r>
    </w:p>
    <w:p w14:paraId="614E1B7A" w14:textId="77777777" w:rsidR="00267F45" w:rsidRPr="00734942" w:rsidRDefault="00267F45" w:rsidP="00267F45">
      <w:pPr>
        <w:pStyle w:val="Heading3"/>
      </w:pPr>
      <w:bookmarkStart w:id="79" w:name="_Toc99539820"/>
      <w:r w:rsidRPr="00734942">
        <w:t>Serological Testing</w:t>
      </w:r>
      <w:bookmarkEnd w:id="79"/>
      <w:r w:rsidRPr="00734942">
        <w:t xml:space="preserve"> </w:t>
      </w:r>
    </w:p>
    <w:p w14:paraId="0C80FFA0" w14:textId="0D074501" w:rsidR="00267F45" w:rsidRPr="00734942" w:rsidRDefault="00267F45" w:rsidP="00267F45">
      <w:r w:rsidRPr="00734942">
        <w:t xml:space="preserve">There are a number of serological tests available for CD. These are summarised in </w:t>
      </w:r>
      <w:r w:rsidR="008063A3" w:rsidRPr="00734942">
        <w:fldChar w:fldCharType="begin"/>
      </w:r>
      <w:r w:rsidR="008063A3" w:rsidRPr="00734942">
        <w:instrText xml:space="preserve"> REF _Ref86162480 \h </w:instrText>
      </w:r>
      <w:r w:rsidR="008063A3" w:rsidRPr="00734942">
        <w:fldChar w:fldCharType="separate"/>
      </w:r>
      <w:r w:rsidR="008B5583" w:rsidRPr="0046106D">
        <w:t xml:space="preserve">Table </w:t>
      </w:r>
      <w:r w:rsidR="008B5583">
        <w:rPr>
          <w:noProof/>
        </w:rPr>
        <w:t>1</w:t>
      </w:r>
      <w:r w:rsidR="008063A3" w:rsidRPr="00734942">
        <w:fldChar w:fldCharType="end"/>
      </w:r>
      <w:r w:rsidRPr="00734942">
        <w:t xml:space="preserve">. For all currently available serological tests, patients must continue to eat gluten daily for the 6 weeks prior to testing. Recommendations for serological testing for CD also vary across guidelines. Most </w:t>
      </w:r>
      <w:r w:rsidRPr="00734942">
        <w:lastRenderedPageBreak/>
        <w:t>guidelines recommend that people identified as potential</w:t>
      </w:r>
      <w:r w:rsidR="001B3601" w:rsidRPr="00734942">
        <w:t>ly</w:t>
      </w:r>
      <w:r w:rsidRPr="00734942">
        <w:t xml:space="preserve"> being at risk of having CD are first tested for immunoglobulin A (IgA) and IgA anti-tissue transglutaminase (tTG).</w:t>
      </w:r>
      <w:r w:rsidRPr="00734942">
        <w:fldChar w:fldCharType="begin">
          <w:fldData xml:space="preserve">PEVuZE5vdGU+PENpdGU+PEF1dGhvcj5IdXNieTwvQXV0aG9yPjxZZWFyPjIwMjA8L1llYXI+PFJl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=
</w:fldData>
        </w:fldChar>
      </w:r>
      <w:r w:rsidR="00735CC0">
        <w:instrText xml:space="preserve"> ADDIN EN.CITE </w:instrText>
      </w:r>
      <w:r w:rsidR="00735CC0">
        <w:fldChar w:fldCharType="begin">
          <w:fldData xml:space="preserve">PEVuZE5vdGU+PENpdGU+PEF1dGhvcj5IdXNieTwvQXV0aG9yPjxZZWFyPjIwMjA8L1llYXI+PFJl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=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9, 10</w:t>
      </w:r>
      <w:r w:rsidRPr="00734942">
        <w:fldChar w:fldCharType="end"/>
      </w:r>
      <w:r w:rsidRPr="00734942">
        <w:t xml:space="preserve"> Some guideline</w:t>
      </w:r>
      <w:r w:rsidR="001B3601" w:rsidRPr="00734942">
        <w:t>s</w:t>
      </w:r>
      <w:r w:rsidRPr="00734942">
        <w:t xml:space="preserve"> also recommend IgA </w:t>
      </w:r>
      <w:r w:rsidR="005A0EA1" w:rsidRPr="00734942">
        <w:rPr>
          <w:rFonts w:ascii="Calibri" w:eastAsia="Times New Roman" w:hAnsi="Calibri" w:cs="Calibri"/>
          <w:lang w:eastAsia="en-GB"/>
        </w:rPr>
        <w:t>e</w:t>
      </w:r>
      <w:r w:rsidR="004E7D0D" w:rsidRPr="00734942">
        <w:rPr>
          <w:rFonts w:ascii="Calibri" w:eastAsia="Times New Roman" w:hAnsi="Calibri" w:cs="Calibri"/>
          <w:lang w:eastAsia="en-GB"/>
        </w:rPr>
        <w:t>ndomysial antibody</w:t>
      </w:r>
      <w:r w:rsidR="004E7D0D" w:rsidRPr="00734942">
        <w:t xml:space="preserve"> (</w:t>
      </w:r>
      <w:r w:rsidRPr="00734942">
        <w:t>EMA</w:t>
      </w:r>
      <w:r w:rsidR="004E7D0D" w:rsidRPr="00734942">
        <w:t>)</w:t>
      </w:r>
      <w:r w:rsidRPr="00734942">
        <w:t xml:space="preserve"> testing following </w:t>
      </w:r>
      <w:r w:rsidR="5737FF4F" w:rsidRPr="00734942">
        <w:t>t</w:t>
      </w:r>
      <w:r w:rsidRPr="00734942">
        <w:t>TG testing – NICE guidelines recommend that those with a weak positive IgA tTG should also be tested with IgA EMA.</w:t>
      </w:r>
      <w:r w:rsidR="00735CC0">
        <w:fldChar w:fldCharType="begin"/>
      </w:r>
      <w:r w:rsidR="00735CC0">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00735CC0">
        <w:fldChar w:fldCharType="separate"/>
      </w:r>
      <w:r w:rsidR="00735CC0" w:rsidRPr="00735CC0">
        <w:rPr>
          <w:noProof/>
          <w:vertAlign w:val="superscript"/>
        </w:rPr>
        <w:t>9</w:t>
      </w:r>
      <w:r w:rsidR="00735CC0">
        <w:fldChar w:fldCharType="end"/>
      </w:r>
      <w:r w:rsidRPr="00734942">
        <w:t xml:space="preserve"> In practice, EMA testing is often conducted following a positive </w:t>
      </w:r>
      <w:r w:rsidR="5FA8F35D" w:rsidRPr="00734942">
        <w:t>t</w:t>
      </w:r>
      <w:r w:rsidRPr="00734942">
        <w:t>TG test to confirm the diagnosis. Testing for IgA deficiency is recommended as the IgA based serological tests will only produce a reliable result in those who are not IgA deficient. IgA deficiency affects around 0.5% of the general population but is more common in those with CD</w:t>
      </w:r>
      <w:r w:rsidR="00EE230E" w:rsidRPr="00734942">
        <w:t>,</w:t>
      </w:r>
      <w:r w:rsidRPr="00734942">
        <w:t xml:space="preserve"> affecting around 2 to 3%. If IgA deficiency is detected, then an IgG based</w:t>
      </w:r>
      <w:r w:rsidR="00EE230E" w:rsidRPr="00734942">
        <w:t xml:space="preserve"> </w:t>
      </w:r>
      <w:r w:rsidRPr="00734942">
        <w:t>test alternative is required. NICE and ESPGHAN guidelines recommend IgG EMA, IgG DGP or IgG tTG.</w:t>
      </w:r>
      <w:r w:rsidRPr="00734942">
        <w:fldChar w:fldCharType="begin">
          <w:fldData xml:space="preserve">PEVuZE5vdGU+PENpdGU+PEF1dGhvcj5IdXNieTwvQXV0aG9yPjxZZWFyPjIwMjA8L1llYXI+PFJl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=
</w:fldData>
        </w:fldChar>
      </w:r>
      <w:r w:rsidR="00735CC0">
        <w:instrText xml:space="preserve"> ADDIN EN.CITE </w:instrText>
      </w:r>
      <w:r w:rsidR="00735CC0">
        <w:fldChar w:fldCharType="begin">
          <w:fldData xml:space="preserve">PEVuZE5vdGU+PENpdGU+PEF1dGhvcj5IdXNieTwvQXV0aG9yPjxZZWFyPjIwMjA8L1llYXI+PFJl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=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9, 10</w:t>
      </w:r>
      <w:r w:rsidRPr="00734942">
        <w:fldChar w:fldCharType="end"/>
      </w:r>
      <w:r w:rsidRPr="00734942">
        <w:t xml:space="preserve"> AGA and antireculin antibodies, which were previously recommended for serological testing for CD, are now no longer recommended as the more recently developed assays are considered to have better accuracy.</w:t>
      </w:r>
      <w:r w:rsidRPr="0073494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 </w:instrText>
      </w:r>
      <w:r w:rsidR="0005281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EN.CITE.DATA </w:instrText>
      </w:r>
      <w:r w:rsidR="00052812">
        <w:fldChar w:fldCharType="end"/>
      </w:r>
      <w:r w:rsidRPr="00734942">
        <w:fldChar w:fldCharType="separate"/>
      </w:r>
      <w:r w:rsidR="00052812" w:rsidRPr="00052812">
        <w:rPr>
          <w:noProof/>
          <w:vertAlign w:val="superscript"/>
        </w:rPr>
        <w:t>12</w:t>
      </w:r>
      <w:r w:rsidRPr="00734942">
        <w:fldChar w:fldCharType="end"/>
      </w:r>
    </w:p>
    <w:p w14:paraId="4BDB4A9B" w14:textId="6A5035C4" w:rsidR="00267F45" w:rsidRPr="00734942" w:rsidRDefault="00267F45" w:rsidP="00267F45">
      <w:r w:rsidRPr="00734942">
        <w:t>Previous systematic reviews of the accuracy of serological testing for diagnosing CD suggest that the tests are highly sensitive and specific in both adults and children.</w:t>
      </w:r>
      <w:r w:rsidRPr="00734942">
        <w:fldChar w:fldCharType="begin">
          <w:fldData xml:space="preserve">PEVuZE5vdGU+PENpdGU+PEF1dGhvcj5HaWVyc2llcGVuPC9BdXRob3I+PFllYXI+MjAxMjwvWWVh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</w:fldData>
        </w:fldChar>
      </w:r>
      <w:r w:rsidR="00735CC0">
        <w:instrText xml:space="preserve"> ADDIN EN.CITE </w:instrText>
      </w:r>
      <w:r w:rsidR="00735CC0">
        <w:fldChar w:fldCharType="begin">
          <w:fldData xml:space="preserve">PEVuZE5vdGU+PENpdGU+PEF1dGhvcj5HaWVyc2llcGVuPC9BdXRob3I+PFllYXI+MjAxMjwvWWVh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13-16</w:t>
      </w:r>
      <w:r w:rsidRPr="00734942">
        <w:fldChar w:fldCharType="end"/>
      </w:r>
      <w:r w:rsidRPr="00734942">
        <w:rPr>
          <w:noProof/>
        </w:rPr>
        <w:t xml:space="preserve"> </w:t>
      </w:r>
      <w:r w:rsidRPr="00734942">
        <w:t xml:space="preserve">However, these systematic reviews are out-of-date and most have methodological limitations, including issues with the search strategy, how study quality was assessed and how results were synthesised. </w:t>
      </w:r>
    </w:p>
    <w:p w14:paraId="6800CCB0" w14:textId="5E86162B" w:rsidR="00465F38" w:rsidRPr="0046106D" w:rsidRDefault="00465F38" w:rsidP="0046106D">
      <w:pPr>
        <w:pStyle w:val="Caption"/>
      </w:pPr>
      <w:bookmarkStart w:id="80" w:name="_Ref86162480"/>
      <w:bookmarkStart w:id="81" w:name="_Toc99720712"/>
      <w:r w:rsidRPr="0046106D">
        <w:t xml:space="preserve">Table </w:t>
      </w:r>
      <w:r w:rsidRPr="005672CA">
        <w:fldChar w:fldCharType="begin"/>
      </w:r>
      <w:r w:rsidRPr="005672CA">
        <w:instrText>SEQ Table \* ARABIC</w:instrText>
      </w:r>
      <w:r w:rsidRPr="005672CA">
        <w:fldChar w:fldCharType="separate"/>
      </w:r>
      <w:r w:rsidR="008B5583">
        <w:rPr>
          <w:noProof/>
        </w:rPr>
        <w:t>1</w:t>
      </w:r>
      <w:r w:rsidRPr="005672CA">
        <w:fldChar w:fldCharType="end"/>
      </w:r>
      <w:bookmarkEnd w:id="80"/>
      <w:r w:rsidRPr="0046106D">
        <w:t xml:space="preserve"> Serological tests for coeliac disease</w:t>
      </w:r>
      <w:bookmarkEnd w:id="81"/>
    </w:p>
    <w:tbl>
      <w:tblPr>
        <w:tblStyle w:val="TableGrid"/>
        <w:tblW w:w="8956" w:type="dxa"/>
        <w:tblLook w:val="04A0" w:firstRow="1" w:lastRow="0" w:firstColumn="1" w:lastColumn="0" w:noHBand="0" w:noVBand="1"/>
      </w:tblPr>
      <w:tblGrid>
        <w:gridCol w:w="1838"/>
        <w:gridCol w:w="1134"/>
        <w:gridCol w:w="1265"/>
        <w:gridCol w:w="2025"/>
        <w:gridCol w:w="1529"/>
        <w:gridCol w:w="1165"/>
      </w:tblGrid>
      <w:tr w:rsidR="00267F45" w:rsidRPr="005672CA" w14:paraId="3D7C9573" w14:textId="77777777" w:rsidTr="00956A85">
        <w:tc>
          <w:tcPr>
            <w:tcW w:w="1838" w:type="dxa"/>
          </w:tcPr>
          <w:p w14:paraId="7E6D7088" w14:textId="77777777" w:rsidR="00267F45" w:rsidRPr="005672CA" w:rsidRDefault="00267F45" w:rsidP="00C804E1">
            <w:pPr>
              <w:rPr>
                <w:b/>
                <w:bCs/>
                <w:sz w:val="20"/>
                <w:szCs w:val="20"/>
              </w:rPr>
            </w:pPr>
            <w:r w:rsidRPr="005672CA">
              <w:rPr>
                <w:b/>
                <w:bCs/>
                <w:sz w:val="20"/>
                <w:szCs w:val="20"/>
              </w:rPr>
              <w:t>Serological Test</w:t>
            </w:r>
          </w:p>
        </w:tc>
        <w:tc>
          <w:tcPr>
            <w:tcW w:w="1134" w:type="dxa"/>
          </w:tcPr>
          <w:p w14:paraId="47830E63" w14:textId="77777777" w:rsidR="00267F45" w:rsidRPr="005672CA" w:rsidRDefault="00267F45" w:rsidP="00C804E1">
            <w:pPr>
              <w:rPr>
                <w:b/>
                <w:bCs/>
                <w:sz w:val="20"/>
                <w:szCs w:val="20"/>
              </w:rPr>
            </w:pPr>
            <w:r w:rsidRPr="005672CA">
              <w:rPr>
                <w:b/>
                <w:bCs/>
                <w:sz w:val="20"/>
                <w:szCs w:val="20"/>
              </w:rPr>
              <w:t xml:space="preserve">Antibody type </w:t>
            </w:r>
          </w:p>
        </w:tc>
        <w:tc>
          <w:tcPr>
            <w:tcW w:w="1265" w:type="dxa"/>
          </w:tcPr>
          <w:p w14:paraId="09CBC4E9" w14:textId="77777777" w:rsidR="00267F45" w:rsidRPr="005672CA" w:rsidRDefault="00267F45" w:rsidP="00C804E1">
            <w:pPr>
              <w:rPr>
                <w:b/>
                <w:bCs/>
                <w:sz w:val="20"/>
                <w:szCs w:val="20"/>
              </w:rPr>
            </w:pPr>
            <w:r w:rsidRPr="005672CA">
              <w:rPr>
                <w:b/>
                <w:bCs/>
                <w:sz w:val="20"/>
                <w:szCs w:val="20"/>
              </w:rPr>
              <w:t>Date available</w:t>
            </w:r>
          </w:p>
        </w:tc>
        <w:tc>
          <w:tcPr>
            <w:tcW w:w="2025" w:type="dxa"/>
          </w:tcPr>
          <w:p w14:paraId="694DC30F" w14:textId="77777777" w:rsidR="00267F45" w:rsidRPr="005672CA" w:rsidRDefault="00267F45" w:rsidP="00C804E1">
            <w:pPr>
              <w:rPr>
                <w:b/>
                <w:bCs/>
                <w:sz w:val="20"/>
                <w:szCs w:val="20"/>
              </w:rPr>
            </w:pPr>
            <w:r w:rsidRPr="005672CA">
              <w:rPr>
                <w:b/>
                <w:bCs/>
                <w:sz w:val="20"/>
                <w:szCs w:val="20"/>
              </w:rPr>
              <w:t>Test type</w:t>
            </w:r>
          </w:p>
        </w:tc>
        <w:tc>
          <w:tcPr>
            <w:tcW w:w="1529" w:type="dxa"/>
          </w:tcPr>
          <w:p w14:paraId="6740FAED" w14:textId="77777777" w:rsidR="00267F45" w:rsidRPr="005672CA" w:rsidRDefault="00267F45" w:rsidP="00C804E1">
            <w:pPr>
              <w:rPr>
                <w:b/>
                <w:bCs/>
                <w:sz w:val="20"/>
                <w:szCs w:val="20"/>
              </w:rPr>
            </w:pPr>
            <w:r w:rsidRPr="005672CA">
              <w:rPr>
                <w:b/>
                <w:bCs/>
                <w:sz w:val="20"/>
                <w:szCs w:val="20"/>
              </w:rPr>
              <w:t>Guidelines</w:t>
            </w:r>
          </w:p>
        </w:tc>
        <w:tc>
          <w:tcPr>
            <w:tcW w:w="1165" w:type="dxa"/>
          </w:tcPr>
          <w:p w14:paraId="42E74631" w14:textId="77777777" w:rsidR="00267F45" w:rsidRPr="005672CA" w:rsidRDefault="00267F45" w:rsidP="00C804E1">
            <w:pPr>
              <w:rPr>
                <w:b/>
                <w:bCs/>
                <w:sz w:val="20"/>
                <w:szCs w:val="20"/>
              </w:rPr>
            </w:pPr>
            <w:r w:rsidRPr="005672CA">
              <w:rPr>
                <w:b/>
                <w:bCs/>
                <w:sz w:val="20"/>
                <w:szCs w:val="20"/>
              </w:rPr>
              <w:t>UK Cost</w:t>
            </w:r>
          </w:p>
        </w:tc>
      </w:tr>
      <w:tr w:rsidR="00267F45" w:rsidRPr="005672CA" w14:paraId="733378B5" w14:textId="77777777" w:rsidTr="00956A85">
        <w:tc>
          <w:tcPr>
            <w:tcW w:w="1838" w:type="dxa"/>
          </w:tcPr>
          <w:p w14:paraId="6F7E39D6" w14:textId="77777777" w:rsidR="00267F45" w:rsidRPr="005672CA" w:rsidRDefault="00267F45" w:rsidP="00C804E1">
            <w:pPr>
              <w:rPr>
                <w:sz w:val="20"/>
                <w:szCs w:val="20"/>
              </w:rPr>
            </w:pPr>
            <w:r w:rsidRPr="005672CA">
              <w:rPr>
                <w:sz w:val="20"/>
                <w:szCs w:val="20"/>
              </w:rPr>
              <w:t>Tissue transglutaminase (tTG)</w:t>
            </w:r>
          </w:p>
        </w:tc>
        <w:tc>
          <w:tcPr>
            <w:tcW w:w="1134" w:type="dxa"/>
          </w:tcPr>
          <w:p w14:paraId="587DB782" w14:textId="77777777" w:rsidR="00267F45" w:rsidRPr="005672CA" w:rsidRDefault="00267F45" w:rsidP="00C804E1">
            <w:pPr>
              <w:rPr>
                <w:sz w:val="20"/>
                <w:szCs w:val="20"/>
              </w:rPr>
            </w:pPr>
            <w:r w:rsidRPr="005672CA">
              <w:rPr>
                <w:sz w:val="20"/>
                <w:szCs w:val="20"/>
              </w:rPr>
              <w:t>IgA or IgG</w:t>
            </w:r>
          </w:p>
        </w:tc>
        <w:tc>
          <w:tcPr>
            <w:tcW w:w="1265" w:type="dxa"/>
          </w:tcPr>
          <w:p w14:paraId="69F5DE4D" w14:textId="77777777" w:rsidR="00267F45" w:rsidRPr="005672CA" w:rsidRDefault="00267F45" w:rsidP="00C804E1">
            <w:pPr>
              <w:rPr>
                <w:sz w:val="20"/>
                <w:szCs w:val="20"/>
              </w:rPr>
            </w:pPr>
            <w:r w:rsidRPr="005672CA">
              <w:rPr>
                <w:sz w:val="20"/>
                <w:szCs w:val="20"/>
              </w:rPr>
              <w:t>1997</w:t>
            </w:r>
          </w:p>
        </w:tc>
        <w:tc>
          <w:tcPr>
            <w:tcW w:w="2025" w:type="dxa"/>
          </w:tcPr>
          <w:p w14:paraId="185E1547" w14:textId="77777777" w:rsidR="00267F45" w:rsidRPr="005672CA" w:rsidRDefault="00267F45" w:rsidP="00C804E1">
            <w:pPr>
              <w:rPr>
                <w:sz w:val="20"/>
                <w:szCs w:val="20"/>
              </w:rPr>
            </w:pPr>
            <w:r w:rsidRPr="005672CA">
              <w:rPr>
                <w:sz w:val="20"/>
                <w:szCs w:val="20"/>
              </w:rPr>
              <w:t>Enzyme-linked immunosorbent assay (ELISA).</w:t>
            </w:r>
          </w:p>
        </w:tc>
        <w:tc>
          <w:tcPr>
            <w:tcW w:w="1529" w:type="dxa"/>
          </w:tcPr>
          <w:p w14:paraId="6C630E72" w14:textId="77777777" w:rsidR="00267F45" w:rsidRPr="005672CA" w:rsidRDefault="00267F45" w:rsidP="00C804E1">
            <w:pPr>
              <w:rPr>
                <w:sz w:val="20"/>
                <w:szCs w:val="20"/>
              </w:rPr>
            </w:pPr>
            <w:r w:rsidRPr="005672CA">
              <w:rPr>
                <w:sz w:val="20"/>
                <w:szCs w:val="20"/>
              </w:rPr>
              <w:t>NICE</w:t>
            </w:r>
          </w:p>
          <w:p w14:paraId="2F2E1A76" w14:textId="77777777" w:rsidR="00267F45" w:rsidRPr="005672CA" w:rsidRDefault="00267F45" w:rsidP="00C804E1">
            <w:pPr>
              <w:rPr>
                <w:sz w:val="20"/>
                <w:szCs w:val="20"/>
              </w:rPr>
            </w:pPr>
            <w:r w:rsidRPr="005672CA">
              <w:rPr>
                <w:sz w:val="20"/>
                <w:szCs w:val="20"/>
              </w:rPr>
              <w:t>ESPGHAN</w:t>
            </w:r>
          </w:p>
        </w:tc>
        <w:tc>
          <w:tcPr>
            <w:tcW w:w="1165" w:type="dxa"/>
          </w:tcPr>
          <w:p w14:paraId="16B9DBD7" w14:textId="77777777" w:rsidR="00267F45" w:rsidRPr="005672CA" w:rsidRDefault="00267F45" w:rsidP="00C804E1">
            <w:pPr>
              <w:rPr>
                <w:sz w:val="20"/>
                <w:szCs w:val="20"/>
              </w:rPr>
            </w:pPr>
            <w:r w:rsidRPr="005672CA">
              <w:rPr>
                <w:sz w:val="20"/>
                <w:szCs w:val="20"/>
              </w:rPr>
              <w:t>£10.77 (SE: 2.15) </w:t>
            </w:r>
          </w:p>
        </w:tc>
      </w:tr>
      <w:tr w:rsidR="00267F45" w:rsidRPr="005672CA" w14:paraId="48774E59" w14:textId="77777777" w:rsidTr="00956A85">
        <w:tc>
          <w:tcPr>
            <w:tcW w:w="1838" w:type="dxa"/>
          </w:tcPr>
          <w:p w14:paraId="18AA9B09" w14:textId="77777777" w:rsidR="00267F45" w:rsidRPr="005672CA" w:rsidRDefault="00267F45" w:rsidP="00C804E1">
            <w:pPr>
              <w:rPr>
                <w:sz w:val="20"/>
                <w:szCs w:val="20"/>
              </w:rPr>
            </w:pPr>
            <w:r w:rsidRPr="005672CA">
              <w:rPr>
                <w:sz w:val="20"/>
                <w:szCs w:val="20"/>
              </w:rPr>
              <w:t>Endomysial antibody (EMA)</w:t>
            </w:r>
          </w:p>
        </w:tc>
        <w:tc>
          <w:tcPr>
            <w:tcW w:w="1134" w:type="dxa"/>
          </w:tcPr>
          <w:p w14:paraId="640A75AB" w14:textId="77777777" w:rsidR="00267F45" w:rsidRPr="005672CA" w:rsidRDefault="00267F45" w:rsidP="00C804E1">
            <w:pPr>
              <w:rPr>
                <w:sz w:val="20"/>
                <w:szCs w:val="20"/>
              </w:rPr>
            </w:pPr>
            <w:r w:rsidRPr="005672CA">
              <w:rPr>
                <w:sz w:val="20"/>
                <w:szCs w:val="20"/>
              </w:rPr>
              <w:t>IgA or IgG</w:t>
            </w:r>
          </w:p>
        </w:tc>
        <w:tc>
          <w:tcPr>
            <w:tcW w:w="1265" w:type="dxa"/>
          </w:tcPr>
          <w:p w14:paraId="00511351" w14:textId="2A34CDC2" w:rsidR="00267F45" w:rsidRPr="005672CA" w:rsidRDefault="005328DB" w:rsidP="00C804E1">
            <w:pPr>
              <w:rPr>
                <w:sz w:val="20"/>
                <w:szCs w:val="20"/>
              </w:rPr>
            </w:pPr>
            <w:r w:rsidRPr="005672CA">
              <w:rPr>
                <w:sz w:val="20"/>
                <w:szCs w:val="20"/>
              </w:rPr>
              <w:t>~</w:t>
            </w:r>
            <w:r w:rsidR="00267F45" w:rsidRPr="005672CA">
              <w:rPr>
                <w:sz w:val="20"/>
                <w:szCs w:val="20"/>
              </w:rPr>
              <w:t>1990</w:t>
            </w:r>
          </w:p>
        </w:tc>
        <w:tc>
          <w:tcPr>
            <w:tcW w:w="2025" w:type="dxa"/>
          </w:tcPr>
          <w:p w14:paraId="415EB702" w14:textId="77777777" w:rsidR="00267F45" w:rsidRPr="005672CA" w:rsidRDefault="00267F45" w:rsidP="00C804E1">
            <w:pPr>
              <w:rPr>
                <w:sz w:val="20"/>
                <w:szCs w:val="20"/>
              </w:rPr>
            </w:pPr>
            <w:r w:rsidRPr="005672CA">
              <w:rPr>
                <w:sz w:val="20"/>
                <w:szCs w:val="20"/>
              </w:rPr>
              <w:t>Indirect fluorescent antibody (IFA)</w:t>
            </w:r>
          </w:p>
        </w:tc>
        <w:tc>
          <w:tcPr>
            <w:tcW w:w="1529" w:type="dxa"/>
          </w:tcPr>
          <w:p w14:paraId="699FA47D" w14:textId="77777777" w:rsidR="00267F45" w:rsidRPr="005672CA" w:rsidRDefault="00267F45" w:rsidP="00C804E1">
            <w:pPr>
              <w:rPr>
                <w:sz w:val="20"/>
                <w:szCs w:val="20"/>
              </w:rPr>
            </w:pPr>
            <w:r w:rsidRPr="005672CA">
              <w:rPr>
                <w:sz w:val="20"/>
                <w:szCs w:val="20"/>
              </w:rPr>
              <w:t>NICE</w:t>
            </w:r>
          </w:p>
          <w:p w14:paraId="2C7632B1" w14:textId="77777777" w:rsidR="00267F45" w:rsidRPr="005672CA" w:rsidRDefault="00267F45" w:rsidP="00C804E1">
            <w:pPr>
              <w:rPr>
                <w:rFonts w:ascii="Merriweather" w:hAnsi="Merriweather"/>
                <w:color w:val="575757"/>
                <w:sz w:val="20"/>
                <w:szCs w:val="20"/>
                <w:shd w:val="clear" w:color="auto" w:fill="FFFFFF"/>
              </w:rPr>
            </w:pPr>
            <w:r w:rsidRPr="005672CA">
              <w:rPr>
                <w:sz w:val="20"/>
                <w:szCs w:val="20"/>
              </w:rPr>
              <w:t>ESPGHAN</w:t>
            </w:r>
          </w:p>
        </w:tc>
        <w:tc>
          <w:tcPr>
            <w:tcW w:w="1165" w:type="dxa"/>
          </w:tcPr>
          <w:p w14:paraId="4D837DA0" w14:textId="676BB3CD" w:rsidR="00267F45" w:rsidRPr="005672CA" w:rsidRDefault="00267F45" w:rsidP="00C804E1">
            <w:pPr>
              <w:rPr>
                <w:sz w:val="20"/>
                <w:szCs w:val="20"/>
              </w:rPr>
            </w:pPr>
            <w:r w:rsidRPr="005672CA">
              <w:rPr>
                <w:sz w:val="20"/>
                <w:szCs w:val="20"/>
              </w:rPr>
              <w:t>£14.92 (SE: 1.87)</w:t>
            </w:r>
          </w:p>
        </w:tc>
      </w:tr>
      <w:tr w:rsidR="00267F45" w:rsidRPr="005672CA" w14:paraId="400BF31C" w14:textId="77777777" w:rsidTr="00956A85">
        <w:tc>
          <w:tcPr>
            <w:tcW w:w="1838" w:type="dxa"/>
          </w:tcPr>
          <w:p w14:paraId="24058367" w14:textId="77777777" w:rsidR="00267F45" w:rsidRPr="005672CA" w:rsidRDefault="00267F45" w:rsidP="00C804E1">
            <w:pPr>
              <w:rPr>
                <w:sz w:val="20"/>
                <w:szCs w:val="20"/>
              </w:rPr>
            </w:pPr>
            <w:r w:rsidRPr="005672CA">
              <w:rPr>
                <w:sz w:val="20"/>
                <w:szCs w:val="20"/>
              </w:rPr>
              <w:t>Deamidated gliadin peptide (DGP)</w:t>
            </w:r>
          </w:p>
        </w:tc>
        <w:tc>
          <w:tcPr>
            <w:tcW w:w="1134" w:type="dxa"/>
          </w:tcPr>
          <w:p w14:paraId="028EBC72" w14:textId="77777777" w:rsidR="00267F45" w:rsidRPr="005672CA" w:rsidRDefault="00267F45" w:rsidP="00C804E1">
            <w:pPr>
              <w:rPr>
                <w:sz w:val="20"/>
                <w:szCs w:val="20"/>
              </w:rPr>
            </w:pPr>
            <w:r w:rsidRPr="005672CA">
              <w:rPr>
                <w:sz w:val="20"/>
                <w:szCs w:val="20"/>
              </w:rPr>
              <w:t>IgA or IgG</w:t>
            </w:r>
          </w:p>
        </w:tc>
        <w:tc>
          <w:tcPr>
            <w:tcW w:w="1265" w:type="dxa"/>
          </w:tcPr>
          <w:p w14:paraId="38E01378" w14:textId="77777777" w:rsidR="00267F45" w:rsidRPr="005672CA" w:rsidRDefault="00267F45" w:rsidP="00C804E1">
            <w:pPr>
              <w:rPr>
                <w:sz w:val="20"/>
                <w:szCs w:val="20"/>
              </w:rPr>
            </w:pPr>
            <w:r w:rsidRPr="005672CA">
              <w:rPr>
                <w:sz w:val="20"/>
                <w:szCs w:val="20"/>
              </w:rPr>
              <w:t>1999</w:t>
            </w:r>
          </w:p>
        </w:tc>
        <w:tc>
          <w:tcPr>
            <w:tcW w:w="2025" w:type="dxa"/>
          </w:tcPr>
          <w:p w14:paraId="0757A2F7" w14:textId="77777777" w:rsidR="00267F45" w:rsidRPr="005672CA" w:rsidRDefault="00267F45" w:rsidP="00C804E1">
            <w:pPr>
              <w:rPr>
                <w:sz w:val="20"/>
                <w:szCs w:val="20"/>
              </w:rPr>
            </w:pPr>
            <w:r w:rsidRPr="005672CA">
              <w:rPr>
                <w:sz w:val="20"/>
                <w:szCs w:val="20"/>
              </w:rPr>
              <w:t>ELISA</w:t>
            </w:r>
          </w:p>
        </w:tc>
        <w:tc>
          <w:tcPr>
            <w:tcW w:w="1529" w:type="dxa"/>
          </w:tcPr>
          <w:p w14:paraId="481382F8" w14:textId="77777777" w:rsidR="00267F45" w:rsidRPr="005672CA" w:rsidRDefault="00267F45" w:rsidP="00C804E1">
            <w:pPr>
              <w:rPr>
                <w:sz w:val="20"/>
                <w:szCs w:val="20"/>
              </w:rPr>
            </w:pPr>
            <w:r w:rsidRPr="005672CA">
              <w:rPr>
                <w:sz w:val="20"/>
                <w:szCs w:val="20"/>
              </w:rPr>
              <w:t xml:space="preserve">NICE </w:t>
            </w:r>
          </w:p>
          <w:p w14:paraId="2F944880" w14:textId="77777777" w:rsidR="00267F45" w:rsidRPr="005672CA" w:rsidRDefault="00267F45" w:rsidP="00C804E1">
            <w:pPr>
              <w:rPr>
                <w:sz w:val="20"/>
                <w:szCs w:val="20"/>
              </w:rPr>
            </w:pPr>
            <w:r w:rsidRPr="005672CA">
              <w:rPr>
                <w:sz w:val="20"/>
                <w:szCs w:val="20"/>
              </w:rPr>
              <w:t>ESPGHAN</w:t>
            </w:r>
          </w:p>
        </w:tc>
        <w:tc>
          <w:tcPr>
            <w:tcW w:w="1165" w:type="dxa"/>
          </w:tcPr>
          <w:p w14:paraId="66AE1942" w14:textId="77777777" w:rsidR="00267F45" w:rsidRPr="005672CA" w:rsidRDefault="00267F45" w:rsidP="00C804E1">
            <w:pPr>
              <w:rPr>
                <w:sz w:val="20"/>
                <w:szCs w:val="20"/>
              </w:rPr>
            </w:pPr>
            <w:r w:rsidRPr="005672CA">
              <w:rPr>
                <w:sz w:val="20"/>
                <w:szCs w:val="20"/>
              </w:rPr>
              <w:t>NA</w:t>
            </w:r>
          </w:p>
        </w:tc>
      </w:tr>
      <w:tr w:rsidR="00267F45" w:rsidRPr="005672CA" w14:paraId="5E67ED30" w14:textId="77777777" w:rsidTr="00956A85">
        <w:tc>
          <w:tcPr>
            <w:tcW w:w="1838" w:type="dxa"/>
          </w:tcPr>
          <w:p w14:paraId="257A55DC" w14:textId="77777777" w:rsidR="00267F45" w:rsidRPr="005672CA" w:rsidRDefault="00267F45" w:rsidP="00C804E1">
            <w:pPr>
              <w:rPr>
                <w:sz w:val="20"/>
                <w:szCs w:val="20"/>
              </w:rPr>
            </w:pPr>
            <w:r w:rsidRPr="005672CA">
              <w:rPr>
                <w:sz w:val="20"/>
                <w:szCs w:val="20"/>
              </w:rPr>
              <w:t>Anti-actin antibodies (AAA)</w:t>
            </w:r>
          </w:p>
        </w:tc>
        <w:tc>
          <w:tcPr>
            <w:tcW w:w="1134" w:type="dxa"/>
          </w:tcPr>
          <w:p w14:paraId="613CA6D8" w14:textId="77777777" w:rsidR="00267F45" w:rsidRPr="005672CA" w:rsidRDefault="00267F45" w:rsidP="00C804E1">
            <w:pPr>
              <w:rPr>
                <w:sz w:val="20"/>
                <w:szCs w:val="20"/>
              </w:rPr>
            </w:pPr>
            <w:r w:rsidRPr="005672CA">
              <w:rPr>
                <w:sz w:val="20"/>
                <w:szCs w:val="20"/>
              </w:rPr>
              <w:t>IgA</w:t>
            </w:r>
          </w:p>
        </w:tc>
        <w:tc>
          <w:tcPr>
            <w:tcW w:w="1265" w:type="dxa"/>
          </w:tcPr>
          <w:p w14:paraId="6ED9A912" w14:textId="1CE11DA8" w:rsidR="00267F45" w:rsidRPr="005672CA" w:rsidRDefault="005205D7" w:rsidP="00C804E1">
            <w:pPr>
              <w:rPr>
                <w:sz w:val="20"/>
                <w:szCs w:val="20"/>
              </w:rPr>
            </w:pPr>
            <w:r w:rsidRPr="005672CA">
              <w:rPr>
                <w:sz w:val="20"/>
                <w:szCs w:val="20"/>
              </w:rPr>
              <w:t>~2000</w:t>
            </w:r>
          </w:p>
        </w:tc>
        <w:tc>
          <w:tcPr>
            <w:tcW w:w="2025" w:type="dxa"/>
          </w:tcPr>
          <w:p w14:paraId="2F381A5D" w14:textId="4759E966" w:rsidR="00267F45" w:rsidRPr="005672CA" w:rsidRDefault="00DC12BE" w:rsidP="00C804E1">
            <w:pPr>
              <w:rPr>
                <w:sz w:val="20"/>
                <w:szCs w:val="20"/>
              </w:rPr>
            </w:pPr>
            <w:r w:rsidRPr="005672CA">
              <w:rPr>
                <w:sz w:val="20"/>
                <w:szCs w:val="20"/>
              </w:rPr>
              <w:t>ELISA</w:t>
            </w:r>
          </w:p>
        </w:tc>
        <w:tc>
          <w:tcPr>
            <w:tcW w:w="1529" w:type="dxa"/>
          </w:tcPr>
          <w:p w14:paraId="16584152" w14:textId="77777777" w:rsidR="00267F45" w:rsidRPr="005672CA" w:rsidRDefault="00267F45" w:rsidP="00C804E1">
            <w:pPr>
              <w:rPr>
                <w:sz w:val="20"/>
                <w:szCs w:val="20"/>
              </w:rPr>
            </w:pPr>
            <w:r w:rsidRPr="005672CA">
              <w:rPr>
                <w:sz w:val="20"/>
                <w:szCs w:val="20"/>
              </w:rPr>
              <w:t>Not recommended</w:t>
            </w:r>
          </w:p>
        </w:tc>
        <w:tc>
          <w:tcPr>
            <w:tcW w:w="1165" w:type="dxa"/>
          </w:tcPr>
          <w:p w14:paraId="52CEB0F8" w14:textId="77777777" w:rsidR="00267F45" w:rsidRPr="005672CA" w:rsidRDefault="00267F45" w:rsidP="00C804E1">
            <w:pPr>
              <w:rPr>
                <w:sz w:val="20"/>
                <w:szCs w:val="20"/>
              </w:rPr>
            </w:pPr>
            <w:r w:rsidRPr="005672CA">
              <w:rPr>
                <w:sz w:val="20"/>
                <w:szCs w:val="20"/>
              </w:rPr>
              <w:t>NA</w:t>
            </w:r>
          </w:p>
        </w:tc>
      </w:tr>
      <w:tr w:rsidR="00267F45" w:rsidRPr="005672CA" w14:paraId="76018FD2" w14:textId="77777777" w:rsidTr="00956A85">
        <w:tc>
          <w:tcPr>
            <w:tcW w:w="1838" w:type="dxa"/>
          </w:tcPr>
          <w:p w14:paraId="54033522" w14:textId="77777777" w:rsidR="00267F45" w:rsidRPr="005672CA" w:rsidRDefault="00267F45" w:rsidP="00C804E1">
            <w:pPr>
              <w:rPr>
                <w:sz w:val="20"/>
                <w:szCs w:val="20"/>
              </w:rPr>
            </w:pPr>
            <w:r w:rsidRPr="005672CA">
              <w:rPr>
                <w:sz w:val="20"/>
                <w:szCs w:val="20"/>
              </w:rPr>
              <w:t>Antireculin antibodies</w:t>
            </w:r>
          </w:p>
        </w:tc>
        <w:tc>
          <w:tcPr>
            <w:tcW w:w="1134" w:type="dxa"/>
          </w:tcPr>
          <w:p w14:paraId="1A1A4C5E" w14:textId="77777777" w:rsidR="00267F45" w:rsidRPr="005672CA" w:rsidRDefault="00267F45" w:rsidP="00C804E1">
            <w:pPr>
              <w:rPr>
                <w:sz w:val="20"/>
                <w:szCs w:val="20"/>
              </w:rPr>
            </w:pPr>
            <w:r w:rsidRPr="005672CA">
              <w:rPr>
                <w:sz w:val="20"/>
                <w:szCs w:val="20"/>
              </w:rPr>
              <w:t>IgA or IgG</w:t>
            </w:r>
          </w:p>
        </w:tc>
        <w:tc>
          <w:tcPr>
            <w:tcW w:w="1265" w:type="dxa"/>
          </w:tcPr>
          <w:p w14:paraId="7DF08504" w14:textId="77777777" w:rsidR="00267F45" w:rsidRPr="005672CA" w:rsidRDefault="00267F45" w:rsidP="00C804E1">
            <w:pPr>
              <w:rPr>
                <w:sz w:val="20"/>
                <w:szCs w:val="20"/>
              </w:rPr>
            </w:pPr>
            <w:r w:rsidRPr="005672CA">
              <w:rPr>
                <w:sz w:val="20"/>
                <w:szCs w:val="20"/>
              </w:rPr>
              <w:t>1977</w:t>
            </w:r>
          </w:p>
        </w:tc>
        <w:tc>
          <w:tcPr>
            <w:tcW w:w="2025" w:type="dxa"/>
          </w:tcPr>
          <w:p w14:paraId="0F2BE69D" w14:textId="77777777" w:rsidR="00267F45" w:rsidRPr="005672CA" w:rsidRDefault="00267F45" w:rsidP="00C804E1">
            <w:pPr>
              <w:rPr>
                <w:sz w:val="20"/>
                <w:szCs w:val="20"/>
              </w:rPr>
            </w:pPr>
            <w:r w:rsidRPr="005672CA">
              <w:rPr>
                <w:sz w:val="20"/>
                <w:szCs w:val="20"/>
              </w:rPr>
              <w:t>IFA (rat kidney)</w:t>
            </w:r>
          </w:p>
        </w:tc>
        <w:tc>
          <w:tcPr>
            <w:tcW w:w="1529" w:type="dxa"/>
          </w:tcPr>
          <w:p w14:paraId="223AC7C4" w14:textId="77777777" w:rsidR="00267F45" w:rsidRPr="005672CA" w:rsidRDefault="00267F45" w:rsidP="00C804E1">
            <w:pPr>
              <w:rPr>
                <w:sz w:val="20"/>
                <w:szCs w:val="20"/>
              </w:rPr>
            </w:pPr>
            <w:r w:rsidRPr="005672CA">
              <w:rPr>
                <w:sz w:val="20"/>
                <w:szCs w:val="20"/>
              </w:rPr>
              <w:t>Not recommended</w:t>
            </w:r>
          </w:p>
        </w:tc>
        <w:tc>
          <w:tcPr>
            <w:tcW w:w="1165" w:type="dxa"/>
          </w:tcPr>
          <w:p w14:paraId="440E5C8E" w14:textId="77777777" w:rsidR="00267F45" w:rsidRPr="005672CA" w:rsidRDefault="00267F45" w:rsidP="00C804E1">
            <w:pPr>
              <w:rPr>
                <w:sz w:val="20"/>
                <w:szCs w:val="20"/>
              </w:rPr>
            </w:pPr>
            <w:r w:rsidRPr="005672CA">
              <w:rPr>
                <w:sz w:val="20"/>
                <w:szCs w:val="20"/>
              </w:rPr>
              <w:t>NA</w:t>
            </w:r>
          </w:p>
        </w:tc>
      </w:tr>
      <w:tr w:rsidR="00267F45" w:rsidRPr="005672CA" w14:paraId="0F3DF798" w14:textId="77777777" w:rsidTr="00956A85">
        <w:tc>
          <w:tcPr>
            <w:tcW w:w="1838" w:type="dxa"/>
          </w:tcPr>
          <w:p w14:paraId="34F75C22" w14:textId="77777777" w:rsidR="00267F45" w:rsidRPr="005672CA" w:rsidRDefault="00267F45" w:rsidP="00C804E1">
            <w:pPr>
              <w:rPr>
                <w:sz w:val="20"/>
                <w:szCs w:val="20"/>
              </w:rPr>
            </w:pPr>
            <w:r w:rsidRPr="005672CA">
              <w:rPr>
                <w:sz w:val="20"/>
                <w:szCs w:val="20"/>
              </w:rPr>
              <w:t>Antigliadin antibodies (AGA)</w:t>
            </w:r>
          </w:p>
        </w:tc>
        <w:tc>
          <w:tcPr>
            <w:tcW w:w="1134" w:type="dxa"/>
          </w:tcPr>
          <w:p w14:paraId="10964D1C" w14:textId="77777777" w:rsidR="00267F45" w:rsidRPr="005672CA" w:rsidRDefault="00267F45" w:rsidP="00C804E1">
            <w:pPr>
              <w:rPr>
                <w:sz w:val="20"/>
                <w:szCs w:val="20"/>
              </w:rPr>
            </w:pPr>
            <w:r w:rsidRPr="005672CA">
              <w:rPr>
                <w:sz w:val="20"/>
                <w:szCs w:val="20"/>
              </w:rPr>
              <w:t>IgA or IgG</w:t>
            </w:r>
          </w:p>
        </w:tc>
        <w:tc>
          <w:tcPr>
            <w:tcW w:w="1265" w:type="dxa"/>
          </w:tcPr>
          <w:p w14:paraId="7118ECF5" w14:textId="77777777" w:rsidR="00267F45" w:rsidRPr="005672CA" w:rsidRDefault="00267F45" w:rsidP="00C804E1">
            <w:pPr>
              <w:rPr>
                <w:sz w:val="20"/>
                <w:szCs w:val="20"/>
              </w:rPr>
            </w:pPr>
            <w:r w:rsidRPr="005672CA">
              <w:rPr>
                <w:sz w:val="20"/>
                <w:szCs w:val="20"/>
              </w:rPr>
              <w:t>Early 1980s</w:t>
            </w:r>
          </w:p>
        </w:tc>
        <w:tc>
          <w:tcPr>
            <w:tcW w:w="2025" w:type="dxa"/>
          </w:tcPr>
          <w:p w14:paraId="64475F46" w14:textId="77777777" w:rsidR="00267F45" w:rsidRPr="005672CA" w:rsidRDefault="00267F45" w:rsidP="00C804E1">
            <w:pPr>
              <w:rPr>
                <w:sz w:val="20"/>
                <w:szCs w:val="20"/>
              </w:rPr>
            </w:pPr>
            <w:r w:rsidRPr="005672CA">
              <w:rPr>
                <w:sz w:val="20"/>
                <w:szCs w:val="20"/>
              </w:rPr>
              <w:t>Quantitative EIA</w:t>
            </w:r>
          </w:p>
        </w:tc>
        <w:tc>
          <w:tcPr>
            <w:tcW w:w="1529" w:type="dxa"/>
          </w:tcPr>
          <w:p w14:paraId="211EEC67" w14:textId="77777777" w:rsidR="00267F45" w:rsidRPr="005672CA" w:rsidRDefault="00267F45" w:rsidP="00C804E1">
            <w:pPr>
              <w:rPr>
                <w:sz w:val="20"/>
                <w:szCs w:val="20"/>
              </w:rPr>
            </w:pPr>
            <w:r w:rsidRPr="005672CA">
              <w:rPr>
                <w:sz w:val="20"/>
                <w:szCs w:val="20"/>
              </w:rPr>
              <w:t>Not recommended</w:t>
            </w:r>
          </w:p>
        </w:tc>
        <w:tc>
          <w:tcPr>
            <w:tcW w:w="1165" w:type="dxa"/>
          </w:tcPr>
          <w:p w14:paraId="3A5FFB71" w14:textId="77777777" w:rsidR="00267F45" w:rsidRPr="005672CA" w:rsidRDefault="00267F45" w:rsidP="00C804E1">
            <w:pPr>
              <w:rPr>
                <w:sz w:val="20"/>
                <w:szCs w:val="20"/>
              </w:rPr>
            </w:pPr>
            <w:r w:rsidRPr="005672CA">
              <w:rPr>
                <w:sz w:val="20"/>
                <w:szCs w:val="20"/>
              </w:rPr>
              <w:t>NA</w:t>
            </w:r>
          </w:p>
        </w:tc>
      </w:tr>
    </w:tbl>
    <w:p w14:paraId="57503804" w14:textId="77777777" w:rsidR="00267F45" w:rsidRPr="00734942" w:rsidRDefault="00267F45" w:rsidP="00267F45"/>
    <w:p w14:paraId="3B81DB54" w14:textId="77777777" w:rsidR="00267F45" w:rsidRPr="00734942" w:rsidRDefault="00267F45" w:rsidP="00267F45">
      <w:pPr>
        <w:pStyle w:val="Heading3"/>
      </w:pPr>
      <w:bookmarkStart w:id="82" w:name="_Toc99539821"/>
      <w:r w:rsidRPr="00734942">
        <w:t>Genetic testing</w:t>
      </w:r>
      <w:bookmarkEnd w:id="82"/>
    </w:p>
    <w:p w14:paraId="7FC7F23D" w14:textId="190E42C0" w:rsidR="00267F45" w:rsidRPr="00734942" w:rsidRDefault="00267F45" w:rsidP="00267F45">
      <w:r w:rsidRPr="00734942">
        <w:t>CD has a strong genetic basis. Nearly all patients with CD have variants of the HLA-DQA1 and HLA-DQB1 chains that encode the DQ2 and DQ8 heterodimer proteins.</w:t>
      </w:r>
      <w:r w:rsidRPr="00734942">
        <w:fldChar w:fldCharType="begin"/>
      </w:r>
      <w:r w:rsidR="00735CC0">
        <w:instrText xml:space="preserve"> ADDIN EN.CITE &lt;EndNote&gt;&lt;Cite&gt;&lt;Author&gt;Lebwohl&lt;/Author&gt;&lt;Year&gt;2018&lt;/Year&gt;&lt;RecNum&gt;341&lt;/RecNum&gt;&lt;DisplayText&gt;&lt;style face="superscript"&gt;17&lt;/style&gt;&lt;/DisplayText&gt;&lt;record&gt;&lt;rec-number&gt;341&lt;/rec-number&gt;&lt;foreign-keys&gt;&lt;key app="EN" db-id="tdwrx9xd1z9eepeevr355w2k959rv0f5zaax" timestamp="1633078569"&gt;341&lt;/key&gt;&lt;/foreign-keys&gt;&lt;ref-type name="Journal Article"&gt;17&lt;/ref-type&gt;&lt;contributors&gt;&lt;authors&gt;&lt;author&gt;Lebwohl, Benjamin&lt;/author&gt;&lt;author&gt;Sanders, David S.&lt;/author&gt;&lt;author&gt;Green, Peter H. R.&lt;/author&gt;&lt;/authors&gt;&lt;/contributors&gt;&lt;titles&gt;&lt;title&gt;Coeliac disease&lt;/title&gt;&lt;secondary-title&gt;The Lancet&lt;/secondary-title&gt;&lt;/titles&gt;&lt;periodical&gt;&lt;full-title&gt;The Lancet&lt;/full-title&gt;&lt;/periodical&gt;&lt;pages&gt;70-81&lt;/pages&gt;&lt;volume&gt;391&lt;/volume&gt;&lt;number&gt;10115&lt;/number&gt;&lt;dates&gt;&lt;year&gt;2018&lt;/year&gt;&lt;pub-dates&gt;&lt;date&gt;2018/01/06/&lt;/date&gt;&lt;/pub-dates&gt;&lt;/dates&gt;&lt;isbn&gt;0140-6736&lt;/isbn&gt;&lt;urls&gt;&lt;related-urls&gt;&lt;url&gt;https://www.sciencedirect.com/science/article/pii/S0140673617317968&lt;/url&gt;&lt;/related-urls&gt;&lt;/urls&gt;&lt;electronic-resource-num&gt;https://doi.org/10.1016/S0140-6736(17)31796-8&lt;/electronic-resource-num&gt;&lt;/record&gt;&lt;/Cite&gt;&lt;/EndNote&gt;</w:instrText>
      </w:r>
      <w:r w:rsidRPr="00734942">
        <w:fldChar w:fldCharType="separate"/>
      </w:r>
      <w:r w:rsidR="00735CC0" w:rsidRPr="00735CC0">
        <w:rPr>
          <w:noProof/>
          <w:vertAlign w:val="superscript"/>
        </w:rPr>
        <w:t>17</w:t>
      </w:r>
      <w:r w:rsidRPr="00734942">
        <w:fldChar w:fldCharType="end"/>
      </w:r>
      <w:r w:rsidRPr="00734942">
        <w:t xml:space="preserve"> The majority of CD patients (95%) carry the HLA-DQ2.5 heterodimer. The remaining patients (5-10%) carry either the HLA-DQ8 or HLA-DQ2.2 heterodimers. It is estimated that &lt;1% of those with CD do not have one of these genetic markers. However, around 50% of the general population also carry these markers – so presence of the marker does not equate to presence of CD.</w:t>
      </w:r>
      <w:r w:rsidRPr="00734942">
        <w:fldChar w:fldCharType="begin"/>
      </w:r>
      <w:r w:rsidR="00735CC0">
        <w:instrText xml:space="preserve"> ADDIN EN.CITE &lt;EndNote&gt;&lt;Cite&gt;&lt;Author&gt;Cecilio&lt;/Author&gt;&lt;Year&gt;2015&lt;/Year&gt;&lt;RecNum&gt;342&lt;/RecNum&gt;&lt;DisplayText&gt;&lt;style face="superscript"&gt;18&lt;/style&gt;&lt;/DisplayText&gt;&lt;record&gt;&lt;rec-number&gt;342&lt;/rec-number&gt;&lt;foreign-keys&gt;&lt;key app="EN" db-id="tdwrx9xd1z9eepeevr355w2k959rv0f5zaax" timestamp="1633078765"&gt;342&lt;/key&gt;&lt;/foreign-keys&gt;&lt;ref-type name="Journal Article"&gt;17&lt;/ref-type&gt;&lt;contributors&gt;&lt;authors&gt;&lt;author&gt;Cecilio, L. A.&lt;/author&gt;&lt;author&gt;Bonatto, M. W.&lt;/author&gt;&lt;/authors&gt;&lt;/contributors&gt;&lt;auth-address&gt;School of Medicine, Faculdade Assis Gurgacz, Cascavel, PR, Brazil.&amp;#xD;aff1, Brazil.&lt;/auth-address&gt;&lt;titles&gt;&lt;title&gt;The prevalence of HLA DQ2 and DQ8 in patients with celiac disease, in family and in general population&lt;/title&gt;&lt;secondary-title&gt;Arq Bras Cir Dig&lt;/secondary-title&gt;&lt;/titles&gt;&lt;periodical&gt;&lt;full-title&gt;Arq Bras Cir Dig&lt;/full-title&gt;&lt;/periodical&gt;&lt;pages&gt;183-5&lt;/pages&gt;&lt;volume&gt;28&lt;/volume&gt;&lt;number&gt;3&lt;/number&gt;&lt;edition&gt;2015/11/06&lt;/edition&gt;&lt;keywords&gt;&lt;keyword&gt;Celiac Disease/*blood/genetics&lt;/keyword&gt;&lt;keyword&gt;HLA-DQ Antigens/*blood/genetics&lt;/keyword&gt;&lt;keyword&gt;Humans&lt;/keyword&gt;&lt;keyword&gt;Retrospective Studies&lt;/keyword&gt;&lt;/keywords&gt;&lt;dates&gt;&lt;year&gt;2015&lt;/year&gt;&lt;pub-dates&gt;&lt;date&gt;Jul-Sep&lt;/date&gt;&lt;/pub-dates&gt;&lt;/dates&gt;&lt;isbn&gt;0102-6720 (Print)&amp;#xD;0102-6720&lt;/isbn&gt;&lt;accession-num&gt;26537142&lt;/accession-num&gt;&lt;urls&gt;&lt;/urls&gt;&lt;custom2&gt;PMC4737358&lt;/custom2&gt;&lt;electronic-resource-num&gt;10.1590/s0102-67202015000300009&lt;/electronic-resource-num&gt;&lt;remote-database-provider&gt;NLM&lt;/remote-database-provider&gt;&lt;language&gt;eng&amp;#xD;por&lt;/language&gt;&lt;/record&gt;&lt;/Cite&gt;&lt;/EndNote&gt;</w:instrText>
      </w:r>
      <w:r w:rsidRPr="00734942">
        <w:fldChar w:fldCharType="separate"/>
      </w:r>
      <w:r w:rsidR="00735CC0" w:rsidRPr="00735CC0">
        <w:rPr>
          <w:noProof/>
          <w:vertAlign w:val="superscript"/>
        </w:rPr>
        <w:t>18</w:t>
      </w:r>
      <w:r w:rsidRPr="00734942">
        <w:fldChar w:fldCharType="end"/>
      </w:r>
    </w:p>
    <w:p w14:paraId="34A50E5D" w14:textId="69452E8D" w:rsidR="00267F45" w:rsidRPr="00734942" w:rsidRDefault="00267F45" w:rsidP="00267F45">
      <w:r w:rsidRPr="00734942">
        <w:t xml:space="preserve">The role of genetic testing in CD is unclear. It has the potential to be used as a “rule-out” test as absence of either of the HLA DQ2/DQ8 genetic markers suggest it is extremely unlikely that the person tested has CD. However, presence of these markers does not infer presence of CD, and so it is </w:t>
      </w:r>
      <w:r w:rsidR="00AE20C1" w:rsidRPr="00734942">
        <w:t xml:space="preserve">less </w:t>
      </w:r>
      <w:r w:rsidRPr="00734942">
        <w:t xml:space="preserve">useful as rule-in test. The cost of genetic testing is greater than the cost of serology and so guidelines do not currently recommend HLA DQ2/DQ8 testing as an initial screening test for </w:t>
      </w:r>
      <w:r w:rsidR="008B5E15">
        <w:t>CD</w:t>
      </w:r>
      <w:r w:rsidRPr="00734942">
        <w:t xml:space="preserve"> diagnosis.</w:t>
      </w:r>
    </w:p>
    <w:p w14:paraId="3B24D788" w14:textId="30DC08FD" w:rsidR="00267F45" w:rsidRPr="00734942" w:rsidRDefault="00267F45" w:rsidP="00267F45">
      <w:r w:rsidRPr="00734942">
        <w:lastRenderedPageBreak/>
        <w:t>NICE guidelines recommend against using HLA DQ2/DQ8 testing in the initial diagnosis of CD in non-specialist settings, but suggest that testing may be considered in certain situations such as in children who are not having a biopsy or in people who have already stopped eating gluten and do not want to re-introduce this into their diet.</w:t>
      </w:r>
      <w:r w:rsidR="0009765B">
        <w:fldChar w:fldCharType="begin"/>
      </w:r>
      <w:r w:rsidR="0009765B">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0009765B">
        <w:fldChar w:fldCharType="separate"/>
      </w:r>
      <w:r w:rsidR="0009765B" w:rsidRPr="0009765B">
        <w:rPr>
          <w:noProof/>
          <w:vertAlign w:val="superscript"/>
        </w:rPr>
        <w:t>9</w:t>
      </w:r>
      <w:r w:rsidR="0009765B">
        <w:fldChar w:fldCharType="end"/>
      </w:r>
      <w:r w:rsidR="00093510" w:rsidRPr="00734942" w:rsidDel="00093510">
        <w:t xml:space="preserve"> </w:t>
      </w:r>
    </w:p>
    <w:p w14:paraId="0F6D5CC4" w14:textId="77777777" w:rsidR="00267F45" w:rsidRPr="00734942" w:rsidRDefault="00267F45" w:rsidP="00267F45">
      <w:pPr>
        <w:pStyle w:val="Heading3"/>
      </w:pPr>
      <w:bookmarkStart w:id="83" w:name="_Toc99539822"/>
      <w:r w:rsidRPr="00734942">
        <w:t>Biopsy confirmation</w:t>
      </w:r>
      <w:bookmarkEnd w:id="83"/>
    </w:p>
    <w:p w14:paraId="718C954E" w14:textId="1D8421D4" w:rsidR="00267F45" w:rsidRPr="00734942" w:rsidRDefault="00267F45" w:rsidP="00267F45">
      <w:r w:rsidRPr="00734942">
        <w:t xml:space="preserve">Biopsy is invasive, expensive, potentially distressing and burdensome, with risks of complications particularly for children, who require general anaesthesia to undergo the procedure. NICE Guidelines recommend biopsy to confirm a diagnosis of CD in all adults with positive serological test results, regardless of how strongly indicative their results are of CD. The guidance for children is less clear – here </w:t>
      </w:r>
      <w:r w:rsidR="00982150" w:rsidRPr="00734942">
        <w:t>NICE</w:t>
      </w:r>
      <w:r w:rsidRPr="00734942">
        <w:t xml:space="preserve"> recommend</w:t>
      </w:r>
      <w:r w:rsidR="001E3E8B" w:rsidRPr="00734942">
        <w:t>s</w:t>
      </w:r>
      <w:r w:rsidRPr="00734942">
        <w:t xml:space="preserve"> that children with a positive serological test are referred to paediatric gastroenterology services for further investigation for CD</w:t>
      </w:r>
      <w:r w:rsidR="00982150" w:rsidRPr="00734942">
        <w:t>. T</w:t>
      </w:r>
      <w:r w:rsidRPr="00734942">
        <w:t>hey do not specify that this should be biopsy confirmation. As with serological tests, patients must eat gluten daily in the six weeks prior to biopsy for the result to be reliable.</w:t>
      </w:r>
    </w:p>
    <w:p w14:paraId="3948C3D4" w14:textId="43A5A906" w:rsidR="00267F45" w:rsidRPr="00734942" w:rsidRDefault="00267F45" w:rsidP="00267F45">
      <w:pPr>
        <w:rPr>
          <w:noProof/>
        </w:rPr>
      </w:pPr>
      <w:r w:rsidRPr="00734942">
        <w:rPr>
          <w:shd w:val="clear" w:color="auto" w:fill="FFFFFF" w:themeFill="background1"/>
        </w:rPr>
        <w:t>In their 201</w:t>
      </w:r>
      <w:r w:rsidR="00C93065">
        <w:rPr>
          <w:shd w:val="clear" w:color="auto" w:fill="FFFFFF" w:themeFill="background1"/>
        </w:rPr>
        <w:t>2</w:t>
      </w:r>
      <w:r w:rsidRPr="00734942">
        <w:rPr>
          <w:shd w:val="clear" w:color="auto" w:fill="FFFFFF" w:themeFill="background1"/>
        </w:rPr>
        <w:t xml:space="preserve"> guidelines, the </w:t>
      </w:r>
      <w:r w:rsidR="00C93065">
        <w:rPr>
          <w:shd w:val="clear" w:color="auto" w:fill="FFFFFF" w:themeFill="background1"/>
        </w:rPr>
        <w:t>European</w:t>
      </w:r>
      <w:r w:rsidRPr="00734942">
        <w:rPr>
          <w:shd w:val="clear" w:color="auto" w:fill="FFFFFF" w:themeFill="background1"/>
        </w:rPr>
        <w:t xml:space="preserve"> Society of Paediatric Gastroenterology, Hepatology and Nutrition (</w:t>
      </w:r>
      <w:r w:rsidR="00C93065">
        <w:rPr>
          <w:shd w:val="clear" w:color="auto" w:fill="FFFFFF" w:themeFill="background1"/>
        </w:rPr>
        <w:t>E</w:t>
      </w:r>
      <w:r w:rsidRPr="00734942">
        <w:rPr>
          <w:shd w:val="clear" w:color="auto" w:fill="FFFFFF" w:themeFill="background1"/>
        </w:rPr>
        <w:t>SPGHAN) advised that children with IgA tTG greater than or equal to 10x the upper limit of normal (ULN) for the assay, who also tested positive for IgA EMA and had an HLA genotype suggestive of CD do not need to undergo biopsy to confirm their CD diagnosis.</w:t>
      </w:r>
      <w:r w:rsidRPr="00734942">
        <w:rPr>
          <w:noProof/>
          <w:shd w:val="clear" w:color="auto" w:fill="FFFFFF" w:themeFill="background1"/>
        </w:rPr>
        <w:fldChar w:fldCharType="begin">
          <w:fldData xml:space="preserve">PEVuZE5vdGU+PENpdGU+PEF1dGhvcj5IdXNieTwvQXV0aG9yPjxZZWFyPjIwMTI8L1llYXI+PFJl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</w:fldData>
        </w:fldChar>
      </w:r>
      <w:r w:rsidR="00735CC0">
        <w:rPr>
          <w:noProof/>
          <w:shd w:val="clear" w:color="auto" w:fill="FFFFFF" w:themeFill="background1"/>
        </w:rPr>
        <w:instrText xml:space="preserve"> ADDIN EN.CITE </w:instrText>
      </w:r>
      <w:r w:rsidR="00735CC0">
        <w:rPr>
          <w:noProof/>
          <w:shd w:val="clear" w:color="auto" w:fill="FFFFFF" w:themeFill="background1"/>
        </w:rPr>
        <w:fldChar w:fldCharType="begin">
          <w:fldData xml:space="preserve">PEVuZE5vdGU+PENpdGU+PEF1dGhvcj5IdXNieTwvQXV0aG9yPjxZZWFyPjIwMTI8L1llYXI+PFJl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</w:fldData>
        </w:fldChar>
      </w:r>
      <w:r w:rsidR="00735CC0">
        <w:rPr>
          <w:noProof/>
          <w:shd w:val="clear" w:color="auto" w:fill="FFFFFF" w:themeFill="background1"/>
        </w:rPr>
        <w:instrText xml:space="preserve"> ADDIN EN.CITE.DATA </w:instrText>
      </w:r>
      <w:r w:rsidR="00735CC0">
        <w:rPr>
          <w:noProof/>
          <w:shd w:val="clear" w:color="auto" w:fill="FFFFFF" w:themeFill="background1"/>
        </w:rPr>
      </w:r>
      <w:r w:rsidR="00735CC0">
        <w:rPr>
          <w:noProof/>
          <w:shd w:val="clear" w:color="auto" w:fill="FFFFFF" w:themeFill="background1"/>
        </w:rPr>
        <w:fldChar w:fldCharType="end"/>
      </w:r>
      <w:r w:rsidRPr="00734942">
        <w:rPr>
          <w:noProof/>
          <w:shd w:val="clear" w:color="auto" w:fill="FFFFFF" w:themeFill="background1"/>
        </w:rPr>
      </w:r>
      <w:r w:rsidRPr="00734942">
        <w:rPr>
          <w:noProof/>
          <w:shd w:val="clear" w:color="auto" w:fill="FFFFFF" w:themeFill="background1"/>
        </w:rPr>
        <w:fldChar w:fldCharType="separate"/>
      </w:r>
      <w:r w:rsidR="00735CC0" w:rsidRPr="00735CC0">
        <w:rPr>
          <w:noProof/>
          <w:shd w:val="clear" w:color="auto" w:fill="FFFFFF" w:themeFill="background1"/>
          <w:vertAlign w:val="superscript"/>
        </w:rPr>
        <w:t>19</w:t>
      </w:r>
      <w:r w:rsidRPr="00734942">
        <w:rPr>
          <w:noProof/>
          <w:shd w:val="clear" w:color="auto" w:fill="FFFFFF" w:themeFill="background1"/>
        </w:rPr>
        <w:fldChar w:fldCharType="end"/>
      </w:r>
      <w:r w:rsidRPr="00734942">
        <w:rPr>
          <w:shd w:val="clear" w:color="auto" w:fill="FFFFFF" w:themeFill="background1"/>
        </w:rPr>
        <w:t xml:space="preserve"> During the coronavirus pandemic, the British Society of Gastroenterology published interim guidance including a COVID-19 specific non-biopsy protocol for adults with suspected CD.</w:t>
      </w:r>
      <w:r w:rsidRPr="00734942">
        <w:rPr>
          <w:noProof/>
          <w:shd w:val="clear" w:color="auto" w:fill="FFFFFF" w:themeFill="background1"/>
        </w:rPr>
        <w:fldChar w:fldCharType="begin"/>
      </w:r>
      <w:r w:rsidR="00735CC0">
        <w:rPr>
          <w:noProof/>
          <w:shd w:val="clear" w:color="auto" w:fill="FFFFFF" w:themeFill="background1"/>
        </w:rPr>
        <w:instrText xml:space="preserve"> ADDIN EN.CITE &lt;EndNote&gt;&lt;Cite&gt;&lt;Author&gt;British Society of Gastroenterology&lt;/Author&gt;&lt;Year&gt;2020&lt;/Year&gt;&lt;RecNum&gt;382&lt;/RecNum&gt;&lt;DisplayText&gt;&lt;style face="superscript"&gt;20&lt;/style&gt;&lt;/DisplayText&gt;&lt;record&gt;&lt;rec-number&gt;382&lt;/rec-number&gt;&lt;foreign-keys&gt;&lt;key app="EN" db-id="tdwrx9xd1z9eepeevr355w2k959rv0f5zaax" timestamp="1633079959"&gt;382&lt;/key&gt;&lt;/foreign-keys&gt;&lt;ref-type name="Journal Article"&gt;17&lt;/ref-type&gt;&lt;contributors&gt;&lt;authors&gt;&lt;author&gt;British Society of Gastroenterology,&lt;/author&gt;&lt;/authors&gt;&lt;/contributors&gt;&lt;titles&gt;&lt;title&gt;BSG Interim Guidance: COVID-19 specific non-biopsy protocol for those with suspected coeliac disease&lt;/title&gt;&lt;secondary-title&gt;British Society of Gastroenterology&lt;/secondary-title&gt;&lt;/titles&gt;&lt;periodical&gt;&lt;full-title&gt;British Society of Gastroenterology&lt;/full-title&gt;&lt;/periodical&gt;&lt;dates&gt;&lt;year&gt;2020&lt;/year&gt;&lt;/dates&gt;&lt;urls&gt;&lt;related-urls&gt;&lt;url&gt;bsg.org.uk/covid-19-advice/covid-19-specific-non-biopsy-protocol-guidance-for-those-with-suspected-coeliac-disease/ accessed on 17/02/2021&lt;/url&gt;&lt;/related-urls&gt;&lt;/urls&gt;&lt;/record&gt;&lt;/Cite&gt;&lt;/EndNote&gt;</w:instrText>
      </w:r>
      <w:r w:rsidRPr="00734942">
        <w:rPr>
          <w:noProof/>
          <w:shd w:val="clear" w:color="auto" w:fill="FFFFFF" w:themeFill="background1"/>
        </w:rPr>
        <w:fldChar w:fldCharType="separate"/>
      </w:r>
      <w:r w:rsidR="00735CC0" w:rsidRPr="00735CC0">
        <w:rPr>
          <w:noProof/>
          <w:shd w:val="clear" w:color="auto" w:fill="FFFFFF" w:themeFill="background1"/>
          <w:vertAlign w:val="superscript"/>
        </w:rPr>
        <w:t>20</w:t>
      </w:r>
      <w:r w:rsidRPr="00734942">
        <w:rPr>
          <w:noProof/>
          <w:shd w:val="clear" w:color="auto" w:fill="FFFFFF" w:themeFill="background1"/>
        </w:rPr>
        <w:fldChar w:fldCharType="end"/>
      </w:r>
      <w:r w:rsidRPr="00734942">
        <w:rPr>
          <w:noProof/>
          <w:shd w:val="clear" w:color="auto" w:fill="FFFFFF" w:themeFill="background1"/>
        </w:rPr>
        <w:t xml:space="preserve"> </w:t>
      </w:r>
      <w:r w:rsidRPr="00734942">
        <w:rPr>
          <w:noProof/>
        </w:rPr>
        <w:t>This guidance allows a non-biopsy diagnosis to</w:t>
      </w:r>
      <w:r w:rsidR="00D2230A">
        <w:rPr>
          <w:noProof/>
        </w:rPr>
        <w:t xml:space="preserve"> be</w:t>
      </w:r>
      <w:r w:rsidRPr="00734942">
        <w:rPr>
          <w:noProof/>
        </w:rPr>
        <w:t xml:space="preserve"> made if the patient has a tTG level at least 10 times the upper limit of normal (the same as the non-biopsy protocol in children), is &lt;55 years old</w:t>
      </w:r>
      <w:r w:rsidR="00C3462C" w:rsidRPr="00734942">
        <w:rPr>
          <w:noProof/>
        </w:rPr>
        <w:t xml:space="preserve">, </w:t>
      </w:r>
      <w:r w:rsidRPr="00734942">
        <w:rPr>
          <w:noProof/>
        </w:rPr>
        <w:t>has a positive EMA test result</w:t>
      </w:r>
      <w:r w:rsidR="002C2816" w:rsidRPr="00734942">
        <w:rPr>
          <w:noProof/>
        </w:rPr>
        <w:t xml:space="preserve">, and does not have </w:t>
      </w:r>
      <w:r w:rsidRPr="00734942">
        <w:rPr>
          <w:noProof/>
        </w:rPr>
        <w:t>any “alarm” symptoms, although it is not clear what these are.</w:t>
      </w:r>
      <w:r w:rsidRPr="00734942">
        <w:rPr>
          <w:noProof/>
        </w:rPr>
        <w:fldChar w:fldCharType="begin"/>
      </w:r>
      <w:r w:rsidR="00735CC0">
        <w:rPr>
          <w:noProof/>
        </w:rPr>
        <w:instrText xml:space="preserve"> ADDIN EN.CITE &lt;EndNote&gt;&lt;Cite&gt;&lt;Author&gt;British Society of Gastroenterology&lt;/Author&gt;&lt;Year&gt;2020&lt;/Year&gt;&lt;RecNum&gt;382&lt;/RecNum&gt;&lt;DisplayText&gt;&lt;style face="superscript"&gt;20&lt;/style&gt;&lt;/DisplayText&gt;&lt;record&gt;&lt;rec-number&gt;382&lt;/rec-number&gt;&lt;foreign-keys&gt;&lt;key app="EN" db-id="tdwrx9xd1z9eepeevr355w2k959rv0f5zaax" timestamp="1633079959"&gt;382&lt;/key&gt;&lt;/foreign-keys&gt;&lt;ref-type name="Journal Article"&gt;17&lt;/ref-type&gt;&lt;contributors&gt;&lt;authors&gt;&lt;author&gt;British Society of Gastroenterology,&lt;/author&gt;&lt;/authors&gt;&lt;/contributors&gt;&lt;titles&gt;&lt;title&gt;BSG Interim Guidance: COVID-19 specific non-biopsy protocol for those with suspected coeliac disease&lt;/title&gt;&lt;secondary-title&gt;British Society of Gastroenterology&lt;/secondary-title&gt;&lt;/titles&gt;&lt;periodical&gt;&lt;full-title&gt;British Society of Gastroenterology&lt;/full-title&gt;&lt;/periodical&gt;&lt;dates&gt;&lt;year&gt;2020&lt;/year&gt;&lt;/dates&gt;&lt;urls&gt;&lt;related-urls&gt;&lt;url&gt;bsg.org.uk/covid-19-advice/covid-19-specific-non-biopsy-protocol-guidance-for-those-with-suspected-coeliac-disease/ accessed on 17/02/2021&lt;/url&gt;&lt;/related-urls&gt;&lt;/urls&gt;&lt;/record&gt;&lt;/Cite&gt;&lt;Cite&gt;&lt;Author&gt;British Society of Gastroenterology&lt;/Author&gt;&lt;Year&gt;2020&lt;/Year&gt;&lt;RecNum&gt;382&lt;/RecNum&gt;&lt;record&gt;&lt;rec-number&gt;382&lt;/rec-number&gt;&lt;foreign-keys&gt;&lt;key app="EN" db-id="tdwrx9xd1z9eepeevr355w2k959rv0f5zaax" timestamp="1633079959"&gt;382&lt;/key&gt;&lt;/foreign-keys&gt;&lt;ref-type name="Journal Article"&gt;17&lt;/ref-type&gt;&lt;contributors&gt;&lt;authors&gt;&lt;author&gt;British Society of Gastroenterology,&lt;/author&gt;&lt;/authors&gt;&lt;/contributors&gt;&lt;titles&gt;&lt;title&gt;BSG Interim Guidance: COVID-19 specific non-biopsy protocol for those with suspected coeliac disease&lt;/title&gt;&lt;secondary-title&gt;British Society of Gastroenterology&lt;/secondary-title&gt;&lt;/titles&gt;&lt;periodical&gt;&lt;full-title&gt;British Society of Gastroenterology&lt;/full-title&gt;&lt;/periodical&gt;&lt;dates&gt;&lt;year&gt;2020&lt;/year&gt;&lt;/dates&gt;&lt;urls&gt;&lt;related-urls&gt;&lt;url&gt;bsg.org.uk/covid-19-advice/covid-19-specific-non-biopsy-protocol-guidance-for-those-with-suspected-coeliac-disease/ accessed on 17/02/2021&lt;/url&gt;&lt;/related-urls&gt;&lt;/urls&gt;&lt;/record&gt;&lt;/Cite&gt;&lt;/EndNote&gt;</w:instrText>
      </w:r>
      <w:r w:rsidRPr="00734942">
        <w:rPr>
          <w:noProof/>
        </w:rPr>
        <w:fldChar w:fldCharType="separate"/>
      </w:r>
      <w:r w:rsidR="00735CC0" w:rsidRPr="00735CC0">
        <w:rPr>
          <w:noProof/>
          <w:vertAlign w:val="superscript"/>
        </w:rPr>
        <w:t>20</w:t>
      </w:r>
      <w:r w:rsidRPr="00734942">
        <w:rPr>
          <w:noProof/>
        </w:rPr>
        <w:fldChar w:fldCharType="end"/>
      </w:r>
    </w:p>
    <w:p w14:paraId="378D6479" w14:textId="6CF0120A" w:rsidR="00267F45" w:rsidRPr="00734942" w:rsidRDefault="00267F45" w:rsidP="00267F45">
      <w:r w:rsidRPr="00734942">
        <w:rPr>
          <w:noProof/>
        </w:rPr>
        <w:t xml:space="preserve">Some guidelines recommend biopsy even if CD is negative in certain patient groups. For example, the </w:t>
      </w:r>
      <w:r w:rsidRPr="00734942">
        <w:t xml:space="preserve">ESsCD </w:t>
      </w:r>
      <w:r w:rsidR="12B042EE" w:rsidRPr="00734942">
        <w:t xml:space="preserve">(European Society for the Study of Coeliac Disease) </w:t>
      </w:r>
      <w:r w:rsidRPr="00734942">
        <w:t>2019 guidelines</w:t>
      </w:r>
      <w:r w:rsidRPr="0073494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 </w:instrText>
      </w:r>
      <w:r w:rsidR="00052812">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052812">
        <w:instrText xml:space="preserve"> ADDIN EN.CITE.DATA </w:instrText>
      </w:r>
      <w:r w:rsidR="00052812">
        <w:fldChar w:fldCharType="end"/>
      </w:r>
      <w:r w:rsidRPr="00734942">
        <w:fldChar w:fldCharType="separate"/>
      </w:r>
      <w:r w:rsidR="00052812" w:rsidRPr="00052812">
        <w:rPr>
          <w:noProof/>
          <w:vertAlign w:val="superscript"/>
        </w:rPr>
        <w:t>12</w:t>
      </w:r>
      <w:r w:rsidRPr="00734942">
        <w:fldChar w:fldCharType="end"/>
      </w:r>
      <w:r w:rsidRPr="00734942">
        <w:rPr>
          <w:vertAlign w:val="superscript"/>
        </w:rPr>
        <w:t xml:space="preserve"> </w:t>
      </w:r>
      <w:r w:rsidRPr="00734942">
        <w:t xml:space="preserve">recommend biopsy in those with chronic diarrhoea, particularly with features of malabsorption such as weight loss, iron deficiency anaemia without cause, GI symptoms with a family history of CD or with autoimmune disease or IgA deficiency, failure to thrive in children, biopsy proven dermatitis </w:t>
      </w:r>
      <w:r w:rsidR="001D583C" w:rsidRPr="00734942">
        <w:t>herpetiformis</w:t>
      </w:r>
      <w:r w:rsidRPr="00734942">
        <w:t xml:space="preserve">. NICE guidelines recommend referral of people with “negative serological test results to a gastrointestinal specialist for further assessment if </w:t>
      </w:r>
      <w:r w:rsidR="008B5E15">
        <w:t>CD</w:t>
      </w:r>
      <w:r w:rsidRPr="00734942">
        <w:t xml:space="preserve"> is still clinically suspected”.</w:t>
      </w:r>
      <w:r w:rsidR="006977C2">
        <w:fldChar w:fldCharType="begin"/>
      </w:r>
      <w:r w:rsidR="006977C2">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006977C2">
        <w:fldChar w:fldCharType="separate"/>
      </w:r>
      <w:r w:rsidR="006977C2" w:rsidRPr="006977C2">
        <w:rPr>
          <w:noProof/>
          <w:vertAlign w:val="superscript"/>
        </w:rPr>
        <w:t>9</w:t>
      </w:r>
      <w:r w:rsidR="006977C2">
        <w:fldChar w:fldCharType="end"/>
      </w:r>
    </w:p>
    <w:p w14:paraId="62EB6C7F" w14:textId="77777777" w:rsidR="00414244" w:rsidRPr="00734942" w:rsidRDefault="00414244" w:rsidP="002C2816">
      <w:pPr>
        <w:pStyle w:val="NoSpacing"/>
        <w:rPr>
          <w:rFonts w:asciiTheme="majorHAnsi" w:eastAsiaTheme="majorEastAsia" w:hAnsiTheme="majorHAnsi" w:cstheme="majorBidi"/>
          <w:color w:val="2F5496" w:themeColor="accent1" w:themeShade="BF"/>
          <w:sz w:val="32"/>
          <w:szCs w:val="32"/>
          <w:lang w:val="en-GB"/>
        </w:rPr>
      </w:pPr>
      <w:r w:rsidRPr="00734942">
        <w:rPr>
          <w:lang w:val="en-GB"/>
        </w:rPr>
        <w:br w:type="page"/>
      </w:r>
    </w:p>
    <w:p w14:paraId="6E8A6A6C" w14:textId="59968BE1" w:rsidR="002C56DC" w:rsidRPr="00734942" w:rsidRDefault="0056595B" w:rsidP="006E7A8E">
      <w:pPr>
        <w:pStyle w:val="Heading1"/>
      </w:pPr>
      <w:bookmarkStart w:id="84" w:name="_Toc99539823"/>
      <w:r w:rsidRPr="00734942">
        <w:lastRenderedPageBreak/>
        <w:t>C</w:t>
      </w:r>
      <w:r w:rsidR="002C56DC" w:rsidRPr="00734942">
        <w:t>h</w:t>
      </w:r>
      <w:r w:rsidR="00D239FE" w:rsidRPr="00734942">
        <w:t xml:space="preserve">apter </w:t>
      </w:r>
      <w:r w:rsidR="006C79DC" w:rsidRPr="00734942">
        <w:t>3</w:t>
      </w:r>
      <w:r w:rsidR="002C56DC" w:rsidRPr="00734942">
        <w:t>: Accuracy of diagnostic indicators for coeliac disease</w:t>
      </w:r>
      <w:bookmarkEnd w:id="84"/>
    </w:p>
    <w:p w14:paraId="2903F432" w14:textId="5C46BA9A" w:rsidR="00885CED" w:rsidRPr="00734942" w:rsidRDefault="00D56D10" w:rsidP="00885CED">
      <w:r>
        <w:t>We conducted a</w:t>
      </w:r>
      <w:r w:rsidR="00885CED" w:rsidRPr="00734942">
        <w:t xml:space="preserve"> systematic review</w:t>
      </w:r>
      <w:r w:rsidR="00885CED" w:rsidRPr="00734942" w:rsidDel="00D56D10">
        <w:t xml:space="preserve"> </w:t>
      </w:r>
      <w:r w:rsidR="00885CED" w:rsidRPr="00734942">
        <w:t>to assess the accuracy of various symptoms and risk factors in “diagnosing”</w:t>
      </w:r>
      <w:r w:rsidR="00551E93">
        <w:t xml:space="preserve"> CD</w:t>
      </w:r>
      <w:r w:rsidR="00885CED" w:rsidRPr="00734942">
        <w:t>, considering the potential of these as initial screening tools prior to serological testing. In this chapter, we will refer to these symptoms and risk factors as “diagnostic indicators”.</w:t>
      </w:r>
      <w:r>
        <w:t xml:space="preserve"> </w:t>
      </w:r>
      <w:r w:rsidRPr="00734942">
        <w:t>We defined diagnostic indicators as signs, symptoms, or risk factors that may help clinicians identify patients in whom further testing for CD is warranted. We did not consider factors that are difficult to determine at an initial consultation, such as perinatal risk factors, age at gluten introduction, or experimental factors that are not measured in clinical practice (i.e., tests for susceptibility genes, which are currently not widely available to clinicians and therefore not (yet) useful in aiding diagnosis).</w:t>
      </w:r>
    </w:p>
    <w:p w14:paraId="7D814FD7" w14:textId="3A86FA4A" w:rsidR="00D164E6" w:rsidRDefault="00885CED" w:rsidP="00885CED">
      <w:r w:rsidRPr="00734942">
        <w:t xml:space="preserve">The review was registered with the international prospective register of systematic reviews (PROSPERO) under registration number CRD42020170766. </w:t>
      </w:r>
      <w:r w:rsidR="00D56D10">
        <w:t xml:space="preserve">We </w:t>
      </w:r>
      <w:r w:rsidR="00A1016A">
        <w:t>published the</w:t>
      </w:r>
      <w:r w:rsidRPr="00734942" w:rsidDel="00D56D10">
        <w:t xml:space="preserve"> </w:t>
      </w:r>
      <w:r w:rsidRPr="00734942">
        <w:t xml:space="preserve">protocol </w:t>
      </w:r>
      <w:r w:rsidR="00D56D10">
        <w:t>for the review</w:t>
      </w:r>
      <w:r w:rsidRPr="00734942">
        <w:t xml:space="preserve">, which predefined the objectives and methods </w:t>
      </w:r>
      <w:r w:rsidR="00D56D10">
        <w:t xml:space="preserve">for </w:t>
      </w:r>
      <w:r w:rsidRPr="00734942">
        <w:t>this revie</w:t>
      </w:r>
      <w:r w:rsidR="00D56D10">
        <w:t>w</w:t>
      </w:r>
      <w:r w:rsidRPr="00734942" w:rsidDel="00D56D10">
        <w:t>.</w:t>
      </w:r>
      <w:r w:rsidRPr="00734942">
        <w:fldChar w:fldCharType="begin">
          <w:fldData xml:space="preserve">PEVuZE5vdGU+PENpdGU+PEF1dGhvcj5FbHdlbnNwb2VrPC9BdXRob3I+PFllYXI+MjAyMDwvWWVh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</w:fldData>
        </w:fldChar>
      </w:r>
      <w:r w:rsidR="00735CC0">
        <w:instrText xml:space="preserve"> ADDIN EN.CITE </w:instrText>
      </w:r>
      <w:r w:rsidR="00735CC0">
        <w:fldChar w:fldCharType="begin">
          <w:fldData xml:space="preserve">PEVuZE5vdGU+PENpdGU+PEF1dGhvcj5FbHdlbnNwb2VrPC9BdXRob3I+PFllYXI+MjAyMDwvWWVh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21</w:t>
      </w:r>
      <w:r w:rsidRPr="00734942">
        <w:fldChar w:fldCharType="end"/>
      </w:r>
      <w:r w:rsidRPr="00734942">
        <w:t xml:space="preserve"> This review</w:t>
      </w:r>
      <w:r w:rsidRPr="00734942" w:rsidDel="008E526D">
        <w:t xml:space="preserve"> </w:t>
      </w:r>
      <w:r w:rsidRPr="00734942">
        <w:t>followed the recommendations from the Centre for Reviews and Dissemination,</w:t>
      </w:r>
      <w:r w:rsidRPr="00734942">
        <w:fldChar w:fldCharType="begin"/>
      </w:r>
      <w:r w:rsidR="00735CC0">
        <w:instrText xml:space="preserve"> ADDIN EN.CITE &lt;EndNote&gt;&lt;Cite&gt;&lt;Author&gt;Centre for Reviews and Dissemination (CRD)&lt;/Author&gt;&lt;Year&gt;2009&lt;/Year&gt;&lt;RecNum&gt;27&lt;/RecNum&gt;&lt;DisplayText&gt;&lt;style face="superscript"&gt;22&lt;/style&gt;&lt;/DisplayText&gt;&lt;record&gt;&lt;rec-number&gt;27&lt;/rec-number&gt;&lt;foreign-keys&gt;&lt;key app="EN" db-id="tdwrx9xd1z9eepeevr355w2k959rv0f5zaax" timestamp="1632756069"&gt;27&lt;/key&gt;&lt;/foreign-keys&gt;&lt;ref-type name="Journal Article"&gt;17&lt;/ref-type&gt;&lt;contributors&gt;&lt;authors&gt;&lt;author&gt;Centre for Reviews and Dissemination (CRD), &lt;/author&gt;&lt;/authors&gt;&lt;/contributors&gt;&lt;titles&gt;&lt;title&gt;Systematic Reviews. CRD’s guidance for undertaking reviews in health care&lt;/title&gt;&lt;secondary-title&gt;University of York&lt;/secondary-title&gt;&lt;/titles&gt;&lt;periodical&gt;&lt;full-title&gt;University of York&lt;/full-title&gt;&lt;/periodical&gt;&lt;dates&gt;&lt;year&gt;2009&lt;/year&gt;&lt;/dates&gt;&lt;urls&gt;&lt;/urls&gt;&lt;/record&gt;&lt;/Cite&gt;&lt;/EndNote&gt;</w:instrText>
      </w:r>
      <w:r w:rsidRPr="00734942">
        <w:fldChar w:fldCharType="separate"/>
      </w:r>
      <w:r w:rsidR="00735CC0" w:rsidRPr="00735CC0">
        <w:rPr>
          <w:noProof/>
          <w:vertAlign w:val="superscript"/>
        </w:rPr>
        <w:t>22</w:t>
      </w:r>
      <w:r w:rsidRPr="00734942">
        <w:fldChar w:fldCharType="end"/>
      </w:r>
      <w:r w:rsidRPr="00734942">
        <w:t xml:space="preserve"> the Cochrane Handbook for Systematic Reviews of Diagnostic Test Accuracy,</w:t>
      </w:r>
      <w:r w:rsidRPr="00734942">
        <w:fldChar w:fldCharType="begin"/>
      </w:r>
      <w:r w:rsidR="00735CC0">
        <w:instrText xml:space="preserve"> ADDIN EN.CITE &lt;EndNote&gt;&lt;Cite&gt;&lt;Author&gt;Deeks&lt;/Author&gt;&lt;Year&gt;2013&lt;/Year&gt;&lt;RecNum&gt;28&lt;/RecNum&gt;&lt;DisplayText&gt;&lt;style face="superscript"&gt;23&lt;/style&gt;&lt;/DisplayText&gt;&lt;record&gt;&lt;rec-number&gt;28&lt;/rec-number&gt;&lt;foreign-keys&gt;&lt;key app="EN" db-id="tdwrx9xd1z9eepeevr355w2k959rv0f5zaax" timestamp="1632756069"&gt;28&lt;/key&gt;&lt;/foreign-keys&gt;&lt;ref-type name="Journal Article"&gt;17&lt;/ref-type&gt;&lt;contributors&gt;&lt;authors&gt;&lt;author&gt;Deeks, J.J.&lt;/author&gt;&lt;author&gt;Bossuyt, P.M.&lt;/author&gt;&lt;author&gt;Gatsonis, C.&lt;/author&gt;&lt;/authors&gt;&lt;/contributors&gt;&lt;titles&gt;&lt;title&gt;Cochrane Handbook for Systematic Reviews of Diagnostic Test Accuracy Version 1.0.0.&lt;/title&gt;&lt;secondary-title&gt;The Cochrane Collaboration&lt;/secondary-title&gt;&lt;/titles&gt;&lt;periodical&gt;&lt;full-title&gt;The Cochrane Collaboration&lt;/full-title&gt;&lt;/periodical&gt;&lt;dates&gt;&lt;year&gt;2013&lt;/year&gt;&lt;/dates&gt;&lt;urls&gt;&lt;related-urls&gt;&lt;url&gt;https://methods.cochrane.org/sdt/handbook-dta-reviews&lt;/url&gt;&lt;/related-urls&gt;&lt;/urls&gt;&lt;/record&gt;&lt;/Cite&gt;&lt;/EndNote&gt;</w:instrText>
      </w:r>
      <w:r w:rsidRPr="00734942">
        <w:fldChar w:fldCharType="separate"/>
      </w:r>
      <w:r w:rsidR="00735CC0" w:rsidRPr="00735CC0">
        <w:rPr>
          <w:noProof/>
          <w:vertAlign w:val="superscript"/>
        </w:rPr>
        <w:t>23</w:t>
      </w:r>
      <w:r w:rsidRPr="00734942">
        <w:fldChar w:fldCharType="end"/>
      </w:r>
      <w:r w:rsidRPr="00734942">
        <w:t xml:space="preserve"> and is reported according to the Preferred Reporting Items for a Systematic Review and Meta-analysis of Diagnostic Test Accuracy Studies (PRISMA DTA) statement.</w:t>
      </w:r>
      <w:r w:rsidRPr="00734942">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 </w:instrText>
      </w:r>
      <w:r w:rsidR="00735CC0">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24</w:t>
      </w:r>
      <w:r w:rsidRPr="00734942">
        <w:fldChar w:fldCharType="end"/>
      </w:r>
    </w:p>
    <w:p w14:paraId="6EC457FB" w14:textId="202AB642" w:rsidR="00697F3A" w:rsidRPr="00734942" w:rsidRDefault="00697F3A" w:rsidP="00885CED">
      <w:r>
        <w:rPr>
          <w:color w:val="000000"/>
        </w:rPr>
        <w:t>T</w:t>
      </w:r>
      <w:r w:rsidRPr="00F71DDD">
        <w:rPr>
          <w:color w:val="000000"/>
        </w:rPr>
        <w:t>his chapter contains reproductions from Elwenspoek 2021 et al</w:t>
      </w:r>
      <w:r>
        <w:rPr>
          <w:color w:val="000000"/>
        </w:rPr>
        <w:t>.</w:t>
      </w:r>
      <w:r w:rsidR="00C0219C">
        <w:rPr>
          <w:color w:val="000000"/>
        </w:rPr>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rPr>
          <w:color w:val="000000"/>
        </w:rPr>
        <w:instrText xml:space="preserve"> ADDIN EN.CITE </w:instrText>
      </w:r>
      <w:r w:rsidR="00735CC0">
        <w:rPr>
          <w:color w:val="000000"/>
        </w:rPr>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rPr>
          <w:color w:val="000000"/>
        </w:rPr>
        <w:instrText xml:space="preserve"> ADDIN EN.CITE.DATA </w:instrText>
      </w:r>
      <w:r w:rsidR="00735CC0">
        <w:rPr>
          <w:color w:val="000000"/>
        </w:rPr>
      </w:r>
      <w:r w:rsidR="00735CC0">
        <w:rPr>
          <w:color w:val="000000"/>
        </w:rPr>
        <w:fldChar w:fldCharType="end"/>
      </w:r>
      <w:r w:rsidR="00C0219C">
        <w:rPr>
          <w:color w:val="000000"/>
        </w:rPr>
      </w:r>
      <w:r w:rsidR="00C0219C">
        <w:rPr>
          <w:color w:val="000000"/>
        </w:rPr>
        <w:fldChar w:fldCharType="separate"/>
      </w:r>
      <w:r w:rsidR="00735CC0" w:rsidRPr="00735CC0">
        <w:rPr>
          <w:noProof/>
          <w:color w:val="000000"/>
          <w:vertAlign w:val="superscript"/>
        </w:rPr>
        <w:t>25</w:t>
      </w:r>
      <w:r w:rsidR="00C0219C">
        <w:rPr>
          <w:color w:val="000000"/>
        </w:rPr>
        <w:fldChar w:fldCharType="end"/>
      </w:r>
      <w:r w:rsidR="00627633">
        <w:rPr>
          <w:color w:val="000000"/>
        </w:rPr>
        <w:t xml:space="preserve"> </w:t>
      </w:r>
      <w:r w:rsidR="001177E3">
        <w:rPr>
          <w:color w:val="000000"/>
        </w:rPr>
        <w:t>(</w:t>
      </w:r>
      <w:r w:rsidR="00627633" w:rsidRPr="00627633">
        <w:rPr>
          <w:color w:val="000000"/>
        </w:rPr>
        <w:t>CC BY 4.0</w:t>
      </w:r>
      <w:r w:rsidR="00627633">
        <w:rPr>
          <w:color w:val="000000"/>
        </w:rPr>
        <w:t xml:space="preserve"> licence</w:t>
      </w:r>
      <w:r w:rsidR="001177E3">
        <w:rPr>
          <w:color w:val="000000"/>
        </w:rPr>
        <w:t>)</w:t>
      </w:r>
      <w:r w:rsidR="00627633">
        <w:rPr>
          <w:color w:val="000000"/>
        </w:rPr>
        <w:t>.</w:t>
      </w:r>
    </w:p>
    <w:p w14:paraId="16DF25F5" w14:textId="7314BC1B" w:rsidR="00D239FE" w:rsidRPr="00734942" w:rsidRDefault="00D239FE" w:rsidP="00D239FE">
      <w:pPr>
        <w:pStyle w:val="Heading2"/>
      </w:pPr>
      <w:bookmarkStart w:id="85" w:name="_Toc99539824"/>
      <w:bookmarkStart w:id="86" w:name="_Hlk86245535"/>
      <w:r w:rsidRPr="00734942">
        <w:t>Systematic review methods</w:t>
      </w:r>
      <w:bookmarkEnd w:id="85"/>
    </w:p>
    <w:p w14:paraId="2B9DC38C" w14:textId="77777777" w:rsidR="00FC0FE0" w:rsidRPr="00734942" w:rsidRDefault="00FC0FE0" w:rsidP="008D541A">
      <w:pPr>
        <w:pStyle w:val="Heading3"/>
      </w:pPr>
      <w:bookmarkStart w:id="87" w:name="_Toc99539825"/>
      <w:r w:rsidRPr="00734942">
        <w:t>Eligibility criteria</w:t>
      </w:r>
      <w:bookmarkEnd w:id="87"/>
    </w:p>
    <w:bookmarkEnd w:id="86"/>
    <w:p w14:paraId="5E638CE7" w14:textId="25C500D3" w:rsidR="00FC0FE0" w:rsidRPr="00734942" w:rsidRDefault="00FC0FE0" w:rsidP="00FC0FE0">
      <w:r w:rsidRPr="00734942">
        <w:t xml:space="preserve">Studies were </w:t>
      </w:r>
      <w:r w:rsidR="008E526D">
        <w:t>evaluated as</w:t>
      </w:r>
      <w:r w:rsidRPr="00734942">
        <w:t xml:space="preserve"> diagnostic test accuracy studies, where the diagnostic indicator was </w:t>
      </w:r>
      <w:r w:rsidR="008E526D">
        <w:t>considered to be the</w:t>
      </w:r>
      <w:r w:rsidRPr="00734942">
        <w:t xml:space="preserve"> index test and CD serological tests and/or biopsy </w:t>
      </w:r>
      <w:r w:rsidR="008E526D">
        <w:t xml:space="preserve">were considered </w:t>
      </w:r>
      <w:r w:rsidRPr="00734942">
        <w:t xml:space="preserve">the reference standard. </w:t>
      </w:r>
    </w:p>
    <w:p w14:paraId="2C003584" w14:textId="0367CA85" w:rsidR="008E526D" w:rsidRPr="00734942" w:rsidRDefault="008E526D" w:rsidP="00FC0FE0">
      <w:pPr>
        <w:spacing w:line="256" w:lineRule="auto"/>
      </w:pPr>
      <w:bookmarkStart w:id="88" w:name="_Hlk86245544"/>
      <w:r w:rsidRPr="00734942">
        <w:t>We included studies that met the following criteria:</w:t>
      </w:r>
      <w:bookmarkEnd w:id="88"/>
    </w:p>
    <w:p w14:paraId="799CC51F" w14:textId="7EBBF4BB" w:rsidR="008E526D" w:rsidRPr="00734942" w:rsidRDefault="008E526D" w:rsidP="008E526D">
      <w:bookmarkStart w:id="89" w:name="_Hlk33434130"/>
      <w:bookmarkStart w:id="90" w:name="_Hlk86245558"/>
      <w:r w:rsidRPr="004C34F4">
        <w:rPr>
          <w:b/>
          <w:bCs/>
        </w:rPr>
        <w:t>Study design:</w:t>
      </w:r>
      <w:r w:rsidRPr="00734942">
        <w:t xml:space="preserve"> Diagnostic cohort</w:t>
      </w:r>
      <w:r>
        <w:t xml:space="preserve">/cross-sectional </w:t>
      </w:r>
      <w:r w:rsidRPr="00734942">
        <w:t xml:space="preserve">studies (also known as “one gate design”) </w:t>
      </w:r>
      <w:r w:rsidRPr="00734942">
        <w:fldChar w:fldCharType="begin"/>
      </w:r>
      <w:r w:rsidR="00735CC0">
        <w:instrText xml:space="preserve"> ADDIN EN.CITE &lt;EndNote&gt;&lt;Cite&gt;&lt;Author&gt;Rutjes&lt;/Author&gt;&lt;Year&gt;2005&lt;/Year&gt;&lt;RecNum&gt;30&lt;/RecNum&gt;&lt;DisplayText&gt;&lt;style face="superscript"&gt;26&lt;/style&gt;&lt;/DisplayText&gt;&lt;record&gt;&lt;rec-number&gt;30&lt;/rec-number&gt;&lt;foreign-keys&gt;&lt;key app="EN" db-id="tdwrx9xd1z9eepeevr355w2k959rv0f5zaax" timestamp="1632756069"&gt;30&lt;/key&gt;&lt;/foreign-keys&gt;&lt;ref-type name="Journal Article"&gt;17&lt;/ref-type&gt;&lt;contributors&gt;&lt;authors&gt;&lt;author&gt;Rutjes, A. W.&lt;/author&gt;&lt;author&gt;Reitsma, J. B.&lt;/author&gt;&lt;author&gt;Vandenbroucke, J. P.&lt;/author&gt;&lt;author&gt;Glas, A. S.&lt;/author&gt;&lt;author&gt;Bossuyt, P. M.&lt;/author&gt;&lt;/authors&gt;&lt;/contributors&gt;&lt;auth-address&gt;Department of Clinical Epidemiology and Biostatistics, Academic Medical Center, University of Amsterdam, Amsterdam, The Netherlands. a.rutjes@amc.uva.nl&lt;/auth-address&gt;&lt;titles&gt;&lt;title&gt;Case-control and two-gate designs in diagnostic accuracy studies&lt;/title&gt;&lt;secondary-title&gt;Clin Chem&lt;/secondary-title&gt;&lt;/titles&gt;&lt;periodical&gt;&lt;full-title&gt;Clin Chem&lt;/full-title&gt;&lt;/periodical&gt;&lt;pages&gt;1335-41&lt;/pages&gt;&lt;volume&gt;51&lt;/volume&gt;&lt;number&gt;8&lt;/number&gt;&lt;edition&gt;2005/06/18&lt;/edition&gt;&lt;keywords&gt;&lt;keyword&gt;*Case-Control Studies&lt;/keyword&gt;&lt;keyword&gt;Clinical Laboratory Techniques/*statistics &amp;amp; numerical data&lt;/keyword&gt;&lt;keyword&gt;Disease/*etiology&lt;/keyword&gt;&lt;keyword&gt;Epidemiologic Methods&lt;/keyword&gt;&lt;keyword&gt;Humans&lt;/keyword&gt;&lt;keyword&gt;*Research Design&lt;/keyword&gt;&lt;/keywords&gt;&lt;dates&gt;&lt;year&gt;2005&lt;/year&gt;&lt;pub-dates&gt;&lt;date&gt;Aug&lt;/date&gt;&lt;/pub-dates&gt;&lt;/dates&gt;&lt;isbn&gt;0009-9147 (Print)&amp;#xD;0009-9147 (Linking)&lt;/isbn&gt;&lt;accession-num&gt;15961549&lt;/accession-num&gt;&lt;urls&gt;&lt;related-urls&gt;&lt;url&gt;https://www.ncbi.nlm.nih.gov/pubmed/15961549&lt;/url&gt;&lt;/related-urls&gt;&lt;/urls&gt;&lt;electronic-resource-num&gt;10.1373/clinchem.2005.048595&lt;/electronic-resource-num&gt;&lt;/record&gt;&lt;/Cite&gt;&lt;/EndNote&gt;</w:instrText>
      </w:r>
      <w:r w:rsidRPr="00734942">
        <w:fldChar w:fldCharType="separate"/>
      </w:r>
      <w:r w:rsidR="00735CC0" w:rsidRPr="00735CC0">
        <w:rPr>
          <w:noProof/>
          <w:vertAlign w:val="superscript"/>
        </w:rPr>
        <w:t>26</w:t>
      </w:r>
      <w:r w:rsidRPr="00734942">
        <w:fldChar w:fldCharType="end"/>
      </w:r>
      <w:r w:rsidRPr="00734942" w:rsidDel="008E526D">
        <w:t xml:space="preserve"> </w:t>
      </w:r>
      <w:r w:rsidRPr="00734942">
        <w:t xml:space="preserve">or </w:t>
      </w:r>
      <w:r>
        <w:t>d</w:t>
      </w:r>
      <w:r w:rsidRPr="00734942">
        <w:t xml:space="preserve">iagnostic case-control studies (also known as “two-gate” </w:t>
      </w:r>
      <w:r>
        <w:t xml:space="preserve">or “multi-gate” </w:t>
      </w:r>
      <w:r w:rsidRPr="00734942">
        <w:t>designs). Prediction modelling studies were also eligible for inclusion.</w:t>
      </w:r>
    </w:p>
    <w:p w14:paraId="003CA3F6" w14:textId="715EEB1C" w:rsidR="008E526D" w:rsidRPr="00734942" w:rsidRDefault="008E526D" w:rsidP="008E526D">
      <w:r w:rsidRPr="004C34F4">
        <w:rPr>
          <w:b/>
        </w:rPr>
        <w:t>Participants</w:t>
      </w:r>
      <w:r w:rsidRPr="00734942">
        <w:t xml:space="preserve">: </w:t>
      </w:r>
      <w:r>
        <w:t>A</w:t>
      </w:r>
      <w:r w:rsidRPr="00734942">
        <w:t>dults and/or children representative of the general population</w:t>
      </w:r>
      <w:r>
        <w:t>. S</w:t>
      </w:r>
      <w:r w:rsidRPr="00734942">
        <w:t>tudies</w:t>
      </w:r>
      <w:r>
        <w:t xml:space="preserve"> restricted to</w:t>
      </w:r>
      <w:r w:rsidRPr="00734942" w:rsidDel="008E526D">
        <w:t xml:space="preserve"> </w:t>
      </w:r>
      <w:r w:rsidRPr="00734942">
        <w:t>specific disease populations without healthy participants were excluded</w:t>
      </w:r>
      <w:r>
        <w:t>.</w:t>
      </w:r>
    </w:p>
    <w:p w14:paraId="2947AAC3" w14:textId="6DA8918D" w:rsidR="00FC0FE0" w:rsidRPr="00734942" w:rsidRDefault="00FC0FE0" w:rsidP="004C34F4">
      <w:r w:rsidRPr="004C34F4">
        <w:rPr>
          <w:b/>
          <w:bCs/>
        </w:rPr>
        <w:t>Index test:</w:t>
      </w:r>
      <w:r w:rsidRPr="00734942">
        <w:t xml:space="preserve"> any potential diagnostic indicator</w:t>
      </w:r>
      <w:r w:rsidR="008E526D">
        <w:t xml:space="preserve"> based on the definition above</w:t>
      </w:r>
    </w:p>
    <w:p w14:paraId="3D6EBC2E" w14:textId="5CB85004" w:rsidR="00FC0FE0" w:rsidRPr="00734942" w:rsidRDefault="00FC0FE0" w:rsidP="004C34F4">
      <w:r w:rsidRPr="004C34F4">
        <w:rPr>
          <w:b/>
          <w:bCs/>
        </w:rPr>
        <w:t>Reference standard</w:t>
      </w:r>
      <w:r w:rsidRPr="00734942">
        <w:t xml:space="preserve">: CD diagnosis, </w:t>
      </w:r>
      <w:bookmarkEnd w:id="89"/>
      <w:r w:rsidRPr="00734942">
        <w:t>detected by one of more serological tests, including IgA/G tTG, EMA, or deaminated gliadin peptide (DGP) and/or duodenal biopsy. All participants</w:t>
      </w:r>
      <w:r w:rsidRPr="00734942" w:rsidDel="008E526D">
        <w:t xml:space="preserve"> </w:t>
      </w:r>
      <w:r w:rsidR="008E526D">
        <w:t>had</w:t>
      </w:r>
      <w:r w:rsidR="008E526D" w:rsidRPr="00734942">
        <w:t xml:space="preserve"> </w:t>
      </w:r>
      <w:r w:rsidRPr="00734942">
        <w:t xml:space="preserve">to be tested for CD and </w:t>
      </w:r>
      <w:r w:rsidR="00AD4CFC" w:rsidRPr="00734942">
        <w:t xml:space="preserve">including the </w:t>
      </w:r>
      <w:r w:rsidRPr="00734942">
        <w:t>control group</w:t>
      </w:r>
      <w:r w:rsidR="00AD4CFC" w:rsidRPr="00734942">
        <w:t>.</w:t>
      </w:r>
    </w:p>
    <w:p w14:paraId="1CBEBD3F" w14:textId="03EBAB17" w:rsidR="00FC0FE0" w:rsidRPr="00734942" w:rsidRDefault="00FC0FE0" w:rsidP="004C34F4">
      <w:r w:rsidRPr="00734942">
        <w:t>Studies were included only if sufficient data could be extracted to construct cross-tabulations of the number of people with and without the diagnostic indicator against the number of people with and without CD</w:t>
      </w:r>
      <w:r w:rsidR="00FE7B1B" w:rsidRPr="00734942">
        <w:t xml:space="preserve"> according to the reference standard</w:t>
      </w:r>
      <w:r w:rsidRPr="00734942">
        <w:t>.</w:t>
      </w:r>
    </w:p>
    <w:p w14:paraId="5C6EE0B1" w14:textId="77777777" w:rsidR="00FC0FE0" w:rsidRPr="00734942" w:rsidRDefault="00FC0FE0" w:rsidP="004C34F4">
      <w:r w:rsidRPr="00734942">
        <w:t xml:space="preserve">We excluded studies published before 1997 (the year in which tTG was developed), to reduce the variation in CD diagnostic tests. </w:t>
      </w:r>
    </w:p>
    <w:p w14:paraId="62CB2BAF" w14:textId="38838C7B" w:rsidR="00FC0FE0" w:rsidRPr="00734942" w:rsidRDefault="008E526D" w:rsidP="008D541A">
      <w:pPr>
        <w:pStyle w:val="Heading3"/>
      </w:pPr>
      <w:bookmarkStart w:id="91" w:name="_Toc99539826"/>
      <w:r>
        <w:t>Search strategy</w:t>
      </w:r>
      <w:bookmarkEnd w:id="91"/>
    </w:p>
    <w:p w14:paraId="2757BABB" w14:textId="050AEE7B" w:rsidR="00FC0FE0" w:rsidRPr="00734942" w:rsidRDefault="00FC0FE0" w:rsidP="00FC0FE0">
      <w:bookmarkStart w:id="92" w:name="_Hlk33433817"/>
      <w:bookmarkEnd w:id="90"/>
      <w:r w:rsidRPr="00734942">
        <w:t xml:space="preserve">The following databases were searched from 1997 until </w:t>
      </w:r>
      <w:r w:rsidR="006D7D49" w:rsidRPr="00734942">
        <w:t>April 2021</w:t>
      </w:r>
      <w:r w:rsidRPr="00734942">
        <w:t>:</w:t>
      </w:r>
    </w:p>
    <w:p w14:paraId="6BA36FD2" w14:textId="77777777" w:rsidR="00FC0FE0" w:rsidRPr="00734942" w:rsidRDefault="00FC0FE0" w:rsidP="004E1708">
      <w:pPr>
        <w:pStyle w:val="ListParagraph"/>
        <w:numPr>
          <w:ilvl w:val="0"/>
          <w:numId w:val="6"/>
        </w:numPr>
      </w:pPr>
      <w:r w:rsidRPr="00734942">
        <w:lastRenderedPageBreak/>
        <w:t>MEDLINE</w:t>
      </w:r>
    </w:p>
    <w:p w14:paraId="7805CDF6" w14:textId="77777777" w:rsidR="00FC0FE0" w:rsidRPr="00734942" w:rsidRDefault="00FC0FE0" w:rsidP="004E1708">
      <w:pPr>
        <w:pStyle w:val="ListParagraph"/>
        <w:numPr>
          <w:ilvl w:val="0"/>
          <w:numId w:val="6"/>
        </w:numPr>
      </w:pPr>
      <w:r w:rsidRPr="00734942">
        <w:t>Embase</w:t>
      </w:r>
    </w:p>
    <w:p w14:paraId="11BB4E2E" w14:textId="77777777" w:rsidR="00FC0FE0" w:rsidRPr="00734942" w:rsidRDefault="00FC0FE0" w:rsidP="004E1708">
      <w:pPr>
        <w:pStyle w:val="ListParagraph"/>
        <w:numPr>
          <w:ilvl w:val="0"/>
          <w:numId w:val="6"/>
        </w:numPr>
      </w:pPr>
      <w:r w:rsidRPr="00734942">
        <w:t>Cochrane Library</w:t>
      </w:r>
    </w:p>
    <w:p w14:paraId="59B2FF45" w14:textId="77777777" w:rsidR="00FC0FE0" w:rsidRPr="00734942" w:rsidRDefault="00FC0FE0" w:rsidP="004E1708">
      <w:pPr>
        <w:pStyle w:val="ListParagraph"/>
        <w:numPr>
          <w:ilvl w:val="0"/>
          <w:numId w:val="6"/>
        </w:numPr>
      </w:pPr>
      <w:r w:rsidRPr="00734942">
        <w:t xml:space="preserve">Web of Science </w:t>
      </w:r>
    </w:p>
    <w:p w14:paraId="42F7DBA0" w14:textId="77777777" w:rsidR="00FC0FE0" w:rsidRPr="00734942" w:rsidRDefault="00FC0FE0" w:rsidP="004E1708">
      <w:pPr>
        <w:pStyle w:val="ListParagraph"/>
        <w:numPr>
          <w:ilvl w:val="0"/>
          <w:numId w:val="6"/>
        </w:numPr>
      </w:pPr>
      <w:r w:rsidRPr="00734942">
        <w:t xml:space="preserve">WHO International Clinical Trials Registry </w:t>
      </w:r>
    </w:p>
    <w:p w14:paraId="39B14FA2" w14:textId="77777777" w:rsidR="00FC0FE0" w:rsidRPr="00734942" w:rsidRDefault="00FC0FE0" w:rsidP="004E1708">
      <w:pPr>
        <w:pStyle w:val="ListParagraph"/>
        <w:numPr>
          <w:ilvl w:val="0"/>
          <w:numId w:val="6"/>
        </w:numPr>
      </w:pPr>
      <w:r w:rsidRPr="00734942">
        <w:t>NIH Clinical Trials database</w:t>
      </w:r>
    </w:p>
    <w:bookmarkEnd w:id="92"/>
    <w:p w14:paraId="5CEBD99E" w14:textId="77777777" w:rsidR="006A51B5" w:rsidRPr="00734942" w:rsidRDefault="00FC0FE0" w:rsidP="00FC0FE0">
      <w:pPr>
        <w:rPr>
          <w:szCs w:val="24"/>
        </w:rPr>
      </w:pPr>
      <w:r w:rsidRPr="00734942">
        <w:rPr>
          <w:szCs w:val="24"/>
        </w:rPr>
        <w:t xml:space="preserve">The search strategy incorporated three main elements: </w:t>
      </w:r>
    </w:p>
    <w:p w14:paraId="2A079254" w14:textId="14093A69" w:rsidR="006A51B5" w:rsidRPr="00734942" w:rsidRDefault="006A51B5" w:rsidP="004E1708">
      <w:pPr>
        <w:pStyle w:val="ListParagraph"/>
        <w:numPr>
          <w:ilvl w:val="0"/>
          <w:numId w:val="8"/>
        </w:numPr>
        <w:rPr>
          <w:szCs w:val="24"/>
        </w:rPr>
      </w:pPr>
      <w:r w:rsidRPr="00734942">
        <w:rPr>
          <w:szCs w:val="24"/>
        </w:rPr>
        <w:t>C</w:t>
      </w:r>
      <w:r w:rsidR="00FC0FE0" w:rsidRPr="00734942">
        <w:rPr>
          <w:szCs w:val="24"/>
        </w:rPr>
        <w:t>onditions (CD) + prognostic/predictive research filter,</w:t>
      </w:r>
      <w:r w:rsidR="00FC0FE0" w:rsidRPr="00734942">
        <w:rPr>
          <w:szCs w:val="24"/>
        </w:rPr>
        <w:fldChar w:fldCharType="begin">
          <w:fldData xml:space="preserve">PEVuZE5vdGU+PENpdGU+PEF1dGhvcj5HZWVyc2luZzwvQXV0aG9yPjxZZWFyPjIwMTI8L1llYXI+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</w:fldData>
        </w:fldChar>
      </w:r>
      <w:r w:rsidR="00735CC0">
        <w:rPr>
          <w:szCs w:val="24"/>
        </w:rPr>
        <w:instrText xml:space="preserve"> ADDIN EN.CITE </w:instrText>
      </w:r>
      <w:r w:rsidR="00735CC0">
        <w:rPr>
          <w:szCs w:val="24"/>
        </w:rPr>
        <w:fldChar w:fldCharType="begin">
          <w:fldData xml:space="preserve">PEVuZE5vdGU+PENpdGU+PEF1dGhvcj5HZWVyc2luZzwvQXV0aG9yPjxZZWFyPjIwMTI8L1llYXI+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</w:fldData>
        </w:fldChar>
      </w:r>
      <w:r w:rsidR="00735CC0">
        <w:rPr>
          <w:szCs w:val="24"/>
        </w:rPr>
        <w:instrText xml:space="preserve"> ADDIN EN.CITE.DATA </w:instrText>
      </w:r>
      <w:r w:rsidR="00735CC0">
        <w:rPr>
          <w:szCs w:val="24"/>
        </w:rPr>
      </w:r>
      <w:r w:rsidR="00735CC0">
        <w:rPr>
          <w:szCs w:val="24"/>
        </w:rPr>
        <w:fldChar w:fldCharType="end"/>
      </w:r>
      <w:r w:rsidR="00FC0FE0" w:rsidRPr="00734942">
        <w:rPr>
          <w:szCs w:val="24"/>
        </w:rPr>
      </w:r>
      <w:r w:rsidR="00FC0FE0" w:rsidRPr="00734942">
        <w:rPr>
          <w:szCs w:val="24"/>
        </w:rPr>
        <w:fldChar w:fldCharType="separate"/>
      </w:r>
      <w:r w:rsidR="00735CC0" w:rsidRPr="00735CC0">
        <w:rPr>
          <w:noProof/>
          <w:szCs w:val="24"/>
          <w:vertAlign w:val="superscript"/>
        </w:rPr>
        <w:t>27, 28</w:t>
      </w:r>
      <w:r w:rsidR="00FC0FE0" w:rsidRPr="00734942">
        <w:rPr>
          <w:szCs w:val="24"/>
        </w:rPr>
        <w:fldChar w:fldCharType="end"/>
      </w:r>
      <w:r w:rsidR="00FC0FE0" w:rsidRPr="00734942">
        <w:rPr>
          <w:szCs w:val="24"/>
        </w:rPr>
        <w:t xml:space="preserve"> </w:t>
      </w:r>
    </w:p>
    <w:p w14:paraId="5CBC9F16" w14:textId="77777777" w:rsidR="006A51B5" w:rsidRPr="00734942" w:rsidRDefault="006A51B5" w:rsidP="004E1708">
      <w:pPr>
        <w:pStyle w:val="ListParagraph"/>
        <w:numPr>
          <w:ilvl w:val="0"/>
          <w:numId w:val="8"/>
        </w:numPr>
        <w:rPr>
          <w:szCs w:val="24"/>
        </w:rPr>
      </w:pPr>
      <w:r w:rsidRPr="00734942">
        <w:rPr>
          <w:szCs w:val="24"/>
        </w:rPr>
        <w:t>C</w:t>
      </w:r>
      <w:r w:rsidR="00FC0FE0" w:rsidRPr="00734942">
        <w:rPr>
          <w:szCs w:val="24"/>
        </w:rPr>
        <w:t xml:space="preserve">onditions (CD) + all physical diseases/signs/symptoms (based on MeSH, EMTREE) + ‘CD’ diagnosis, </w:t>
      </w:r>
    </w:p>
    <w:p w14:paraId="120A7DA0" w14:textId="20B5F1FD" w:rsidR="006A51B5" w:rsidRPr="00734942" w:rsidRDefault="006A51B5" w:rsidP="004E1708">
      <w:pPr>
        <w:pStyle w:val="ListParagraph"/>
        <w:numPr>
          <w:ilvl w:val="0"/>
          <w:numId w:val="8"/>
        </w:numPr>
        <w:rPr>
          <w:szCs w:val="24"/>
        </w:rPr>
      </w:pPr>
      <w:r w:rsidRPr="00734942">
        <w:rPr>
          <w:szCs w:val="24"/>
        </w:rPr>
        <w:t>T</w:t>
      </w:r>
      <w:r w:rsidR="00FC0FE0" w:rsidRPr="00734942">
        <w:rPr>
          <w:szCs w:val="24"/>
        </w:rPr>
        <w:t xml:space="preserve">erms for </w:t>
      </w:r>
      <w:r w:rsidRPr="00734942">
        <w:rPr>
          <w:szCs w:val="24"/>
        </w:rPr>
        <w:t>high-risk</w:t>
      </w:r>
      <w:r w:rsidR="00FC0FE0" w:rsidRPr="00734942">
        <w:rPr>
          <w:szCs w:val="24"/>
        </w:rPr>
        <w:t xml:space="preserve"> populations (see</w:t>
      </w:r>
      <w:r w:rsidR="00FB0E41" w:rsidRPr="00734942">
        <w:rPr>
          <w:szCs w:val="24"/>
        </w:rPr>
        <w:t xml:space="preserve"> </w:t>
      </w:r>
      <w:r w:rsidR="006C1E03">
        <w:rPr>
          <w:szCs w:val="24"/>
        </w:rPr>
        <w:fldChar w:fldCharType="begin"/>
      </w:r>
      <w:r w:rsidR="006C1E03">
        <w:rPr>
          <w:szCs w:val="24"/>
        </w:rPr>
        <w:instrText xml:space="preserve"> REF _Ref87617946 \h </w:instrText>
      </w:r>
      <w:r w:rsidR="006C1E03">
        <w:rPr>
          <w:szCs w:val="24"/>
        </w:rPr>
      </w:r>
      <w:r w:rsidR="006C1E03">
        <w:rPr>
          <w:szCs w:val="24"/>
        </w:rPr>
        <w:fldChar w:fldCharType="separate"/>
      </w:r>
      <w:r w:rsidR="008B5583" w:rsidRPr="00734942">
        <w:t xml:space="preserve">Appendix </w:t>
      </w:r>
      <w:r w:rsidR="008B5583">
        <w:t>1</w:t>
      </w:r>
      <w:r w:rsidR="006C1E03">
        <w:rPr>
          <w:szCs w:val="24"/>
        </w:rPr>
        <w:fldChar w:fldCharType="end"/>
      </w:r>
      <w:r w:rsidR="00FC0FE0" w:rsidRPr="00734942">
        <w:rPr>
          <w:szCs w:val="24"/>
        </w:rPr>
        <w:t xml:space="preserve"> for a detailed search strategy)</w:t>
      </w:r>
      <w:r w:rsidR="00FC0FE0" w:rsidRPr="00734942">
        <w:rPr>
          <w:szCs w:val="24"/>
        </w:rPr>
        <w:fldChar w:fldCharType="begin">
          <w:fldData xml:space="preserve">PEVuZE5vdGU+PENpdGU+PEF1dGhvcj5FbHdlbnNwb2VrPC9BdXRob3I+PFllYXI+MjAyMDwvWWVh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</w:fldData>
        </w:fldChar>
      </w:r>
      <w:r w:rsidR="00735CC0">
        <w:rPr>
          <w:szCs w:val="24"/>
        </w:rPr>
        <w:instrText xml:space="preserve"> ADDIN EN.CITE </w:instrText>
      </w:r>
      <w:r w:rsidR="00735CC0">
        <w:rPr>
          <w:szCs w:val="24"/>
        </w:rPr>
        <w:fldChar w:fldCharType="begin">
          <w:fldData xml:space="preserve">PEVuZE5vdGU+PENpdGU+PEF1dGhvcj5FbHdlbnNwb2VrPC9BdXRob3I+PFllYXI+MjAyMDwvWWVh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</w:fldData>
        </w:fldChar>
      </w:r>
      <w:r w:rsidR="00735CC0">
        <w:rPr>
          <w:szCs w:val="24"/>
        </w:rPr>
        <w:instrText xml:space="preserve"> ADDIN EN.CITE.DATA </w:instrText>
      </w:r>
      <w:r w:rsidR="00735CC0">
        <w:rPr>
          <w:szCs w:val="24"/>
        </w:rPr>
      </w:r>
      <w:r w:rsidR="00735CC0">
        <w:rPr>
          <w:szCs w:val="24"/>
        </w:rPr>
        <w:fldChar w:fldCharType="end"/>
      </w:r>
      <w:r w:rsidR="00FC0FE0" w:rsidRPr="00734942">
        <w:rPr>
          <w:szCs w:val="24"/>
        </w:rPr>
      </w:r>
      <w:r w:rsidR="00FC0FE0" w:rsidRPr="00734942">
        <w:rPr>
          <w:szCs w:val="24"/>
        </w:rPr>
        <w:fldChar w:fldCharType="separate"/>
      </w:r>
      <w:r w:rsidR="00735CC0" w:rsidRPr="00735CC0">
        <w:rPr>
          <w:noProof/>
          <w:szCs w:val="24"/>
          <w:vertAlign w:val="superscript"/>
        </w:rPr>
        <w:t>21</w:t>
      </w:r>
      <w:r w:rsidR="00FC0FE0" w:rsidRPr="00734942">
        <w:rPr>
          <w:szCs w:val="24"/>
        </w:rPr>
        <w:fldChar w:fldCharType="end"/>
      </w:r>
    </w:p>
    <w:p w14:paraId="5EA14E1C" w14:textId="3EEFBAB5" w:rsidR="00FC0FE0" w:rsidRDefault="00FC0FE0" w:rsidP="006A51B5">
      <w:r w:rsidRPr="00734942">
        <w:rPr>
          <w:szCs w:val="24"/>
        </w:rPr>
        <w:t>Animal studies, case reports, letters, editorials, and coeliac artery/trunk research were filtered out and a sensitive study design filter was applied.</w:t>
      </w:r>
      <w:r w:rsidRPr="00734942">
        <w:t xml:space="preserve"> We also screened reference lists of the latest guidelines on CD and recent systematic reviews.</w:t>
      </w:r>
    </w:p>
    <w:p w14:paraId="11333A09" w14:textId="77777777" w:rsidR="008E526D" w:rsidRPr="00734942" w:rsidRDefault="008E526D" w:rsidP="008E526D">
      <w:r w:rsidRPr="00734942">
        <w:t>Results of the searches were downloaded and saved to an Endnote X9 library.</w:t>
      </w:r>
    </w:p>
    <w:p w14:paraId="6D3E6E26" w14:textId="77777777" w:rsidR="00FC0FE0" w:rsidRPr="00734942" w:rsidRDefault="00FC0FE0" w:rsidP="00C577CC">
      <w:pPr>
        <w:pStyle w:val="Heading3"/>
      </w:pPr>
      <w:bookmarkStart w:id="93" w:name="_Toc99539827"/>
      <w:bookmarkStart w:id="94" w:name="_Hlk86245961"/>
      <w:r w:rsidRPr="00734942">
        <w:t>Study selection</w:t>
      </w:r>
      <w:bookmarkEnd w:id="93"/>
    </w:p>
    <w:p w14:paraId="0F1489D0" w14:textId="16ABF20F" w:rsidR="00FC0FE0" w:rsidRPr="00734942" w:rsidRDefault="00FC0FE0" w:rsidP="00FC0FE0">
      <w:r w:rsidRPr="00734942">
        <w:t xml:space="preserve">Study selection was conducted in two stages using forms developed in Microsoft Access that were piloted before use. </w:t>
      </w:r>
      <w:r w:rsidR="008E526D">
        <w:t xml:space="preserve">Search results were exported from Endnote in a format that could be imported into Microsoft Access. </w:t>
      </w:r>
      <w:r w:rsidRPr="00734942">
        <w:t>At stage one of study selection</w:t>
      </w:r>
      <w:r w:rsidR="0043317C" w:rsidRPr="00734942">
        <w:t>,</w:t>
      </w:r>
      <w:r w:rsidRPr="00734942">
        <w:t xml:space="preserve"> titles and abstracts were screened against the inclusion criteria to exclude papers that were clearly irrelevant. At the second stage, full texts identified as possibly relevant in the initial screening were assessed in detail and reasons for exclusion were documented. Both stages of study selection were performed independently by two reviewers and disagreements about study eligibility were resolved through discussion or by consulting a third member of the review team.</w:t>
      </w:r>
    </w:p>
    <w:p w14:paraId="21F7BA85" w14:textId="77777777" w:rsidR="00FC0FE0" w:rsidRPr="00734942" w:rsidRDefault="00FC0FE0" w:rsidP="00C577CC">
      <w:pPr>
        <w:pStyle w:val="Heading3"/>
      </w:pPr>
      <w:bookmarkStart w:id="95" w:name="_Toc99539828"/>
      <w:r w:rsidRPr="00734942">
        <w:t>Data collection process</w:t>
      </w:r>
      <w:bookmarkEnd w:id="95"/>
    </w:p>
    <w:p w14:paraId="37BB3E82" w14:textId="7BDF598F" w:rsidR="00FC0FE0" w:rsidRPr="00734942" w:rsidRDefault="00FC0FE0" w:rsidP="00FC0FE0">
      <w:bookmarkStart w:id="96" w:name="_Hlk33434393"/>
      <w:r w:rsidRPr="00734942">
        <w:t xml:space="preserve">Standardised data extraction forms were developed </w:t>
      </w:r>
      <w:r w:rsidR="008E526D">
        <w:t>using</w:t>
      </w:r>
      <w:r w:rsidR="008E526D" w:rsidRPr="00734942">
        <w:t xml:space="preserve"> </w:t>
      </w:r>
      <w:r w:rsidRPr="00734942">
        <w:t>Microsoft Access</w:t>
      </w:r>
      <w:r w:rsidR="008E526D">
        <w:t>.</w:t>
      </w:r>
      <w:r w:rsidR="002F1EFF">
        <w:t xml:space="preserve"> </w:t>
      </w:r>
      <w:r w:rsidR="008E526D">
        <w:t>These were</w:t>
      </w:r>
      <w:r w:rsidR="00CE66F8" w:rsidRPr="00734942">
        <w:t xml:space="preserve"> </w:t>
      </w:r>
      <w:r w:rsidRPr="00734942">
        <w:t>piloted on a small sample of papers and adapted as necessary before use. Data extraction was performed by one reviewer and checked by a second</w:t>
      </w:r>
      <w:r w:rsidR="00F46D65" w:rsidRPr="00734942">
        <w:t>,</w:t>
      </w:r>
      <w:r w:rsidRPr="00734942">
        <w:t xml:space="preserve"> with disagreements resolved through discussion or referral to a third reviewer.</w:t>
      </w:r>
    </w:p>
    <w:p w14:paraId="2559D1ED" w14:textId="74B4C8FF" w:rsidR="00FC0FE0" w:rsidRPr="00734942" w:rsidRDefault="00FC0FE0" w:rsidP="00FC0FE0">
      <w:r w:rsidRPr="00734942">
        <w:t xml:space="preserve">We extracted the following data </w:t>
      </w:r>
      <w:r w:rsidR="008E526D">
        <w:t>from each included study</w:t>
      </w:r>
      <w:r w:rsidRPr="00734942">
        <w:t>:</w:t>
      </w:r>
    </w:p>
    <w:p w14:paraId="01D73CA1" w14:textId="4937EEB8" w:rsidR="00FC0FE0" w:rsidRPr="00734942" w:rsidRDefault="00096520" w:rsidP="004E1708">
      <w:pPr>
        <w:pStyle w:val="ListParagraph"/>
        <w:numPr>
          <w:ilvl w:val="0"/>
          <w:numId w:val="7"/>
        </w:numPr>
      </w:pPr>
      <w:r w:rsidRPr="00734942">
        <w:t>S</w:t>
      </w:r>
      <w:r w:rsidR="00FC0FE0" w:rsidRPr="00734942">
        <w:t>tudy characteristics</w:t>
      </w:r>
    </w:p>
    <w:p w14:paraId="393DA390" w14:textId="52056AAD" w:rsidR="00FC0FE0" w:rsidRPr="00734942" w:rsidRDefault="00096520" w:rsidP="004E1708">
      <w:pPr>
        <w:pStyle w:val="ListParagraph"/>
        <w:numPr>
          <w:ilvl w:val="0"/>
          <w:numId w:val="7"/>
        </w:numPr>
      </w:pPr>
      <w:r w:rsidRPr="00734942">
        <w:t>P</w:t>
      </w:r>
      <w:r w:rsidR="00FC0FE0" w:rsidRPr="00734942">
        <w:t>articipant characteristics</w:t>
      </w:r>
    </w:p>
    <w:p w14:paraId="0CB89233" w14:textId="38034F81" w:rsidR="00FC0FE0" w:rsidRPr="00734942" w:rsidRDefault="00096520" w:rsidP="004E1708">
      <w:pPr>
        <w:pStyle w:val="ListParagraph"/>
        <w:numPr>
          <w:ilvl w:val="0"/>
          <w:numId w:val="7"/>
        </w:numPr>
      </w:pPr>
      <w:r w:rsidRPr="00734942">
        <w:t>D</w:t>
      </w:r>
      <w:r w:rsidR="00FC0FE0" w:rsidRPr="00734942">
        <w:t xml:space="preserve">etails on the diagnostic indicator </w:t>
      </w:r>
    </w:p>
    <w:p w14:paraId="57A3CF6E" w14:textId="2FD07285" w:rsidR="00024FE6" w:rsidRDefault="00FC0FE0" w:rsidP="00BF6B83">
      <w:pPr>
        <w:pStyle w:val="ListParagraph"/>
        <w:numPr>
          <w:ilvl w:val="0"/>
          <w:numId w:val="7"/>
        </w:numPr>
      </w:pPr>
      <w:r w:rsidRPr="00734942">
        <w:t>CD diagnostic tests used</w:t>
      </w:r>
      <w:bookmarkEnd w:id="96"/>
    </w:p>
    <w:p w14:paraId="2DF715BA" w14:textId="654F4399" w:rsidR="00024FE6" w:rsidRPr="00263A65" w:rsidRDefault="00024FE6" w:rsidP="007C6A64">
      <w:r w:rsidRPr="00734942">
        <w:t xml:space="preserve">Results data were extracted as 2x2 tables of test results (number of true positives, false negatives, false positives and true negatives) for each </w:t>
      </w:r>
      <w:r>
        <w:t>diagnostic indicator</w:t>
      </w:r>
      <w:r w:rsidRPr="00734942">
        <w:t xml:space="preserve"> against the reference standard</w:t>
      </w:r>
      <w:r>
        <w:t xml:space="preserve"> of serological tests or biopsy</w:t>
      </w:r>
      <w:r w:rsidRPr="00734942">
        <w:t>. Two-by-two data were extracted at biopsy cut-off Marsh Grade 3a if available, otherwise any reported biopsy threshold was accepted.</w:t>
      </w:r>
    </w:p>
    <w:p w14:paraId="45F9A67F" w14:textId="77777777" w:rsidR="00FC0FE0" w:rsidRPr="00734942" w:rsidRDefault="00FC0FE0" w:rsidP="00C577CC">
      <w:pPr>
        <w:pStyle w:val="Heading3"/>
      </w:pPr>
      <w:bookmarkStart w:id="97" w:name="_Toc99539829"/>
      <w:r w:rsidRPr="00734942">
        <w:t>Risk of bias</w:t>
      </w:r>
      <w:bookmarkEnd w:id="97"/>
    </w:p>
    <w:p w14:paraId="1763C8BB" w14:textId="1AB33DDA" w:rsidR="00024FE6" w:rsidRDefault="00FC0FE0" w:rsidP="00FC0FE0">
      <w:r w:rsidRPr="00734942">
        <w:t xml:space="preserve">Risk of bias was assessed separately for each diagnostic indicator reported, so for studies reporting on multiple indicators risk of bias was assessed multiple times. We used </w:t>
      </w:r>
      <w:bookmarkStart w:id="98" w:name="_Hlk33434461"/>
      <w:r w:rsidRPr="00734942">
        <w:t>the QUADAS-2 tool,</w:t>
      </w:r>
      <w:r w:rsidRPr="00734942">
        <w:fldChar w:fldCharType="begin"/>
      </w:r>
      <w:r w:rsidR="00735CC0">
        <w:instrText xml:space="preserve"> ADDIN EN.CITE &lt;EndNote&gt;&lt;Cite&gt;&lt;Author&gt;Whiting&lt;/Author&gt;&lt;Year&gt;2011&lt;/Year&gt;&lt;RecNum&gt;33&lt;/RecNum&gt;&lt;DisplayText&gt;&lt;style face="superscript"&gt;29&lt;/style&gt;&lt;/DisplayText&gt;&lt;record&gt;&lt;rec-number&gt;33&lt;/rec-number&gt;&lt;foreign-keys&gt;&lt;key app="EN" db-id="tdwrx9xd1z9eepeevr355w2k959rv0f5zaax" timestamp="1632756070"&gt;33&lt;/key&gt;&lt;/foreign-keys&gt;&lt;ref-type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M.&lt;/author&gt;&lt;author&gt;Quadas- Group&lt;/author&gt;&lt;/authors&gt;&lt;/contributors&gt;&lt;auth-address&gt;University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Med&lt;/secondary-title&gt;&lt;/titles&gt;&lt;periodical&gt;&lt;full-title&gt;Ann Intern Med&lt;/full-title&gt;&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18&lt;/date&gt;&lt;/pub-dates&gt;&lt;/dates&gt;&lt;isbn&gt;1539-3704 (Electronic)&amp;#xD;0003-4819 (Linking)&lt;/isbn&gt;&lt;accession-num&gt;22007046&lt;/accession-num&gt;&lt;urls&gt;&lt;related-urls&gt;&lt;url&gt;https://www.ncbi.nlm.nih.gov/pubmed/22007046&lt;/url&gt;&lt;/related-urls&gt;&lt;/urls&gt;&lt;electronic-resource-num&gt;10.7326/0003-4819-155-8-201110180-00009&lt;/electronic-resource-num&gt;&lt;/record&gt;&lt;/Cite&gt;&lt;/EndNote&gt;</w:instrText>
      </w:r>
      <w:r w:rsidRPr="00734942">
        <w:fldChar w:fldCharType="separate"/>
      </w:r>
      <w:r w:rsidR="00735CC0" w:rsidRPr="00735CC0">
        <w:rPr>
          <w:noProof/>
          <w:vertAlign w:val="superscript"/>
        </w:rPr>
        <w:t>29</w:t>
      </w:r>
      <w:r w:rsidRPr="00734942">
        <w:fldChar w:fldCharType="end"/>
      </w:r>
      <w:r w:rsidRPr="00734942">
        <w:t xml:space="preserve"> </w:t>
      </w:r>
      <w:bookmarkEnd w:id="98"/>
      <w:r w:rsidRPr="00734942">
        <w:t xml:space="preserve">which includes domains covering participants, index test, reference standard and flow and timing. If at </w:t>
      </w:r>
      <w:r w:rsidRPr="00734942">
        <w:lastRenderedPageBreak/>
        <w:t xml:space="preserve">least one of the domains was rated as “high risk” the study results were considered at high risk of bias; if all domains were judged as “low risk” the study was considered at low risk of bias, otherwise the study was considered at “unclear” risk of bias. The content of the tool was tailored to the review. The following modifications were made to the QUADAS-2 risk of bias signalling questions: </w:t>
      </w:r>
    </w:p>
    <w:p w14:paraId="3D476DBA" w14:textId="1F0E121C" w:rsidR="00024FE6" w:rsidRDefault="00FC0FE0" w:rsidP="00024FE6">
      <w:pPr>
        <w:pStyle w:val="ListParagraph"/>
        <w:numPr>
          <w:ilvl w:val="0"/>
          <w:numId w:val="47"/>
        </w:numPr>
      </w:pPr>
      <w:r w:rsidRPr="00734942">
        <w:t xml:space="preserve">Due to the broad research question and the expected heterogeneity between included studies, </w:t>
      </w:r>
      <w:r w:rsidR="00024FE6">
        <w:t>we did not formally assess applicability</w:t>
      </w:r>
      <w:r w:rsidRPr="00734942">
        <w:t xml:space="preserve">. </w:t>
      </w:r>
    </w:p>
    <w:p w14:paraId="7FEA63AC" w14:textId="40087EC5" w:rsidR="00024FE6" w:rsidRDefault="00FC0FE0" w:rsidP="00024FE6">
      <w:pPr>
        <w:pStyle w:val="ListParagraph"/>
        <w:numPr>
          <w:ilvl w:val="0"/>
          <w:numId w:val="47"/>
        </w:numPr>
      </w:pPr>
      <w:r w:rsidRPr="00734942">
        <w:t xml:space="preserve">We </w:t>
      </w:r>
      <w:r w:rsidR="00024FE6">
        <w:t xml:space="preserve">removed the following signalling questions as these were not considered relevant to diagnostic indicator studies as </w:t>
      </w:r>
      <w:r w:rsidR="00024FE6" w:rsidRPr="00734942">
        <w:t>the “index test” is not a test but a diagnostic indicator and the reference standard is a diagnosis of CD</w:t>
      </w:r>
      <w:r w:rsidR="00024FE6">
        <w:t xml:space="preserve">: </w:t>
      </w:r>
    </w:p>
    <w:p w14:paraId="7A2F1AF4" w14:textId="1D4FCC48" w:rsidR="00024FE6" w:rsidRDefault="00024FE6" w:rsidP="00024FE6">
      <w:pPr>
        <w:pStyle w:val="ListParagraph"/>
        <w:numPr>
          <w:ilvl w:val="1"/>
          <w:numId w:val="47"/>
        </w:numPr>
      </w:pPr>
      <w:r>
        <w:t>“</w:t>
      </w:r>
      <w:r w:rsidR="00FC0FE0" w:rsidRPr="00734942">
        <w:t>Were the index test results interpreted without knowledge of the results of the reference standard?</w:t>
      </w:r>
      <w:r>
        <w:t>” (</w:t>
      </w:r>
      <w:r w:rsidRPr="004233A3">
        <w:rPr>
          <w:i/>
          <w:iCs/>
        </w:rPr>
        <w:t>index test domain</w:t>
      </w:r>
      <w:r>
        <w:t>)</w:t>
      </w:r>
    </w:p>
    <w:p w14:paraId="1BD2A8EE" w14:textId="2271463E" w:rsidR="00024FE6" w:rsidRDefault="00FC0FE0" w:rsidP="00024FE6">
      <w:pPr>
        <w:pStyle w:val="ListParagraph"/>
        <w:numPr>
          <w:ilvl w:val="1"/>
          <w:numId w:val="47"/>
        </w:numPr>
      </w:pPr>
      <w:r w:rsidRPr="00734942">
        <w:t>If a threshold was used, was it pre-specified?”</w:t>
      </w:r>
      <w:r w:rsidR="00024FE6">
        <w:t xml:space="preserve"> (</w:t>
      </w:r>
      <w:r w:rsidR="00024FE6" w:rsidRPr="004233A3">
        <w:rPr>
          <w:i/>
          <w:iCs/>
        </w:rPr>
        <w:t>index test domain</w:t>
      </w:r>
      <w:r w:rsidR="00024FE6">
        <w:t>)</w:t>
      </w:r>
    </w:p>
    <w:p w14:paraId="17F7E918" w14:textId="52968036" w:rsidR="00024FE6" w:rsidRDefault="00FC0FE0" w:rsidP="00263A65">
      <w:pPr>
        <w:pStyle w:val="ListParagraph"/>
        <w:numPr>
          <w:ilvl w:val="1"/>
          <w:numId w:val="47"/>
        </w:numPr>
      </w:pPr>
      <w:r w:rsidRPr="00734942">
        <w:t>“Were the reference standard results interpreted without knowledge of the results of the index test?”</w:t>
      </w:r>
      <w:r w:rsidR="00024FE6">
        <w:t xml:space="preserve"> (</w:t>
      </w:r>
      <w:r w:rsidR="00024FE6">
        <w:rPr>
          <w:i/>
          <w:iCs/>
        </w:rPr>
        <w:t>reference standard</w:t>
      </w:r>
      <w:r w:rsidR="00024FE6" w:rsidRPr="004233A3">
        <w:rPr>
          <w:i/>
          <w:iCs/>
        </w:rPr>
        <w:t xml:space="preserve"> domain</w:t>
      </w:r>
      <w:r w:rsidR="00024FE6">
        <w:t>)</w:t>
      </w:r>
    </w:p>
    <w:p w14:paraId="22D034C2" w14:textId="77777777" w:rsidR="00024FE6" w:rsidRDefault="00024FE6" w:rsidP="00024FE6">
      <w:pPr>
        <w:pStyle w:val="ListParagraph"/>
        <w:numPr>
          <w:ilvl w:val="0"/>
          <w:numId w:val="47"/>
        </w:numPr>
      </w:pPr>
      <w:r>
        <w:t>We added the following signalling questions:</w:t>
      </w:r>
    </w:p>
    <w:p w14:paraId="4D09374F" w14:textId="411EA7D6" w:rsidR="00024FE6" w:rsidRDefault="00FC0FE0" w:rsidP="00024FE6">
      <w:pPr>
        <w:pStyle w:val="ListParagraph"/>
        <w:numPr>
          <w:ilvl w:val="1"/>
          <w:numId w:val="47"/>
        </w:numPr>
      </w:pPr>
      <w:r w:rsidRPr="00734942">
        <w:t>“Was the aim of the study to investigate this diagnostic indicator?”</w:t>
      </w:r>
      <w:r w:rsidR="00024FE6">
        <w:t xml:space="preserve"> (</w:t>
      </w:r>
      <w:r w:rsidR="00024FE6" w:rsidRPr="00F54382">
        <w:rPr>
          <w:i/>
          <w:iCs/>
        </w:rPr>
        <w:t>index test domain</w:t>
      </w:r>
      <w:r w:rsidR="00024FE6">
        <w:t>)</w:t>
      </w:r>
    </w:p>
    <w:p w14:paraId="15752A6F" w14:textId="4EFBDC5F" w:rsidR="00FC0FE0" w:rsidRPr="00734942" w:rsidRDefault="00FC0FE0" w:rsidP="00263A65">
      <w:r w:rsidRPr="00734942">
        <w:t xml:space="preserve">Risk of bias was assessed by one reviewer and checked by a second as part of the data extraction process. </w:t>
      </w:r>
    </w:p>
    <w:p w14:paraId="4AE9A510" w14:textId="77777777" w:rsidR="00FC0FE0" w:rsidRPr="00734942" w:rsidRDefault="00FC0FE0" w:rsidP="00C577CC">
      <w:pPr>
        <w:pStyle w:val="Heading3"/>
      </w:pPr>
      <w:bookmarkStart w:id="99" w:name="_Toc99539830"/>
      <w:r w:rsidRPr="00734942">
        <w:t>Synthesis of results</w:t>
      </w:r>
      <w:bookmarkEnd w:id="99"/>
    </w:p>
    <w:p w14:paraId="006E2E42" w14:textId="65B205D1" w:rsidR="00FC0FE0" w:rsidRPr="00734942" w:rsidRDefault="00FC0FE0" w:rsidP="00FC0FE0">
      <w:pPr>
        <w:autoSpaceDE w:val="0"/>
        <w:autoSpaceDN w:val="0"/>
        <w:adjustRightInd w:val="0"/>
        <w:spacing w:after="0" w:line="240" w:lineRule="auto"/>
      </w:pPr>
      <w:r w:rsidRPr="00734942">
        <w:t>We present a narrative summary of the included studies, including a summary of the characteristics of the included studies</w:t>
      </w:r>
      <w:r w:rsidR="00024FE6">
        <w:t xml:space="preserve"> that evaluated each diagnostic indicator</w:t>
      </w:r>
      <w:r w:rsidRPr="00734942">
        <w:t xml:space="preserve"> (</w:t>
      </w:r>
      <w:r w:rsidR="00113ECC" w:rsidRPr="00734942">
        <w:t>e.g.,</w:t>
      </w:r>
      <w:r w:rsidRPr="00734942">
        <w:t xml:space="preserve"> study design, population size, geographical location, year, population characteristics, diagnostic indicator details, and CD diagnosis). We also describe the main methodological problems or biases that affected the studies.</w:t>
      </w:r>
    </w:p>
    <w:p w14:paraId="1DF14C7B" w14:textId="77777777" w:rsidR="00FC0FE0" w:rsidRPr="00734942" w:rsidRDefault="00FC0FE0" w:rsidP="00FC0FE0">
      <w:pPr>
        <w:autoSpaceDE w:val="0"/>
        <w:autoSpaceDN w:val="0"/>
        <w:adjustRightInd w:val="0"/>
        <w:spacing w:after="0" w:line="240" w:lineRule="auto"/>
      </w:pPr>
    </w:p>
    <w:p w14:paraId="4D0FCE7F" w14:textId="5D326CE5" w:rsidR="00FC0FE0" w:rsidRPr="00734942" w:rsidRDefault="00FC0FE0" w:rsidP="00FC0FE0">
      <w:bookmarkStart w:id="100" w:name="_Hlk33434616"/>
      <w:r w:rsidRPr="00734942">
        <w:t>The results were grouped by diagnostic indicator and age group. Diagnostic indicators were grouped based on discussion with clinical team members; for example, acid reflux symptoms included heartburn, dyspepsia, and gastroesophageal reflux symptoms. If more than one</w:t>
      </w:r>
      <w:r w:rsidRPr="00734942" w:rsidDel="00024FE6">
        <w:t xml:space="preserve"> </w:t>
      </w:r>
      <w:r w:rsidR="00024FE6">
        <w:t>indicator</w:t>
      </w:r>
      <w:r w:rsidR="00024FE6" w:rsidRPr="00734942">
        <w:t xml:space="preserve"> </w:t>
      </w:r>
      <w:r w:rsidR="00024FE6">
        <w:t xml:space="preserve">in each category </w:t>
      </w:r>
      <w:r w:rsidRPr="00734942">
        <w:t xml:space="preserve">was </w:t>
      </w:r>
      <w:r w:rsidR="00024FE6">
        <w:t xml:space="preserve">evaluated </w:t>
      </w:r>
      <w:r w:rsidRPr="00734942">
        <w:t xml:space="preserve">in one study, </w:t>
      </w:r>
      <w:r w:rsidR="00113ECC" w:rsidRPr="00734942">
        <w:t>e.g.,</w:t>
      </w:r>
      <w:r w:rsidRPr="00734942">
        <w:t xml:space="preserve"> heartburn and dyspepsia, only one was included in the meta-analysis to avoid including the same individuals twice. In those cases, the broader term (</w:t>
      </w:r>
      <w:r w:rsidR="00113ECC" w:rsidRPr="00734942">
        <w:t>e.g.,</w:t>
      </w:r>
      <w:r w:rsidRPr="00734942">
        <w:t xml:space="preserve"> dyspepsia over heartburn) or more prevalent diagnostic indicator was selected. Study populations were categorised as “children” if the majority were children and none of the participants </w:t>
      </w:r>
      <w:r w:rsidR="008C356C" w:rsidRPr="00734942">
        <w:t xml:space="preserve">were </w:t>
      </w:r>
      <w:r w:rsidRPr="00734942">
        <w:t>older than 21; and as “adults” if the majority were adults with no participant younger than 15. All other populations were categorised as a mixed age group.</w:t>
      </w:r>
      <w:bookmarkEnd w:id="100"/>
      <w:r w:rsidRPr="00734942">
        <w:t xml:space="preserve"> </w:t>
      </w:r>
    </w:p>
    <w:p w14:paraId="7271ABDF" w14:textId="05AE8AF2" w:rsidR="00FC0FE0" w:rsidRPr="00734942" w:rsidRDefault="00295487" w:rsidP="00FC0FE0">
      <w:r>
        <w:t>W</w:t>
      </w:r>
      <w:r w:rsidR="00FC0FE0" w:rsidRPr="00734942">
        <w:t>e fitted a</w:t>
      </w:r>
      <w:r>
        <w:t xml:space="preserve"> </w:t>
      </w:r>
      <w:r w:rsidR="00FC0FE0" w:rsidRPr="00734942">
        <w:t>bivariate random effects meta-analysis</w:t>
      </w:r>
      <w:r>
        <w:t xml:space="preserve"> for each diagnostic indicator</w:t>
      </w:r>
      <w:r w:rsidR="00FC0FE0" w:rsidRPr="00734942">
        <w:t xml:space="preserve">, </w:t>
      </w:r>
      <w:r w:rsidR="00F1229E">
        <w:t>in which we assumed</w:t>
      </w:r>
      <w:r w:rsidR="00F1229E" w:rsidRPr="00734942">
        <w:t xml:space="preserve"> </w:t>
      </w:r>
      <w:r w:rsidR="00FC0FE0" w:rsidRPr="00734942">
        <w:t>binomial likelihoods for numbers of true positives and negatives.</w:t>
      </w:r>
      <w:r w:rsidR="00FC0FE0" w:rsidRPr="00734942">
        <w:fldChar w:fldCharType="begin">
          <w:fldData xml:space="preserve">PEVuZE5vdGU+PENpdGU+PEF1dGhvcj5SZWl0c21hPC9BdXRob3I+PFllYXI+MjAwNTwvWWVhcj48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</w:fldData>
        </w:fldChar>
      </w:r>
      <w:r w:rsidR="00735CC0">
        <w:instrText xml:space="preserve"> ADDIN EN.CITE </w:instrText>
      </w:r>
      <w:r w:rsidR="00735CC0">
        <w:fldChar w:fldCharType="begin">
          <w:fldData xml:space="preserve">PEVuZE5vdGU+PENpdGU+PEF1dGhvcj5SZWl0c21hPC9BdXRob3I+PFllYXI+MjAwNTwvWWVhcj48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</w:fldData>
        </w:fldChar>
      </w:r>
      <w:r w:rsidR="00735CC0">
        <w:instrText xml:space="preserve"> ADDIN EN.CITE.DATA </w:instrText>
      </w:r>
      <w:r w:rsidR="00735CC0">
        <w:fldChar w:fldCharType="end"/>
      </w:r>
      <w:r w:rsidR="00FC0FE0" w:rsidRPr="00734942">
        <w:fldChar w:fldCharType="separate"/>
      </w:r>
      <w:r w:rsidR="00735CC0" w:rsidRPr="00735CC0">
        <w:rPr>
          <w:noProof/>
          <w:vertAlign w:val="superscript"/>
        </w:rPr>
        <w:t>30, 31</w:t>
      </w:r>
      <w:r w:rsidR="00FC0FE0" w:rsidRPr="00734942">
        <w:fldChar w:fldCharType="end"/>
      </w:r>
      <w:r w:rsidR="00FC0FE0" w:rsidRPr="00734942">
        <w:t xml:space="preserve"> </w:t>
      </w:r>
      <w:r w:rsidR="00F1229E">
        <w:t>Pooled</w:t>
      </w:r>
      <w:r w:rsidR="00FC0FE0" w:rsidRPr="00734942">
        <w:t xml:space="preserve"> estimates of sensitivity and specificity and estimates of the between-study standard deviation </w:t>
      </w:r>
      <w:r w:rsidR="00D615C1" w:rsidRPr="00734942">
        <w:t xml:space="preserve">sensitivity and specificity </w:t>
      </w:r>
      <w:r w:rsidR="00FC0FE0" w:rsidRPr="00734942">
        <w:t>on the logit scale (“tau”)</w:t>
      </w:r>
      <w:r w:rsidR="00933E06">
        <w:t xml:space="preserve"> are reported</w:t>
      </w:r>
      <w:r w:rsidR="00FC0FE0" w:rsidRPr="00734942">
        <w:t xml:space="preserve">. </w:t>
      </w:r>
      <w:r w:rsidR="002469AB">
        <w:t>P</w:t>
      </w:r>
      <w:r w:rsidR="002469AB" w:rsidRPr="00734942">
        <w:t>er diagnostic indicator</w:t>
      </w:r>
      <w:r w:rsidR="002469AB">
        <w:t>,</w:t>
      </w:r>
      <w:r w:rsidR="002469AB" w:rsidRPr="00734942">
        <w:t xml:space="preserve"> </w:t>
      </w:r>
      <w:r w:rsidR="002469AB">
        <w:t>we</w:t>
      </w:r>
      <w:r w:rsidR="00933E06">
        <w:t xml:space="preserve"> present s</w:t>
      </w:r>
      <w:r w:rsidR="00FC0FE0" w:rsidRPr="00734942">
        <w:t xml:space="preserve">tudy-specific and </w:t>
      </w:r>
      <w:r w:rsidR="00933E06">
        <w:t>pooled</w:t>
      </w:r>
      <w:r w:rsidR="00933E06" w:rsidRPr="00734942">
        <w:t xml:space="preserve"> </w:t>
      </w:r>
      <w:r w:rsidR="00FC0FE0" w:rsidRPr="00734942">
        <w:t>estimates of sensitivity and specificity in coupled forest plots and summary receiver operating characteristic (ROC) plots</w:t>
      </w:r>
      <w:r w:rsidR="00C132CA" w:rsidRPr="00734942">
        <w:t>,</w:t>
      </w:r>
      <w:r w:rsidR="00FC0FE0" w:rsidRPr="00734942">
        <w:t xml:space="preserve"> with 95% confidence ellipses and summary ROC curves.</w:t>
      </w:r>
      <w:r w:rsidR="00C0219C">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instrText xml:space="preserve"> ADDIN EN.CITE </w:instrText>
      </w:r>
      <w:r w:rsidR="00735CC0">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instrText xml:space="preserve"> ADDIN EN.CITE.DATA </w:instrText>
      </w:r>
      <w:r w:rsidR="00735CC0">
        <w:fldChar w:fldCharType="end"/>
      </w:r>
      <w:r w:rsidR="00C0219C">
        <w:fldChar w:fldCharType="separate"/>
      </w:r>
      <w:r w:rsidR="00735CC0" w:rsidRPr="00735CC0">
        <w:rPr>
          <w:noProof/>
          <w:vertAlign w:val="superscript"/>
        </w:rPr>
        <w:t>25</w:t>
      </w:r>
      <w:r w:rsidR="00C0219C">
        <w:fldChar w:fldCharType="end"/>
      </w:r>
    </w:p>
    <w:p w14:paraId="0DDB8858" w14:textId="4EA02EE4" w:rsidR="00FC0FE0" w:rsidRPr="00734942" w:rsidRDefault="00FC0FE0" w:rsidP="00FC0FE0">
      <w:r w:rsidRPr="00734942">
        <w:t xml:space="preserve">Summary results from each meta-analysis were also used to estimate positive predictive values (PPVs), </w:t>
      </w:r>
      <w:r w:rsidR="00113ECC" w:rsidRPr="00734942">
        <w:t>i.e.</w:t>
      </w:r>
      <w:r w:rsidRPr="00734942">
        <w:t xml:space="preserve"> the probability of CD given that an individual has each diagnostic indicator. To calculate these values, we assumed a prevalence of 1% of CD in the general population.</w:t>
      </w:r>
      <w:r w:rsidRPr="00734942">
        <w:fldChar w:fldCharType="begin">
          <w:fldData xml:space="preserve">PEVuZE5vdGU+PENpdGU+PEF1dGhvcj5MdWR2aWdzc29uPC9BdXRob3I+PFllYXI+MjAxMzwvWWVh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</w:fldData>
        </w:fldChar>
      </w:r>
      <w:r w:rsidR="00735CC0">
        <w:instrText xml:space="preserve"> ADDIN EN.CITE </w:instrText>
      </w:r>
      <w:r w:rsidR="00735CC0">
        <w:fldChar w:fldCharType="begin">
          <w:fldData xml:space="preserve">PEVuZE5vdGU+PENpdGU+PEF1dGhvcj5MdWR2aWdzc29uPC9BdXRob3I+PFllYXI+MjAxMzwvWWVh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32, 33</w:t>
      </w:r>
      <w:r w:rsidRPr="00734942">
        <w:fldChar w:fldCharType="end"/>
      </w:r>
      <w:r w:rsidRPr="00734942">
        <w:t xml:space="preserve"> 95% confidence intervals (CIs) around PPVs were computed using Monte Carlo simulation, simulating from a bivariate normal distribution for summary sensitivity and specificity on the logit scale. Negative </w:t>
      </w:r>
      <w:r w:rsidRPr="00734942">
        <w:lastRenderedPageBreak/>
        <w:t>predictive values are not informative in this context, because a sign, symptom, or risk condition cannot be used in clinical practice to exclude CD; these are therefore not reported.</w:t>
      </w:r>
    </w:p>
    <w:p w14:paraId="3A0A5509" w14:textId="77777777" w:rsidR="00FC0FE0" w:rsidRPr="00734942" w:rsidRDefault="00FC0FE0" w:rsidP="00C577CC">
      <w:pPr>
        <w:pStyle w:val="Heading3"/>
      </w:pPr>
      <w:bookmarkStart w:id="101" w:name="_Toc99539831"/>
      <w:r w:rsidRPr="00734942">
        <w:t>Sensitivity analyses and subgroup analyses</w:t>
      </w:r>
      <w:bookmarkEnd w:id="101"/>
    </w:p>
    <w:p w14:paraId="26F0AE71" w14:textId="77777777" w:rsidR="009C084D" w:rsidRPr="00734942" w:rsidRDefault="00FC0FE0" w:rsidP="00FC0FE0">
      <w:r w:rsidRPr="00734942">
        <w:t xml:space="preserve">Because we expected heterogeneity across studies in sensitivity and specificity due to variability in age groups (children vs adults), method of CD diagnosis (biopsy and/or serology versus serology only), and study design (single-gate versus multi-gate), we performed subgroup and sensitivity analyses on these study characteristics if subgroups contained at least 5 studies. </w:t>
      </w:r>
    </w:p>
    <w:p w14:paraId="396D1588" w14:textId="2D3A8566" w:rsidR="00FC0FE0" w:rsidRPr="00734942" w:rsidRDefault="00FC0FE0" w:rsidP="00FC0FE0">
      <w:r w:rsidRPr="00734942">
        <w:t>All statistical analyses were performed in R</w:t>
      </w:r>
      <w:r w:rsidRPr="00734942">
        <w:fldChar w:fldCharType="begin"/>
      </w:r>
      <w:r w:rsidR="00735CC0">
        <w:instrText xml:space="preserve"> ADDIN EN.CITE &lt;EndNote&gt;&lt;Cite&gt;&lt;Author&gt;R Core Team&lt;/Author&gt;&lt;Year&gt;2020&lt;/Year&gt;&lt;RecNum&gt;38&lt;/RecNum&gt;&lt;DisplayText&gt;&lt;style face="superscript"&gt;34&lt;/style&gt;&lt;/DisplayText&gt;&lt;record&gt;&lt;rec-number&gt;38&lt;/rec-number&gt;&lt;foreign-keys&gt;&lt;key app="EN" db-id="tdwrx9xd1z9eepeevr355w2k959rv0f5zaax" timestamp="1632756071"&gt;38&lt;/key&gt;&lt;/foreign-keys&gt;&lt;ref-type name="Journal Article"&gt;17&lt;/ref-type&gt;&lt;contributors&gt;&lt;authors&gt;&lt;author&gt;R Core Team,&lt;/author&gt;&lt;/authors&gt;&lt;/contributors&gt;&lt;titles&gt;&lt;title&gt;R: A Language and Environment for Statistical Computing&lt;/title&gt;&lt;secondary-title&gt;R Foundation for Statistical Computing&lt;/secondary-title&gt;&lt;/titles&gt;&lt;periodical&gt;&lt;full-title&gt;R Foundation for Statistical Computing&lt;/full-title&gt;&lt;/periodical&gt;&lt;number&gt;Vienna, Austria&lt;/number&gt;&lt;dates&gt;&lt;year&gt;2020&lt;/year&gt;&lt;/dates&gt;&lt;urls&gt;&lt;related-urls&gt;&lt;url&gt;https://www.R-project.org/&lt;/url&gt;&lt;/related-urls&gt;&lt;/urls&gt;&lt;/record&gt;&lt;/Cite&gt;&lt;/EndNote&gt;</w:instrText>
      </w:r>
      <w:r w:rsidRPr="00734942">
        <w:fldChar w:fldCharType="separate"/>
      </w:r>
      <w:r w:rsidR="00735CC0" w:rsidRPr="00735CC0">
        <w:rPr>
          <w:noProof/>
          <w:vertAlign w:val="superscript"/>
        </w:rPr>
        <w:t>34</w:t>
      </w:r>
      <w:r w:rsidRPr="00734942">
        <w:fldChar w:fldCharType="end"/>
      </w:r>
      <w:r w:rsidRPr="00734942">
        <w:t xml:space="preserve"> using </w:t>
      </w:r>
      <w:r w:rsidRPr="00734942">
        <w:rPr>
          <w:i/>
          <w:iCs/>
        </w:rPr>
        <w:t>lme4</w:t>
      </w:r>
      <w:r w:rsidRPr="00734942">
        <w:rPr>
          <w:i/>
          <w:iCs/>
        </w:rPr>
        <w:fldChar w:fldCharType="begin"/>
      </w:r>
      <w:r w:rsidR="00735CC0">
        <w:rPr>
          <w:i/>
          <w:iCs/>
        </w:rPr>
        <w:instrText xml:space="preserve"> ADDIN EN.CITE &lt;EndNote&gt;&lt;Cite&gt;&lt;Author&gt;Bates D&lt;/Author&gt;&lt;Year&gt;2015&lt;/Year&gt;&lt;RecNum&gt;442&lt;/RecNum&gt;&lt;DisplayText&gt;&lt;style face="superscript"&gt;35&lt;/style&gt;&lt;/DisplayText&gt;&lt;record&gt;&lt;rec-number&gt;442&lt;/rec-number&gt;&lt;foreign-keys&gt;&lt;key app="EN" db-id="tdwrx9xd1z9eepeevr355w2k959rv0f5zaax" timestamp="1636542650"&gt;442&lt;/key&gt;&lt;/foreign-keys&gt;&lt;ref-type name="Journal Article"&gt;17&lt;/ref-type&gt;&lt;contributors&gt;&lt;authors&gt;&lt;author&gt;Bates D,&lt;/author&gt;&lt;author&gt;Maechler M, &lt;/author&gt;&lt;author&gt;Bolker B, &lt;/author&gt;&lt;author&gt;Walker S,&lt;/author&gt;&lt;/authors&gt;&lt;/contributors&gt;&lt;titles&gt;&lt;title&gt;Fitting Linear Mixed-Effects Models Using lme4&lt;/title&gt;&lt;secondary-title&gt;Journal of Statistical Software&lt;/secondary-title&gt;&lt;/titles&gt;&lt;periodical&gt;&lt;full-title&gt;Journal of Statistical Software&lt;/full-title&gt;&lt;/periodical&gt;&lt;pages&gt;1-48&lt;/pages&gt;&lt;volume&gt;67&lt;/volume&gt;&lt;num-vols&gt;1&lt;/num-vols&gt;&lt;dates&gt;&lt;year&gt;2015&lt;/year&gt;&lt;/dates&gt;&lt;urls&gt;&lt;/urls&gt;&lt;electronic-resource-num&gt;10.18637/jss.v067.i01&lt;/electronic-resource-num&gt;&lt;/record&gt;&lt;/Cite&gt;&lt;/EndNote&gt;</w:instrText>
      </w:r>
      <w:r w:rsidRPr="00734942">
        <w:rPr>
          <w:i/>
          <w:iCs/>
        </w:rPr>
        <w:fldChar w:fldCharType="separate"/>
      </w:r>
      <w:r w:rsidR="00735CC0" w:rsidRPr="00735CC0">
        <w:rPr>
          <w:i/>
          <w:iCs/>
          <w:noProof/>
          <w:vertAlign w:val="superscript"/>
        </w:rPr>
        <w:t>35</w:t>
      </w:r>
      <w:r w:rsidRPr="00734942">
        <w:rPr>
          <w:i/>
          <w:iCs/>
        </w:rPr>
        <w:fldChar w:fldCharType="end"/>
      </w:r>
      <w:r w:rsidRPr="00734942">
        <w:t xml:space="preserve"> and </w:t>
      </w:r>
      <w:r w:rsidRPr="00734942">
        <w:rPr>
          <w:i/>
          <w:iCs/>
        </w:rPr>
        <w:t>PropCIs</w:t>
      </w:r>
      <w:r w:rsidRPr="00734942">
        <w:rPr>
          <w:i/>
          <w:iCs/>
        </w:rPr>
        <w:fldChar w:fldCharType="begin"/>
      </w:r>
      <w:r w:rsidR="00735CC0">
        <w:rPr>
          <w:i/>
          <w:iCs/>
        </w:rPr>
        <w:instrText xml:space="preserve"> ADDIN EN.CITE &lt;EndNote&gt;&lt;Cite&gt;&lt;Author&gt;Scherer R&lt;/Author&gt;&lt;Year&gt;2018&lt;/Year&gt;&lt;RecNum&gt;443&lt;/RecNum&gt;&lt;DisplayText&gt;&lt;style face="superscript"&gt;36&lt;/style&gt;&lt;/DisplayText&gt;&lt;record&gt;&lt;rec-number&gt;443&lt;/rec-number&gt;&lt;foreign-keys&gt;&lt;key app="EN" db-id="tdwrx9xd1z9eepeevr355w2k959rv0f5zaax" timestamp="1636542650"&gt;443&lt;/key&gt;&lt;/foreign-keys&gt;&lt;ref-type name="Journal Article"&gt;17&lt;/ref-type&gt;&lt;contributors&gt;&lt;authors&gt;&lt;author&gt;Scherer R,&lt;/author&gt;&lt;/authors&gt;&lt;/contributors&gt;&lt;titles&gt;&lt;title&gt;PropCIs: Various Confidence Interval Methods for Proportions&lt;/title&gt;&lt;secondary-title&gt;R package version 0.3-0&lt;/secondary-title&gt;&lt;/titles&gt;&lt;periodical&gt;&lt;full-title&gt;R package version 0.3-0&lt;/full-title&gt;&lt;/periodical&gt;&lt;dates&gt;&lt;year&gt;2018&lt;/year&gt;&lt;/dates&gt;&lt;urls&gt;&lt;related-urls&gt;&lt;url&gt;https://CRAN.R-project.org/package=PropCIs&lt;/url&gt;&lt;/related-urls&gt;&lt;/urls&gt;&lt;/record&gt;&lt;/Cite&gt;&lt;/EndNote&gt;</w:instrText>
      </w:r>
      <w:r w:rsidRPr="00734942">
        <w:rPr>
          <w:i/>
          <w:iCs/>
        </w:rPr>
        <w:fldChar w:fldCharType="separate"/>
      </w:r>
      <w:r w:rsidR="00735CC0" w:rsidRPr="00735CC0">
        <w:rPr>
          <w:i/>
          <w:iCs/>
          <w:noProof/>
          <w:vertAlign w:val="superscript"/>
        </w:rPr>
        <w:t>36</w:t>
      </w:r>
      <w:r w:rsidRPr="00734942">
        <w:rPr>
          <w:i/>
          <w:iCs/>
        </w:rPr>
        <w:fldChar w:fldCharType="end"/>
      </w:r>
      <w:r w:rsidRPr="00734942">
        <w:t xml:space="preserve"> packages; </w:t>
      </w:r>
      <w:r w:rsidRPr="00734942">
        <w:rPr>
          <w:i/>
          <w:iCs/>
        </w:rPr>
        <w:t>forestplot,</w:t>
      </w:r>
      <w:r w:rsidRPr="00734942">
        <w:rPr>
          <w:i/>
          <w:iCs/>
        </w:rPr>
        <w:fldChar w:fldCharType="begin"/>
      </w:r>
      <w:r w:rsidR="00735CC0">
        <w:rPr>
          <w:i/>
          <w:iCs/>
        </w:rPr>
        <w:instrText xml:space="preserve"> ADDIN EN.CITE &lt;EndNote&gt;&lt;Cite&gt;&lt;Author&gt;Gordon M&lt;/Author&gt;&lt;Year&gt;2020&lt;/Year&gt;&lt;RecNum&gt;444&lt;/RecNum&gt;&lt;DisplayText&gt;&lt;style face="superscript"&gt;37&lt;/style&gt;&lt;/DisplayText&gt;&lt;record&gt;&lt;rec-number&gt;444&lt;/rec-number&gt;&lt;foreign-keys&gt;&lt;key app="EN" db-id="tdwrx9xd1z9eepeevr355w2k959rv0f5zaax" timestamp="1636542650"&gt;444&lt;/key&gt;&lt;/foreign-keys&gt;&lt;ref-type name="Journal Article"&gt;17&lt;/ref-type&gt;&lt;contributors&gt;&lt;authors&gt;&lt;author&gt;Gordon M,&lt;/author&gt;&lt;author&gt;Lumley T,&lt;/author&gt;&lt;/authors&gt;&lt;/contributors&gt;&lt;titles&gt;&lt;title&gt;forestplot: Advanced Forest Plot Using &amp;apos;grid&amp;apos; Graphics&lt;/title&gt;&lt;secondary-title&gt;R package version 1.10&lt;/secondary-title&gt;&lt;/titles&gt;&lt;periodical&gt;&lt;full-title&gt;R package version 1.10&lt;/full-title&gt;&lt;/periodical&gt;&lt;dates&gt;&lt;year&gt;2020&lt;/year&gt;&lt;/dates&gt;&lt;urls&gt;&lt;related-urls&gt;&lt;url&gt; https://CRAN.R-project.org/package=forestplot&lt;/url&gt;&lt;/related-urls&gt;&lt;/urls&gt;&lt;/record&gt;&lt;/Cite&gt;&lt;/EndNote&gt;</w:instrText>
      </w:r>
      <w:r w:rsidRPr="00734942">
        <w:rPr>
          <w:i/>
          <w:iCs/>
        </w:rPr>
        <w:fldChar w:fldCharType="separate"/>
      </w:r>
      <w:r w:rsidR="00735CC0" w:rsidRPr="00735CC0">
        <w:rPr>
          <w:i/>
          <w:iCs/>
          <w:noProof/>
          <w:vertAlign w:val="superscript"/>
        </w:rPr>
        <w:t>37</w:t>
      </w:r>
      <w:r w:rsidRPr="00734942">
        <w:rPr>
          <w:i/>
          <w:iCs/>
        </w:rPr>
        <w:fldChar w:fldCharType="end"/>
      </w:r>
      <w:r w:rsidRPr="00734942">
        <w:t xml:space="preserve"> </w:t>
      </w:r>
      <w:r w:rsidRPr="00734942">
        <w:rPr>
          <w:i/>
          <w:iCs/>
        </w:rPr>
        <w:t>flextable,</w:t>
      </w:r>
      <w:r w:rsidRPr="00734942">
        <w:rPr>
          <w:i/>
          <w:iCs/>
        </w:rPr>
        <w:fldChar w:fldCharType="begin"/>
      </w:r>
      <w:r w:rsidR="00735CC0">
        <w:rPr>
          <w:i/>
          <w:iCs/>
        </w:rPr>
        <w:instrText xml:space="preserve"> ADDIN EN.CITE &lt;EndNote&gt;&lt;Cite&gt;&lt;Author&gt;Gohel D&lt;/Author&gt;&lt;Year&gt;2020&lt;/Year&gt;&lt;RecNum&gt;445&lt;/RecNum&gt;&lt;DisplayText&gt;&lt;style face="superscript"&gt;38&lt;/style&gt;&lt;/DisplayText&gt;&lt;record&gt;&lt;rec-number&gt;445&lt;/rec-number&gt;&lt;foreign-keys&gt;&lt;key app="EN" db-id="tdwrx9xd1z9eepeevr355w2k959rv0f5zaax" timestamp="1636542650"&gt;445&lt;/key&gt;&lt;/foreign-keys&gt;&lt;ref-type name="Journal Article"&gt;17&lt;/ref-type&gt;&lt;contributors&gt;&lt;authors&gt;&lt;author&gt;Gohel D,&lt;/author&gt;&lt;/authors&gt;&lt;/contributors&gt;&lt;titles&gt;&lt;title&gt;flextable: Functions for Tabular Reporting&lt;/title&gt;&lt;secondary-title&gt;R package version 0.5.11&lt;/secondary-title&gt;&lt;/titles&gt;&lt;periodical&gt;&lt;full-title&gt;R package version 0.5.11&lt;/full-title&gt;&lt;/periodical&gt;&lt;dates&gt;&lt;year&gt;2020&lt;/year&gt;&lt;/dates&gt;&lt;urls&gt;&lt;related-urls&gt;&lt;url&gt;https://CRAN.R-project.org/package=flextable&lt;/url&gt;&lt;/related-urls&gt;&lt;/urls&gt;&lt;/record&gt;&lt;/Cite&gt;&lt;/EndNote&gt;</w:instrText>
      </w:r>
      <w:r w:rsidRPr="00734942">
        <w:rPr>
          <w:i/>
          <w:iCs/>
        </w:rPr>
        <w:fldChar w:fldCharType="separate"/>
      </w:r>
      <w:r w:rsidR="00735CC0" w:rsidRPr="00735CC0">
        <w:rPr>
          <w:i/>
          <w:iCs/>
          <w:noProof/>
          <w:vertAlign w:val="superscript"/>
        </w:rPr>
        <w:t>38</w:t>
      </w:r>
      <w:r w:rsidRPr="00734942">
        <w:rPr>
          <w:i/>
          <w:iCs/>
        </w:rPr>
        <w:fldChar w:fldCharType="end"/>
      </w:r>
      <w:r w:rsidRPr="00734942">
        <w:rPr>
          <w:i/>
          <w:iCs/>
        </w:rPr>
        <w:t xml:space="preserve"> ggplot2,</w:t>
      </w:r>
      <w:r w:rsidRPr="00734942">
        <w:rPr>
          <w:i/>
          <w:iCs/>
        </w:rPr>
        <w:fldChar w:fldCharType="begin"/>
      </w:r>
      <w:r w:rsidR="00735CC0">
        <w:rPr>
          <w:i/>
          <w:iCs/>
        </w:rPr>
        <w:instrText xml:space="preserve"> ADDIN EN.CITE &lt;EndNote&gt;&lt;Cite&gt;&lt;Author&gt;Wickham H&lt;/Author&gt;&lt;Year&gt;2016&lt;/Year&gt;&lt;RecNum&gt;446&lt;/RecNum&gt;&lt;DisplayText&gt;&lt;style face="superscript"&gt;39&lt;/style&gt;&lt;/DisplayText&gt;&lt;record&gt;&lt;rec-number&gt;446&lt;/rec-number&gt;&lt;foreign-keys&gt;&lt;key app="EN" db-id="tdwrx9xd1z9eepeevr355w2k959rv0f5zaax" timestamp="1636542650"&gt;446&lt;/key&gt;&lt;/foreign-keys&gt;&lt;ref-type name="Journal Article"&gt;17&lt;/ref-type&gt;&lt;contributors&gt;&lt;authors&gt;&lt;author&gt;Wickham H,&lt;/author&gt;&lt;/authors&gt;&lt;/contributors&gt;&lt;titles&gt;&lt;title&gt;ggplot2: Elegant Graphics for Data Analysis&lt;/title&gt;&lt;secondary-title&gt;Springer-Verlag New York&lt;/secondary-title&gt;&lt;/titles&gt;&lt;periodical&gt;&lt;full-title&gt;Springer-Verlag New York&lt;/full-title&gt;&lt;/periodical&gt;&lt;dates&gt;&lt;year&gt;2016&lt;/year&gt;&lt;/dates&gt;&lt;urls&gt;&lt;/urls&gt;&lt;/record&gt;&lt;/Cite&gt;&lt;/EndNote&gt;</w:instrText>
      </w:r>
      <w:r w:rsidRPr="00734942">
        <w:rPr>
          <w:i/>
          <w:iCs/>
        </w:rPr>
        <w:fldChar w:fldCharType="separate"/>
      </w:r>
      <w:r w:rsidR="00735CC0" w:rsidRPr="00735CC0">
        <w:rPr>
          <w:i/>
          <w:iCs/>
          <w:noProof/>
          <w:vertAlign w:val="superscript"/>
        </w:rPr>
        <w:t>39</w:t>
      </w:r>
      <w:r w:rsidRPr="00734942">
        <w:rPr>
          <w:i/>
          <w:iCs/>
        </w:rPr>
        <w:fldChar w:fldCharType="end"/>
      </w:r>
      <w:r w:rsidRPr="00734942">
        <w:rPr>
          <w:i/>
          <w:iCs/>
        </w:rPr>
        <w:t xml:space="preserve"> mada,</w:t>
      </w:r>
      <w:r w:rsidRPr="00734942">
        <w:rPr>
          <w:i/>
          <w:iCs/>
        </w:rPr>
        <w:fldChar w:fldCharType="begin"/>
      </w:r>
      <w:r w:rsidR="00735CC0">
        <w:rPr>
          <w:i/>
          <w:iCs/>
        </w:rPr>
        <w:instrText xml:space="preserve"> ADDIN EN.CITE &lt;EndNote&gt;&lt;Cite&gt;&lt;Author&gt;Doebler P&lt;/Author&gt;&lt;Year&gt;2020&lt;/Year&gt;&lt;RecNum&gt;447&lt;/RecNum&gt;&lt;DisplayText&gt;&lt;style face="superscript"&gt;40&lt;/style&gt;&lt;/DisplayText&gt;&lt;record&gt;&lt;rec-number&gt;447&lt;/rec-number&gt;&lt;foreign-keys&gt;&lt;key app="EN" db-id="tdwrx9xd1z9eepeevr355w2k959rv0f5zaax" timestamp="1636542650"&gt;447&lt;/key&gt;&lt;/foreign-keys&gt;&lt;ref-type name="Journal Article"&gt;17&lt;/ref-type&gt;&lt;contributors&gt;&lt;authors&gt;&lt;author&gt;Doebler P,&lt;/author&gt;&lt;/authors&gt;&lt;/contributors&gt;&lt;titles&gt;&lt;title&gt;mada: Meta-Analysis of Diagnostic Accuracy&lt;/title&gt;&lt;secondary-title&gt;R package version 0.5.10&lt;/secondary-title&gt;&lt;/titles&gt;&lt;periodical&gt;&lt;full-title&gt;R package version 0.5.10&lt;/full-title&gt;&lt;/periodical&gt;&lt;dates&gt;&lt;year&gt;2020&lt;/year&gt;&lt;/dates&gt;&lt;urls&gt;&lt;related-urls&gt;&lt;url&gt;https://CRAN.R-project.org/package=mada&lt;/url&gt;&lt;/related-urls&gt;&lt;/urls&gt;&lt;/record&gt;&lt;/Cite&gt;&lt;/EndNote&gt;</w:instrText>
      </w:r>
      <w:r w:rsidRPr="00734942">
        <w:rPr>
          <w:i/>
          <w:iCs/>
        </w:rPr>
        <w:fldChar w:fldCharType="separate"/>
      </w:r>
      <w:r w:rsidR="00735CC0" w:rsidRPr="00735CC0">
        <w:rPr>
          <w:i/>
          <w:iCs/>
          <w:noProof/>
          <w:vertAlign w:val="superscript"/>
        </w:rPr>
        <w:t>40</w:t>
      </w:r>
      <w:r w:rsidRPr="00734942">
        <w:rPr>
          <w:i/>
          <w:iCs/>
        </w:rPr>
        <w:fldChar w:fldCharType="end"/>
      </w:r>
      <w:r w:rsidRPr="00734942">
        <w:rPr>
          <w:i/>
          <w:iCs/>
        </w:rPr>
        <w:t xml:space="preserve"> ellipse</w:t>
      </w:r>
      <w:r w:rsidRPr="00734942">
        <w:rPr>
          <w:i/>
          <w:iCs/>
        </w:rPr>
        <w:fldChar w:fldCharType="begin"/>
      </w:r>
      <w:r w:rsidR="00735CC0">
        <w:rPr>
          <w:i/>
          <w:iCs/>
        </w:rPr>
        <w:instrText xml:space="preserve"> ADDIN EN.CITE &lt;EndNote&gt;&lt;Cite&gt;&lt;Author&gt;Murdoch D&lt;/Author&gt;&lt;Year&gt;2020&lt;/Year&gt;&lt;RecNum&gt;448&lt;/RecNum&gt;&lt;DisplayText&gt;&lt;style face="superscript"&gt;41&lt;/style&gt;&lt;/DisplayText&gt;&lt;record&gt;&lt;rec-number&gt;448&lt;/rec-number&gt;&lt;foreign-keys&gt;&lt;key app="EN" db-id="tdwrx9xd1z9eepeevr355w2k959rv0f5zaax" timestamp="1636542650"&gt;448&lt;/key&gt;&lt;/foreign-keys&gt;&lt;ref-type name="Journal Article"&gt;17&lt;/ref-type&gt;&lt;contributors&gt;&lt;authors&gt;&lt;author&gt;Murdoch D,&lt;/author&gt;&lt;author&gt;Chow ED,&lt;/author&gt;&lt;/authors&gt;&lt;/contributors&gt;&lt;titles&gt;&lt;title&gt;ellipse: Functions for Drawing Ellipses and Ellipse-Like Confidence Regions&lt;/title&gt;&lt;secondary-title&gt;R package version 0.4.2&lt;/secondary-title&gt;&lt;/titles&gt;&lt;periodical&gt;&lt;full-title&gt;R package version 0.4.2&lt;/full-title&gt;&lt;/periodical&gt;&lt;dates&gt;&lt;year&gt;2020&lt;/year&gt;&lt;/dates&gt;&lt;urls&gt;&lt;related-urls&gt;&lt;url&gt;https://CRAN.R-project.org/package=ellipse&lt;/url&gt;&lt;/related-urls&gt;&lt;/urls&gt;&lt;/record&gt;&lt;/Cite&gt;&lt;/EndNote&gt;</w:instrText>
      </w:r>
      <w:r w:rsidRPr="00734942">
        <w:rPr>
          <w:i/>
          <w:iCs/>
        </w:rPr>
        <w:fldChar w:fldCharType="separate"/>
      </w:r>
      <w:r w:rsidR="00735CC0" w:rsidRPr="00735CC0">
        <w:rPr>
          <w:i/>
          <w:iCs/>
          <w:noProof/>
          <w:vertAlign w:val="superscript"/>
        </w:rPr>
        <w:t>41</w:t>
      </w:r>
      <w:r w:rsidRPr="00734942">
        <w:rPr>
          <w:i/>
          <w:iCs/>
        </w:rPr>
        <w:fldChar w:fldCharType="end"/>
      </w:r>
      <w:r w:rsidRPr="00734942">
        <w:t xml:space="preserve"> were used for tables and figures.</w:t>
      </w:r>
    </w:p>
    <w:p w14:paraId="28DFE563" w14:textId="77777777" w:rsidR="00FC0FE0" w:rsidRPr="00734942" w:rsidRDefault="00FC0FE0" w:rsidP="00C577CC">
      <w:pPr>
        <w:pStyle w:val="Heading3"/>
      </w:pPr>
      <w:bookmarkStart w:id="102" w:name="_Toc99539832"/>
      <w:bookmarkEnd w:id="94"/>
      <w:r w:rsidRPr="00734942">
        <w:t>Deviations from the protocol</w:t>
      </w:r>
      <w:bookmarkEnd w:id="102"/>
    </w:p>
    <w:p w14:paraId="22ED970C" w14:textId="77777777" w:rsidR="00116DBC" w:rsidRPr="00734942" w:rsidRDefault="00FC0FE0" w:rsidP="00FC0FE0">
      <w:r w:rsidRPr="00734942">
        <w:t xml:space="preserve">Due to the size of the review and time constraints it was not feasible to contact authors. </w:t>
      </w:r>
    </w:p>
    <w:p w14:paraId="306FDEC8" w14:textId="6F5C9F8D" w:rsidR="00FC0FE0" w:rsidRPr="00734942" w:rsidRDefault="00FC0FE0" w:rsidP="00FC0FE0">
      <w:r w:rsidRPr="00734942">
        <w:t>To make this review more manageable we planned to only extract data from diagnostic indicators with sufficient evidence, which we defined as data on diagnostic indicators that are reported in five or more studies, unless our expert panel identified a diagnostic indicator as exceptionally promising. However, the expert panel agreed that most diagnostic indicators were potentially promising</w:t>
      </w:r>
      <w:r w:rsidR="00BD0697" w:rsidRPr="00734942">
        <w:t>.</w:t>
      </w:r>
      <w:r w:rsidRPr="00734942">
        <w:t xml:space="preserve"> </w:t>
      </w:r>
      <w:r w:rsidR="00BD0697" w:rsidRPr="00734942">
        <w:t>T</w:t>
      </w:r>
      <w:r w:rsidRPr="00734942">
        <w:t xml:space="preserve">o reduce bias in the process and to keep the review manageable, it was decided to not extract data on diagnostic indicators which were reported by </w:t>
      </w:r>
      <w:r w:rsidR="00D52DD5" w:rsidRPr="00734942">
        <w:t>fewer</w:t>
      </w:r>
      <w:r w:rsidRPr="00734942">
        <w:t xml:space="preserve"> than 5 studies. We provide full references for all studies reporting on indicators for which we did not extract data. In addition, a post-hoc sensitivity analysis was performed on the diagnostic indicator ‘family history of CD’ to restrict the analysis to </w:t>
      </w:r>
      <w:r w:rsidR="00C25994" w:rsidRPr="00734942">
        <w:t>first-degree relative</w:t>
      </w:r>
      <w:r w:rsidR="007252FC" w:rsidRPr="00734942">
        <w:t>s</w:t>
      </w:r>
      <w:r w:rsidRPr="00734942">
        <w:t xml:space="preserve"> only.</w:t>
      </w:r>
    </w:p>
    <w:p w14:paraId="5C9ADFC5" w14:textId="1C4B3542" w:rsidR="00EF025C" w:rsidRPr="00734942" w:rsidRDefault="00FC0FE0" w:rsidP="00FC0FE0">
      <w:r w:rsidRPr="00734942">
        <w:t xml:space="preserve">As stated in the protocol, we explored the possibility of adjusting for the imperfect accuracy of the serological tests in a Bayesian statistical framework, using informative prior distributions for the sensitivity and specificity of these tests based on </w:t>
      </w:r>
      <w:r w:rsidR="00263A65">
        <w:t>our</w:t>
      </w:r>
      <w:r w:rsidRPr="00734942">
        <w:t xml:space="preserve"> systematic review on the accuracy of serology tests for CD</w:t>
      </w:r>
      <w:r w:rsidR="00263A65">
        <w:t xml:space="preserve"> (Chapter 5)</w:t>
      </w:r>
      <w:r w:rsidRPr="00734942">
        <w:t xml:space="preserve">. However, this was not feasible due to the </w:t>
      </w:r>
      <w:r w:rsidR="006C3D1A" w:rsidRPr="00734942">
        <w:t xml:space="preserve">considerable </w:t>
      </w:r>
      <w:r w:rsidRPr="00734942">
        <w:t xml:space="preserve">variation </w:t>
      </w:r>
      <w:r w:rsidR="006C3D1A" w:rsidRPr="00734942">
        <w:t>in</w:t>
      </w:r>
      <w:r w:rsidRPr="00734942">
        <w:t xml:space="preserve"> reference standards</w:t>
      </w:r>
      <w:r w:rsidR="006C3D1A" w:rsidRPr="00734942">
        <w:t>, including thresholds for reference standards,</w:t>
      </w:r>
      <w:r w:rsidRPr="00734942">
        <w:t xml:space="preserve"> used</w:t>
      </w:r>
      <w:r w:rsidR="006C3D1A" w:rsidRPr="00734942">
        <w:t xml:space="preserve"> across studies.</w:t>
      </w:r>
    </w:p>
    <w:p w14:paraId="320A4FCF" w14:textId="78BD9EE8" w:rsidR="00A220F8" w:rsidRPr="00734942" w:rsidRDefault="00A220F8" w:rsidP="00956A85">
      <w:pPr>
        <w:pStyle w:val="Heading2"/>
      </w:pPr>
      <w:bookmarkStart w:id="103" w:name="_Toc99539833"/>
      <w:bookmarkStart w:id="104" w:name="_Hlk86246202"/>
      <w:r w:rsidRPr="00734942">
        <w:t>Results</w:t>
      </w:r>
      <w:r w:rsidR="00354826" w:rsidRPr="00734942">
        <w:t xml:space="preserve"> of assessment of diagnostic accuracy of indicators</w:t>
      </w:r>
      <w:bookmarkEnd w:id="103"/>
    </w:p>
    <w:p w14:paraId="1F2D2B74" w14:textId="0255EFC9" w:rsidR="00227A6F" w:rsidRDefault="000943AA" w:rsidP="00227A6F">
      <w:bookmarkStart w:id="105" w:name="_Hlk86246208"/>
      <w:bookmarkEnd w:id="104"/>
      <w:r w:rsidRPr="00734942">
        <w:t xml:space="preserve">We identified 12,027 records after deduplication through </w:t>
      </w:r>
      <w:r w:rsidR="00FD1F7D" w:rsidRPr="00734942">
        <w:t>searching scientific databases</w:t>
      </w:r>
      <w:r w:rsidR="008D0B3D" w:rsidRPr="00734942">
        <w:t xml:space="preserve"> </w:t>
      </w:r>
      <w:r w:rsidR="00227A6F" w:rsidRPr="00734942">
        <w:t>and</w:t>
      </w:r>
      <w:r w:rsidR="00EA34AB" w:rsidRPr="00734942">
        <w:t xml:space="preserve"> screening</w:t>
      </w:r>
      <w:r w:rsidR="00227A6F" w:rsidRPr="00734942">
        <w:t xml:space="preserve"> reference lists of </w:t>
      </w:r>
      <w:r w:rsidRPr="00734942">
        <w:t>four recent guidelines on CD</w:t>
      </w:r>
      <w:r w:rsidR="001952AB" w:rsidRPr="00734942">
        <w:t xml:space="preserve"> </w:t>
      </w:r>
      <w:r w:rsidRPr="00734942">
        <w:fldChar w:fldCharType="begin">
          <w:fldData xml:space="preserve">PEVuZE5vdGU+PENpdGU+PEF1dGhvcj5MdWR2aWdzc29uPC9BdXRob3I+PFllYXI+MjAxNDwvWWVh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</w:fldData>
        </w:fldChar>
      </w:r>
      <w:r w:rsidR="00735CC0">
        <w:instrText xml:space="preserve"> ADDIN EN.CITE </w:instrText>
      </w:r>
      <w:r w:rsidR="00735CC0">
        <w:fldChar w:fldCharType="begin">
          <w:fldData xml:space="preserve">PEVuZE5vdGU+PENpdGU+PEF1dGhvcj5MdWR2aWdzc29uPC9BdXRob3I+PFllYXI+MjAxNDwvWWVh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9, 10, 42-44</w:t>
      </w:r>
      <w:r w:rsidRPr="00734942">
        <w:fldChar w:fldCharType="end"/>
      </w:r>
      <w:r w:rsidRPr="00734942">
        <w:t xml:space="preserve"> and </w:t>
      </w:r>
      <w:r w:rsidR="00EA34AB" w:rsidRPr="00734942">
        <w:t xml:space="preserve">22 </w:t>
      </w:r>
      <w:r w:rsidR="00227A6F" w:rsidRPr="00734942">
        <w:t xml:space="preserve">systematic reviews. 709 records </w:t>
      </w:r>
      <w:r w:rsidR="001952AB" w:rsidRPr="00734942">
        <w:t xml:space="preserve">were selected </w:t>
      </w:r>
      <w:r w:rsidR="00227A6F" w:rsidRPr="00734942">
        <w:t>for full text assessment</w:t>
      </w:r>
      <w:r w:rsidR="00BD380F" w:rsidRPr="00734942">
        <w:t>,</w:t>
      </w:r>
      <w:r w:rsidR="00927DB1" w:rsidRPr="00734942">
        <w:t xml:space="preserve"> of which</w:t>
      </w:r>
      <w:r w:rsidR="00227A6F" w:rsidRPr="00734942">
        <w:t xml:space="preserve"> 241 studies fulfilled </w:t>
      </w:r>
      <w:r w:rsidR="00927DB1" w:rsidRPr="00734942">
        <w:t>our</w:t>
      </w:r>
      <w:r w:rsidR="00227A6F" w:rsidRPr="00734942">
        <w:t xml:space="preserve"> inclusion criteria</w:t>
      </w:r>
      <w:r w:rsidR="00927DB1" w:rsidRPr="00734942">
        <w:t>. These studies</w:t>
      </w:r>
      <w:r w:rsidR="00227A6F" w:rsidRPr="00734942">
        <w:t xml:space="preserve"> contain</w:t>
      </w:r>
      <w:r w:rsidR="00927DB1" w:rsidRPr="00734942">
        <w:t>ed</w:t>
      </w:r>
      <w:r w:rsidR="00227A6F" w:rsidRPr="00734942">
        <w:t xml:space="preserve"> </w:t>
      </w:r>
      <w:r w:rsidR="006377AB">
        <w:t>369</w:t>
      </w:r>
      <w:r w:rsidR="000C0E0E" w:rsidRPr="00734942">
        <w:t xml:space="preserve"> </w:t>
      </w:r>
      <w:r w:rsidR="00227A6F" w:rsidRPr="00734942">
        <w:t xml:space="preserve">reports of </w:t>
      </w:r>
      <w:r w:rsidR="006377AB">
        <w:t>90</w:t>
      </w:r>
      <w:r w:rsidR="006377AB" w:rsidRPr="00734942">
        <w:t xml:space="preserve"> </w:t>
      </w:r>
      <w:r w:rsidR="00227A6F" w:rsidRPr="00734942">
        <w:t>distinct diagnostic indicators</w:t>
      </w:r>
      <w:r w:rsidR="007A01A9" w:rsidRPr="00734942">
        <w:t xml:space="preserve">. Supplementary </w:t>
      </w:r>
      <w:r w:rsidR="008672E6">
        <w:t xml:space="preserve">Table </w:t>
      </w:r>
      <w:r w:rsidR="00F2108F">
        <w:t>S</w:t>
      </w:r>
      <w:r w:rsidR="008672E6">
        <w:t>1</w:t>
      </w:r>
      <w:r w:rsidR="007A01A9" w:rsidRPr="00734942">
        <w:t xml:space="preserve"> </w:t>
      </w:r>
      <w:r w:rsidR="00227A6F" w:rsidRPr="00734942">
        <w:t xml:space="preserve">provides a list of diagnostic indicators </w:t>
      </w:r>
      <w:r w:rsidR="006E3274" w:rsidRPr="00734942">
        <w:t>(including study</w:t>
      </w:r>
      <w:r w:rsidR="00227A6F" w:rsidRPr="00734942">
        <w:t xml:space="preserve"> references</w:t>
      </w:r>
      <w:r w:rsidR="006E3274" w:rsidRPr="00734942">
        <w:t>)</w:t>
      </w:r>
      <w:r w:rsidR="00227A6F" w:rsidRPr="00734942">
        <w:t xml:space="preserve"> for which we did not extract data </w:t>
      </w:r>
      <w:r w:rsidR="00C35EC7" w:rsidRPr="00734942">
        <w:t>because they reported on a rare indicator (</w:t>
      </w:r>
      <w:r w:rsidR="004E629D" w:rsidRPr="00734942">
        <w:t>reported by fewer than five studies</w:t>
      </w:r>
      <w:r w:rsidR="00227A6F" w:rsidRPr="00734942">
        <w:t xml:space="preserve">). </w:t>
      </w:r>
      <w:r w:rsidR="00330436" w:rsidRPr="00734942">
        <w:t xml:space="preserve">We included </w:t>
      </w:r>
      <w:r w:rsidR="000C11B2">
        <w:t>183</w:t>
      </w:r>
      <w:r w:rsidR="000C11B2" w:rsidRPr="00734942">
        <w:t xml:space="preserve"> </w:t>
      </w:r>
      <w:r w:rsidR="00227A6F" w:rsidRPr="00734942">
        <w:t xml:space="preserve">studies reporting on </w:t>
      </w:r>
      <w:r w:rsidR="004F152D">
        <w:t>25</w:t>
      </w:r>
      <w:r w:rsidR="004F152D" w:rsidRPr="00734942">
        <w:t xml:space="preserve"> </w:t>
      </w:r>
      <w:r w:rsidR="00227A6F" w:rsidRPr="00734942">
        <w:t>distinct indicators in our meta-analyses</w:t>
      </w:r>
      <w:r w:rsidR="0092044B">
        <w:t xml:space="preserve"> (</w:t>
      </w:r>
      <w:r w:rsidR="00401842">
        <w:t xml:space="preserve">see PRISMA diagram in </w:t>
      </w:r>
      <w:r w:rsidR="00401842">
        <w:fldChar w:fldCharType="begin"/>
      </w:r>
      <w:r w:rsidR="00401842">
        <w:instrText xml:space="preserve"> REF _Ref87617947 \h </w:instrText>
      </w:r>
      <w:r w:rsidR="00401842">
        <w:fldChar w:fldCharType="separate"/>
      </w:r>
      <w:r w:rsidR="008B5583" w:rsidRPr="00734942">
        <w:t xml:space="preserve">Appendix </w:t>
      </w:r>
      <w:r w:rsidR="008B5583">
        <w:t>2</w:t>
      </w:r>
      <w:r w:rsidR="00401842">
        <w:fldChar w:fldCharType="end"/>
      </w:r>
      <w:r w:rsidR="00401842">
        <w:t xml:space="preserve"> </w:t>
      </w:r>
      <w:r w:rsidR="00401842">
        <w:fldChar w:fldCharType="begin"/>
      </w:r>
      <w:r w:rsidR="00401842">
        <w:instrText xml:space="preserve"> REF _Ref95314727 \h </w:instrText>
      </w:r>
      <w:r w:rsidR="00401842">
        <w:fldChar w:fldCharType="separate"/>
      </w:r>
      <w:r w:rsidR="008B5583" w:rsidRPr="00734942">
        <w:t xml:space="preserve">Figure </w:t>
      </w:r>
      <w:r w:rsidR="008B5583">
        <w:rPr>
          <w:noProof/>
        </w:rPr>
        <w:t>26</w:t>
      </w:r>
      <w:r w:rsidR="00401842">
        <w:fldChar w:fldCharType="end"/>
      </w:r>
      <w:r w:rsidR="00227A6F" w:rsidRPr="00734942">
        <w:t>).</w:t>
      </w:r>
    </w:p>
    <w:p w14:paraId="47F0BD34" w14:textId="46DDD2EB" w:rsidR="0075169A" w:rsidRPr="00734942" w:rsidRDefault="0075169A" w:rsidP="0075169A">
      <w:pPr>
        <w:pStyle w:val="Heading3"/>
      </w:pPr>
      <w:bookmarkStart w:id="106" w:name="_Toc99539834"/>
      <w:bookmarkStart w:id="107" w:name="_Hlk86246306"/>
      <w:bookmarkEnd w:id="105"/>
      <w:r w:rsidRPr="00734942">
        <w:t>Study characteristics</w:t>
      </w:r>
      <w:bookmarkEnd w:id="106"/>
    </w:p>
    <w:bookmarkEnd w:id="107"/>
    <w:p w14:paraId="7404D90A" w14:textId="6814847B" w:rsidR="000D5B85" w:rsidRPr="00734942" w:rsidRDefault="0075169A" w:rsidP="0075169A">
      <w:pPr>
        <w:spacing w:line="240" w:lineRule="auto"/>
      </w:pPr>
      <w:r w:rsidRPr="00734942">
        <w:t xml:space="preserve">The included diagnostic indicators consisted of 7 symptoms, 17 risk conditions, and </w:t>
      </w:r>
      <w:r w:rsidR="00C81F6C">
        <w:t>1</w:t>
      </w:r>
      <w:r w:rsidR="00C81F6C" w:rsidRPr="00734942">
        <w:t xml:space="preserve"> </w:t>
      </w:r>
      <w:r w:rsidR="00DF33D5">
        <w:t>family history</w:t>
      </w:r>
      <w:r w:rsidRPr="00734942">
        <w:t xml:space="preserve"> (see</w:t>
      </w:r>
      <w:r w:rsidR="009B54EB" w:rsidRPr="00734942">
        <w:t xml:space="preserve"> </w:t>
      </w:r>
      <w:r w:rsidR="0064572A">
        <w:t>Appendix 3</w:t>
      </w:r>
      <w:r w:rsidR="00430E78">
        <w:t xml:space="preserve"> </w:t>
      </w:r>
      <w:r w:rsidR="009B54EB" w:rsidRPr="00734942">
        <w:fldChar w:fldCharType="begin"/>
      </w:r>
      <w:r w:rsidR="009B54EB" w:rsidRPr="00734942">
        <w:instrText xml:space="preserve"> REF _Ref83989161 \h </w:instrText>
      </w:r>
      <w:r w:rsidR="009B54EB" w:rsidRPr="00734942">
        <w:fldChar w:fldCharType="separate"/>
      </w:r>
      <w:r w:rsidR="008B5583" w:rsidRPr="00734942">
        <w:t xml:space="preserve">Table </w:t>
      </w:r>
      <w:r w:rsidR="008B5583">
        <w:rPr>
          <w:noProof/>
        </w:rPr>
        <w:t>24</w:t>
      </w:r>
      <w:r w:rsidR="009B54EB" w:rsidRPr="00734942">
        <w:fldChar w:fldCharType="end"/>
      </w:r>
      <w:r w:rsidR="00700990">
        <w:t xml:space="preserve"> and Appendix 4 </w:t>
      </w:r>
      <w:r w:rsidR="005B6E44">
        <w:fldChar w:fldCharType="begin"/>
      </w:r>
      <w:r w:rsidR="005B6E44">
        <w:instrText xml:space="preserve"> REF _Ref95315480 \h </w:instrText>
      </w:r>
      <w:r w:rsidR="005B6E44">
        <w:fldChar w:fldCharType="separate"/>
      </w:r>
      <w:r w:rsidR="008B5583">
        <w:t xml:space="preserve">Table </w:t>
      </w:r>
      <w:r w:rsidR="008B5583">
        <w:rPr>
          <w:noProof/>
        </w:rPr>
        <w:t>25</w:t>
      </w:r>
      <w:r w:rsidR="005B6E44">
        <w:fldChar w:fldCharType="end"/>
      </w:r>
      <w:r w:rsidR="005B6E44">
        <w:t>-</w:t>
      </w:r>
      <w:r w:rsidR="005B6E44">
        <w:fldChar w:fldCharType="begin"/>
      </w:r>
      <w:r w:rsidR="005B6E44">
        <w:instrText xml:space="preserve"> REF _Ref95315494 \h </w:instrText>
      </w:r>
      <w:r w:rsidR="005B6E44">
        <w:fldChar w:fldCharType="separate"/>
      </w:r>
      <w:r w:rsidR="008B5583">
        <w:t xml:space="preserve">Table </w:t>
      </w:r>
      <w:r w:rsidR="008B5583">
        <w:rPr>
          <w:noProof/>
        </w:rPr>
        <w:t>50</w:t>
      </w:r>
      <w:r w:rsidR="005B6E44">
        <w:fldChar w:fldCharType="end"/>
      </w:r>
      <w:r w:rsidRPr="00734942">
        <w:t xml:space="preserve">). Among symptoms, </w:t>
      </w:r>
      <w:r w:rsidR="004B6B75" w:rsidRPr="00734942">
        <w:t xml:space="preserve">the </w:t>
      </w:r>
      <w:r w:rsidR="00DE14DA" w:rsidRPr="00734942">
        <w:t xml:space="preserve">most reported diagnostic indicators were </w:t>
      </w:r>
      <w:r w:rsidRPr="00734942">
        <w:t>abdominal pain (n=12) and diarrhoea (n=12); among risk conditions, type 1 diabetes (n=31) and thyroid disease (n=23</w:t>
      </w:r>
      <w:r w:rsidR="004B6B75" w:rsidRPr="00734942">
        <w:t>) were reported on by the highest number of studies</w:t>
      </w:r>
      <w:r w:rsidRPr="00734942">
        <w:t xml:space="preserve">. Studies investigating symptoms associated with CD predominantly used a cohort or cross-sectional design, using a serological test to detect CD. Studies looking at risk conditions mainly used case-control designs, where people with </w:t>
      </w:r>
      <w:r w:rsidR="00931BEA">
        <w:t>the diag</w:t>
      </w:r>
      <w:r w:rsidR="00194A6D">
        <w:t>nostic indicator</w:t>
      </w:r>
      <w:r w:rsidR="00931BEA" w:rsidRPr="00734942">
        <w:t xml:space="preserve"> </w:t>
      </w:r>
      <w:r w:rsidRPr="00734942">
        <w:t>were compared to a healthy control group</w:t>
      </w:r>
      <w:r w:rsidR="00194A6D">
        <w:t xml:space="preserve"> without the diagnostic indicator</w:t>
      </w:r>
      <w:r w:rsidRPr="00734942">
        <w:t xml:space="preserve">. Most studies included adult participants, although many diagnostic indicators were also studied in a population of children or a mixed population. </w:t>
      </w:r>
    </w:p>
    <w:p w14:paraId="799745C9" w14:textId="49559A14" w:rsidR="0075169A" w:rsidRPr="00734942" w:rsidRDefault="0075169A" w:rsidP="0075169A">
      <w:pPr>
        <w:spacing w:line="240" w:lineRule="auto"/>
      </w:pPr>
      <w:r w:rsidRPr="00734942">
        <w:lastRenderedPageBreak/>
        <w:t>Although sample sizes for each meta-analysis ranged between 1,004 and 55,500 participants, some meta-analyses were based on a small number of CD patients, as prevalence was often low. For instance, for multiple sclerosis and systemic lupus erythematosus estimates of sensitivity are based on only 12 and 9 people with CD, respectively.</w:t>
      </w:r>
    </w:p>
    <w:p w14:paraId="0FBCAAEC" w14:textId="77777777" w:rsidR="007709D5" w:rsidRPr="00734942" w:rsidRDefault="007709D5" w:rsidP="00BC3A05">
      <w:pPr>
        <w:pStyle w:val="Heading3"/>
      </w:pPr>
      <w:bookmarkStart w:id="108" w:name="_Toc99539835"/>
      <w:bookmarkStart w:id="109" w:name="_Hlk86246315"/>
      <w:r w:rsidRPr="00734942">
        <w:t>Risk of bias</w:t>
      </w:r>
      <w:bookmarkEnd w:id="108"/>
    </w:p>
    <w:bookmarkEnd w:id="109"/>
    <w:p w14:paraId="53F5E03F" w14:textId="77BD044F" w:rsidR="007709D5" w:rsidRPr="00734942" w:rsidRDefault="007709D5" w:rsidP="008C6FED">
      <w:r w:rsidRPr="00734942">
        <w:t xml:space="preserve">Several studies reported more than one diagnostic indicator, resulting in </w:t>
      </w:r>
      <w:r w:rsidR="007B22D0">
        <w:t>281</w:t>
      </w:r>
      <w:r w:rsidR="007B22D0" w:rsidRPr="00734942">
        <w:t xml:space="preserve"> </w:t>
      </w:r>
      <w:r w:rsidRPr="00734942">
        <w:t xml:space="preserve">risk of bias judgements. Most studies had methodological issues, and </w:t>
      </w:r>
      <w:r w:rsidR="00B46264">
        <w:t>only one study was</w:t>
      </w:r>
      <w:r w:rsidRPr="00734942">
        <w:t xml:space="preserve"> judged at low overall risk of bias (</w:t>
      </w:r>
      <w:r w:rsidR="00A0108A">
        <w:t xml:space="preserve">Appendix 5 </w:t>
      </w:r>
      <w:r w:rsidR="001D3D8F">
        <w:fldChar w:fldCharType="begin"/>
      </w:r>
      <w:r w:rsidR="001D3D8F">
        <w:instrText xml:space="preserve"> REF _Ref85449512 \h </w:instrText>
      </w:r>
      <w:r w:rsidR="001D3D8F">
        <w:fldChar w:fldCharType="separate"/>
      </w:r>
      <w:r w:rsidR="00D9154C">
        <w:fldChar w:fldCharType="begin"/>
      </w:r>
      <w:r w:rsidR="00D9154C">
        <w:instrText xml:space="preserve"> REF _Ref99542538 \h </w:instrText>
      </w:r>
      <w:r w:rsidR="00D9154C">
        <w:fldChar w:fldCharType="separate"/>
      </w:r>
      <w:r w:rsidR="00D9154C" w:rsidRPr="00734942">
        <w:t xml:space="preserve">Figure </w:t>
      </w:r>
      <w:r w:rsidR="00D9154C">
        <w:rPr>
          <w:noProof/>
        </w:rPr>
        <w:t>27</w:t>
      </w:r>
      <w:r w:rsidR="00D9154C">
        <w:fldChar w:fldCharType="end"/>
      </w:r>
      <w:r w:rsidR="001D3D8F">
        <w:fldChar w:fldCharType="end"/>
      </w:r>
      <w:r w:rsidRPr="00734942">
        <w:t>). In total, only</w:t>
      </w:r>
      <w:r w:rsidRPr="00734942" w:rsidDel="00B46264">
        <w:t xml:space="preserve"> </w:t>
      </w:r>
      <w:r w:rsidR="00B46264">
        <w:t>19</w:t>
      </w:r>
      <w:r w:rsidR="00B46264" w:rsidRPr="00734942">
        <w:t xml:space="preserve"> </w:t>
      </w:r>
      <w:r w:rsidRPr="00734942">
        <w:t>study reports were judged at a low risk of bias regarding patient selection. The main source of potential bias in patient selection was the use of a case-control study design. The index test domain was judged at low risk of bias if it was the study’s main aim to investigate the diagnostic indicator of interest, which was the case for most studies. In total,</w:t>
      </w:r>
      <w:r w:rsidRPr="00734942" w:rsidDel="00C62C59">
        <w:t xml:space="preserve"> </w:t>
      </w:r>
      <w:r w:rsidR="00C62C59">
        <w:t>167</w:t>
      </w:r>
      <w:r w:rsidR="00C62C59" w:rsidRPr="00734942">
        <w:t xml:space="preserve"> </w:t>
      </w:r>
      <w:r w:rsidRPr="00734942">
        <w:t xml:space="preserve">study reports on diagnostic indicators were judged at high risk of bias for reference standard. This was mainly driven by studies using serology tests without </w:t>
      </w:r>
      <w:r w:rsidR="00BB3F40">
        <w:t>biopsy</w:t>
      </w:r>
      <w:r w:rsidR="00BB3F40" w:rsidRPr="00734942">
        <w:t xml:space="preserve"> </w:t>
      </w:r>
      <w:r w:rsidRPr="00734942">
        <w:t xml:space="preserve">confirmation to determine </w:t>
      </w:r>
      <w:r w:rsidR="00BB3F40">
        <w:t xml:space="preserve">whether participants had </w:t>
      </w:r>
      <w:r w:rsidRPr="00734942">
        <w:t>CD</w:t>
      </w:r>
      <w:r w:rsidR="00B20DCD">
        <w:t>;</w:t>
      </w:r>
      <w:r w:rsidRPr="00734942">
        <w:t xml:space="preserve"> </w:t>
      </w:r>
      <w:r w:rsidR="00B20DCD">
        <w:t xml:space="preserve">this risks misclassifying </w:t>
      </w:r>
      <w:r w:rsidRPr="00734942">
        <w:t xml:space="preserve">participants as </w:t>
      </w:r>
      <w:r w:rsidR="00B20DCD">
        <w:t>having or not having CD</w:t>
      </w:r>
      <w:r w:rsidRPr="00734942">
        <w:t xml:space="preserve">. Flow and timing </w:t>
      </w:r>
      <w:r w:rsidR="004A5BA9" w:rsidRPr="00734942">
        <w:t>were</w:t>
      </w:r>
      <w:r w:rsidRPr="00734942">
        <w:t xml:space="preserve"> judged at high risk of bias in studies that did not use the same combination of diagnostic tests for CD in all patients (reference standard); for example, in studies where biopsy was only performed in patients who had a positive serology test result.</w:t>
      </w:r>
    </w:p>
    <w:p w14:paraId="56AAC63A" w14:textId="77777777" w:rsidR="00E76A4E" w:rsidRPr="00734942" w:rsidRDefault="00E76A4E" w:rsidP="00E76A4E">
      <w:pPr>
        <w:pStyle w:val="Heading3"/>
      </w:pPr>
      <w:bookmarkStart w:id="110" w:name="_Toc99539836"/>
      <w:bookmarkStart w:id="111" w:name="_Hlk86246326"/>
      <w:r w:rsidRPr="00734942">
        <w:t>Accuracy of diagnostic indicators to detect coeliac disease</w:t>
      </w:r>
      <w:bookmarkEnd w:id="110"/>
    </w:p>
    <w:bookmarkEnd w:id="111"/>
    <w:p w14:paraId="70837F5A" w14:textId="76F5D51C" w:rsidR="00E76A4E" w:rsidRPr="00734942" w:rsidRDefault="00E76A4E" w:rsidP="00E76A4E">
      <w:pPr>
        <w:spacing w:line="240" w:lineRule="auto"/>
      </w:pPr>
      <w:r w:rsidRPr="00734942">
        <w:t>We found large variation in sensitivity, specificity, and PPV estimates between studies for most diagnostic indicators (</w:t>
      </w:r>
      <w:r w:rsidR="005F47E9">
        <w:fldChar w:fldCharType="begin"/>
      </w:r>
      <w:r w:rsidR="005F47E9">
        <w:instrText xml:space="preserve"> REF _Ref95315853 \h </w:instrText>
      </w:r>
      <w:r w:rsidR="005F47E9">
        <w:fldChar w:fldCharType="separate"/>
      </w:r>
      <w:r w:rsidR="008B5583" w:rsidRPr="00734942">
        <w:t xml:space="preserve">Figure </w:t>
      </w:r>
      <w:r w:rsidR="008B5583">
        <w:rPr>
          <w:noProof/>
        </w:rPr>
        <w:t>1</w:t>
      </w:r>
      <w:r w:rsidR="005F47E9">
        <w:fldChar w:fldCharType="end"/>
      </w:r>
      <w:r w:rsidRPr="00734942">
        <w:t>,</w:t>
      </w:r>
      <w:r w:rsidR="00D17D5F" w:rsidRPr="00734942">
        <w:t xml:space="preserve"> </w:t>
      </w:r>
      <w:r w:rsidR="009A04BD">
        <w:t>Appendix 6</w:t>
      </w:r>
      <w:r w:rsidR="005E607C">
        <w:t xml:space="preserve"> Figures 28-51, </w:t>
      </w:r>
      <w:r w:rsidR="00275147" w:rsidRPr="00734942">
        <w:t xml:space="preserve">Supplementary </w:t>
      </w:r>
      <w:r w:rsidR="009B5275">
        <w:t>Table</w:t>
      </w:r>
      <w:r w:rsidR="00443230">
        <w:t xml:space="preserve"> </w:t>
      </w:r>
      <w:r w:rsidR="0019459F">
        <w:t>S</w:t>
      </w:r>
      <w:r w:rsidR="00443230">
        <w:t>2</w:t>
      </w:r>
      <w:r w:rsidR="009B5275">
        <w:t xml:space="preserve"> and </w:t>
      </w:r>
      <w:r w:rsidR="001656E6" w:rsidRPr="00734942">
        <w:t xml:space="preserve">Supplementary </w:t>
      </w:r>
      <w:r w:rsidR="009B5275">
        <w:t xml:space="preserve">Figure </w:t>
      </w:r>
      <w:r w:rsidR="0019459F">
        <w:t>S</w:t>
      </w:r>
      <w:r w:rsidR="009B5275">
        <w:t>1</w:t>
      </w:r>
      <w:r w:rsidRPr="00734942">
        <w:t>). Estimates of sensitivity were particularly variable, often ranging from 0% to almost 100%, due to very small numbers of CD patients for some indicators.</w:t>
      </w:r>
    </w:p>
    <w:p w14:paraId="3801CE79" w14:textId="4A400755" w:rsidR="008744E7" w:rsidRPr="00734942" w:rsidRDefault="008744E7" w:rsidP="008744E7">
      <w:pPr>
        <w:spacing w:line="240" w:lineRule="auto"/>
      </w:pPr>
      <w:r w:rsidRPr="00734942">
        <w:t xml:space="preserve">The PPVs for the symptoms included in this review are similar to the baseline CD prevalence, with 95% CIs providing no evidence that the presence of any of these symptoms increases the chance that an individual has CD </w:t>
      </w:r>
      <w:r w:rsidR="00C05941">
        <w:t>beyond the levels found in the gener</w:t>
      </w:r>
      <w:r w:rsidR="00B42719">
        <w:t>a</w:t>
      </w:r>
      <w:r w:rsidR="00C05941">
        <w:t>l pop</w:t>
      </w:r>
      <w:r w:rsidR="007D577F">
        <w:t>ulation</w:t>
      </w:r>
      <w:r w:rsidRPr="00734942">
        <w:t xml:space="preserve"> (</w:t>
      </w:r>
      <w:r w:rsidR="00A02FC7">
        <w:fldChar w:fldCharType="begin"/>
      </w:r>
      <w:r w:rsidR="00A02FC7">
        <w:instrText xml:space="preserve"> REF _Ref95315853 \h </w:instrText>
      </w:r>
      <w:r w:rsidR="00A02FC7">
        <w:fldChar w:fldCharType="separate"/>
      </w:r>
      <w:r w:rsidR="00A02FC7" w:rsidRPr="00734942">
        <w:t xml:space="preserve">Figure </w:t>
      </w:r>
      <w:r w:rsidR="00A02FC7">
        <w:rPr>
          <w:noProof/>
        </w:rPr>
        <w:t>1</w:t>
      </w:r>
      <w:r w:rsidR="00A02FC7">
        <w:fldChar w:fldCharType="end"/>
      </w:r>
      <w:r w:rsidRPr="00734942">
        <w:t>).</w:t>
      </w:r>
    </w:p>
    <w:p w14:paraId="385AD64B" w14:textId="609453E5" w:rsidR="008744E7" w:rsidRPr="00734942" w:rsidRDefault="00936412" w:rsidP="008744E7">
      <w:pPr>
        <w:spacing w:line="240" w:lineRule="auto"/>
      </w:pPr>
      <w:r w:rsidRPr="00734942">
        <w:t xml:space="preserve">Supplementary </w:t>
      </w:r>
      <w:r w:rsidR="00B7019F">
        <w:t>Figure S1</w:t>
      </w:r>
      <w:r w:rsidR="008744E7" w:rsidRPr="00734942">
        <w:t xml:space="preserve"> shows meta-analysis results in ROC space. A diagnostic indicator with a summary ROC curve closely following the diagonal line is no better at predicting CD than a coin toss, which is approximately the case for all symptoms.</w:t>
      </w:r>
    </w:p>
    <w:p w14:paraId="0FDBC906" w14:textId="0CE8A1D6" w:rsidR="008744E7" w:rsidRPr="00734942" w:rsidRDefault="008744E7" w:rsidP="008744E7">
      <w:pPr>
        <w:spacing w:line="240" w:lineRule="auto"/>
      </w:pPr>
      <w:r w:rsidRPr="00734942">
        <w:t>Amongst risk conditions, dermatitis herpetiformis had the highest estimated sensitivity, specificity, and PPV (estimated PPV at 1% prevalence of CD = 29%, 95% CIs 3 to 72%). However, the uncertainty around these estimates was substantial, i.e. 95% CIs were very wide. In addition, dermatitis herpetiformis is a rare condition, so it will only be a clinically useful diagnostic indicator in a minority of cases. We estimated PPVs above 2% for migraine, anaemia, type 1 diabetes, osteoporosis, and chronic liver disease. These estimates were relatively precise for anaemia, type 1 diabetes, osteoporosis, and chronic liver disease but there was considerable uncertainty for migraine. People with thyroid disease, subfertility or recurrent pregnancy loss, or irritable bowel syndrome were 1.5-2 times more likely to have CD than the general population with 95% CIs lying entirely above the population prevalence of 1%. Although the estimated PPVs of psoriasis, epilepsy, inflammatory bowel disease, systematic lupus erythematosus, fracture, arthritis, and type 2 diabetes suggest an increased likelihood of CD in people with these conditions, there was considerable uncertainty in these estimates. The 95% CIs crossed or touched the line of population prevalence, indicating that the likelihood of CD may be similar to that in the general population. We found no evidence of an increased likelihood of CD in people with multiple sclerosis (</w:t>
      </w:r>
      <w:r w:rsidR="009F4528">
        <w:fldChar w:fldCharType="begin"/>
      </w:r>
      <w:r w:rsidR="009F4528">
        <w:instrText xml:space="preserve"> REF _Ref95315853 \h </w:instrText>
      </w:r>
      <w:r w:rsidR="009F4528">
        <w:fldChar w:fldCharType="separate"/>
      </w:r>
      <w:r w:rsidR="008B5583" w:rsidRPr="00734942">
        <w:t xml:space="preserve">Figure </w:t>
      </w:r>
      <w:r w:rsidR="008B5583">
        <w:rPr>
          <w:noProof/>
        </w:rPr>
        <w:t>1</w:t>
      </w:r>
      <w:r w:rsidR="009F4528">
        <w:fldChar w:fldCharType="end"/>
      </w:r>
      <w:r w:rsidRPr="00734942">
        <w:t>).</w:t>
      </w:r>
    </w:p>
    <w:p w14:paraId="7DBBB37B" w14:textId="6F7A620B" w:rsidR="008744E7" w:rsidRPr="00734942" w:rsidRDefault="008744E7" w:rsidP="008744E7">
      <w:pPr>
        <w:spacing w:line="240" w:lineRule="auto"/>
      </w:pPr>
      <w:r w:rsidRPr="00734942">
        <w:t>Similarly, arthritis, fracture, and type 2 diabetes appear to have no diagnostic ability when judging sensitivity and specificity in ROC space (</w:t>
      </w:r>
      <w:r w:rsidR="00936412" w:rsidRPr="00734942">
        <w:t xml:space="preserve">Supplementary </w:t>
      </w:r>
      <w:r w:rsidR="00B7019F">
        <w:t>Figure S1</w:t>
      </w:r>
      <w:r w:rsidRPr="00734942">
        <w:t xml:space="preserve">). For multiple sclerosis, systemic lupus erythematosus, psoriasis, and inflammatory bowel disease there was not enough evidence to estimate a reliable summary ROC curve. For chronic liver diseases, epilepsy, migraine, irritable bowel </w:t>
      </w:r>
      <w:r w:rsidRPr="00734942">
        <w:lastRenderedPageBreak/>
        <w:t>syndrome, and dermatitis herpetiformis there was substantial uncertainty in summary estimates due to high variation between the study estimates. The summary ROC plots for type 1 diabetes, anaemia, subfertility or recurrent pregnancy loss, thyroid disease, and osteoporosis suggest a higher accuracy in predicting a CD diagnosis than a coin toss.</w:t>
      </w:r>
    </w:p>
    <w:p w14:paraId="24E180C1" w14:textId="5DAE183E" w:rsidR="008744E7" w:rsidRDefault="008744E7" w:rsidP="008744E7">
      <w:pPr>
        <w:spacing w:line="240" w:lineRule="auto"/>
      </w:pPr>
      <w:r w:rsidRPr="00734942">
        <w:t>People with a family history of CD were 2.7 (1.2 to 3.0%)</w:t>
      </w:r>
      <w:r w:rsidR="00AE4ECE">
        <w:t xml:space="preserve"> </w:t>
      </w:r>
      <w:r w:rsidRPr="00734942">
        <w:t>more likely to have CD than the general population.</w:t>
      </w:r>
    </w:p>
    <w:p w14:paraId="2895221A" w14:textId="77577FCC" w:rsidR="003D70C0" w:rsidRPr="00734942" w:rsidRDefault="003D70C0" w:rsidP="003D70C0">
      <w:pPr>
        <w:pStyle w:val="Heading3"/>
      </w:pPr>
      <w:bookmarkStart w:id="112" w:name="_Toc99539837"/>
      <w:r w:rsidRPr="00734942">
        <w:t>Subgroup and sensitivity analyses</w:t>
      </w:r>
      <w:bookmarkEnd w:id="112"/>
    </w:p>
    <w:p w14:paraId="7C4A0A12" w14:textId="57D618F7" w:rsidR="003D70C0" w:rsidRPr="00734942" w:rsidRDefault="003D70C0" w:rsidP="003D70C0">
      <w:pPr>
        <w:spacing w:line="240" w:lineRule="auto"/>
      </w:pPr>
      <w:r w:rsidRPr="00734942">
        <w:t>There were sufficient data on five diagnostic indicators to stratify the meta-analyses by age group (</w:t>
      </w:r>
      <w:r w:rsidR="00971F39">
        <w:t xml:space="preserve">Appendix 7 </w:t>
      </w:r>
      <w:r w:rsidR="006F1F37">
        <w:fldChar w:fldCharType="begin"/>
      </w:r>
      <w:r w:rsidR="006F1F37">
        <w:instrText xml:space="preserve"> REF _Ref87370002 \h </w:instrText>
      </w:r>
      <w:r w:rsidR="006F1F37">
        <w:fldChar w:fldCharType="separate"/>
      </w:r>
      <w:r w:rsidR="008B5583">
        <w:t xml:space="preserve">Figure </w:t>
      </w:r>
      <w:r w:rsidR="008B5583">
        <w:rPr>
          <w:noProof/>
        </w:rPr>
        <w:t>52</w:t>
      </w:r>
      <w:r w:rsidR="006F1F37">
        <w:fldChar w:fldCharType="end"/>
      </w:r>
      <w:r w:rsidRPr="00734942">
        <w:t xml:space="preserve">, </w:t>
      </w:r>
      <w:r w:rsidR="00085867" w:rsidRPr="00734942">
        <w:t xml:space="preserve">Supplementary </w:t>
      </w:r>
      <w:r w:rsidR="00076BA9">
        <w:t xml:space="preserve">Table </w:t>
      </w:r>
      <w:r w:rsidR="009E245F">
        <w:t>S</w:t>
      </w:r>
      <w:r w:rsidR="00076BA9">
        <w:t>3</w:t>
      </w:r>
      <w:r w:rsidRPr="00734942">
        <w:t>). Estimated PPVs were similarly low and around 1% for abdominal pain, arthritis, constipation, and diarrhoea for adults and children. The results suggest that arthritis may be more predictive of CD in children than in adults, and abdominal pain and constipation may be more predictive for CD in adults that in children. The PPV of type 1 diabetes appeared higher for adults, estimated at 3.4% (95% CIs 1.9 to 5.6%), compared to children or mixed populations, at 1.8% (1.4 to 2.3%) and 2.1% (1.6 to 2.9%). However, each of these differences should be interpreted with caution since CIs overlap.</w:t>
      </w:r>
    </w:p>
    <w:p w14:paraId="3F715172" w14:textId="73D68DAE" w:rsidR="003D70C0" w:rsidRPr="00734942" w:rsidRDefault="003D70C0" w:rsidP="003D70C0">
      <w:pPr>
        <w:spacing w:line="240" w:lineRule="auto"/>
      </w:pPr>
      <w:r w:rsidRPr="00734942">
        <w:t>There were sufficient data on seven diagnostic indicators to stratify the analysis on CD diagnosis, comparing studies that used a serology-only approach and studies that included a conformation duodenal biopsy (</w:t>
      </w:r>
      <w:r w:rsidR="00971F39">
        <w:t xml:space="preserve">Appendix 7 </w:t>
      </w:r>
      <w:r w:rsidR="006F1F37">
        <w:fldChar w:fldCharType="begin"/>
      </w:r>
      <w:r w:rsidR="006F1F37">
        <w:instrText xml:space="preserve"> REF _Ref87370002 \h </w:instrText>
      </w:r>
      <w:r w:rsidR="006F1F37">
        <w:fldChar w:fldCharType="separate"/>
      </w:r>
      <w:r w:rsidR="008B5583">
        <w:t xml:space="preserve">Figure </w:t>
      </w:r>
      <w:r w:rsidR="008B5583">
        <w:rPr>
          <w:noProof/>
        </w:rPr>
        <w:t>52</w:t>
      </w:r>
      <w:r w:rsidR="006F1F37">
        <w:fldChar w:fldCharType="end"/>
      </w:r>
      <w:r w:rsidRPr="00734942">
        <w:t xml:space="preserve">, </w:t>
      </w:r>
      <w:r w:rsidR="007D4D9D" w:rsidRPr="00734942">
        <w:t xml:space="preserve">Supplementary </w:t>
      </w:r>
      <w:r w:rsidR="0021774E">
        <w:t xml:space="preserve">Table </w:t>
      </w:r>
      <w:r w:rsidR="009E245F">
        <w:t>S</w:t>
      </w:r>
      <w:r w:rsidR="0021774E">
        <w:t>3</w:t>
      </w:r>
      <w:r w:rsidRPr="00734942">
        <w:t>). Estimated PPVs were similar between the subgroups.</w:t>
      </w:r>
    </w:p>
    <w:p w14:paraId="794E5475" w14:textId="5A7E2141" w:rsidR="003D70C0" w:rsidRPr="00734942" w:rsidRDefault="003D70C0" w:rsidP="003D70C0">
      <w:pPr>
        <w:spacing w:line="240" w:lineRule="auto"/>
      </w:pPr>
      <w:r w:rsidRPr="00734942">
        <w:t>A sensitivity analysis was performed restricting to studies using a cohort or cross-section design for abdominal pain, anaemia, bloating or abdominal distension, constipation, and diarrhoea (</w:t>
      </w:r>
      <w:r w:rsidR="00971F39">
        <w:t xml:space="preserve">Appendix 8 </w:t>
      </w:r>
      <w:r w:rsidR="005858DD">
        <w:fldChar w:fldCharType="begin"/>
      </w:r>
      <w:r w:rsidR="005858DD">
        <w:instrText xml:space="preserve"> REF _Ref87370072 \h </w:instrText>
      </w:r>
      <w:r w:rsidR="005858DD">
        <w:fldChar w:fldCharType="separate"/>
      </w:r>
      <w:r w:rsidR="008B5583">
        <w:t xml:space="preserve">Figure </w:t>
      </w:r>
      <w:r w:rsidR="008B5583">
        <w:rPr>
          <w:noProof/>
        </w:rPr>
        <w:t>53</w:t>
      </w:r>
      <w:r w:rsidR="005858DD">
        <w:fldChar w:fldCharType="end"/>
      </w:r>
      <w:r w:rsidRPr="00734942">
        <w:t xml:space="preserve">, </w:t>
      </w:r>
      <w:r w:rsidR="000E1E6B" w:rsidRPr="00734942">
        <w:t xml:space="preserve">Supplementary </w:t>
      </w:r>
      <w:r w:rsidR="0021774E">
        <w:t xml:space="preserve">Table </w:t>
      </w:r>
      <w:r w:rsidR="009E245F">
        <w:t>S</w:t>
      </w:r>
      <w:r w:rsidR="0021774E">
        <w:t>4</w:t>
      </w:r>
      <w:r w:rsidRPr="00734942">
        <w:t>). Although case-control studies are more prone to bias than cohort studies, removing case control studies did not affect the sensitivity, specificity, or PPV estimates among these diagnostic indicators. It was not possible to perform a sensitivity analysis restricting to studies of low risk of bias, because all included studies were judged at overall high risk of bias.</w:t>
      </w:r>
    </w:p>
    <w:p w14:paraId="3B5AF46E" w14:textId="65CC9991" w:rsidR="003D70C0" w:rsidRPr="00734942" w:rsidRDefault="003D70C0" w:rsidP="00785031">
      <w:pPr>
        <w:spacing w:line="240" w:lineRule="auto"/>
      </w:pPr>
      <w:r w:rsidRPr="00734942">
        <w:t xml:space="preserve">Finally, a </w:t>
      </w:r>
      <w:r w:rsidR="00386BC6" w:rsidRPr="00734942">
        <w:t xml:space="preserve">post hoc </w:t>
      </w:r>
      <w:r w:rsidRPr="00734942">
        <w:t>sensitivity analysis was performed on the diagnostic indicator ‘family history of CD’ restricting to studies that only included first-degree relatives. This increased the estimated PPV from 2.7% (95% CIs 1.2 to 3.9%) to 3.0% (1.6 to 3.7%), although note that CIs overlap.</w:t>
      </w:r>
    </w:p>
    <w:p w14:paraId="6C61A4AE" w14:textId="63BAB477" w:rsidR="00425EB6" w:rsidRDefault="00425EB6" w:rsidP="003D70C0">
      <w:pPr>
        <w:spacing w:line="240" w:lineRule="auto"/>
      </w:pPr>
      <w:r w:rsidRPr="00734942">
        <w:br w:type="page"/>
      </w:r>
    </w:p>
    <w:p w14:paraId="4A86EFC0" w14:textId="77777777" w:rsidR="00B05891" w:rsidRDefault="00B05891" w:rsidP="00B05891">
      <w:pPr>
        <w:spacing w:after="0"/>
        <w:sectPr w:rsidR="00B05891" w:rsidSect="00B05891">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09" w:footer="709" w:gutter="0"/>
          <w:cols w:space="708"/>
          <w:docGrid w:linePitch="360"/>
        </w:sectPr>
      </w:pPr>
    </w:p>
    <w:p w14:paraId="449BC03A" w14:textId="77777777" w:rsidR="00B05891" w:rsidRPr="00734942" w:rsidRDefault="00B05891" w:rsidP="00B05891">
      <w:pPr>
        <w:spacing w:after="0"/>
      </w:pPr>
      <w:r w:rsidRPr="00734942">
        <w:rPr>
          <w:noProof/>
        </w:rPr>
        <w:lastRenderedPageBreak/>
        <w:drawing>
          <wp:inline distT="0" distB="0" distL="0" distR="0" wp14:anchorId="4EBEB214" wp14:editId="04C27B77">
            <wp:extent cx="8506047" cy="4663631"/>
            <wp:effectExtent l="0" t="0" r="0" b="3810"/>
            <wp:docPr id="103" name="Picture 103" descr="A picture containing text, computer,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computer, indoo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19512" cy="4671013"/>
                    </a:xfrm>
                    <a:prstGeom prst="rect">
                      <a:avLst/>
                    </a:prstGeom>
                    <a:noFill/>
                  </pic:spPr>
                </pic:pic>
              </a:graphicData>
            </a:graphic>
          </wp:inline>
        </w:drawing>
      </w:r>
    </w:p>
    <w:p w14:paraId="262A53C1" w14:textId="55F2D606" w:rsidR="00B05891" w:rsidRPr="00734942" w:rsidRDefault="00B05891" w:rsidP="00B05891">
      <w:pPr>
        <w:pStyle w:val="Caption"/>
      </w:pPr>
      <w:bookmarkStart w:id="113" w:name="_Ref95315853"/>
      <w:bookmarkStart w:id="114" w:name="_Toc99720782"/>
      <w:r w:rsidRPr="00734942">
        <w:t xml:space="preserve">Figure </w:t>
      </w:r>
      <w:r>
        <w:fldChar w:fldCharType="begin"/>
      </w:r>
      <w:r>
        <w:instrText>SEQ Figure \* ARABIC</w:instrText>
      </w:r>
      <w:r>
        <w:fldChar w:fldCharType="separate"/>
      </w:r>
      <w:r w:rsidR="008B5583">
        <w:rPr>
          <w:noProof/>
        </w:rPr>
        <w:t>1</w:t>
      </w:r>
      <w:r>
        <w:fldChar w:fldCharType="end"/>
      </w:r>
      <w:bookmarkEnd w:id="113"/>
      <w:r w:rsidRPr="00734942">
        <w:t xml:space="preserve"> Sensitivity, specificity, and positive predictive values</w:t>
      </w:r>
      <w:bookmarkEnd w:id="114"/>
    </w:p>
    <w:p w14:paraId="40DBCF0E" w14:textId="77777777" w:rsidR="00B05891" w:rsidRDefault="00B05891" w:rsidP="00B05891">
      <w:pPr>
        <w:spacing w:line="240" w:lineRule="auto"/>
      </w:pPr>
      <w:r w:rsidRPr="00785031">
        <w:rPr>
          <w:sz w:val="20"/>
          <w:szCs w:val="20"/>
        </w:rPr>
        <w:t>Meta-analysis results are shown per diagnostic indicator. Positive predictive values (PPVs) were calculated for a population with a CD prevalence of 1% (red dotted line) using the estimated sensitivities and specificities from the meta-analyses. Diagnostic indicators are ordered from high to low PPV per diagnostic indicator group. The area of the box size is proportional to the total number of participants.</w:t>
      </w:r>
      <w:r w:rsidRPr="00785031">
        <w:rPr>
          <w:sz w:val="24"/>
          <w:szCs w:val="24"/>
        </w:rPr>
        <w:t xml:space="preserve"> </w:t>
      </w:r>
      <w:r w:rsidRPr="00785031">
        <w:rPr>
          <w:sz w:val="20"/>
          <w:szCs w:val="20"/>
        </w:rPr>
        <w:t>NPVs are not shown because these diagnostic indicators should not be used to rule out CD.</w:t>
      </w:r>
    </w:p>
    <w:p w14:paraId="4BA331EA" w14:textId="77777777" w:rsidR="00B05891" w:rsidRPr="00734942" w:rsidRDefault="00B05891" w:rsidP="00B05891">
      <w:pPr>
        <w:spacing w:line="240" w:lineRule="auto"/>
        <w:sectPr w:rsidR="00B05891" w:rsidRPr="00734942" w:rsidSect="00B05891">
          <w:pgSz w:w="16838" w:h="11906" w:orient="landscape"/>
          <w:pgMar w:top="1440" w:right="1440" w:bottom="1440" w:left="1440" w:header="709" w:footer="709" w:gutter="0"/>
          <w:cols w:space="708"/>
          <w:docGrid w:linePitch="360"/>
        </w:sectPr>
      </w:pPr>
    </w:p>
    <w:p w14:paraId="75D7988B" w14:textId="77777777" w:rsidR="00B05891" w:rsidRPr="00734942" w:rsidRDefault="00B05891" w:rsidP="003D70C0">
      <w:pPr>
        <w:spacing w:line="240" w:lineRule="auto"/>
      </w:pPr>
    </w:p>
    <w:p w14:paraId="2D93C25A" w14:textId="1776B7A5" w:rsidR="002C56DC" w:rsidRPr="00734942" w:rsidRDefault="002C56DC" w:rsidP="006E7A8E">
      <w:pPr>
        <w:pStyle w:val="Heading1"/>
      </w:pPr>
      <w:bookmarkStart w:id="115" w:name="_Toc99539838"/>
      <w:r w:rsidRPr="00734942">
        <w:t>Ch</w:t>
      </w:r>
      <w:r w:rsidR="00354826" w:rsidRPr="00734942">
        <w:t xml:space="preserve">apter </w:t>
      </w:r>
      <w:r w:rsidR="0056595B" w:rsidRPr="00734942">
        <w:t>4</w:t>
      </w:r>
      <w:r w:rsidRPr="00734942">
        <w:t xml:space="preserve">: </w:t>
      </w:r>
      <w:r w:rsidR="0048247C" w:rsidRPr="00734942">
        <w:t>Prediction rule for coeliac disease diagnosis</w:t>
      </w:r>
      <w:bookmarkEnd w:id="115"/>
    </w:p>
    <w:p w14:paraId="2FD7762F" w14:textId="2C9643E3" w:rsidR="00742595" w:rsidRPr="00734942" w:rsidRDefault="00742595" w:rsidP="00742595">
      <w:r w:rsidRPr="00734942">
        <w:t xml:space="preserve">This chapter describes the development and internal validation of diagnostic prediction models for men, women, and children in a routinely collected primary care dataset to estimate the probability of having CD. </w:t>
      </w:r>
      <w:r w:rsidR="00541948">
        <w:t>We also</w:t>
      </w:r>
      <w:r w:rsidRPr="00734942">
        <w:t xml:space="preserve"> describe the development of a model for children in a birth cohort</w:t>
      </w:r>
      <w:r w:rsidR="00541948">
        <w:t>,</w:t>
      </w:r>
      <w:r w:rsidRPr="00734942">
        <w:t xml:space="preserve"> with external validation in the primary care dataset. The aim of each prediction model is to help clinicians in primary care decide whether a patient should be offered a serological test for CD based on their pre-existing conditions and current/recent symptoms. To demonstrate the </w:t>
      </w:r>
      <w:r w:rsidR="004D70C4" w:rsidRPr="00734942">
        <w:t xml:space="preserve">potential </w:t>
      </w:r>
      <w:r w:rsidRPr="00734942">
        <w:t>clinical usefulness of each model, we present the positive predictive values and percentage of CD patients missed at different thresholds.</w:t>
      </w:r>
    </w:p>
    <w:p w14:paraId="6FDEE0E1" w14:textId="6A1BA1C0" w:rsidR="00A220F8" w:rsidRPr="00734942" w:rsidRDefault="00354826" w:rsidP="00A220F8">
      <w:pPr>
        <w:pStyle w:val="Heading2"/>
      </w:pPr>
      <w:bookmarkStart w:id="116" w:name="_Toc99539839"/>
      <w:r w:rsidRPr="00734942">
        <w:t xml:space="preserve">Prediction modelling </w:t>
      </w:r>
      <w:r w:rsidR="00842DF4" w:rsidRPr="00734942">
        <w:t>methods</w:t>
      </w:r>
      <w:bookmarkEnd w:id="116"/>
    </w:p>
    <w:p w14:paraId="2AE1C706" w14:textId="77777777" w:rsidR="00DF5EDB" w:rsidRPr="00734942" w:rsidRDefault="00DF5EDB" w:rsidP="00583860">
      <w:pPr>
        <w:pStyle w:val="Heading3"/>
      </w:pPr>
      <w:bookmarkStart w:id="117" w:name="_Toc99539840"/>
      <w:r w:rsidRPr="00734942">
        <w:t>Protocol</w:t>
      </w:r>
      <w:bookmarkEnd w:id="117"/>
    </w:p>
    <w:p w14:paraId="329CEF12" w14:textId="464C5083" w:rsidR="00DF5EDB" w:rsidRPr="00734942" w:rsidRDefault="00DF5EDB" w:rsidP="00DF5EDB">
      <w:r w:rsidRPr="00734942">
        <w:t>An analysis protocol was developed and published online</w:t>
      </w:r>
      <w:r w:rsidR="002E48C0" w:rsidRPr="00734942">
        <w:t>.</w:t>
      </w:r>
      <w:r w:rsidR="00A264C1" w:rsidRPr="00734942">
        <w:fldChar w:fldCharType="begin"/>
      </w:r>
      <w:r w:rsidR="00735CC0">
        <w:instrText xml:space="preserve"> ADDIN EN.CITE &lt;EndNote&gt;&lt;Cite&gt;&lt;Author&gt;MMC Elwenspoek&lt;/Author&gt;&lt;Year&gt;2021&lt;/Year&gt;&lt;RecNum&gt;449&lt;/RecNum&gt;&lt;DisplayText&gt;&lt;style face="superscript"&gt;45&lt;/style&gt;&lt;/DisplayText&gt;&lt;record&gt;&lt;rec-number&gt;449&lt;/rec-number&gt;&lt;foreign-keys&gt;&lt;key app="EN" db-id="tdwrx9xd1z9eepeevr355w2k959rv0f5zaax" timestamp="1636542650"&gt;449&lt;/key&gt;&lt;/foreign-keys&gt;&lt;ref-type name="Journal Article"&gt;17&lt;/ref-type&gt;&lt;contributors&gt;&lt;authors&gt;&lt;author&gt;MMC Elwenspoek,&lt;/author&gt;&lt;author&gt;Hayley E Jones,&lt;/author&gt;&lt;author&gt;H Thom,&lt;/author&gt;&lt;author&gt;Jessica C Watson,&lt;/author&gt;&lt;author&gt;Alastair D Hay,&lt;/author&gt;&lt;author&gt;Hazel Everitt,&lt;/author&gt;&lt;author&gt;Peter Gillett,&lt;/author&gt;&lt;author&gt;Gerry Robins,&lt;/author&gt;&lt;author&gt;Deborah Lane,&lt;/author&gt;&lt;author&gt;Jo Stubbs,&lt;/author&gt;&lt;author&gt;Sue Mallett,&lt;/author&gt;&lt;author&gt;Penny Whiting&lt;/author&gt;&lt;/authors&gt;&lt;/contributors&gt;&lt;titles&gt;&lt;title&gt;Prediction model for coeliac disease diagnosis: Statistical Analysis Plan (SAP)&lt;/title&gt;&lt;secondary-title&gt;OSFHome. Available at https://osf.io/q5gyc/ [last accessed 14/10/2021]&lt;/secondary-title&gt;&lt;/titles&gt;&lt;periodical&gt;&lt;full-title&gt;OSFHome. Available at https://osf.io/q5gyc/ [last accessed 14/10/2021]&lt;/full-title&gt;&lt;/periodical&gt;&lt;dates&gt;&lt;year&gt;2021&lt;/year&gt;&lt;/dates&gt;&lt;urls&gt;&lt;/urls&gt;&lt;/record&gt;&lt;/Cite&gt;&lt;/EndNote&gt;</w:instrText>
      </w:r>
      <w:r w:rsidR="00A264C1" w:rsidRPr="00734942">
        <w:fldChar w:fldCharType="separate"/>
      </w:r>
      <w:r w:rsidR="00735CC0" w:rsidRPr="00735CC0">
        <w:rPr>
          <w:noProof/>
          <w:vertAlign w:val="superscript"/>
        </w:rPr>
        <w:t>45</w:t>
      </w:r>
      <w:r w:rsidR="00A264C1" w:rsidRPr="00734942">
        <w:fldChar w:fldCharType="end"/>
      </w:r>
      <w:r w:rsidR="00A264C1" w:rsidRPr="00734942">
        <w:t xml:space="preserve"> </w:t>
      </w:r>
      <w:r w:rsidRPr="00734942">
        <w:t>We followed methodological recommendations from Steyerberg (2019).</w:t>
      </w:r>
      <w:r w:rsidRPr="00734942">
        <w:fldChar w:fldCharType="begin"/>
      </w:r>
      <w:r w:rsidR="00735CC0">
        <w:instrText xml:space="preserve"> ADDIN EN.CITE &lt;EndNote&gt;&lt;Cite&gt;&lt;Author&gt;Steyerberg&lt;/Author&gt;&lt;Year&gt;2019&lt;/Year&gt;&lt;RecNum&gt;1&lt;/RecNum&gt;&lt;DisplayText&gt;&lt;style face="superscript"&gt;46&lt;/style&gt;&lt;/DisplayText&gt;&lt;record&gt;&lt;rec-number&gt;1&lt;/rec-number&gt;&lt;foreign-keys&gt;&lt;key app="EN" db-id="tdwrx9xd1z9eepeevr355w2k959rv0f5zaax" timestamp="1632755960"&gt;1&lt;/key&gt;&lt;/foreign-keys&gt;&lt;ref-type name="Journal Article"&gt;17&lt;/ref-type&gt;&lt;contributors&gt;&lt;authors&gt;&lt;author&gt;Steyerberg, E.W.,&lt;/author&gt;&lt;/authors&gt;&lt;/contributors&gt;&lt;titles&gt;&lt;title&gt;Clinical Prediction Models. A Practical Approach to Development, Validation, and Updating. Second Edition.&lt;/title&gt;&lt;secondary-title&gt;Statistics for Biology and Health&lt;/secondary-title&gt;&lt;/titles&gt;&lt;periodical&gt;&lt;full-title&gt;Statistics for Biology and Health&lt;/full-title&gt;&lt;/periodical&gt;&lt;dates&gt;&lt;year&gt;2019&lt;/year&gt;&lt;/dates&gt;&lt;isbn&gt;2197-5671&lt;/isbn&gt;&lt;urls&gt;&lt;/urls&gt;&lt;electronic-resource-num&gt;10.1007/978-3-030-16399-0&lt;/electronic-resource-num&gt;&lt;/record&gt;&lt;/Cite&gt;&lt;/EndNote&gt;</w:instrText>
      </w:r>
      <w:r w:rsidRPr="00734942">
        <w:fldChar w:fldCharType="separate"/>
      </w:r>
      <w:r w:rsidR="00735CC0" w:rsidRPr="00735CC0">
        <w:rPr>
          <w:noProof/>
          <w:vertAlign w:val="superscript"/>
        </w:rPr>
        <w:t>46</w:t>
      </w:r>
      <w:r w:rsidRPr="00734942">
        <w:fldChar w:fldCharType="end"/>
      </w:r>
      <w:r w:rsidRPr="00734942">
        <w:t xml:space="preserve"> This chapter follows reporting guidelines for multivariable models described in the TRIPOD statement.</w:t>
      </w:r>
      <w:r w:rsidRPr="00734942">
        <w:fldChar w:fldCharType="begin"/>
      </w:r>
      <w:r w:rsidR="00735CC0">
        <w:instrText xml:space="preserve"> ADDIN EN.CITE &lt;EndNote&gt;&lt;Cite&gt;&lt;Author&gt;Collins&lt;/Author&gt;&lt;Year&gt;2015&lt;/Year&gt;&lt;RecNum&gt;2&lt;/RecNum&gt;&lt;DisplayText&gt;&lt;style face="superscript"&gt;47&lt;/style&gt;&lt;/DisplayText&gt;&lt;record&gt;&lt;rec-number&gt;2&lt;/rec-number&gt;&lt;foreign-keys&gt;&lt;key app="EN" db-id="tdwrx9xd1z9eepeevr355w2k959rv0f5zaax" timestamp="1632755960"&gt;2&lt;/key&gt;&lt;/foreign-keys&gt;&lt;ref-type name="Journal Article"&gt;17&lt;/ref-type&gt;&lt;contributors&gt;&lt;authors&gt;&lt;author&gt;Collins, G. S.&lt;/author&gt;&lt;author&gt;Reitsma, J. B.&lt;/author&gt;&lt;author&gt;Altman, D. G.&lt;/author&gt;&lt;author&gt;Moons, K. G.&lt;/author&gt;&lt;/authors&gt;&lt;/contributors&gt;&lt;titles&gt;&lt;title&gt;Transparent Reporting of a multivariable prediction model for Individual Prognosis Or Diagnosis (TRIPOD)&lt;/title&gt;&lt;secondary-title&gt;Ann Intern Med&lt;/secondary-title&gt;&lt;/titles&gt;&lt;periodical&gt;&lt;full-title&gt;Ann Intern Med&lt;/full-title&gt;&lt;/periodical&gt;&lt;pages&gt;735-6&lt;/pages&gt;&lt;volume&gt;162&lt;/volume&gt;&lt;number&gt;10&lt;/number&gt;&lt;edition&gt;2015/05/20&lt;/edition&gt;&lt;keywords&gt;&lt;keyword&gt;*Decision Support Techniques&lt;/keyword&gt;&lt;keyword&gt;*Diagnosis&lt;/keyword&gt;&lt;keyword&gt;Humans&lt;/keyword&gt;&lt;keyword&gt;*Models, Statistical&lt;/keyword&gt;&lt;keyword&gt;*Prognosis&lt;/keyword&gt;&lt;/keywords&gt;&lt;dates&gt;&lt;year&gt;2015&lt;/year&gt;&lt;pub-dates&gt;&lt;date&gt;May 19&lt;/date&gt;&lt;/pub-dates&gt;&lt;/dates&gt;&lt;isbn&gt;1539-3704 (Electronic)&amp;#xD;0003-4819 (Linking)&lt;/isbn&gt;&lt;accession-num&gt;25984857&lt;/accession-num&gt;&lt;urls&gt;&lt;related-urls&gt;&lt;url&gt;https://www.ncbi.nlm.nih.gov/pubmed/25984857&lt;/url&gt;&lt;/related-urls&gt;&lt;/urls&gt;&lt;electronic-resource-num&gt;10.7326/L15-5093-2&lt;/electronic-resource-num&gt;&lt;/record&gt;&lt;/Cite&gt;&lt;/EndNote&gt;</w:instrText>
      </w:r>
      <w:r w:rsidRPr="00734942">
        <w:fldChar w:fldCharType="separate"/>
      </w:r>
      <w:r w:rsidR="00735CC0" w:rsidRPr="00735CC0">
        <w:rPr>
          <w:noProof/>
          <w:vertAlign w:val="superscript"/>
        </w:rPr>
        <w:t>47</w:t>
      </w:r>
      <w:r w:rsidRPr="00734942">
        <w:fldChar w:fldCharType="end"/>
      </w:r>
    </w:p>
    <w:p w14:paraId="498C60BA" w14:textId="77777777" w:rsidR="00DF5EDB" w:rsidRPr="00734942" w:rsidRDefault="00DF5EDB" w:rsidP="00583860">
      <w:pPr>
        <w:pStyle w:val="Heading3"/>
      </w:pPr>
      <w:bookmarkStart w:id="118" w:name="_Toc99539841"/>
      <w:r w:rsidRPr="00734942">
        <w:t>Model development</w:t>
      </w:r>
      <w:bookmarkEnd w:id="118"/>
    </w:p>
    <w:p w14:paraId="29679B95" w14:textId="77777777" w:rsidR="00DF5EDB" w:rsidRPr="00734942" w:rsidRDefault="00DF5EDB" w:rsidP="00583860">
      <w:pPr>
        <w:pStyle w:val="Heading4"/>
      </w:pPr>
      <w:r w:rsidRPr="00734942">
        <w:t>Sources of data</w:t>
      </w:r>
    </w:p>
    <w:p w14:paraId="06C87F12" w14:textId="268809A2" w:rsidR="00DF5EDB" w:rsidRPr="00734942" w:rsidRDefault="00DF5EDB" w:rsidP="00A6506F">
      <w:r w:rsidRPr="00734942">
        <w:t>Model development was performed in Clinical Practice Research Datalink (CPRD) Gold.</w:t>
      </w:r>
      <w:r w:rsidRPr="00734942">
        <w:fldChar w:fldCharType="begin">
          <w:fldData xml:space="preserve">PEVuZE5vdGU+PENpdGU+PEF1dGhvcj5IZXJyZXR0PC9BdXRob3I+PFllYXI+MjAxNTwvWWVhcj48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</w:fldData>
        </w:fldChar>
      </w:r>
      <w:r w:rsidR="00735CC0">
        <w:instrText xml:space="preserve"> ADDIN EN.CITE </w:instrText>
      </w:r>
      <w:r w:rsidR="00735CC0">
        <w:fldChar w:fldCharType="begin">
          <w:fldData xml:space="preserve">PEVuZE5vdGU+PENpdGU+PEF1dGhvcj5IZXJyZXR0PC9BdXRob3I+PFllYXI+MjAxNTwvWWVhcj48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48</w:t>
      </w:r>
      <w:r w:rsidRPr="00734942">
        <w:fldChar w:fldCharType="end"/>
      </w:r>
      <w:r w:rsidRPr="00734942">
        <w:t xml:space="preserve"> CPRD Gold contains anonymised patient electronic health records collected from UK GP practices using the Vision® software system, with currently over 20 million </w:t>
      </w:r>
      <w:r w:rsidR="00FF039B">
        <w:t>‘</w:t>
      </w:r>
      <w:r w:rsidRPr="00734942">
        <w:t>acceptable</w:t>
      </w:r>
      <w:r w:rsidR="00FF039B">
        <w:t>’</w:t>
      </w:r>
      <w:r w:rsidRPr="00734942">
        <w:t xml:space="preserve"> patients </w:t>
      </w:r>
      <w:r w:rsidR="00A6506F">
        <w:t xml:space="preserve">(with research quality data based on CPRD metrics) </w:t>
      </w:r>
      <w:r w:rsidRPr="00734942">
        <w:t>of which 9 million are eligible for linkage with hospital records and national statistics</w:t>
      </w:r>
      <w:r w:rsidR="00FA40C8" w:rsidRPr="00734942">
        <w:t>.</w:t>
      </w:r>
      <w:r w:rsidR="00FA40C8" w:rsidRPr="00734942">
        <w:fldChar w:fldCharType="begin">
          <w:fldData xml:space="preserve">PEVuZE5vdGU+PENpdGU+PEF1dGhvcj5DbGluaWNhbCBQcmFjdGljZSBSZXNlYXJjaCBEYXRhbGlu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</w:fldData>
        </w:fldChar>
      </w:r>
      <w:r w:rsidR="00735CC0">
        <w:instrText xml:space="preserve"> ADDIN EN.CITE </w:instrText>
      </w:r>
      <w:r w:rsidR="00735CC0">
        <w:fldChar w:fldCharType="begin">
          <w:fldData xml:space="preserve">PEVuZE5vdGU+PENpdGU+PEF1dGhvcj5DbGluaWNhbCBQcmFjdGljZSBSZXNlYXJjaCBEYXRhbGlu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</w:fldData>
        </w:fldChar>
      </w:r>
      <w:r w:rsidR="00735CC0">
        <w:instrText xml:space="preserve"> ADDIN EN.CITE.DATA </w:instrText>
      </w:r>
      <w:r w:rsidR="00735CC0">
        <w:fldChar w:fldCharType="end"/>
      </w:r>
      <w:r w:rsidR="00FA40C8" w:rsidRPr="00734942">
        <w:fldChar w:fldCharType="separate"/>
      </w:r>
      <w:r w:rsidR="00735CC0" w:rsidRPr="00735CC0">
        <w:rPr>
          <w:noProof/>
          <w:vertAlign w:val="superscript"/>
        </w:rPr>
        <w:t>48, 49</w:t>
      </w:r>
      <w:r w:rsidR="00FA40C8" w:rsidRPr="00734942">
        <w:fldChar w:fldCharType="end"/>
      </w:r>
      <w:r w:rsidR="00FA40C8" w:rsidRPr="00734942">
        <w:t xml:space="preserve"> </w:t>
      </w:r>
      <w:r w:rsidRPr="00734942">
        <w:t>The included patients are broadly representative of the UK general population regarding age, sex, and ethnicity.</w:t>
      </w:r>
      <w:r w:rsidR="00E0048B" w:rsidRPr="00734942">
        <w:t xml:space="preserve"> </w:t>
      </w:r>
      <w:r w:rsidR="00961766" w:rsidRPr="00734942">
        <w:t>The CPRD Gold dataset was</w:t>
      </w:r>
      <w:r w:rsidR="00E0048B" w:rsidRPr="00734942">
        <w:t xml:space="preserve"> linked to </w:t>
      </w:r>
      <w:r w:rsidR="00AE00BA" w:rsidRPr="00734942">
        <w:t>Hospital Epi</w:t>
      </w:r>
      <w:r w:rsidR="00E56101" w:rsidRPr="00734942">
        <w:t>sode Statistics (</w:t>
      </w:r>
      <w:r w:rsidR="00E0048B" w:rsidRPr="00734942">
        <w:t>HES</w:t>
      </w:r>
      <w:r w:rsidR="00E56101" w:rsidRPr="00734942">
        <w:t>)</w:t>
      </w:r>
      <w:r w:rsidR="00E0048B" w:rsidRPr="00734942">
        <w:t xml:space="preserve"> and </w:t>
      </w:r>
      <w:r w:rsidR="00BA19D7" w:rsidRPr="00734942">
        <w:t>English indices of deprivation (</w:t>
      </w:r>
      <w:r w:rsidR="00E0048B" w:rsidRPr="00734942">
        <w:t>IMD2019</w:t>
      </w:r>
      <w:r w:rsidR="00BA19D7" w:rsidRPr="00734942">
        <w:t>)</w:t>
      </w:r>
      <w:r w:rsidR="00E0048B" w:rsidRPr="00734942">
        <w:t>.</w:t>
      </w:r>
    </w:p>
    <w:p w14:paraId="54BF8425" w14:textId="5BA792AE" w:rsidR="00DF5EDB" w:rsidRPr="00734942" w:rsidRDefault="00DF5EDB" w:rsidP="00DF5EDB">
      <w:pPr>
        <w:rPr>
          <w:sz w:val="20"/>
          <w:lang w:eastAsia="en-GB"/>
        </w:rPr>
      </w:pPr>
      <w:r w:rsidRPr="00734942">
        <w:t xml:space="preserve">The target population included permanently registered </w:t>
      </w:r>
      <w:r w:rsidR="001836B2">
        <w:t>‘</w:t>
      </w:r>
      <w:r w:rsidRPr="00734942">
        <w:t>acceptable</w:t>
      </w:r>
      <w:r w:rsidR="001836B2">
        <w:t>’</w:t>
      </w:r>
      <w:r w:rsidRPr="00734942">
        <w:t xml:space="preserve"> patients and only up-to-standard (UTS) follow-up time was considered. UTS</w:t>
      </w:r>
      <w:r w:rsidR="008D7C28">
        <w:t xml:space="preserve"> is a</w:t>
      </w:r>
      <w:r w:rsidRPr="00734942">
        <w:t xml:space="preserve"> </w:t>
      </w:r>
      <w:r w:rsidR="008D7C28" w:rsidRPr="008D7C28">
        <w:t>practice-based quality metric based on the continuity of recording and the number of recorded deaths</w:t>
      </w:r>
      <w:r w:rsidR="00BF59A2">
        <w:t>.</w:t>
      </w:r>
      <w:r w:rsidR="00683DB4">
        <w:fldChar w:fldCharType="begin">
          <w:fldData xml:space="preserve">PEVuZE5vdGU+PENpdGU+PEF1dGhvcj5IZXJyZXR0PC9BdXRob3I+PFllYXI+MjAxNTwvWWVhcj48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</w:fldData>
        </w:fldChar>
      </w:r>
      <w:r w:rsidR="00735CC0">
        <w:instrText xml:space="preserve"> ADDIN EN.CITE </w:instrText>
      </w:r>
      <w:r w:rsidR="00735CC0">
        <w:fldChar w:fldCharType="begin">
          <w:fldData xml:space="preserve">PEVuZE5vdGU+PENpdGU+PEF1dGhvcj5IZXJyZXR0PC9BdXRob3I+PFllYXI+MjAxNTwvWWVhcj48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</w:fldData>
        </w:fldChar>
      </w:r>
      <w:r w:rsidR="00735CC0">
        <w:instrText xml:space="preserve"> ADDIN EN.CITE.DATA </w:instrText>
      </w:r>
      <w:r w:rsidR="00735CC0">
        <w:fldChar w:fldCharType="end"/>
      </w:r>
      <w:r w:rsidR="00683DB4">
        <w:fldChar w:fldCharType="separate"/>
      </w:r>
      <w:r w:rsidR="00735CC0" w:rsidRPr="00735CC0">
        <w:rPr>
          <w:noProof/>
          <w:vertAlign w:val="superscript"/>
        </w:rPr>
        <w:t>48</w:t>
      </w:r>
      <w:r w:rsidR="00683DB4">
        <w:fldChar w:fldCharType="end"/>
      </w:r>
      <w:r w:rsidRPr="00734942">
        <w:t>Patients from GP practices that were UTS for at least 12 months prior to diagnosis were included.</w:t>
      </w:r>
    </w:p>
    <w:p w14:paraId="523D5888" w14:textId="4EF32C62" w:rsidR="00DF5EDB" w:rsidRPr="00734942" w:rsidRDefault="00DF5EDB" w:rsidP="00DF5EDB">
      <w:r w:rsidRPr="00734942">
        <w:t>The follow-up period was defined as the time between the study start and end date, where the study start was the latest of the start of linked data</w:t>
      </w:r>
      <w:r w:rsidR="00961766" w:rsidRPr="00734942">
        <w:t xml:space="preserve"> coverage</w:t>
      </w:r>
      <w:r w:rsidRPr="00734942">
        <w:t>, the date of patient registration with the practice and the UTS date of that practice; the study end was the earliest of the last date for linked data, the date of patient transfer-out from practice, the date of patient’s death (according to CPRD death date) or the last date of data collection from that practice.</w:t>
      </w:r>
    </w:p>
    <w:p w14:paraId="167A3220" w14:textId="77777777" w:rsidR="00DF5EDB" w:rsidRPr="00734942" w:rsidRDefault="00DF5EDB" w:rsidP="00583860">
      <w:pPr>
        <w:pStyle w:val="Heading4"/>
      </w:pPr>
      <w:r w:rsidRPr="00734942">
        <w:t>Study design</w:t>
      </w:r>
    </w:p>
    <w:p w14:paraId="68E1AB7F" w14:textId="17A512BE" w:rsidR="00DF5EDB" w:rsidRPr="00734942" w:rsidRDefault="00DF5EDB" w:rsidP="00DF5EDB">
      <w:r w:rsidRPr="00734942">
        <w:t>We used a nested case-control design. Cases were defined as individuals with one or more clinical codes related to CD.</w:t>
      </w:r>
      <w:r w:rsidRPr="00734942">
        <w:fldChar w:fldCharType="begin">
          <w:fldData xml:space="preserve">PEVuZE5vdGU+PENpdGU+PEF1dGhvcj5XZXN0PC9BdXRob3I+PFllYXI+MjAxNDwvWWVhcj48UmVj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</w:fldData>
        </w:fldChar>
      </w:r>
      <w:r w:rsidR="00160C21">
        <w:instrText xml:space="preserve"> ADDIN EN.CITE </w:instrText>
      </w:r>
      <w:r w:rsidR="00160C21">
        <w:fldChar w:fldCharType="begin">
          <w:fldData xml:space="preserve">PEVuZE5vdGU+PENpdGU+PEF1dGhvcj5XZXN0PC9BdXRob3I+PFllYXI+MjAxNDwvWWVhcj48UmVj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</w:fldData>
        </w:fldChar>
      </w:r>
      <w:r w:rsidR="00160C21">
        <w:instrText xml:space="preserve"> ADDIN EN.CITE.DATA </w:instrText>
      </w:r>
      <w:r w:rsidR="00160C21">
        <w:fldChar w:fldCharType="end"/>
      </w:r>
      <w:r w:rsidRPr="00734942">
        <w:fldChar w:fldCharType="separate"/>
      </w:r>
      <w:r w:rsidR="00160C21" w:rsidRPr="00160C21">
        <w:rPr>
          <w:noProof/>
          <w:vertAlign w:val="superscript"/>
        </w:rPr>
        <w:t>4</w:t>
      </w:r>
      <w:r w:rsidRPr="00734942">
        <w:fldChar w:fldCharType="end"/>
      </w:r>
      <w:r w:rsidRPr="00734942">
        <w:t xml:space="preserve"> </w:t>
      </w:r>
      <w:r w:rsidR="004A1B43">
        <w:t>Supplementary Table S5</w:t>
      </w:r>
      <w:r w:rsidR="00620447" w:rsidRPr="00734942">
        <w:t xml:space="preserve"> </w:t>
      </w:r>
      <w:r w:rsidRPr="00734942">
        <w:t>shows the Read Codes and MedCodes used to identify patients with CD in CPRD Gold. Read Codes are a coded thesaurus of clinical terms, which have been used in the NHS since 1985. MedCodes are specific to CPRD Gold. Cases with a diagnosis for dermatitis herpetiformis were included, but not with dermatitis herpetiformis alone. We assigned a date of diagnosis (the ‘index date’) to each case corresponding to the date of their first record of CD. For cases with more than one CD code, the earliest was considered as the date of disease diagnosis. All CD cases within the target population were included.</w:t>
      </w:r>
    </w:p>
    <w:p w14:paraId="347D17FB" w14:textId="254A3D59" w:rsidR="00DF5EDB" w:rsidRPr="00734942" w:rsidRDefault="00DF5EDB" w:rsidP="00DF5EDB">
      <w:r w:rsidRPr="00734942">
        <w:lastRenderedPageBreak/>
        <w:t xml:space="preserve">All remaining patients </w:t>
      </w:r>
      <w:r w:rsidR="00642D85">
        <w:t>in</w:t>
      </w:r>
      <w:r w:rsidRPr="00734942">
        <w:t xml:space="preserve"> the target population (individuals without any of the CD codes) were selected as potential controls. From these, we excluded patients with a record of gluten-free prescriptions, dermatitis herpetiformis, or gluten sensitivity diagnosis to reduce the risk of including undiagnosed CD patients in the control group.</w:t>
      </w:r>
      <w:r w:rsidRPr="00734942">
        <w:fldChar w:fldCharType="begin">
          <w:fldData xml:space="preserve">PEVuZE5vdGU+PENpdGU+PEF1dGhvcj5XZXN0PC9BdXRob3I+PFllYXI+MjAxNDwvWWVhcj48UmVj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==
</w:fldData>
        </w:fldChar>
      </w:r>
      <w:r w:rsidR="00735CC0">
        <w:instrText xml:space="preserve"> ADDIN EN.CITE </w:instrText>
      </w:r>
      <w:r w:rsidR="00735CC0">
        <w:fldChar w:fldCharType="begin">
          <w:fldData xml:space="preserve">PEVuZE5vdGU+PENpdGU+PEF1dGhvcj5XZXN0PC9BdXRob3I+PFllYXI+MjAxNDwvWWVhcj48UmVj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==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4, 50, 51</w:t>
      </w:r>
      <w:r w:rsidRPr="00734942">
        <w:fldChar w:fldCharType="end"/>
      </w:r>
    </w:p>
    <w:p w14:paraId="3E0DC0CA" w14:textId="77777777" w:rsidR="00DF5EDB" w:rsidRPr="00734942" w:rsidRDefault="00DF5EDB" w:rsidP="00DF5EDB">
      <w:r w:rsidRPr="00734942">
        <w:t>Cases and controls were matched using a 1:4 ratio on age group (age&lt;18 and ≥18), GP practice, and availability of linkages. Controls inherited the index date of their matched case and only follow-up time between the case’s start and end dates was considered. We matched by age group (adult vs child) to ensure there were sufficient child controls to allow an efficient study design.</w:t>
      </w:r>
    </w:p>
    <w:p w14:paraId="30A9DF99" w14:textId="77777777" w:rsidR="00DF5EDB" w:rsidRPr="00734942" w:rsidRDefault="00DF5EDB" w:rsidP="00DF5EDB">
      <w:r w:rsidRPr="00734942">
        <w:t>The dataset was split into separate datasets for children, women, and men to develop three separate diagnostic prediction models. The next steps describing model development were performed separately for each dataset.</w:t>
      </w:r>
    </w:p>
    <w:p w14:paraId="7FF3BEBB" w14:textId="77777777" w:rsidR="00DF5EDB" w:rsidRPr="00734942" w:rsidRDefault="00DF5EDB" w:rsidP="00DF5EDB">
      <w:r w:rsidRPr="00734942">
        <w:t>We performed descriptive analyses of all variables and tested the statistical difference between cases and controls using the Welch Two Sample t-test for continuous and Pearson's Chi-squared test with Yates' continuity correction for categorical variables.</w:t>
      </w:r>
    </w:p>
    <w:p w14:paraId="15F6C2FC" w14:textId="3718B421" w:rsidR="006139D3" w:rsidRPr="00734942" w:rsidRDefault="006139D3" w:rsidP="006139D3">
      <w:pPr>
        <w:pStyle w:val="Heading4"/>
      </w:pPr>
      <w:r w:rsidRPr="00734942">
        <w:t>Sample size</w:t>
      </w:r>
    </w:p>
    <w:p w14:paraId="1EE9F782" w14:textId="72A7E4EA" w:rsidR="006139D3" w:rsidRPr="00734942" w:rsidRDefault="00171F93" w:rsidP="00DF5EDB">
      <w:r>
        <w:t>W</w:t>
      </w:r>
      <w:r w:rsidRPr="00734942">
        <w:t>e performed a sample size calculation according to Riley et al.</w:t>
      </w:r>
      <w:r w:rsidRPr="00734942">
        <w:fldChar w:fldCharType="begin"/>
      </w:r>
      <w:r w:rsidR="00735CC0">
        <w:instrText xml:space="preserve"> ADDIN EN.CITE &lt;EndNote&gt;&lt;Cite&gt;&lt;Author&gt;Riley&lt;/Author&gt;&lt;Year&gt;2019&lt;/Year&gt;&lt;RecNum&gt;336&lt;/RecNum&gt;&lt;DisplayText&gt;&lt;style face="superscript"&gt;52&lt;/style&gt;&lt;/DisplayText&gt;&lt;record&gt;&lt;rec-number&gt;336&lt;/rec-number&gt;&lt;foreign-keys&gt;&lt;key app="EN" db-id="tdwrx9xd1z9eepeevr355w2k959rv0f5zaax" timestamp="1633011587"&gt;336&lt;/key&gt;&lt;/foreign-keys&gt;&lt;ref-type name="Journal Article"&gt;17&lt;/ref-type&gt;&lt;contributors&gt;&lt;authors&gt;&lt;author&gt;Riley, Richard D&lt;/author&gt;&lt;author&gt;Snell, Kym I E&lt;/author&gt;&lt;author&gt;Ensor, Joie&lt;/author&gt;&lt;author&gt;Burke, Danielle L&lt;/author&gt;&lt;author&gt;Harrell, Frank E.&lt;/author&gt;&lt;author&gt;Moons, Karel G. M.&lt;/author&gt;&lt;author&gt;Collins, Gary S.&lt;/author&gt;&lt;/authors&gt;&lt;/contributors&gt;&lt;titles&gt;&lt;title&gt;Minimum sample size for developing a multivariable prediction model: PART II   binary and tim… t</w:instrText>
      </w:r>
      <w:r w:rsidR="00735CC0">
        <w:rPr>
          <w:rFonts w:ascii="Calibri" w:hAnsi="Calibri" w:cs="Calibri"/>
        </w:rPr>
        <w:instrText></w:instrText>
      </w:r>
      <w:r w:rsidR="00735CC0">
        <w:instrText xml:space="preserve"> event outcomes&lt;/title&gt;&lt;secondary-title&gt;Statistics in Medicine&lt;/secondary-title&gt;&lt;/titles&gt;&lt;periodical&gt;&lt;full-title&gt;Statistics in Medicine&lt;/full-title&gt;&lt;/periodical&gt;&lt;pages&gt;1276 - 1296&lt;/pages&gt;&lt;volume&gt;38&lt;/volume&gt;&lt;dates&gt;&lt;year&gt;2019&lt;/year&gt;&lt;/dates&gt;&lt;urls&gt;&lt;/urls&gt;&lt;/record&gt;&lt;/Cite&gt;&lt;/EndNote&gt;</w:instrText>
      </w:r>
      <w:r w:rsidRPr="00734942">
        <w:fldChar w:fldCharType="separate"/>
      </w:r>
      <w:r w:rsidR="00735CC0" w:rsidRPr="00735CC0">
        <w:rPr>
          <w:noProof/>
          <w:vertAlign w:val="superscript"/>
        </w:rPr>
        <w:t>52</w:t>
      </w:r>
      <w:r w:rsidRPr="00734942">
        <w:fldChar w:fldCharType="end"/>
      </w:r>
      <w:r w:rsidR="000B351C">
        <w:t xml:space="preserve"> </w:t>
      </w:r>
      <w:r w:rsidR="00013C52">
        <w:t>To consider 40 candidate predictors</w:t>
      </w:r>
      <w:r w:rsidR="00D73F61">
        <w:t xml:space="preserve"> in each model</w:t>
      </w:r>
      <w:r w:rsidR="00013C52">
        <w:t>, we</w:t>
      </w:r>
      <w:r w:rsidR="000B351C">
        <w:t xml:space="preserve"> estimated a m</w:t>
      </w:r>
      <w:r w:rsidR="00AB0C62">
        <w:t xml:space="preserve">inimum </w:t>
      </w:r>
      <w:r w:rsidR="00E716C2">
        <w:t xml:space="preserve">total </w:t>
      </w:r>
      <w:r w:rsidR="000B351C">
        <w:t xml:space="preserve">sample size of </w:t>
      </w:r>
      <w:r w:rsidR="00E53867" w:rsidRPr="00E53867">
        <w:t>4303</w:t>
      </w:r>
      <w:r w:rsidR="007A10EE">
        <w:t>.</w:t>
      </w:r>
    </w:p>
    <w:p w14:paraId="289BB50C" w14:textId="77777777" w:rsidR="00DF5EDB" w:rsidRPr="00734942" w:rsidRDefault="00DF5EDB" w:rsidP="00583860">
      <w:pPr>
        <w:pStyle w:val="Heading4"/>
      </w:pPr>
      <w:r w:rsidRPr="00734942">
        <w:t>Model specification</w:t>
      </w:r>
    </w:p>
    <w:p w14:paraId="787D44F4" w14:textId="424EACCB" w:rsidR="00DF5EDB" w:rsidRPr="00734942" w:rsidRDefault="00DF5EDB" w:rsidP="00954B0C">
      <w:pPr>
        <w:pStyle w:val="Heading5"/>
      </w:pPr>
      <w:r w:rsidRPr="00636852">
        <w:t>Identifying</w:t>
      </w:r>
      <w:r w:rsidRPr="00734942">
        <w:t xml:space="preserve"> candidate </w:t>
      </w:r>
      <w:r w:rsidR="002A7D5A">
        <w:t>diagnostic indicators</w:t>
      </w:r>
    </w:p>
    <w:p w14:paraId="78CB3C4C" w14:textId="5B34FB52" w:rsidR="00DF5EDB" w:rsidRDefault="00DF5EDB" w:rsidP="009D197F">
      <w:r w:rsidRPr="00734942">
        <w:t xml:space="preserve">Diagnostic indicators identified in the systematic review presented in Chapter 4 were considered for inclusion in the prediction models. To avoid the effect of potential publication bias, we also included </w:t>
      </w:r>
      <w:r w:rsidR="002A7D5A">
        <w:t>indicators</w:t>
      </w:r>
      <w:r w:rsidR="002A7D5A" w:rsidRPr="00734942">
        <w:t xml:space="preserve"> </w:t>
      </w:r>
      <w:r w:rsidRPr="00734942">
        <w:t>suggested by our clinical experts and indicators listed in national and international guidelines for CD,</w:t>
      </w:r>
      <w:r w:rsidRPr="00734942">
        <w:fldChar w:fldCharType="begin">
          <w:fldData xml:space="preserve">PEVuZE5vdGU+PENpdGU+PEF1dGhvcj5BbC1Ub21hPC9BdXRob3I+PFllYXI+MjAxOTwvWWVhcj48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==
</w:fldData>
        </w:fldChar>
      </w:r>
      <w:r w:rsidR="006977C2">
        <w:instrText xml:space="preserve"> ADDIN EN.CITE </w:instrText>
      </w:r>
      <w:r w:rsidR="006977C2">
        <w:fldChar w:fldCharType="begin">
          <w:fldData xml:space="preserve">PEVuZE5vdGU+PENpdGU+PEF1dGhvcj5BbC1Ub21hPC9BdXRob3I+PFllYXI+MjAxOTwvWWVhcj48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==
</w:fldData>
        </w:fldChar>
      </w:r>
      <w:r w:rsidR="006977C2">
        <w:instrText xml:space="preserve"> ADDIN EN.CITE.DATA </w:instrText>
      </w:r>
      <w:r w:rsidR="006977C2">
        <w:fldChar w:fldCharType="end"/>
      </w:r>
      <w:r w:rsidRPr="00734942">
        <w:fldChar w:fldCharType="separate"/>
      </w:r>
      <w:r w:rsidR="006977C2" w:rsidRPr="006977C2">
        <w:rPr>
          <w:noProof/>
          <w:vertAlign w:val="superscript"/>
        </w:rPr>
        <w:t>9, 10, 12</w:t>
      </w:r>
      <w:r w:rsidRPr="00734942">
        <w:fldChar w:fldCharType="end"/>
      </w:r>
      <w:r w:rsidRPr="00734942">
        <w:t xml:space="preserve"> which are based on both evidence and expert opinion. See</w:t>
      </w:r>
      <w:r w:rsidR="00B77FEA">
        <w:t xml:space="preserve"> Appendix</w:t>
      </w:r>
      <w:r w:rsidR="0008440D">
        <w:t xml:space="preserve"> 9</w:t>
      </w:r>
      <w:r w:rsidRPr="00734942">
        <w:t xml:space="preserve"> </w:t>
      </w:r>
      <w:r w:rsidR="000E0A81" w:rsidRPr="00734942">
        <w:fldChar w:fldCharType="begin"/>
      </w:r>
      <w:r w:rsidR="000E0A81" w:rsidRPr="00734942">
        <w:instrText xml:space="preserve"> REF _Ref83907190 \h </w:instrText>
      </w:r>
      <w:r w:rsidR="000E0A81" w:rsidRPr="00734942">
        <w:fldChar w:fldCharType="separate"/>
      </w:r>
      <w:r w:rsidR="008B5583" w:rsidRPr="00734942">
        <w:t xml:space="preserve">Table </w:t>
      </w:r>
      <w:r w:rsidR="008B5583">
        <w:rPr>
          <w:noProof/>
        </w:rPr>
        <w:t>51</w:t>
      </w:r>
      <w:r w:rsidR="000E0A81" w:rsidRPr="00734942">
        <w:fldChar w:fldCharType="end"/>
      </w:r>
      <w:r w:rsidR="00B02A28" w:rsidRPr="00734942">
        <w:t xml:space="preserve"> </w:t>
      </w:r>
      <w:r w:rsidRPr="00734942">
        <w:t xml:space="preserve">for the list of candidate </w:t>
      </w:r>
      <w:r w:rsidR="002A7D5A">
        <w:t>diagnostic indicators</w:t>
      </w:r>
      <w:r w:rsidRPr="00734942">
        <w:t xml:space="preserve">, their definitions, and how they were identified. </w:t>
      </w:r>
      <w:r w:rsidR="00321EEF" w:rsidRPr="00734942">
        <w:t xml:space="preserve">The International Classification of Primary Care 2 (ICPC-2) </w:t>
      </w:r>
      <w:r w:rsidR="00502D05" w:rsidRPr="00734942">
        <w:t xml:space="preserve">definitions were used were available. </w:t>
      </w:r>
      <w:r w:rsidR="00321EEF" w:rsidRPr="00734942">
        <w:t xml:space="preserve">ICPC-2 </w:t>
      </w:r>
      <w:r w:rsidR="009D197F" w:rsidRPr="00734942">
        <w:t xml:space="preserve">is </w:t>
      </w:r>
      <w:r w:rsidR="000833DA" w:rsidRPr="00734942">
        <w:t>a</w:t>
      </w:r>
      <w:r w:rsidR="00AC14DA" w:rsidRPr="00734942">
        <w:t>n</w:t>
      </w:r>
      <w:r w:rsidR="000833DA" w:rsidRPr="00734942">
        <w:t xml:space="preserve"> </w:t>
      </w:r>
      <w:r w:rsidR="009D197F" w:rsidRPr="00734942">
        <w:t>international</w:t>
      </w:r>
      <w:r w:rsidR="000833DA" w:rsidRPr="00734942">
        <w:t xml:space="preserve"> </w:t>
      </w:r>
      <w:r w:rsidR="009D197F" w:rsidRPr="00734942">
        <w:t xml:space="preserve">classification for systematically capturing and ordering clinical information in primary care. It </w:t>
      </w:r>
      <w:r w:rsidR="000833DA" w:rsidRPr="00734942">
        <w:t xml:space="preserve">was </w:t>
      </w:r>
      <w:r w:rsidR="009D197F" w:rsidRPr="00734942">
        <w:t>developed by the World Organization of Family Doctors’ International</w:t>
      </w:r>
      <w:r w:rsidR="000833DA" w:rsidRPr="00734942">
        <w:t xml:space="preserve"> </w:t>
      </w:r>
      <w:r w:rsidR="009D197F" w:rsidRPr="00734942">
        <w:t>Classification Committee</w:t>
      </w:r>
      <w:r w:rsidR="00AC14DA" w:rsidRPr="00734942">
        <w:t xml:space="preserve"> and was last updated in 2015</w:t>
      </w:r>
      <w:r w:rsidR="009D197F" w:rsidRPr="00734942">
        <w:t>.</w:t>
      </w:r>
      <w:r w:rsidR="004477D6">
        <w:fldChar w:fldCharType="begin"/>
      </w:r>
      <w:r w:rsidR="00735CC0">
        <w:instrText xml:space="preserve"> ADDIN EN.CITE &lt;EndNote&gt;&lt;Cite&gt;&lt;Author&gt;World Organization of Family Doctors&lt;/Author&gt;&lt;Year&gt;2015&lt;/Year&gt;&lt;RecNum&gt;506&lt;/RecNum&gt;&lt;DisplayText&gt;&lt;style face="superscript"&gt;53&lt;/style&gt;&lt;/DisplayText&gt;&lt;record&gt;&lt;rec-number&gt;506&lt;/rec-number&gt;&lt;foreign-keys&gt;&lt;key app="EN" db-id="tdwrx9xd1z9eepeevr355w2k959rv0f5zaax" timestamp="1636543072"&gt;506&lt;/key&gt;&lt;/foreign-keys&gt;&lt;ref-type name="Journal Article"&gt;17&lt;/ref-type&gt;&lt;contributors&gt;&lt;authors&gt;&lt;author&gt;World Organization of Family Doctors,&lt;/author&gt;&lt;/authors&gt;&lt;/contributors&gt;&lt;titles&gt;&lt;title&gt;International Classification of Primary Care, 2nd edition (ICPC-2)&lt;/title&gt;&lt;/titles&gt;&lt;dates&gt;&lt;year&gt;2015&lt;/year&gt;&lt;/dates&gt;&lt;urls&gt;&lt;related-urls&gt;&lt;url&gt;https://www.globalfamilydoctor.com/groups/WorkingParties/wicc.aspx&lt;/url&gt;&lt;/related-urls&gt;&lt;/urls&gt;&lt;/record&gt;&lt;/Cite&gt;&lt;/EndNote&gt;</w:instrText>
      </w:r>
      <w:r w:rsidR="004477D6">
        <w:fldChar w:fldCharType="separate"/>
      </w:r>
      <w:r w:rsidR="00735CC0" w:rsidRPr="00735CC0">
        <w:rPr>
          <w:noProof/>
          <w:vertAlign w:val="superscript"/>
        </w:rPr>
        <w:t>53</w:t>
      </w:r>
      <w:r w:rsidR="004477D6">
        <w:fldChar w:fldCharType="end"/>
      </w:r>
      <w:r w:rsidR="00321EEF" w:rsidRPr="00734942">
        <w:t xml:space="preserve"> </w:t>
      </w:r>
      <w:r w:rsidRPr="00734942">
        <w:t xml:space="preserve">Dermatitis herpetiformis could not be included as </w:t>
      </w:r>
      <w:r w:rsidR="002A7D5A">
        <w:t>an indicator</w:t>
      </w:r>
      <w:r w:rsidRPr="00734942">
        <w:t xml:space="preserve"> because it was an exclusion criterion for the control cohort.</w:t>
      </w:r>
      <w:r w:rsidR="00CA1A29">
        <w:t xml:space="preserve"> </w:t>
      </w:r>
      <w:r w:rsidR="00495097">
        <w:t xml:space="preserve">Sex was </w:t>
      </w:r>
      <w:r w:rsidR="007225F4">
        <w:t>considered</w:t>
      </w:r>
      <w:r w:rsidR="00495097">
        <w:t xml:space="preserve"> </w:t>
      </w:r>
      <w:r w:rsidR="007225F4">
        <w:t xml:space="preserve">as </w:t>
      </w:r>
      <w:r w:rsidR="002A7D5A">
        <w:t>an indicator</w:t>
      </w:r>
      <w:r w:rsidR="007225F4">
        <w:t xml:space="preserve"> </w:t>
      </w:r>
      <w:r w:rsidR="00495097">
        <w:t>in the children</w:t>
      </w:r>
      <w:r w:rsidR="004D3FE1">
        <w:t>’</w:t>
      </w:r>
      <w:r w:rsidR="00495097">
        <w:t>s model</w:t>
      </w:r>
      <w:r w:rsidR="004D3FE1">
        <w:t xml:space="preserve"> and age was </w:t>
      </w:r>
      <w:r w:rsidR="007225F4">
        <w:t>considered</w:t>
      </w:r>
      <w:r w:rsidR="004D3FE1">
        <w:t xml:space="preserve"> in all models, because </w:t>
      </w:r>
      <w:r w:rsidR="007225F4">
        <w:t>both are important demographic factors.</w:t>
      </w:r>
    </w:p>
    <w:p w14:paraId="65639BA0" w14:textId="77777777" w:rsidR="00A03E62" w:rsidRPr="00734942" w:rsidRDefault="00A03E62" w:rsidP="00954B0C">
      <w:pPr>
        <w:pStyle w:val="Heading5"/>
      </w:pPr>
      <w:r w:rsidRPr="00734942">
        <w:t>Code list development</w:t>
      </w:r>
    </w:p>
    <w:p w14:paraId="39562896" w14:textId="77062A67" w:rsidR="00A03E62" w:rsidRPr="00734942" w:rsidRDefault="00A03E62" w:rsidP="00A03E62">
      <w:r w:rsidRPr="00734942">
        <w:t xml:space="preserve">Where possible, existing code lists were used to define </w:t>
      </w:r>
      <w:r w:rsidR="002A7D5A">
        <w:t>diagnostic indicators</w:t>
      </w:r>
      <w:r w:rsidRPr="00734942">
        <w:t xml:space="preserve">. If these were not available, code lists were developed with the clinicians on our team who identified all relevant terms and synonyms for each </w:t>
      </w:r>
      <w:r w:rsidR="002A7D5A">
        <w:t xml:space="preserve">indicator </w:t>
      </w:r>
      <w:r w:rsidRPr="00734942">
        <w:t xml:space="preserve">and the CPRD code browser tool was used to identify all relevant codes. Each code list was checked by at least two clinicians (Supplementary </w:t>
      </w:r>
      <w:r w:rsidR="008B3C6A">
        <w:t>T</w:t>
      </w:r>
      <w:r w:rsidR="00854719">
        <w:t>able S6</w:t>
      </w:r>
      <w:r w:rsidRPr="00734942">
        <w:t>).</w:t>
      </w:r>
    </w:p>
    <w:p w14:paraId="12F5336B" w14:textId="624B169F" w:rsidR="00F20918" w:rsidRPr="00734942" w:rsidRDefault="00F20918" w:rsidP="00954B0C">
      <w:pPr>
        <w:pStyle w:val="Heading5"/>
      </w:pPr>
      <w:r w:rsidRPr="00734942">
        <w:t>Missing data</w:t>
      </w:r>
    </w:p>
    <w:p w14:paraId="63C244C5" w14:textId="03189FE9" w:rsidR="00F20918" w:rsidRPr="00734942" w:rsidRDefault="00F20918" w:rsidP="00F20918">
      <w:r w:rsidRPr="00734942">
        <w:t xml:space="preserve">The presence of </w:t>
      </w:r>
      <w:r w:rsidR="002A7D5A">
        <w:t>a diagnostic indicator</w:t>
      </w:r>
      <w:r w:rsidRPr="00734942">
        <w:t xml:space="preserve"> was defined by the presence of one or more specific medical codes. It was not possible to determine whether a code was ‘missing’, because if these codes were absent in a patient record, we assumed that the patient did not have the </w:t>
      </w:r>
      <w:r w:rsidR="002A7D5A">
        <w:t xml:space="preserve">indicator </w:t>
      </w:r>
      <w:r w:rsidRPr="00734942">
        <w:t xml:space="preserve">in case of disease diagnoses or that the </w:t>
      </w:r>
      <w:r w:rsidR="002A7D5A">
        <w:t>indicator</w:t>
      </w:r>
      <w:r w:rsidRPr="00734942">
        <w:t xml:space="preserve"> was not considered sufficiently important to have been recorded by the GP in case of symptoms. This will be correct for most </w:t>
      </w:r>
      <w:r w:rsidR="002A7D5A">
        <w:t>indicators</w:t>
      </w:r>
      <w:r w:rsidRPr="00734942">
        <w:t xml:space="preserve"> unless the </w:t>
      </w:r>
      <w:r w:rsidR="002A7D5A">
        <w:t>indicator</w:t>
      </w:r>
      <w:r w:rsidRPr="00734942">
        <w:t xml:space="preserve"> was either underdiagnosed or underreported (such as symptoms). Missingness could only be investigated for sex, ethnicity, and age; however, there were no missing data in these variables.</w:t>
      </w:r>
    </w:p>
    <w:p w14:paraId="5443E677" w14:textId="77777777" w:rsidR="00DF5EDB" w:rsidRPr="00734942" w:rsidRDefault="00DF5EDB" w:rsidP="00954B0C">
      <w:pPr>
        <w:pStyle w:val="Heading5"/>
      </w:pPr>
      <w:r w:rsidRPr="00734942">
        <w:lastRenderedPageBreak/>
        <w:t>Transformations and categorisations of variables</w:t>
      </w:r>
    </w:p>
    <w:p w14:paraId="4BED3D12" w14:textId="309DA1E2" w:rsidR="00DF5EDB" w:rsidRPr="00734942" w:rsidRDefault="00DF5EDB" w:rsidP="00DF5EDB">
      <w:r w:rsidRPr="00734942">
        <w:t xml:space="preserve">Age was </w:t>
      </w:r>
      <w:r w:rsidR="004F321E">
        <w:t>included in</w:t>
      </w:r>
      <w:r w:rsidRPr="00734942">
        <w:t xml:space="preserve"> the model as a linear term (in years), because the risk of being diagnosed (in adulthood) appears to decrease linearly by age.</w:t>
      </w:r>
      <w:r w:rsidRPr="00734942">
        <w:fldChar w:fldCharType="begin"/>
      </w:r>
      <w:r w:rsidR="00735CC0">
        <w:instrText xml:space="preserve"> ADDIN EN.CITE &lt;EndNote&gt;&lt;Cite&gt;&lt;Author&gt;Holmes&lt;/Author&gt;&lt;Year&gt;2017&lt;/Year&gt;&lt;RecNum&gt;10&lt;/RecNum&gt;&lt;DisplayText&gt;&lt;style face="superscript"&gt;54&lt;/style&gt;&lt;/DisplayText&gt;&lt;record&gt;&lt;rec-number&gt;10&lt;/rec-number&gt;&lt;foreign-keys&gt;&lt;key app="EN" db-id="tdwrx9xd1z9eepeevr355w2k959rv0f5zaax" timestamp="1632755962"&gt;10&lt;/key&gt;&lt;/foreign-keys&gt;&lt;ref-type name="Journal Article"&gt;17&lt;/ref-type&gt;&lt;contributors&gt;&lt;authors&gt;&lt;author&gt;Holmes, G. K. T.&lt;/author&gt;&lt;author&gt;Muirhead, A.&lt;/author&gt;&lt;/authors&gt;&lt;/contributors&gt;&lt;auth-address&gt;Royal Derby Hospital, Derby, UK.&amp;#xD;Department of Public Health, Derby City Council, Derby, UK.&lt;/auth-address&gt;&lt;titles&gt;&lt;title&gt;Epidemiology of coeliac disease in a single centre in Southern Derbyshire 1958-2014&lt;/title&gt;&lt;secondary-title&gt;BMJ Open Gastroenterol&lt;/secondary-title&gt;&lt;/titles&gt;&lt;periodical&gt;&lt;full-title&gt;BMJ Open Gastroenterol&lt;/full-title&gt;&lt;/periodical&gt;&lt;pages&gt;e000137&lt;/pages&gt;&lt;volume&gt;4&lt;/volume&gt;&lt;number&gt;1&lt;/number&gt;&lt;edition&gt;2017/08/02&lt;/edition&gt;&lt;keywords&gt;&lt;keyword&gt;Audit&lt;/keyword&gt;&lt;keyword&gt;Coeliac disease&lt;/keyword&gt;&lt;keyword&gt;Epidemiology&lt;/keyword&gt;&lt;/keywords&gt;&lt;dates&gt;&lt;year&gt;2017&lt;/year&gt;&lt;/dates&gt;&lt;isbn&gt;2054-4774 (Print)&amp;#xD;2054-4774 (Linking)&lt;/isbn&gt;&lt;accession-num&gt;28761688&lt;/accession-num&gt;&lt;urls&gt;&lt;related-urls&gt;&lt;url&gt;https://www.ncbi.nlm.nih.gov/pubmed/28761688&lt;/url&gt;&lt;/related-urls&gt;&lt;/urls&gt;&lt;custom2&gt;PMC5508802&lt;/custom2&gt;&lt;electronic-resource-num&gt;10.1136/bmjgast-2017-000137&lt;/electronic-resource-num&gt;&lt;/record&gt;&lt;/Cite&gt;&lt;/EndNote&gt;</w:instrText>
      </w:r>
      <w:r w:rsidRPr="00734942">
        <w:fldChar w:fldCharType="separate"/>
      </w:r>
      <w:r w:rsidR="00735CC0" w:rsidRPr="00735CC0">
        <w:rPr>
          <w:noProof/>
          <w:vertAlign w:val="superscript"/>
        </w:rPr>
        <w:t>54</w:t>
      </w:r>
      <w:r w:rsidRPr="00734942">
        <w:fldChar w:fldCharType="end"/>
      </w:r>
      <w:r w:rsidRPr="00734942">
        <w:t xml:space="preserve"> All risk conditions were coded as 1 or 0, for having or not having the disease at any timepoint prior to the index date. </w:t>
      </w:r>
    </w:p>
    <w:p w14:paraId="674CAD35" w14:textId="5EC8FE18" w:rsidR="00DF5EDB" w:rsidRPr="00734942" w:rsidRDefault="00CC3E56" w:rsidP="00DF5EDB">
      <w:r>
        <w:t xml:space="preserve">Diagnostic indicators </w:t>
      </w:r>
      <w:r w:rsidR="00DF5EDB" w:rsidRPr="00734942">
        <w:t xml:space="preserve">that can resolve and return, including GI symptoms, weight loss, fatigue, abnormal liver function test results, mouth ulcers, irritability, iron, vitamin B12, or folate deficiency, fractures, and headaches or migraines, were included as binary variables, and coded as 1 if the event occurred within 10 years prior to the index date. </w:t>
      </w:r>
      <w:r>
        <w:t>Diagnostic indicators</w:t>
      </w:r>
      <w:r w:rsidRPr="00734942">
        <w:t xml:space="preserve"> </w:t>
      </w:r>
      <w:r w:rsidR="00DF5EDB" w:rsidRPr="00734942">
        <w:t>that could vary substantially over time, including GI symptoms, fatigue, irritability, mouth ulcers, fractures, and migraine or headaches, were also included as count</w:t>
      </w:r>
      <w:r w:rsidR="008F6367">
        <w:t>s of the number of times these</w:t>
      </w:r>
      <w:r w:rsidR="009D6314">
        <w:t xml:space="preserve"> symptoms were recorded in CPRD</w:t>
      </w:r>
      <w:r w:rsidR="00A75D85">
        <w:t>.</w:t>
      </w:r>
      <w:r w:rsidR="00DF5EDB" w:rsidRPr="00734942">
        <w:t xml:space="preserve"> Because these counts were highly skewed, we</w:t>
      </w:r>
      <w:r w:rsidR="00DF5EDB" w:rsidRPr="00734942" w:rsidDel="00184E23">
        <w:t xml:space="preserve"> </w:t>
      </w:r>
      <w:r w:rsidR="00184E23" w:rsidRPr="00734942">
        <w:t>collapsed groups</w:t>
      </w:r>
      <w:r w:rsidR="001C2D8E" w:rsidRPr="00734942">
        <w:t xml:space="preserve"> with</w:t>
      </w:r>
      <w:r w:rsidR="00184E23" w:rsidRPr="00734942">
        <w:t xml:space="preserve"> </w:t>
      </w:r>
      <w:r w:rsidR="00DF5EDB" w:rsidRPr="00734942">
        <w:t>the highest counts if they were higher than the third quantile (e.g., 0, 1, 2, 3+). For each of these</w:t>
      </w:r>
      <w:r w:rsidRPr="00CC3E56">
        <w:t xml:space="preserve"> </w:t>
      </w:r>
      <w:r>
        <w:t>indicator</w:t>
      </w:r>
      <w:r w:rsidRPr="00734942">
        <w:t>s</w:t>
      </w:r>
      <w:r w:rsidR="00DF5EDB" w:rsidRPr="00734942">
        <w:t>, we considered a count of the number of times these symptoms were recorded in CPRD within 1, 2, or 10 years prior to the index date.</w:t>
      </w:r>
    </w:p>
    <w:p w14:paraId="039DCA03" w14:textId="5FC8C3F2" w:rsidR="00DF5EDB" w:rsidRPr="00734942" w:rsidRDefault="00DF5EDB" w:rsidP="00DF5EDB">
      <w:r w:rsidRPr="00734942">
        <w:t>A variable for ‘</w:t>
      </w:r>
      <w:r w:rsidR="00806FE6" w:rsidRPr="00734942">
        <w:t>first</w:t>
      </w:r>
      <w:r w:rsidR="00806FE6">
        <w:t>-</w:t>
      </w:r>
      <w:r w:rsidRPr="00734942">
        <w:t xml:space="preserve">degree relative with CD’ was created using the </w:t>
      </w:r>
      <w:r w:rsidRPr="00734942">
        <w:rPr>
          <w:i/>
          <w:iCs/>
        </w:rPr>
        <w:t>famnum</w:t>
      </w:r>
      <w:r w:rsidRPr="00734942">
        <w:t xml:space="preserve"> variable in CPRD Gold, which is a number assigned based on the first line of the patient's home address at registration. Because </w:t>
      </w:r>
      <w:r w:rsidRPr="00734942">
        <w:rPr>
          <w:i/>
          <w:iCs/>
        </w:rPr>
        <w:t>famnum</w:t>
      </w:r>
      <w:r w:rsidRPr="00734942">
        <w:t xml:space="preserve"> is not unique across all GP practices, a unique variable was created combining </w:t>
      </w:r>
      <w:r w:rsidRPr="00734942">
        <w:rPr>
          <w:i/>
          <w:iCs/>
        </w:rPr>
        <w:t>famnum</w:t>
      </w:r>
      <w:r w:rsidRPr="00734942">
        <w:t xml:space="preserve"> and GP practice ID. We only counted people as </w:t>
      </w:r>
      <w:r w:rsidR="00C25994" w:rsidRPr="00734942">
        <w:t xml:space="preserve">first-degree relative </w:t>
      </w:r>
      <w:r w:rsidRPr="00734942">
        <w:t xml:space="preserve">if they had the same </w:t>
      </w:r>
      <w:r w:rsidRPr="00734942">
        <w:rPr>
          <w:i/>
          <w:iCs/>
        </w:rPr>
        <w:t>famnum</w:t>
      </w:r>
      <w:r w:rsidRPr="00734942">
        <w:t xml:space="preserve"> and were registered at the same GP practice as a case, were either &gt;25 years old and differed less than 15 years in age (to include all children and students, assuming that students still registered with their parents’ GPs) or differed more than 15 years in age (to exclude spouses).</w:t>
      </w:r>
    </w:p>
    <w:p w14:paraId="1AD78E2E" w14:textId="77777777" w:rsidR="00DF5EDB" w:rsidRPr="00734942" w:rsidRDefault="00DF5EDB" w:rsidP="00583860">
      <w:pPr>
        <w:pStyle w:val="Heading4"/>
      </w:pPr>
      <w:r w:rsidRPr="00734942">
        <w:t>Model selection</w:t>
      </w:r>
    </w:p>
    <w:p w14:paraId="5A7630BC" w14:textId="7E29167F" w:rsidR="00DF5EDB" w:rsidRPr="00734942" w:rsidRDefault="00DF5EDB" w:rsidP="00DF5EDB">
      <w:r w:rsidRPr="00734942">
        <w:t xml:space="preserve">We fitted a logistic regression model with CD as the outcome and all candidate </w:t>
      </w:r>
      <w:r w:rsidR="00CC3E56">
        <w:t>diagnostic indicators</w:t>
      </w:r>
      <w:r w:rsidR="00CC3E56" w:rsidRPr="00734942">
        <w:t xml:space="preserve"> </w:t>
      </w:r>
      <w:r w:rsidRPr="00734942">
        <w:t xml:space="preserve">as </w:t>
      </w:r>
      <w:r w:rsidR="00E237BF">
        <w:t xml:space="preserve">potential </w:t>
      </w:r>
      <w:r w:rsidRPr="00734942">
        <w:t>explanatory factors. We used the elastic net method combined with bootstrapping for variable selection. The elastic-net logistic regression combines ridge and lasso regression – regression coefficients are estimated with a combination of L1 and L2 penalty – and performs both shrinkage and variable selection.</w:t>
      </w:r>
      <w:r w:rsidR="00722AAD" w:rsidRPr="00734942">
        <w:fldChar w:fldCharType="begin"/>
      </w:r>
      <w:r w:rsidR="00735CC0">
        <w:instrText xml:space="preserve"> ADDIN EN.CITE &lt;EndNote&gt;&lt;Cite&gt;&lt;Author&gt;Steyerberg&lt;/Author&gt;&lt;Year&gt;2019&lt;/Year&gt;&lt;RecNum&gt;1&lt;/RecNum&gt;&lt;DisplayText&gt;&lt;style face="superscript"&gt;46&lt;/style&gt;&lt;/DisplayText&gt;&lt;record&gt;&lt;rec-number&gt;1&lt;/rec-number&gt;&lt;foreign-keys&gt;&lt;key app="EN" db-id="tdwrx9xd1z9eepeevr355w2k959rv0f5zaax" timestamp="1632755960"&gt;1&lt;/key&gt;&lt;/foreign-keys&gt;&lt;ref-type name="Journal Article"&gt;17&lt;/ref-type&gt;&lt;contributors&gt;&lt;authors&gt;&lt;author&gt;Steyerberg, E.W.,&lt;/author&gt;&lt;/authors&gt;&lt;/contributors&gt;&lt;titles&gt;&lt;title&gt;Clinical Prediction Models. A Practical Approach to Development, Validation, and Updating. Second Edition.&lt;/title&gt;&lt;secondary-title&gt;Statistics for Biology and Health&lt;/secondary-title&gt;&lt;/titles&gt;&lt;periodical&gt;&lt;full-title&gt;Statistics for Biology and Health&lt;/full-title&gt;&lt;/periodical&gt;&lt;dates&gt;&lt;year&gt;2019&lt;/year&gt;&lt;/dates&gt;&lt;isbn&gt;2197-5671&lt;/isbn&gt;&lt;urls&gt;&lt;/urls&gt;&lt;electronic-resource-num&gt;10.1007/978-3-030-16399-0&lt;/electronic-resource-num&gt;&lt;/record&gt;&lt;/Cite&gt;&lt;/EndNote&gt;</w:instrText>
      </w:r>
      <w:r w:rsidR="00722AAD" w:rsidRPr="00734942">
        <w:fldChar w:fldCharType="separate"/>
      </w:r>
      <w:r w:rsidR="00735CC0" w:rsidRPr="00735CC0">
        <w:rPr>
          <w:noProof/>
          <w:vertAlign w:val="superscript"/>
        </w:rPr>
        <w:t>46</w:t>
      </w:r>
      <w:r w:rsidR="00722AAD" w:rsidRPr="00734942">
        <w:fldChar w:fldCharType="end"/>
      </w:r>
      <w:r w:rsidRPr="00734942">
        <w:t xml:space="preserve"> It does this by including a regularization penalty (lambda) and a mixing parameter (alpha) where 0 results in ridge and 1 in lasso regression. Optimal alpha and lambda values were determined by testing 100 different lambda values at 18 different alpha values (increasing from 0.1 to 0.9). For each combination of alpha and lambda, twenty 5-fold cross-validations were performed. We selected the alpha-lambda combination that produced the model with the highest </w:t>
      </w:r>
      <w:r w:rsidRPr="00734942">
        <w:rPr>
          <w:i/>
          <w:iCs/>
        </w:rPr>
        <w:t>c</w:t>
      </w:r>
      <w:r w:rsidRPr="00734942">
        <w:t xml:space="preserve"> statistic (AUROC). </w:t>
      </w:r>
    </w:p>
    <w:p w14:paraId="033874B7" w14:textId="1FDCDDE5" w:rsidR="00DF5EDB" w:rsidRPr="00734942" w:rsidRDefault="00DF5EDB" w:rsidP="00DF5EDB">
      <w:r w:rsidRPr="00734942">
        <w:t xml:space="preserve">The model with optimised L1 and L2 penalties was performed on 200 bootstrap samples. </w:t>
      </w:r>
      <w:r w:rsidR="00CC3E56">
        <w:t>Indicator</w:t>
      </w:r>
      <w:r w:rsidRPr="00734942">
        <w:t xml:space="preserve">s were selected if their coefficient was non-zero in </w:t>
      </w:r>
      <w:r w:rsidR="005E26D8">
        <w:t>the majority of bootstrap samples</w:t>
      </w:r>
      <w:r w:rsidR="00C65E55">
        <w:t xml:space="preserve">. To be relatively inclusive at this stage we set the threshold at </w:t>
      </w:r>
      <w:r w:rsidRPr="00734942">
        <w:t xml:space="preserve">75%. If more than one of the three alternative counts for the same symptom were selected (frequency of </w:t>
      </w:r>
      <w:r w:rsidR="00432830">
        <w:t>indicat</w:t>
      </w:r>
      <w:r w:rsidRPr="00734942">
        <w:t xml:space="preserve">or over the last 1, 2, or 10 years), the count with the highest median coefficient was included in the final model. </w:t>
      </w:r>
      <w:r w:rsidR="00262AE1">
        <w:t xml:space="preserve">Since candidate </w:t>
      </w:r>
      <w:r w:rsidR="00432830">
        <w:t>diagnostic indicat</w:t>
      </w:r>
      <w:r w:rsidRPr="00734942">
        <w:t xml:space="preserve">ors </w:t>
      </w:r>
      <w:r w:rsidR="00262AE1">
        <w:t>had been</w:t>
      </w:r>
      <w:r w:rsidRPr="00734942">
        <w:t xml:space="preserve"> selected </w:t>
      </w:r>
      <w:r w:rsidR="004B7640">
        <w:t xml:space="preserve">based on </w:t>
      </w:r>
      <w:r w:rsidRPr="00734942">
        <w:t xml:space="preserve">some evidence of a positive relationship with CD, if we </w:t>
      </w:r>
      <w:r w:rsidR="004B7640">
        <w:t xml:space="preserve">estimated </w:t>
      </w:r>
      <w:r w:rsidRPr="00734942">
        <w:t xml:space="preserve">an inverse relationship with CD in these data, we assumed this was due to noise in this specific dataset and excluded the </w:t>
      </w:r>
      <w:r w:rsidR="00432830">
        <w:t>indicat</w:t>
      </w:r>
      <w:r w:rsidRPr="00734942">
        <w:t>or.</w:t>
      </w:r>
    </w:p>
    <w:p w14:paraId="27E250D8" w14:textId="0B6A55F7" w:rsidR="00DF5EDB" w:rsidRPr="00734942" w:rsidRDefault="00DE27D8" w:rsidP="00DF5EDB">
      <w:r>
        <w:t xml:space="preserve">We did not allow </w:t>
      </w:r>
      <w:r w:rsidR="00432830">
        <w:t>indicat</w:t>
      </w:r>
      <w:r w:rsidR="00DF5EDB" w:rsidRPr="00734942">
        <w:t>ors with strong prior evidence of an association with CD to drop out of the model during variable selection</w:t>
      </w:r>
      <w:r w:rsidR="00D21213">
        <w:t>,</w:t>
      </w:r>
      <w:r w:rsidR="00DF5EDB" w:rsidRPr="00734942">
        <w:t xml:space="preserve"> regardless of their estimated coefficients and p values. These were the following five </w:t>
      </w:r>
      <w:r w:rsidR="00432830">
        <w:t>indicat</w:t>
      </w:r>
      <w:r w:rsidR="00DF5EDB" w:rsidRPr="00734942">
        <w:t xml:space="preserve">ors that were </w:t>
      </w:r>
      <w:r w:rsidR="004D1F2C">
        <w:t>found to be</w:t>
      </w:r>
      <w:r w:rsidR="000C1166">
        <w:t xml:space="preserve"> most predictive in</w:t>
      </w:r>
      <w:r w:rsidR="00DF5EDB" w:rsidRPr="00734942">
        <w:t xml:space="preserve"> our meta-analys</w:t>
      </w:r>
      <w:r w:rsidR="001860D1">
        <w:t>e</w:t>
      </w:r>
      <w:r w:rsidR="00DF5EDB" w:rsidRPr="00734942">
        <w:t xml:space="preserve">s (Chapter </w:t>
      </w:r>
      <w:r w:rsidR="000C1166">
        <w:t>3</w:t>
      </w:r>
      <w:r w:rsidR="00DF5EDB" w:rsidRPr="00734942">
        <w:t>): family history of CD, anaemia, type 1 diabetes, osteoporosis, and thyroid disease.</w:t>
      </w:r>
    </w:p>
    <w:p w14:paraId="3044496F" w14:textId="77777777" w:rsidR="00DF5EDB" w:rsidRPr="00734942" w:rsidRDefault="00DF5EDB" w:rsidP="00583860">
      <w:pPr>
        <w:pStyle w:val="Heading4"/>
      </w:pPr>
      <w:r w:rsidRPr="00734942">
        <w:lastRenderedPageBreak/>
        <w:t>Model estimation</w:t>
      </w:r>
    </w:p>
    <w:p w14:paraId="46C2056F" w14:textId="594DB4DD" w:rsidR="00DF5EDB" w:rsidRPr="00734942" w:rsidRDefault="00DF5EDB" w:rsidP="00DF5EDB">
      <w:r w:rsidRPr="00734942">
        <w:t xml:space="preserve">We re-fitted the elastic-net logistic regression model using the set of included </w:t>
      </w:r>
      <w:r w:rsidR="00432830">
        <w:t>indicat</w:t>
      </w:r>
      <w:r w:rsidRPr="00734942">
        <w:t>or variables to determine the final coefficient estimates at the optimal alpha and lambda.</w:t>
      </w:r>
    </w:p>
    <w:p w14:paraId="1C575290" w14:textId="5F9CAF79" w:rsidR="00DF5EDB" w:rsidRPr="00734942" w:rsidRDefault="00DF5EDB" w:rsidP="00DF5EDB">
      <w:r w:rsidRPr="00734942">
        <w:t>To estimate the intercept, we adjusted for sampling frequency by recreating a population with the CD prevalence of the original cohort.</w:t>
      </w:r>
      <w:r w:rsidR="0021016F" w:rsidRPr="00734942">
        <w:fldChar w:fldCharType="begin">
          <w:fldData xml:space="preserve">PEVuZE5vdGU+PENpdGU+PEF1dGhvcj5CaWVzaGV1dmVsPC9BdXRob3I+PFllYXI+MjAwODwvWWVh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</w:fldData>
        </w:fldChar>
      </w:r>
      <w:r w:rsidR="00735CC0">
        <w:instrText xml:space="preserve"> ADDIN EN.CITE </w:instrText>
      </w:r>
      <w:r w:rsidR="00735CC0">
        <w:fldChar w:fldCharType="begin">
          <w:fldData xml:space="preserve">PEVuZE5vdGU+PENpdGU+PEF1dGhvcj5CaWVzaGV1dmVsPC9BdXRob3I+PFllYXI+MjAwODwvWWVh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</w:fldData>
        </w:fldChar>
      </w:r>
      <w:r w:rsidR="00735CC0">
        <w:instrText xml:space="preserve"> ADDIN EN.CITE.DATA </w:instrText>
      </w:r>
      <w:r w:rsidR="00735CC0">
        <w:fldChar w:fldCharType="end"/>
      </w:r>
      <w:r w:rsidR="0021016F" w:rsidRPr="00734942">
        <w:fldChar w:fldCharType="separate"/>
      </w:r>
      <w:r w:rsidR="00735CC0" w:rsidRPr="00735CC0">
        <w:rPr>
          <w:noProof/>
          <w:vertAlign w:val="superscript"/>
        </w:rPr>
        <w:t>55, 56</w:t>
      </w:r>
      <w:r w:rsidR="0021016F" w:rsidRPr="00734942">
        <w:fldChar w:fldCharType="end"/>
      </w:r>
      <w:r w:rsidR="0021016F">
        <w:t xml:space="preserve"> </w:t>
      </w:r>
      <w:r w:rsidRPr="00734942">
        <w:t>CD prevalence in the general population is estimated to be 1%, so we inflated the control group by random sampling to a case control ratio of 1:99. We refitted the elastic-net logistic regression model on this inflated dataset to determine the intercept with the optimal alpha and lambda.</w:t>
      </w:r>
    </w:p>
    <w:p w14:paraId="5D070C9E" w14:textId="77777777" w:rsidR="00DF5EDB" w:rsidRPr="00734942" w:rsidRDefault="00DF5EDB" w:rsidP="00583860">
      <w:pPr>
        <w:pStyle w:val="Heading4"/>
      </w:pPr>
      <w:r w:rsidRPr="00734942">
        <w:t>Model performance</w:t>
      </w:r>
    </w:p>
    <w:p w14:paraId="727BECFA" w14:textId="470FCEA9" w:rsidR="00DF5EDB" w:rsidRPr="00734942"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We estimated the model performance on the development dataset (apparent model performance) using measures of both discrimination and calibration.</w:t>
      </w:r>
      <w:r w:rsidRPr="00734942">
        <w:rPr>
          <w:rFonts w:asciiTheme="minorHAnsi" w:eastAsiaTheme="minorHAnsi" w:hAnsiTheme="minorHAnsi" w:cstheme="minorBidi"/>
          <w:szCs w:val="22"/>
        </w:rPr>
        <w:fldChar w:fldCharType="begin">
          <w:fldData xml:space="preserve">PEVuZE5vdGU+PENpdGU+PEF1dGhvcj5Nb29uczwvQXV0aG9yPjxZZWFyPjIwMTk8L1llYXI+PFJl
Y051bT4xMjwvUmVjTnVtPjxEaXNwbGF5VGV4dD48c3R5bGUgZmFjZT0ic3VwZXJzY3JpcHQiPjU3
PC9zdHlsZT48L0Rpc3BsYXlUZXh0PjxyZWNvcmQ+PHJlYy1udW1iZXI+MTI8L3JlYy1udW1iZXI+
PGZvcmVpZ24ta2V5cz48a2V5IGFwcD0iRU4iIGRiLWlkPSJ0ZHdyeDl4ZDF6OWVlcGVldnIzNTV3
Mms5NTlydjBmNXphYXgiIHRpbWVzdGFtcD0iMTYzMjc1NTk2MiI+MTI8L2tleT48L2ZvcmVpZ24t
a2V5cz48cmVmLXR5cGUgbmFtZT0iSm91cm5hbCBBcnRpY2xlIj4xNzwvcmVmLXR5cGU+PGNvbnRy
aWJ1dG9ycz48YXV0aG9ycz48YXV0aG9yPk1vb25zLCBLLiBHLiBNLjwvYXV0aG9yPjxhdXRob3I+
V29sZmYsIFIuIEYuPC9hdXRob3I+PGF1dGhvcj5SaWxleSwgUi4gRC48L2F1dGhvcj48YXV0aG9y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PjwvYXV0aG9ycz48L2NvbnRyaWJ1dG9ycz48YXV0aC1hZGRyZXNzPkp1bGl1cyBDZW50ZXIgZm9y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</w:fldData>
        </w:fldChar>
      </w:r>
      <w:r w:rsidR="00735CC0">
        <w:rPr>
          <w:rFonts w:asciiTheme="minorHAnsi" w:eastAsiaTheme="minorHAnsi" w:hAnsiTheme="minorHAnsi" w:cstheme="minorBidi"/>
          <w:szCs w:val="22"/>
        </w:rPr>
        <w:instrText xml:space="preserve"> ADDIN EN.CITE </w:instrText>
      </w:r>
      <w:r w:rsidR="00735CC0">
        <w:rPr>
          <w:rFonts w:asciiTheme="minorHAnsi" w:eastAsiaTheme="minorHAnsi" w:hAnsiTheme="minorHAnsi" w:cstheme="minorBidi"/>
          <w:szCs w:val="22"/>
        </w:rPr>
        <w:fldChar w:fldCharType="begin">
          <w:fldData xml:space="preserve">PEVuZE5vdGU+PENpdGU+PEF1dGhvcj5Nb29uczwvQXV0aG9yPjxZZWFyPjIwMTk8L1llYXI+PFJl
Y051bT4xMjwvUmVjTnVtPjxEaXNwbGF5VGV4dD48c3R5bGUgZmFjZT0ic3VwZXJzY3JpcHQiPjU3
PC9zdHlsZT48L0Rpc3BsYXlUZXh0PjxyZWNvcmQ+PHJlYy1udW1iZXI+MTI8L3JlYy1udW1iZXI+
PGZvcmVpZ24ta2V5cz48a2V5IGFwcD0iRU4iIGRiLWlkPSJ0ZHdyeDl4ZDF6OWVlcGVldnIzNTV3
Mms5NTlydjBmNXphYXgiIHRpbWVzdGFtcD0iMTYzMjc1NTk2MiI+MTI8L2tleT48L2ZvcmVpZ24t
a2V5cz48cmVmLXR5cGUgbmFtZT0iSm91cm5hbCBBcnRpY2xlIj4xNzwvcmVmLXR5cGU+PGNvbnRy
aWJ1dG9ycz48YXV0aG9ycz48YXV0aG9yPk1vb25zLCBLLiBHLiBNLjwvYXV0aG9yPjxhdXRob3I+
V29sZmYsIFIuIEYuPC9hdXRob3I+PGF1dGhvcj5SaWxleSwgUi4gRC48L2F1dGhvcj48YXV0aG9y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PjwvYXV0aG9ycz48L2NvbnRyaWJ1dG9ycz48YXV0aC1hZGRyZXNzPkp1bGl1cyBDZW50ZXIgZm9y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</w:fldData>
        </w:fldChar>
      </w:r>
      <w:r w:rsidR="00735CC0">
        <w:rPr>
          <w:rFonts w:asciiTheme="minorHAnsi" w:eastAsiaTheme="minorHAnsi" w:hAnsiTheme="minorHAnsi" w:cstheme="minorBidi"/>
          <w:szCs w:val="22"/>
        </w:rPr>
        <w:instrText xml:space="preserve"> ADDIN EN.CITE.DATA </w:instrText>
      </w:r>
      <w:r w:rsidR="00735CC0">
        <w:rPr>
          <w:rFonts w:asciiTheme="minorHAnsi" w:eastAsiaTheme="minorHAnsi" w:hAnsiTheme="minorHAnsi" w:cstheme="minorBidi"/>
          <w:szCs w:val="22"/>
        </w:rPr>
      </w:r>
      <w:r w:rsidR="00735CC0">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r>
      <w:r w:rsidRPr="00734942">
        <w:rPr>
          <w:rFonts w:asciiTheme="minorHAnsi" w:eastAsiaTheme="minorHAnsi" w:hAnsiTheme="minorHAnsi" w:cstheme="minorBidi"/>
          <w:szCs w:val="22"/>
        </w:rPr>
        <w:fldChar w:fldCharType="separate"/>
      </w:r>
      <w:r w:rsidR="00735CC0" w:rsidRPr="00735CC0">
        <w:rPr>
          <w:rFonts w:asciiTheme="minorHAnsi" w:eastAsiaTheme="minorHAnsi" w:hAnsiTheme="minorHAnsi" w:cstheme="minorBidi"/>
          <w:noProof/>
          <w:szCs w:val="22"/>
          <w:vertAlign w:val="superscript"/>
        </w:rPr>
        <w:t>57</w:t>
      </w:r>
      <w:r w:rsidRPr="00734942">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t xml:space="preserve"> </w:t>
      </w:r>
    </w:p>
    <w:p w14:paraId="173F1C06" w14:textId="77777777" w:rsidR="00DF5EDB" w:rsidRPr="00734942"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Discrimination is the ability of the model to distinguish between those with and without CD, also known as the concordance or c statistic, and is identical to the area under the receiver operating characteristic curve (AUROC), in which sensitivity is plotted again 1 – specificity. If the c statistic = 0.5, the model has no predictive ability; if c statistic = 1, the model has perfect prediction.</w:t>
      </w:r>
    </w:p>
    <w:p w14:paraId="6B22C68D" w14:textId="4AA1226E" w:rsidR="00DF5EDB" w:rsidRPr="00734942"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Calibration is the agreement between predictions and observed outcomes. Calibration was assessed graphically using the calibration plot, which plots the predicted risk against the observed risk using centile population groups. In case of a perfect prediction the intercept = 0 and slope = 1. The calibration statistics were adjusted for sampling frequency.</w:t>
      </w:r>
    </w:p>
    <w:p w14:paraId="30280E27" w14:textId="09752064" w:rsidR="00DF5EDB" w:rsidRPr="00734942"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We assessed</w:t>
      </w:r>
      <w:r w:rsidR="00AF7A99" w:rsidRPr="00734942">
        <w:rPr>
          <w:rFonts w:asciiTheme="minorHAnsi" w:eastAsiaTheme="minorHAnsi" w:hAnsiTheme="minorHAnsi" w:cstheme="minorBidi"/>
          <w:szCs w:val="22"/>
        </w:rPr>
        <w:t xml:space="preserve"> amount of variability explained by model variables</w:t>
      </w:r>
      <w:r w:rsidRPr="00734942">
        <w:rPr>
          <w:rFonts w:asciiTheme="minorHAnsi" w:eastAsiaTheme="minorHAnsi" w:hAnsiTheme="minorHAnsi" w:cstheme="minorBidi"/>
          <w:szCs w:val="22"/>
        </w:rPr>
        <w:t xml:space="preserve"> </w:t>
      </w:r>
      <w:r w:rsidR="00AF7A99" w:rsidRPr="00734942">
        <w:rPr>
          <w:rFonts w:asciiTheme="minorHAnsi" w:eastAsiaTheme="minorHAnsi" w:hAnsiTheme="minorHAnsi" w:cstheme="minorBidi"/>
          <w:szCs w:val="22"/>
        </w:rPr>
        <w:t xml:space="preserve">with the Nagelkerke R-squared score and the </w:t>
      </w:r>
      <w:r w:rsidRPr="00734942">
        <w:rPr>
          <w:rFonts w:asciiTheme="minorHAnsi" w:eastAsiaTheme="minorHAnsi" w:hAnsiTheme="minorHAnsi" w:cstheme="minorBidi"/>
          <w:szCs w:val="22"/>
        </w:rPr>
        <w:t xml:space="preserve">overall (statistical) model fit </w:t>
      </w:r>
      <w:r w:rsidRPr="00734942" w:rsidDel="00AF7A99">
        <w:rPr>
          <w:rFonts w:asciiTheme="minorHAnsi" w:eastAsiaTheme="minorHAnsi" w:hAnsiTheme="minorHAnsi" w:cstheme="minorBidi"/>
          <w:szCs w:val="22"/>
        </w:rPr>
        <w:t xml:space="preserve">with the </w:t>
      </w:r>
      <w:r w:rsidR="00F44A7B" w:rsidRPr="00734942">
        <w:rPr>
          <w:rFonts w:asciiTheme="minorHAnsi" w:eastAsiaTheme="minorHAnsi" w:hAnsiTheme="minorHAnsi" w:cstheme="minorBidi"/>
          <w:szCs w:val="22"/>
        </w:rPr>
        <w:t>Brier score</w:t>
      </w:r>
      <w:r w:rsidRPr="00734942">
        <w:rPr>
          <w:rFonts w:asciiTheme="minorHAnsi" w:eastAsiaTheme="minorHAnsi" w:hAnsiTheme="minorHAnsi" w:cstheme="minorBidi"/>
          <w:szCs w:val="22"/>
        </w:rPr>
        <w:t>.</w:t>
      </w:r>
      <w:r w:rsidR="00EA1C17">
        <w:rPr>
          <w:rFonts w:asciiTheme="minorHAnsi" w:eastAsiaTheme="minorHAnsi" w:hAnsiTheme="minorHAnsi" w:cstheme="minorBidi"/>
          <w:szCs w:val="22"/>
        </w:rPr>
        <w:fldChar w:fldCharType="begin"/>
      </w:r>
      <w:r w:rsidR="00735CC0">
        <w:rPr>
          <w:rFonts w:asciiTheme="minorHAnsi" w:eastAsiaTheme="minorHAnsi" w:hAnsiTheme="minorHAnsi" w:cstheme="minorBidi"/>
          <w:szCs w:val="22"/>
        </w:rPr>
        <w:instrText xml:space="preserve"> ADDIN EN.CITE &lt;EndNote&gt;&lt;Cite&gt;&lt;Author&gt;Steyerberg&lt;/Author&gt;&lt;Year&gt;2019&lt;/Year&gt;&lt;RecNum&gt;1&lt;/RecNum&gt;&lt;DisplayText&gt;&lt;style face="superscript"&gt;46&lt;/style&gt;&lt;/DisplayText&gt;&lt;record&gt;&lt;rec-number&gt;1&lt;/rec-number&gt;&lt;foreign-keys&gt;&lt;key app="EN" db-id="tdwrx9xd1z9eepeevr355w2k959rv0f5zaax" timestamp="1632755960"&gt;1&lt;/key&gt;&lt;/foreign-keys&gt;&lt;ref-type name="Journal Article"&gt;17&lt;/ref-type&gt;&lt;contributors&gt;&lt;authors&gt;&lt;author&gt;Steyerberg, E.W.,&lt;/author&gt;&lt;/authors&gt;&lt;/contributors&gt;&lt;titles&gt;&lt;title&gt;Clinical Prediction Models. A Practical Approach to Development, Validation, and Updating. Second Edition.&lt;/title&gt;&lt;secondary-title&gt;Statistics for Biology and Health&lt;/secondary-title&gt;&lt;/titles&gt;&lt;periodical&gt;&lt;full-title&gt;Statistics for Biology and Health&lt;/full-title&gt;&lt;/periodical&gt;&lt;dates&gt;&lt;year&gt;2019&lt;/year&gt;&lt;/dates&gt;&lt;isbn&gt;2197-5671&lt;/isbn&gt;&lt;urls&gt;&lt;/urls&gt;&lt;electronic-resource-num&gt;10.1007/978-3-030-16399-0&lt;/electronic-resource-num&gt;&lt;/record&gt;&lt;/Cite&gt;&lt;/EndNote&gt;</w:instrText>
      </w:r>
      <w:r w:rsidR="00EA1C17">
        <w:rPr>
          <w:rFonts w:asciiTheme="minorHAnsi" w:eastAsiaTheme="minorHAnsi" w:hAnsiTheme="minorHAnsi" w:cstheme="minorBidi"/>
          <w:szCs w:val="22"/>
        </w:rPr>
        <w:fldChar w:fldCharType="separate"/>
      </w:r>
      <w:r w:rsidR="00735CC0" w:rsidRPr="00735CC0">
        <w:rPr>
          <w:rFonts w:asciiTheme="minorHAnsi" w:eastAsiaTheme="minorHAnsi" w:hAnsiTheme="minorHAnsi" w:cstheme="minorBidi"/>
          <w:noProof/>
          <w:szCs w:val="22"/>
          <w:vertAlign w:val="superscript"/>
        </w:rPr>
        <w:t>46</w:t>
      </w:r>
      <w:r w:rsidR="00EA1C17">
        <w:rPr>
          <w:rFonts w:asciiTheme="minorHAnsi" w:eastAsiaTheme="minorHAnsi" w:hAnsiTheme="minorHAnsi" w:cstheme="minorBidi"/>
          <w:szCs w:val="22"/>
        </w:rPr>
        <w:fldChar w:fldCharType="end"/>
      </w:r>
    </w:p>
    <w:p w14:paraId="0BB3BC9F" w14:textId="77777777" w:rsidR="00DF5EDB" w:rsidRPr="00734942" w:rsidRDefault="00DF5EDB" w:rsidP="00583860">
      <w:pPr>
        <w:pStyle w:val="Heading4"/>
      </w:pPr>
      <w:r w:rsidRPr="00734942">
        <w:t>Internal validation</w:t>
      </w:r>
    </w:p>
    <w:p w14:paraId="0A553111" w14:textId="14D43E4B" w:rsidR="00DF5EDB" w:rsidRPr="00734942" w:rsidRDefault="00DF5EDB" w:rsidP="00C81440">
      <w:pPr>
        <w:pStyle w:val="NormalIndent"/>
        <w:ind w:left="0"/>
        <w:rPr>
          <w:rFonts w:asciiTheme="minorHAnsi" w:eastAsiaTheme="minorHAnsi" w:hAnsiTheme="minorHAnsi" w:cstheme="minorBidi"/>
          <w:szCs w:val="22"/>
        </w:rPr>
      </w:pPr>
      <w:r w:rsidRPr="00734942">
        <w:rPr>
          <w:rFonts w:asciiTheme="minorHAnsi" w:eastAsiaTheme="minorHAnsi" w:hAnsiTheme="minorHAnsi" w:cstheme="minorBidi"/>
          <w:szCs w:val="22"/>
        </w:rPr>
        <w:t>We performed internal validation of the model using bootstrapping methods.</w:t>
      </w:r>
      <w:r w:rsidRPr="00734942">
        <w:rPr>
          <w:rFonts w:asciiTheme="minorHAnsi" w:eastAsiaTheme="minorHAnsi" w:hAnsiTheme="minorHAnsi" w:cstheme="minorBidi"/>
          <w:szCs w:val="22"/>
        </w:rPr>
        <w:fldChar w:fldCharType="begin">
          <w:fldData xml:space="preserve">PEVuZE5vdGU+PENpdGU+PEF1dGhvcj5Nb29uczwvQXV0aG9yPjxZZWFyPjIwMTk8L1llYXI+PFJl
Y051bT4xMjwvUmVjTnVtPjxEaXNwbGF5VGV4dD48c3R5bGUgZmFjZT0ic3VwZXJzY3JpcHQiPjU3
PC9zdHlsZT48L0Rpc3BsYXlUZXh0PjxyZWNvcmQ+PHJlYy1udW1iZXI+MTI8L3JlYy1udW1iZXI+
PGZvcmVpZ24ta2V5cz48a2V5IGFwcD0iRU4iIGRiLWlkPSJ0ZHdyeDl4ZDF6OWVlcGVldnIzNTV3
Mms5NTlydjBmNXphYXgiIHRpbWVzdGFtcD0iMTYzMjc1NTk2MiI+MTI8L2tleT48L2ZvcmVpZ24t
a2V5cz48cmVmLXR5cGUgbmFtZT0iSm91cm5hbCBBcnRpY2xlIj4xNzwvcmVmLXR5cGU+PGNvbnRy
aWJ1dG9ycz48YXV0aG9ycz48YXV0aG9yPk1vb25zLCBLLiBHLiBNLjwvYXV0aG9yPjxhdXRob3I+
V29sZmYsIFIuIEYuPC9hdXRob3I+PGF1dGhvcj5SaWxleSwgUi4gRC48L2F1dGhvcj48YXV0aG9y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PjwvYXV0aG9ycz48L2NvbnRyaWJ1dG9ycz48YXV0aC1hZGRyZXNzPkp1bGl1cyBDZW50ZXIgZm9y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</w:fldData>
        </w:fldChar>
      </w:r>
      <w:r w:rsidR="00735CC0">
        <w:rPr>
          <w:rFonts w:asciiTheme="minorHAnsi" w:eastAsiaTheme="minorHAnsi" w:hAnsiTheme="minorHAnsi" w:cstheme="minorBidi"/>
          <w:szCs w:val="22"/>
        </w:rPr>
        <w:instrText xml:space="preserve"> ADDIN EN.CITE </w:instrText>
      </w:r>
      <w:r w:rsidR="00735CC0">
        <w:rPr>
          <w:rFonts w:asciiTheme="minorHAnsi" w:eastAsiaTheme="minorHAnsi" w:hAnsiTheme="minorHAnsi" w:cstheme="minorBidi"/>
          <w:szCs w:val="22"/>
        </w:rPr>
        <w:fldChar w:fldCharType="begin">
          <w:fldData xml:space="preserve">PEVuZE5vdGU+PENpdGU+PEF1dGhvcj5Nb29uczwvQXV0aG9yPjxZZWFyPjIwMTk8L1llYXI+PFJl
Y051bT4xMjwvUmVjTnVtPjxEaXNwbGF5VGV4dD48c3R5bGUgZmFjZT0ic3VwZXJzY3JpcHQiPjU3
PC9zdHlsZT48L0Rpc3BsYXlUZXh0PjxyZWNvcmQ+PHJlYy1udW1iZXI+MTI8L3JlYy1udW1iZXI+
PGZvcmVpZ24ta2V5cz48a2V5IGFwcD0iRU4iIGRiLWlkPSJ0ZHdyeDl4ZDF6OWVlcGVldnIzNTV3
Mms5NTlydjBmNXphYXgiIHRpbWVzdGFtcD0iMTYzMjc1NTk2MiI+MTI8L2tleT48L2ZvcmVpZ24t
a2V5cz48cmVmLXR5cGUgbmFtZT0iSm91cm5hbCBBcnRpY2xlIj4xNzwvcmVmLXR5cGU+PGNvbnRy
aWJ1dG9ycz48YXV0aG9ycz48YXV0aG9yPk1vb25zLCBLLiBHLiBNLjwvYXV0aG9yPjxhdXRob3I+
V29sZmYsIFIuIEYuPC9hdXRob3I+PGF1dGhvcj5SaWxleSwgUi4gRC48L2F1dGhvcj48YXV0aG9y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PjwvYXV0aG9ycz48L2NvbnRyaWJ1dG9ycz48YXV0aC1hZGRyZXNzPkp1bGl1cyBDZW50ZXIgZm9y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</w:fldData>
        </w:fldChar>
      </w:r>
      <w:r w:rsidR="00735CC0">
        <w:rPr>
          <w:rFonts w:asciiTheme="minorHAnsi" w:eastAsiaTheme="minorHAnsi" w:hAnsiTheme="minorHAnsi" w:cstheme="minorBidi"/>
          <w:szCs w:val="22"/>
        </w:rPr>
        <w:instrText xml:space="preserve"> ADDIN EN.CITE.DATA </w:instrText>
      </w:r>
      <w:r w:rsidR="00735CC0">
        <w:rPr>
          <w:rFonts w:asciiTheme="minorHAnsi" w:eastAsiaTheme="minorHAnsi" w:hAnsiTheme="minorHAnsi" w:cstheme="minorBidi"/>
          <w:szCs w:val="22"/>
        </w:rPr>
      </w:r>
      <w:r w:rsidR="00735CC0">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r>
      <w:r w:rsidRPr="00734942">
        <w:rPr>
          <w:rFonts w:asciiTheme="minorHAnsi" w:eastAsiaTheme="minorHAnsi" w:hAnsiTheme="minorHAnsi" w:cstheme="minorBidi"/>
          <w:szCs w:val="22"/>
        </w:rPr>
        <w:fldChar w:fldCharType="separate"/>
      </w:r>
      <w:r w:rsidR="00735CC0" w:rsidRPr="00735CC0">
        <w:rPr>
          <w:rFonts w:asciiTheme="minorHAnsi" w:eastAsiaTheme="minorHAnsi" w:hAnsiTheme="minorHAnsi" w:cstheme="minorBidi"/>
          <w:noProof/>
          <w:szCs w:val="22"/>
          <w:vertAlign w:val="superscript"/>
        </w:rPr>
        <w:t>57</w:t>
      </w:r>
      <w:r w:rsidRPr="00734942">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t xml:space="preserve"> We fitted the final model using elastic net regression with the predefined optimal lambda and alpha values on 1000 bootstrap samples to estimate the median of each coefficient and calculate empirical confidence intervals around the coefficients. The elastic net regression uses shrinkage to adjust for overfitting and optimism. Using the 1000 model fits, we calculated the median and empirical confidence intervals for performance statistics (r squared, Brier score, and c statistic). To estimate the median and empirical confidence intervals for the intercept and calibration statistics, we inflated the control group by random sampling to a case control ratio of 1:99 for each bootstrap sample and fitted the final model on this dataset. </w:t>
      </w:r>
    </w:p>
    <w:p w14:paraId="014814D3" w14:textId="77777777" w:rsidR="00DF5EDB" w:rsidRPr="00734942" w:rsidRDefault="00DF5EDB" w:rsidP="00583860">
      <w:pPr>
        <w:pStyle w:val="Heading4"/>
      </w:pPr>
      <w:r w:rsidRPr="00734942">
        <w:t>Sensitivity analyses</w:t>
      </w:r>
    </w:p>
    <w:p w14:paraId="4553863E" w14:textId="77777777" w:rsidR="00DF5EDB" w:rsidRPr="00734942" w:rsidRDefault="00DF5EDB" w:rsidP="00954B0C">
      <w:pPr>
        <w:pStyle w:val="Heading5"/>
      </w:pPr>
      <w:r w:rsidRPr="00734942">
        <w:t>Data since 1997</w:t>
      </w:r>
    </w:p>
    <w:p w14:paraId="3051DD14" w14:textId="77777777" w:rsidR="00DF5EDB" w:rsidRPr="00734942" w:rsidRDefault="00DF5EDB" w:rsidP="00DF5EDB">
      <w:r w:rsidRPr="00734942">
        <w:t>We performed a sensitivity analysis restricting to patients diagnosed after 1997, because in this year IgA tTG tests were first developed, which are now the preferred serological test for screening for CD. Model development as described above was repeated on this dataset. We used the c-statistic to determine whether model performance was improved using this dataset.</w:t>
      </w:r>
    </w:p>
    <w:p w14:paraId="4F9B246D" w14:textId="0800C135" w:rsidR="00DF5EDB" w:rsidRPr="00734942" w:rsidRDefault="00DF5EDB" w:rsidP="00954B0C">
      <w:pPr>
        <w:pStyle w:val="Heading5"/>
      </w:pPr>
      <w:r w:rsidRPr="00734942">
        <w:t>Linkages: Including ethnicity and deprivation</w:t>
      </w:r>
    </w:p>
    <w:p w14:paraId="0DD1537A" w14:textId="67EA67F5" w:rsidR="00DF5EDB" w:rsidRPr="00734942" w:rsidRDefault="00DF5EDB" w:rsidP="00DF5EDB">
      <w:r w:rsidRPr="00734942">
        <w:t>Datasets were linked to HES and IMD2019 data in order to consider ethnicity and deprivation</w:t>
      </w:r>
      <w:r w:rsidR="0034689E">
        <w:t>, which are not measured in CPRD,</w:t>
      </w:r>
      <w:r w:rsidRPr="00734942">
        <w:t xml:space="preserve"> as </w:t>
      </w:r>
      <w:r w:rsidR="0034689E">
        <w:t>additional</w:t>
      </w:r>
      <w:r w:rsidRPr="00734942">
        <w:t xml:space="preserve"> candidate </w:t>
      </w:r>
      <w:r w:rsidR="00432830">
        <w:t>diagnostic indicat</w:t>
      </w:r>
      <w:r w:rsidRPr="00734942">
        <w:t xml:space="preserve">ors. </w:t>
      </w:r>
      <w:r w:rsidR="00D87CED">
        <w:t xml:space="preserve">We </w:t>
      </w:r>
      <w:r w:rsidR="00222064">
        <w:t xml:space="preserve">repeated the model development as described above on the subset of patients who </w:t>
      </w:r>
      <w:r w:rsidR="00513A8A">
        <w:t>were successfully linked to HES and IMD2019 data.</w:t>
      </w:r>
      <w:r w:rsidRPr="00734942">
        <w:t xml:space="preserve"> Ethnicity was transformed to a binary variable (white or non-white). Deprivation deciles were used as deprivation score, where 1 represents the highest levels of deprivation and 10 the lowest. We used the c-statistic to determine whether model performance was improved by including ethnicity and deprivation.</w:t>
      </w:r>
    </w:p>
    <w:p w14:paraId="327C15AF" w14:textId="77777777" w:rsidR="00DF5EDB" w:rsidRPr="00734942" w:rsidRDefault="00DF5EDB" w:rsidP="00583860">
      <w:pPr>
        <w:pStyle w:val="Heading4"/>
      </w:pPr>
      <w:r w:rsidRPr="00734942">
        <w:lastRenderedPageBreak/>
        <w:t>Clinical usefulness</w:t>
      </w:r>
    </w:p>
    <w:p w14:paraId="5D58B469" w14:textId="5A7A12E8" w:rsidR="00DF5EDB" w:rsidRPr="00734942" w:rsidRDefault="00DF5EDB" w:rsidP="00DF5EDB">
      <w:r w:rsidRPr="00734942">
        <w:t xml:space="preserve">We calculated the sensitivity and specificity of the prediction models for different thresholds of predicted CD risk. </w:t>
      </w:r>
      <w:r w:rsidR="008B07DF" w:rsidRPr="00734942">
        <w:t xml:space="preserve">The thresholds were chosen based on the positive predictive values (PPV) of the prediction model and percentage CD patients missed </w:t>
      </w:r>
      <w:r w:rsidR="008B07DF">
        <w:t xml:space="preserve">at that threshold </w:t>
      </w:r>
      <w:r w:rsidR="008B07DF" w:rsidRPr="00734942">
        <w:t>(i.e., the percentage of false negatives amongst CD patients).</w:t>
      </w:r>
      <w:r w:rsidR="00FD1921">
        <w:t xml:space="preserve"> </w:t>
      </w:r>
      <w:r w:rsidRPr="00734942">
        <w:t xml:space="preserve">The pre-test probability for the general population is 1%, so </w:t>
      </w:r>
      <w:r w:rsidRPr="00734942" w:rsidDel="00D85936">
        <w:t xml:space="preserve">we </w:t>
      </w:r>
      <w:r w:rsidR="00D85936">
        <w:t>specified model thresholds that corresponded to</w:t>
      </w:r>
      <w:r w:rsidRPr="00734942" w:rsidDel="00C01C21">
        <w:t xml:space="preserve"> </w:t>
      </w:r>
      <w:r w:rsidR="00C6249F">
        <w:t>PPVs of</w:t>
      </w:r>
      <w:r w:rsidRPr="00734942">
        <w:t xml:space="preserve"> 1.5%, 2%, 5%, 10%, and 20%. We also report percentage of CD patients missed at each threshold, i.e., the percentage of people with CD who would not be picked up by the prediction </w:t>
      </w:r>
      <w:r w:rsidR="004B2568">
        <w:t>model</w:t>
      </w:r>
      <w:r w:rsidRPr="00734942">
        <w:t>.</w:t>
      </w:r>
    </w:p>
    <w:p w14:paraId="2F0E182E" w14:textId="77777777" w:rsidR="00DF5EDB" w:rsidRPr="00734942" w:rsidRDefault="00DF5EDB" w:rsidP="00583860">
      <w:pPr>
        <w:pStyle w:val="Heading3"/>
      </w:pPr>
      <w:bookmarkStart w:id="119" w:name="_Toc99539842"/>
      <w:r w:rsidRPr="00734942">
        <w:t>External validation</w:t>
      </w:r>
      <w:bookmarkEnd w:id="119"/>
    </w:p>
    <w:p w14:paraId="4AC2761A" w14:textId="77777777" w:rsidR="00DF5EDB" w:rsidRPr="00734942" w:rsidRDefault="00DF5EDB" w:rsidP="00583860">
      <w:pPr>
        <w:pStyle w:val="Heading4"/>
      </w:pPr>
      <w:r w:rsidRPr="00734942">
        <w:t>Sources of data</w:t>
      </w:r>
    </w:p>
    <w:p w14:paraId="213991AC" w14:textId="3775AE68" w:rsidR="00DF5EDB" w:rsidRPr="00734942" w:rsidRDefault="00DF5EDB" w:rsidP="00DF5EDB">
      <w:r w:rsidRPr="00734942">
        <w:t>External validation was performed in CPRD AURUM,</w:t>
      </w:r>
      <w:r w:rsidRPr="00734942">
        <w:fldChar w:fldCharType="begin"/>
      </w:r>
      <w:r w:rsidR="00735CC0">
        <w:instrText xml:space="preserve"> ADDIN EN.CITE &lt;EndNote&gt;&lt;Cite&gt;&lt;Author&gt;Wolf&lt;/Author&gt;&lt;Year&gt;2019&lt;/Year&gt;&lt;RecNum&gt;13&lt;/RecNum&gt;&lt;DisplayText&gt;&lt;style face="superscript"&gt;58&lt;/style&gt;&lt;/DisplayText&gt;&lt;record&gt;&lt;rec-number&gt;13&lt;/rec-number&gt;&lt;foreign-keys&gt;&lt;key app="EN" db-id="tdwrx9xd1z9eepeevr355w2k959rv0f5zaax" timestamp="1632755963"&gt;13&lt;/key&gt;&lt;/foreign-keys&gt;&lt;ref-type name="Journal Article"&gt;17&lt;/ref-type&gt;&lt;contributors&gt;&lt;authors&gt;&lt;author&gt;Wolf, A.&lt;/author&gt;&lt;author&gt;Dedman, D.&lt;/author&gt;&lt;author&gt;Campbell, J.&lt;/author&gt;&lt;author&gt;Booth, H.&lt;/author&gt;&lt;author&gt;Lunn, D.&lt;/author&gt;&lt;author&gt;Chapman, J.&lt;/author&gt;&lt;author&gt;Myles, P.&lt;/author&gt;&lt;/authors&gt;&lt;/contributors&gt;&lt;auth-address&gt;Clinical Practice Research Datalink, Medicines and Healthcare Products Regulatory Agency, London, UK.&lt;/auth-address&gt;&lt;titles&gt;&lt;title&gt;Data resource profile: Clinical Practice Research Datalink (CPRD) Aurum&lt;/title&gt;&lt;secondary-title&gt;Int J Epidemiol&lt;/secondary-title&gt;&lt;/titles&gt;&lt;periodical&gt;&lt;full-title&gt;Int J Epidemiol&lt;/full-title&gt;&lt;/periodical&gt;&lt;pages&gt;1740-1740g&lt;/pages&gt;&lt;volume&gt;48&lt;/volume&gt;&lt;number&gt;6&lt;/number&gt;&lt;edition&gt;2019/03/13&lt;/edition&gt;&lt;keywords&gt;&lt;keyword&gt;Adolescent&lt;/keyword&gt;&lt;keyword&gt;Adult&lt;/keyword&gt;&lt;keyword&gt;Aged&lt;/keyword&gt;&lt;keyword&gt;Aged, 80 and over&lt;/keyword&gt;&lt;keyword&gt;Biomedical Research&lt;/keyword&gt;&lt;keyword&gt;Child&lt;/keyword&gt;&lt;keyword&gt;Child, Preschool&lt;/keyword&gt;&lt;keyword&gt;Data Accuracy&lt;/keyword&gt;&lt;keyword&gt;*Databases as Topic&lt;/keyword&gt;&lt;keyword&gt;*Electronic Health Records&lt;/keyword&gt;&lt;keyword&gt;Female&lt;/keyword&gt;&lt;keyword&gt;Humans&lt;/keyword&gt;&lt;keyword&gt;Infant&lt;/keyword&gt;&lt;keyword&gt;Infant, Newborn&lt;/keyword&gt;&lt;keyword&gt;Male&lt;/keyword&gt;&lt;keyword&gt;Middle Aged&lt;/keyword&gt;&lt;keyword&gt;*Primary Health Care&lt;/keyword&gt;&lt;keyword&gt;United Kingdom&lt;/keyword&gt;&lt;keyword&gt;Young Adult&lt;/keyword&gt;&lt;/keywords&gt;&lt;dates&gt;&lt;year&gt;2019&lt;/year&gt;&lt;pub-dates&gt;&lt;date&gt;Dec 1&lt;/date&gt;&lt;/pub-dates&gt;&lt;/dates&gt;&lt;isbn&gt;1464-3685 (Electronic)&amp;#xD;0300-5771 (Linking)&lt;/isbn&gt;&lt;accession-num&gt;30859197&lt;/accession-num&gt;&lt;urls&gt;&lt;related-urls&gt;&lt;url&gt;https://www.ncbi.nlm.nih.gov/pubmed/30859197&lt;/url&gt;&lt;/related-urls&gt;&lt;/urls&gt;&lt;custom2&gt;PMC6929522&lt;/custom2&gt;&lt;electronic-resource-num&gt;10.1093/ije/dyz034&lt;/electronic-resource-num&gt;&lt;/record&gt;&lt;/Cite&gt;&lt;/EndNote&gt;</w:instrText>
      </w:r>
      <w:r w:rsidRPr="00734942">
        <w:fldChar w:fldCharType="separate"/>
      </w:r>
      <w:r w:rsidR="00735CC0" w:rsidRPr="00735CC0">
        <w:rPr>
          <w:noProof/>
          <w:vertAlign w:val="superscript"/>
        </w:rPr>
        <w:t>58</w:t>
      </w:r>
      <w:r w:rsidRPr="00734942">
        <w:fldChar w:fldCharType="end"/>
      </w:r>
      <w:r w:rsidRPr="00734942">
        <w:t xml:space="preserve"> which is another primary care dataset provided by CPRD</w:t>
      </w:r>
      <w:r w:rsidR="004B2568">
        <w:t>.</w:t>
      </w:r>
      <w:r w:rsidRPr="00734942">
        <w:t xml:space="preserve"> </w:t>
      </w:r>
      <w:r w:rsidR="004B2568">
        <w:t>This</w:t>
      </w:r>
      <w:r w:rsidRPr="00734942">
        <w:t xml:space="preserve"> contains electronic health records from GP practices in England using the EMIS® software system. CPRD AURUM is a larger dataset than CPRD Gold and contains over 40 million research acceptable patients of which 37 million are eligible for linkages with hospital records and national statistics</w:t>
      </w:r>
      <w:r w:rsidR="001D4B47" w:rsidRPr="00734942">
        <w:t>.</w:t>
      </w:r>
      <w:r w:rsidR="001D4B47" w:rsidRPr="00734942">
        <w:fldChar w:fldCharType="begin"/>
      </w:r>
      <w:r w:rsidR="00735CC0">
        <w:instrText xml:space="preserve"> ADDIN EN.CITE &lt;EndNote&gt;&lt;Cite&gt;&lt;Author&gt;Clinical Practice Research Datalink&lt;/Author&gt;&lt;Year&gt;2021&lt;/Year&gt;&lt;RecNum&gt;453&lt;/RecNum&gt;&lt;DisplayText&gt;&lt;style face="superscript"&gt;59&lt;/style&gt;&lt;/DisplayText&gt;&lt;record&gt;&lt;rec-number&gt;453&lt;/rec-number&gt;&lt;foreign-keys&gt;&lt;key app="EN" db-id="tdwrx9xd1z9eepeevr355w2k959rv0f5zaax" timestamp="1636542650"&gt;453&lt;/key&gt;&lt;/foreign-keys&gt;&lt;ref-type name="Journal Article"&gt;17&lt;/ref-type&gt;&lt;contributors&gt;&lt;authors&gt;&lt;author&gt;Clinical Practice Research Datalink,&lt;/author&gt;&lt;/authors&gt;&lt;/contributors&gt;&lt;titles&gt;&lt;title&gt;CPRD Aurum June 2021 (Version 2021.06.001)&lt;/title&gt;&lt;secondary-title&gt;Clinical Practice Research Datalink&lt;/secondary-title&gt;&lt;/titles&gt;&lt;periodical&gt;&lt;full-title&gt;Clinical Practice Research Datalink&lt;/full-title&gt;&lt;/periodical&gt;&lt;dates&gt;&lt;year&gt;2021&lt;/year&gt;&lt;/dates&gt;&lt;urls&gt;&lt;related-urls&gt;&lt;url&gt;https://doi.org/10.48329/pyc2-we97&lt;/url&gt;&lt;/related-urls&gt;&lt;/urls&gt;&lt;electronic-resource-num&gt;&lt;style face="underline" font="default" size="100%"&gt;10.48329/pyc2-we97&lt;/style&gt;&lt;/electronic-resource-num&gt;&lt;/record&gt;&lt;/Cite&gt;&lt;/EndNote&gt;</w:instrText>
      </w:r>
      <w:r w:rsidR="001D4B47" w:rsidRPr="00734942">
        <w:fldChar w:fldCharType="separate"/>
      </w:r>
      <w:r w:rsidR="00735CC0" w:rsidRPr="00735CC0">
        <w:rPr>
          <w:noProof/>
          <w:vertAlign w:val="superscript"/>
        </w:rPr>
        <w:t>59</w:t>
      </w:r>
      <w:r w:rsidR="001D4B47" w:rsidRPr="00734942">
        <w:fldChar w:fldCharType="end"/>
      </w:r>
      <w:r w:rsidRPr="00734942">
        <w:t xml:space="preserve"> The included patients are broadly representative of the UK general population regarding age, sex, deprivation, and geographical spread.</w:t>
      </w:r>
    </w:p>
    <w:p w14:paraId="38963F3D" w14:textId="3BFDB911" w:rsidR="00DF5EDB" w:rsidRPr="00734942" w:rsidRDefault="00DF5EDB" w:rsidP="00DF5EDB">
      <w:r w:rsidRPr="00734942">
        <w:t>The cohort was defined as described for CPRD Gold, with the only difference that CPRD AURUM does not report UTS dates, so this could not be taken into account when defining study start and end dates.</w:t>
      </w:r>
      <w:r w:rsidR="00CD4F38">
        <w:t xml:space="preserve"> Patients w</w:t>
      </w:r>
      <w:r w:rsidR="004F373C">
        <w:t xml:space="preserve">ith records in both CPRD Gold and Aurum dataset, for instance because their GP practice </w:t>
      </w:r>
      <w:r w:rsidR="004425D0">
        <w:t>switched</w:t>
      </w:r>
      <w:r w:rsidR="00AB4586">
        <w:t xml:space="preserve"> software </w:t>
      </w:r>
      <w:r w:rsidR="004425D0">
        <w:t xml:space="preserve">systems </w:t>
      </w:r>
      <w:r w:rsidR="00AB4586">
        <w:t>or a patient moved to a different</w:t>
      </w:r>
      <w:r w:rsidR="00E31E0F">
        <w:t xml:space="preserve"> GP</w:t>
      </w:r>
      <w:r w:rsidR="00AB4586">
        <w:t xml:space="preserve"> practice that used another </w:t>
      </w:r>
      <w:r w:rsidR="004425D0">
        <w:t xml:space="preserve">software, </w:t>
      </w:r>
      <w:r w:rsidR="004F373C">
        <w:t>were removed from the Aurum dataset.</w:t>
      </w:r>
    </w:p>
    <w:p w14:paraId="7704D322" w14:textId="4792E7CF" w:rsidR="00DF5EDB" w:rsidRPr="00734942" w:rsidRDefault="00432830" w:rsidP="00583860">
      <w:pPr>
        <w:pStyle w:val="Heading4"/>
      </w:pPr>
      <w:r>
        <w:t>Diagnostic indicat</w:t>
      </w:r>
      <w:r w:rsidR="00DF5EDB" w:rsidRPr="00734942">
        <w:t>ors and code lists</w:t>
      </w:r>
    </w:p>
    <w:p w14:paraId="0F24C69A" w14:textId="298E9D95" w:rsidR="00DF5EDB" w:rsidRPr="00734942" w:rsidRDefault="00DF5EDB" w:rsidP="00DF5EDB">
      <w:r w:rsidRPr="00734942">
        <w:t xml:space="preserve">The code lists developed for CPRD Gold were mapped to medical codes used in Aurum (Med Code ID) </w:t>
      </w:r>
      <w:r w:rsidR="00BC4778">
        <w:t>u</w:t>
      </w:r>
      <w:r w:rsidRPr="00734942">
        <w:t>sing the code browser tool from CPRD, Read codes were mapped directly to Med Code IDs as well as indirectly via SNOMED Concept IDs to capture all codes related to the Read codes. The mapped lists were checked by hand before use</w:t>
      </w:r>
      <w:r w:rsidR="00962ABE" w:rsidRPr="00734942">
        <w:t xml:space="preserve"> (</w:t>
      </w:r>
      <w:r w:rsidR="002A6F41" w:rsidRPr="003D0CE5">
        <w:t xml:space="preserve">Supplementary </w:t>
      </w:r>
      <w:r w:rsidR="00561612">
        <w:t>Table S7</w:t>
      </w:r>
      <w:r w:rsidR="00962ABE" w:rsidRPr="00D871F3">
        <w:t>)</w:t>
      </w:r>
      <w:r w:rsidRPr="003D0CE5">
        <w:t>.</w:t>
      </w:r>
    </w:p>
    <w:p w14:paraId="10E3B02E" w14:textId="4ED30AFB" w:rsidR="00DF5EDB" w:rsidRPr="00734942" w:rsidRDefault="00DF5EDB" w:rsidP="00DF5EDB">
      <w:r w:rsidRPr="00734942">
        <w:t xml:space="preserve">The </w:t>
      </w:r>
      <w:r w:rsidRPr="00734942">
        <w:rPr>
          <w:i/>
          <w:iCs/>
        </w:rPr>
        <w:t>famnum</w:t>
      </w:r>
      <w:r w:rsidRPr="00734942">
        <w:t xml:space="preserve"> variable that was used in CPRD Gold to derive the </w:t>
      </w:r>
      <w:r w:rsidR="00D04057" w:rsidRPr="00734942">
        <w:t xml:space="preserve">first-degree relatives </w:t>
      </w:r>
      <w:r w:rsidR="00432830">
        <w:t>indicat</w:t>
      </w:r>
      <w:r w:rsidRPr="00734942">
        <w:t xml:space="preserve">or does not exist in AURUM. To account for this, we present all model performance measures as a range for individuals with and individuals without a </w:t>
      </w:r>
      <w:r w:rsidR="00806FE6" w:rsidRPr="00734942">
        <w:t>first</w:t>
      </w:r>
      <w:r w:rsidR="00806FE6">
        <w:t>-</w:t>
      </w:r>
      <w:r w:rsidR="00D04057" w:rsidRPr="00734942">
        <w:t xml:space="preserve">degree relative </w:t>
      </w:r>
      <w:r w:rsidRPr="00734942">
        <w:t>with CD.</w:t>
      </w:r>
    </w:p>
    <w:p w14:paraId="09EA8AF6" w14:textId="77777777" w:rsidR="00DF5EDB" w:rsidRPr="00734942" w:rsidRDefault="00DF5EDB" w:rsidP="00583860">
      <w:pPr>
        <w:pStyle w:val="Heading4"/>
      </w:pPr>
      <w:r w:rsidRPr="00734942">
        <w:t>Validation</w:t>
      </w:r>
    </w:p>
    <w:p w14:paraId="05E1C654" w14:textId="77777777" w:rsidR="00DF5EDB" w:rsidRPr="00734942" w:rsidRDefault="00DF5EDB" w:rsidP="00DF5EDB">
      <w:r w:rsidRPr="00734942">
        <w:t>Predictions were made for the patients in Aurum using the intercepts and coefficients from the models developed in CPRD Gold. Model performance statistics were calculated as described above.</w:t>
      </w:r>
    </w:p>
    <w:p w14:paraId="41823884" w14:textId="77777777" w:rsidR="00DF5EDB" w:rsidRPr="00734942" w:rsidRDefault="00DF5EDB" w:rsidP="00583860">
      <w:pPr>
        <w:pStyle w:val="Heading3"/>
      </w:pPr>
      <w:bookmarkStart w:id="120" w:name="_Toc99539843"/>
      <w:r w:rsidRPr="00734942">
        <w:t>Model development in ALSPAC</w:t>
      </w:r>
      <w:bookmarkEnd w:id="120"/>
    </w:p>
    <w:p w14:paraId="3BBEFC0A" w14:textId="77777777" w:rsidR="00DF5EDB" w:rsidRPr="00734942" w:rsidRDefault="00DF5EDB" w:rsidP="00583860">
      <w:pPr>
        <w:pStyle w:val="Heading4"/>
      </w:pPr>
      <w:r w:rsidRPr="00734942">
        <w:t>Sources of data</w:t>
      </w:r>
    </w:p>
    <w:p w14:paraId="3E687112" w14:textId="72D60D18" w:rsidR="005A11F5" w:rsidRDefault="00DF5EDB" w:rsidP="00DF5EDB">
      <w:r w:rsidRPr="00734942">
        <w:t>We requested individual participant data from the Avon Longitudinal Study of Parents and Children (ALSPAC), a population based cohort study established in 1990.</w:t>
      </w:r>
      <w:r w:rsidRPr="00734942">
        <w:fldChar w:fldCharType="begin">
          <w:fldData xml:space="preserve">PEVuZE5vdGU+PENpdGU+PEF1dGhvcj5Hb2xkaW5nPC9BdXRob3I+PFllYXI+MjAwMTwvWWVhcj48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</w:fldData>
        </w:fldChar>
      </w:r>
      <w:r w:rsidR="00735CC0">
        <w:instrText xml:space="preserve"> ADDIN EN.CITE </w:instrText>
      </w:r>
      <w:r w:rsidR="00735CC0">
        <w:fldChar w:fldCharType="begin">
          <w:fldData xml:space="preserve">PEVuZE5vdGU+PENpdGU+PEF1dGhvcj5Hb2xkaW5nPC9BdXRob3I+PFllYXI+MjAwMTwvWWVhcj48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60-62</w:t>
      </w:r>
      <w:r w:rsidRPr="00734942">
        <w:fldChar w:fldCharType="end"/>
      </w:r>
      <w:r w:rsidRPr="00734942">
        <w:t xml:space="preserve"> </w:t>
      </w:r>
      <w:r w:rsidR="005D5AF4" w:rsidRPr="00734942">
        <w:t>A sub-study of ALSPAC published in 2004,</w:t>
      </w:r>
      <w:r w:rsidR="005D5AF4" w:rsidRPr="00734942">
        <w:fldChar w:fldCharType="begin">
          <w:fldData xml:space="preserve">PEVuZE5vdGU+PENpdGU+PEF1dGhvcj5CaW5nbGV5PC9BdXRob3I+PFllYXI+MjAwNDwvWWVhcj48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</w:fldData>
        </w:fldChar>
      </w:r>
      <w:r w:rsidR="00735CC0">
        <w:instrText xml:space="preserve"> ADDIN EN.CITE </w:instrText>
      </w:r>
      <w:r w:rsidR="00735CC0">
        <w:fldChar w:fldCharType="begin">
          <w:fldData xml:space="preserve">PEVuZE5vdGU+PENpdGU+PEF1dGhvcj5CaW5nbGV5PC9BdXRob3I+PFllYXI+MjAwNDwvWWVhcj48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</w:fldData>
        </w:fldChar>
      </w:r>
      <w:r w:rsidR="00735CC0">
        <w:instrText xml:space="preserve"> ADDIN EN.CITE.DATA </w:instrText>
      </w:r>
      <w:r w:rsidR="00735CC0">
        <w:fldChar w:fldCharType="end"/>
      </w:r>
      <w:r w:rsidR="005D5AF4" w:rsidRPr="00734942">
        <w:fldChar w:fldCharType="separate"/>
      </w:r>
      <w:r w:rsidR="00735CC0" w:rsidRPr="00735CC0">
        <w:rPr>
          <w:noProof/>
          <w:vertAlign w:val="superscript"/>
        </w:rPr>
        <w:t>63</w:t>
      </w:r>
      <w:r w:rsidR="005D5AF4" w:rsidRPr="00734942">
        <w:fldChar w:fldCharType="end"/>
      </w:r>
      <w:r w:rsidR="005D5AF4" w:rsidRPr="00734942">
        <w:t xml:space="preserve"> involved serological testing for CD in 5470 children aged 7.5 years.</w:t>
      </w:r>
      <w:r w:rsidR="0031779D">
        <w:t xml:space="preserve"> </w:t>
      </w:r>
      <w:r w:rsidR="00A537AB">
        <w:t xml:space="preserve">Ethical approval for the study was obtained from the ALSPAC Ethics and Law Committee and the Local Research Ethics Committees. </w:t>
      </w:r>
      <w:r w:rsidR="00FB7DF0">
        <w:t>Consent for biological samples has been collected in accordance with the Human Tissue Act (2004). Informed consent for the use of data collected via questionnaires and clinics was obtained from participants following the recommendations of the ALSPAC Ethics and Law Committee at the time.</w:t>
      </w:r>
    </w:p>
    <w:p w14:paraId="28D7EE8A" w14:textId="54C4AEED" w:rsidR="00DF5EDB" w:rsidRPr="00734942" w:rsidRDefault="00DF5EDB" w:rsidP="00816506">
      <w:r w:rsidRPr="00734942">
        <w:lastRenderedPageBreak/>
        <w:t xml:space="preserve">ALSPAC has not collected information on all candidate </w:t>
      </w:r>
      <w:r w:rsidR="00432830">
        <w:t>diagnostic indicat</w:t>
      </w:r>
      <w:r w:rsidRPr="00734942">
        <w:t>ors that were considered in the CPRD model, so it was not possible to validate the CPRD model in this dataset.</w:t>
      </w:r>
      <w:r w:rsidR="00816506" w:rsidRPr="00816506">
        <w:t xml:space="preserve"> </w:t>
      </w:r>
      <w:r w:rsidR="00816506">
        <w:t>Please note that the study website contains details of all the data that is available through a fully searchable data dictionary and variable search tool.</w:t>
      </w:r>
      <w:r w:rsidR="00D23616">
        <w:fldChar w:fldCharType="begin"/>
      </w:r>
      <w:r w:rsidR="00735CC0">
        <w:instrText xml:space="preserve"> ADDIN EN.CITE &lt;EndNote&gt;&lt;Cite&gt;&lt;Author&gt;ALSPAC&lt;/Author&gt;&lt;Year&gt;(last visited on Nov 2021)&lt;/Year&gt;&lt;RecNum&gt;583&lt;/RecNum&gt;&lt;DisplayText&gt;&lt;style face="superscript"&gt;64&lt;/style&gt;&lt;/DisplayText&gt;&lt;record&gt;&lt;rec-number&gt;583&lt;/rec-number&gt;&lt;foreign-keys&gt;&lt;key app="EN" db-id="tdwrx9xd1z9eepeevr355w2k959rv0f5zaax" timestamp="1636969397"&gt;583&lt;/key&gt;&lt;/foreign-keys&gt;&lt;ref-type name="Web Page"&gt;12&lt;/ref-type&gt;&lt;contributors&gt;&lt;authors&gt;&lt;author&gt;ALSPAC&lt;/author&gt;&lt;/authors&gt;&lt;/contributors&gt;&lt;titles&gt;&lt;title&gt;Explore data and samples&lt;/title&gt;&lt;/titles&gt;&lt;dates&gt;&lt;year&gt;(last visited on Nov 2021)&lt;/year&gt;&lt;/dates&gt;&lt;urls&gt;&lt;related-urls&gt;&lt;url&gt;http://www.bristol.ac.uk/alspac/researchers/our-data/&lt;/url&gt;&lt;/related-urls&gt;&lt;/urls&gt;&lt;/record&gt;&lt;/Cite&gt;&lt;/EndNote&gt;</w:instrText>
      </w:r>
      <w:r w:rsidR="00D23616">
        <w:fldChar w:fldCharType="separate"/>
      </w:r>
      <w:r w:rsidR="00735CC0" w:rsidRPr="00735CC0">
        <w:rPr>
          <w:noProof/>
          <w:vertAlign w:val="superscript"/>
        </w:rPr>
        <w:t>64</w:t>
      </w:r>
      <w:r w:rsidR="00D23616">
        <w:fldChar w:fldCharType="end"/>
      </w:r>
    </w:p>
    <w:p w14:paraId="7EE6F4FA" w14:textId="77777777" w:rsidR="00DF5EDB" w:rsidRPr="00734942" w:rsidRDefault="00DF5EDB" w:rsidP="00583860">
      <w:pPr>
        <w:pStyle w:val="Heading4"/>
      </w:pPr>
      <w:r w:rsidRPr="00734942">
        <w:t>Model specification</w:t>
      </w:r>
    </w:p>
    <w:p w14:paraId="33617C2C" w14:textId="705F7A9B" w:rsidR="007E7A08" w:rsidRPr="00734942" w:rsidRDefault="007E7A08" w:rsidP="007E7A08">
      <w:r w:rsidRPr="00734942">
        <w:t xml:space="preserve">Candidate </w:t>
      </w:r>
      <w:r w:rsidR="00432830">
        <w:t>diagnostic indicat</w:t>
      </w:r>
      <w:r w:rsidRPr="00734942">
        <w:t xml:space="preserve">ors </w:t>
      </w:r>
      <w:r w:rsidR="005A11F5">
        <w:t>for the ALSPAC model</w:t>
      </w:r>
      <w:r w:rsidRPr="00734942">
        <w:t xml:space="preserve"> were selected based on the results from the final model developed in CPRD Gold. The prevalence of </w:t>
      </w:r>
      <w:r w:rsidR="00432830">
        <w:t>indicat</w:t>
      </w:r>
      <w:r w:rsidRPr="00734942">
        <w:t xml:space="preserve">ors in children with and without CD was compared using Fisher’s exact tests (categorical </w:t>
      </w:r>
      <w:r w:rsidR="00432830">
        <w:t>indicat</w:t>
      </w:r>
      <w:r w:rsidRPr="00734942">
        <w:t xml:space="preserve">ors) and Welch Two-sample t-tests (continuous </w:t>
      </w:r>
      <w:r w:rsidR="00432830">
        <w:t>indicat</w:t>
      </w:r>
      <w:r w:rsidRPr="00734942">
        <w:t xml:space="preserve">ors). Univariable associations between candidate </w:t>
      </w:r>
      <w:r w:rsidR="00432830">
        <w:t>indicat</w:t>
      </w:r>
      <w:r w:rsidRPr="00734942">
        <w:t xml:space="preserve">ors and CD were estimated using Firth logistic regression for rare events to overcome problems of perfect prediction between outcome and </w:t>
      </w:r>
      <w:r w:rsidR="00432830">
        <w:t>indicat</w:t>
      </w:r>
      <w:r w:rsidRPr="00734942">
        <w:t>ors.</w:t>
      </w:r>
      <w:r w:rsidR="001F35AE">
        <w:fldChar w:fldCharType="begin">
          <w:fldData xml:space="preserve">PEVuZE5vdGU+PENpdGU+PEF1dGhvcj5IZWluemU8L0F1dGhvcj48WWVhcj4yMDAyPC9ZZWFyPjxS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==
</w:fldData>
        </w:fldChar>
      </w:r>
      <w:r w:rsidR="00735CC0">
        <w:instrText xml:space="preserve"> ADDIN EN.CITE </w:instrText>
      </w:r>
      <w:r w:rsidR="00735CC0">
        <w:fldChar w:fldCharType="begin">
          <w:fldData xml:space="preserve">PEVuZE5vdGU+PENpdGU+PEF1dGhvcj5IZWluemU8L0F1dGhvcj48WWVhcj4yMDAyPC9ZZWFyPjxS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==
</w:fldData>
        </w:fldChar>
      </w:r>
      <w:r w:rsidR="00735CC0">
        <w:instrText xml:space="preserve"> ADDIN EN.CITE.DATA </w:instrText>
      </w:r>
      <w:r w:rsidR="00735CC0">
        <w:fldChar w:fldCharType="end"/>
      </w:r>
      <w:r w:rsidR="001F35AE">
        <w:fldChar w:fldCharType="separate"/>
      </w:r>
      <w:r w:rsidR="00735CC0" w:rsidRPr="00735CC0">
        <w:rPr>
          <w:noProof/>
          <w:vertAlign w:val="superscript"/>
        </w:rPr>
        <w:t>65, 66</w:t>
      </w:r>
      <w:r w:rsidR="001F35AE">
        <w:fldChar w:fldCharType="end"/>
      </w:r>
      <w:r w:rsidRPr="00734942">
        <w:t xml:space="preserve"> Due to the small number of cases in this cohort, </w:t>
      </w:r>
      <w:r w:rsidR="005F2ABF">
        <w:t xml:space="preserve">it was not considered appropriate to fit </w:t>
      </w:r>
      <w:r w:rsidR="00CE0EC4">
        <w:t>multi</w:t>
      </w:r>
      <w:r w:rsidR="006E035A">
        <w:t>variable models</w:t>
      </w:r>
      <w:r w:rsidRPr="00734942">
        <w:t>.</w:t>
      </w:r>
    </w:p>
    <w:p w14:paraId="2B7827A6" w14:textId="77777777" w:rsidR="00DF5EDB" w:rsidRPr="00734942" w:rsidRDefault="00DF5EDB" w:rsidP="00583860">
      <w:pPr>
        <w:pStyle w:val="Heading4"/>
      </w:pPr>
      <w:r w:rsidRPr="00734942">
        <w:t>ALSPAC missing data</w:t>
      </w:r>
    </w:p>
    <w:p w14:paraId="7B529853" w14:textId="227E9622" w:rsidR="00A06280" w:rsidRPr="00734942" w:rsidRDefault="00BA7A6D" w:rsidP="00A06280">
      <w:r>
        <w:t xml:space="preserve">Since it is possible </w:t>
      </w:r>
      <w:r w:rsidR="00A209A0">
        <w:t>for</w:t>
      </w:r>
      <w:r>
        <w:t xml:space="preserve"> candidate </w:t>
      </w:r>
      <w:r w:rsidR="00432830">
        <w:t>indicat</w:t>
      </w:r>
      <w:r>
        <w:t>ors</w:t>
      </w:r>
      <w:r w:rsidR="006C32AB">
        <w:t xml:space="preserve"> collected </w:t>
      </w:r>
      <w:r w:rsidR="002A7909">
        <w:t>in</w:t>
      </w:r>
      <w:r w:rsidR="006C32AB">
        <w:t xml:space="preserve"> ALSPAC</w:t>
      </w:r>
      <w:r w:rsidR="00A209A0">
        <w:t xml:space="preserve"> to be incomplete</w:t>
      </w:r>
      <w:r w:rsidR="00257623">
        <w:t>, e.g.</w:t>
      </w:r>
      <w:r w:rsidR="00A209A0">
        <w:t xml:space="preserve"> due to non-response to </w:t>
      </w:r>
      <w:r w:rsidR="00F40B97">
        <w:t>questionnaire</w:t>
      </w:r>
      <w:r w:rsidR="00A209A0">
        <w:t xml:space="preserve"> items</w:t>
      </w:r>
      <w:r w:rsidR="00257623">
        <w:t>,</w:t>
      </w:r>
      <w:r w:rsidR="00A209A0">
        <w:t xml:space="preserve"> </w:t>
      </w:r>
      <w:r w:rsidR="00257623">
        <w:t>m</w:t>
      </w:r>
      <w:r w:rsidR="00A06280" w:rsidRPr="00734942">
        <w:t xml:space="preserve">issingness was investigated in all </w:t>
      </w:r>
      <w:r w:rsidR="00432830">
        <w:t>indicat</w:t>
      </w:r>
      <w:r w:rsidR="00A06280" w:rsidRPr="00734942">
        <w:t xml:space="preserve">ors. If </w:t>
      </w:r>
      <w:r w:rsidR="00432830">
        <w:t>indicat</w:t>
      </w:r>
      <w:r w:rsidR="00A06280" w:rsidRPr="00734942">
        <w:t>ors were partially missing, where there was sufficient data, we considered imputing missing values using multiple imputation by chained equations, assuming values were missing at random conditional on observed covariates.</w:t>
      </w:r>
    </w:p>
    <w:p w14:paraId="7BED120A" w14:textId="77777777" w:rsidR="00DF5EDB" w:rsidRPr="00734942" w:rsidRDefault="00DF5EDB" w:rsidP="00583860">
      <w:pPr>
        <w:pStyle w:val="Heading3"/>
      </w:pPr>
      <w:bookmarkStart w:id="121" w:name="_Toc99539844"/>
      <w:r w:rsidRPr="00734942">
        <w:t>Deviations from protocol</w:t>
      </w:r>
      <w:bookmarkEnd w:id="121"/>
    </w:p>
    <w:p w14:paraId="57760B63" w14:textId="7BEE47C0" w:rsidR="00DF5EDB" w:rsidRDefault="00460320" w:rsidP="00DF5EDB">
      <w:r>
        <w:t>In the CPRD model development, w</w:t>
      </w:r>
      <w:r w:rsidR="00DF5EDB" w:rsidRPr="00734942">
        <w:t xml:space="preserve">e used logistic regression instead of conditional logistic regression because </w:t>
      </w:r>
      <w:r w:rsidR="003E4528" w:rsidRPr="00734942">
        <w:t xml:space="preserve">cases and controls were matched on very few characteristics, </w:t>
      </w:r>
      <w:r w:rsidR="00DF5EDB" w:rsidRPr="00734942">
        <w:t>namely being a child or an adult and GP practice. Interaction terms were not considered as they are rarely important for clinical prediction models.</w:t>
      </w:r>
      <w:r w:rsidR="00DF5EDB" w:rsidRPr="00734942">
        <w:fldChar w:fldCharType="begin"/>
      </w:r>
      <w:r w:rsidR="00735CC0">
        <w:instrText xml:space="preserve"> ADDIN EN.CITE &lt;EndNote&gt;&lt;Cite&gt;&lt;Author&gt;Harrell&lt;/Author&gt;&lt;Year&gt;2015&lt;/Year&gt;&lt;RecNum&gt;11&lt;/RecNum&gt;&lt;DisplayText&gt;&lt;style face="superscript"&gt;67&lt;/style&gt;&lt;/DisplayText&gt;&lt;record&gt;&lt;rec-number&gt;11&lt;/rec-number&gt;&lt;foreign-keys&gt;&lt;key app="EN" db-id="tdwrx9xd1z9eepeevr355w2k959rv0f5zaax" timestamp="1632755962"&gt;11&lt;/key&gt;&lt;/foreign-keys&gt;&lt;ref-type name="Journal Article"&gt;17&lt;/ref-type&gt;&lt;contributors&gt;&lt;authors&gt;&lt;author&gt;Harrell, Frank E.&lt;/author&gt;&lt;/authors&gt;&lt;/contributors&gt;&lt;titles&gt;&lt;title&gt;Regression Modeling Strategies. With Applications to Linear Models, Logistic and Ordinal Regression, and Survival Analysis.&lt;/title&gt;&lt;secondary-title&gt;Springer Series in Statistics&lt;/secondary-title&gt;&lt;/titles&gt;&lt;periodical&gt;&lt;full-title&gt;Springer Series in Statistics&lt;/full-title&gt;&lt;/periodical&gt;&lt;dates&gt;&lt;year&gt;2015&lt;/year&gt;&lt;/dates&gt;&lt;isbn&gt;0172-7397&lt;/isbn&gt;&lt;urls&gt;&lt;/urls&gt;&lt;electronic-resource-num&gt;10.1007/978-3-319-19425-7&lt;/electronic-resource-num&gt;&lt;/record&gt;&lt;/Cite&gt;&lt;/EndNote&gt;</w:instrText>
      </w:r>
      <w:r w:rsidR="00DF5EDB" w:rsidRPr="00734942">
        <w:fldChar w:fldCharType="separate"/>
      </w:r>
      <w:r w:rsidR="00735CC0" w:rsidRPr="00735CC0">
        <w:rPr>
          <w:noProof/>
          <w:vertAlign w:val="superscript"/>
        </w:rPr>
        <w:t>67</w:t>
      </w:r>
      <w:r w:rsidR="00DF5EDB" w:rsidRPr="00734942">
        <w:fldChar w:fldCharType="end"/>
      </w:r>
    </w:p>
    <w:p w14:paraId="1E5DFCC5" w14:textId="4200FF78" w:rsidR="00182F7B" w:rsidRPr="00734942" w:rsidRDefault="00974FF9" w:rsidP="00DF5EDB">
      <w:r>
        <w:t xml:space="preserve">We planned to validate the CPRD model in children in the ALSPAC cohort. However, this was not possible because </w:t>
      </w:r>
      <w:r w:rsidR="001C64E8">
        <w:t>many of the</w:t>
      </w:r>
      <w:r>
        <w:t xml:space="preserve"> selected </w:t>
      </w:r>
      <w:r w:rsidR="00432830">
        <w:t>indicat</w:t>
      </w:r>
      <w:r>
        <w:t xml:space="preserve">ors </w:t>
      </w:r>
      <w:r w:rsidR="001C64E8">
        <w:t xml:space="preserve">in the CPRD model were not recorded in ALSPAC and among the </w:t>
      </w:r>
      <w:r w:rsidR="00432830">
        <w:t>indicat</w:t>
      </w:r>
      <w:r w:rsidR="001C64E8">
        <w:t>ors that were available th</w:t>
      </w:r>
      <w:r w:rsidR="00FC4561">
        <w:t>ere was a lot of missingness.</w:t>
      </w:r>
    </w:p>
    <w:p w14:paraId="36EE7F0C" w14:textId="1B16EB12" w:rsidR="006B7911" w:rsidRPr="00734942" w:rsidRDefault="00DF5EDB" w:rsidP="006B7911">
      <w:pPr>
        <w:pStyle w:val="Heading2"/>
      </w:pPr>
      <w:r w:rsidRPr="00734942">
        <w:br w:type="page"/>
      </w:r>
      <w:bookmarkStart w:id="122" w:name="_Toc99539845"/>
      <w:r w:rsidR="006B7911" w:rsidRPr="00734942">
        <w:lastRenderedPageBreak/>
        <w:t>Results</w:t>
      </w:r>
      <w:bookmarkEnd w:id="122"/>
    </w:p>
    <w:p w14:paraId="799816EB" w14:textId="6E255EC8" w:rsidR="00DF5EDB" w:rsidRPr="00734942" w:rsidRDefault="005C030D" w:rsidP="006B7911">
      <w:pPr>
        <w:pStyle w:val="Heading3"/>
      </w:pPr>
      <w:bookmarkStart w:id="123" w:name="_Toc99539846"/>
      <w:r>
        <w:t>CPRD</w:t>
      </w:r>
      <w:r w:rsidR="00FA2105">
        <w:t xml:space="preserve"> </w:t>
      </w:r>
      <w:r w:rsidR="00D219B1">
        <w:t>p</w:t>
      </w:r>
      <w:r w:rsidR="00D219B1" w:rsidRPr="00734942">
        <w:t>articipants</w:t>
      </w:r>
      <w:bookmarkEnd w:id="123"/>
    </w:p>
    <w:p w14:paraId="78F5B1BF" w14:textId="2DA5B90F" w:rsidR="008B5B5A" w:rsidRPr="00734942" w:rsidRDefault="0089464C" w:rsidP="00FC4561">
      <w:r>
        <w:t>Appendix 1</w:t>
      </w:r>
      <w:r w:rsidR="00764700">
        <w:t xml:space="preserve">0 </w:t>
      </w:r>
      <w:r w:rsidR="006115ED">
        <w:fldChar w:fldCharType="begin"/>
      </w:r>
      <w:r w:rsidR="006115ED">
        <w:instrText xml:space="preserve"> REF _Ref87356634 \h </w:instrText>
      </w:r>
      <w:r w:rsidR="006115ED">
        <w:fldChar w:fldCharType="separate"/>
      </w:r>
      <w:r w:rsidR="008B5583" w:rsidRPr="00734942">
        <w:t xml:space="preserve">Figure </w:t>
      </w:r>
      <w:r w:rsidR="008B5583">
        <w:rPr>
          <w:noProof/>
        </w:rPr>
        <w:t>54</w:t>
      </w:r>
      <w:r w:rsidR="006115ED">
        <w:fldChar w:fldCharType="end"/>
      </w:r>
      <w:r w:rsidR="008B5B5A" w:rsidRPr="00734942">
        <w:t xml:space="preserve"> shows the patient flow diagrams</w:t>
      </w:r>
      <w:r w:rsidR="004B084B" w:rsidRPr="00734942">
        <w:t xml:space="preserve"> for the </w:t>
      </w:r>
      <w:r w:rsidR="00FA2105">
        <w:t xml:space="preserve">CPRD </w:t>
      </w:r>
      <w:r w:rsidR="004B084B" w:rsidRPr="00734942">
        <w:t>development dataset and external validation dataset.</w:t>
      </w:r>
      <w:r w:rsidR="00CF4960" w:rsidRPr="00734942">
        <w:t xml:space="preserve"> Cases and controls had a</w:t>
      </w:r>
      <w:r w:rsidR="005B17D8" w:rsidRPr="00734942">
        <w:t>n average follow up time of 7 years prior to CD diagnosis</w:t>
      </w:r>
      <w:r w:rsidR="00E7426D" w:rsidRPr="00734942">
        <w:t xml:space="preserve"> (median</w:t>
      </w:r>
      <w:r w:rsidR="00BD31FF" w:rsidRPr="00734942">
        <w:t xml:space="preserve"> 7</w:t>
      </w:r>
      <w:r w:rsidR="00E7426D" w:rsidRPr="00734942">
        <w:t>, IQR 3 to 11 years, range 1 to 31 years).</w:t>
      </w:r>
    </w:p>
    <w:p w14:paraId="24026036" w14:textId="6199259C" w:rsidR="00905B11" w:rsidRDefault="0045593D" w:rsidP="004A02E1">
      <w:pPr>
        <w:pStyle w:val="NoSpacing"/>
      </w:pPr>
      <w:r w:rsidRPr="00734942">
        <w:rPr>
          <w:i/>
          <w:iCs/>
          <w:color w:val="44546A" w:themeColor="text2"/>
          <w:sz w:val="18"/>
          <w:szCs w:val="18"/>
        </w:rPr>
        <w:fldChar w:fldCharType="begin"/>
      </w:r>
      <w:r w:rsidRPr="00734942">
        <w:instrText xml:space="preserve"> REF _Ref83907744 \h </w:instrText>
      </w:r>
      <w:r w:rsidR="000E7E6D">
        <w:instrText xml:space="preserve"> \* MERGEFORMAT </w:instrText>
      </w:r>
      <w:r w:rsidRPr="00734942">
        <w:rPr>
          <w:i/>
          <w:iCs/>
          <w:color w:val="44546A" w:themeColor="text2"/>
          <w:sz w:val="18"/>
          <w:szCs w:val="18"/>
        </w:rPr>
      </w:r>
      <w:r w:rsidRPr="00734942">
        <w:rPr>
          <w:i/>
          <w:iCs/>
          <w:color w:val="44546A" w:themeColor="text2"/>
          <w:sz w:val="18"/>
          <w:szCs w:val="18"/>
        </w:rPr>
        <w:fldChar w:fldCharType="separate"/>
      </w:r>
      <w:r w:rsidR="008B5583" w:rsidRPr="00734942">
        <w:t xml:space="preserve">Table </w:t>
      </w:r>
      <w:r w:rsidR="008B5583">
        <w:rPr>
          <w:noProof/>
        </w:rPr>
        <w:t>2</w:t>
      </w:r>
      <w:r w:rsidRPr="00734942">
        <w:fldChar w:fldCharType="end"/>
      </w:r>
      <w:r w:rsidR="00D84A82" w:rsidRPr="00734942">
        <w:t xml:space="preserve"> </w:t>
      </w:r>
      <w:r w:rsidR="00DF5EDB" w:rsidRPr="00734942">
        <w:t>describe</w:t>
      </w:r>
      <w:r w:rsidR="008C7DE2">
        <w:t>s</w:t>
      </w:r>
      <w:r w:rsidR="00DF5EDB" w:rsidRPr="00734942">
        <w:t xml:space="preserve"> the characteristics of the participants and the prevalence of selected </w:t>
      </w:r>
      <w:r w:rsidR="00432830">
        <w:t>indicat</w:t>
      </w:r>
      <w:r w:rsidR="00DF5EDB" w:rsidRPr="00734942">
        <w:t xml:space="preserve">ors in the development dataset </w:t>
      </w:r>
      <w:r w:rsidR="00140530" w:rsidRPr="00734942">
        <w:t xml:space="preserve">and external validation dataset </w:t>
      </w:r>
      <w:r w:rsidR="00DF5EDB" w:rsidRPr="00734942">
        <w:t xml:space="preserve">for children, women, and men. </w:t>
      </w:r>
      <w:r w:rsidR="00942C30" w:rsidRPr="00734942">
        <w:t>In both datasets, the prevalence of CD in girls was significantly higher than in boys in the cohort of children</w:t>
      </w:r>
      <w:r w:rsidR="00FA2105">
        <w:t>,</w:t>
      </w:r>
      <w:r w:rsidR="00942C30" w:rsidRPr="00734942">
        <w:t xml:space="preserve"> with almost two thirds of CD patients being girls. Median age and age ranges were similar between CD patients and controls in the cohort of children in the development dataset, but in the </w:t>
      </w:r>
      <w:r w:rsidR="00AA19C2" w:rsidRPr="00734942">
        <w:t>validation dataset</w:t>
      </w:r>
      <w:r w:rsidR="00942C30" w:rsidRPr="00734942">
        <w:t>, children with CD were on average one year younger than controls.</w:t>
      </w:r>
      <w:r w:rsidR="00BC4C6B" w:rsidRPr="00734942">
        <w:t xml:space="preserve"> </w:t>
      </w:r>
      <w:r w:rsidR="00BC746E" w:rsidRPr="00734942">
        <w:t>In the development dataset for women, median age was 49 in both cases and controls. In the external validation dataset, median age was similar at 47 although cases were on average one year younger than controls. In contrast to the datasets for children and women, in both datasets for men, cases were significantly older than control</w:t>
      </w:r>
      <w:r w:rsidR="005761A7">
        <w:t>s</w:t>
      </w:r>
      <w:r w:rsidR="00BC746E" w:rsidRPr="00734942">
        <w:t xml:space="preserve"> with a median age of 55 compared to 47 in the controls. On average, CD </w:t>
      </w:r>
      <w:r w:rsidR="00F3269A">
        <w:t xml:space="preserve">male </w:t>
      </w:r>
      <w:r w:rsidR="00BC746E" w:rsidRPr="00734942">
        <w:t xml:space="preserve">patients were 8 and 7 years older in the development and </w:t>
      </w:r>
      <w:r w:rsidR="00AA19C2" w:rsidRPr="00734942">
        <w:t>validation dataset</w:t>
      </w:r>
      <w:r w:rsidR="00BC746E" w:rsidRPr="00734942">
        <w:t xml:space="preserve">, respectively. </w:t>
      </w:r>
    </w:p>
    <w:p w14:paraId="1EE54F32" w14:textId="77777777" w:rsidR="0083310C" w:rsidRDefault="0083310C" w:rsidP="0083310C">
      <w:pPr>
        <w:pStyle w:val="NoSpacing"/>
      </w:pPr>
    </w:p>
    <w:p w14:paraId="2B7094F0" w14:textId="7ADA2C60" w:rsidR="00200AE2" w:rsidRDefault="00BC4C6B" w:rsidP="0083310C">
      <w:pPr>
        <w:pStyle w:val="NoSpacing"/>
      </w:pPr>
      <w:r w:rsidRPr="00734942">
        <w:t>Data on ethnicity and deprivation</w:t>
      </w:r>
      <w:r w:rsidR="00905B11">
        <w:t xml:space="preserve">, </w:t>
      </w:r>
      <w:r w:rsidR="005129F4" w:rsidRPr="00734942">
        <w:t>through linkages with hospital records</w:t>
      </w:r>
      <w:r w:rsidR="00905B11">
        <w:t>,</w:t>
      </w:r>
      <w:r w:rsidR="005129F4" w:rsidRPr="00734942">
        <w:t xml:space="preserve"> was only possible for</w:t>
      </w:r>
      <w:r w:rsidR="00102707" w:rsidRPr="00734942">
        <w:t xml:space="preserve"> approximately</w:t>
      </w:r>
      <w:r w:rsidR="005129F4" w:rsidRPr="00734942">
        <w:t xml:space="preserve"> </w:t>
      </w:r>
      <w:r w:rsidR="00516A02" w:rsidRPr="00734942">
        <w:t xml:space="preserve">a third of the development dataset and </w:t>
      </w:r>
      <w:r w:rsidR="00102707" w:rsidRPr="00734942">
        <w:t>a fifth of the</w:t>
      </w:r>
      <w:r w:rsidR="00516A02" w:rsidRPr="00734942">
        <w:t xml:space="preserve"> </w:t>
      </w:r>
      <w:r w:rsidR="00AA19C2" w:rsidRPr="00734942">
        <w:t>validation dataset</w:t>
      </w:r>
      <w:r w:rsidR="00102707" w:rsidRPr="00734942">
        <w:t xml:space="preserve">. </w:t>
      </w:r>
      <w:r w:rsidR="006D0363" w:rsidRPr="00734942">
        <w:t xml:space="preserve">In all cohorts, </w:t>
      </w:r>
      <w:r w:rsidR="00DF2783" w:rsidRPr="00734942">
        <w:t xml:space="preserve">among patients with known ethnicity </w:t>
      </w:r>
      <w:r w:rsidR="00BC746E" w:rsidRPr="00734942">
        <w:t>90 to 95%</w:t>
      </w:r>
      <w:r w:rsidR="00123E39" w:rsidRPr="00734942">
        <w:t xml:space="preserve"> were white and</w:t>
      </w:r>
      <w:r w:rsidR="009B3A30" w:rsidRPr="00734942">
        <w:t xml:space="preserve"> CD patients were more likely to be white than controls.</w:t>
      </w:r>
      <w:r w:rsidR="00417E53" w:rsidRPr="00734942">
        <w:t xml:space="preserve"> </w:t>
      </w:r>
      <w:r w:rsidR="00104794" w:rsidRPr="00734942">
        <w:t>People</w:t>
      </w:r>
      <w:r w:rsidR="00756827" w:rsidRPr="00734942">
        <w:t xml:space="preserve"> with CD</w:t>
      </w:r>
      <w:r w:rsidR="00104794" w:rsidRPr="00734942">
        <w:t xml:space="preserve"> in the</w:t>
      </w:r>
      <w:r w:rsidR="00540C18" w:rsidRPr="00734942">
        <w:t xml:space="preserve"> development dataset</w:t>
      </w:r>
      <w:r w:rsidR="00A17CA5" w:rsidRPr="00734942">
        <w:t xml:space="preserve"> lived in </w:t>
      </w:r>
      <w:r w:rsidR="00540C18" w:rsidRPr="00734942">
        <w:t>more</w:t>
      </w:r>
      <w:r w:rsidR="008137B9" w:rsidRPr="00734942">
        <w:t xml:space="preserve"> deprived areas (IMD quintile 1</w:t>
      </w:r>
      <w:r w:rsidR="00540C18" w:rsidRPr="00734942">
        <w:t xml:space="preserve"> and 2</w:t>
      </w:r>
      <w:r w:rsidR="008137B9" w:rsidRPr="00734942">
        <w:t>)</w:t>
      </w:r>
      <w:r w:rsidR="00756827" w:rsidRPr="00734942">
        <w:t xml:space="preserve"> than controls. This was not the case for CD patients</w:t>
      </w:r>
      <w:r w:rsidR="00475184" w:rsidRPr="00734942">
        <w:t xml:space="preserve"> in the </w:t>
      </w:r>
      <w:r w:rsidR="00AA19C2" w:rsidRPr="00734942">
        <w:t>validation dataset</w:t>
      </w:r>
      <w:r w:rsidR="00475184" w:rsidRPr="00734942">
        <w:t>.</w:t>
      </w:r>
    </w:p>
    <w:p w14:paraId="4E6C9AAA" w14:textId="7729D7FF" w:rsidR="00DF5EDB" w:rsidRPr="00734942" w:rsidRDefault="00DF5EDB" w:rsidP="00DF5EDB">
      <w:r w:rsidRPr="00734942">
        <w:t xml:space="preserve">All selected </w:t>
      </w:r>
      <w:r w:rsidR="00432830">
        <w:t>indicat</w:t>
      </w:r>
      <w:r w:rsidR="0049290C" w:rsidRPr="00734942">
        <w:t xml:space="preserve">ors </w:t>
      </w:r>
      <w:r w:rsidRPr="00734942">
        <w:t xml:space="preserve">were significantly different between cases and controls in all three cohorts </w:t>
      </w:r>
      <w:r w:rsidR="00D84C4A" w:rsidRPr="00734942">
        <w:t xml:space="preserve">of the development dataset, </w:t>
      </w:r>
      <w:r w:rsidRPr="00734942">
        <w:t xml:space="preserve">except for </w:t>
      </w:r>
      <w:r w:rsidR="00A65A5D">
        <w:t>Down</w:t>
      </w:r>
      <w:r w:rsidRPr="00734942">
        <w:t xml:space="preserve"> syndrome in women. Although the prevalence of </w:t>
      </w:r>
      <w:r w:rsidR="00A65A5D">
        <w:t>Down</w:t>
      </w:r>
      <w:r w:rsidRPr="00734942">
        <w:t xml:space="preserve"> syndrome in women with CD was 4 in 10,000 compared to 1 in 10,000 in controls</w:t>
      </w:r>
      <w:r w:rsidR="001348EC" w:rsidRPr="00734942">
        <w:t xml:space="preserve"> in both datasets</w:t>
      </w:r>
      <w:r w:rsidRPr="00734942">
        <w:t xml:space="preserve">, this difference did not reach statistical significance because of the low number of individuals with </w:t>
      </w:r>
      <w:r w:rsidR="00A65A5D">
        <w:t>Down</w:t>
      </w:r>
      <w:r w:rsidRPr="00734942">
        <w:t xml:space="preserve"> syndrome.</w:t>
      </w:r>
      <w:r w:rsidR="00D84C4A" w:rsidRPr="00734942">
        <w:t xml:space="preserve"> </w:t>
      </w:r>
      <w:r w:rsidR="003669EF" w:rsidRPr="00734942">
        <w:t>I</w:t>
      </w:r>
      <w:r w:rsidR="008316C5" w:rsidRPr="00734942">
        <w:t xml:space="preserve">n the </w:t>
      </w:r>
      <w:r w:rsidR="00AA19C2" w:rsidRPr="00734942">
        <w:t>validation dataset</w:t>
      </w:r>
      <w:r w:rsidR="008316C5" w:rsidRPr="00734942">
        <w:t xml:space="preserve"> for women, also epilepsy was </w:t>
      </w:r>
      <w:r w:rsidR="003669EF" w:rsidRPr="00734942">
        <w:t xml:space="preserve">more prevalent in the CD </w:t>
      </w:r>
      <w:r w:rsidR="001B57C7" w:rsidRPr="00734942">
        <w:t>group,</w:t>
      </w:r>
      <w:r w:rsidR="003669EF" w:rsidRPr="00734942">
        <w:t xml:space="preserve"> but this did not reach statistical significance due to low numbers. </w:t>
      </w:r>
      <w:r w:rsidR="00D84C4A" w:rsidRPr="00734942">
        <w:t xml:space="preserve">In the </w:t>
      </w:r>
      <w:r w:rsidR="00AA19C2" w:rsidRPr="00734942">
        <w:t>validation dataset</w:t>
      </w:r>
      <w:r w:rsidR="002938D8" w:rsidRPr="00734942">
        <w:t xml:space="preserve"> with children</w:t>
      </w:r>
      <w:r w:rsidR="00D84C4A" w:rsidRPr="00734942">
        <w:t xml:space="preserve">, </w:t>
      </w:r>
      <w:r w:rsidR="006E6692" w:rsidRPr="00734942">
        <w:t>arthritis and delayed puberty were not related to CD</w:t>
      </w:r>
      <w:r w:rsidR="00670FB9" w:rsidRPr="00734942">
        <w:t xml:space="preserve">. In both datasets with men, all </w:t>
      </w:r>
      <w:r w:rsidR="00432830">
        <w:t>indicat</w:t>
      </w:r>
      <w:r w:rsidR="00670FB9" w:rsidRPr="00734942">
        <w:t>ors were significantly more prevalent in CD patients than controls.</w:t>
      </w:r>
    </w:p>
    <w:p w14:paraId="37765C9A" w14:textId="594BEB04" w:rsidR="00DF5EDB" w:rsidRPr="00734942" w:rsidRDefault="003D2B78" w:rsidP="00DF5EDB">
      <w:r w:rsidRPr="00734942">
        <w:t xml:space="preserve">The most important difference between the development and </w:t>
      </w:r>
      <w:r w:rsidR="00AA19C2" w:rsidRPr="00734942">
        <w:t>validation dataset</w:t>
      </w:r>
      <w:r w:rsidRPr="00734942">
        <w:t xml:space="preserve"> was that </w:t>
      </w:r>
      <w:r w:rsidR="00D04057" w:rsidRPr="00734942">
        <w:t xml:space="preserve">first-degree relatives </w:t>
      </w:r>
      <w:r w:rsidR="007B3704">
        <w:t>having CD was</w:t>
      </w:r>
      <w:r w:rsidR="00D04057" w:rsidRPr="00734942" w:rsidDel="007B3704">
        <w:t xml:space="preserve"> </w:t>
      </w:r>
      <w:r w:rsidRPr="00734942">
        <w:t xml:space="preserve">not recorded in the </w:t>
      </w:r>
      <w:r w:rsidR="00AA19C2" w:rsidRPr="00734942">
        <w:t>validation dataset</w:t>
      </w:r>
      <w:r w:rsidRPr="00734942">
        <w:t>.</w:t>
      </w:r>
      <w:r w:rsidR="00D44007" w:rsidRPr="00734942">
        <w:t xml:space="preserve"> There are also small differences in prevalences of </w:t>
      </w:r>
      <w:r w:rsidR="00432830">
        <w:t>indicat</w:t>
      </w:r>
      <w:r w:rsidR="00D44007" w:rsidRPr="00734942">
        <w:t>ors</w:t>
      </w:r>
      <w:r w:rsidR="00AA19C2" w:rsidRPr="00734942">
        <w:t xml:space="preserve"> with most </w:t>
      </w:r>
      <w:r w:rsidR="00432830">
        <w:t>indicat</w:t>
      </w:r>
      <w:r w:rsidR="00AA19C2" w:rsidRPr="00734942">
        <w:t>ors being more prevalent in the development dataset than in the validation dataset. For instance, t</w:t>
      </w:r>
      <w:r w:rsidR="00DF5EDB" w:rsidRPr="00734942">
        <w:t xml:space="preserve">he most prevalent </w:t>
      </w:r>
      <w:r w:rsidR="00432830">
        <w:t>indicat</w:t>
      </w:r>
      <w:r w:rsidR="00DF5EDB" w:rsidRPr="00734942">
        <w:t>or</w:t>
      </w:r>
      <w:r w:rsidR="00DF5EDB" w:rsidRPr="00734942" w:rsidDel="00AA19C2">
        <w:t xml:space="preserve"> </w:t>
      </w:r>
      <w:r w:rsidR="00AA19C2" w:rsidRPr="00734942">
        <w:t xml:space="preserve">was </w:t>
      </w:r>
      <w:r w:rsidR="00DF5EDB" w:rsidRPr="00734942">
        <w:t xml:space="preserve">GI symptoms in all three cohorts. </w:t>
      </w:r>
      <w:r w:rsidR="00AA19C2" w:rsidRPr="00734942">
        <w:t>In the development dataset these prevalences range from 27 to 40%, whereas the prevalences in the validation dataset range from 5 to 7%.</w:t>
      </w:r>
    </w:p>
    <w:p w14:paraId="13E91DA8" w14:textId="77777777" w:rsidR="00966E49" w:rsidRDefault="00966E49" w:rsidP="005672CA">
      <w:pPr>
        <w:pStyle w:val="Caption"/>
      </w:pPr>
      <w:bookmarkStart w:id="124" w:name="_Ref85723204"/>
    </w:p>
    <w:p w14:paraId="69F20C6B" w14:textId="0D6918CD" w:rsidR="00C61FA7" w:rsidRPr="00C61FA7" w:rsidRDefault="00C61FA7" w:rsidP="00C61FA7">
      <w:pPr>
        <w:sectPr w:rsidR="00C61FA7" w:rsidRPr="00C61FA7" w:rsidSect="005F1ED0">
          <w:pgSz w:w="11906" w:h="16838"/>
          <w:pgMar w:top="1440" w:right="1440" w:bottom="1440" w:left="1440" w:header="709" w:footer="709" w:gutter="0"/>
          <w:cols w:space="708"/>
          <w:docGrid w:linePitch="360"/>
        </w:sectPr>
      </w:pPr>
    </w:p>
    <w:p w14:paraId="63C25785" w14:textId="11B379CD" w:rsidR="0045593D" w:rsidRPr="00734942" w:rsidRDefault="0045593D" w:rsidP="005672CA">
      <w:pPr>
        <w:pStyle w:val="Caption"/>
      </w:pPr>
      <w:bookmarkStart w:id="125" w:name="_Ref83907744"/>
      <w:bookmarkStart w:id="126" w:name="_Toc99720713"/>
      <w:bookmarkEnd w:id="124"/>
      <w:r w:rsidRPr="00734942">
        <w:lastRenderedPageBreak/>
        <w:t xml:space="preserve">Table </w:t>
      </w:r>
      <w:r w:rsidRPr="00734942">
        <w:fldChar w:fldCharType="begin"/>
      </w:r>
      <w:r w:rsidRPr="00734942">
        <w:instrText>SEQ Table \* ARABIC</w:instrText>
      </w:r>
      <w:r w:rsidRPr="00734942">
        <w:fldChar w:fldCharType="separate"/>
      </w:r>
      <w:r w:rsidR="008B5583">
        <w:rPr>
          <w:noProof/>
        </w:rPr>
        <w:t>2</w:t>
      </w:r>
      <w:r w:rsidRPr="00734942">
        <w:fldChar w:fldCharType="end"/>
      </w:r>
      <w:bookmarkEnd w:id="125"/>
      <w:r w:rsidRPr="00734942">
        <w:t xml:space="preserve"> Cohort of children</w:t>
      </w:r>
      <w:r w:rsidR="001F740D">
        <w:t>, women , and men</w:t>
      </w:r>
      <w:r w:rsidRPr="00734942">
        <w:t xml:space="preserve"> – characteristics</w:t>
      </w:r>
      <w:bookmarkEnd w:id="126"/>
    </w:p>
    <w:p w14:paraId="0A5DBC32" w14:textId="0A3FC7EF" w:rsidR="00DF5EDB" w:rsidRPr="00DA1572" w:rsidRDefault="00785031" w:rsidP="00DF5EDB">
      <w:pPr>
        <w:rPr>
          <w:sz w:val="18"/>
          <w:szCs w:val="18"/>
        </w:rPr>
      </w:pPr>
      <w:r w:rsidRPr="00785031">
        <w:rPr>
          <w:sz w:val="18"/>
          <w:szCs w:val="18"/>
          <w:vertAlign w:val="superscript"/>
        </w:rPr>
        <w:t>a</w:t>
      </w:r>
      <w:r w:rsidR="0045593D" w:rsidRPr="00734942">
        <w:rPr>
          <w:sz w:val="18"/>
          <w:szCs w:val="18"/>
        </w:rPr>
        <w:t>P values show the result of a Welch Two Sample t-test for continuous and Pearson's Chi-squared test with Yates' continuity correction for categorical variables.</w:t>
      </w:r>
    </w:p>
    <w:tbl>
      <w:tblPr>
        <w:tblW w:w="5000" w:type="pct"/>
        <w:tblLook w:val="04A0" w:firstRow="1" w:lastRow="0" w:firstColumn="1" w:lastColumn="0" w:noHBand="0" w:noVBand="1"/>
      </w:tblPr>
      <w:tblGrid>
        <w:gridCol w:w="3044"/>
        <w:gridCol w:w="1535"/>
        <w:gridCol w:w="1534"/>
        <w:gridCol w:w="851"/>
        <w:gridCol w:w="1534"/>
        <w:gridCol w:w="1534"/>
        <w:gridCol w:w="1534"/>
        <w:gridCol w:w="851"/>
        <w:gridCol w:w="1531"/>
      </w:tblGrid>
      <w:tr w:rsidR="00DC3283" w:rsidRPr="00C34531" w14:paraId="2B8E925A" w14:textId="77777777" w:rsidTr="000526F1">
        <w:trPr>
          <w:trHeight w:val="330"/>
          <w:tblHeader/>
        </w:trPr>
        <w:tc>
          <w:tcPr>
            <w:tcW w:w="1091" w:type="pct"/>
            <w:tcBorders>
              <w:top w:val="single" w:sz="4" w:space="0" w:color="auto"/>
              <w:left w:val="single" w:sz="4" w:space="0" w:color="auto"/>
              <w:bottom w:val="nil"/>
              <w:right w:val="nil"/>
            </w:tcBorders>
            <w:shd w:val="clear" w:color="auto" w:fill="auto"/>
            <w:noWrap/>
            <w:vAlign w:val="bottom"/>
            <w:hideMark/>
          </w:tcPr>
          <w:p w14:paraId="76D0BC86" w14:textId="77777777" w:rsidR="00DC3283" w:rsidRPr="00DC3283" w:rsidRDefault="00DC3283" w:rsidP="00DC3283">
            <w:pPr>
              <w:spacing w:after="0" w:line="240" w:lineRule="auto"/>
              <w:rPr>
                <w:rFonts w:ascii="Times New Roman" w:eastAsia="Times New Roman" w:hAnsi="Times New Roman" w:cs="Times New Roman"/>
                <w:sz w:val="24"/>
                <w:szCs w:val="24"/>
                <w:lang w:eastAsia="en-GB"/>
              </w:rPr>
            </w:pPr>
          </w:p>
        </w:tc>
        <w:tc>
          <w:tcPr>
            <w:tcW w:w="1955" w:type="pct"/>
            <w:gridSpan w:val="4"/>
            <w:tcBorders>
              <w:top w:val="single" w:sz="4" w:space="0" w:color="auto"/>
              <w:left w:val="single" w:sz="8" w:space="0" w:color="auto"/>
              <w:bottom w:val="single" w:sz="12" w:space="0" w:color="000000"/>
              <w:right w:val="single" w:sz="8" w:space="0" w:color="000000"/>
            </w:tcBorders>
            <w:shd w:val="clear" w:color="000000" w:fill="FFFFFF"/>
            <w:vAlign w:val="center"/>
            <w:hideMark/>
          </w:tcPr>
          <w:p w14:paraId="40DD67A0"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Development dataset (CPRD Gold)</w:t>
            </w:r>
          </w:p>
        </w:tc>
        <w:tc>
          <w:tcPr>
            <w:tcW w:w="1954" w:type="pct"/>
            <w:gridSpan w:val="4"/>
            <w:tcBorders>
              <w:top w:val="single" w:sz="4" w:space="0" w:color="auto"/>
              <w:left w:val="nil"/>
              <w:bottom w:val="single" w:sz="12" w:space="0" w:color="000000"/>
              <w:right w:val="single" w:sz="4" w:space="0" w:color="auto"/>
            </w:tcBorders>
            <w:shd w:val="clear" w:color="000000" w:fill="FFFFFF"/>
            <w:vAlign w:val="center"/>
            <w:hideMark/>
          </w:tcPr>
          <w:p w14:paraId="08DD4436"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val="fr-FR" w:eastAsia="en-GB"/>
              </w:rPr>
            </w:pPr>
            <w:r w:rsidRPr="00DC3283">
              <w:rPr>
                <w:rFonts w:ascii="Calibri" w:eastAsia="Times New Roman" w:hAnsi="Calibri" w:cs="Calibri"/>
                <w:b/>
                <w:bCs/>
                <w:color w:val="000000"/>
                <w:sz w:val="18"/>
                <w:szCs w:val="18"/>
                <w:lang w:val="fr-FR" w:eastAsia="en-GB"/>
              </w:rPr>
              <w:t>External validation dataset (CPRD Aurum)</w:t>
            </w:r>
          </w:p>
        </w:tc>
      </w:tr>
      <w:tr w:rsidR="00C8418F" w:rsidRPr="00DC3283" w14:paraId="6A64988D" w14:textId="77777777" w:rsidTr="002C63E9">
        <w:trPr>
          <w:trHeight w:val="315"/>
        </w:trPr>
        <w:tc>
          <w:tcPr>
            <w:tcW w:w="1091" w:type="pct"/>
            <w:vMerge w:val="restart"/>
            <w:tcBorders>
              <w:top w:val="single" w:sz="12" w:space="0" w:color="000000"/>
              <w:left w:val="single" w:sz="4" w:space="0" w:color="auto"/>
              <w:bottom w:val="single" w:sz="8" w:space="0" w:color="000000"/>
              <w:right w:val="single" w:sz="8" w:space="0" w:color="auto"/>
            </w:tcBorders>
            <w:shd w:val="clear" w:color="000000" w:fill="E7E6E6"/>
            <w:vAlign w:val="center"/>
            <w:hideMark/>
          </w:tcPr>
          <w:p w14:paraId="17914C2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CHILDREN</w:t>
            </w:r>
          </w:p>
        </w:tc>
        <w:tc>
          <w:tcPr>
            <w:tcW w:w="550" w:type="pct"/>
            <w:tcBorders>
              <w:top w:val="nil"/>
              <w:left w:val="nil"/>
              <w:bottom w:val="nil"/>
              <w:right w:val="nil"/>
            </w:tcBorders>
            <w:shd w:val="clear" w:color="000000" w:fill="E7E6E6"/>
            <w:vAlign w:val="center"/>
            <w:hideMark/>
          </w:tcPr>
          <w:p w14:paraId="3C235C9E"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33A4FB2E"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5B44EF1F"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50" w:type="pct"/>
            <w:tcBorders>
              <w:top w:val="nil"/>
              <w:left w:val="nil"/>
              <w:bottom w:val="nil"/>
              <w:right w:val="nil"/>
            </w:tcBorders>
            <w:shd w:val="clear" w:color="000000" w:fill="E7E6E6"/>
            <w:vAlign w:val="center"/>
            <w:hideMark/>
          </w:tcPr>
          <w:p w14:paraId="7E96692D"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c>
          <w:tcPr>
            <w:tcW w:w="550" w:type="pct"/>
            <w:tcBorders>
              <w:top w:val="nil"/>
              <w:left w:val="single" w:sz="8" w:space="0" w:color="auto"/>
              <w:bottom w:val="nil"/>
              <w:right w:val="nil"/>
            </w:tcBorders>
            <w:shd w:val="clear" w:color="000000" w:fill="E7E6E6"/>
            <w:vAlign w:val="center"/>
            <w:hideMark/>
          </w:tcPr>
          <w:p w14:paraId="6B4DD94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24959BC4"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1A856461"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49" w:type="pct"/>
            <w:tcBorders>
              <w:top w:val="nil"/>
              <w:left w:val="nil"/>
              <w:bottom w:val="nil"/>
              <w:right w:val="single" w:sz="4" w:space="0" w:color="auto"/>
            </w:tcBorders>
            <w:shd w:val="clear" w:color="000000" w:fill="E7E6E6"/>
            <w:vAlign w:val="center"/>
            <w:hideMark/>
          </w:tcPr>
          <w:p w14:paraId="0A689D3B"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r>
      <w:tr w:rsidR="00C8418F" w:rsidRPr="00DC3283" w14:paraId="5B5DFEFC" w14:textId="77777777" w:rsidTr="002C63E9">
        <w:trPr>
          <w:trHeight w:val="315"/>
        </w:trPr>
        <w:tc>
          <w:tcPr>
            <w:tcW w:w="1091" w:type="pct"/>
            <w:vMerge/>
            <w:tcBorders>
              <w:top w:val="single" w:sz="12" w:space="0" w:color="000000"/>
              <w:left w:val="single" w:sz="4" w:space="0" w:color="auto"/>
              <w:bottom w:val="single" w:sz="8" w:space="0" w:color="000000"/>
              <w:right w:val="single" w:sz="8" w:space="0" w:color="auto"/>
            </w:tcBorders>
            <w:vAlign w:val="center"/>
            <w:hideMark/>
          </w:tcPr>
          <w:p w14:paraId="303D5B4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p>
        </w:tc>
        <w:tc>
          <w:tcPr>
            <w:tcW w:w="550" w:type="pct"/>
            <w:tcBorders>
              <w:top w:val="nil"/>
              <w:left w:val="nil"/>
              <w:bottom w:val="single" w:sz="8" w:space="0" w:color="000000"/>
              <w:right w:val="nil"/>
            </w:tcBorders>
            <w:shd w:val="clear" w:color="000000" w:fill="E7E6E6"/>
            <w:vAlign w:val="center"/>
            <w:hideMark/>
          </w:tcPr>
          <w:p w14:paraId="3CE4590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(N=12948)</w:t>
            </w:r>
          </w:p>
        </w:tc>
        <w:tc>
          <w:tcPr>
            <w:tcW w:w="550" w:type="pct"/>
            <w:tcBorders>
              <w:top w:val="nil"/>
              <w:left w:val="nil"/>
              <w:bottom w:val="single" w:sz="8" w:space="0" w:color="000000"/>
              <w:right w:val="nil"/>
            </w:tcBorders>
            <w:shd w:val="clear" w:color="000000" w:fill="E7E6E6"/>
            <w:vAlign w:val="center"/>
            <w:hideMark/>
          </w:tcPr>
          <w:p w14:paraId="1F3893BA"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(N=3237)</w:t>
            </w:r>
          </w:p>
        </w:tc>
        <w:tc>
          <w:tcPr>
            <w:tcW w:w="305" w:type="pct"/>
            <w:tcBorders>
              <w:top w:val="nil"/>
              <w:left w:val="nil"/>
              <w:bottom w:val="single" w:sz="8" w:space="0" w:color="000000"/>
              <w:right w:val="nil"/>
            </w:tcBorders>
            <w:shd w:val="clear" w:color="000000" w:fill="E7E6E6"/>
            <w:vAlign w:val="center"/>
            <w:hideMark/>
          </w:tcPr>
          <w:p w14:paraId="5887F7C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single" w:sz="8" w:space="0" w:color="000000"/>
              <w:right w:val="nil"/>
            </w:tcBorders>
            <w:shd w:val="clear" w:color="000000" w:fill="E7E6E6"/>
            <w:vAlign w:val="center"/>
            <w:hideMark/>
          </w:tcPr>
          <w:p w14:paraId="733A33E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(N=16185)</w:t>
            </w:r>
          </w:p>
        </w:tc>
        <w:tc>
          <w:tcPr>
            <w:tcW w:w="550" w:type="pct"/>
            <w:tcBorders>
              <w:top w:val="nil"/>
              <w:left w:val="single" w:sz="8" w:space="0" w:color="auto"/>
              <w:bottom w:val="single" w:sz="8" w:space="0" w:color="000000"/>
              <w:right w:val="nil"/>
            </w:tcBorders>
            <w:shd w:val="clear" w:color="000000" w:fill="E7E6E6"/>
            <w:vAlign w:val="center"/>
            <w:hideMark/>
          </w:tcPr>
          <w:p w14:paraId="1AE65394"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(N=28131)</w:t>
            </w:r>
          </w:p>
        </w:tc>
        <w:tc>
          <w:tcPr>
            <w:tcW w:w="550" w:type="pct"/>
            <w:tcBorders>
              <w:top w:val="nil"/>
              <w:left w:val="nil"/>
              <w:bottom w:val="single" w:sz="8" w:space="0" w:color="000000"/>
              <w:right w:val="nil"/>
            </w:tcBorders>
            <w:shd w:val="clear" w:color="000000" w:fill="E7E6E6"/>
            <w:vAlign w:val="center"/>
            <w:hideMark/>
          </w:tcPr>
          <w:p w14:paraId="112117D4"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(N=7033)</w:t>
            </w:r>
          </w:p>
        </w:tc>
        <w:tc>
          <w:tcPr>
            <w:tcW w:w="305" w:type="pct"/>
            <w:tcBorders>
              <w:top w:val="nil"/>
              <w:left w:val="nil"/>
              <w:bottom w:val="single" w:sz="8" w:space="0" w:color="000000"/>
              <w:right w:val="nil"/>
            </w:tcBorders>
            <w:shd w:val="clear" w:color="000000" w:fill="E7E6E6"/>
            <w:vAlign w:val="center"/>
            <w:hideMark/>
          </w:tcPr>
          <w:p w14:paraId="3D9BE94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single" w:sz="8" w:space="0" w:color="000000"/>
              <w:right w:val="single" w:sz="4" w:space="0" w:color="auto"/>
            </w:tcBorders>
            <w:shd w:val="clear" w:color="000000" w:fill="E7E6E6"/>
            <w:vAlign w:val="center"/>
            <w:hideMark/>
          </w:tcPr>
          <w:p w14:paraId="2151D4D0"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(N=35164)</w:t>
            </w:r>
          </w:p>
        </w:tc>
      </w:tr>
      <w:tr w:rsidR="00DA1572" w:rsidRPr="00DC3283" w14:paraId="0D096E9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00BF811"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Age (years)</w:t>
            </w:r>
          </w:p>
        </w:tc>
        <w:tc>
          <w:tcPr>
            <w:tcW w:w="550" w:type="pct"/>
            <w:tcBorders>
              <w:top w:val="nil"/>
              <w:left w:val="nil"/>
              <w:bottom w:val="nil"/>
              <w:right w:val="nil"/>
            </w:tcBorders>
            <w:shd w:val="clear" w:color="000000" w:fill="FFFFFF"/>
            <w:noWrap/>
            <w:vAlign w:val="center"/>
            <w:hideMark/>
          </w:tcPr>
          <w:p w14:paraId="26387AF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FD1566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7CED7C7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DCDF95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1E44DE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E8DB76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DC23A3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F3F5E1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5EF7E70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DE4C00B"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Mean (SD)</w:t>
            </w:r>
          </w:p>
        </w:tc>
        <w:tc>
          <w:tcPr>
            <w:tcW w:w="550" w:type="pct"/>
            <w:tcBorders>
              <w:top w:val="nil"/>
              <w:left w:val="nil"/>
              <w:bottom w:val="nil"/>
              <w:right w:val="nil"/>
            </w:tcBorders>
            <w:shd w:val="clear" w:color="000000" w:fill="FFFFFF"/>
            <w:noWrap/>
            <w:vAlign w:val="center"/>
            <w:hideMark/>
          </w:tcPr>
          <w:p w14:paraId="0BA8456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9.04 (4.62)</w:t>
            </w:r>
          </w:p>
        </w:tc>
        <w:tc>
          <w:tcPr>
            <w:tcW w:w="550" w:type="pct"/>
            <w:tcBorders>
              <w:top w:val="nil"/>
              <w:left w:val="nil"/>
              <w:bottom w:val="nil"/>
              <w:right w:val="nil"/>
            </w:tcBorders>
            <w:shd w:val="clear" w:color="000000" w:fill="FFFFFF"/>
            <w:noWrap/>
            <w:vAlign w:val="center"/>
            <w:hideMark/>
          </w:tcPr>
          <w:p w14:paraId="517A7C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8.89 (4.77)</w:t>
            </w:r>
          </w:p>
        </w:tc>
        <w:tc>
          <w:tcPr>
            <w:tcW w:w="305" w:type="pct"/>
            <w:tcBorders>
              <w:top w:val="nil"/>
              <w:left w:val="nil"/>
              <w:bottom w:val="nil"/>
              <w:right w:val="nil"/>
            </w:tcBorders>
            <w:shd w:val="clear" w:color="000000" w:fill="FFFFFF"/>
            <w:noWrap/>
            <w:vAlign w:val="center"/>
            <w:hideMark/>
          </w:tcPr>
          <w:p w14:paraId="631445C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0.127</w:t>
            </w:r>
          </w:p>
        </w:tc>
        <w:tc>
          <w:tcPr>
            <w:tcW w:w="550" w:type="pct"/>
            <w:tcBorders>
              <w:top w:val="nil"/>
              <w:left w:val="nil"/>
              <w:bottom w:val="nil"/>
              <w:right w:val="single" w:sz="8" w:space="0" w:color="auto"/>
            </w:tcBorders>
            <w:shd w:val="clear" w:color="000000" w:fill="FFFFFF"/>
            <w:noWrap/>
            <w:vAlign w:val="center"/>
            <w:hideMark/>
          </w:tcPr>
          <w:p w14:paraId="1BC6D9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9.01 (4.65)</w:t>
            </w:r>
          </w:p>
        </w:tc>
        <w:tc>
          <w:tcPr>
            <w:tcW w:w="550" w:type="pct"/>
            <w:tcBorders>
              <w:top w:val="nil"/>
              <w:left w:val="nil"/>
              <w:bottom w:val="nil"/>
              <w:right w:val="nil"/>
            </w:tcBorders>
            <w:shd w:val="clear" w:color="000000" w:fill="FFFFFF"/>
            <w:noWrap/>
            <w:vAlign w:val="center"/>
            <w:hideMark/>
          </w:tcPr>
          <w:p w14:paraId="369DC7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8.96 (4.61)</w:t>
            </w:r>
          </w:p>
        </w:tc>
        <w:tc>
          <w:tcPr>
            <w:tcW w:w="550" w:type="pct"/>
            <w:tcBorders>
              <w:top w:val="nil"/>
              <w:left w:val="nil"/>
              <w:bottom w:val="nil"/>
              <w:right w:val="nil"/>
            </w:tcBorders>
            <w:shd w:val="clear" w:color="000000" w:fill="FFFFFF"/>
            <w:noWrap/>
            <w:vAlign w:val="center"/>
            <w:hideMark/>
          </w:tcPr>
          <w:p w14:paraId="5E038D3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8.66 (4.74)</w:t>
            </w:r>
          </w:p>
        </w:tc>
        <w:tc>
          <w:tcPr>
            <w:tcW w:w="305" w:type="pct"/>
            <w:tcBorders>
              <w:top w:val="nil"/>
              <w:left w:val="nil"/>
              <w:bottom w:val="nil"/>
              <w:right w:val="nil"/>
            </w:tcBorders>
            <w:shd w:val="clear" w:color="000000" w:fill="FFFFFF"/>
            <w:noWrap/>
            <w:vAlign w:val="center"/>
            <w:hideMark/>
          </w:tcPr>
          <w:p w14:paraId="494CAF9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DF870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8.90 (4.64)</w:t>
            </w:r>
          </w:p>
        </w:tc>
      </w:tr>
      <w:tr w:rsidR="00DA1572" w:rsidRPr="00DC3283" w14:paraId="678A184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767AB5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Median [Min, Max]</w:t>
            </w:r>
          </w:p>
        </w:tc>
        <w:tc>
          <w:tcPr>
            <w:tcW w:w="550" w:type="pct"/>
            <w:tcBorders>
              <w:top w:val="nil"/>
              <w:left w:val="nil"/>
              <w:bottom w:val="nil"/>
              <w:right w:val="nil"/>
            </w:tcBorders>
            <w:shd w:val="clear" w:color="000000" w:fill="FFFFFF"/>
            <w:noWrap/>
            <w:vAlign w:val="center"/>
            <w:hideMark/>
          </w:tcPr>
          <w:p w14:paraId="0F2556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9.00 [1.00, 17.0]</w:t>
            </w:r>
          </w:p>
        </w:tc>
        <w:tc>
          <w:tcPr>
            <w:tcW w:w="550" w:type="pct"/>
            <w:tcBorders>
              <w:top w:val="nil"/>
              <w:left w:val="nil"/>
              <w:bottom w:val="nil"/>
              <w:right w:val="nil"/>
            </w:tcBorders>
            <w:shd w:val="clear" w:color="000000" w:fill="FFFFFF"/>
            <w:noWrap/>
            <w:vAlign w:val="center"/>
            <w:hideMark/>
          </w:tcPr>
          <w:p w14:paraId="266390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9.00 [1.00, 17.0]</w:t>
            </w:r>
          </w:p>
        </w:tc>
        <w:tc>
          <w:tcPr>
            <w:tcW w:w="305" w:type="pct"/>
            <w:tcBorders>
              <w:top w:val="nil"/>
              <w:left w:val="nil"/>
              <w:bottom w:val="nil"/>
              <w:right w:val="nil"/>
            </w:tcBorders>
            <w:shd w:val="clear" w:color="000000" w:fill="FFFFFF"/>
            <w:noWrap/>
            <w:vAlign w:val="center"/>
            <w:hideMark/>
          </w:tcPr>
          <w:p w14:paraId="54B5405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872FA1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9.00 [1.00, 17.0]</w:t>
            </w:r>
          </w:p>
        </w:tc>
        <w:tc>
          <w:tcPr>
            <w:tcW w:w="550" w:type="pct"/>
            <w:tcBorders>
              <w:top w:val="nil"/>
              <w:left w:val="nil"/>
              <w:bottom w:val="nil"/>
              <w:right w:val="nil"/>
            </w:tcBorders>
            <w:shd w:val="clear" w:color="000000" w:fill="FFFFFF"/>
            <w:noWrap/>
            <w:vAlign w:val="center"/>
            <w:hideMark/>
          </w:tcPr>
          <w:p w14:paraId="7DF20B9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9.00 [1.00, 17.0]</w:t>
            </w:r>
          </w:p>
        </w:tc>
        <w:tc>
          <w:tcPr>
            <w:tcW w:w="550" w:type="pct"/>
            <w:tcBorders>
              <w:top w:val="nil"/>
              <w:left w:val="nil"/>
              <w:bottom w:val="nil"/>
              <w:right w:val="nil"/>
            </w:tcBorders>
            <w:shd w:val="clear" w:color="000000" w:fill="FFFFFF"/>
            <w:noWrap/>
            <w:vAlign w:val="center"/>
            <w:hideMark/>
          </w:tcPr>
          <w:p w14:paraId="49B29C2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8.00 [1.00, 17.0]</w:t>
            </w:r>
          </w:p>
        </w:tc>
        <w:tc>
          <w:tcPr>
            <w:tcW w:w="305" w:type="pct"/>
            <w:tcBorders>
              <w:top w:val="nil"/>
              <w:left w:val="nil"/>
              <w:bottom w:val="nil"/>
              <w:right w:val="nil"/>
            </w:tcBorders>
            <w:shd w:val="clear" w:color="000000" w:fill="FFFFFF"/>
            <w:noWrap/>
            <w:vAlign w:val="center"/>
            <w:hideMark/>
          </w:tcPr>
          <w:p w14:paraId="641C91E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71624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9.00 [1.00, 17.0]</w:t>
            </w:r>
          </w:p>
        </w:tc>
      </w:tr>
      <w:tr w:rsidR="00DA1572" w:rsidRPr="00DC3283" w14:paraId="3625B80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7D2394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Sex</w:t>
            </w:r>
          </w:p>
        </w:tc>
        <w:tc>
          <w:tcPr>
            <w:tcW w:w="550" w:type="pct"/>
            <w:tcBorders>
              <w:top w:val="nil"/>
              <w:left w:val="nil"/>
              <w:bottom w:val="nil"/>
              <w:right w:val="nil"/>
            </w:tcBorders>
            <w:shd w:val="clear" w:color="000000" w:fill="FFFFFF"/>
            <w:noWrap/>
            <w:vAlign w:val="center"/>
            <w:hideMark/>
          </w:tcPr>
          <w:p w14:paraId="16ED333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4D187B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55031B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08F7F0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C09626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F10ACA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6DBBAAE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53992B7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0A17EB6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011635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Male</w:t>
            </w:r>
          </w:p>
        </w:tc>
        <w:tc>
          <w:tcPr>
            <w:tcW w:w="550" w:type="pct"/>
            <w:tcBorders>
              <w:top w:val="nil"/>
              <w:left w:val="nil"/>
              <w:bottom w:val="nil"/>
              <w:right w:val="nil"/>
            </w:tcBorders>
            <w:shd w:val="clear" w:color="000000" w:fill="FFFFFF"/>
            <w:noWrap/>
            <w:vAlign w:val="center"/>
            <w:hideMark/>
          </w:tcPr>
          <w:p w14:paraId="161D046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6862 (53.0%)</w:t>
            </w:r>
          </w:p>
        </w:tc>
        <w:tc>
          <w:tcPr>
            <w:tcW w:w="550" w:type="pct"/>
            <w:tcBorders>
              <w:top w:val="nil"/>
              <w:left w:val="nil"/>
              <w:bottom w:val="nil"/>
              <w:right w:val="nil"/>
            </w:tcBorders>
            <w:shd w:val="clear" w:color="000000" w:fill="FFFFFF"/>
            <w:noWrap/>
            <w:vAlign w:val="center"/>
            <w:hideMark/>
          </w:tcPr>
          <w:p w14:paraId="723ED0A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1249 (38.6%)</w:t>
            </w:r>
          </w:p>
        </w:tc>
        <w:tc>
          <w:tcPr>
            <w:tcW w:w="305" w:type="pct"/>
            <w:tcBorders>
              <w:top w:val="nil"/>
              <w:left w:val="nil"/>
              <w:bottom w:val="nil"/>
              <w:right w:val="nil"/>
            </w:tcBorders>
            <w:shd w:val="clear" w:color="000000" w:fill="FFFFFF"/>
            <w:noWrap/>
            <w:vAlign w:val="center"/>
            <w:hideMark/>
          </w:tcPr>
          <w:p w14:paraId="6ED7DD2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A4C01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8111 (50.1%)</w:t>
            </w:r>
          </w:p>
        </w:tc>
        <w:tc>
          <w:tcPr>
            <w:tcW w:w="550" w:type="pct"/>
            <w:tcBorders>
              <w:top w:val="nil"/>
              <w:left w:val="nil"/>
              <w:bottom w:val="nil"/>
              <w:right w:val="nil"/>
            </w:tcBorders>
            <w:shd w:val="clear" w:color="000000" w:fill="FFFFFF"/>
            <w:noWrap/>
            <w:vAlign w:val="center"/>
            <w:hideMark/>
          </w:tcPr>
          <w:p w14:paraId="00E082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15024 (53.4%)</w:t>
            </w:r>
          </w:p>
        </w:tc>
        <w:tc>
          <w:tcPr>
            <w:tcW w:w="550" w:type="pct"/>
            <w:tcBorders>
              <w:top w:val="nil"/>
              <w:left w:val="nil"/>
              <w:bottom w:val="nil"/>
              <w:right w:val="nil"/>
            </w:tcBorders>
            <w:shd w:val="clear" w:color="000000" w:fill="FFFFFF"/>
            <w:noWrap/>
            <w:vAlign w:val="center"/>
            <w:hideMark/>
          </w:tcPr>
          <w:p w14:paraId="3FF58D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2702 (38.4%)</w:t>
            </w:r>
          </w:p>
        </w:tc>
        <w:tc>
          <w:tcPr>
            <w:tcW w:w="305" w:type="pct"/>
            <w:tcBorders>
              <w:top w:val="nil"/>
              <w:left w:val="nil"/>
              <w:bottom w:val="nil"/>
              <w:right w:val="nil"/>
            </w:tcBorders>
            <w:shd w:val="clear" w:color="000000" w:fill="FFFFFF"/>
            <w:noWrap/>
            <w:vAlign w:val="center"/>
            <w:hideMark/>
          </w:tcPr>
          <w:p w14:paraId="4A520D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8EEBE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17726 (50.4%)</w:t>
            </w:r>
          </w:p>
        </w:tc>
      </w:tr>
      <w:tr w:rsidR="00DA1572" w:rsidRPr="00DC3283" w14:paraId="75C8CAC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2AE44E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Female</w:t>
            </w:r>
          </w:p>
        </w:tc>
        <w:tc>
          <w:tcPr>
            <w:tcW w:w="550" w:type="pct"/>
            <w:tcBorders>
              <w:top w:val="nil"/>
              <w:left w:val="nil"/>
              <w:bottom w:val="nil"/>
              <w:right w:val="nil"/>
            </w:tcBorders>
            <w:shd w:val="clear" w:color="000000" w:fill="FFFFFF"/>
            <w:noWrap/>
            <w:vAlign w:val="center"/>
            <w:hideMark/>
          </w:tcPr>
          <w:p w14:paraId="029629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6086 (47.0%)</w:t>
            </w:r>
          </w:p>
        </w:tc>
        <w:tc>
          <w:tcPr>
            <w:tcW w:w="550" w:type="pct"/>
            <w:tcBorders>
              <w:top w:val="nil"/>
              <w:left w:val="nil"/>
              <w:bottom w:val="nil"/>
              <w:right w:val="nil"/>
            </w:tcBorders>
            <w:shd w:val="clear" w:color="000000" w:fill="FFFFFF"/>
            <w:noWrap/>
            <w:vAlign w:val="center"/>
            <w:hideMark/>
          </w:tcPr>
          <w:p w14:paraId="55B4E7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1988 (61.4%)</w:t>
            </w:r>
          </w:p>
        </w:tc>
        <w:tc>
          <w:tcPr>
            <w:tcW w:w="305" w:type="pct"/>
            <w:tcBorders>
              <w:top w:val="nil"/>
              <w:left w:val="nil"/>
              <w:bottom w:val="nil"/>
              <w:right w:val="nil"/>
            </w:tcBorders>
            <w:shd w:val="clear" w:color="000000" w:fill="FFFFFF"/>
            <w:noWrap/>
            <w:vAlign w:val="center"/>
            <w:hideMark/>
          </w:tcPr>
          <w:p w14:paraId="1828A80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6AC2C64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8074 (49.9%)</w:t>
            </w:r>
          </w:p>
        </w:tc>
        <w:tc>
          <w:tcPr>
            <w:tcW w:w="550" w:type="pct"/>
            <w:tcBorders>
              <w:top w:val="nil"/>
              <w:left w:val="nil"/>
              <w:bottom w:val="nil"/>
              <w:right w:val="nil"/>
            </w:tcBorders>
            <w:shd w:val="clear" w:color="000000" w:fill="FFFFFF"/>
            <w:noWrap/>
            <w:vAlign w:val="center"/>
            <w:hideMark/>
          </w:tcPr>
          <w:p w14:paraId="4D3E1C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13107 (46.6%)</w:t>
            </w:r>
          </w:p>
        </w:tc>
        <w:tc>
          <w:tcPr>
            <w:tcW w:w="550" w:type="pct"/>
            <w:tcBorders>
              <w:top w:val="nil"/>
              <w:left w:val="nil"/>
              <w:bottom w:val="nil"/>
              <w:right w:val="nil"/>
            </w:tcBorders>
            <w:shd w:val="clear" w:color="000000" w:fill="FFFFFF"/>
            <w:noWrap/>
            <w:vAlign w:val="center"/>
            <w:hideMark/>
          </w:tcPr>
          <w:p w14:paraId="62D6C6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4331 (61.6%)</w:t>
            </w:r>
          </w:p>
        </w:tc>
        <w:tc>
          <w:tcPr>
            <w:tcW w:w="305" w:type="pct"/>
            <w:tcBorders>
              <w:top w:val="nil"/>
              <w:left w:val="nil"/>
              <w:bottom w:val="nil"/>
              <w:right w:val="nil"/>
            </w:tcBorders>
            <w:shd w:val="clear" w:color="000000" w:fill="FFFFFF"/>
            <w:noWrap/>
            <w:vAlign w:val="center"/>
            <w:hideMark/>
          </w:tcPr>
          <w:p w14:paraId="6482D70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A8044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17438 (49.6%)</w:t>
            </w:r>
          </w:p>
        </w:tc>
      </w:tr>
      <w:tr w:rsidR="00DA1572" w:rsidRPr="00DC3283" w14:paraId="0450941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3185D2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Ethnicity</w:t>
            </w:r>
          </w:p>
        </w:tc>
        <w:tc>
          <w:tcPr>
            <w:tcW w:w="550" w:type="pct"/>
            <w:tcBorders>
              <w:top w:val="nil"/>
              <w:left w:val="nil"/>
              <w:bottom w:val="nil"/>
              <w:right w:val="nil"/>
            </w:tcBorders>
            <w:shd w:val="clear" w:color="000000" w:fill="FFFFFF"/>
            <w:noWrap/>
            <w:vAlign w:val="center"/>
            <w:hideMark/>
          </w:tcPr>
          <w:p w14:paraId="48BB97B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FB8E1F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2C16BF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6157B52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CCD6B8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FA2725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4608F68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0E6762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05A177D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24DCD83"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Non-white</w:t>
            </w:r>
          </w:p>
        </w:tc>
        <w:tc>
          <w:tcPr>
            <w:tcW w:w="550" w:type="pct"/>
            <w:tcBorders>
              <w:top w:val="nil"/>
              <w:left w:val="nil"/>
              <w:bottom w:val="nil"/>
              <w:right w:val="nil"/>
            </w:tcBorders>
            <w:shd w:val="clear" w:color="000000" w:fill="FFFFFF"/>
            <w:noWrap/>
            <w:vAlign w:val="center"/>
            <w:hideMark/>
          </w:tcPr>
          <w:p w14:paraId="1DD1D2F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438 (3.4%)</w:t>
            </w:r>
          </w:p>
        </w:tc>
        <w:tc>
          <w:tcPr>
            <w:tcW w:w="550" w:type="pct"/>
            <w:tcBorders>
              <w:top w:val="nil"/>
              <w:left w:val="nil"/>
              <w:bottom w:val="nil"/>
              <w:right w:val="nil"/>
            </w:tcBorders>
            <w:shd w:val="clear" w:color="000000" w:fill="FFFFFF"/>
            <w:noWrap/>
            <w:vAlign w:val="center"/>
            <w:hideMark/>
          </w:tcPr>
          <w:p w14:paraId="15960B7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98 (3.0%)</w:t>
            </w:r>
          </w:p>
        </w:tc>
        <w:tc>
          <w:tcPr>
            <w:tcW w:w="305" w:type="pct"/>
            <w:tcBorders>
              <w:top w:val="nil"/>
              <w:left w:val="nil"/>
              <w:bottom w:val="nil"/>
              <w:right w:val="nil"/>
            </w:tcBorders>
            <w:shd w:val="clear" w:color="000000" w:fill="FFFFFF"/>
            <w:noWrap/>
            <w:vAlign w:val="center"/>
            <w:hideMark/>
          </w:tcPr>
          <w:p w14:paraId="3841C81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0.004</w:t>
            </w:r>
          </w:p>
        </w:tc>
        <w:tc>
          <w:tcPr>
            <w:tcW w:w="550" w:type="pct"/>
            <w:tcBorders>
              <w:top w:val="nil"/>
              <w:left w:val="nil"/>
              <w:bottom w:val="nil"/>
              <w:right w:val="single" w:sz="8" w:space="0" w:color="auto"/>
            </w:tcBorders>
            <w:shd w:val="clear" w:color="000000" w:fill="FFFFFF"/>
            <w:noWrap/>
            <w:vAlign w:val="center"/>
            <w:hideMark/>
          </w:tcPr>
          <w:p w14:paraId="4EA6E71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536 (3.3%)</w:t>
            </w:r>
          </w:p>
        </w:tc>
        <w:tc>
          <w:tcPr>
            <w:tcW w:w="550" w:type="pct"/>
            <w:tcBorders>
              <w:top w:val="nil"/>
              <w:left w:val="nil"/>
              <w:bottom w:val="nil"/>
              <w:right w:val="nil"/>
            </w:tcBorders>
            <w:shd w:val="clear" w:color="000000" w:fill="FFFFFF"/>
            <w:noWrap/>
            <w:vAlign w:val="center"/>
            <w:hideMark/>
          </w:tcPr>
          <w:p w14:paraId="73FD10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686 (2.4%)</w:t>
            </w:r>
          </w:p>
        </w:tc>
        <w:tc>
          <w:tcPr>
            <w:tcW w:w="550" w:type="pct"/>
            <w:tcBorders>
              <w:top w:val="nil"/>
              <w:left w:val="nil"/>
              <w:bottom w:val="nil"/>
              <w:right w:val="nil"/>
            </w:tcBorders>
            <w:shd w:val="clear" w:color="000000" w:fill="FFFFFF"/>
            <w:noWrap/>
            <w:vAlign w:val="center"/>
            <w:hideMark/>
          </w:tcPr>
          <w:p w14:paraId="4E7133A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156 (2.2%)</w:t>
            </w:r>
          </w:p>
        </w:tc>
        <w:tc>
          <w:tcPr>
            <w:tcW w:w="305" w:type="pct"/>
            <w:tcBorders>
              <w:top w:val="nil"/>
              <w:left w:val="nil"/>
              <w:bottom w:val="nil"/>
              <w:right w:val="nil"/>
            </w:tcBorders>
            <w:shd w:val="clear" w:color="000000" w:fill="FFFFFF"/>
            <w:noWrap/>
            <w:vAlign w:val="center"/>
            <w:hideMark/>
          </w:tcPr>
          <w:p w14:paraId="67D7C20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B3B1B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842 (2.4%)</w:t>
            </w:r>
          </w:p>
        </w:tc>
      </w:tr>
      <w:tr w:rsidR="00DA1572" w:rsidRPr="00DC3283" w14:paraId="4BAB769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80461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White</w:t>
            </w:r>
          </w:p>
        </w:tc>
        <w:tc>
          <w:tcPr>
            <w:tcW w:w="550" w:type="pct"/>
            <w:tcBorders>
              <w:top w:val="nil"/>
              <w:left w:val="nil"/>
              <w:bottom w:val="nil"/>
              <w:right w:val="nil"/>
            </w:tcBorders>
            <w:shd w:val="clear" w:color="000000" w:fill="FFFFFF"/>
            <w:noWrap/>
            <w:vAlign w:val="center"/>
            <w:hideMark/>
          </w:tcPr>
          <w:p w14:paraId="3A0D639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3816 (29.5%)</w:t>
            </w:r>
          </w:p>
        </w:tc>
        <w:tc>
          <w:tcPr>
            <w:tcW w:w="550" w:type="pct"/>
            <w:tcBorders>
              <w:top w:val="nil"/>
              <w:left w:val="nil"/>
              <w:bottom w:val="nil"/>
              <w:right w:val="nil"/>
            </w:tcBorders>
            <w:shd w:val="clear" w:color="000000" w:fill="FFFFFF"/>
            <w:noWrap/>
            <w:vAlign w:val="center"/>
            <w:hideMark/>
          </w:tcPr>
          <w:p w14:paraId="2EB1F7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1205 (37.2%)</w:t>
            </w:r>
          </w:p>
        </w:tc>
        <w:tc>
          <w:tcPr>
            <w:tcW w:w="305" w:type="pct"/>
            <w:tcBorders>
              <w:top w:val="nil"/>
              <w:left w:val="nil"/>
              <w:bottom w:val="nil"/>
              <w:right w:val="nil"/>
            </w:tcBorders>
            <w:shd w:val="clear" w:color="000000" w:fill="FFFFFF"/>
            <w:noWrap/>
            <w:vAlign w:val="center"/>
            <w:hideMark/>
          </w:tcPr>
          <w:p w14:paraId="7C6A7E8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1C84C4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5021 (31.0%)</w:t>
            </w:r>
          </w:p>
        </w:tc>
        <w:tc>
          <w:tcPr>
            <w:tcW w:w="550" w:type="pct"/>
            <w:tcBorders>
              <w:top w:val="nil"/>
              <w:left w:val="nil"/>
              <w:bottom w:val="nil"/>
              <w:right w:val="nil"/>
            </w:tcBorders>
            <w:shd w:val="clear" w:color="000000" w:fill="FFFFFF"/>
            <w:noWrap/>
            <w:vAlign w:val="center"/>
            <w:hideMark/>
          </w:tcPr>
          <w:p w14:paraId="2C66E8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3478 (12.4%)</w:t>
            </w:r>
          </w:p>
        </w:tc>
        <w:tc>
          <w:tcPr>
            <w:tcW w:w="550" w:type="pct"/>
            <w:tcBorders>
              <w:top w:val="nil"/>
              <w:left w:val="nil"/>
              <w:bottom w:val="nil"/>
              <w:right w:val="nil"/>
            </w:tcBorders>
            <w:shd w:val="clear" w:color="000000" w:fill="FFFFFF"/>
            <w:noWrap/>
            <w:vAlign w:val="center"/>
            <w:hideMark/>
          </w:tcPr>
          <w:p w14:paraId="0303ED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1103 (15.7%)</w:t>
            </w:r>
          </w:p>
        </w:tc>
        <w:tc>
          <w:tcPr>
            <w:tcW w:w="305" w:type="pct"/>
            <w:tcBorders>
              <w:top w:val="nil"/>
              <w:left w:val="nil"/>
              <w:bottom w:val="nil"/>
              <w:right w:val="nil"/>
            </w:tcBorders>
            <w:shd w:val="clear" w:color="000000" w:fill="FFFFFF"/>
            <w:noWrap/>
            <w:vAlign w:val="center"/>
            <w:hideMark/>
          </w:tcPr>
          <w:p w14:paraId="48B9249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1BD066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4581 (13.0%)</w:t>
            </w:r>
          </w:p>
        </w:tc>
      </w:tr>
      <w:tr w:rsidR="00DA1572" w:rsidRPr="00DC3283" w14:paraId="7BF44DC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BF111D1"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3A4547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8694 (67.1%)</w:t>
            </w:r>
          </w:p>
        </w:tc>
        <w:tc>
          <w:tcPr>
            <w:tcW w:w="550" w:type="pct"/>
            <w:tcBorders>
              <w:top w:val="nil"/>
              <w:left w:val="nil"/>
              <w:bottom w:val="nil"/>
              <w:right w:val="nil"/>
            </w:tcBorders>
            <w:shd w:val="clear" w:color="000000" w:fill="FFFFFF"/>
            <w:noWrap/>
            <w:vAlign w:val="center"/>
            <w:hideMark/>
          </w:tcPr>
          <w:p w14:paraId="0EDBC6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1934 (59.7%)</w:t>
            </w:r>
          </w:p>
        </w:tc>
        <w:tc>
          <w:tcPr>
            <w:tcW w:w="305" w:type="pct"/>
            <w:tcBorders>
              <w:top w:val="nil"/>
              <w:left w:val="nil"/>
              <w:bottom w:val="nil"/>
              <w:right w:val="nil"/>
            </w:tcBorders>
            <w:shd w:val="clear" w:color="000000" w:fill="FFFFFF"/>
            <w:noWrap/>
            <w:vAlign w:val="center"/>
            <w:hideMark/>
          </w:tcPr>
          <w:p w14:paraId="2055A3B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1075A9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10628 (65.7%)</w:t>
            </w:r>
          </w:p>
        </w:tc>
        <w:tc>
          <w:tcPr>
            <w:tcW w:w="550" w:type="pct"/>
            <w:tcBorders>
              <w:top w:val="nil"/>
              <w:left w:val="nil"/>
              <w:bottom w:val="nil"/>
              <w:right w:val="nil"/>
            </w:tcBorders>
            <w:shd w:val="clear" w:color="000000" w:fill="FFFFFF"/>
            <w:noWrap/>
            <w:vAlign w:val="center"/>
            <w:hideMark/>
          </w:tcPr>
          <w:p w14:paraId="0CE8D29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23967 (85.2%)</w:t>
            </w:r>
          </w:p>
        </w:tc>
        <w:tc>
          <w:tcPr>
            <w:tcW w:w="550" w:type="pct"/>
            <w:tcBorders>
              <w:top w:val="nil"/>
              <w:left w:val="nil"/>
              <w:bottom w:val="nil"/>
              <w:right w:val="nil"/>
            </w:tcBorders>
            <w:shd w:val="clear" w:color="000000" w:fill="FFFFFF"/>
            <w:noWrap/>
            <w:vAlign w:val="center"/>
            <w:hideMark/>
          </w:tcPr>
          <w:p w14:paraId="5AE37BC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5774 (82.1%)</w:t>
            </w:r>
          </w:p>
        </w:tc>
        <w:tc>
          <w:tcPr>
            <w:tcW w:w="305" w:type="pct"/>
            <w:tcBorders>
              <w:top w:val="nil"/>
              <w:left w:val="nil"/>
              <w:bottom w:val="nil"/>
              <w:right w:val="nil"/>
            </w:tcBorders>
            <w:shd w:val="clear" w:color="000000" w:fill="FFFFFF"/>
            <w:noWrap/>
            <w:vAlign w:val="center"/>
            <w:hideMark/>
          </w:tcPr>
          <w:p w14:paraId="6410D02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740EEF0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29741 (84.6%)</w:t>
            </w:r>
          </w:p>
        </w:tc>
      </w:tr>
      <w:tr w:rsidR="00DA1572" w:rsidRPr="00DC3283" w14:paraId="6E8647C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658F00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Deprivation (IMD 2015 quintiles)</w:t>
            </w:r>
          </w:p>
        </w:tc>
        <w:tc>
          <w:tcPr>
            <w:tcW w:w="550" w:type="pct"/>
            <w:tcBorders>
              <w:top w:val="nil"/>
              <w:left w:val="nil"/>
              <w:bottom w:val="nil"/>
              <w:right w:val="nil"/>
            </w:tcBorders>
            <w:shd w:val="clear" w:color="000000" w:fill="FFFFFF"/>
            <w:noWrap/>
            <w:vAlign w:val="center"/>
            <w:hideMark/>
          </w:tcPr>
          <w:p w14:paraId="7CFE59C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4C6D11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A50BA1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25FF266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870D31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B5E465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ABD213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24AF276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706C6D4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07D203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w:t>
            </w:r>
          </w:p>
        </w:tc>
        <w:tc>
          <w:tcPr>
            <w:tcW w:w="550" w:type="pct"/>
            <w:tcBorders>
              <w:top w:val="nil"/>
              <w:left w:val="nil"/>
              <w:bottom w:val="nil"/>
              <w:right w:val="nil"/>
            </w:tcBorders>
            <w:shd w:val="clear" w:color="000000" w:fill="FFFFFF"/>
            <w:noWrap/>
            <w:vAlign w:val="center"/>
            <w:hideMark/>
          </w:tcPr>
          <w:p w14:paraId="4B4AE12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1104 (8.5%)</w:t>
            </w:r>
          </w:p>
        </w:tc>
        <w:tc>
          <w:tcPr>
            <w:tcW w:w="550" w:type="pct"/>
            <w:tcBorders>
              <w:top w:val="nil"/>
              <w:left w:val="nil"/>
              <w:bottom w:val="nil"/>
              <w:right w:val="nil"/>
            </w:tcBorders>
            <w:shd w:val="clear" w:color="000000" w:fill="FFFFFF"/>
            <w:noWrap/>
            <w:vAlign w:val="center"/>
            <w:hideMark/>
          </w:tcPr>
          <w:p w14:paraId="12ABC3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385 (11.9%)</w:t>
            </w:r>
          </w:p>
        </w:tc>
        <w:tc>
          <w:tcPr>
            <w:tcW w:w="305" w:type="pct"/>
            <w:tcBorders>
              <w:top w:val="nil"/>
              <w:left w:val="nil"/>
              <w:bottom w:val="nil"/>
              <w:right w:val="nil"/>
            </w:tcBorders>
            <w:shd w:val="clear" w:color="000000" w:fill="FFFFFF"/>
            <w:noWrap/>
            <w:vAlign w:val="center"/>
            <w:hideMark/>
          </w:tcPr>
          <w:p w14:paraId="628338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0.059</w:t>
            </w:r>
          </w:p>
        </w:tc>
        <w:tc>
          <w:tcPr>
            <w:tcW w:w="550" w:type="pct"/>
            <w:tcBorders>
              <w:top w:val="nil"/>
              <w:left w:val="nil"/>
              <w:bottom w:val="nil"/>
              <w:right w:val="single" w:sz="8" w:space="0" w:color="auto"/>
            </w:tcBorders>
            <w:shd w:val="clear" w:color="000000" w:fill="FFFFFF"/>
            <w:noWrap/>
            <w:vAlign w:val="center"/>
            <w:hideMark/>
          </w:tcPr>
          <w:p w14:paraId="5F2B074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1489 (9.2%)</w:t>
            </w:r>
          </w:p>
        </w:tc>
        <w:tc>
          <w:tcPr>
            <w:tcW w:w="550" w:type="pct"/>
            <w:tcBorders>
              <w:top w:val="nil"/>
              <w:left w:val="nil"/>
              <w:bottom w:val="nil"/>
              <w:right w:val="nil"/>
            </w:tcBorders>
            <w:shd w:val="clear" w:color="000000" w:fill="FFFFFF"/>
            <w:noWrap/>
            <w:vAlign w:val="center"/>
            <w:hideMark/>
          </w:tcPr>
          <w:p w14:paraId="10C3175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1532 (5.4%)</w:t>
            </w:r>
          </w:p>
        </w:tc>
        <w:tc>
          <w:tcPr>
            <w:tcW w:w="550" w:type="pct"/>
            <w:tcBorders>
              <w:top w:val="nil"/>
              <w:left w:val="nil"/>
              <w:bottom w:val="nil"/>
              <w:right w:val="nil"/>
            </w:tcBorders>
            <w:shd w:val="clear" w:color="000000" w:fill="FFFFFF"/>
            <w:noWrap/>
            <w:vAlign w:val="center"/>
            <w:hideMark/>
          </w:tcPr>
          <w:p w14:paraId="276267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391 (5.6%)</w:t>
            </w:r>
          </w:p>
        </w:tc>
        <w:tc>
          <w:tcPr>
            <w:tcW w:w="305" w:type="pct"/>
            <w:tcBorders>
              <w:top w:val="nil"/>
              <w:left w:val="nil"/>
              <w:bottom w:val="nil"/>
              <w:right w:val="nil"/>
            </w:tcBorders>
            <w:shd w:val="clear" w:color="000000" w:fill="FFFFFF"/>
            <w:noWrap/>
            <w:vAlign w:val="center"/>
            <w:hideMark/>
          </w:tcPr>
          <w:p w14:paraId="051D00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0.057</w:t>
            </w:r>
          </w:p>
        </w:tc>
        <w:tc>
          <w:tcPr>
            <w:tcW w:w="549" w:type="pct"/>
            <w:tcBorders>
              <w:top w:val="nil"/>
              <w:left w:val="nil"/>
              <w:bottom w:val="nil"/>
              <w:right w:val="single" w:sz="4" w:space="0" w:color="auto"/>
            </w:tcBorders>
            <w:shd w:val="clear" w:color="000000" w:fill="FFFFFF"/>
            <w:noWrap/>
            <w:vAlign w:val="center"/>
            <w:hideMark/>
          </w:tcPr>
          <w:p w14:paraId="44AE5E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1923 (5.5%)</w:t>
            </w:r>
          </w:p>
        </w:tc>
      </w:tr>
      <w:tr w:rsidR="00DA1572" w:rsidRPr="00DC3283" w14:paraId="2EDF9A3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AA924A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w:t>
            </w:r>
          </w:p>
        </w:tc>
        <w:tc>
          <w:tcPr>
            <w:tcW w:w="550" w:type="pct"/>
            <w:tcBorders>
              <w:top w:val="nil"/>
              <w:left w:val="nil"/>
              <w:bottom w:val="nil"/>
              <w:right w:val="nil"/>
            </w:tcBorders>
            <w:shd w:val="clear" w:color="000000" w:fill="FFFFFF"/>
            <w:noWrap/>
            <w:vAlign w:val="center"/>
            <w:hideMark/>
          </w:tcPr>
          <w:p w14:paraId="15EF9E7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896 (6.9%)</w:t>
            </w:r>
          </w:p>
        </w:tc>
        <w:tc>
          <w:tcPr>
            <w:tcW w:w="550" w:type="pct"/>
            <w:tcBorders>
              <w:top w:val="nil"/>
              <w:left w:val="nil"/>
              <w:bottom w:val="nil"/>
              <w:right w:val="nil"/>
            </w:tcBorders>
            <w:shd w:val="clear" w:color="000000" w:fill="FFFFFF"/>
            <w:noWrap/>
            <w:vAlign w:val="center"/>
            <w:hideMark/>
          </w:tcPr>
          <w:p w14:paraId="24A005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270 (8.3%)</w:t>
            </w:r>
          </w:p>
        </w:tc>
        <w:tc>
          <w:tcPr>
            <w:tcW w:w="305" w:type="pct"/>
            <w:tcBorders>
              <w:top w:val="nil"/>
              <w:left w:val="nil"/>
              <w:bottom w:val="nil"/>
              <w:right w:val="nil"/>
            </w:tcBorders>
            <w:shd w:val="clear" w:color="000000" w:fill="FFFFFF"/>
            <w:noWrap/>
            <w:vAlign w:val="center"/>
            <w:hideMark/>
          </w:tcPr>
          <w:p w14:paraId="29FAA67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FD0E9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1166 (7.2%)</w:t>
            </w:r>
          </w:p>
        </w:tc>
        <w:tc>
          <w:tcPr>
            <w:tcW w:w="550" w:type="pct"/>
            <w:tcBorders>
              <w:top w:val="nil"/>
              <w:left w:val="nil"/>
              <w:bottom w:val="nil"/>
              <w:right w:val="nil"/>
            </w:tcBorders>
            <w:shd w:val="clear" w:color="000000" w:fill="FFFFFF"/>
            <w:noWrap/>
            <w:vAlign w:val="center"/>
            <w:hideMark/>
          </w:tcPr>
          <w:p w14:paraId="5C956F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1154 (4.1%)</w:t>
            </w:r>
          </w:p>
        </w:tc>
        <w:tc>
          <w:tcPr>
            <w:tcW w:w="550" w:type="pct"/>
            <w:tcBorders>
              <w:top w:val="nil"/>
              <w:left w:val="nil"/>
              <w:bottom w:val="nil"/>
              <w:right w:val="nil"/>
            </w:tcBorders>
            <w:shd w:val="clear" w:color="000000" w:fill="FFFFFF"/>
            <w:noWrap/>
            <w:vAlign w:val="center"/>
            <w:hideMark/>
          </w:tcPr>
          <w:p w14:paraId="6BD8C0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310 (4.4%)</w:t>
            </w:r>
          </w:p>
        </w:tc>
        <w:tc>
          <w:tcPr>
            <w:tcW w:w="305" w:type="pct"/>
            <w:tcBorders>
              <w:top w:val="nil"/>
              <w:left w:val="nil"/>
              <w:bottom w:val="nil"/>
              <w:right w:val="nil"/>
            </w:tcBorders>
            <w:shd w:val="clear" w:color="000000" w:fill="FFFFFF"/>
            <w:noWrap/>
            <w:vAlign w:val="center"/>
            <w:hideMark/>
          </w:tcPr>
          <w:p w14:paraId="7567D79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2BC7E66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1464 (4.2%)</w:t>
            </w:r>
          </w:p>
        </w:tc>
      </w:tr>
      <w:tr w:rsidR="00DA1572" w:rsidRPr="00DC3283" w14:paraId="0973E4E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32C402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w:t>
            </w:r>
          </w:p>
        </w:tc>
        <w:tc>
          <w:tcPr>
            <w:tcW w:w="550" w:type="pct"/>
            <w:tcBorders>
              <w:top w:val="nil"/>
              <w:left w:val="nil"/>
              <w:bottom w:val="nil"/>
              <w:right w:val="nil"/>
            </w:tcBorders>
            <w:shd w:val="clear" w:color="000000" w:fill="FFFFFF"/>
            <w:noWrap/>
            <w:vAlign w:val="center"/>
            <w:hideMark/>
          </w:tcPr>
          <w:p w14:paraId="63A591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871 (6.7%)</w:t>
            </w:r>
          </w:p>
        </w:tc>
        <w:tc>
          <w:tcPr>
            <w:tcW w:w="550" w:type="pct"/>
            <w:tcBorders>
              <w:top w:val="nil"/>
              <w:left w:val="nil"/>
              <w:bottom w:val="nil"/>
              <w:right w:val="nil"/>
            </w:tcBorders>
            <w:shd w:val="clear" w:color="000000" w:fill="FFFFFF"/>
            <w:noWrap/>
            <w:vAlign w:val="center"/>
            <w:hideMark/>
          </w:tcPr>
          <w:p w14:paraId="61C02F7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264 (8.2%)</w:t>
            </w:r>
          </w:p>
        </w:tc>
        <w:tc>
          <w:tcPr>
            <w:tcW w:w="305" w:type="pct"/>
            <w:tcBorders>
              <w:top w:val="nil"/>
              <w:left w:val="nil"/>
              <w:bottom w:val="nil"/>
              <w:right w:val="nil"/>
            </w:tcBorders>
            <w:shd w:val="clear" w:color="000000" w:fill="FFFFFF"/>
            <w:noWrap/>
            <w:vAlign w:val="center"/>
            <w:hideMark/>
          </w:tcPr>
          <w:p w14:paraId="24EA9FB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7FDBFA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1135 (7.0%)</w:t>
            </w:r>
          </w:p>
        </w:tc>
        <w:tc>
          <w:tcPr>
            <w:tcW w:w="550" w:type="pct"/>
            <w:tcBorders>
              <w:top w:val="nil"/>
              <w:left w:val="nil"/>
              <w:bottom w:val="nil"/>
              <w:right w:val="nil"/>
            </w:tcBorders>
            <w:shd w:val="clear" w:color="000000" w:fill="FFFFFF"/>
            <w:noWrap/>
            <w:vAlign w:val="center"/>
            <w:hideMark/>
          </w:tcPr>
          <w:p w14:paraId="3CAEBF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1000 (3.6%)</w:t>
            </w:r>
          </w:p>
        </w:tc>
        <w:tc>
          <w:tcPr>
            <w:tcW w:w="550" w:type="pct"/>
            <w:tcBorders>
              <w:top w:val="nil"/>
              <w:left w:val="nil"/>
              <w:bottom w:val="nil"/>
              <w:right w:val="nil"/>
            </w:tcBorders>
            <w:shd w:val="clear" w:color="000000" w:fill="FFFFFF"/>
            <w:noWrap/>
            <w:vAlign w:val="center"/>
            <w:hideMark/>
          </w:tcPr>
          <w:p w14:paraId="16F8CD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280 (4.0%)</w:t>
            </w:r>
          </w:p>
        </w:tc>
        <w:tc>
          <w:tcPr>
            <w:tcW w:w="305" w:type="pct"/>
            <w:tcBorders>
              <w:top w:val="nil"/>
              <w:left w:val="nil"/>
              <w:bottom w:val="nil"/>
              <w:right w:val="nil"/>
            </w:tcBorders>
            <w:shd w:val="clear" w:color="000000" w:fill="FFFFFF"/>
            <w:noWrap/>
            <w:vAlign w:val="center"/>
            <w:hideMark/>
          </w:tcPr>
          <w:p w14:paraId="61F982E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C1EEC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1280 (3.6%)</w:t>
            </w:r>
          </w:p>
        </w:tc>
      </w:tr>
      <w:tr w:rsidR="00DA1572" w:rsidRPr="00DC3283" w14:paraId="0BA044A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E20B96C"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w:t>
            </w:r>
          </w:p>
        </w:tc>
        <w:tc>
          <w:tcPr>
            <w:tcW w:w="550" w:type="pct"/>
            <w:tcBorders>
              <w:top w:val="nil"/>
              <w:left w:val="nil"/>
              <w:bottom w:val="nil"/>
              <w:right w:val="nil"/>
            </w:tcBorders>
            <w:shd w:val="clear" w:color="000000" w:fill="FFFFFF"/>
            <w:noWrap/>
            <w:vAlign w:val="center"/>
            <w:hideMark/>
          </w:tcPr>
          <w:p w14:paraId="08763F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742 (5.7%)</w:t>
            </w:r>
          </w:p>
        </w:tc>
        <w:tc>
          <w:tcPr>
            <w:tcW w:w="550" w:type="pct"/>
            <w:tcBorders>
              <w:top w:val="nil"/>
              <w:left w:val="nil"/>
              <w:bottom w:val="nil"/>
              <w:right w:val="nil"/>
            </w:tcBorders>
            <w:shd w:val="clear" w:color="000000" w:fill="FFFFFF"/>
            <w:noWrap/>
            <w:vAlign w:val="center"/>
            <w:hideMark/>
          </w:tcPr>
          <w:p w14:paraId="3B776D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219 (6.8%)</w:t>
            </w:r>
          </w:p>
        </w:tc>
        <w:tc>
          <w:tcPr>
            <w:tcW w:w="305" w:type="pct"/>
            <w:tcBorders>
              <w:top w:val="nil"/>
              <w:left w:val="nil"/>
              <w:bottom w:val="nil"/>
              <w:right w:val="nil"/>
            </w:tcBorders>
            <w:shd w:val="clear" w:color="000000" w:fill="FFFFFF"/>
            <w:noWrap/>
            <w:vAlign w:val="center"/>
            <w:hideMark/>
          </w:tcPr>
          <w:p w14:paraId="6FB96A6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7332E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961 (5.9%)</w:t>
            </w:r>
          </w:p>
        </w:tc>
        <w:tc>
          <w:tcPr>
            <w:tcW w:w="550" w:type="pct"/>
            <w:tcBorders>
              <w:top w:val="nil"/>
              <w:left w:val="nil"/>
              <w:bottom w:val="nil"/>
              <w:right w:val="nil"/>
            </w:tcBorders>
            <w:shd w:val="clear" w:color="000000" w:fill="FFFFFF"/>
            <w:noWrap/>
            <w:vAlign w:val="center"/>
            <w:hideMark/>
          </w:tcPr>
          <w:p w14:paraId="418923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836 (3.0%)</w:t>
            </w:r>
          </w:p>
        </w:tc>
        <w:tc>
          <w:tcPr>
            <w:tcW w:w="550" w:type="pct"/>
            <w:tcBorders>
              <w:top w:val="nil"/>
              <w:left w:val="nil"/>
              <w:bottom w:val="nil"/>
              <w:right w:val="nil"/>
            </w:tcBorders>
            <w:shd w:val="clear" w:color="000000" w:fill="FFFFFF"/>
            <w:noWrap/>
            <w:vAlign w:val="center"/>
            <w:hideMark/>
          </w:tcPr>
          <w:p w14:paraId="4522E04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188 (2.7%)</w:t>
            </w:r>
          </w:p>
        </w:tc>
        <w:tc>
          <w:tcPr>
            <w:tcW w:w="305" w:type="pct"/>
            <w:tcBorders>
              <w:top w:val="nil"/>
              <w:left w:val="nil"/>
              <w:bottom w:val="nil"/>
              <w:right w:val="nil"/>
            </w:tcBorders>
            <w:shd w:val="clear" w:color="000000" w:fill="FFFFFF"/>
            <w:noWrap/>
            <w:vAlign w:val="center"/>
            <w:hideMark/>
          </w:tcPr>
          <w:p w14:paraId="6602DF4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173C9E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1024 (2.9%)</w:t>
            </w:r>
          </w:p>
        </w:tc>
      </w:tr>
      <w:tr w:rsidR="00DA1572" w:rsidRPr="00DC3283" w14:paraId="046FF0F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77043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w:t>
            </w:r>
          </w:p>
        </w:tc>
        <w:tc>
          <w:tcPr>
            <w:tcW w:w="550" w:type="pct"/>
            <w:tcBorders>
              <w:top w:val="nil"/>
              <w:left w:val="nil"/>
              <w:bottom w:val="nil"/>
              <w:right w:val="nil"/>
            </w:tcBorders>
            <w:shd w:val="clear" w:color="000000" w:fill="FFFFFF"/>
            <w:noWrap/>
            <w:vAlign w:val="center"/>
            <w:hideMark/>
          </w:tcPr>
          <w:p w14:paraId="56E9F01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641 (5.0%)</w:t>
            </w:r>
          </w:p>
        </w:tc>
        <w:tc>
          <w:tcPr>
            <w:tcW w:w="550" w:type="pct"/>
            <w:tcBorders>
              <w:top w:val="nil"/>
              <w:left w:val="nil"/>
              <w:bottom w:val="nil"/>
              <w:right w:val="nil"/>
            </w:tcBorders>
            <w:shd w:val="clear" w:color="000000" w:fill="FFFFFF"/>
            <w:noWrap/>
            <w:vAlign w:val="center"/>
            <w:hideMark/>
          </w:tcPr>
          <w:p w14:paraId="67ABDB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165 (5.1%)</w:t>
            </w:r>
          </w:p>
        </w:tc>
        <w:tc>
          <w:tcPr>
            <w:tcW w:w="305" w:type="pct"/>
            <w:tcBorders>
              <w:top w:val="nil"/>
              <w:left w:val="nil"/>
              <w:bottom w:val="nil"/>
              <w:right w:val="nil"/>
            </w:tcBorders>
            <w:shd w:val="clear" w:color="000000" w:fill="FFFFFF"/>
            <w:noWrap/>
            <w:vAlign w:val="center"/>
            <w:hideMark/>
          </w:tcPr>
          <w:p w14:paraId="4720D07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0EA360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806 (5.0%)</w:t>
            </w:r>
          </w:p>
        </w:tc>
        <w:tc>
          <w:tcPr>
            <w:tcW w:w="550" w:type="pct"/>
            <w:tcBorders>
              <w:top w:val="nil"/>
              <w:left w:val="nil"/>
              <w:bottom w:val="nil"/>
              <w:right w:val="nil"/>
            </w:tcBorders>
            <w:shd w:val="clear" w:color="000000" w:fill="FFFFFF"/>
            <w:noWrap/>
            <w:vAlign w:val="center"/>
            <w:hideMark/>
          </w:tcPr>
          <w:p w14:paraId="442696D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858 (3.1%)</w:t>
            </w:r>
          </w:p>
        </w:tc>
        <w:tc>
          <w:tcPr>
            <w:tcW w:w="550" w:type="pct"/>
            <w:tcBorders>
              <w:top w:val="nil"/>
              <w:left w:val="nil"/>
              <w:bottom w:val="nil"/>
              <w:right w:val="nil"/>
            </w:tcBorders>
            <w:shd w:val="clear" w:color="000000" w:fill="FFFFFF"/>
            <w:noWrap/>
            <w:vAlign w:val="center"/>
            <w:hideMark/>
          </w:tcPr>
          <w:p w14:paraId="17764F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185 (2.6%)</w:t>
            </w:r>
          </w:p>
        </w:tc>
        <w:tc>
          <w:tcPr>
            <w:tcW w:w="305" w:type="pct"/>
            <w:tcBorders>
              <w:top w:val="nil"/>
              <w:left w:val="nil"/>
              <w:bottom w:val="nil"/>
              <w:right w:val="nil"/>
            </w:tcBorders>
            <w:shd w:val="clear" w:color="000000" w:fill="FFFFFF"/>
            <w:noWrap/>
            <w:vAlign w:val="center"/>
            <w:hideMark/>
          </w:tcPr>
          <w:p w14:paraId="30CA9E6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82C3EB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1043 (3.0%)</w:t>
            </w:r>
          </w:p>
        </w:tc>
      </w:tr>
      <w:tr w:rsidR="00DA1572" w:rsidRPr="00DC3283" w14:paraId="662DD85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57CFE5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37352C3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8694 (67.1%)</w:t>
            </w:r>
          </w:p>
        </w:tc>
        <w:tc>
          <w:tcPr>
            <w:tcW w:w="550" w:type="pct"/>
            <w:tcBorders>
              <w:top w:val="nil"/>
              <w:left w:val="nil"/>
              <w:bottom w:val="nil"/>
              <w:right w:val="nil"/>
            </w:tcBorders>
            <w:shd w:val="clear" w:color="000000" w:fill="FFFFFF"/>
            <w:noWrap/>
            <w:vAlign w:val="center"/>
            <w:hideMark/>
          </w:tcPr>
          <w:p w14:paraId="0DED013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1934 (59.7%)</w:t>
            </w:r>
          </w:p>
        </w:tc>
        <w:tc>
          <w:tcPr>
            <w:tcW w:w="305" w:type="pct"/>
            <w:tcBorders>
              <w:top w:val="nil"/>
              <w:left w:val="nil"/>
              <w:bottom w:val="nil"/>
              <w:right w:val="nil"/>
            </w:tcBorders>
            <w:shd w:val="clear" w:color="000000" w:fill="FFFFFF"/>
            <w:noWrap/>
            <w:vAlign w:val="center"/>
            <w:hideMark/>
          </w:tcPr>
          <w:p w14:paraId="58542AF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0002D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10628 (65.7%)</w:t>
            </w:r>
          </w:p>
        </w:tc>
        <w:tc>
          <w:tcPr>
            <w:tcW w:w="550" w:type="pct"/>
            <w:tcBorders>
              <w:top w:val="nil"/>
              <w:left w:val="nil"/>
              <w:bottom w:val="nil"/>
              <w:right w:val="nil"/>
            </w:tcBorders>
            <w:shd w:val="clear" w:color="000000" w:fill="FFFFFF"/>
            <w:noWrap/>
            <w:vAlign w:val="center"/>
            <w:hideMark/>
          </w:tcPr>
          <w:p w14:paraId="11DD77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22751 (80.9%)</w:t>
            </w:r>
          </w:p>
        </w:tc>
        <w:tc>
          <w:tcPr>
            <w:tcW w:w="550" w:type="pct"/>
            <w:tcBorders>
              <w:top w:val="nil"/>
              <w:left w:val="nil"/>
              <w:bottom w:val="nil"/>
              <w:right w:val="nil"/>
            </w:tcBorders>
            <w:shd w:val="clear" w:color="000000" w:fill="FFFFFF"/>
            <w:noWrap/>
            <w:vAlign w:val="center"/>
            <w:hideMark/>
          </w:tcPr>
          <w:p w14:paraId="7840ABC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5679 (80.7%)</w:t>
            </w:r>
          </w:p>
        </w:tc>
        <w:tc>
          <w:tcPr>
            <w:tcW w:w="305" w:type="pct"/>
            <w:tcBorders>
              <w:top w:val="nil"/>
              <w:left w:val="nil"/>
              <w:bottom w:val="nil"/>
              <w:right w:val="nil"/>
            </w:tcBorders>
            <w:shd w:val="clear" w:color="000000" w:fill="FFFFFF"/>
            <w:noWrap/>
            <w:vAlign w:val="center"/>
            <w:hideMark/>
          </w:tcPr>
          <w:p w14:paraId="640AAA5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834A1B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28430 (80.8%)</w:t>
            </w:r>
          </w:p>
        </w:tc>
      </w:tr>
      <w:tr w:rsidR="00DA1572" w:rsidRPr="00DC3283" w14:paraId="73FFAD8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7D0F45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Anaemia</w:t>
            </w:r>
          </w:p>
        </w:tc>
        <w:tc>
          <w:tcPr>
            <w:tcW w:w="550" w:type="pct"/>
            <w:tcBorders>
              <w:top w:val="nil"/>
              <w:left w:val="nil"/>
              <w:bottom w:val="nil"/>
              <w:right w:val="nil"/>
            </w:tcBorders>
            <w:shd w:val="clear" w:color="000000" w:fill="FFFFFF"/>
            <w:noWrap/>
            <w:vAlign w:val="center"/>
            <w:hideMark/>
          </w:tcPr>
          <w:p w14:paraId="763AA80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34D59D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097BFDE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74C818E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3B70202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78F121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6B71CC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59D8FA1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4CB125E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2B11E7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FE975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 (0.4%)</w:t>
            </w:r>
          </w:p>
        </w:tc>
        <w:tc>
          <w:tcPr>
            <w:tcW w:w="550" w:type="pct"/>
            <w:tcBorders>
              <w:top w:val="nil"/>
              <w:left w:val="nil"/>
              <w:bottom w:val="nil"/>
              <w:right w:val="nil"/>
            </w:tcBorders>
            <w:shd w:val="clear" w:color="000000" w:fill="FFFFFF"/>
            <w:noWrap/>
            <w:vAlign w:val="center"/>
            <w:hideMark/>
          </w:tcPr>
          <w:p w14:paraId="4A3C16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188 (5.8%)</w:t>
            </w:r>
          </w:p>
        </w:tc>
        <w:tc>
          <w:tcPr>
            <w:tcW w:w="305" w:type="pct"/>
            <w:tcBorders>
              <w:top w:val="nil"/>
              <w:left w:val="nil"/>
              <w:bottom w:val="nil"/>
              <w:right w:val="nil"/>
            </w:tcBorders>
            <w:shd w:val="clear" w:color="000000" w:fill="FFFFFF"/>
            <w:noWrap/>
            <w:vAlign w:val="center"/>
            <w:hideMark/>
          </w:tcPr>
          <w:p w14:paraId="7E31DE4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5A29E9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234 (1.4%)</w:t>
            </w:r>
          </w:p>
        </w:tc>
        <w:tc>
          <w:tcPr>
            <w:tcW w:w="550" w:type="pct"/>
            <w:tcBorders>
              <w:top w:val="nil"/>
              <w:left w:val="nil"/>
              <w:bottom w:val="nil"/>
              <w:right w:val="nil"/>
            </w:tcBorders>
            <w:shd w:val="clear" w:color="000000" w:fill="FFFFFF"/>
            <w:noWrap/>
            <w:vAlign w:val="center"/>
            <w:hideMark/>
          </w:tcPr>
          <w:p w14:paraId="14F059F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 (0.1%)</w:t>
            </w:r>
          </w:p>
        </w:tc>
        <w:tc>
          <w:tcPr>
            <w:tcW w:w="550" w:type="pct"/>
            <w:tcBorders>
              <w:top w:val="nil"/>
              <w:left w:val="nil"/>
              <w:bottom w:val="nil"/>
              <w:right w:val="nil"/>
            </w:tcBorders>
            <w:shd w:val="clear" w:color="000000" w:fill="FFFFFF"/>
            <w:noWrap/>
            <w:vAlign w:val="center"/>
            <w:hideMark/>
          </w:tcPr>
          <w:p w14:paraId="63B88A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 (1.2%)</w:t>
            </w:r>
          </w:p>
        </w:tc>
        <w:tc>
          <w:tcPr>
            <w:tcW w:w="305" w:type="pct"/>
            <w:tcBorders>
              <w:top w:val="nil"/>
              <w:left w:val="nil"/>
              <w:bottom w:val="nil"/>
              <w:right w:val="nil"/>
            </w:tcBorders>
            <w:shd w:val="clear" w:color="000000" w:fill="FFFFFF"/>
            <w:noWrap/>
            <w:vAlign w:val="center"/>
            <w:hideMark/>
          </w:tcPr>
          <w:p w14:paraId="399EE5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FCE69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109 (0.3%)</w:t>
            </w:r>
          </w:p>
        </w:tc>
      </w:tr>
      <w:tr w:rsidR="00DA1572" w:rsidRPr="00DC3283" w14:paraId="2A2F06E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3077AF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Arthritis</w:t>
            </w:r>
          </w:p>
        </w:tc>
        <w:tc>
          <w:tcPr>
            <w:tcW w:w="550" w:type="pct"/>
            <w:tcBorders>
              <w:top w:val="nil"/>
              <w:left w:val="nil"/>
              <w:bottom w:val="nil"/>
              <w:right w:val="nil"/>
            </w:tcBorders>
            <w:shd w:val="clear" w:color="000000" w:fill="FFFFFF"/>
            <w:noWrap/>
            <w:vAlign w:val="center"/>
            <w:hideMark/>
          </w:tcPr>
          <w:p w14:paraId="1106099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FAB8D6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635B5E5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33EE78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F4406A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FC0C0E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30B58EF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403AC89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5C046B5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9298E6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7A4923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550" w:type="pct"/>
            <w:tcBorders>
              <w:top w:val="nil"/>
              <w:left w:val="nil"/>
              <w:bottom w:val="nil"/>
              <w:right w:val="nil"/>
            </w:tcBorders>
            <w:shd w:val="clear" w:color="000000" w:fill="FFFFFF"/>
            <w:noWrap/>
            <w:vAlign w:val="center"/>
            <w:hideMark/>
          </w:tcPr>
          <w:p w14:paraId="62E742B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 (0.2%)</w:t>
            </w:r>
          </w:p>
        </w:tc>
        <w:tc>
          <w:tcPr>
            <w:tcW w:w="305" w:type="pct"/>
            <w:tcBorders>
              <w:top w:val="nil"/>
              <w:left w:val="nil"/>
              <w:bottom w:val="nil"/>
              <w:right w:val="nil"/>
            </w:tcBorders>
            <w:shd w:val="clear" w:color="000000" w:fill="FFFFFF"/>
            <w:noWrap/>
            <w:vAlign w:val="center"/>
            <w:hideMark/>
          </w:tcPr>
          <w:p w14:paraId="5CF6CE2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0.003</w:t>
            </w:r>
          </w:p>
        </w:tc>
        <w:tc>
          <w:tcPr>
            <w:tcW w:w="550" w:type="pct"/>
            <w:tcBorders>
              <w:top w:val="nil"/>
              <w:left w:val="nil"/>
              <w:bottom w:val="nil"/>
              <w:right w:val="single" w:sz="8" w:space="0" w:color="auto"/>
            </w:tcBorders>
            <w:shd w:val="clear" w:color="000000" w:fill="FFFFFF"/>
            <w:noWrap/>
            <w:vAlign w:val="center"/>
            <w:hideMark/>
          </w:tcPr>
          <w:p w14:paraId="034EA0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 (0.1%)</w:t>
            </w:r>
          </w:p>
        </w:tc>
        <w:tc>
          <w:tcPr>
            <w:tcW w:w="550" w:type="pct"/>
            <w:tcBorders>
              <w:top w:val="nil"/>
              <w:left w:val="nil"/>
              <w:bottom w:val="nil"/>
              <w:right w:val="nil"/>
            </w:tcBorders>
            <w:shd w:val="clear" w:color="000000" w:fill="FFFFFF"/>
            <w:noWrap/>
            <w:vAlign w:val="center"/>
            <w:hideMark/>
          </w:tcPr>
          <w:p w14:paraId="7A7235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550" w:type="pct"/>
            <w:tcBorders>
              <w:top w:val="nil"/>
              <w:left w:val="nil"/>
              <w:bottom w:val="nil"/>
              <w:right w:val="nil"/>
            </w:tcBorders>
            <w:shd w:val="clear" w:color="000000" w:fill="FFFFFF"/>
            <w:noWrap/>
            <w:vAlign w:val="center"/>
            <w:hideMark/>
          </w:tcPr>
          <w:p w14:paraId="0A8A18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 (0.0%)</w:t>
            </w:r>
          </w:p>
        </w:tc>
        <w:tc>
          <w:tcPr>
            <w:tcW w:w="305" w:type="pct"/>
            <w:tcBorders>
              <w:top w:val="nil"/>
              <w:left w:val="nil"/>
              <w:bottom w:val="nil"/>
              <w:right w:val="nil"/>
            </w:tcBorders>
            <w:shd w:val="clear" w:color="000000" w:fill="FFFFFF"/>
            <w:noWrap/>
            <w:vAlign w:val="center"/>
            <w:hideMark/>
          </w:tcPr>
          <w:p w14:paraId="6ECEC8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0.426</w:t>
            </w:r>
          </w:p>
        </w:tc>
        <w:tc>
          <w:tcPr>
            <w:tcW w:w="549" w:type="pct"/>
            <w:tcBorders>
              <w:top w:val="nil"/>
              <w:left w:val="nil"/>
              <w:bottom w:val="nil"/>
              <w:right w:val="single" w:sz="4" w:space="0" w:color="auto"/>
            </w:tcBorders>
            <w:shd w:val="clear" w:color="000000" w:fill="FFFFFF"/>
            <w:noWrap/>
            <w:vAlign w:val="center"/>
            <w:hideMark/>
          </w:tcPr>
          <w:p w14:paraId="0DE9C3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r>
      <w:tr w:rsidR="00DA1572" w:rsidRPr="00DC3283" w14:paraId="05EC63E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096918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Delayed puberty</w:t>
            </w:r>
          </w:p>
        </w:tc>
        <w:tc>
          <w:tcPr>
            <w:tcW w:w="550" w:type="pct"/>
            <w:tcBorders>
              <w:top w:val="nil"/>
              <w:left w:val="nil"/>
              <w:bottom w:val="nil"/>
              <w:right w:val="nil"/>
            </w:tcBorders>
            <w:shd w:val="clear" w:color="000000" w:fill="FFFFFF"/>
            <w:noWrap/>
            <w:vAlign w:val="center"/>
            <w:hideMark/>
          </w:tcPr>
          <w:p w14:paraId="1B59558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D3347C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4355836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29F8FD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E5D06A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1D4808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605337F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7397142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308A6B0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8C138A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7A7778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 (0.0%)</w:t>
            </w:r>
          </w:p>
        </w:tc>
        <w:tc>
          <w:tcPr>
            <w:tcW w:w="550" w:type="pct"/>
            <w:tcBorders>
              <w:top w:val="nil"/>
              <w:left w:val="nil"/>
              <w:bottom w:val="nil"/>
              <w:right w:val="nil"/>
            </w:tcBorders>
            <w:shd w:val="clear" w:color="000000" w:fill="FFFFFF"/>
            <w:noWrap/>
            <w:vAlign w:val="center"/>
            <w:hideMark/>
          </w:tcPr>
          <w:p w14:paraId="3EA118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(0.2%)</w:t>
            </w:r>
          </w:p>
        </w:tc>
        <w:tc>
          <w:tcPr>
            <w:tcW w:w="305" w:type="pct"/>
            <w:tcBorders>
              <w:top w:val="nil"/>
              <w:left w:val="nil"/>
              <w:bottom w:val="nil"/>
              <w:right w:val="nil"/>
            </w:tcBorders>
            <w:shd w:val="clear" w:color="000000" w:fill="FFFFFF"/>
            <w:noWrap/>
            <w:vAlign w:val="center"/>
            <w:hideMark/>
          </w:tcPr>
          <w:p w14:paraId="4527C2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17060A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c>
          <w:tcPr>
            <w:tcW w:w="550" w:type="pct"/>
            <w:tcBorders>
              <w:top w:val="nil"/>
              <w:left w:val="nil"/>
              <w:bottom w:val="nil"/>
              <w:right w:val="nil"/>
            </w:tcBorders>
            <w:shd w:val="clear" w:color="000000" w:fill="FFFFFF"/>
            <w:noWrap/>
            <w:vAlign w:val="center"/>
            <w:hideMark/>
          </w:tcPr>
          <w:p w14:paraId="6F39442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 (0.0%)</w:t>
            </w:r>
          </w:p>
        </w:tc>
        <w:tc>
          <w:tcPr>
            <w:tcW w:w="550" w:type="pct"/>
            <w:tcBorders>
              <w:top w:val="nil"/>
              <w:left w:val="nil"/>
              <w:bottom w:val="nil"/>
              <w:right w:val="nil"/>
            </w:tcBorders>
            <w:shd w:val="clear" w:color="000000" w:fill="FFFFFF"/>
            <w:noWrap/>
            <w:vAlign w:val="center"/>
            <w:hideMark/>
          </w:tcPr>
          <w:p w14:paraId="02F889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 (0.0%)</w:t>
            </w:r>
          </w:p>
        </w:tc>
        <w:tc>
          <w:tcPr>
            <w:tcW w:w="305" w:type="pct"/>
            <w:tcBorders>
              <w:top w:val="nil"/>
              <w:left w:val="nil"/>
              <w:bottom w:val="nil"/>
              <w:right w:val="nil"/>
            </w:tcBorders>
            <w:shd w:val="clear" w:color="000000" w:fill="FFFFFF"/>
            <w:noWrap/>
            <w:vAlign w:val="center"/>
            <w:hideMark/>
          </w:tcPr>
          <w:p w14:paraId="13C66EE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0.382</w:t>
            </w:r>
          </w:p>
        </w:tc>
        <w:tc>
          <w:tcPr>
            <w:tcW w:w="549" w:type="pct"/>
            <w:tcBorders>
              <w:top w:val="nil"/>
              <w:left w:val="nil"/>
              <w:bottom w:val="nil"/>
              <w:right w:val="single" w:sz="4" w:space="0" w:color="auto"/>
            </w:tcBorders>
            <w:shd w:val="clear" w:color="000000" w:fill="FFFFFF"/>
            <w:noWrap/>
            <w:vAlign w:val="center"/>
            <w:hideMark/>
          </w:tcPr>
          <w:p w14:paraId="3E99E2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r>
      <w:tr w:rsidR="00DA1572" w:rsidRPr="00DC3283" w14:paraId="7557ACE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939A079" w14:textId="0014E453" w:rsidR="00DC3283" w:rsidRPr="00DC3283" w:rsidRDefault="00A65A5D" w:rsidP="00DC3283">
            <w:pPr>
              <w:spacing w:after="0" w:line="240" w:lineRule="auto"/>
              <w:rPr>
                <w:rFonts w:ascii="Calibri" w:eastAsia="Times New Roman" w:hAnsi="Calibri" w:cs="Calibri"/>
                <w:b/>
                <w:bCs/>
                <w:color w:val="000000"/>
                <w:sz w:val="18"/>
                <w:szCs w:val="18"/>
                <w:lang w:eastAsia="en-GB"/>
              </w:rPr>
            </w:pPr>
            <w:r>
              <w:rPr>
                <w:rFonts w:ascii="Calibri" w:eastAsia="Times New Roman" w:hAnsi="Calibri" w:cs="Calibri"/>
                <w:b/>
                <w:bCs/>
                <w:color w:val="000000"/>
                <w:sz w:val="18"/>
                <w:szCs w:val="18"/>
                <w:lang w:eastAsia="en-GB"/>
              </w:rPr>
              <w:t>Down</w:t>
            </w:r>
            <w:r w:rsidR="00DC3283" w:rsidRPr="00DC3283">
              <w:rPr>
                <w:rFonts w:ascii="Calibri" w:eastAsia="Times New Roman" w:hAnsi="Calibri" w:cs="Calibri"/>
                <w:b/>
                <w:bCs/>
                <w:color w:val="000000"/>
                <w:sz w:val="18"/>
                <w:szCs w:val="18"/>
                <w:lang w:eastAsia="en-GB"/>
              </w:rPr>
              <w:t xml:space="preserve"> syndrome</w:t>
            </w:r>
          </w:p>
        </w:tc>
        <w:tc>
          <w:tcPr>
            <w:tcW w:w="550" w:type="pct"/>
            <w:tcBorders>
              <w:top w:val="nil"/>
              <w:left w:val="nil"/>
              <w:bottom w:val="nil"/>
              <w:right w:val="nil"/>
            </w:tcBorders>
            <w:shd w:val="clear" w:color="000000" w:fill="FFFFFF"/>
            <w:noWrap/>
            <w:vAlign w:val="center"/>
            <w:hideMark/>
          </w:tcPr>
          <w:p w14:paraId="42CE182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780591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1E7B76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173CCA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27EDB2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7AAB27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A8CC31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25241C2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3FFC4A3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F90D30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lastRenderedPageBreak/>
              <w:t>Present</w:t>
            </w:r>
          </w:p>
        </w:tc>
        <w:tc>
          <w:tcPr>
            <w:tcW w:w="550" w:type="pct"/>
            <w:tcBorders>
              <w:top w:val="nil"/>
              <w:left w:val="nil"/>
              <w:bottom w:val="nil"/>
              <w:right w:val="nil"/>
            </w:tcBorders>
            <w:shd w:val="clear" w:color="000000" w:fill="FFFFFF"/>
            <w:noWrap/>
            <w:vAlign w:val="center"/>
            <w:hideMark/>
          </w:tcPr>
          <w:p w14:paraId="31FC03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c>
          <w:tcPr>
            <w:tcW w:w="550" w:type="pct"/>
            <w:tcBorders>
              <w:top w:val="nil"/>
              <w:left w:val="nil"/>
              <w:bottom w:val="nil"/>
              <w:right w:val="nil"/>
            </w:tcBorders>
            <w:shd w:val="clear" w:color="000000" w:fill="FFFFFF"/>
            <w:noWrap/>
            <w:vAlign w:val="center"/>
            <w:hideMark/>
          </w:tcPr>
          <w:p w14:paraId="2C2B27B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 (0.6%)</w:t>
            </w:r>
          </w:p>
        </w:tc>
        <w:tc>
          <w:tcPr>
            <w:tcW w:w="305" w:type="pct"/>
            <w:tcBorders>
              <w:top w:val="nil"/>
              <w:left w:val="nil"/>
              <w:bottom w:val="nil"/>
              <w:right w:val="nil"/>
            </w:tcBorders>
            <w:shd w:val="clear" w:color="000000" w:fill="FFFFFF"/>
            <w:noWrap/>
            <w:vAlign w:val="center"/>
            <w:hideMark/>
          </w:tcPr>
          <w:p w14:paraId="0E9F79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7075A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 (0.1%)</w:t>
            </w:r>
          </w:p>
        </w:tc>
        <w:tc>
          <w:tcPr>
            <w:tcW w:w="550" w:type="pct"/>
            <w:tcBorders>
              <w:top w:val="nil"/>
              <w:left w:val="nil"/>
              <w:bottom w:val="nil"/>
              <w:right w:val="nil"/>
            </w:tcBorders>
            <w:shd w:val="clear" w:color="000000" w:fill="FFFFFF"/>
            <w:noWrap/>
            <w:vAlign w:val="center"/>
            <w:hideMark/>
          </w:tcPr>
          <w:p w14:paraId="101D90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 (0.0%)</w:t>
            </w:r>
          </w:p>
        </w:tc>
        <w:tc>
          <w:tcPr>
            <w:tcW w:w="550" w:type="pct"/>
            <w:tcBorders>
              <w:top w:val="nil"/>
              <w:left w:val="nil"/>
              <w:bottom w:val="nil"/>
              <w:right w:val="nil"/>
            </w:tcBorders>
            <w:shd w:val="clear" w:color="000000" w:fill="FFFFFF"/>
            <w:noWrap/>
            <w:vAlign w:val="center"/>
            <w:hideMark/>
          </w:tcPr>
          <w:p w14:paraId="5932F88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 (0.2%)</w:t>
            </w:r>
          </w:p>
        </w:tc>
        <w:tc>
          <w:tcPr>
            <w:tcW w:w="305" w:type="pct"/>
            <w:tcBorders>
              <w:top w:val="nil"/>
              <w:left w:val="nil"/>
              <w:bottom w:val="nil"/>
              <w:right w:val="nil"/>
            </w:tcBorders>
            <w:shd w:val="clear" w:color="000000" w:fill="FFFFFF"/>
            <w:noWrap/>
            <w:vAlign w:val="center"/>
            <w:hideMark/>
          </w:tcPr>
          <w:p w14:paraId="13745B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71DCD5A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 (0.0%)</w:t>
            </w:r>
          </w:p>
        </w:tc>
      </w:tr>
      <w:tr w:rsidR="00DA1572" w:rsidRPr="00DC3283" w14:paraId="6FF1DDC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CB914C0"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Failure to thrive</w:t>
            </w:r>
          </w:p>
        </w:tc>
        <w:tc>
          <w:tcPr>
            <w:tcW w:w="550" w:type="pct"/>
            <w:tcBorders>
              <w:top w:val="nil"/>
              <w:left w:val="nil"/>
              <w:bottom w:val="nil"/>
              <w:right w:val="nil"/>
            </w:tcBorders>
            <w:shd w:val="clear" w:color="000000" w:fill="FFFFFF"/>
            <w:noWrap/>
            <w:vAlign w:val="center"/>
            <w:hideMark/>
          </w:tcPr>
          <w:p w14:paraId="735DD6A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1FF9FE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76A62A6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FB6526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0849CF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A86EEF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589A8B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5D1B009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19E935C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CD69F2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0A425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 (0.4%)</w:t>
            </w:r>
          </w:p>
        </w:tc>
        <w:tc>
          <w:tcPr>
            <w:tcW w:w="550" w:type="pct"/>
            <w:tcBorders>
              <w:top w:val="nil"/>
              <w:left w:val="nil"/>
              <w:bottom w:val="nil"/>
              <w:right w:val="nil"/>
            </w:tcBorders>
            <w:shd w:val="clear" w:color="000000" w:fill="FFFFFF"/>
            <w:noWrap/>
            <w:vAlign w:val="center"/>
            <w:hideMark/>
          </w:tcPr>
          <w:p w14:paraId="7442A8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 (2.6%)</w:t>
            </w:r>
          </w:p>
        </w:tc>
        <w:tc>
          <w:tcPr>
            <w:tcW w:w="305" w:type="pct"/>
            <w:tcBorders>
              <w:top w:val="nil"/>
              <w:left w:val="nil"/>
              <w:bottom w:val="nil"/>
              <w:right w:val="nil"/>
            </w:tcBorders>
            <w:shd w:val="clear" w:color="000000" w:fill="FFFFFF"/>
            <w:noWrap/>
            <w:vAlign w:val="center"/>
            <w:hideMark/>
          </w:tcPr>
          <w:p w14:paraId="3C4671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7576FD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136 (0.8%)</w:t>
            </w:r>
          </w:p>
        </w:tc>
        <w:tc>
          <w:tcPr>
            <w:tcW w:w="550" w:type="pct"/>
            <w:tcBorders>
              <w:top w:val="nil"/>
              <w:left w:val="nil"/>
              <w:bottom w:val="nil"/>
              <w:right w:val="nil"/>
            </w:tcBorders>
            <w:shd w:val="clear" w:color="000000" w:fill="FFFFFF"/>
            <w:noWrap/>
            <w:vAlign w:val="center"/>
            <w:hideMark/>
          </w:tcPr>
          <w:p w14:paraId="70F2C0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 (0.1%)</w:t>
            </w:r>
          </w:p>
        </w:tc>
        <w:tc>
          <w:tcPr>
            <w:tcW w:w="550" w:type="pct"/>
            <w:tcBorders>
              <w:top w:val="nil"/>
              <w:left w:val="nil"/>
              <w:bottom w:val="nil"/>
              <w:right w:val="nil"/>
            </w:tcBorders>
            <w:shd w:val="clear" w:color="000000" w:fill="FFFFFF"/>
            <w:noWrap/>
            <w:vAlign w:val="center"/>
            <w:hideMark/>
          </w:tcPr>
          <w:p w14:paraId="2BBF20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 (0.4%)</w:t>
            </w:r>
          </w:p>
        </w:tc>
        <w:tc>
          <w:tcPr>
            <w:tcW w:w="305" w:type="pct"/>
            <w:tcBorders>
              <w:top w:val="nil"/>
              <w:left w:val="nil"/>
              <w:bottom w:val="nil"/>
              <w:right w:val="nil"/>
            </w:tcBorders>
            <w:shd w:val="clear" w:color="000000" w:fill="FFFFFF"/>
            <w:noWrap/>
            <w:vAlign w:val="center"/>
            <w:hideMark/>
          </w:tcPr>
          <w:p w14:paraId="5E5EC1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744519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 (0.1%)</w:t>
            </w:r>
          </w:p>
        </w:tc>
      </w:tr>
      <w:tr w:rsidR="00DA1572" w:rsidRPr="00DC3283" w14:paraId="5527580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2C10F27"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w:t>
            </w:r>
          </w:p>
        </w:tc>
        <w:tc>
          <w:tcPr>
            <w:tcW w:w="550" w:type="pct"/>
            <w:tcBorders>
              <w:top w:val="nil"/>
              <w:left w:val="nil"/>
              <w:bottom w:val="nil"/>
              <w:right w:val="nil"/>
            </w:tcBorders>
            <w:shd w:val="clear" w:color="000000" w:fill="FFFFFF"/>
            <w:noWrap/>
            <w:vAlign w:val="center"/>
            <w:hideMark/>
          </w:tcPr>
          <w:p w14:paraId="636F084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359EA0E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190A95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5BC86F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C931D0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2CC96B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DBDCA5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5508FEE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60069F6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167FCC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D590C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210 (1.6%)</w:t>
            </w:r>
          </w:p>
        </w:tc>
        <w:tc>
          <w:tcPr>
            <w:tcW w:w="550" w:type="pct"/>
            <w:tcBorders>
              <w:top w:val="nil"/>
              <w:left w:val="nil"/>
              <w:bottom w:val="nil"/>
              <w:right w:val="nil"/>
            </w:tcBorders>
            <w:shd w:val="clear" w:color="000000" w:fill="FFFFFF"/>
            <w:noWrap/>
            <w:vAlign w:val="center"/>
            <w:hideMark/>
          </w:tcPr>
          <w:p w14:paraId="0C480D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253 (7.8%)</w:t>
            </w:r>
          </w:p>
        </w:tc>
        <w:tc>
          <w:tcPr>
            <w:tcW w:w="305" w:type="pct"/>
            <w:tcBorders>
              <w:top w:val="nil"/>
              <w:left w:val="nil"/>
              <w:bottom w:val="nil"/>
              <w:right w:val="nil"/>
            </w:tcBorders>
            <w:shd w:val="clear" w:color="000000" w:fill="FFFFFF"/>
            <w:noWrap/>
            <w:vAlign w:val="center"/>
            <w:hideMark/>
          </w:tcPr>
          <w:p w14:paraId="4328D12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FEBEE6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463 (2.9%)</w:t>
            </w:r>
          </w:p>
        </w:tc>
        <w:tc>
          <w:tcPr>
            <w:tcW w:w="550" w:type="pct"/>
            <w:tcBorders>
              <w:top w:val="nil"/>
              <w:left w:val="nil"/>
              <w:bottom w:val="nil"/>
              <w:right w:val="nil"/>
            </w:tcBorders>
            <w:shd w:val="clear" w:color="000000" w:fill="FFFFFF"/>
            <w:noWrap/>
            <w:vAlign w:val="center"/>
            <w:hideMark/>
          </w:tcPr>
          <w:p w14:paraId="6925B2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165 (0.6%)</w:t>
            </w:r>
          </w:p>
        </w:tc>
        <w:tc>
          <w:tcPr>
            <w:tcW w:w="550" w:type="pct"/>
            <w:tcBorders>
              <w:top w:val="nil"/>
              <w:left w:val="nil"/>
              <w:bottom w:val="nil"/>
              <w:right w:val="nil"/>
            </w:tcBorders>
            <w:shd w:val="clear" w:color="000000" w:fill="FFFFFF"/>
            <w:noWrap/>
            <w:vAlign w:val="center"/>
            <w:hideMark/>
          </w:tcPr>
          <w:p w14:paraId="6632EF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150 (2.1%)</w:t>
            </w:r>
          </w:p>
        </w:tc>
        <w:tc>
          <w:tcPr>
            <w:tcW w:w="305" w:type="pct"/>
            <w:tcBorders>
              <w:top w:val="nil"/>
              <w:left w:val="nil"/>
              <w:bottom w:val="nil"/>
              <w:right w:val="nil"/>
            </w:tcBorders>
            <w:shd w:val="clear" w:color="000000" w:fill="FFFFFF"/>
            <w:noWrap/>
            <w:vAlign w:val="center"/>
            <w:hideMark/>
          </w:tcPr>
          <w:p w14:paraId="4B0D78B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EDD04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315 (0.9%)</w:t>
            </w:r>
          </w:p>
        </w:tc>
      </w:tr>
      <w:tr w:rsidR="00DA1572" w:rsidRPr="00DC3283" w14:paraId="24A1132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91D0362"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 (count, 1 year)</w:t>
            </w:r>
          </w:p>
        </w:tc>
        <w:tc>
          <w:tcPr>
            <w:tcW w:w="550" w:type="pct"/>
            <w:tcBorders>
              <w:top w:val="nil"/>
              <w:left w:val="nil"/>
              <w:bottom w:val="nil"/>
              <w:right w:val="nil"/>
            </w:tcBorders>
            <w:shd w:val="clear" w:color="000000" w:fill="FFFFFF"/>
            <w:noWrap/>
            <w:vAlign w:val="center"/>
            <w:hideMark/>
          </w:tcPr>
          <w:p w14:paraId="6917BAD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E66B34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4F86BF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953571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D40340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319500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0D20FCA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45889AA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48E78EE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268213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7FCE623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 (0.4%)</w:t>
            </w:r>
          </w:p>
        </w:tc>
        <w:tc>
          <w:tcPr>
            <w:tcW w:w="550" w:type="pct"/>
            <w:tcBorders>
              <w:top w:val="nil"/>
              <w:left w:val="nil"/>
              <w:bottom w:val="nil"/>
              <w:right w:val="nil"/>
            </w:tcBorders>
            <w:shd w:val="clear" w:color="000000" w:fill="FFFFFF"/>
            <w:noWrap/>
            <w:vAlign w:val="center"/>
            <w:hideMark/>
          </w:tcPr>
          <w:p w14:paraId="2B99C2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130 (4.0%)</w:t>
            </w:r>
          </w:p>
        </w:tc>
        <w:tc>
          <w:tcPr>
            <w:tcW w:w="305" w:type="pct"/>
            <w:tcBorders>
              <w:top w:val="nil"/>
              <w:left w:val="nil"/>
              <w:bottom w:val="nil"/>
              <w:right w:val="nil"/>
            </w:tcBorders>
            <w:shd w:val="clear" w:color="000000" w:fill="FFFFFF"/>
            <w:noWrap/>
            <w:vAlign w:val="center"/>
            <w:hideMark/>
          </w:tcPr>
          <w:p w14:paraId="44BED4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7ED900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183 (1.1%)</w:t>
            </w:r>
          </w:p>
        </w:tc>
        <w:tc>
          <w:tcPr>
            <w:tcW w:w="550" w:type="pct"/>
            <w:tcBorders>
              <w:top w:val="nil"/>
              <w:left w:val="nil"/>
              <w:bottom w:val="nil"/>
              <w:right w:val="nil"/>
            </w:tcBorders>
            <w:shd w:val="clear" w:color="000000" w:fill="FFFFFF"/>
            <w:noWrap/>
            <w:vAlign w:val="center"/>
            <w:hideMark/>
          </w:tcPr>
          <w:p w14:paraId="1FBC003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 (0.1%)</w:t>
            </w:r>
          </w:p>
        </w:tc>
        <w:tc>
          <w:tcPr>
            <w:tcW w:w="550" w:type="pct"/>
            <w:tcBorders>
              <w:top w:val="nil"/>
              <w:left w:val="nil"/>
              <w:bottom w:val="nil"/>
              <w:right w:val="nil"/>
            </w:tcBorders>
            <w:shd w:val="clear" w:color="000000" w:fill="FFFFFF"/>
            <w:noWrap/>
            <w:vAlign w:val="center"/>
            <w:hideMark/>
          </w:tcPr>
          <w:p w14:paraId="0A6202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 (0.7%)</w:t>
            </w:r>
          </w:p>
        </w:tc>
        <w:tc>
          <w:tcPr>
            <w:tcW w:w="305" w:type="pct"/>
            <w:tcBorders>
              <w:top w:val="nil"/>
              <w:left w:val="nil"/>
              <w:bottom w:val="nil"/>
              <w:right w:val="nil"/>
            </w:tcBorders>
            <w:shd w:val="clear" w:color="000000" w:fill="FFFFFF"/>
            <w:noWrap/>
            <w:vAlign w:val="center"/>
            <w:hideMark/>
          </w:tcPr>
          <w:p w14:paraId="6D14EF4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72BDDC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 (0.2%)</w:t>
            </w:r>
          </w:p>
        </w:tc>
      </w:tr>
      <w:tr w:rsidR="00DA1572" w:rsidRPr="00DC3283" w14:paraId="2765F63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6631B6C"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531FEBB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550" w:type="pct"/>
            <w:tcBorders>
              <w:top w:val="nil"/>
              <w:left w:val="nil"/>
              <w:bottom w:val="nil"/>
              <w:right w:val="nil"/>
            </w:tcBorders>
            <w:shd w:val="clear" w:color="000000" w:fill="FFFFFF"/>
            <w:noWrap/>
            <w:vAlign w:val="center"/>
            <w:hideMark/>
          </w:tcPr>
          <w:p w14:paraId="0AA240C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 (0.5%)</w:t>
            </w:r>
          </w:p>
        </w:tc>
        <w:tc>
          <w:tcPr>
            <w:tcW w:w="305" w:type="pct"/>
            <w:tcBorders>
              <w:top w:val="nil"/>
              <w:left w:val="nil"/>
              <w:bottom w:val="nil"/>
              <w:right w:val="nil"/>
            </w:tcBorders>
            <w:shd w:val="clear" w:color="000000" w:fill="FFFFFF"/>
            <w:noWrap/>
            <w:vAlign w:val="center"/>
            <w:hideMark/>
          </w:tcPr>
          <w:p w14:paraId="0D9B7A0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20A4CA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 (0.1%)</w:t>
            </w:r>
          </w:p>
        </w:tc>
        <w:tc>
          <w:tcPr>
            <w:tcW w:w="550" w:type="pct"/>
            <w:tcBorders>
              <w:top w:val="nil"/>
              <w:left w:val="nil"/>
              <w:bottom w:val="nil"/>
              <w:right w:val="nil"/>
            </w:tcBorders>
            <w:shd w:val="clear" w:color="000000" w:fill="FFFFFF"/>
            <w:noWrap/>
            <w:vAlign w:val="center"/>
            <w:hideMark/>
          </w:tcPr>
          <w:p w14:paraId="6D0C16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nil"/>
              <w:right w:val="nil"/>
            </w:tcBorders>
            <w:shd w:val="clear" w:color="000000" w:fill="FFFFFF"/>
            <w:noWrap/>
            <w:vAlign w:val="center"/>
            <w:hideMark/>
          </w:tcPr>
          <w:p w14:paraId="03B843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 (0.2%)</w:t>
            </w:r>
          </w:p>
        </w:tc>
        <w:tc>
          <w:tcPr>
            <w:tcW w:w="305" w:type="pct"/>
            <w:tcBorders>
              <w:top w:val="nil"/>
              <w:left w:val="nil"/>
              <w:bottom w:val="nil"/>
              <w:right w:val="nil"/>
            </w:tcBorders>
            <w:shd w:val="clear" w:color="000000" w:fill="FFFFFF"/>
            <w:noWrap/>
            <w:vAlign w:val="center"/>
            <w:hideMark/>
          </w:tcPr>
          <w:p w14:paraId="4F007D8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0DD5DD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 (0.1%)</w:t>
            </w:r>
          </w:p>
        </w:tc>
      </w:tr>
      <w:tr w:rsidR="00DA1572" w:rsidRPr="00DC3283" w14:paraId="6EF33C3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DA3988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581EAF1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 (0%)</w:t>
            </w:r>
          </w:p>
        </w:tc>
        <w:tc>
          <w:tcPr>
            <w:tcW w:w="550" w:type="pct"/>
            <w:tcBorders>
              <w:top w:val="nil"/>
              <w:left w:val="nil"/>
              <w:bottom w:val="nil"/>
              <w:right w:val="nil"/>
            </w:tcBorders>
            <w:shd w:val="clear" w:color="000000" w:fill="FFFFFF"/>
            <w:noWrap/>
            <w:vAlign w:val="center"/>
            <w:hideMark/>
          </w:tcPr>
          <w:p w14:paraId="2C2F9C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 (0.3%)</w:t>
            </w:r>
          </w:p>
        </w:tc>
        <w:tc>
          <w:tcPr>
            <w:tcW w:w="305" w:type="pct"/>
            <w:tcBorders>
              <w:top w:val="nil"/>
              <w:left w:val="nil"/>
              <w:bottom w:val="nil"/>
              <w:right w:val="nil"/>
            </w:tcBorders>
            <w:shd w:val="clear" w:color="000000" w:fill="FFFFFF"/>
            <w:noWrap/>
            <w:vAlign w:val="center"/>
            <w:hideMark/>
          </w:tcPr>
          <w:p w14:paraId="3985A69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75480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 (0.1%)</w:t>
            </w:r>
          </w:p>
        </w:tc>
        <w:tc>
          <w:tcPr>
            <w:tcW w:w="550" w:type="pct"/>
            <w:tcBorders>
              <w:top w:val="nil"/>
              <w:left w:val="nil"/>
              <w:bottom w:val="nil"/>
              <w:right w:val="nil"/>
            </w:tcBorders>
            <w:shd w:val="clear" w:color="000000" w:fill="FFFFFF"/>
            <w:noWrap/>
            <w:vAlign w:val="center"/>
            <w:hideMark/>
          </w:tcPr>
          <w:p w14:paraId="5FE542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 (0.0%)</w:t>
            </w:r>
          </w:p>
        </w:tc>
        <w:tc>
          <w:tcPr>
            <w:tcW w:w="550" w:type="pct"/>
            <w:tcBorders>
              <w:top w:val="nil"/>
              <w:left w:val="nil"/>
              <w:bottom w:val="nil"/>
              <w:right w:val="nil"/>
            </w:tcBorders>
            <w:shd w:val="clear" w:color="000000" w:fill="FFFFFF"/>
            <w:noWrap/>
            <w:vAlign w:val="center"/>
            <w:hideMark/>
          </w:tcPr>
          <w:p w14:paraId="7925B14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(0.1%)</w:t>
            </w:r>
          </w:p>
        </w:tc>
        <w:tc>
          <w:tcPr>
            <w:tcW w:w="305" w:type="pct"/>
            <w:tcBorders>
              <w:top w:val="nil"/>
              <w:left w:val="nil"/>
              <w:bottom w:val="nil"/>
              <w:right w:val="nil"/>
            </w:tcBorders>
            <w:shd w:val="clear" w:color="000000" w:fill="FFFFFF"/>
            <w:noWrap/>
            <w:vAlign w:val="center"/>
            <w:hideMark/>
          </w:tcPr>
          <w:p w14:paraId="360E650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146A9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 (0.0%)</w:t>
            </w:r>
          </w:p>
        </w:tc>
      </w:tr>
      <w:tr w:rsidR="00DA1572" w:rsidRPr="00DC3283" w14:paraId="3F9A86F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45957B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First degree relative</w:t>
            </w:r>
          </w:p>
        </w:tc>
        <w:tc>
          <w:tcPr>
            <w:tcW w:w="550" w:type="pct"/>
            <w:tcBorders>
              <w:top w:val="nil"/>
              <w:left w:val="nil"/>
              <w:bottom w:val="nil"/>
              <w:right w:val="nil"/>
            </w:tcBorders>
            <w:shd w:val="clear" w:color="000000" w:fill="FFFFFF"/>
            <w:noWrap/>
            <w:vAlign w:val="center"/>
            <w:hideMark/>
          </w:tcPr>
          <w:p w14:paraId="728672D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AF1D71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AD54D6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407E75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3E4232B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CA189D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C31459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79474E7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1E416C1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639B50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EE2F04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98 (0.8%)</w:t>
            </w:r>
          </w:p>
        </w:tc>
        <w:tc>
          <w:tcPr>
            <w:tcW w:w="550" w:type="pct"/>
            <w:tcBorders>
              <w:top w:val="nil"/>
              <w:left w:val="nil"/>
              <w:bottom w:val="nil"/>
              <w:right w:val="nil"/>
            </w:tcBorders>
            <w:shd w:val="clear" w:color="000000" w:fill="FFFFFF"/>
            <w:noWrap/>
            <w:vAlign w:val="center"/>
            <w:hideMark/>
          </w:tcPr>
          <w:p w14:paraId="33290E7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496 (15.3%)</w:t>
            </w:r>
          </w:p>
        </w:tc>
        <w:tc>
          <w:tcPr>
            <w:tcW w:w="305" w:type="pct"/>
            <w:tcBorders>
              <w:top w:val="nil"/>
              <w:left w:val="nil"/>
              <w:bottom w:val="nil"/>
              <w:right w:val="nil"/>
            </w:tcBorders>
            <w:shd w:val="clear" w:color="000000" w:fill="FFFFFF"/>
            <w:noWrap/>
            <w:vAlign w:val="center"/>
            <w:hideMark/>
          </w:tcPr>
          <w:p w14:paraId="491BCA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A31E5C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594 (3.7%)</w:t>
            </w:r>
          </w:p>
        </w:tc>
        <w:tc>
          <w:tcPr>
            <w:tcW w:w="550" w:type="pct"/>
            <w:tcBorders>
              <w:top w:val="nil"/>
              <w:left w:val="nil"/>
              <w:bottom w:val="nil"/>
              <w:right w:val="nil"/>
            </w:tcBorders>
            <w:shd w:val="clear" w:color="000000" w:fill="FFFFFF"/>
            <w:noWrap/>
            <w:vAlign w:val="center"/>
            <w:hideMark/>
          </w:tcPr>
          <w:p w14:paraId="7749F5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550" w:type="pct"/>
            <w:tcBorders>
              <w:top w:val="nil"/>
              <w:left w:val="nil"/>
              <w:bottom w:val="nil"/>
              <w:right w:val="nil"/>
            </w:tcBorders>
            <w:shd w:val="clear" w:color="000000" w:fill="FFFFFF"/>
            <w:noWrap/>
            <w:vAlign w:val="center"/>
            <w:hideMark/>
          </w:tcPr>
          <w:p w14:paraId="6B652EB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305" w:type="pct"/>
            <w:tcBorders>
              <w:top w:val="nil"/>
              <w:left w:val="nil"/>
              <w:bottom w:val="nil"/>
              <w:right w:val="nil"/>
            </w:tcBorders>
            <w:shd w:val="clear" w:color="000000" w:fill="FFFFFF"/>
            <w:noWrap/>
            <w:vAlign w:val="center"/>
            <w:hideMark/>
          </w:tcPr>
          <w:p w14:paraId="23BD572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1C644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r>
      <w:tr w:rsidR="00DA1572" w:rsidRPr="00DC3283" w14:paraId="1EFCC62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EDD2432"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w:t>
            </w:r>
          </w:p>
        </w:tc>
        <w:tc>
          <w:tcPr>
            <w:tcW w:w="550" w:type="pct"/>
            <w:tcBorders>
              <w:top w:val="nil"/>
              <w:left w:val="nil"/>
              <w:bottom w:val="nil"/>
              <w:right w:val="nil"/>
            </w:tcBorders>
            <w:shd w:val="clear" w:color="000000" w:fill="FFFFFF"/>
            <w:noWrap/>
            <w:vAlign w:val="center"/>
            <w:hideMark/>
          </w:tcPr>
          <w:p w14:paraId="14C26A9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17F967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16BD3AB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74832BC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6732F20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87AF2E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0FC50F9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15F2CF0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4029DE1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24A05F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CD3484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3684 (28.5%)</w:t>
            </w:r>
          </w:p>
        </w:tc>
        <w:tc>
          <w:tcPr>
            <w:tcW w:w="550" w:type="pct"/>
            <w:tcBorders>
              <w:top w:val="nil"/>
              <w:left w:val="nil"/>
              <w:bottom w:val="nil"/>
              <w:right w:val="nil"/>
            </w:tcBorders>
            <w:shd w:val="clear" w:color="000000" w:fill="FFFFFF"/>
            <w:noWrap/>
            <w:vAlign w:val="center"/>
            <w:hideMark/>
          </w:tcPr>
          <w:p w14:paraId="608939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1924 (59.4%)</w:t>
            </w:r>
          </w:p>
        </w:tc>
        <w:tc>
          <w:tcPr>
            <w:tcW w:w="305" w:type="pct"/>
            <w:tcBorders>
              <w:top w:val="nil"/>
              <w:left w:val="nil"/>
              <w:bottom w:val="nil"/>
              <w:right w:val="nil"/>
            </w:tcBorders>
            <w:shd w:val="clear" w:color="000000" w:fill="FFFFFF"/>
            <w:noWrap/>
            <w:vAlign w:val="center"/>
            <w:hideMark/>
          </w:tcPr>
          <w:p w14:paraId="0B65CA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5B200F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5608 (34.6%)</w:t>
            </w:r>
          </w:p>
        </w:tc>
        <w:tc>
          <w:tcPr>
            <w:tcW w:w="550" w:type="pct"/>
            <w:tcBorders>
              <w:top w:val="nil"/>
              <w:left w:val="nil"/>
              <w:bottom w:val="nil"/>
              <w:right w:val="nil"/>
            </w:tcBorders>
            <w:shd w:val="clear" w:color="000000" w:fill="FFFFFF"/>
            <w:noWrap/>
            <w:vAlign w:val="center"/>
            <w:hideMark/>
          </w:tcPr>
          <w:p w14:paraId="7806373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1371 (4.9%)</w:t>
            </w:r>
          </w:p>
        </w:tc>
        <w:tc>
          <w:tcPr>
            <w:tcW w:w="550" w:type="pct"/>
            <w:tcBorders>
              <w:top w:val="nil"/>
              <w:left w:val="nil"/>
              <w:bottom w:val="nil"/>
              <w:right w:val="nil"/>
            </w:tcBorders>
            <w:shd w:val="clear" w:color="000000" w:fill="FFFFFF"/>
            <w:noWrap/>
            <w:vAlign w:val="center"/>
            <w:hideMark/>
          </w:tcPr>
          <w:p w14:paraId="21810AE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794 (11.3%)</w:t>
            </w:r>
          </w:p>
        </w:tc>
        <w:tc>
          <w:tcPr>
            <w:tcW w:w="305" w:type="pct"/>
            <w:tcBorders>
              <w:top w:val="nil"/>
              <w:left w:val="nil"/>
              <w:bottom w:val="nil"/>
              <w:right w:val="nil"/>
            </w:tcBorders>
            <w:shd w:val="clear" w:color="000000" w:fill="FFFFFF"/>
            <w:noWrap/>
            <w:vAlign w:val="center"/>
            <w:hideMark/>
          </w:tcPr>
          <w:p w14:paraId="6E8B21B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A9A653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2165 (6.2%)</w:t>
            </w:r>
          </w:p>
        </w:tc>
      </w:tr>
      <w:tr w:rsidR="00DA1572" w:rsidRPr="00DC3283" w14:paraId="2F0CBCB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13A4D3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 (count, 1 year)</w:t>
            </w:r>
          </w:p>
        </w:tc>
        <w:tc>
          <w:tcPr>
            <w:tcW w:w="550" w:type="pct"/>
            <w:tcBorders>
              <w:top w:val="nil"/>
              <w:left w:val="nil"/>
              <w:bottom w:val="nil"/>
              <w:right w:val="nil"/>
            </w:tcBorders>
            <w:shd w:val="clear" w:color="000000" w:fill="FFFFFF"/>
            <w:noWrap/>
            <w:vAlign w:val="center"/>
            <w:hideMark/>
          </w:tcPr>
          <w:p w14:paraId="54B1BCB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1A1314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FECACF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15B350D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1B31709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2BA4AC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4FD42F1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1A1EEA3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3C4B0FC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6B085C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0D0A1B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785 (6.1%)</w:t>
            </w:r>
          </w:p>
        </w:tc>
        <w:tc>
          <w:tcPr>
            <w:tcW w:w="550" w:type="pct"/>
            <w:tcBorders>
              <w:top w:val="nil"/>
              <w:left w:val="nil"/>
              <w:bottom w:val="nil"/>
              <w:right w:val="nil"/>
            </w:tcBorders>
            <w:shd w:val="clear" w:color="000000" w:fill="FFFFFF"/>
            <w:noWrap/>
            <w:vAlign w:val="center"/>
            <w:hideMark/>
          </w:tcPr>
          <w:p w14:paraId="57BCE5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588 (18.2%)</w:t>
            </w:r>
          </w:p>
        </w:tc>
        <w:tc>
          <w:tcPr>
            <w:tcW w:w="305" w:type="pct"/>
            <w:tcBorders>
              <w:top w:val="nil"/>
              <w:left w:val="nil"/>
              <w:bottom w:val="nil"/>
              <w:right w:val="nil"/>
            </w:tcBorders>
            <w:shd w:val="clear" w:color="000000" w:fill="FFFFFF"/>
            <w:noWrap/>
            <w:vAlign w:val="center"/>
            <w:hideMark/>
          </w:tcPr>
          <w:p w14:paraId="04BDD55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1AE430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1373 (8.5%)</w:t>
            </w:r>
          </w:p>
        </w:tc>
        <w:tc>
          <w:tcPr>
            <w:tcW w:w="550" w:type="pct"/>
            <w:tcBorders>
              <w:top w:val="nil"/>
              <w:left w:val="nil"/>
              <w:bottom w:val="nil"/>
              <w:right w:val="nil"/>
            </w:tcBorders>
            <w:shd w:val="clear" w:color="000000" w:fill="FFFFFF"/>
            <w:noWrap/>
            <w:vAlign w:val="center"/>
            <w:hideMark/>
          </w:tcPr>
          <w:p w14:paraId="154DFD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293 (1.0%)</w:t>
            </w:r>
          </w:p>
        </w:tc>
        <w:tc>
          <w:tcPr>
            <w:tcW w:w="550" w:type="pct"/>
            <w:tcBorders>
              <w:top w:val="nil"/>
              <w:left w:val="nil"/>
              <w:bottom w:val="nil"/>
              <w:right w:val="nil"/>
            </w:tcBorders>
            <w:shd w:val="clear" w:color="000000" w:fill="FFFFFF"/>
            <w:noWrap/>
            <w:vAlign w:val="center"/>
            <w:hideMark/>
          </w:tcPr>
          <w:p w14:paraId="6C0498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218 (3.1%)</w:t>
            </w:r>
          </w:p>
        </w:tc>
        <w:tc>
          <w:tcPr>
            <w:tcW w:w="305" w:type="pct"/>
            <w:tcBorders>
              <w:top w:val="nil"/>
              <w:left w:val="nil"/>
              <w:bottom w:val="nil"/>
              <w:right w:val="nil"/>
            </w:tcBorders>
            <w:shd w:val="clear" w:color="000000" w:fill="FFFFFF"/>
            <w:noWrap/>
            <w:vAlign w:val="center"/>
            <w:hideMark/>
          </w:tcPr>
          <w:p w14:paraId="0759C4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9E68A0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511 (1.5%)</w:t>
            </w:r>
          </w:p>
        </w:tc>
      </w:tr>
      <w:tr w:rsidR="00DA1572" w:rsidRPr="00DC3283" w14:paraId="232CD99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6A842B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2013698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192 (1.5%)</w:t>
            </w:r>
          </w:p>
        </w:tc>
        <w:tc>
          <w:tcPr>
            <w:tcW w:w="550" w:type="pct"/>
            <w:tcBorders>
              <w:top w:val="nil"/>
              <w:left w:val="nil"/>
              <w:bottom w:val="nil"/>
              <w:right w:val="nil"/>
            </w:tcBorders>
            <w:shd w:val="clear" w:color="000000" w:fill="FFFFFF"/>
            <w:noWrap/>
            <w:vAlign w:val="center"/>
            <w:hideMark/>
          </w:tcPr>
          <w:p w14:paraId="23C32E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294 (9.1%)</w:t>
            </w:r>
          </w:p>
        </w:tc>
        <w:tc>
          <w:tcPr>
            <w:tcW w:w="305" w:type="pct"/>
            <w:tcBorders>
              <w:top w:val="nil"/>
              <w:left w:val="nil"/>
              <w:bottom w:val="nil"/>
              <w:right w:val="nil"/>
            </w:tcBorders>
            <w:shd w:val="clear" w:color="000000" w:fill="FFFFFF"/>
            <w:noWrap/>
            <w:vAlign w:val="center"/>
            <w:hideMark/>
          </w:tcPr>
          <w:p w14:paraId="11D1B2B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4C257D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486 (3.0%)</w:t>
            </w:r>
          </w:p>
        </w:tc>
        <w:tc>
          <w:tcPr>
            <w:tcW w:w="550" w:type="pct"/>
            <w:tcBorders>
              <w:top w:val="nil"/>
              <w:left w:val="nil"/>
              <w:bottom w:val="nil"/>
              <w:right w:val="nil"/>
            </w:tcBorders>
            <w:shd w:val="clear" w:color="000000" w:fill="FFFFFF"/>
            <w:noWrap/>
            <w:vAlign w:val="center"/>
            <w:hideMark/>
          </w:tcPr>
          <w:p w14:paraId="1EB1D8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 (0.3%)</w:t>
            </w:r>
          </w:p>
        </w:tc>
        <w:tc>
          <w:tcPr>
            <w:tcW w:w="550" w:type="pct"/>
            <w:tcBorders>
              <w:top w:val="nil"/>
              <w:left w:val="nil"/>
              <w:bottom w:val="nil"/>
              <w:right w:val="nil"/>
            </w:tcBorders>
            <w:shd w:val="clear" w:color="000000" w:fill="FFFFFF"/>
            <w:noWrap/>
            <w:vAlign w:val="center"/>
            <w:hideMark/>
          </w:tcPr>
          <w:p w14:paraId="27D46C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126 (1.8%)</w:t>
            </w:r>
          </w:p>
        </w:tc>
        <w:tc>
          <w:tcPr>
            <w:tcW w:w="305" w:type="pct"/>
            <w:tcBorders>
              <w:top w:val="nil"/>
              <w:left w:val="nil"/>
              <w:bottom w:val="nil"/>
              <w:right w:val="nil"/>
            </w:tcBorders>
            <w:shd w:val="clear" w:color="000000" w:fill="FFFFFF"/>
            <w:noWrap/>
            <w:vAlign w:val="center"/>
            <w:hideMark/>
          </w:tcPr>
          <w:p w14:paraId="1B45F56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5E527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208 (0.6%)</w:t>
            </w:r>
          </w:p>
        </w:tc>
      </w:tr>
      <w:tr w:rsidR="00DA1572" w:rsidRPr="00DC3283" w14:paraId="4C18D34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AA575B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08A1B5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55 (0.4%)</w:t>
            </w:r>
          </w:p>
        </w:tc>
        <w:tc>
          <w:tcPr>
            <w:tcW w:w="550" w:type="pct"/>
            <w:tcBorders>
              <w:top w:val="nil"/>
              <w:left w:val="nil"/>
              <w:bottom w:val="nil"/>
              <w:right w:val="nil"/>
            </w:tcBorders>
            <w:shd w:val="clear" w:color="000000" w:fill="FFFFFF"/>
            <w:noWrap/>
            <w:vAlign w:val="center"/>
            <w:hideMark/>
          </w:tcPr>
          <w:p w14:paraId="3ECAA4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154 (4.8%)</w:t>
            </w:r>
          </w:p>
        </w:tc>
        <w:tc>
          <w:tcPr>
            <w:tcW w:w="305" w:type="pct"/>
            <w:tcBorders>
              <w:top w:val="nil"/>
              <w:left w:val="nil"/>
              <w:bottom w:val="nil"/>
              <w:right w:val="nil"/>
            </w:tcBorders>
            <w:shd w:val="clear" w:color="000000" w:fill="FFFFFF"/>
            <w:noWrap/>
            <w:vAlign w:val="center"/>
            <w:hideMark/>
          </w:tcPr>
          <w:p w14:paraId="7F1935B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52F30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209 (1.3%)</w:t>
            </w:r>
          </w:p>
        </w:tc>
        <w:tc>
          <w:tcPr>
            <w:tcW w:w="550" w:type="pct"/>
            <w:tcBorders>
              <w:top w:val="nil"/>
              <w:left w:val="nil"/>
              <w:bottom w:val="nil"/>
              <w:right w:val="nil"/>
            </w:tcBorders>
            <w:shd w:val="clear" w:color="000000" w:fill="FFFFFF"/>
            <w:noWrap/>
            <w:vAlign w:val="center"/>
            <w:hideMark/>
          </w:tcPr>
          <w:p w14:paraId="7E7601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 (0.1%)</w:t>
            </w:r>
          </w:p>
        </w:tc>
        <w:tc>
          <w:tcPr>
            <w:tcW w:w="550" w:type="pct"/>
            <w:tcBorders>
              <w:top w:val="nil"/>
              <w:left w:val="nil"/>
              <w:bottom w:val="nil"/>
              <w:right w:val="nil"/>
            </w:tcBorders>
            <w:shd w:val="clear" w:color="000000" w:fill="FFFFFF"/>
            <w:noWrap/>
            <w:vAlign w:val="center"/>
            <w:hideMark/>
          </w:tcPr>
          <w:p w14:paraId="102DAE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 (0.9%)</w:t>
            </w:r>
          </w:p>
        </w:tc>
        <w:tc>
          <w:tcPr>
            <w:tcW w:w="305" w:type="pct"/>
            <w:tcBorders>
              <w:top w:val="nil"/>
              <w:left w:val="nil"/>
              <w:bottom w:val="nil"/>
              <w:right w:val="nil"/>
            </w:tcBorders>
            <w:shd w:val="clear" w:color="000000" w:fill="FFFFFF"/>
            <w:noWrap/>
            <w:vAlign w:val="center"/>
            <w:hideMark/>
          </w:tcPr>
          <w:p w14:paraId="438FA54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78C581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 (0.2%)</w:t>
            </w:r>
          </w:p>
        </w:tc>
      </w:tr>
      <w:tr w:rsidR="00DA1572" w:rsidRPr="00DC3283" w14:paraId="6CA8E5F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F6D205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Four times</w:t>
            </w:r>
          </w:p>
        </w:tc>
        <w:tc>
          <w:tcPr>
            <w:tcW w:w="550" w:type="pct"/>
            <w:tcBorders>
              <w:top w:val="nil"/>
              <w:left w:val="nil"/>
              <w:bottom w:val="nil"/>
              <w:right w:val="nil"/>
            </w:tcBorders>
            <w:shd w:val="clear" w:color="000000" w:fill="FFFFFF"/>
            <w:noWrap/>
            <w:vAlign w:val="center"/>
            <w:hideMark/>
          </w:tcPr>
          <w:p w14:paraId="487E2D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 (0.4%)</w:t>
            </w:r>
          </w:p>
        </w:tc>
        <w:tc>
          <w:tcPr>
            <w:tcW w:w="550" w:type="pct"/>
            <w:tcBorders>
              <w:top w:val="nil"/>
              <w:left w:val="nil"/>
              <w:bottom w:val="nil"/>
              <w:right w:val="nil"/>
            </w:tcBorders>
            <w:shd w:val="clear" w:color="000000" w:fill="FFFFFF"/>
            <w:noWrap/>
            <w:vAlign w:val="center"/>
            <w:hideMark/>
          </w:tcPr>
          <w:p w14:paraId="2BAFF1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203 (6.3%)</w:t>
            </w:r>
          </w:p>
        </w:tc>
        <w:tc>
          <w:tcPr>
            <w:tcW w:w="305" w:type="pct"/>
            <w:tcBorders>
              <w:top w:val="nil"/>
              <w:left w:val="nil"/>
              <w:bottom w:val="nil"/>
              <w:right w:val="nil"/>
            </w:tcBorders>
            <w:shd w:val="clear" w:color="000000" w:fill="FFFFFF"/>
            <w:noWrap/>
            <w:vAlign w:val="center"/>
            <w:hideMark/>
          </w:tcPr>
          <w:p w14:paraId="17E0225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C92C5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255 (1.6%)</w:t>
            </w:r>
          </w:p>
        </w:tc>
        <w:tc>
          <w:tcPr>
            <w:tcW w:w="550" w:type="pct"/>
            <w:tcBorders>
              <w:top w:val="nil"/>
              <w:left w:val="nil"/>
              <w:bottom w:val="nil"/>
              <w:right w:val="nil"/>
            </w:tcBorders>
            <w:shd w:val="clear" w:color="000000" w:fill="FFFFFF"/>
            <w:noWrap/>
            <w:vAlign w:val="center"/>
            <w:hideMark/>
          </w:tcPr>
          <w:p w14:paraId="759EE60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 (0.1%)</w:t>
            </w:r>
          </w:p>
        </w:tc>
        <w:tc>
          <w:tcPr>
            <w:tcW w:w="550" w:type="pct"/>
            <w:tcBorders>
              <w:top w:val="nil"/>
              <w:left w:val="nil"/>
              <w:bottom w:val="nil"/>
              <w:right w:val="nil"/>
            </w:tcBorders>
            <w:shd w:val="clear" w:color="000000" w:fill="FFFFFF"/>
            <w:noWrap/>
            <w:vAlign w:val="center"/>
            <w:hideMark/>
          </w:tcPr>
          <w:p w14:paraId="6BEAA3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98 (1.4%)</w:t>
            </w:r>
          </w:p>
        </w:tc>
        <w:tc>
          <w:tcPr>
            <w:tcW w:w="305" w:type="pct"/>
            <w:tcBorders>
              <w:top w:val="nil"/>
              <w:left w:val="nil"/>
              <w:bottom w:val="nil"/>
              <w:right w:val="nil"/>
            </w:tcBorders>
            <w:shd w:val="clear" w:color="000000" w:fill="FFFFFF"/>
            <w:noWrap/>
            <w:vAlign w:val="center"/>
            <w:hideMark/>
          </w:tcPr>
          <w:p w14:paraId="238E8DE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2EE6F0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137 (0.4%)</w:t>
            </w:r>
          </w:p>
        </w:tc>
      </w:tr>
      <w:tr w:rsidR="00DA1572" w:rsidRPr="00DC3283" w14:paraId="269447C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68AFA0B"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Irritable bowel syndrome</w:t>
            </w:r>
          </w:p>
        </w:tc>
        <w:tc>
          <w:tcPr>
            <w:tcW w:w="550" w:type="pct"/>
            <w:tcBorders>
              <w:top w:val="nil"/>
              <w:left w:val="nil"/>
              <w:bottom w:val="nil"/>
              <w:right w:val="nil"/>
            </w:tcBorders>
            <w:shd w:val="clear" w:color="000000" w:fill="FFFFFF"/>
            <w:noWrap/>
            <w:vAlign w:val="center"/>
            <w:hideMark/>
          </w:tcPr>
          <w:p w14:paraId="3CA72C3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458515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7B3526C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11DBF1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D37C51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F91F6D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DB7D2B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01AFE2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6444644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192669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875EFF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 (0.2%)</w:t>
            </w:r>
          </w:p>
        </w:tc>
        <w:tc>
          <w:tcPr>
            <w:tcW w:w="550" w:type="pct"/>
            <w:tcBorders>
              <w:top w:val="nil"/>
              <w:left w:val="nil"/>
              <w:bottom w:val="nil"/>
              <w:right w:val="nil"/>
            </w:tcBorders>
            <w:shd w:val="clear" w:color="000000" w:fill="FFFFFF"/>
            <w:noWrap/>
            <w:vAlign w:val="center"/>
            <w:hideMark/>
          </w:tcPr>
          <w:p w14:paraId="2F84ADE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 (0.9%)</w:t>
            </w:r>
          </w:p>
        </w:tc>
        <w:tc>
          <w:tcPr>
            <w:tcW w:w="305" w:type="pct"/>
            <w:tcBorders>
              <w:top w:val="nil"/>
              <w:left w:val="nil"/>
              <w:bottom w:val="nil"/>
              <w:right w:val="nil"/>
            </w:tcBorders>
            <w:shd w:val="clear" w:color="000000" w:fill="FFFFFF"/>
            <w:noWrap/>
            <w:vAlign w:val="center"/>
            <w:hideMark/>
          </w:tcPr>
          <w:p w14:paraId="10104D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5C7879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 (0.3%)</w:t>
            </w:r>
          </w:p>
        </w:tc>
        <w:tc>
          <w:tcPr>
            <w:tcW w:w="550" w:type="pct"/>
            <w:tcBorders>
              <w:top w:val="nil"/>
              <w:left w:val="nil"/>
              <w:bottom w:val="nil"/>
              <w:right w:val="nil"/>
            </w:tcBorders>
            <w:shd w:val="clear" w:color="000000" w:fill="FFFFFF"/>
            <w:noWrap/>
            <w:vAlign w:val="center"/>
            <w:hideMark/>
          </w:tcPr>
          <w:p w14:paraId="14E6FC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c>
          <w:tcPr>
            <w:tcW w:w="550" w:type="pct"/>
            <w:tcBorders>
              <w:top w:val="nil"/>
              <w:left w:val="nil"/>
              <w:bottom w:val="nil"/>
              <w:right w:val="nil"/>
            </w:tcBorders>
            <w:shd w:val="clear" w:color="000000" w:fill="FFFFFF"/>
            <w:noWrap/>
            <w:vAlign w:val="center"/>
            <w:hideMark/>
          </w:tcPr>
          <w:p w14:paraId="7C5E96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 (0.2%)</w:t>
            </w:r>
          </w:p>
        </w:tc>
        <w:tc>
          <w:tcPr>
            <w:tcW w:w="305" w:type="pct"/>
            <w:tcBorders>
              <w:top w:val="nil"/>
              <w:left w:val="nil"/>
              <w:bottom w:val="nil"/>
              <w:right w:val="nil"/>
            </w:tcBorders>
            <w:shd w:val="clear" w:color="000000" w:fill="FFFFFF"/>
            <w:noWrap/>
            <w:vAlign w:val="center"/>
            <w:hideMark/>
          </w:tcPr>
          <w:p w14:paraId="53BF46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C0DB0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 (0.1%)</w:t>
            </w:r>
          </w:p>
        </w:tc>
      </w:tr>
      <w:tr w:rsidR="00DA1572" w:rsidRPr="00DC3283" w14:paraId="7437DB2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EC75CB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IgA deficiency</w:t>
            </w:r>
          </w:p>
        </w:tc>
        <w:tc>
          <w:tcPr>
            <w:tcW w:w="550" w:type="pct"/>
            <w:tcBorders>
              <w:top w:val="nil"/>
              <w:left w:val="nil"/>
              <w:bottom w:val="nil"/>
              <w:right w:val="nil"/>
            </w:tcBorders>
            <w:shd w:val="clear" w:color="000000" w:fill="FFFFFF"/>
            <w:noWrap/>
            <w:vAlign w:val="center"/>
            <w:hideMark/>
          </w:tcPr>
          <w:p w14:paraId="313DCF4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B4579A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358277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07EE3A5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94049E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1261301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357F9DA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7BCFF6B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75F925E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DDEAAD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24D3E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 (0%)</w:t>
            </w:r>
          </w:p>
        </w:tc>
        <w:tc>
          <w:tcPr>
            <w:tcW w:w="550" w:type="pct"/>
            <w:tcBorders>
              <w:top w:val="nil"/>
              <w:left w:val="nil"/>
              <w:bottom w:val="nil"/>
              <w:right w:val="nil"/>
            </w:tcBorders>
            <w:shd w:val="clear" w:color="000000" w:fill="FFFFFF"/>
            <w:noWrap/>
            <w:vAlign w:val="center"/>
            <w:hideMark/>
          </w:tcPr>
          <w:p w14:paraId="6869046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(0.1%)</w:t>
            </w:r>
          </w:p>
        </w:tc>
        <w:tc>
          <w:tcPr>
            <w:tcW w:w="305" w:type="pct"/>
            <w:tcBorders>
              <w:top w:val="nil"/>
              <w:left w:val="nil"/>
              <w:bottom w:val="nil"/>
              <w:right w:val="nil"/>
            </w:tcBorders>
            <w:shd w:val="clear" w:color="000000" w:fill="FFFFFF"/>
            <w:noWrap/>
            <w:vAlign w:val="center"/>
            <w:hideMark/>
          </w:tcPr>
          <w:p w14:paraId="1FDBA4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836A71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c>
          <w:tcPr>
            <w:tcW w:w="550" w:type="pct"/>
            <w:tcBorders>
              <w:top w:val="nil"/>
              <w:left w:val="nil"/>
              <w:bottom w:val="nil"/>
              <w:right w:val="nil"/>
            </w:tcBorders>
            <w:shd w:val="clear" w:color="000000" w:fill="FFFFFF"/>
            <w:noWrap/>
            <w:vAlign w:val="center"/>
            <w:hideMark/>
          </w:tcPr>
          <w:p w14:paraId="73B42B0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 (0.0%)</w:t>
            </w:r>
          </w:p>
        </w:tc>
        <w:tc>
          <w:tcPr>
            <w:tcW w:w="550" w:type="pct"/>
            <w:tcBorders>
              <w:top w:val="nil"/>
              <w:left w:val="nil"/>
              <w:bottom w:val="nil"/>
              <w:right w:val="nil"/>
            </w:tcBorders>
            <w:shd w:val="clear" w:color="000000" w:fill="FFFFFF"/>
            <w:noWrap/>
            <w:vAlign w:val="center"/>
            <w:hideMark/>
          </w:tcPr>
          <w:p w14:paraId="61E30B3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(0.1%)</w:t>
            </w:r>
          </w:p>
        </w:tc>
        <w:tc>
          <w:tcPr>
            <w:tcW w:w="305" w:type="pct"/>
            <w:tcBorders>
              <w:top w:val="nil"/>
              <w:left w:val="nil"/>
              <w:bottom w:val="nil"/>
              <w:right w:val="nil"/>
            </w:tcBorders>
            <w:shd w:val="clear" w:color="000000" w:fill="FFFFFF"/>
            <w:noWrap/>
            <w:vAlign w:val="center"/>
            <w:hideMark/>
          </w:tcPr>
          <w:p w14:paraId="5E3365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0.005</w:t>
            </w:r>
          </w:p>
        </w:tc>
        <w:tc>
          <w:tcPr>
            <w:tcW w:w="549" w:type="pct"/>
            <w:tcBorders>
              <w:top w:val="nil"/>
              <w:left w:val="nil"/>
              <w:bottom w:val="nil"/>
              <w:right w:val="single" w:sz="4" w:space="0" w:color="auto"/>
            </w:tcBorders>
            <w:shd w:val="clear" w:color="000000" w:fill="FFFFFF"/>
            <w:noWrap/>
            <w:vAlign w:val="center"/>
            <w:hideMark/>
          </w:tcPr>
          <w:p w14:paraId="74BC46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r>
      <w:tr w:rsidR="00DA1572" w:rsidRPr="00DC3283" w14:paraId="3C9B816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22FA68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Iron, vit B12, or folate deficiency</w:t>
            </w:r>
          </w:p>
        </w:tc>
        <w:tc>
          <w:tcPr>
            <w:tcW w:w="550" w:type="pct"/>
            <w:tcBorders>
              <w:top w:val="nil"/>
              <w:left w:val="nil"/>
              <w:bottom w:val="nil"/>
              <w:right w:val="nil"/>
            </w:tcBorders>
            <w:shd w:val="clear" w:color="000000" w:fill="FFFFFF"/>
            <w:noWrap/>
            <w:vAlign w:val="center"/>
            <w:hideMark/>
          </w:tcPr>
          <w:p w14:paraId="29141E8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3E4BFC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799EADE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7826AF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414F06F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FCAD4C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7352703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CA90E6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66351A8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4BF43E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89CAA5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(0.1%)</w:t>
            </w:r>
          </w:p>
        </w:tc>
        <w:tc>
          <w:tcPr>
            <w:tcW w:w="550" w:type="pct"/>
            <w:tcBorders>
              <w:top w:val="nil"/>
              <w:left w:val="nil"/>
              <w:bottom w:val="nil"/>
              <w:right w:val="nil"/>
            </w:tcBorders>
            <w:shd w:val="clear" w:color="000000" w:fill="FFFFFF"/>
            <w:noWrap/>
            <w:vAlign w:val="center"/>
            <w:hideMark/>
          </w:tcPr>
          <w:p w14:paraId="1D3FB90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35 (1.1%)</w:t>
            </w:r>
          </w:p>
        </w:tc>
        <w:tc>
          <w:tcPr>
            <w:tcW w:w="305" w:type="pct"/>
            <w:tcBorders>
              <w:top w:val="nil"/>
              <w:left w:val="nil"/>
              <w:bottom w:val="nil"/>
              <w:right w:val="nil"/>
            </w:tcBorders>
            <w:shd w:val="clear" w:color="000000" w:fill="FFFFFF"/>
            <w:noWrap/>
            <w:vAlign w:val="center"/>
            <w:hideMark/>
          </w:tcPr>
          <w:p w14:paraId="30A9165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1CA92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 (0.3%)</w:t>
            </w:r>
          </w:p>
        </w:tc>
        <w:tc>
          <w:tcPr>
            <w:tcW w:w="550" w:type="pct"/>
            <w:tcBorders>
              <w:top w:val="nil"/>
              <w:left w:val="nil"/>
              <w:bottom w:val="nil"/>
              <w:right w:val="nil"/>
            </w:tcBorders>
            <w:shd w:val="clear" w:color="000000" w:fill="FFFFFF"/>
            <w:noWrap/>
            <w:vAlign w:val="center"/>
            <w:hideMark/>
          </w:tcPr>
          <w:p w14:paraId="33704B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nil"/>
              <w:right w:val="nil"/>
            </w:tcBorders>
            <w:shd w:val="clear" w:color="000000" w:fill="FFFFFF"/>
            <w:noWrap/>
            <w:vAlign w:val="center"/>
            <w:hideMark/>
          </w:tcPr>
          <w:p w14:paraId="7616D21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 (0.3%)</w:t>
            </w:r>
          </w:p>
        </w:tc>
        <w:tc>
          <w:tcPr>
            <w:tcW w:w="305" w:type="pct"/>
            <w:tcBorders>
              <w:top w:val="nil"/>
              <w:left w:val="nil"/>
              <w:bottom w:val="nil"/>
              <w:right w:val="nil"/>
            </w:tcBorders>
            <w:shd w:val="clear" w:color="000000" w:fill="FFFFFF"/>
            <w:noWrap/>
            <w:vAlign w:val="center"/>
            <w:hideMark/>
          </w:tcPr>
          <w:p w14:paraId="64860E1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5D8B8C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 (0.1%)</w:t>
            </w:r>
          </w:p>
        </w:tc>
      </w:tr>
      <w:tr w:rsidR="00DA1572" w:rsidRPr="00DC3283" w14:paraId="14ABB0B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48B43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Mood disorders</w:t>
            </w:r>
          </w:p>
        </w:tc>
        <w:tc>
          <w:tcPr>
            <w:tcW w:w="550" w:type="pct"/>
            <w:tcBorders>
              <w:top w:val="nil"/>
              <w:left w:val="nil"/>
              <w:bottom w:val="nil"/>
              <w:right w:val="nil"/>
            </w:tcBorders>
            <w:shd w:val="clear" w:color="000000" w:fill="FFFFFF"/>
            <w:noWrap/>
            <w:vAlign w:val="center"/>
            <w:hideMark/>
          </w:tcPr>
          <w:p w14:paraId="6637959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D73F29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642D7D8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4036017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2E2B5AD"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E60955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5A4D652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662E2E1B"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5E4A070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9A6BCA3"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C9F8B7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256 (2.0%)</w:t>
            </w:r>
          </w:p>
        </w:tc>
        <w:tc>
          <w:tcPr>
            <w:tcW w:w="550" w:type="pct"/>
            <w:tcBorders>
              <w:top w:val="nil"/>
              <w:left w:val="nil"/>
              <w:bottom w:val="nil"/>
              <w:right w:val="nil"/>
            </w:tcBorders>
            <w:shd w:val="clear" w:color="000000" w:fill="FFFFFF"/>
            <w:noWrap/>
            <w:vAlign w:val="center"/>
            <w:hideMark/>
          </w:tcPr>
          <w:p w14:paraId="7FB6FE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143 (4.4%)</w:t>
            </w:r>
          </w:p>
        </w:tc>
        <w:tc>
          <w:tcPr>
            <w:tcW w:w="305" w:type="pct"/>
            <w:tcBorders>
              <w:top w:val="nil"/>
              <w:left w:val="nil"/>
              <w:bottom w:val="nil"/>
              <w:right w:val="nil"/>
            </w:tcBorders>
            <w:shd w:val="clear" w:color="000000" w:fill="FFFFFF"/>
            <w:noWrap/>
            <w:vAlign w:val="center"/>
            <w:hideMark/>
          </w:tcPr>
          <w:p w14:paraId="2A5A91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F9C666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399 (2.5%)</w:t>
            </w:r>
          </w:p>
        </w:tc>
        <w:tc>
          <w:tcPr>
            <w:tcW w:w="550" w:type="pct"/>
            <w:tcBorders>
              <w:top w:val="nil"/>
              <w:left w:val="nil"/>
              <w:bottom w:val="nil"/>
              <w:right w:val="nil"/>
            </w:tcBorders>
            <w:shd w:val="clear" w:color="000000" w:fill="FFFFFF"/>
            <w:noWrap/>
            <w:vAlign w:val="center"/>
            <w:hideMark/>
          </w:tcPr>
          <w:p w14:paraId="5E1106D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91 (0.3%)</w:t>
            </w:r>
          </w:p>
        </w:tc>
        <w:tc>
          <w:tcPr>
            <w:tcW w:w="550" w:type="pct"/>
            <w:tcBorders>
              <w:top w:val="nil"/>
              <w:left w:val="nil"/>
              <w:bottom w:val="nil"/>
              <w:right w:val="nil"/>
            </w:tcBorders>
            <w:shd w:val="clear" w:color="000000" w:fill="FFFFFF"/>
            <w:noWrap/>
            <w:vAlign w:val="center"/>
            <w:hideMark/>
          </w:tcPr>
          <w:p w14:paraId="4E40FB9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59 (0.8%)</w:t>
            </w:r>
          </w:p>
        </w:tc>
        <w:tc>
          <w:tcPr>
            <w:tcW w:w="305" w:type="pct"/>
            <w:tcBorders>
              <w:top w:val="nil"/>
              <w:left w:val="nil"/>
              <w:bottom w:val="nil"/>
              <w:right w:val="nil"/>
            </w:tcBorders>
            <w:shd w:val="clear" w:color="000000" w:fill="FFFFFF"/>
            <w:noWrap/>
            <w:vAlign w:val="center"/>
            <w:hideMark/>
          </w:tcPr>
          <w:p w14:paraId="2DFFB4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5C62A1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150 (0.4%)</w:t>
            </w:r>
          </w:p>
        </w:tc>
      </w:tr>
      <w:tr w:rsidR="00DA1572" w:rsidRPr="00DC3283" w14:paraId="04FFE24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8FD753B"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Type 1 diabetes</w:t>
            </w:r>
          </w:p>
        </w:tc>
        <w:tc>
          <w:tcPr>
            <w:tcW w:w="550" w:type="pct"/>
            <w:tcBorders>
              <w:top w:val="nil"/>
              <w:left w:val="nil"/>
              <w:bottom w:val="nil"/>
              <w:right w:val="nil"/>
            </w:tcBorders>
            <w:shd w:val="clear" w:color="000000" w:fill="FFFFFF"/>
            <w:noWrap/>
            <w:vAlign w:val="center"/>
            <w:hideMark/>
          </w:tcPr>
          <w:p w14:paraId="0E874DC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77BF69A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054481B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030E16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E43444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59ED27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48FD49C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803CDEE"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1061C33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797935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3CFBF4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 (0.1%)</w:t>
            </w:r>
          </w:p>
        </w:tc>
        <w:tc>
          <w:tcPr>
            <w:tcW w:w="550" w:type="pct"/>
            <w:tcBorders>
              <w:top w:val="nil"/>
              <w:left w:val="nil"/>
              <w:bottom w:val="nil"/>
              <w:right w:val="nil"/>
            </w:tcBorders>
            <w:shd w:val="clear" w:color="000000" w:fill="FFFFFF"/>
            <w:noWrap/>
            <w:vAlign w:val="center"/>
            <w:hideMark/>
          </w:tcPr>
          <w:p w14:paraId="28EB3C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275 (8.5%)</w:t>
            </w:r>
          </w:p>
        </w:tc>
        <w:tc>
          <w:tcPr>
            <w:tcW w:w="305" w:type="pct"/>
            <w:tcBorders>
              <w:top w:val="nil"/>
              <w:left w:val="nil"/>
              <w:bottom w:val="nil"/>
              <w:right w:val="nil"/>
            </w:tcBorders>
            <w:shd w:val="clear" w:color="000000" w:fill="FFFFFF"/>
            <w:noWrap/>
            <w:vAlign w:val="center"/>
            <w:hideMark/>
          </w:tcPr>
          <w:p w14:paraId="638C615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B7FA8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291 (1.8%)</w:t>
            </w:r>
          </w:p>
        </w:tc>
        <w:tc>
          <w:tcPr>
            <w:tcW w:w="550" w:type="pct"/>
            <w:tcBorders>
              <w:top w:val="nil"/>
              <w:left w:val="nil"/>
              <w:bottom w:val="nil"/>
              <w:right w:val="nil"/>
            </w:tcBorders>
            <w:shd w:val="clear" w:color="000000" w:fill="FFFFFF"/>
            <w:noWrap/>
            <w:vAlign w:val="center"/>
            <w:hideMark/>
          </w:tcPr>
          <w:p w14:paraId="0B5F5D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 (0.0%)</w:t>
            </w:r>
          </w:p>
        </w:tc>
        <w:tc>
          <w:tcPr>
            <w:tcW w:w="550" w:type="pct"/>
            <w:tcBorders>
              <w:top w:val="nil"/>
              <w:left w:val="nil"/>
              <w:bottom w:val="nil"/>
              <w:right w:val="nil"/>
            </w:tcBorders>
            <w:shd w:val="clear" w:color="000000" w:fill="FFFFFF"/>
            <w:noWrap/>
            <w:vAlign w:val="center"/>
            <w:hideMark/>
          </w:tcPr>
          <w:p w14:paraId="647FDE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87 (1.2%)</w:t>
            </w:r>
          </w:p>
        </w:tc>
        <w:tc>
          <w:tcPr>
            <w:tcW w:w="305" w:type="pct"/>
            <w:tcBorders>
              <w:top w:val="nil"/>
              <w:left w:val="nil"/>
              <w:bottom w:val="nil"/>
              <w:right w:val="nil"/>
            </w:tcBorders>
            <w:shd w:val="clear" w:color="000000" w:fill="FFFFFF"/>
            <w:noWrap/>
            <w:vAlign w:val="center"/>
            <w:hideMark/>
          </w:tcPr>
          <w:p w14:paraId="1886FC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D9E63A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98 (0.3%)</w:t>
            </w:r>
          </w:p>
        </w:tc>
      </w:tr>
      <w:tr w:rsidR="00DA1572" w:rsidRPr="00DC3283" w14:paraId="5829E7FE" w14:textId="77777777" w:rsidTr="000526F1">
        <w:trPr>
          <w:trHeight w:val="315"/>
        </w:trPr>
        <w:tc>
          <w:tcPr>
            <w:tcW w:w="1091" w:type="pct"/>
            <w:tcBorders>
              <w:top w:val="nil"/>
              <w:left w:val="single" w:sz="4" w:space="0" w:color="auto"/>
              <w:bottom w:val="nil"/>
              <w:right w:val="single" w:sz="8" w:space="0" w:color="auto"/>
            </w:tcBorders>
            <w:shd w:val="clear" w:color="000000" w:fill="FFFFFF"/>
            <w:noWrap/>
            <w:vAlign w:val="center"/>
            <w:hideMark/>
          </w:tcPr>
          <w:p w14:paraId="118A6AF3"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lastRenderedPageBreak/>
              <w:t>Thyroid disorders</w:t>
            </w:r>
          </w:p>
        </w:tc>
        <w:tc>
          <w:tcPr>
            <w:tcW w:w="550" w:type="pct"/>
            <w:tcBorders>
              <w:top w:val="nil"/>
              <w:left w:val="nil"/>
              <w:bottom w:val="nil"/>
              <w:right w:val="nil"/>
            </w:tcBorders>
            <w:shd w:val="clear" w:color="000000" w:fill="FFFFFF"/>
            <w:noWrap/>
            <w:vAlign w:val="center"/>
            <w:hideMark/>
          </w:tcPr>
          <w:p w14:paraId="0635A39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2D11A30"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3AE690D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3A4F1CB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80D4A1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0DFEAE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2943B9F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26424A52"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5E34F68B" w14:textId="77777777" w:rsidTr="000526F1">
        <w:trPr>
          <w:trHeight w:val="315"/>
        </w:trPr>
        <w:tc>
          <w:tcPr>
            <w:tcW w:w="1091" w:type="pct"/>
            <w:tcBorders>
              <w:top w:val="nil"/>
              <w:left w:val="single" w:sz="4" w:space="0" w:color="auto"/>
              <w:bottom w:val="nil"/>
              <w:right w:val="single" w:sz="8" w:space="0" w:color="auto"/>
            </w:tcBorders>
            <w:shd w:val="clear" w:color="000000" w:fill="FFFFFF"/>
            <w:noWrap/>
            <w:vAlign w:val="center"/>
            <w:hideMark/>
          </w:tcPr>
          <w:p w14:paraId="5AB5E64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F513D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 (0.1%)</w:t>
            </w:r>
          </w:p>
        </w:tc>
        <w:tc>
          <w:tcPr>
            <w:tcW w:w="550" w:type="pct"/>
            <w:tcBorders>
              <w:top w:val="nil"/>
              <w:left w:val="nil"/>
              <w:bottom w:val="nil"/>
              <w:right w:val="nil"/>
            </w:tcBorders>
            <w:shd w:val="clear" w:color="000000" w:fill="FFFFFF"/>
            <w:noWrap/>
            <w:vAlign w:val="center"/>
            <w:hideMark/>
          </w:tcPr>
          <w:p w14:paraId="3AB3A77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61 (1.9%)</w:t>
            </w:r>
          </w:p>
        </w:tc>
        <w:tc>
          <w:tcPr>
            <w:tcW w:w="305" w:type="pct"/>
            <w:tcBorders>
              <w:top w:val="nil"/>
              <w:left w:val="nil"/>
              <w:bottom w:val="nil"/>
              <w:right w:val="nil"/>
            </w:tcBorders>
            <w:shd w:val="clear" w:color="000000" w:fill="FFFFFF"/>
            <w:noWrap/>
            <w:vAlign w:val="center"/>
            <w:hideMark/>
          </w:tcPr>
          <w:p w14:paraId="192D28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747D31A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77 (0.5%)</w:t>
            </w:r>
          </w:p>
        </w:tc>
        <w:tc>
          <w:tcPr>
            <w:tcW w:w="550" w:type="pct"/>
            <w:tcBorders>
              <w:top w:val="nil"/>
              <w:left w:val="nil"/>
              <w:bottom w:val="nil"/>
              <w:right w:val="nil"/>
            </w:tcBorders>
            <w:shd w:val="clear" w:color="000000" w:fill="FFFFFF"/>
            <w:noWrap/>
            <w:vAlign w:val="center"/>
            <w:hideMark/>
          </w:tcPr>
          <w:p w14:paraId="01E6F3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 (0.0%)</w:t>
            </w:r>
          </w:p>
        </w:tc>
        <w:tc>
          <w:tcPr>
            <w:tcW w:w="550" w:type="pct"/>
            <w:tcBorders>
              <w:top w:val="nil"/>
              <w:left w:val="nil"/>
              <w:bottom w:val="nil"/>
              <w:right w:val="nil"/>
            </w:tcBorders>
            <w:shd w:val="clear" w:color="000000" w:fill="FFFFFF"/>
            <w:noWrap/>
            <w:vAlign w:val="center"/>
            <w:hideMark/>
          </w:tcPr>
          <w:p w14:paraId="141ACD2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 (0.3%)</w:t>
            </w:r>
          </w:p>
        </w:tc>
        <w:tc>
          <w:tcPr>
            <w:tcW w:w="305" w:type="pct"/>
            <w:tcBorders>
              <w:top w:val="nil"/>
              <w:left w:val="nil"/>
              <w:bottom w:val="nil"/>
              <w:right w:val="nil"/>
            </w:tcBorders>
            <w:shd w:val="clear" w:color="000000" w:fill="FFFFFF"/>
            <w:noWrap/>
            <w:vAlign w:val="center"/>
            <w:hideMark/>
          </w:tcPr>
          <w:p w14:paraId="633C41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9A807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33 (0.1%)</w:t>
            </w:r>
          </w:p>
        </w:tc>
      </w:tr>
      <w:tr w:rsidR="00DA1572" w:rsidRPr="00DC3283" w14:paraId="5247A2A7" w14:textId="77777777" w:rsidTr="000526F1">
        <w:trPr>
          <w:trHeight w:val="315"/>
        </w:trPr>
        <w:tc>
          <w:tcPr>
            <w:tcW w:w="1091" w:type="pct"/>
            <w:tcBorders>
              <w:top w:val="nil"/>
              <w:left w:val="single" w:sz="4" w:space="0" w:color="auto"/>
              <w:bottom w:val="nil"/>
              <w:right w:val="single" w:sz="8" w:space="0" w:color="auto"/>
            </w:tcBorders>
            <w:shd w:val="clear" w:color="000000" w:fill="FFFFFF"/>
            <w:noWrap/>
            <w:vAlign w:val="center"/>
            <w:hideMark/>
          </w:tcPr>
          <w:p w14:paraId="30E3170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Turner syndrome</w:t>
            </w:r>
          </w:p>
        </w:tc>
        <w:tc>
          <w:tcPr>
            <w:tcW w:w="550" w:type="pct"/>
            <w:tcBorders>
              <w:top w:val="nil"/>
              <w:left w:val="nil"/>
              <w:bottom w:val="nil"/>
              <w:right w:val="nil"/>
            </w:tcBorders>
            <w:shd w:val="clear" w:color="000000" w:fill="FFFFFF"/>
            <w:noWrap/>
            <w:vAlign w:val="center"/>
            <w:hideMark/>
          </w:tcPr>
          <w:p w14:paraId="12F81E6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53B3E0C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36C2764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5D4048A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0630E83F"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1D4A72BC"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4C205277"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0F08739A"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1A9E991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137B3FE"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7100CA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 (0%)</w:t>
            </w:r>
          </w:p>
        </w:tc>
        <w:tc>
          <w:tcPr>
            <w:tcW w:w="550" w:type="pct"/>
            <w:tcBorders>
              <w:top w:val="nil"/>
              <w:left w:val="nil"/>
              <w:bottom w:val="nil"/>
              <w:right w:val="nil"/>
            </w:tcBorders>
            <w:shd w:val="clear" w:color="000000" w:fill="FFFFFF"/>
            <w:noWrap/>
            <w:vAlign w:val="center"/>
            <w:hideMark/>
          </w:tcPr>
          <w:p w14:paraId="4657FA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(0.2%)</w:t>
            </w:r>
          </w:p>
        </w:tc>
        <w:tc>
          <w:tcPr>
            <w:tcW w:w="305" w:type="pct"/>
            <w:tcBorders>
              <w:top w:val="nil"/>
              <w:left w:val="nil"/>
              <w:bottom w:val="nil"/>
              <w:right w:val="nil"/>
            </w:tcBorders>
            <w:shd w:val="clear" w:color="000000" w:fill="FFFFFF"/>
            <w:noWrap/>
            <w:vAlign w:val="center"/>
            <w:hideMark/>
          </w:tcPr>
          <w:p w14:paraId="38302E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B7A6F7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nil"/>
              <w:right w:val="nil"/>
            </w:tcBorders>
            <w:shd w:val="clear" w:color="000000" w:fill="FFFFFF"/>
            <w:noWrap/>
            <w:vAlign w:val="center"/>
            <w:hideMark/>
          </w:tcPr>
          <w:p w14:paraId="13132E4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 (0.0%)</w:t>
            </w:r>
          </w:p>
        </w:tc>
        <w:tc>
          <w:tcPr>
            <w:tcW w:w="550" w:type="pct"/>
            <w:tcBorders>
              <w:top w:val="nil"/>
              <w:left w:val="nil"/>
              <w:bottom w:val="nil"/>
              <w:right w:val="nil"/>
            </w:tcBorders>
            <w:shd w:val="clear" w:color="000000" w:fill="FFFFFF"/>
            <w:noWrap/>
            <w:vAlign w:val="center"/>
            <w:hideMark/>
          </w:tcPr>
          <w:p w14:paraId="61E331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(0.1%)</w:t>
            </w:r>
          </w:p>
        </w:tc>
        <w:tc>
          <w:tcPr>
            <w:tcW w:w="305" w:type="pct"/>
            <w:tcBorders>
              <w:top w:val="nil"/>
              <w:left w:val="nil"/>
              <w:bottom w:val="nil"/>
              <w:right w:val="nil"/>
            </w:tcBorders>
            <w:shd w:val="clear" w:color="000000" w:fill="FFFFFF"/>
            <w:noWrap/>
            <w:vAlign w:val="center"/>
            <w:hideMark/>
          </w:tcPr>
          <w:p w14:paraId="63FE82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35E12D9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r>
      <w:tr w:rsidR="00DA1572" w:rsidRPr="00DC3283" w14:paraId="3014605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1644A78"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Weight loss</w:t>
            </w:r>
          </w:p>
        </w:tc>
        <w:tc>
          <w:tcPr>
            <w:tcW w:w="550" w:type="pct"/>
            <w:tcBorders>
              <w:top w:val="nil"/>
              <w:left w:val="nil"/>
              <w:bottom w:val="nil"/>
              <w:right w:val="nil"/>
            </w:tcBorders>
            <w:shd w:val="clear" w:color="000000" w:fill="FFFFFF"/>
            <w:noWrap/>
            <w:vAlign w:val="center"/>
            <w:hideMark/>
          </w:tcPr>
          <w:p w14:paraId="0F89B72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31436F84"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0319DE78"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single" w:sz="8" w:space="0" w:color="auto"/>
            </w:tcBorders>
            <w:shd w:val="clear" w:color="000000" w:fill="FFFFFF"/>
            <w:noWrap/>
            <w:vAlign w:val="center"/>
            <w:hideMark/>
          </w:tcPr>
          <w:p w14:paraId="127847F6"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2B6D5BD9"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50" w:type="pct"/>
            <w:tcBorders>
              <w:top w:val="nil"/>
              <w:left w:val="nil"/>
              <w:bottom w:val="nil"/>
              <w:right w:val="nil"/>
            </w:tcBorders>
            <w:shd w:val="clear" w:color="000000" w:fill="FFFFFF"/>
            <w:noWrap/>
            <w:vAlign w:val="center"/>
            <w:hideMark/>
          </w:tcPr>
          <w:p w14:paraId="1D695625"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305" w:type="pct"/>
            <w:tcBorders>
              <w:top w:val="nil"/>
              <w:left w:val="nil"/>
              <w:bottom w:val="nil"/>
              <w:right w:val="nil"/>
            </w:tcBorders>
            <w:shd w:val="clear" w:color="000000" w:fill="FFFFFF"/>
            <w:noWrap/>
            <w:vAlign w:val="center"/>
            <w:hideMark/>
          </w:tcPr>
          <w:p w14:paraId="6D1A99C3"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c>
          <w:tcPr>
            <w:tcW w:w="549" w:type="pct"/>
            <w:tcBorders>
              <w:top w:val="nil"/>
              <w:left w:val="nil"/>
              <w:bottom w:val="nil"/>
              <w:right w:val="single" w:sz="4" w:space="0" w:color="auto"/>
            </w:tcBorders>
            <w:shd w:val="clear" w:color="000000" w:fill="FFFFFF"/>
            <w:noWrap/>
            <w:vAlign w:val="center"/>
            <w:hideMark/>
          </w:tcPr>
          <w:p w14:paraId="3089C341" w14:textId="77777777" w:rsidR="00DC3283" w:rsidRPr="00DC3283" w:rsidRDefault="00DC3283" w:rsidP="00DC3283">
            <w:pPr>
              <w:spacing w:after="0" w:line="240" w:lineRule="auto"/>
              <w:rPr>
                <w:rFonts w:ascii="Calibri" w:eastAsia="Times New Roman" w:hAnsi="Calibri" w:cs="Calibri"/>
                <w:color w:val="000000"/>
                <w:lang w:eastAsia="en-GB"/>
              </w:rPr>
            </w:pPr>
            <w:r w:rsidRPr="00DC3283">
              <w:rPr>
                <w:rFonts w:ascii="Calibri" w:eastAsia="Times New Roman" w:hAnsi="Calibri" w:cs="Calibri"/>
                <w:color w:val="000000"/>
                <w:lang w:eastAsia="en-GB"/>
              </w:rPr>
              <w:t> </w:t>
            </w:r>
          </w:p>
        </w:tc>
      </w:tr>
      <w:tr w:rsidR="00DA1572" w:rsidRPr="00DC3283" w14:paraId="31075769" w14:textId="77777777" w:rsidTr="000526F1">
        <w:trPr>
          <w:trHeight w:val="315"/>
        </w:trPr>
        <w:tc>
          <w:tcPr>
            <w:tcW w:w="1091" w:type="pct"/>
            <w:tcBorders>
              <w:top w:val="nil"/>
              <w:left w:val="single" w:sz="4" w:space="0" w:color="auto"/>
              <w:bottom w:val="single" w:sz="12" w:space="0" w:color="000000"/>
              <w:right w:val="single" w:sz="8" w:space="0" w:color="auto"/>
            </w:tcBorders>
            <w:shd w:val="clear" w:color="000000" w:fill="FFFFFF"/>
            <w:noWrap/>
            <w:vAlign w:val="center"/>
            <w:hideMark/>
          </w:tcPr>
          <w:p w14:paraId="18C1C221"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single" w:sz="12" w:space="0" w:color="000000"/>
              <w:right w:val="nil"/>
            </w:tcBorders>
            <w:shd w:val="clear" w:color="000000" w:fill="FFFFFF"/>
            <w:noWrap/>
            <w:vAlign w:val="center"/>
            <w:hideMark/>
          </w:tcPr>
          <w:p w14:paraId="5C4126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 (0.2%)</w:t>
            </w:r>
          </w:p>
        </w:tc>
        <w:tc>
          <w:tcPr>
            <w:tcW w:w="550" w:type="pct"/>
            <w:tcBorders>
              <w:top w:val="nil"/>
              <w:left w:val="nil"/>
              <w:bottom w:val="single" w:sz="12" w:space="0" w:color="000000"/>
              <w:right w:val="nil"/>
            </w:tcBorders>
            <w:shd w:val="clear" w:color="000000" w:fill="FFFFFF"/>
            <w:noWrap/>
            <w:vAlign w:val="center"/>
            <w:hideMark/>
          </w:tcPr>
          <w:p w14:paraId="4A6F1DB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93 (2.9%)</w:t>
            </w:r>
          </w:p>
        </w:tc>
        <w:tc>
          <w:tcPr>
            <w:tcW w:w="305" w:type="pct"/>
            <w:tcBorders>
              <w:top w:val="nil"/>
              <w:left w:val="nil"/>
              <w:bottom w:val="single" w:sz="12" w:space="0" w:color="000000"/>
              <w:right w:val="nil"/>
            </w:tcBorders>
            <w:shd w:val="clear" w:color="000000" w:fill="FFFFFF"/>
            <w:noWrap/>
            <w:vAlign w:val="center"/>
            <w:hideMark/>
          </w:tcPr>
          <w:p w14:paraId="23D4FE0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single" w:sz="12" w:space="0" w:color="000000"/>
              <w:right w:val="single" w:sz="8" w:space="0" w:color="auto"/>
            </w:tcBorders>
            <w:shd w:val="clear" w:color="000000" w:fill="FFFFFF"/>
            <w:noWrap/>
            <w:vAlign w:val="center"/>
            <w:hideMark/>
          </w:tcPr>
          <w:p w14:paraId="3D2243F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116 (0.7%)</w:t>
            </w:r>
          </w:p>
        </w:tc>
        <w:tc>
          <w:tcPr>
            <w:tcW w:w="550" w:type="pct"/>
            <w:tcBorders>
              <w:top w:val="nil"/>
              <w:left w:val="nil"/>
              <w:bottom w:val="single" w:sz="12" w:space="0" w:color="000000"/>
              <w:right w:val="nil"/>
            </w:tcBorders>
            <w:shd w:val="clear" w:color="000000" w:fill="FFFFFF"/>
            <w:noWrap/>
            <w:vAlign w:val="center"/>
            <w:hideMark/>
          </w:tcPr>
          <w:p w14:paraId="6696F48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single" w:sz="12" w:space="0" w:color="000000"/>
              <w:right w:val="nil"/>
            </w:tcBorders>
            <w:shd w:val="clear" w:color="000000" w:fill="FFFFFF"/>
            <w:noWrap/>
            <w:vAlign w:val="center"/>
            <w:hideMark/>
          </w:tcPr>
          <w:p w14:paraId="48300B6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 (0.3%)</w:t>
            </w:r>
          </w:p>
        </w:tc>
        <w:tc>
          <w:tcPr>
            <w:tcW w:w="305" w:type="pct"/>
            <w:tcBorders>
              <w:top w:val="nil"/>
              <w:left w:val="nil"/>
              <w:bottom w:val="single" w:sz="12" w:space="0" w:color="000000"/>
              <w:right w:val="nil"/>
            </w:tcBorders>
            <w:shd w:val="clear" w:color="000000" w:fill="FFFFFF"/>
            <w:noWrap/>
            <w:vAlign w:val="center"/>
            <w:hideMark/>
          </w:tcPr>
          <w:p w14:paraId="7631596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single" w:sz="12" w:space="0" w:color="000000"/>
              <w:right w:val="single" w:sz="4" w:space="0" w:color="auto"/>
            </w:tcBorders>
            <w:shd w:val="clear" w:color="000000" w:fill="FFFFFF"/>
            <w:noWrap/>
            <w:vAlign w:val="center"/>
            <w:hideMark/>
          </w:tcPr>
          <w:p w14:paraId="5E3EF9F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 (0.1%)</w:t>
            </w:r>
          </w:p>
        </w:tc>
      </w:tr>
      <w:tr w:rsidR="00C8418F" w:rsidRPr="00DC3283" w14:paraId="208FED39" w14:textId="77777777" w:rsidTr="002C63E9">
        <w:trPr>
          <w:trHeight w:val="315"/>
        </w:trPr>
        <w:tc>
          <w:tcPr>
            <w:tcW w:w="1091" w:type="pct"/>
            <w:vMerge w:val="restart"/>
            <w:tcBorders>
              <w:top w:val="nil"/>
              <w:left w:val="single" w:sz="4" w:space="0" w:color="auto"/>
              <w:bottom w:val="single" w:sz="8" w:space="0" w:color="000000"/>
              <w:right w:val="single" w:sz="8" w:space="0" w:color="auto"/>
            </w:tcBorders>
            <w:shd w:val="clear" w:color="000000" w:fill="E7E6E6"/>
            <w:noWrap/>
            <w:vAlign w:val="center"/>
            <w:hideMark/>
          </w:tcPr>
          <w:p w14:paraId="01B12E37"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WOMEN</w:t>
            </w:r>
          </w:p>
        </w:tc>
        <w:tc>
          <w:tcPr>
            <w:tcW w:w="550" w:type="pct"/>
            <w:tcBorders>
              <w:top w:val="nil"/>
              <w:left w:val="nil"/>
              <w:bottom w:val="nil"/>
              <w:right w:val="nil"/>
            </w:tcBorders>
            <w:shd w:val="clear" w:color="000000" w:fill="E7E6E6"/>
            <w:vAlign w:val="center"/>
            <w:hideMark/>
          </w:tcPr>
          <w:p w14:paraId="0546AA02"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02F4C0C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02949004"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50" w:type="pct"/>
            <w:tcBorders>
              <w:top w:val="nil"/>
              <w:left w:val="nil"/>
              <w:bottom w:val="nil"/>
              <w:right w:val="single" w:sz="8" w:space="0" w:color="auto"/>
            </w:tcBorders>
            <w:shd w:val="clear" w:color="000000" w:fill="E7E6E6"/>
            <w:vAlign w:val="center"/>
            <w:hideMark/>
          </w:tcPr>
          <w:p w14:paraId="1865AC1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c>
          <w:tcPr>
            <w:tcW w:w="550" w:type="pct"/>
            <w:tcBorders>
              <w:top w:val="nil"/>
              <w:left w:val="nil"/>
              <w:bottom w:val="nil"/>
              <w:right w:val="nil"/>
            </w:tcBorders>
            <w:shd w:val="clear" w:color="000000" w:fill="E7E6E6"/>
            <w:vAlign w:val="center"/>
            <w:hideMark/>
          </w:tcPr>
          <w:p w14:paraId="0F87F8F6"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6E66B9A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75ED8B1B"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49" w:type="pct"/>
            <w:tcBorders>
              <w:top w:val="nil"/>
              <w:left w:val="nil"/>
              <w:bottom w:val="nil"/>
              <w:right w:val="single" w:sz="4" w:space="0" w:color="auto"/>
            </w:tcBorders>
            <w:shd w:val="clear" w:color="000000" w:fill="E7E6E6"/>
            <w:vAlign w:val="center"/>
            <w:hideMark/>
          </w:tcPr>
          <w:p w14:paraId="34FE730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r>
      <w:tr w:rsidR="00C8418F" w:rsidRPr="00DC3283" w14:paraId="1039A745" w14:textId="77777777" w:rsidTr="002C63E9">
        <w:trPr>
          <w:trHeight w:val="315"/>
        </w:trPr>
        <w:tc>
          <w:tcPr>
            <w:tcW w:w="1091" w:type="pct"/>
            <w:vMerge/>
            <w:tcBorders>
              <w:top w:val="nil"/>
              <w:left w:val="single" w:sz="4" w:space="0" w:color="auto"/>
              <w:bottom w:val="single" w:sz="8" w:space="0" w:color="000000"/>
              <w:right w:val="single" w:sz="8" w:space="0" w:color="auto"/>
            </w:tcBorders>
            <w:vAlign w:val="center"/>
            <w:hideMark/>
          </w:tcPr>
          <w:p w14:paraId="4C8C6C16"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p>
        </w:tc>
        <w:tc>
          <w:tcPr>
            <w:tcW w:w="550" w:type="pct"/>
            <w:tcBorders>
              <w:top w:val="nil"/>
              <w:left w:val="nil"/>
              <w:bottom w:val="single" w:sz="8" w:space="0" w:color="000000"/>
              <w:right w:val="nil"/>
            </w:tcBorders>
            <w:shd w:val="clear" w:color="000000" w:fill="E7E6E6"/>
            <w:vAlign w:val="center"/>
            <w:hideMark/>
          </w:tcPr>
          <w:p w14:paraId="421B73AA"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(N=37079)</w:t>
            </w:r>
          </w:p>
        </w:tc>
        <w:tc>
          <w:tcPr>
            <w:tcW w:w="550" w:type="pct"/>
            <w:tcBorders>
              <w:top w:val="nil"/>
              <w:left w:val="nil"/>
              <w:bottom w:val="single" w:sz="8" w:space="0" w:color="000000"/>
              <w:right w:val="nil"/>
            </w:tcBorders>
            <w:shd w:val="clear" w:color="000000" w:fill="E7E6E6"/>
            <w:vAlign w:val="center"/>
            <w:hideMark/>
          </w:tcPr>
          <w:p w14:paraId="32311B46"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(N=12051)</w:t>
            </w:r>
          </w:p>
        </w:tc>
        <w:tc>
          <w:tcPr>
            <w:tcW w:w="305" w:type="pct"/>
            <w:tcBorders>
              <w:top w:val="nil"/>
              <w:left w:val="nil"/>
              <w:bottom w:val="single" w:sz="8" w:space="0" w:color="000000"/>
              <w:right w:val="nil"/>
            </w:tcBorders>
            <w:shd w:val="clear" w:color="000000" w:fill="E7E6E6"/>
            <w:vAlign w:val="center"/>
            <w:hideMark/>
          </w:tcPr>
          <w:p w14:paraId="20F0101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 </w:t>
            </w:r>
          </w:p>
        </w:tc>
        <w:tc>
          <w:tcPr>
            <w:tcW w:w="550" w:type="pct"/>
            <w:tcBorders>
              <w:top w:val="nil"/>
              <w:left w:val="nil"/>
              <w:bottom w:val="single" w:sz="8" w:space="0" w:color="000000"/>
              <w:right w:val="single" w:sz="8" w:space="0" w:color="auto"/>
            </w:tcBorders>
            <w:shd w:val="clear" w:color="000000" w:fill="E7E6E6"/>
            <w:vAlign w:val="center"/>
            <w:hideMark/>
          </w:tcPr>
          <w:p w14:paraId="34A61D05"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(N=49130)</w:t>
            </w:r>
          </w:p>
        </w:tc>
        <w:tc>
          <w:tcPr>
            <w:tcW w:w="550" w:type="pct"/>
            <w:tcBorders>
              <w:top w:val="nil"/>
              <w:left w:val="nil"/>
              <w:bottom w:val="single" w:sz="8" w:space="0" w:color="000000"/>
              <w:right w:val="nil"/>
            </w:tcBorders>
            <w:shd w:val="clear" w:color="000000" w:fill="E7E6E6"/>
            <w:vAlign w:val="center"/>
            <w:hideMark/>
          </w:tcPr>
          <w:p w14:paraId="63B41A6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(N=77422)</w:t>
            </w:r>
          </w:p>
        </w:tc>
        <w:tc>
          <w:tcPr>
            <w:tcW w:w="550" w:type="pct"/>
            <w:tcBorders>
              <w:top w:val="nil"/>
              <w:left w:val="nil"/>
              <w:bottom w:val="single" w:sz="8" w:space="0" w:color="000000"/>
              <w:right w:val="nil"/>
            </w:tcBorders>
            <w:shd w:val="clear" w:color="000000" w:fill="E7E6E6"/>
            <w:vAlign w:val="center"/>
            <w:hideMark/>
          </w:tcPr>
          <w:p w14:paraId="0F6626EF"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(N=26164)</w:t>
            </w:r>
          </w:p>
        </w:tc>
        <w:tc>
          <w:tcPr>
            <w:tcW w:w="305" w:type="pct"/>
            <w:tcBorders>
              <w:top w:val="nil"/>
              <w:left w:val="nil"/>
              <w:bottom w:val="single" w:sz="8" w:space="0" w:color="000000"/>
              <w:right w:val="nil"/>
            </w:tcBorders>
            <w:shd w:val="clear" w:color="000000" w:fill="E7E6E6"/>
            <w:vAlign w:val="center"/>
            <w:hideMark/>
          </w:tcPr>
          <w:p w14:paraId="5CF04ACE"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 </w:t>
            </w:r>
          </w:p>
        </w:tc>
        <w:tc>
          <w:tcPr>
            <w:tcW w:w="549" w:type="pct"/>
            <w:tcBorders>
              <w:top w:val="nil"/>
              <w:left w:val="nil"/>
              <w:bottom w:val="single" w:sz="8" w:space="0" w:color="000000"/>
              <w:right w:val="single" w:sz="4" w:space="0" w:color="auto"/>
            </w:tcBorders>
            <w:shd w:val="clear" w:color="000000" w:fill="E7E6E6"/>
            <w:vAlign w:val="center"/>
            <w:hideMark/>
          </w:tcPr>
          <w:p w14:paraId="0972B295"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(N=103586)</w:t>
            </w:r>
          </w:p>
        </w:tc>
      </w:tr>
      <w:tr w:rsidR="00DA1572" w:rsidRPr="00DC3283" w14:paraId="673D499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ED2AAD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Age (years)</w:t>
            </w:r>
          </w:p>
        </w:tc>
        <w:tc>
          <w:tcPr>
            <w:tcW w:w="550" w:type="pct"/>
            <w:tcBorders>
              <w:top w:val="nil"/>
              <w:left w:val="nil"/>
              <w:bottom w:val="nil"/>
              <w:right w:val="nil"/>
            </w:tcBorders>
            <w:shd w:val="clear" w:color="000000" w:fill="FFFFFF"/>
            <w:noWrap/>
            <w:vAlign w:val="center"/>
            <w:hideMark/>
          </w:tcPr>
          <w:p w14:paraId="42F059A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9AC8F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C0F92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C6D246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21ABB1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6875C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1FD5EC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02ADB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2D1E5F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53BF9F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Mean (SD)</w:t>
            </w:r>
          </w:p>
        </w:tc>
        <w:tc>
          <w:tcPr>
            <w:tcW w:w="550" w:type="pct"/>
            <w:tcBorders>
              <w:top w:val="nil"/>
              <w:left w:val="nil"/>
              <w:bottom w:val="nil"/>
              <w:right w:val="nil"/>
            </w:tcBorders>
            <w:shd w:val="clear" w:color="000000" w:fill="FFFFFF"/>
            <w:noWrap/>
            <w:vAlign w:val="center"/>
            <w:hideMark/>
          </w:tcPr>
          <w:p w14:paraId="58F1851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49.5 (17.0)</w:t>
            </w:r>
          </w:p>
        </w:tc>
        <w:tc>
          <w:tcPr>
            <w:tcW w:w="550" w:type="pct"/>
            <w:tcBorders>
              <w:top w:val="nil"/>
              <w:left w:val="nil"/>
              <w:bottom w:val="nil"/>
              <w:right w:val="nil"/>
            </w:tcBorders>
            <w:shd w:val="clear" w:color="000000" w:fill="FFFFFF"/>
            <w:noWrap/>
            <w:vAlign w:val="center"/>
            <w:hideMark/>
          </w:tcPr>
          <w:p w14:paraId="448AE5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49.7 (17.2)</w:t>
            </w:r>
          </w:p>
        </w:tc>
        <w:tc>
          <w:tcPr>
            <w:tcW w:w="305" w:type="pct"/>
            <w:tcBorders>
              <w:top w:val="nil"/>
              <w:left w:val="nil"/>
              <w:bottom w:val="nil"/>
              <w:right w:val="nil"/>
            </w:tcBorders>
            <w:shd w:val="clear" w:color="000000" w:fill="FFFFFF"/>
            <w:noWrap/>
            <w:vAlign w:val="center"/>
            <w:hideMark/>
          </w:tcPr>
          <w:p w14:paraId="1F94F5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0.313</w:t>
            </w:r>
          </w:p>
        </w:tc>
        <w:tc>
          <w:tcPr>
            <w:tcW w:w="550" w:type="pct"/>
            <w:tcBorders>
              <w:top w:val="nil"/>
              <w:left w:val="nil"/>
              <w:bottom w:val="nil"/>
              <w:right w:val="single" w:sz="8" w:space="0" w:color="auto"/>
            </w:tcBorders>
            <w:shd w:val="clear" w:color="000000" w:fill="FFFFFF"/>
            <w:noWrap/>
            <w:vAlign w:val="center"/>
            <w:hideMark/>
          </w:tcPr>
          <w:p w14:paraId="30A7111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49.6 (17.0)</w:t>
            </w:r>
          </w:p>
        </w:tc>
        <w:tc>
          <w:tcPr>
            <w:tcW w:w="550" w:type="pct"/>
            <w:tcBorders>
              <w:top w:val="nil"/>
              <w:left w:val="nil"/>
              <w:bottom w:val="nil"/>
              <w:right w:val="nil"/>
            </w:tcBorders>
            <w:shd w:val="clear" w:color="000000" w:fill="FFFFFF"/>
            <w:noWrap/>
            <w:vAlign w:val="center"/>
            <w:hideMark/>
          </w:tcPr>
          <w:p w14:paraId="14487C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48.5 (17.0)</w:t>
            </w:r>
          </w:p>
        </w:tc>
        <w:tc>
          <w:tcPr>
            <w:tcW w:w="550" w:type="pct"/>
            <w:tcBorders>
              <w:top w:val="nil"/>
              <w:left w:val="nil"/>
              <w:bottom w:val="nil"/>
              <w:right w:val="nil"/>
            </w:tcBorders>
            <w:shd w:val="clear" w:color="000000" w:fill="FFFFFF"/>
            <w:noWrap/>
            <w:vAlign w:val="center"/>
            <w:hideMark/>
          </w:tcPr>
          <w:p w14:paraId="3BE0C51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47.4 (17.6)</w:t>
            </w:r>
          </w:p>
        </w:tc>
        <w:tc>
          <w:tcPr>
            <w:tcW w:w="305" w:type="pct"/>
            <w:tcBorders>
              <w:top w:val="nil"/>
              <w:left w:val="nil"/>
              <w:bottom w:val="nil"/>
              <w:right w:val="nil"/>
            </w:tcBorders>
            <w:shd w:val="clear" w:color="000000" w:fill="FFFFFF"/>
            <w:noWrap/>
            <w:vAlign w:val="center"/>
            <w:hideMark/>
          </w:tcPr>
          <w:p w14:paraId="38F6A09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87C47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48.2 (17.2)</w:t>
            </w:r>
          </w:p>
        </w:tc>
      </w:tr>
      <w:tr w:rsidR="00DA1572" w:rsidRPr="00DC3283" w14:paraId="425BD6E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970AE6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Median [Min, Max]</w:t>
            </w:r>
          </w:p>
        </w:tc>
        <w:tc>
          <w:tcPr>
            <w:tcW w:w="550" w:type="pct"/>
            <w:tcBorders>
              <w:top w:val="nil"/>
              <w:left w:val="nil"/>
              <w:bottom w:val="nil"/>
              <w:right w:val="nil"/>
            </w:tcBorders>
            <w:shd w:val="clear" w:color="000000" w:fill="FFFFFF"/>
            <w:noWrap/>
            <w:vAlign w:val="center"/>
            <w:hideMark/>
          </w:tcPr>
          <w:p w14:paraId="02DF14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49.0 [18.0, 111]</w:t>
            </w:r>
          </w:p>
        </w:tc>
        <w:tc>
          <w:tcPr>
            <w:tcW w:w="550" w:type="pct"/>
            <w:tcBorders>
              <w:top w:val="nil"/>
              <w:left w:val="nil"/>
              <w:bottom w:val="nil"/>
              <w:right w:val="nil"/>
            </w:tcBorders>
            <w:shd w:val="clear" w:color="000000" w:fill="FFFFFF"/>
            <w:noWrap/>
            <w:vAlign w:val="center"/>
            <w:hideMark/>
          </w:tcPr>
          <w:p w14:paraId="4330274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49.0 [18.0, 104]</w:t>
            </w:r>
          </w:p>
        </w:tc>
        <w:tc>
          <w:tcPr>
            <w:tcW w:w="305" w:type="pct"/>
            <w:tcBorders>
              <w:top w:val="nil"/>
              <w:left w:val="nil"/>
              <w:bottom w:val="nil"/>
              <w:right w:val="nil"/>
            </w:tcBorders>
            <w:shd w:val="clear" w:color="000000" w:fill="FFFFFF"/>
            <w:noWrap/>
            <w:vAlign w:val="center"/>
            <w:hideMark/>
          </w:tcPr>
          <w:p w14:paraId="29604D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E807B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49.0 [18.0, 111]</w:t>
            </w:r>
          </w:p>
        </w:tc>
        <w:tc>
          <w:tcPr>
            <w:tcW w:w="550" w:type="pct"/>
            <w:tcBorders>
              <w:top w:val="nil"/>
              <w:left w:val="nil"/>
              <w:bottom w:val="nil"/>
              <w:right w:val="nil"/>
            </w:tcBorders>
            <w:shd w:val="clear" w:color="000000" w:fill="FFFFFF"/>
            <w:noWrap/>
            <w:vAlign w:val="center"/>
            <w:hideMark/>
          </w:tcPr>
          <w:p w14:paraId="520AC82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47.0 [18.0, 108]</w:t>
            </w:r>
          </w:p>
        </w:tc>
        <w:tc>
          <w:tcPr>
            <w:tcW w:w="550" w:type="pct"/>
            <w:tcBorders>
              <w:top w:val="nil"/>
              <w:left w:val="nil"/>
              <w:bottom w:val="nil"/>
              <w:right w:val="nil"/>
            </w:tcBorders>
            <w:shd w:val="clear" w:color="000000" w:fill="FFFFFF"/>
            <w:noWrap/>
            <w:vAlign w:val="center"/>
            <w:hideMark/>
          </w:tcPr>
          <w:p w14:paraId="02AD60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46.0 [18.0, 99.0]</w:t>
            </w:r>
          </w:p>
        </w:tc>
        <w:tc>
          <w:tcPr>
            <w:tcW w:w="305" w:type="pct"/>
            <w:tcBorders>
              <w:top w:val="nil"/>
              <w:left w:val="nil"/>
              <w:bottom w:val="nil"/>
              <w:right w:val="nil"/>
            </w:tcBorders>
            <w:shd w:val="clear" w:color="000000" w:fill="FFFFFF"/>
            <w:noWrap/>
            <w:vAlign w:val="center"/>
            <w:hideMark/>
          </w:tcPr>
          <w:p w14:paraId="506584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1A2EC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47.0 [18.0, 108]</w:t>
            </w:r>
          </w:p>
        </w:tc>
      </w:tr>
      <w:tr w:rsidR="00DA1572" w:rsidRPr="00DC3283" w14:paraId="2009DAC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84FC7D6"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Ethnicity</w:t>
            </w:r>
          </w:p>
        </w:tc>
        <w:tc>
          <w:tcPr>
            <w:tcW w:w="550" w:type="pct"/>
            <w:tcBorders>
              <w:top w:val="nil"/>
              <w:left w:val="nil"/>
              <w:bottom w:val="nil"/>
              <w:right w:val="nil"/>
            </w:tcBorders>
            <w:shd w:val="clear" w:color="000000" w:fill="FFFFFF"/>
            <w:noWrap/>
            <w:vAlign w:val="center"/>
            <w:hideMark/>
          </w:tcPr>
          <w:p w14:paraId="07B242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CBC2E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A543EE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CFF15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0F2C9D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D36C5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947864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7F729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4CB7D6D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51A11CE"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Non-white</w:t>
            </w:r>
          </w:p>
        </w:tc>
        <w:tc>
          <w:tcPr>
            <w:tcW w:w="550" w:type="pct"/>
            <w:tcBorders>
              <w:top w:val="nil"/>
              <w:left w:val="nil"/>
              <w:bottom w:val="nil"/>
              <w:right w:val="nil"/>
            </w:tcBorders>
            <w:shd w:val="clear" w:color="000000" w:fill="FFFFFF"/>
            <w:noWrap/>
            <w:vAlign w:val="center"/>
            <w:hideMark/>
          </w:tcPr>
          <w:p w14:paraId="4429D0B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807 (2.2%)</w:t>
            </w:r>
          </w:p>
        </w:tc>
        <w:tc>
          <w:tcPr>
            <w:tcW w:w="550" w:type="pct"/>
            <w:tcBorders>
              <w:top w:val="nil"/>
              <w:left w:val="nil"/>
              <w:bottom w:val="nil"/>
              <w:right w:val="nil"/>
            </w:tcBorders>
            <w:shd w:val="clear" w:color="000000" w:fill="FFFFFF"/>
            <w:noWrap/>
            <w:vAlign w:val="center"/>
            <w:hideMark/>
          </w:tcPr>
          <w:p w14:paraId="133813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212 (1.8%)</w:t>
            </w:r>
          </w:p>
        </w:tc>
        <w:tc>
          <w:tcPr>
            <w:tcW w:w="305" w:type="pct"/>
            <w:tcBorders>
              <w:top w:val="nil"/>
              <w:left w:val="nil"/>
              <w:bottom w:val="nil"/>
              <w:right w:val="nil"/>
            </w:tcBorders>
            <w:shd w:val="clear" w:color="000000" w:fill="FFFFFF"/>
            <w:noWrap/>
            <w:vAlign w:val="center"/>
            <w:hideMark/>
          </w:tcPr>
          <w:p w14:paraId="6959C9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48D273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1019 (2.1%)</w:t>
            </w:r>
          </w:p>
        </w:tc>
        <w:tc>
          <w:tcPr>
            <w:tcW w:w="550" w:type="pct"/>
            <w:tcBorders>
              <w:top w:val="nil"/>
              <w:left w:val="nil"/>
              <w:bottom w:val="nil"/>
              <w:right w:val="nil"/>
            </w:tcBorders>
            <w:shd w:val="clear" w:color="000000" w:fill="FFFFFF"/>
            <w:noWrap/>
            <w:vAlign w:val="center"/>
            <w:hideMark/>
          </w:tcPr>
          <w:p w14:paraId="2625DC9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1262 (1.6%)</w:t>
            </w:r>
          </w:p>
        </w:tc>
        <w:tc>
          <w:tcPr>
            <w:tcW w:w="550" w:type="pct"/>
            <w:tcBorders>
              <w:top w:val="nil"/>
              <w:left w:val="nil"/>
              <w:bottom w:val="nil"/>
              <w:right w:val="nil"/>
            </w:tcBorders>
            <w:shd w:val="clear" w:color="000000" w:fill="FFFFFF"/>
            <w:noWrap/>
            <w:vAlign w:val="center"/>
            <w:hideMark/>
          </w:tcPr>
          <w:p w14:paraId="158D74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399 (1.5%)</w:t>
            </w:r>
          </w:p>
        </w:tc>
        <w:tc>
          <w:tcPr>
            <w:tcW w:w="305" w:type="pct"/>
            <w:tcBorders>
              <w:top w:val="nil"/>
              <w:left w:val="nil"/>
              <w:bottom w:val="nil"/>
              <w:right w:val="nil"/>
            </w:tcBorders>
            <w:shd w:val="clear" w:color="000000" w:fill="FFFFFF"/>
            <w:noWrap/>
            <w:vAlign w:val="center"/>
            <w:hideMark/>
          </w:tcPr>
          <w:p w14:paraId="6EB5DAE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19B452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1661 (1.6%)</w:t>
            </w:r>
          </w:p>
        </w:tc>
      </w:tr>
      <w:tr w:rsidR="00DA1572" w:rsidRPr="00DC3283" w14:paraId="447E494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3B98D0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White</w:t>
            </w:r>
          </w:p>
        </w:tc>
        <w:tc>
          <w:tcPr>
            <w:tcW w:w="550" w:type="pct"/>
            <w:tcBorders>
              <w:top w:val="nil"/>
              <w:left w:val="nil"/>
              <w:bottom w:val="nil"/>
              <w:right w:val="nil"/>
            </w:tcBorders>
            <w:shd w:val="clear" w:color="000000" w:fill="FFFFFF"/>
            <w:noWrap/>
            <w:vAlign w:val="center"/>
            <w:hideMark/>
          </w:tcPr>
          <w:p w14:paraId="40645C1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12286 (33.1%)</w:t>
            </w:r>
          </w:p>
        </w:tc>
        <w:tc>
          <w:tcPr>
            <w:tcW w:w="550" w:type="pct"/>
            <w:tcBorders>
              <w:top w:val="nil"/>
              <w:left w:val="nil"/>
              <w:bottom w:val="nil"/>
              <w:right w:val="nil"/>
            </w:tcBorders>
            <w:shd w:val="clear" w:color="000000" w:fill="FFFFFF"/>
            <w:noWrap/>
            <w:vAlign w:val="center"/>
            <w:hideMark/>
          </w:tcPr>
          <w:p w14:paraId="652D1B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4612 (38.3%)</w:t>
            </w:r>
          </w:p>
        </w:tc>
        <w:tc>
          <w:tcPr>
            <w:tcW w:w="305" w:type="pct"/>
            <w:tcBorders>
              <w:top w:val="nil"/>
              <w:left w:val="nil"/>
              <w:bottom w:val="nil"/>
              <w:right w:val="nil"/>
            </w:tcBorders>
            <w:shd w:val="clear" w:color="000000" w:fill="FFFFFF"/>
            <w:noWrap/>
            <w:vAlign w:val="center"/>
            <w:hideMark/>
          </w:tcPr>
          <w:p w14:paraId="0E8596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5E22C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16898 (34.4%)</w:t>
            </w:r>
          </w:p>
        </w:tc>
        <w:tc>
          <w:tcPr>
            <w:tcW w:w="550" w:type="pct"/>
            <w:tcBorders>
              <w:top w:val="nil"/>
              <w:left w:val="nil"/>
              <w:bottom w:val="nil"/>
              <w:right w:val="nil"/>
            </w:tcBorders>
            <w:shd w:val="clear" w:color="000000" w:fill="FFFFFF"/>
            <w:noWrap/>
            <w:vAlign w:val="center"/>
            <w:hideMark/>
          </w:tcPr>
          <w:p w14:paraId="40DBCC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11210 (14.5%)</w:t>
            </w:r>
          </w:p>
        </w:tc>
        <w:tc>
          <w:tcPr>
            <w:tcW w:w="550" w:type="pct"/>
            <w:tcBorders>
              <w:top w:val="nil"/>
              <w:left w:val="nil"/>
              <w:bottom w:val="nil"/>
              <w:right w:val="nil"/>
            </w:tcBorders>
            <w:shd w:val="clear" w:color="000000" w:fill="FFFFFF"/>
            <w:noWrap/>
            <w:vAlign w:val="center"/>
            <w:hideMark/>
          </w:tcPr>
          <w:p w14:paraId="4B44AC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4496 (17.2%)</w:t>
            </w:r>
          </w:p>
        </w:tc>
        <w:tc>
          <w:tcPr>
            <w:tcW w:w="305" w:type="pct"/>
            <w:tcBorders>
              <w:top w:val="nil"/>
              <w:left w:val="nil"/>
              <w:bottom w:val="nil"/>
              <w:right w:val="nil"/>
            </w:tcBorders>
            <w:shd w:val="clear" w:color="000000" w:fill="FFFFFF"/>
            <w:noWrap/>
            <w:vAlign w:val="center"/>
            <w:hideMark/>
          </w:tcPr>
          <w:p w14:paraId="24ABB5E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A6F22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15706 (15.2%)</w:t>
            </w:r>
          </w:p>
        </w:tc>
      </w:tr>
      <w:tr w:rsidR="00DA1572" w:rsidRPr="00DC3283" w14:paraId="6AFE84A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BCED09C"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0825CF0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23986 (64.7%)</w:t>
            </w:r>
          </w:p>
        </w:tc>
        <w:tc>
          <w:tcPr>
            <w:tcW w:w="550" w:type="pct"/>
            <w:tcBorders>
              <w:top w:val="nil"/>
              <w:left w:val="nil"/>
              <w:bottom w:val="nil"/>
              <w:right w:val="nil"/>
            </w:tcBorders>
            <w:shd w:val="clear" w:color="000000" w:fill="FFFFFF"/>
            <w:noWrap/>
            <w:vAlign w:val="center"/>
            <w:hideMark/>
          </w:tcPr>
          <w:p w14:paraId="2D834D8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7227 (60.0%)</w:t>
            </w:r>
          </w:p>
        </w:tc>
        <w:tc>
          <w:tcPr>
            <w:tcW w:w="305" w:type="pct"/>
            <w:tcBorders>
              <w:top w:val="nil"/>
              <w:left w:val="nil"/>
              <w:bottom w:val="nil"/>
              <w:right w:val="nil"/>
            </w:tcBorders>
            <w:shd w:val="clear" w:color="000000" w:fill="FFFFFF"/>
            <w:noWrap/>
            <w:vAlign w:val="center"/>
            <w:hideMark/>
          </w:tcPr>
          <w:p w14:paraId="2141162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8FC54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31213 (63.5%)</w:t>
            </w:r>
          </w:p>
        </w:tc>
        <w:tc>
          <w:tcPr>
            <w:tcW w:w="550" w:type="pct"/>
            <w:tcBorders>
              <w:top w:val="nil"/>
              <w:left w:val="nil"/>
              <w:bottom w:val="nil"/>
              <w:right w:val="nil"/>
            </w:tcBorders>
            <w:shd w:val="clear" w:color="000000" w:fill="FFFFFF"/>
            <w:noWrap/>
            <w:vAlign w:val="center"/>
            <w:hideMark/>
          </w:tcPr>
          <w:p w14:paraId="633BD2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64950 (83.9%)</w:t>
            </w:r>
          </w:p>
        </w:tc>
        <w:tc>
          <w:tcPr>
            <w:tcW w:w="550" w:type="pct"/>
            <w:tcBorders>
              <w:top w:val="nil"/>
              <w:left w:val="nil"/>
              <w:bottom w:val="nil"/>
              <w:right w:val="nil"/>
            </w:tcBorders>
            <w:shd w:val="clear" w:color="000000" w:fill="FFFFFF"/>
            <w:noWrap/>
            <w:vAlign w:val="center"/>
            <w:hideMark/>
          </w:tcPr>
          <w:p w14:paraId="091252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21269 (81.3%)</w:t>
            </w:r>
          </w:p>
        </w:tc>
        <w:tc>
          <w:tcPr>
            <w:tcW w:w="305" w:type="pct"/>
            <w:tcBorders>
              <w:top w:val="nil"/>
              <w:left w:val="nil"/>
              <w:bottom w:val="nil"/>
              <w:right w:val="nil"/>
            </w:tcBorders>
            <w:shd w:val="clear" w:color="000000" w:fill="FFFFFF"/>
            <w:noWrap/>
            <w:vAlign w:val="center"/>
            <w:hideMark/>
          </w:tcPr>
          <w:p w14:paraId="1EFA48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2B4BE8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86219 (83.2%)</w:t>
            </w:r>
          </w:p>
        </w:tc>
      </w:tr>
      <w:tr w:rsidR="00DA1572" w:rsidRPr="00DC3283" w14:paraId="7C60A6C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134EB2B"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Deprivation (IMD 2015 quintiles)</w:t>
            </w:r>
          </w:p>
        </w:tc>
        <w:tc>
          <w:tcPr>
            <w:tcW w:w="550" w:type="pct"/>
            <w:tcBorders>
              <w:top w:val="nil"/>
              <w:left w:val="nil"/>
              <w:bottom w:val="nil"/>
              <w:right w:val="nil"/>
            </w:tcBorders>
            <w:shd w:val="clear" w:color="000000" w:fill="FFFFFF"/>
            <w:noWrap/>
            <w:vAlign w:val="center"/>
            <w:hideMark/>
          </w:tcPr>
          <w:p w14:paraId="262EA70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6CA087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FB47A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9CE569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BDC403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B9826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704BA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B6F6A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2683433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2EA8FE3"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w:t>
            </w:r>
          </w:p>
        </w:tc>
        <w:tc>
          <w:tcPr>
            <w:tcW w:w="550" w:type="pct"/>
            <w:tcBorders>
              <w:top w:val="nil"/>
              <w:left w:val="nil"/>
              <w:bottom w:val="nil"/>
              <w:right w:val="nil"/>
            </w:tcBorders>
            <w:shd w:val="clear" w:color="000000" w:fill="FFFFFF"/>
            <w:noWrap/>
            <w:vAlign w:val="center"/>
            <w:hideMark/>
          </w:tcPr>
          <w:p w14:paraId="1B9EB37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3199 (8.6%)</w:t>
            </w:r>
          </w:p>
        </w:tc>
        <w:tc>
          <w:tcPr>
            <w:tcW w:w="550" w:type="pct"/>
            <w:tcBorders>
              <w:top w:val="nil"/>
              <w:left w:val="nil"/>
              <w:bottom w:val="nil"/>
              <w:right w:val="nil"/>
            </w:tcBorders>
            <w:shd w:val="clear" w:color="000000" w:fill="FFFFFF"/>
            <w:noWrap/>
            <w:vAlign w:val="center"/>
            <w:hideMark/>
          </w:tcPr>
          <w:p w14:paraId="325862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1262 (10.5%)</w:t>
            </w:r>
          </w:p>
        </w:tc>
        <w:tc>
          <w:tcPr>
            <w:tcW w:w="305" w:type="pct"/>
            <w:tcBorders>
              <w:top w:val="nil"/>
              <w:left w:val="nil"/>
              <w:bottom w:val="nil"/>
              <w:right w:val="nil"/>
            </w:tcBorders>
            <w:shd w:val="clear" w:color="000000" w:fill="FFFFFF"/>
            <w:noWrap/>
            <w:vAlign w:val="center"/>
            <w:hideMark/>
          </w:tcPr>
          <w:p w14:paraId="03C6D8A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0.174</w:t>
            </w:r>
          </w:p>
        </w:tc>
        <w:tc>
          <w:tcPr>
            <w:tcW w:w="550" w:type="pct"/>
            <w:tcBorders>
              <w:top w:val="nil"/>
              <w:left w:val="nil"/>
              <w:bottom w:val="nil"/>
              <w:right w:val="single" w:sz="8" w:space="0" w:color="auto"/>
            </w:tcBorders>
            <w:shd w:val="clear" w:color="000000" w:fill="FFFFFF"/>
            <w:noWrap/>
            <w:vAlign w:val="center"/>
            <w:hideMark/>
          </w:tcPr>
          <w:p w14:paraId="7E71916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4461 (9.1%)</w:t>
            </w:r>
          </w:p>
        </w:tc>
        <w:tc>
          <w:tcPr>
            <w:tcW w:w="550" w:type="pct"/>
            <w:tcBorders>
              <w:top w:val="nil"/>
              <w:left w:val="nil"/>
              <w:bottom w:val="nil"/>
              <w:right w:val="nil"/>
            </w:tcBorders>
            <w:shd w:val="clear" w:color="000000" w:fill="FFFFFF"/>
            <w:noWrap/>
            <w:vAlign w:val="center"/>
            <w:hideMark/>
          </w:tcPr>
          <w:p w14:paraId="65E4BC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4255 (5.5%)</w:t>
            </w:r>
          </w:p>
        </w:tc>
        <w:tc>
          <w:tcPr>
            <w:tcW w:w="550" w:type="pct"/>
            <w:tcBorders>
              <w:top w:val="nil"/>
              <w:left w:val="nil"/>
              <w:bottom w:val="nil"/>
              <w:right w:val="nil"/>
            </w:tcBorders>
            <w:shd w:val="clear" w:color="000000" w:fill="FFFFFF"/>
            <w:noWrap/>
            <w:vAlign w:val="center"/>
            <w:hideMark/>
          </w:tcPr>
          <w:p w14:paraId="1320FD8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1424 (5.4%)</w:t>
            </w:r>
          </w:p>
        </w:tc>
        <w:tc>
          <w:tcPr>
            <w:tcW w:w="305" w:type="pct"/>
            <w:tcBorders>
              <w:top w:val="nil"/>
              <w:left w:val="nil"/>
              <w:bottom w:val="nil"/>
              <w:right w:val="nil"/>
            </w:tcBorders>
            <w:shd w:val="clear" w:color="000000" w:fill="FFFFFF"/>
            <w:noWrap/>
            <w:vAlign w:val="center"/>
            <w:hideMark/>
          </w:tcPr>
          <w:p w14:paraId="73AAFB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0.276</w:t>
            </w:r>
          </w:p>
        </w:tc>
        <w:tc>
          <w:tcPr>
            <w:tcW w:w="549" w:type="pct"/>
            <w:tcBorders>
              <w:top w:val="nil"/>
              <w:left w:val="nil"/>
              <w:bottom w:val="nil"/>
              <w:right w:val="single" w:sz="4" w:space="0" w:color="auto"/>
            </w:tcBorders>
            <w:shd w:val="clear" w:color="000000" w:fill="FFFFFF"/>
            <w:noWrap/>
            <w:vAlign w:val="center"/>
            <w:hideMark/>
          </w:tcPr>
          <w:p w14:paraId="0175FD4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5679 (5.5%)</w:t>
            </w:r>
          </w:p>
        </w:tc>
      </w:tr>
      <w:tr w:rsidR="00DA1572" w:rsidRPr="00DC3283" w14:paraId="4F432FB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4B6A9CB"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w:t>
            </w:r>
          </w:p>
        </w:tc>
        <w:tc>
          <w:tcPr>
            <w:tcW w:w="550" w:type="pct"/>
            <w:tcBorders>
              <w:top w:val="nil"/>
              <w:left w:val="nil"/>
              <w:bottom w:val="nil"/>
              <w:right w:val="nil"/>
            </w:tcBorders>
            <w:shd w:val="clear" w:color="000000" w:fill="FFFFFF"/>
            <w:noWrap/>
            <w:vAlign w:val="center"/>
            <w:hideMark/>
          </w:tcPr>
          <w:p w14:paraId="3E9C85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2939 (7.9%)</w:t>
            </w:r>
          </w:p>
        </w:tc>
        <w:tc>
          <w:tcPr>
            <w:tcW w:w="550" w:type="pct"/>
            <w:tcBorders>
              <w:top w:val="nil"/>
              <w:left w:val="nil"/>
              <w:bottom w:val="nil"/>
              <w:right w:val="nil"/>
            </w:tcBorders>
            <w:shd w:val="clear" w:color="000000" w:fill="FFFFFF"/>
            <w:noWrap/>
            <w:vAlign w:val="center"/>
            <w:hideMark/>
          </w:tcPr>
          <w:p w14:paraId="15C15DD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1077 (8.9%)</w:t>
            </w:r>
          </w:p>
        </w:tc>
        <w:tc>
          <w:tcPr>
            <w:tcW w:w="305" w:type="pct"/>
            <w:tcBorders>
              <w:top w:val="nil"/>
              <w:left w:val="nil"/>
              <w:bottom w:val="nil"/>
              <w:right w:val="nil"/>
            </w:tcBorders>
            <w:shd w:val="clear" w:color="000000" w:fill="FFFFFF"/>
            <w:noWrap/>
            <w:vAlign w:val="center"/>
            <w:hideMark/>
          </w:tcPr>
          <w:p w14:paraId="363A83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DD204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4016 (8.2%)</w:t>
            </w:r>
          </w:p>
        </w:tc>
        <w:tc>
          <w:tcPr>
            <w:tcW w:w="550" w:type="pct"/>
            <w:tcBorders>
              <w:top w:val="nil"/>
              <w:left w:val="nil"/>
              <w:bottom w:val="nil"/>
              <w:right w:val="nil"/>
            </w:tcBorders>
            <w:shd w:val="clear" w:color="000000" w:fill="FFFFFF"/>
            <w:noWrap/>
            <w:vAlign w:val="center"/>
            <w:hideMark/>
          </w:tcPr>
          <w:p w14:paraId="7D0C62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3696 (4.8%)</w:t>
            </w:r>
          </w:p>
        </w:tc>
        <w:tc>
          <w:tcPr>
            <w:tcW w:w="550" w:type="pct"/>
            <w:tcBorders>
              <w:top w:val="nil"/>
              <w:left w:val="nil"/>
              <w:bottom w:val="nil"/>
              <w:right w:val="nil"/>
            </w:tcBorders>
            <w:shd w:val="clear" w:color="000000" w:fill="FFFFFF"/>
            <w:noWrap/>
            <w:vAlign w:val="center"/>
            <w:hideMark/>
          </w:tcPr>
          <w:p w14:paraId="5F3E2A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1254 (4.8%)</w:t>
            </w:r>
          </w:p>
        </w:tc>
        <w:tc>
          <w:tcPr>
            <w:tcW w:w="305" w:type="pct"/>
            <w:tcBorders>
              <w:top w:val="nil"/>
              <w:left w:val="nil"/>
              <w:bottom w:val="nil"/>
              <w:right w:val="nil"/>
            </w:tcBorders>
            <w:shd w:val="clear" w:color="000000" w:fill="FFFFFF"/>
            <w:noWrap/>
            <w:vAlign w:val="center"/>
            <w:hideMark/>
          </w:tcPr>
          <w:p w14:paraId="6EF138F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722DB4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4950 (4.8%)</w:t>
            </w:r>
          </w:p>
        </w:tc>
      </w:tr>
      <w:tr w:rsidR="00DA1572" w:rsidRPr="00DC3283" w14:paraId="7C2FF62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F89B7F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w:t>
            </w:r>
          </w:p>
        </w:tc>
        <w:tc>
          <w:tcPr>
            <w:tcW w:w="550" w:type="pct"/>
            <w:tcBorders>
              <w:top w:val="nil"/>
              <w:left w:val="nil"/>
              <w:bottom w:val="nil"/>
              <w:right w:val="nil"/>
            </w:tcBorders>
            <w:shd w:val="clear" w:color="000000" w:fill="FFFFFF"/>
            <w:noWrap/>
            <w:vAlign w:val="center"/>
            <w:hideMark/>
          </w:tcPr>
          <w:p w14:paraId="4164A6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2761 (7.4%)</w:t>
            </w:r>
          </w:p>
        </w:tc>
        <w:tc>
          <w:tcPr>
            <w:tcW w:w="550" w:type="pct"/>
            <w:tcBorders>
              <w:top w:val="nil"/>
              <w:left w:val="nil"/>
              <w:bottom w:val="nil"/>
              <w:right w:val="nil"/>
            </w:tcBorders>
            <w:shd w:val="clear" w:color="000000" w:fill="FFFFFF"/>
            <w:noWrap/>
            <w:vAlign w:val="center"/>
            <w:hideMark/>
          </w:tcPr>
          <w:p w14:paraId="4D63A9A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1001 (8.3%)</w:t>
            </w:r>
          </w:p>
        </w:tc>
        <w:tc>
          <w:tcPr>
            <w:tcW w:w="305" w:type="pct"/>
            <w:tcBorders>
              <w:top w:val="nil"/>
              <w:left w:val="nil"/>
              <w:bottom w:val="nil"/>
              <w:right w:val="nil"/>
            </w:tcBorders>
            <w:shd w:val="clear" w:color="000000" w:fill="FFFFFF"/>
            <w:noWrap/>
            <w:vAlign w:val="center"/>
            <w:hideMark/>
          </w:tcPr>
          <w:p w14:paraId="037085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EC3EF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3762 (7.7%)</w:t>
            </w:r>
          </w:p>
        </w:tc>
        <w:tc>
          <w:tcPr>
            <w:tcW w:w="550" w:type="pct"/>
            <w:tcBorders>
              <w:top w:val="nil"/>
              <w:left w:val="nil"/>
              <w:bottom w:val="nil"/>
              <w:right w:val="nil"/>
            </w:tcBorders>
            <w:shd w:val="clear" w:color="000000" w:fill="FFFFFF"/>
            <w:noWrap/>
            <w:vAlign w:val="center"/>
            <w:hideMark/>
          </w:tcPr>
          <w:p w14:paraId="0DBC2C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2975 (3.8%)</w:t>
            </w:r>
          </w:p>
        </w:tc>
        <w:tc>
          <w:tcPr>
            <w:tcW w:w="550" w:type="pct"/>
            <w:tcBorders>
              <w:top w:val="nil"/>
              <w:left w:val="nil"/>
              <w:bottom w:val="nil"/>
              <w:right w:val="nil"/>
            </w:tcBorders>
            <w:shd w:val="clear" w:color="000000" w:fill="FFFFFF"/>
            <w:noWrap/>
            <w:vAlign w:val="center"/>
            <w:hideMark/>
          </w:tcPr>
          <w:p w14:paraId="06FE54B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991 (3.8%)</w:t>
            </w:r>
          </w:p>
        </w:tc>
        <w:tc>
          <w:tcPr>
            <w:tcW w:w="305" w:type="pct"/>
            <w:tcBorders>
              <w:top w:val="nil"/>
              <w:left w:val="nil"/>
              <w:bottom w:val="nil"/>
              <w:right w:val="nil"/>
            </w:tcBorders>
            <w:shd w:val="clear" w:color="000000" w:fill="FFFFFF"/>
            <w:noWrap/>
            <w:vAlign w:val="center"/>
            <w:hideMark/>
          </w:tcPr>
          <w:p w14:paraId="66047F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5A37E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3966 (3.8%)</w:t>
            </w:r>
          </w:p>
        </w:tc>
      </w:tr>
      <w:tr w:rsidR="00DA1572" w:rsidRPr="00DC3283" w14:paraId="05D850A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703353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w:t>
            </w:r>
          </w:p>
        </w:tc>
        <w:tc>
          <w:tcPr>
            <w:tcW w:w="550" w:type="pct"/>
            <w:tcBorders>
              <w:top w:val="nil"/>
              <w:left w:val="nil"/>
              <w:bottom w:val="nil"/>
              <w:right w:val="nil"/>
            </w:tcBorders>
            <w:shd w:val="clear" w:color="000000" w:fill="FFFFFF"/>
            <w:noWrap/>
            <w:vAlign w:val="center"/>
            <w:hideMark/>
          </w:tcPr>
          <w:p w14:paraId="311E8E2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2292 (6.2%)</w:t>
            </w:r>
          </w:p>
        </w:tc>
        <w:tc>
          <w:tcPr>
            <w:tcW w:w="550" w:type="pct"/>
            <w:tcBorders>
              <w:top w:val="nil"/>
              <w:left w:val="nil"/>
              <w:bottom w:val="nil"/>
              <w:right w:val="nil"/>
            </w:tcBorders>
            <w:shd w:val="clear" w:color="000000" w:fill="FFFFFF"/>
            <w:noWrap/>
            <w:vAlign w:val="center"/>
            <w:hideMark/>
          </w:tcPr>
          <w:p w14:paraId="7C3F2C1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819 (6.8%)</w:t>
            </w:r>
          </w:p>
        </w:tc>
        <w:tc>
          <w:tcPr>
            <w:tcW w:w="305" w:type="pct"/>
            <w:tcBorders>
              <w:top w:val="nil"/>
              <w:left w:val="nil"/>
              <w:bottom w:val="nil"/>
              <w:right w:val="nil"/>
            </w:tcBorders>
            <w:shd w:val="clear" w:color="000000" w:fill="FFFFFF"/>
            <w:noWrap/>
            <w:vAlign w:val="center"/>
            <w:hideMark/>
          </w:tcPr>
          <w:p w14:paraId="1E8BD06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4C74CC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3111 (6.3%)</w:t>
            </w:r>
          </w:p>
        </w:tc>
        <w:tc>
          <w:tcPr>
            <w:tcW w:w="550" w:type="pct"/>
            <w:tcBorders>
              <w:top w:val="nil"/>
              <w:left w:val="nil"/>
              <w:bottom w:val="nil"/>
              <w:right w:val="nil"/>
            </w:tcBorders>
            <w:shd w:val="clear" w:color="000000" w:fill="FFFFFF"/>
            <w:noWrap/>
            <w:vAlign w:val="center"/>
            <w:hideMark/>
          </w:tcPr>
          <w:p w14:paraId="1CDA033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2642 (3.4%)</w:t>
            </w:r>
          </w:p>
        </w:tc>
        <w:tc>
          <w:tcPr>
            <w:tcW w:w="550" w:type="pct"/>
            <w:tcBorders>
              <w:top w:val="nil"/>
              <w:left w:val="nil"/>
              <w:bottom w:val="nil"/>
              <w:right w:val="nil"/>
            </w:tcBorders>
            <w:shd w:val="clear" w:color="000000" w:fill="FFFFFF"/>
            <w:noWrap/>
            <w:vAlign w:val="center"/>
            <w:hideMark/>
          </w:tcPr>
          <w:p w14:paraId="72BAAF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966 (3.7%)</w:t>
            </w:r>
          </w:p>
        </w:tc>
        <w:tc>
          <w:tcPr>
            <w:tcW w:w="305" w:type="pct"/>
            <w:tcBorders>
              <w:top w:val="nil"/>
              <w:left w:val="nil"/>
              <w:bottom w:val="nil"/>
              <w:right w:val="nil"/>
            </w:tcBorders>
            <w:shd w:val="clear" w:color="000000" w:fill="FFFFFF"/>
            <w:noWrap/>
            <w:vAlign w:val="center"/>
            <w:hideMark/>
          </w:tcPr>
          <w:p w14:paraId="7EDC22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E267EB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3608 (3.5%)</w:t>
            </w:r>
          </w:p>
        </w:tc>
      </w:tr>
      <w:tr w:rsidR="00DA1572" w:rsidRPr="00DC3283" w14:paraId="35AEC32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69B018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w:t>
            </w:r>
          </w:p>
        </w:tc>
        <w:tc>
          <w:tcPr>
            <w:tcW w:w="550" w:type="pct"/>
            <w:tcBorders>
              <w:top w:val="nil"/>
              <w:left w:val="nil"/>
              <w:bottom w:val="nil"/>
              <w:right w:val="nil"/>
            </w:tcBorders>
            <w:shd w:val="clear" w:color="000000" w:fill="FFFFFF"/>
            <w:noWrap/>
            <w:vAlign w:val="center"/>
            <w:hideMark/>
          </w:tcPr>
          <w:p w14:paraId="1395FF8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1902 (5.1%)</w:t>
            </w:r>
          </w:p>
        </w:tc>
        <w:tc>
          <w:tcPr>
            <w:tcW w:w="550" w:type="pct"/>
            <w:tcBorders>
              <w:top w:val="nil"/>
              <w:left w:val="nil"/>
              <w:bottom w:val="nil"/>
              <w:right w:val="nil"/>
            </w:tcBorders>
            <w:shd w:val="clear" w:color="000000" w:fill="FFFFFF"/>
            <w:noWrap/>
            <w:vAlign w:val="center"/>
            <w:hideMark/>
          </w:tcPr>
          <w:p w14:paraId="7C79421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665 (5.5%)</w:t>
            </w:r>
          </w:p>
        </w:tc>
        <w:tc>
          <w:tcPr>
            <w:tcW w:w="305" w:type="pct"/>
            <w:tcBorders>
              <w:top w:val="nil"/>
              <w:left w:val="nil"/>
              <w:bottom w:val="nil"/>
              <w:right w:val="nil"/>
            </w:tcBorders>
            <w:shd w:val="clear" w:color="000000" w:fill="FFFFFF"/>
            <w:noWrap/>
            <w:vAlign w:val="center"/>
            <w:hideMark/>
          </w:tcPr>
          <w:p w14:paraId="52EA9C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D75EF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2567 (5.2%)</w:t>
            </w:r>
          </w:p>
        </w:tc>
        <w:tc>
          <w:tcPr>
            <w:tcW w:w="550" w:type="pct"/>
            <w:tcBorders>
              <w:top w:val="nil"/>
              <w:left w:val="nil"/>
              <w:bottom w:val="nil"/>
              <w:right w:val="nil"/>
            </w:tcBorders>
            <w:shd w:val="clear" w:color="000000" w:fill="FFFFFF"/>
            <w:noWrap/>
            <w:vAlign w:val="center"/>
            <w:hideMark/>
          </w:tcPr>
          <w:p w14:paraId="007848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2146 (2.8%)</w:t>
            </w:r>
          </w:p>
        </w:tc>
        <w:tc>
          <w:tcPr>
            <w:tcW w:w="550" w:type="pct"/>
            <w:tcBorders>
              <w:top w:val="nil"/>
              <w:left w:val="nil"/>
              <w:bottom w:val="nil"/>
              <w:right w:val="nil"/>
            </w:tcBorders>
            <w:shd w:val="clear" w:color="000000" w:fill="FFFFFF"/>
            <w:noWrap/>
            <w:vAlign w:val="center"/>
            <w:hideMark/>
          </w:tcPr>
          <w:p w14:paraId="2194F1E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702 (2.7%)</w:t>
            </w:r>
          </w:p>
        </w:tc>
        <w:tc>
          <w:tcPr>
            <w:tcW w:w="305" w:type="pct"/>
            <w:tcBorders>
              <w:top w:val="nil"/>
              <w:left w:val="nil"/>
              <w:bottom w:val="nil"/>
              <w:right w:val="nil"/>
            </w:tcBorders>
            <w:shd w:val="clear" w:color="000000" w:fill="FFFFFF"/>
            <w:noWrap/>
            <w:vAlign w:val="center"/>
            <w:hideMark/>
          </w:tcPr>
          <w:p w14:paraId="6A10AB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C9C5D2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2848 (2.7%)</w:t>
            </w:r>
          </w:p>
        </w:tc>
      </w:tr>
      <w:tr w:rsidR="00DA1572" w:rsidRPr="00DC3283" w14:paraId="686335B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C81F0DC"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7001F0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23986 (64.7%)</w:t>
            </w:r>
          </w:p>
        </w:tc>
        <w:tc>
          <w:tcPr>
            <w:tcW w:w="550" w:type="pct"/>
            <w:tcBorders>
              <w:top w:val="nil"/>
              <w:left w:val="nil"/>
              <w:bottom w:val="nil"/>
              <w:right w:val="nil"/>
            </w:tcBorders>
            <w:shd w:val="clear" w:color="000000" w:fill="FFFFFF"/>
            <w:noWrap/>
            <w:vAlign w:val="center"/>
            <w:hideMark/>
          </w:tcPr>
          <w:p w14:paraId="1566E5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7227 (60.0%)</w:t>
            </w:r>
          </w:p>
        </w:tc>
        <w:tc>
          <w:tcPr>
            <w:tcW w:w="305" w:type="pct"/>
            <w:tcBorders>
              <w:top w:val="nil"/>
              <w:left w:val="nil"/>
              <w:bottom w:val="nil"/>
              <w:right w:val="nil"/>
            </w:tcBorders>
            <w:shd w:val="clear" w:color="000000" w:fill="FFFFFF"/>
            <w:noWrap/>
            <w:vAlign w:val="center"/>
            <w:hideMark/>
          </w:tcPr>
          <w:p w14:paraId="278EB1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845DCA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31213 (63.5%)</w:t>
            </w:r>
          </w:p>
        </w:tc>
        <w:tc>
          <w:tcPr>
            <w:tcW w:w="550" w:type="pct"/>
            <w:tcBorders>
              <w:top w:val="nil"/>
              <w:left w:val="nil"/>
              <w:bottom w:val="nil"/>
              <w:right w:val="nil"/>
            </w:tcBorders>
            <w:shd w:val="clear" w:color="000000" w:fill="FFFFFF"/>
            <w:noWrap/>
            <w:vAlign w:val="center"/>
            <w:hideMark/>
          </w:tcPr>
          <w:p w14:paraId="1B2DEA1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61708 (79.7%)</w:t>
            </w:r>
          </w:p>
        </w:tc>
        <w:tc>
          <w:tcPr>
            <w:tcW w:w="550" w:type="pct"/>
            <w:tcBorders>
              <w:top w:val="nil"/>
              <w:left w:val="nil"/>
              <w:bottom w:val="nil"/>
              <w:right w:val="nil"/>
            </w:tcBorders>
            <w:shd w:val="clear" w:color="000000" w:fill="FFFFFF"/>
            <w:noWrap/>
            <w:vAlign w:val="center"/>
            <w:hideMark/>
          </w:tcPr>
          <w:p w14:paraId="4B79AF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20827 (79.6%)</w:t>
            </w:r>
          </w:p>
        </w:tc>
        <w:tc>
          <w:tcPr>
            <w:tcW w:w="305" w:type="pct"/>
            <w:tcBorders>
              <w:top w:val="nil"/>
              <w:left w:val="nil"/>
              <w:bottom w:val="nil"/>
              <w:right w:val="nil"/>
            </w:tcBorders>
            <w:shd w:val="clear" w:color="000000" w:fill="FFFFFF"/>
            <w:noWrap/>
            <w:vAlign w:val="center"/>
            <w:hideMark/>
          </w:tcPr>
          <w:p w14:paraId="165717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628056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82535 (79.7%)</w:t>
            </w:r>
          </w:p>
        </w:tc>
      </w:tr>
      <w:tr w:rsidR="00DA1572" w:rsidRPr="00DC3283" w14:paraId="6E0C492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110F218"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Anaemia</w:t>
            </w:r>
          </w:p>
        </w:tc>
        <w:tc>
          <w:tcPr>
            <w:tcW w:w="550" w:type="pct"/>
            <w:tcBorders>
              <w:top w:val="nil"/>
              <w:left w:val="nil"/>
              <w:bottom w:val="nil"/>
              <w:right w:val="nil"/>
            </w:tcBorders>
            <w:shd w:val="clear" w:color="000000" w:fill="FFFFFF"/>
            <w:noWrap/>
            <w:vAlign w:val="center"/>
            <w:hideMark/>
          </w:tcPr>
          <w:p w14:paraId="42244E2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5D7C4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198612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DD39B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9FFE19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87E7B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74F24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23A34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AFC855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860133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8CE3D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1038 (2.8%)</w:t>
            </w:r>
          </w:p>
        </w:tc>
        <w:tc>
          <w:tcPr>
            <w:tcW w:w="550" w:type="pct"/>
            <w:tcBorders>
              <w:top w:val="nil"/>
              <w:left w:val="nil"/>
              <w:bottom w:val="nil"/>
              <w:right w:val="nil"/>
            </w:tcBorders>
            <w:shd w:val="clear" w:color="000000" w:fill="FFFFFF"/>
            <w:noWrap/>
            <w:vAlign w:val="center"/>
            <w:hideMark/>
          </w:tcPr>
          <w:p w14:paraId="2B18A3D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1969 (16.3%)</w:t>
            </w:r>
          </w:p>
        </w:tc>
        <w:tc>
          <w:tcPr>
            <w:tcW w:w="305" w:type="pct"/>
            <w:tcBorders>
              <w:top w:val="nil"/>
              <w:left w:val="nil"/>
              <w:bottom w:val="nil"/>
              <w:right w:val="nil"/>
            </w:tcBorders>
            <w:shd w:val="clear" w:color="000000" w:fill="FFFFFF"/>
            <w:noWrap/>
            <w:vAlign w:val="center"/>
            <w:hideMark/>
          </w:tcPr>
          <w:p w14:paraId="6B52765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55932F3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3007 (6.1%)</w:t>
            </w:r>
          </w:p>
        </w:tc>
        <w:tc>
          <w:tcPr>
            <w:tcW w:w="550" w:type="pct"/>
            <w:tcBorders>
              <w:top w:val="nil"/>
              <w:left w:val="nil"/>
              <w:bottom w:val="nil"/>
              <w:right w:val="nil"/>
            </w:tcBorders>
            <w:shd w:val="clear" w:color="000000" w:fill="FFFFFF"/>
            <w:noWrap/>
            <w:vAlign w:val="center"/>
            <w:hideMark/>
          </w:tcPr>
          <w:p w14:paraId="0A8726A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484 (0.6%)</w:t>
            </w:r>
          </w:p>
        </w:tc>
        <w:tc>
          <w:tcPr>
            <w:tcW w:w="550" w:type="pct"/>
            <w:tcBorders>
              <w:top w:val="nil"/>
              <w:left w:val="nil"/>
              <w:bottom w:val="nil"/>
              <w:right w:val="nil"/>
            </w:tcBorders>
            <w:shd w:val="clear" w:color="000000" w:fill="FFFFFF"/>
            <w:noWrap/>
            <w:vAlign w:val="center"/>
            <w:hideMark/>
          </w:tcPr>
          <w:p w14:paraId="7DE193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968 (3.7%)</w:t>
            </w:r>
          </w:p>
        </w:tc>
        <w:tc>
          <w:tcPr>
            <w:tcW w:w="305" w:type="pct"/>
            <w:tcBorders>
              <w:top w:val="nil"/>
              <w:left w:val="nil"/>
              <w:bottom w:val="nil"/>
              <w:right w:val="nil"/>
            </w:tcBorders>
            <w:shd w:val="clear" w:color="000000" w:fill="FFFFFF"/>
            <w:noWrap/>
            <w:vAlign w:val="center"/>
            <w:hideMark/>
          </w:tcPr>
          <w:p w14:paraId="51D90BE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EA9966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1452 (1.4%)</w:t>
            </w:r>
          </w:p>
        </w:tc>
      </w:tr>
      <w:tr w:rsidR="00DA1572" w:rsidRPr="00DC3283" w14:paraId="6BB15BE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494988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Cardiovascular disease</w:t>
            </w:r>
          </w:p>
        </w:tc>
        <w:tc>
          <w:tcPr>
            <w:tcW w:w="550" w:type="pct"/>
            <w:tcBorders>
              <w:top w:val="nil"/>
              <w:left w:val="nil"/>
              <w:bottom w:val="nil"/>
              <w:right w:val="nil"/>
            </w:tcBorders>
            <w:shd w:val="clear" w:color="000000" w:fill="FFFFFF"/>
            <w:noWrap/>
            <w:vAlign w:val="center"/>
            <w:hideMark/>
          </w:tcPr>
          <w:p w14:paraId="33AD1E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37082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E43E0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D10F2B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E3D65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46D95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B1BD9C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67E05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0AB70D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E1F328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5DE2A39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1601 (4.3%)</w:t>
            </w:r>
          </w:p>
        </w:tc>
        <w:tc>
          <w:tcPr>
            <w:tcW w:w="550" w:type="pct"/>
            <w:tcBorders>
              <w:top w:val="nil"/>
              <w:left w:val="nil"/>
              <w:bottom w:val="nil"/>
              <w:right w:val="nil"/>
            </w:tcBorders>
            <w:shd w:val="clear" w:color="000000" w:fill="FFFFFF"/>
            <w:noWrap/>
            <w:vAlign w:val="center"/>
            <w:hideMark/>
          </w:tcPr>
          <w:p w14:paraId="5AAA87F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883 (7.3%)</w:t>
            </w:r>
          </w:p>
        </w:tc>
        <w:tc>
          <w:tcPr>
            <w:tcW w:w="305" w:type="pct"/>
            <w:tcBorders>
              <w:top w:val="nil"/>
              <w:left w:val="nil"/>
              <w:bottom w:val="nil"/>
              <w:right w:val="nil"/>
            </w:tcBorders>
            <w:shd w:val="clear" w:color="000000" w:fill="FFFFFF"/>
            <w:noWrap/>
            <w:vAlign w:val="center"/>
            <w:hideMark/>
          </w:tcPr>
          <w:p w14:paraId="5B2EB3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9A4168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2484 (5.1%)</w:t>
            </w:r>
          </w:p>
        </w:tc>
        <w:tc>
          <w:tcPr>
            <w:tcW w:w="550" w:type="pct"/>
            <w:tcBorders>
              <w:top w:val="nil"/>
              <w:left w:val="nil"/>
              <w:bottom w:val="nil"/>
              <w:right w:val="nil"/>
            </w:tcBorders>
            <w:shd w:val="clear" w:color="000000" w:fill="FFFFFF"/>
            <w:noWrap/>
            <w:vAlign w:val="center"/>
            <w:hideMark/>
          </w:tcPr>
          <w:p w14:paraId="170143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602 (0.8%)</w:t>
            </w:r>
          </w:p>
        </w:tc>
        <w:tc>
          <w:tcPr>
            <w:tcW w:w="550" w:type="pct"/>
            <w:tcBorders>
              <w:top w:val="nil"/>
              <w:left w:val="nil"/>
              <w:bottom w:val="nil"/>
              <w:right w:val="nil"/>
            </w:tcBorders>
            <w:shd w:val="clear" w:color="000000" w:fill="FFFFFF"/>
            <w:noWrap/>
            <w:vAlign w:val="center"/>
            <w:hideMark/>
          </w:tcPr>
          <w:p w14:paraId="2679667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317 (1.2%)</w:t>
            </w:r>
          </w:p>
        </w:tc>
        <w:tc>
          <w:tcPr>
            <w:tcW w:w="305" w:type="pct"/>
            <w:tcBorders>
              <w:top w:val="nil"/>
              <w:left w:val="nil"/>
              <w:bottom w:val="nil"/>
              <w:right w:val="nil"/>
            </w:tcBorders>
            <w:shd w:val="clear" w:color="000000" w:fill="FFFFFF"/>
            <w:noWrap/>
            <w:vAlign w:val="center"/>
            <w:hideMark/>
          </w:tcPr>
          <w:p w14:paraId="1A5D9B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432EC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919 (0.9%)</w:t>
            </w:r>
          </w:p>
        </w:tc>
      </w:tr>
      <w:tr w:rsidR="00DA1572" w:rsidRPr="00DC3283" w14:paraId="1614764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C14B7FB"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Chronic liver disease</w:t>
            </w:r>
          </w:p>
        </w:tc>
        <w:tc>
          <w:tcPr>
            <w:tcW w:w="550" w:type="pct"/>
            <w:tcBorders>
              <w:top w:val="nil"/>
              <w:left w:val="nil"/>
              <w:bottom w:val="nil"/>
              <w:right w:val="nil"/>
            </w:tcBorders>
            <w:shd w:val="clear" w:color="000000" w:fill="FFFFFF"/>
            <w:noWrap/>
            <w:vAlign w:val="center"/>
            <w:hideMark/>
          </w:tcPr>
          <w:p w14:paraId="51E2E3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84985E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7A2369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51468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AF866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6817BF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07CA9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98F35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4E9B5A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A09608D"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4C9B8E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376 (1.0%)</w:t>
            </w:r>
          </w:p>
        </w:tc>
        <w:tc>
          <w:tcPr>
            <w:tcW w:w="550" w:type="pct"/>
            <w:tcBorders>
              <w:top w:val="nil"/>
              <w:left w:val="nil"/>
              <w:bottom w:val="nil"/>
              <w:right w:val="nil"/>
            </w:tcBorders>
            <w:shd w:val="clear" w:color="000000" w:fill="FFFFFF"/>
            <w:noWrap/>
            <w:vAlign w:val="center"/>
            <w:hideMark/>
          </w:tcPr>
          <w:p w14:paraId="09C701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253 (2.1%)</w:t>
            </w:r>
          </w:p>
        </w:tc>
        <w:tc>
          <w:tcPr>
            <w:tcW w:w="305" w:type="pct"/>
            <w:tcBorders>
              <w:top w:val="nil"/>
              <w:left w:val="nil"/>
              <w:bottom w:val="nil"/>
              <w:right w:val="nil"/>
            </w:tcBorders>
            <w:shd w:val="clear" w:color="000000" w:fill="FFFFFF"/>
            <w:noWrap/>
            <w:vAlign w:val="center"/>
            <w:hideMark/>
          </w:tcPr>
          <w:p w14:paraId="328FBE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F8426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629 (1.3%)</w:t>
            </w:r>
          </w:p>
        </w:tc>
        <w:tc>
          <w:tcPr>
            <w:tcW w:w="550" w:type="pct"/>
            <w:tcBorders>
              <w:top w:val="nil"/>
              <w:left w:val="nil"/>
              <w:bottom w:val="nil"/>
              <w:right w:val="nil"/>
            </w:tcBorders>
            <w:shd w:val="clear" w:color="000000" w:fill="FFFFFF"/>
            <w:noWrap/>
            <w:vAlign w:val="center"/>
            <w:hideMark/>
          </w:tcPr>
          <w:p w14:paraId="1BC3F68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233 (0.3%)</w:t>
            </w:r>
          </w:p>
        </w:tc>
        <w:tc>
          <w:tcPr>
            <w:tcW w:w="550" w:type="pct"/>
            <w:tcBorders>
              <w:top w:val="nil"/>
              <w:left w:val="nil"/>
              <w:bottom w:val="nil"/>
              <w:right w:val="nil"/>
            </w:tcBorders>
            <w:shd w:val="clear" w:color="000000" w:fill="FFFFFF"/>
            <w:noWrap/>
            <w:vAlign w:val="center"/>
            <w:hideMark/>
          </w:tcPr>
          <w:p w14:paraId="47D455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180 (0.7%)</w:t>
            </w:r>
          </w:p>
        </w:tc>
        <w:tc>
          <w:tcPr>
            <w:tcW w:w="305" w:type="pct"/>
            <w:tcBorders>
              <w:top w:val="nil"/>
              <w:left w:val="nil"/>
              <w:bottom w:val="nil"/>
              <w:right w:val="nil"/>
            </w:tcBorders>
            <w:shd w:val="clear" w:color="000000" w:fill="FFFFFF"/>
            <w:noWrap/>
            <w:vAlign w:val="center"/>
            <w:hideMark/>
          </w:tcPr>
          <w:p w14:paraId="37E026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2D2D10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413 (0.4%)</w:t>
            </w:r>
          </w:p>
        </w:tc>
      </w:tr>
      <w:tr w:rsidR="00DA1572" w:rsidRPr="00DC3283" w14:paraId="5ABB0E2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4EB92B4" w14:textId="172A07A1" w:rsidR="00DC3283" w:rsidRPr="00DC3283" w:rsidRDefault="00A65A5D" w:rsidP="00DC3283">
            <w:pPr>
              <w:spacing w:after="0" w:line="240" w:lineRule="auto"/>
              <w:rPr>
                <w:rFonts w:ascii="Calibri" w:eastAsia="Times New Roman" w:hAnsi="Calibri" w:cs="Calibri"/>
                <w:b/>
                <w:bCs/>
                <w:color w:val="000000"/>
                <w:sz w:val="18"/>
                <w:szCs w:val="18"/>
                <w:lang w:eastAsia="en-GB"/>
              </w:rPr>
            </w:pPr>
            <w:r>
              <w:rPr>
                <w:rFonts w:ascii="Calibri" w:eastAsia="Times New Roman" w:hAnsi="Calibri" w:cs="Calibri"/>
                <w:b/>
                <w:bCs/>
                <w:color w:val="000000"/>
                <w:sz w:val="18"/>
                <w:szCs w:val="18"/>
                <w:lang w:eastAsia="en-GB"/>
              </w:rPr>
              <w:lastRenderedPageBreak/>
              <w:t>Down</w:t>
            </w:r>
            <w:r w:rsidR="00DC3283" w:rsidRPr="00DC3283">
              <w:rPr>
                <w:rFonts w:ascii="Calibri" w:eastAsia="Times New Roman" w:hAnsi="Calibri" w:cs="Calibri"/>
                <w:b/>
                <w:bCs/>
                <w:color w:val="000000"/>
                <w:sz w:val="18"/>
                <w:szCs w:val="18"/>
                <w:lang w:eastAsia="en-GB"/>
              </w:rPr>
              <w:t xml:space="preserve"> syndrome</w:t>
            </w:r>
          </w:p>
        </w:tc>
        <w:tc>
          <w:tcPr>
            <w:tcW w:w="550" w:type="pct"/>
            <w:tcBorders>
              <w:top w:val="nil"/>
              <w:left w:val="nil"/>
              <w:bottom w:val="nil"/>
              <w:right w:val="nil"/>
            </w:tcBorders>
            <w:shd w:val="clear" w:color="000000" w:fill="FFFFFF"/>
            <w:noWrap/>
            <w:vAlign w:val="center"/>
            <w:hideMark/>
          </w:tcPr>
          <w:p w14:paraId="5C67C9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4ADD3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BAA6F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49190A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F663E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0725EE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EAEBE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0C82E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210712D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51BED8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B732BD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550" w:type="pct"/>
            <w:tcBorders>
              <w:top w:val="nil"/>
              <w:left w:val="nil"/>
              <w:bottom w:val="nil"/>
              <w:right w:val="nil"/>
            </w:tcBorders>
            <w:shd w:val="clear" w:color="000000" w:fill="FFFFFF"/>
            <w:noWrap/>
            <w:vAlign w:val="center"/>
            <w:hideMark/>
          </w:tcPr>
          <w:p w14:paraId="7C6546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305" w:type="pct"/>
            <w:tcBorders>
              <w:top w:val="nil"/>
              <w:left w:val="nil"/>
              <w:bottom w:val="nil"/>
              <w:right w:val="nil"/>
            </w:tcBorders>
            <w:shd w:val="clear" w:color="000000" w:fill="FFFFFF"/>
            <w:noWrap/>
            <w:vAlign w:val="center"/>
            <w:hideMark/>
          </w:tcPr>
          <w:p w14:paraId="5441DD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0.132</w:t>
            </w:r>
          </w:p>
        </w:tc>
        <w:tc>
          <w:tcPr>
            <w:tcW w:w="550" w:type="pct"/>
            <w:tcBorders>
              <w:top w:val="nil"/>
              <w:left w:val="nil"/>
              <w:bottom w:val="nil"/>
              <w:right w:val="single" w:sz="8" w:space="0" w:color="auto"/>
            </w:tcBorders>
            <w:shd w:val="clear" w:color="000000" w:fill="FFFFFF"/>
            <w:noWrap/>
            <w:vAlign w:val="center"/>
            <w:hideMark/>
          </w:tcPr>
          <w:p w14:paraId="7DE9B6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 (0.0%)</w:t>
            </w:r>
          </w:p>
        </w:tc>
        <w:tc>
          <w:tcPr>
            <w:tcW w:w="550" w:type="pct"/>
            <w:tcBorders>
              <w:top w:val="nil"/>
              <w:left w:val="nil"/>
              <w:bottom w:val="nil"/>
              <w:right w:val="nil"/>
            </w:tcBorders>
            <w:shd w:val="clear" w:color="000000" w:fill="FFFFFF"/>
            <w:noWrap/>
            <w:vAlign w:val="center"/>
            <w:hideMark/>
          </w:tcPr>
          <w:p w14:paraId="0A152F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c>
          <w:tcPr>
            <w:tcW w:w="550" w:type="pct"/>
            <w:tcBorders>
              <w:top w:val="nil"/>
              <w:left w:val="nil"/>
              <w:bottom w:val="nil"/>
              <w:right w:val="nil"/>
            </w:tcBorders>
            <w:shd w:val="clear" w:color="000000" w:fill="FFFFFF"/>
            <w:noWrap/>
            <w:vAlign w:val="center"/>
            <w:hideMark/>
          </w:tcPr>
          <w:p w14:paraId="69C2B7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c>
          <w:tcPr>
            <w:tcW w:w="305" w:type="pct"/>
            <w:tcBorders>
              <w:top w:val="nil"/>
              <w:left w:val="nil"/>
              <w:bottom w:val="nil"/>
              <w:right w:val="nil"/>
            </w:tcBorders>
            <w:shd w:val="clear" w:color="000000" w:fill="FFFFFF"/>
            <w:noWrap/>
            <w:vAlign w:val="center"/>
            <w:hideMark/>
          </w:tcPr>
          <w:p w14:paraId="6E005F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0.229</w:t>
            </w:r>
          </w:p>
        </w:tc>
        <w:tc>
          <w:tcPr>
            <w:tcW w:w="549" w:type="pct"/>
            <w:tcBorders>
              <w:top w:val="nil"/>
              <w:left w:val="nil"/>
              <w:bottom w:val="nil"/>
              <w:right w:val="single" w:sz="4" w:space="0" w:color="auto"/>
            </w:tcBorders>
            <w:shd w:val="clear" w:color="000000" w:fill="FFFFFF"/>
            <w:noWrap/>
            <w:vAlign w:val="center"/>
            <w:hideMark/>
          </w:tcPr>
          <w:p w14:paraId="1F5F2B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r>
      <w:tr w:rsidR="00DA1572" w:rsidRPr="00DC3283" w14:paraId="25CAAB5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769B6B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Epilepsy</w:t>
            </w:r>
          </w:p>
        </w:tc>
        <w:tc>
          <w:tcPr>
            <w:tcW w:w="550" w:type="pct"/>
            <w:tcBorders>
              <w:top w:val="nil"/>
              <w:left w:val="nil"/>
              <w:bottom w:val="nil"/>
              <w:right w:val="nil"/>
            </w:tcBorders>
            <w:shd w:val="clear" w:color="000000" w:fill="FFFFFF"/>
            <w:noWrap/>
            <w:vAlign w:val="center"/>
            <w:hideMark/>
          </w:tcPr>
          <w:p w14:paraId="1D94503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DD558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CAAFB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66E7F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81E91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7B6CA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A7F5AA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2C4DFC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AB70AD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B1C09B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DAD748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194 (0.5%)</w:t>
            </w:r>
          </w:p>
        </w:tc>
        <w:tc>
          <w:tcPr>
            <w:tcW w:w="550" w:type="pct"/>
            <w:tcBorders>
              <w:top w:val="nil"/>
              <w:left w:val="nil"/>
              <w:bottom w:val="nil"/>
              <w:right w:val="nil"/>
            </w:tcBorders>
            <w:shd w:val="clear" w:color="000000" w:fill="FFFFFF"/>
            <w:noWrap/>
            <w:vAlign w:val="center"/>
            <w:hideMark/>
          </w:tcPr>
          <w:p w14:paraId="725CC1D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116 (1.0%)</w:t>
            </w:r>
          </w:p>
        </w:tc>
        <w:tc>
          <w:tcPr>
            <w:tcW w:w="305" w:type="pct"/>
            <w:tcBorders>
              <w:top w:val="nil"/>
              <w:left w:val="nil"/>
              <w:bottom w:val="nil"/>
              <w:right w:val="nil"/>
            </w:tcBorders>
            <w:shd w:val="clear" w:color="000000" w:fill="FFFFFF"/>
            <w:noWrap/>
            <w:vAlign w:val="center"/>
            <w:hideMark/>
          </w:tcPr>
          <w:p w14:paraId="6B859B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7FA630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310 (0.6%)</w:t>
            </w:r>
          </w:p>
        </w:tc>
        <w:tc>
          <w:tcPr>
            <w:tcW w:w="550" w:type="pct"/>
            <w:tcBorders>
              <w:top w:val="nil"/>
              <w:left w:val="nil"/>
              <w:bottom w:val="nil"/>
              <w:right w:val="nil"/>
            </w:tcBorders>
            <w:shd w:val="clear" w:color="000000" w:fill="FFFFFF"/>
            <w:noWrap/>
            <w:vAlign w:val="center"/>
            <w:hideMark/>
          </w:tcPr>
          <w:p w14:paraId="25A35A7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109 (0.1%)</w:t>
            </w:r>
          </w:p>
        </w:tc>
        <w:tc>
          <w:tcPr>
            <w:tcW w:w="550" w:type="pct"/>
            <w:tcBorders>
              <w:top w:val="nil"/>
              <w:left w:val="nil"/>
              <w:bottom w:val="nil"/>
              <w:right w:val="nil"/>
            </w:tcBorders>
            <w:shd w:val="clear" w:color="000000" w:fill="FFFFFF"/>
            <w:noWrap/>
            <w:vAlign w:val="center"/>
            <w:hideMark/>
          </w:tcPr>
          <w:p w14:paraId="06D33F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 (0.2%)</w:t>
            </w:r>
          </w:p>
        </w:tc>
        <w:tc>
          <w:tcPr>
            <w:tcW w:w="305" w:type="pct"/>
            <w:tcBorders>
              <w:top w:val="nil"/>
              <w:left w:val="nil"/>
              <w:bottom w:val="nil"/>
              <w:right w:val="nil"/>
            </w:tcBorders>
            <w:shd w:val="clear" w:color="000000" w:fill="FFFFFF"/>
            <w:noWrap/>
            <w:vAlign w:val="center"/>
            <w:hideMark/>
          </w:tcPr>
          <w:p w14:paraId="713641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0.24</w:t>
            </w:r>
          </w:p>
        </w:tc>
        <w:tc>
          <w:tcPr>
            <w:tcW w:w="549" w:type="pct"/>
            <w:tcBorders>
              <w:top w:val="nil"/>
              <w:left w:val="nil"/>
              <w:bottom w:val="nil"/>
              <w:right w:val="single" w:sz="4" w:space="0" w:color="auto"/>
            </w:tcBorders>
            <w:shd w:val="clear" w:color="000000" w:fill="FFFFFF"/>
            <w:noWrap/>
            <w:vAlign w:val="center"/>
            <w:hideMark/>
          </w:tcPr>
          <w:p w14:paraId="4976B9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155 (0.1%)</w:t>
            </w:r>
          </w:p>
        </w:tc>
      </w:tr>
      <w:tr w:rsidR="00DA1572" w:rsidRPr="00DC3283" w14:paraId="787CB26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B279B72"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w:t>
            </w:r>
          </w:p>
        </w:tc>
        <w:tc>
          <w:tcPr>
            <w:tcW w:w="550" w:type="pct"/>
            <w:tcBorders>
              <w:top w:val="nil"/>
              <w:left w:val="nil"/>
              <w:bottom w:val="nil"/>
              <w:right w:val="nil"/>
            </w:tcBorders>
            <w:shd w:val="clear" w:color="000000" w:fill="FFFFFF"/>
            <w:noWrap/>
            <w:vAlign w:val="center"/>
            <w:hideMark/>
          </w:tcPr>
          <w:p w14:paraId="098326E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7773DA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4845D0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4F17B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F1FCDA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220C8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EB3BC6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04F97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2A53E20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2D41E1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7E930C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4638 (12.5%)</w:t>
            </w:r>
          </w:p>
        </w:tc>
        <w:tc>
          <w:tcPr>
            <w:tcW w:w="550" w:type="pct"/>
            <w:tcBorders>
              <w:top w:val="nil"/>
              <w:left w:val="nil"/>
              <w:bottom w:val="nil"/>
              <w:right w:val="nil"/>
            </w:tcBorders>
            <w:shd w:val="clear" w:color="000000" w:fill="FFFFFF"/>
            <w:noWrap/>
            <w:vAlign w:val="center"/>
            <w:hideMark/>
          </w:tcPr>
          <w:p w14:paraId="6A5C3A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3027 (25.1%)</w:t>
            </w:r>
          </w:p>
        </w:tc>
        <w:tc>
          <w:tcPr>
            <w:tcW w:w="305" w:type="pct"/>
            <w:tcBorders>
              <w:top w:val="nil"/>
              <w:left w:val="nil"/>
              <w:bottom w:val="nil"/>
              <w:right w:val="nil"/>
            </w:tcBorders>
            <w:shd w:val="clear" w:color="000000" w:fill="FFFFFF"/>
            <w:noWrap/>
            <w:vAlign w:val="center"/>
            <w:hideMark/>
          </w:tcPr>
          <w:p w14:paraId="6F3D0E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47360F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7665 (15.6%)</w:t>
            </w:r>
          </w:p>
        </w:tc>
        <w:tc>
          <w:tcPr>
            <w:tcW w:w="550" w:type="pct"/>
            <w:tcBorders>
              <w:top w:val="nil"/>
              <w:left w:val="nil"/>
              <w:bottom w:val="nil"/>
              <w:right w:val="nil"/>
            </w:tcBorders>
            <w:shd w:val="clear" w:color="000000" w:fill="FFFFFF"/>
            <w:noWrap/>
            <w:vAlign w:val="center"/>
            <w:hideMark/>
          </w:tcPr>
          <w:p w14:paraId="295A96F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1755 (2.3%)</w:t>
            </w:r>
          </w:p>
        </w:tc>
        <w:tc>
          <w:tcPr>
            <w:tcW w:w="550" w:type="pct"/>
            <w:tcBorders>
              <w:top w:val="nil"/>
              <w:left w:val="nil"/>
              <w:bottom w:val="nil"/>
              <w:right w:val="nil"/>
            </w:tcBorders>
            <w:shd w:val="clear" w:color="000000" w:fill="FFFFFF"/>
            <w:noWrap/>
            <w:vAlign w:val="center"/>
            <w:hideMark/>
          </w:tcPr>
          <w:p w14:paraId="135DD8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1165 (4.5%)</w:t>
            </w:r>
          </w:p>
        </w:tc>
        <w:tc>
          <w:tcPr>
            <w:tcW w:w="305" w:type="pct"/>
            <w:tcBorders>
              <w:top w:val="nil"/>
              <w:left w:val="nil"/>
              <w:bottom w:val="nil"/>
              <w:right w:val="nil"/>
            </w:tcBorders>
            <w:shd w:val="clear" w:color="000000" w:fill="FFFFFF"/>
            <w:noWrap/>
            <w:vAlign w:val="center"/>
            <w:hideMark/>
          </w:tcPr>
          <w:p w14:paraId="123CC46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04822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2920 (2.8%)</w:t>
            </w:r>
          </w:p>
        </w:tc>
      </w:tr>
      <w:tr w:rsidR="00DA1572" w:rsidRPr="00DC3283" w14:paraId="3C31C41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F12090B"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 (count, 1 year)</w:t>
            </w:r>
          </w:p>
        </w:tc>
        <w:tc>
          <w:tcPr>
            <w:tcW w:w="550" w:type="pct"/>
            <w:tcBorders>
              <w:top w:val="nil"/>
              <w:left w:val="nil"/>
              <w:bottom w:val="nil"/>
              <w:right w:val="nil"/>
            </w:tcBorders>
            <w:shd w:val="clear" w:color="000000" w:fill="FFFFFF"/>
            <w:noWrap/>
            <w:vAlign w:val="center"/>
            <w:hideMark/>
          </w:tcPr>
          <w:p w14:paraId="21F1CC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432CAD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B9B800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78C618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F86DDC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3F6CB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DE2F3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6984F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AF4670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C3DAD8E"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453807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945 (2.5%)</w:t>
            </w:r>
          </w:p>
        </w:tc>
        <w:tc>
          <w:tcPr>
            <w:tcW w:w="550" w:type="pct"/>
            <w:tcBorders>
              <w:top w:val="nil"/>
              <w:left w:val="nil"/>
              <w:bottom w:val="nil"/>
              <w:right w:val="nil"/>
            </w:tcBorders>
            <w:shd w:val="clear" w:color="000000" w:fill="FFFFFF"/>
            <w:noWrap/>
            <w:vAlign w:val="center"/>
            <w:hideMark/>
          </w:tcPr>
          <w:p w14:paraId="118BC26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953 (7.9%)</w:t>
            </w:r>
          </w:p>
        </w:tc>
        <w:tc>
          <w:tcPr>
            <w:tcW w:w="305" w:type="pct"/>
            <w:tcBorders>
              <w:top w:val="nil"/>
              <w:left w:val="nil"/>
              <w:bottom w:val="nil"/>
              <w:right w:val="nil"/>
            </w:tcBorders>
            <w:shd w:val="clear" w:color="000000" w:fill="FFFFFF"/>
            <w:noWrap/>
            <w:vAlign w:val="center"/>
            <w:hideMark/>
          </w:tcPr>
          <w:p w14:paraId="39ACDC1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784BB9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1898 (3.9%)</w:t>
            </w:r>
          </w:p>
        </w:tc>
        <w:tc>
          <w:tcPr>
            <w:tcW w:w="550" w:type="pct"/>
            <w:tcBorders>
              <w:top w:val="nil"/>
              <w:left w:val="nil"/>
              <w:bottom w:val="nil"/>
              <w:right w:val="nil"/>
            </w:tcBorders>
            <w:shd w:val="clear" w:color="000000" w:fill="FFFFFF"/>
            <w:noWrap/>
            <w:vAlign w:val="center"/>
            <w:hideMark/>
          </w:tcPr>
          <w:p w14:paraId="7A1E84F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333 (0.4%)</w:t>
            </w:r>
          </w:p>
        </w:tc>
        <w:tc>
          <w:tcPr>
            <w:tcW w:w="550" w:type="pct"/>
            <w:tcBorders>
              <w:top w:val="nil"/>
              <w:left w:val="nil"/>
              <w:bottom w:val="nil"/>
              <w:right w:val="nil"/>
            </w:tcBorders>
            <w:shd w:val="clear" w:color="000000" w:fill="FFFFFF"/>
            <w:noWrap/>
            <w:vAlign w:val="center"/>
            <w:hideMark/>
          </w:tcPr>
          <w:p w14:paraId="7FE11A5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341 (1.3%)</w:t>
            </w:r>
          </w:p>
        </w:tc>
        <w:tc>
          <w:tcPr>
            <w:tcW w:w="305" w:type="pct"/>
            <w:tcBorders>
              <w:top w:val="nil"/>
              <w:left w:val="nil"/>
              <w:bottom w:val="nil"/>
              <w:right w:val="nil"/>
            </w:tcBorders>
            <w:shd w:val="clear" w:color="000000" w:fill="FFFFFF"/>
            <w:noWrap/>
            <w:vAlign w:val="center"/>
            <w:hideMark/>
          </w:tcPr>
          <w:p w14:paraId="79BCE84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F28CA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674 (0.7%)</w:t>
            </w:r>
          </w:p>
        </w:tc>
      </w:tr>
      <w:tr w:rsidR="00DA1572" w:rsidRPr="00DC3283" w14:paraId="3A09FED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D214E0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11BA94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145 (0.4%)</w:t>
            </w:r>
          </w:p>
        </w:tc>
        <w:tc>
          <w:tcPr>
            <w:tcW w:w="550" w:type="pct"/>
            <w:tcBorders>
              <w:top w:val="nil"/>
              <w:left w:val="nil"/>
              <w:bottom w:val="nil"/>
              <w:right w:val="nil"/>
            </w:tcBorders>
            <w:shd w:val="clear" w:color="000000" w:fill="FFFFFF"/>
            <w:noWrap/>
            <w:vAlign w:val="center"/>
            <w:hideMark/>
          </w:tcPr>
          <w:p w14:paraId="3DD02F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174 (1.4%)</w:t>
            </w:r>
          </w:p>
        </w:tc>
        <w:tc>
          <w:tcPr>
            <w:tcW w:w="305" w:type="pct"/>
            <w:tcBorders>
              <w:top w:val="nil"/>
              <w:left w:val="nil"/>
              <w:bottom w:val="nil"/>
              <w:right w:val="nil"/>
            </w:tcBorders>
            <w:shd w:val="clear" w:color="000000" w:fill="FFFFFF"/>
            <w:noWrap/>
            <w:vAlign w:val="center"/>
            <w:hideMark/>
          </w:tcPr>
          <w:p w14:paraId="76C4496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34052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319 (0.6%)</w:t>
            </w:r>
          </w:p>
        </w:tc>
        <w:tc>
          <w:tcPr>
            <w:tcW w:w="550" w:type="pct"/>
            <w:tcBorders>
              <w:top w:val="nil"/>
              <w:left w:val="nil"/>
              <w:bottom w:val="nil"/>
              <w:right w:val="nil"/>
            </w:tcBorders>
            <w:shd w:val="clear" w:color="000000" w:fill="FFFFFF"/>
            <w:noWrap/>
            <w:vAlign w:val="center"/>
            <w:hideMark/>
          </w:tcPr>
          <w:p w14:paraId="359A82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 (0.1%)</w:t>
            </w:r>
          </w:p>
        </w:tc>
        <w:tc>
          <w:tcPr>
            <w:tcW w:w="550" w:type="pct"/>
            <w:tcBorders>
              <w:top w:val="nil"/>
              <w:left w:val="nil"/>
              <w:bottom w:val="nil"/>
              <w:right w:val="nil"/>
            </w:tcBorders>
            <w:shd w:val="clear" w:color="000000" w:fill="FFFFFF"/>
            <w:noWrap/>
            <w:vAlign w:val="center"/>
            <w:hideMark/>
          </w:tcPr>
          <w:p w14:paraId="037D939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118 (0.5%)</w:t>
            </w:r>
          </w:p>
        </w:tc>
        <w:tc>
          <w:tcPr>
            <w:tcW w:w="305" w:type="pct"/>
            <w:tcBorders>
              <w:top w:val="nil"/>
              <w:left w:val="nil"/>
              <w:bottom w:val="nil"/>
              <w:right w:val="nil"/>
            </w:tcBorders>
            <w:shd w:val="clear" w:color="000000" w:fill="FFFFFF"/>
            <w:noWrap/>
            <w:vAlign w:val="center"/>
            <w:hideMark/>
          </w:tcPr>
          <w:p w14:paraId="039486B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3FFDE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204 (0.2%)</w:t>
            </w:r>
          </w:p>
        </w:tc>
      </w:tr>
      <w:tr w:rsidR="00DA1572" w:rsidRPr="00DC3283" w14:paraId="419479E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C8392A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4E9D916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 (0.1%)</w:t>
            </w:r>
          </w:p>
        </w:tc>
        <w:tc>
          <w:tcPr>
            <w:tcW w:w="550" w:type="pct"/>
            <w:tcBorders>
              <w:top w:val="nil"/>
              <w:left w:val="nil"/>
              <w:bottom w:val="nil"/>
              <w:right w:val="nil"/>
            </w:tcBorders>
            <w:shd w:val="clear" w:color="000000" w:fill="FFFFFF"/>
            <w:noWrap/>
            <w:vAlign w:val="center"/>
            <w:hideMark/>
          </w:tcPr>
          <w:p w14:paraId="0DE088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73 (0.6%)</w:t>
            </w:r>
          </w:p>
        </w:tc>
        <w:tc>
          <w:tcPr>
            <w:tcW w:w="305" w:type="pct"/>
            <w:tcBorders>
              <w:top w:val="nil"/>
              <w:left w:val="nil"/>
              <w:bottom w:val="nil"/>
              <w:right w:val="nil"/>
            </w:tcBorders>
            <w:shd w:val="clear" w:color="000000" w:fill="FFFFFF"/>
            <w:noWrap/>
            <w:vAlign w:val="center"/>
            <w:hideMark/>
          </w:tcPr>
          <w:p w14:paraId="79E7D6F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E2DDF0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111 (0.2%)</w:t>
            </w:r>
          </w:p>
        </w:tc>
        <w:tc>
          <w:tcPr>
            <w:tcW w:w="550" w:type="pct"/>
            <w:tcBorders>
              <w:top w:val="nil"/>
              <w:left w:val="nil"/>
              <w:bottom w:val="nil"/>
              <w:right w:val="nil"/>
            </w:tcBorders>
            <w:shd w:val="clear" w:color="000000" w:fill="FFFFFF"/>
            <w:noWrap/>
            <w:vAlign w:val="center"/>
            <w:hideMark/>
          </w:tcPr>
          <w:p w14:paraId="50D2C7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56 (0.1%)</w:t>
            </w:r>
          </w:p>
        </w:tc>
        <w:tc>
          <w:tcPr>
            <w:tcW w:w="550" w:type="pct"/>
            <w:tcBorders>
              <w:top w:val="nil"/>
              <w:left w:val="nil"/>
              <w:bottom w:val="nil"/>
              <w:right w:val="nil"/>
            </w:tcBorders>
            <w:shd w:val="clear" w:color="000000" w:fill="FFFFFF"/>
            <w:noWrap/>
            <w:vAlign w:val="center"/>
            <w:hideMark/>
          </w:tcPr>
          <w:p w14:paraId="412FA77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79 (0.3%)</w:t>
            </w:r>
          </w:p>
        </w:tc>
        <w:tc>
          <w:tcPr>
            <w:tcW w:w="305" w:type="pct"/>
            <w:tcBorders>
              <w:top w:val="nil"/>
              <w:left w:val="nil"/>
              <w:bottom w:val="nil"/>
              <w:right w:val="nil"/>
            </w:tcBorders>
            <w:shd w:val="clear" w:color="000000" w:fill="FFFFFF"/>
            <w:noWrap/>
            <w:vAlign w:val="center"/>
            <w:hideMark/>
          </w:tcPr>
          <w:p w14:paraId="5C3881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EC0B2B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135 (0.1%)</w:t>
            </w:r>
          </w:p>
        </w:tc>
      </w:tr>
      <w:tr w:rsidR="00DA1572" w:rsidRPr="00DC3283" w14:paraId="39AC72C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81697D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First degree relative</w:t>
            </w:r>
          </w:p>
        </w:tc>
        <w:tc>
          <w:tcPr>
            <w:tcW w:w="550" w:type="pct"/>
            <w:tcBorders>
              <w:top w:val="nil"/>
              <w:left w:val="nil"/>
              <w:bottom w:val="nil"/>
              <w:right w:val="nil"/>
            </w:tcBorders>
            <w:shd w:val="clear" w:color="000000" w:fill="FFFFFF"/>
            <w:noWrap/>
            <w:vAlign w:val="center"/>
            <w:hideMark/>
          </w:tcPr>
          <w:p w14:paraId="15CD1B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8B366D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57E549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A7F64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42DCF4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C75324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717A2A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0C7524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950060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7BC990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947A6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108 (0.3%)</w:t>
            </w:r>
          </w:p>
        </w:tc>
        <w:tc>
          <w:tcPr>
            <w:tcW w:w="550" w:type="pct"/>
            <w:tcBorders>
              <w:top w:val="nil"/>
              <w:left w:val="nil"/>
              <w:bottom w:val="nil"/>
              <w:right w:val="nil"/>
            </w:tcBorders>
            <w:shd w:val="clear" w:color="000000" w:fill="FFFFFF"/>
            <w:noWrap/>
            <w:vAlign w:val="center"/>
            <w:hideMark/>
          </w:tcPr>
          <w:p w14:paraId="1CBBA6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416 (3.5%)</w:t>
            </w:r>
          </w:p>
        </w:tc>
        <w:tc>
          <w:tcPr>
            <w:tcW w:w="305" w:type="pct"/>
            <w:tcBorders>
              <w:top w:val="nil"/>
              <w:left w:val="nil"/>
              <w:bottom w:val="nil"/>
              <w:right w:val="nil"/>
            </w:tcBorders>
            <w:shd w:val="clear" w:color="000000" w:fill="FFFFFF"/>
            <w:noWrap/>
            <w:vAlign w:val="center"/>
            <w:hideMark/>
          </w:tcPr>
          <w:p w14:paraId="65F18C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7EA7C8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524 (1.1%)</w:t>
            </w:r>
          </w:p>
        </w:tc>
        <w:tc>
          <w:tcPr>
            <w:tcW w:w="550" w:type="pct"/>
            <w:tcBorders>
              <w:top w:val="nil"/>
              <w:left w:val="nil"/>
              <w:bottom w:val="nil"/>
              <w:right w:val="nil"/>
            </w:tcBorders>
            <w:shd w:val="clear" w:color="000000" w:fill="FFFFFF"/>
            <w:noWrap/>
            <w:vAlign w:val="center"/>
            <w:hideMark/>
          </w:tcPr>
          <w:p w14:paraId="05B400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550" w:type="pct"/>
            <w:tcBorders>
              <w:top w:val="nil"/>
              <w:left w:val="nil"/>
              <w:bottom w:val="nil"/>
              <w:right w:val="nil"/>
            </w:tcBorders>
            <w:shd w:val="clear" w:color="000000" w:fill="FFFFFF"/>
            <w:noWrap/>
            <w:vAlign w:val="center"/>
            <w:hideMark/>
          </w:tcPr>
          <w:p w14:paraId="65721F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305" w:type="pct"/>
            <w:tcBorders>
              <w:top w:val="nil"/>
              <w:left w:val="nil"/>
              <w:bottom w:val="nil"/>
              <w:right w:val="nil"/>
            </w:tcBorders>
            <w:shd w:val="clear" w:color="000000" w:fill="FFFFFF"/>
            <w:noWrap/>
            <w:vAlign w:val="center"/>
            <w:hideMark/>
          </w:tcPr>
          <w:p w14:paraId="662E6C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E0DFA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r>
      <w:tr w:rsidR="00DA1572" w:rsidRPr="00DC3283" w14:paraId="253C201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E03E1E2"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Fractures (count, 1 year)</w:t>
            </w:r>
          </w:p>
        </w:tc>
        <w:tc>
          <w:tcPr>
            <w:tcW w:w="550" w:type="pct"/>
            <w:tcBorders>
              <w:top w:val="nil"/>
              <w:left w:val="nil"/>
              <w:bottom w:val="nil"/>
              <w:right w:val="nil"/>
            </w:tcBorders>
            <w:shd w:val="clear" w:color="000000" w:fill="FFFFFF"/>
            <w:noWrap/>
            <w:vAlign w:val="center"/>
            <w:hideMark/>
          </w:tcPr>
          <w:p w14:paraId="65FD5C7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3D01D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20908D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FA55A0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57AA4C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D10BD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64AD1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F4B42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21CC12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EA856E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6B1A53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320 (0.9%)</w:t>
            </w:r>
          </w:p>
        </w:tc>
        <w:tc>
          <w:tcPr>
            <w:tcW w:w="550" w:type="pct"/>
            <w:tcBorders>
              <w:top w:val="nil"/>
              <w:left w:val="nil"/>
              <w:bottom w:val="nil"/>
              <w:right w:val="nil"/>
            </w:tcBorders>
            <w:shd w:val="clear" w:color="000000" w:fill="FFFFFF"/>
            <w:noWrap/>
            <w:vAlign w:val="center"/>
            <w:hideMark/>
          </w:tcPr>
          <w:p w14:paraId="6C08EE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202 (1.7%)</w:t>
            </w:r>
          </w:p>
        </w:tc>
        <w:tc>
          <w:tcPr>
            <w:tcW w:w="305" w:type="pct"/>
            <w:tcBorders>
              <w:top w:val="nil"/>
              <w:left w:val="nil"/>
              <w:bottom w:val="nil"/>
              <w:right w:val="nil"/>
            </w:tcBorders>
            <w:shd w:val="clear" w:color="000000" w:fill="FFFFFF"/>
            <w:noWrap/>
            <w:vAlign w:val="center"/>
            <w:hideMark/>
          </w:tcPr>
          <w:p w14:paraId="2DB0096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55651E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522 (1.1%)</w:t>
            </w:r>
          </w:p>
        </w:tc>
        <w:tc>
          <w:tcPr>
            <w:tcW w:w="550" w:type="pct"/>
            <w:tcBorders>
              <w:top w:val="nil"/>
              <w:left w:val="nil"/>
              <w:bottom w:val="nil"/>
              <w:right w:val="nil"/>
            </w:tcBorders>
            <w:shd w:val="clear" w:color="000000" w:fill="FFFFFF"/>
            <w:noWrap/>
            <w:vAlign w:val="center"/>
            <w:hideMark/>
          </w:tcPr>
          <w:p w14:paraId="235FCB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139 (0.2%)</w:t>
            </w:r>
          </w:p>
        </w:tc>
        <w:tc>
          <w:tcPr>
            <w:tcW w:w="550" w:type="pct"/>
            <w:tcBorders>
              <w:top w:val="nil"/>
              <w:left w:val="nil"/>
              <w:bottom w:val="nil"/>
              <w:right w:val="nil"/>
            </w:tcBorders>
            <w:shd w:val="clear" w:color="000000" w:fill="FFFFFF"/>
            <w:noWrap/>
            <w:vAlign w:val="center"/>
            <w:hideMark/>
          </w:tcPr>
          <w:p w14:paraId="2D1B4F2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65 (0.2%)</w:t>
            </w:r>
          </w:p>
        </w:tc>
        <w:tc>
          <w:tcPr>
            <w:tcW w:w="305" w:type="pct"/>
            <w:tcBorders>
              <w:top w:val="nil"/>
              <w:left w:val="nil"/>
              <w:bottom w:val="nil"/>
              <w:right w:val="nil"/>
            </w:tcBorders>
            <w:shd w:val="clear" w:color="000000" w:fill="FFFFFF"/>
            <w:noWrap/>
            <w:vAlign w:val="center"/>
            <w:hideMark/>
          </w:tcPr>
          <w:p w14:paraId="0BB905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417DA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204 (0.2%)</w:t>
            </w:r>
          </w:p>
        </w:tc>
      </w:tr>
      <w:tr w:rsidR="00DA1572" w:rsidRPr="00DC3283" w14:paraId="47476FB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42A272C"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302D731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169 (0.5%)</w:t>
            </w:r>
          </w:p>
        </w:tc>
        <w:tc>
          <w:tcPr>
            <w:tcW w:w="550" w:type="pct"/>
            <w:tcBorders>
              <w:top w:val="nil"/>
              <w:left w:val="nil"/>
              <w:bottom w:val="nil"/>
              <w:right w:val="nil"/>
            </w:tcBorders>
            <w:shd w:val="clear" w:color="000000" w:fill="FFFFFF"/>
            <w:noWrap/>
            <w:vAlign w:val="center"/>
            <w:hideMark/>
          </w:tcPr>
          <w:p w14:paraId="5AA504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 (0.7%)</w:t>
            </w:r>
          </w:p>
        </w:tc>
        <w:tc>
          <w:tcPr>
            <w:tcW w:w="305" w:type="pct"/>
            <w:tcBorders>
              <w:top w:val="nil"/>
              <w:left w:val="nil"/>
              <w:bottom w:val="nil"/>
              <w:right w:val="nil"/>
            </w:tcBorders>
            <w:shd w:val="clear" w:color="000000" w:fill="FFFFFF"/>
            <w:noWrap/>
            <w:vAlign w:val="center"/>
            <w:hideMark/>
          </w:tcPr>
          <w:p w14:paraId="07A5107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274A2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253 (0.5%)</w:t>
            </w:r>
          </w:p>
        </w:tc>
        <w:tc>
          <w:tcPr>
            <w:tcW w:w="550" w:type="pct"/>
            <w:tcBorders>
              <w:top w:val="nil"/>
              <w:left w:val="nil"/>
              <w:bottom w:val="nil"/>
              <w:right w:val="nil"/>
            </w:tcBorders>
            <w:shd w:val="clear" w:color="000000" w:fill="FFFFFF"/>
            <w:noWrap/>
            <w:vAlign w:val="center"/>
            <w:hideMark/>
          </w:tcPr>
          <w:p w14:paraId="2F95A3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92 (0.1%)</w:t>
            </w:r>
          </w:p>
        </w:tc>
        <w:tc>
          <w:tcPr>
            <w:tcW w:w="550" w:type="pct"/>
            <w:tcBorders>
              <w:top w:val="nil"/>
              <w:left w:val="nil"/>
              <w:bottom w:val="nil"/>
              <w:right w:val="nil"/>
            </w:tcBorders>
            <w:shd w:val="clear" w:color="000000" w:fill="FFFFFF"/>
            <w:noWrap/>
            <w:vAlign w:val="center"/>
            <w:hideMark/>
          </w:tcPr>
          <w:p w14:paraId="1AAB85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 (0.2%)</w:t>
            </w:r>
          </w:p>
        </w:tc>
        <w:tc>
          <w:tcPr>
            <w:tcW w:w="305" w:type="pct"/>
            <w:tcBorders>
              <w:top w:val="nil"/>
              <w:left w:val="nil"/>
              <w:bottom w:val="nil"/>
              <w:right w:val="nil"/>
            </w:tcBorders>
            <w:shd w:val="clear" w:color="000000" w:fill="FFFFFF"/>
            <w:noWrap/>
            <w:vAlign w:val="center"/>
            <w:hideMark/>
          </w:tcPr>
          <w:p w14:paraId="412BB2D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477E9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152 (0.1%)</w:t>
            </w:r>
          </w:p>
        </w:tc>
      </w:tr>
      <w:tr w:rsidR="00DA1572" w:rsidRPr="00DC3283" w14:paraId="51B4B7C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A964AE7"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w:t>
            </w:r>
          </w:p>
        </w:tc>
        <w:tc>
          <w:tcPr>
            <w:tcW w:w="550" w:type="pct"/>
            <w:tcBorders>
              <w:top w:val="nil"/>
              <w:left w:val="nil"/>
              <w:bottom w:val="nil"/>
              <w:right w:val="nil"/>
            </w:tcBorders>
            <w:shd w:val="clear" w:color="000000" w:fill="FFFFFF"/>
            <w:noWrap/>
            <w:vAlign w:val="center"/>
            <w:hideMark/>
          </w:tcPr>
          <w:p w14:paraId="12C43D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D89C92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9F5CA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570512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0E6864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6B96F3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2EB5C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A531E0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51CF8C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CFC46E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53A044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12364 (33.3%)</w:t>
            </w:r>
          </w:p>
        </w:tc>
        <w:tc>
          <w:tcPr>
            <w:tcW w:w="550" w:type="pct"/>
            <w:tcBorders>
              <w:top w:val="nil"/>
              <w:left w:val="nil"/>
              <w:bottom w:val="nil"/>
              <w:right w:val="nil"/>
            </w:tcBorders>
            <w:shd w:val="clear" w:color="000000" w:fill="FFFFFF"/>
            <w:noWrap/>
            <w:vAlign w:val="center"/>
            <w:hideMark/>
          </w:tcPr>
          <w:p w14:paraId="6DC326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6994 (58.0%)</w:t>
            </w:r>
          </w:p>
        </w:tc>
        <w:tc>
          <w:tcPr>
            <w:tcW w:w="305" w:type="pct"/>
            <w:tcBorders>
              <w:top w:val="nil"/>
              <w:left w:val="nil"/>
              <w:bottom w:val="nil"/>
              <w:right w:val="nil"/>
            </w:tcBorders>
            <w:shd w:val="clear" w:color="000000" w:fill="FFFFFF"/>
            <w:noWrap/>
            <w:vAlign w:val="center"/>
            <w:hideMark/>
          </w:tcPr>
          <w:p w14:paraId="72ACEA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E9D4FD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19358 (39.4%)</w:t>
            </w:r>
          </w:p>
        </w:tc>
        <w:tc>
          <w:tcPr>
            <w:tcW w:w="550" w:type="pct"/>
            <w:tcBorders>
              <w:top w:val="nil"/>
              <w:left w:val="nil"/>
              <w:bottom w:val="nil"/>
              <w:right w:val="nil"/>
            </w:tcBorders>
            <w:shd w:val="clear" w:color="000000" w:fill="FFFFFF"/>
            <w:noWrap/>
            <w:vAlign w:val="center"/>
            <w:hideMark/>
          </w:tcPr>
          <w:p w14:paraId="240CE3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4520 (5.8%)</w:t>
            </w:r>
          </w:p>
        </w:tc>
        <w:tc>
          <w:tcPr>
            <w:tcW w:w="550" w:type="pct"/>
            <w:tcBorders>
              <w:top w:val="nil"/>
              <w:left w:val="nil"/>
              <w:bottom w:val="nil"/>
              <w:right w:val="nil"/>
            </w:tcBorders>
            <w:shd w:val="clear" w:color="000000" w:fill="FFFFFF"/>
            <w:noWrap/>
            <w:vAlign w:val="center"/>
            <w:hideMark/>
          </w:tcPr>
          <w:p w14:paraId="1D6FD5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2603 (9.9%)</w:t>
            </w:r>
          </w:p>
        </w:tc>
        <w:tc>
          <w:tcPr>
            <w:tcW w:w="305" w:type="pct"/>
            <w:tcBorders>
              <w:top w:val="nil"/>
              <w:left w:val="nil"/>
              <w:bottom w:val="nil"/>
              <w:right w:val="nil"/>
            </w:tcBorders>
            <w:shd w:val="clear" w:color="000000" w:fill="FFFFFF"/>
            <w:noWrap/>
            <w:vAlign w:val="center"/>
            <w:hideMark/>
          </w:tcPr>
          <w:p w14:paraId="666500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BDC7F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7123 (6.9%)</w:t>
            </w:r>
          </w:p>
        </w:tc>
      </w:tr>
      <w:tr w:rsidR="00DA1572" w:rsidRPr="00DC3283" w14:paraId="310E223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381E8C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 (count, 1 year)</w:t>
            </w:r>
          </w:p>
        </w:tc>
        <w:tc>
          <w:tcPr>
            <w:tcW w:w="550" w:type="pct"/>
            <w:tcBorders>
              <w:top w:val="nil"/>
              <w:left w:val="nil"/>
              <w:bottom w:val="nil"/>
              <w:right w:val="nil"/>
            </w:tcBorders>
            <w:shd w:val="clear" w:color="000000" w:fill="FFFFFF"/>
            <w:noWrap/>
            <w:vAlign w:val="center"/>
            <w:hideMark/>
          </w:tcPr>
          <w:p w14:paraId="49CCE4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4754E8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35158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2B42B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4FF59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307AA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8332F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EBF042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72CC1F8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6440CC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7BAACB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2605 (7.0%)</w:t>
            </w:r>
          </w:p>
        </w:tc>
        <w:tc>
          <w:tcPr>
            <w:tcW w:w="550" w:type="pct"/>
            <w:tcBorders>
              <w:top w:val="nil"/>
              <w:left w:val="nil"/>
              <w:bottom w:val="nil"/>
              <w:right w:val="nil"/>
            </w:tcBorders>
            <w:shd w:val="clear" w:color="000000" w:fill="FFFFFF"/>
            <w:noWrap/>
            <w:vAlign w:val="center"/>
            <w:hideMark/>
          </w:tcPr>
          <w:p w14:paraId="624E5A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2206 (18.3%)</w:t>
            </w:r>
          </w:p>
        </w:tc>
        <w:tc>
          <w:tcPr>
            <w:tcW w:w="305" w:type="pct"/>
            <w:tcBorders>
              <w:top w:val="nil"/>
              <w:left w:val="nil"/>
              <w:bottom w:val="nil"/>
              <w:right w:val="nil"/>
            </w:tcBorders>
            <w:shd w:val="clear" w:color="000000" w:fill="FFFFFF"/>
            <w:noWrap/>
            <w:vAlign w:val="center"/>
            <w:hideMark/>
          </w:tcPr>
          <w:p w14:paraId="72F868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EBE60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4811 (9.8%)</w:t>
            </w:r>
          </w:p>
        </w:tc>
        <w:tc>
          <w:tcPr>
            <w:tcW w:w="550" w:type="pct"/>
            <w:tcBorders>
              <w:top w:val="nil"/>
              <w:left w:val="nil"/>
              <w:bottom w:val="nil"/>
              <w:right w:val="nil"/>
            </w:tcBorders>
            <w:shd w:val="clear" w:color="000000" w:fill="FFFFFF"/>
            <w:noWrap/>
            <w:vAlign w:val="center"/>
            <w:hideMark/>
          </w:tcPr>
          <w:p w14:paraId="287970D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949 (1.2%)</w:t>
            </w:r>
          </w:p>
        </w:tc>
        <w:tc>
          <w:tcPr>
            <w:tcW w:w="550" w:type="pct"/>
            <w:tcBorders>
              <w:top w:val="nil"/>
              <w:left w:val="nil"/>
              <w:bottom w:val="nil"/>
              <w:right w:val="nil"/>
            </w:tcBorders>
            <w:shd w:val="clear" w:color="000000" w:fill="FFFFFF"/>
            <w:noWrap/>
            <w:vAlign w:val="center"/>
            <w:hideMark/>
          </w:tcPr>
          <w:p w14:paraId="55EA555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774 (3.0%)</w:t>
            </w:r>
          </w:p>
        </w:tc>
        <w:tc>
          <w:tcPr>
            <w:tcW w:w="305" w:type="pct"/>
            <w:tcBorders>
              <w:top w:val="nil"/>
              <w:left w:val="nil"/>
              <w:bottom w:val="nil"/>
              <w:right w:val="nil"/>
            </w:tcBorders>
            <w:shd w:val="clear" w:color="000000" w:fill="FFFFFF"/>
            <w:noWrap/>
            <w:vAlign w:val="center"/>
            <w:hideMark/>
          </w:tcPr>
          <w:p w14:paraId="19DA0D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D5722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1723 (1.7%)</w:t>
            </w:r>
          </w:p>
        </w:tc>
      </w:tr>
      <w:tr w:rsidR="00DA1572" w:rsidRPr="00DC3283" w14:paraId="1927C0C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BE1FD9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47CA86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773 (2.1%)</w:t>
            </w:r>
          </w:p>
        </w:tc>
        <w:tc>
          <w:tcPr>
            <w:tcW w:w="550" w:type="pct"/>
            <w:tcBorders>
              <w:top w:val="nil"/>
              <w:left w:val="nil"/>
              <w:bottom w:val="nil"/>
              <w:right w:val="nil"/>
            </w:tcBorders>
            <w:shd w:val="clear" w:color="000000" w:fill="FFFFFF"/>
            <w:noWrap/>
            <w:vAlign w:val="center"/>
            <w:hideMark/>
          </w:tcPr>
          <w:p w14:paraId="3FA0B8D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996 (8.3%)</w:t>
            </w:r>
          </w:p>
        </w:tc>
        <w:tc>
          <w:tcPr>
            <w:tcW w:w="305" w:type="pct"/>
            <w:tcBorders>
              <w:top w:val="nil"/>
              <w:left w:val="nil"/>
              <w:bottom w:val="nil"/>
              <w:right w:val="nil"/>
            </w:tcBorders>
            <w:shd w:val="clear" w:color="000000" w:fill="FFFFFF"/>
            <w:noWrap/>
            <w:vAlign w:val="center"/>
            <w:hideMark/>
          </w:tcPr>
          <w:p w14:paraId="13DED2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63CDC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1769 (3.6%)</w:t>
            </w:r>
          </w:p>
        </w:tc>
        <w:tc>
          <w:tcPr>
            <w:tcW w:w="550" w:type="pct"/>
            <w:tcBorders>
              <w:top w:val="nil"/>
              <w:left w:val="nil"/>
              <w:bottom w:val="nil"/>
              <w:right w:val="nil"/>
            </w:tcBorders>
            <w:shd w:val="clear" w:color="000000" w:fill="FFFFFF"/>
            <w:noWrap/>
            <w:vAlign w:val="center"/>
            <w:hideMark/>
          </w:tcPr>
          <w:p w14:paraId="47F609B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310 (0.4%)</w:t>
            </w:r>
          </w:p>
        </w:tc>
        <w:tc>
          <w:tcPr>
            <w:tcW w:w="550" w:type="pct"/>
            <w:tcBorders>
              <w:top w:val="nil"/>
              <w:left w:val="nil"/>
              <w:bottom w:val="nil"/>
              <w:right w:val="nil"/>
            </w:tcBorders>
            <w:shd w:val="clear" w:color="000000" w:fill="FFFFFF"/>
            <w:noWrap/>
            <w:vAlign w:val="center"/>
            <w:hideMark/>
          </w:tcPr>
          <w:p w14:paraId="44DF49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349 (1.3%)</w:t>
            </w:r>
          </w:p>
        </w:tc>
        <w:tc>
          <w:tcPr>
            <w:tcW w:w="305" w:type="pct"/>
            <w:tcBorders>
              <w:top w:val="nil"/>
              <w:left w:val="nil"/>
              <w:bottom w:val="nil"/>
              <w:right w:val="nil"/>
            </w:tcBorders>
            <w:shd w:val="clear" w:color="000000" w:fill="FFFFFF"/>
            <w:noWrap/>
            <w:vAlign w:val="center"/>
            <w:hideMark/>
          </w:tcPr>
          <w:p w14:paraId="4500AC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5F6690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659 (0.6%)</w:t>
            </w:r>
          </w:p>
        </w:tc>
      </w:tr>
      <w:tr w:rsidR="00DA1572" w:rsidRPr="00DC3283" w14:paraId="655CFB2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51A811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04D6DB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308 (0.8%)</w:t>
            </w:r>
          </w:p>
        </w:tc>
        <w:tc>
          <w:tcPr>
            <w:tcW w:w="550" w:type="pct"/>
            <w:tcBorders>
              <w:top w:val="nil"/>
              <w:left w:val="nil"/>
              <w:bottom w:val="nil"/>
              <w:right w:val="nil"/>
            </w:tcBorders>
            <w:shd w:val="clear" w:color="000000" w:fill="FFFFFF"/>
            <w:noWrap/>
            <w:vAlign w:val="center"/>
            <w:hideMark/>
          </w:tcPr>
          <w:p w14:paraId="41B7FA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507 (4.2%)</w:t>
            </w:r>
          </w:p>
        </w:tc>
        <w:tc>
          <w:tcPr>
            <w:tcW w:w="305" w:type="pct"/>
            <w:tcBorders>
              <w:top w:val="nil"/>
              <w:left w:val="nil"/>
              <w:bottom w:val="nil"/>
              <w:right w:val="nil"/>
            </w:tcBorders>
            <w:shd w:val="clear" w:color="000000" w:fill="FFFFFF"/>
            <w:noWrap/>
            <w:vAlign w:val="center"/>
            <w:hideMark/>
          </w:tcPr>
          <w:p w14:paraId="4A141C3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08A27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815 (1.7%)</w:t>
            </w:r>
          </w:p>
        </w:tc>
        <w:tc>
          <w:tcPr>
            <w:tcW w:w="550" w:type="pct"/>
            <w:tcBorders>
              <w:top w:val="nil"/>
              <w:left w:val="nil"/>
              <w:bottom w:val="nil"/>
              <w:right w:val="nil"/>
            </w:tcBorders>
            <w:shd w:val="clear" w:color="000000" w:fill="FFFFFF"/>
            <w:noWrap/>
            <w:vAlign w:val="center"/>
            <w:hideMark/>
          </w:tcPr>
          <w:p w14:paraId="4F2A2AF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126 (0.2%)</w:t>
            </w:r>
          </w:p>
        </w:tc>
        <w:tc>
          <w:tcPr>
            <w:tcW w:w="550" w:type="pct"/>
            <w:tcBorders>
              <w:top w:val="nil"/>
              <w:left w:val="nil"/>
              <w:bottom w:val="nil"/>
              <w:right w:val="nil"/>
            </w:tcBorders>
            <w:shd w:val="clear" w:color="000000" w:fill="FFFFFF"/>
            <w:noWrap/>
            <w:vAlign w:val="center"/>
            <w:hideMark/>
          </w:tcPr>
          <w:p w14:paraId="1FBF930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179 (0.7%)</w:t>
            </w:r>
          </w:p>
        </w:tc>
        <w:tc>
          <w:tcPr>
            <w:tcW w:w="305" w:type="pct"/>
            <w:tcBorders>
              <w:top w:val="nil"/>
              <w:left w:val="nil"/>
              <w:bottom w:val="nil"/>
              <w:right w:val="nil"/>
            </w:tcBorders>
            <w:shd w:val="clear" w:color="000000" w:fill="FFFFFF"/>
            <w:noWrap/>
            <w:vAlign w:val="center"/>
            <w:hideMark/>
          </w:tcPr>
          <w:p w14:paraId="137899E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4B456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305 (0.3%)</w:t>
            </w:r>
          </w:p>
        </w:tc>
      </w:tr>
      <w:tr w:rsidR="00DA1572" w:rsidRPr="00DC3283" w14:paraId="32C285B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B1D2D8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Four times</w:t>
            </w:r>
          </w:p>
        </w:tc>
        <w:tc>
          <w:tcPr>
            <w:tcW w:w="550" w:type="pct"/>
            <w:tcBorders>
              <w:top w:val="nil"/>
              <w:left w:val="nil"/>
              <w:bottom w:val="nil"/>
              <w:right w:val="nil"/>
            </w:tcBorders>
            <w:shd w:val="clear" w:color="000000" w:fill="FFFFFF"/>
            <w:noWrap/>
            <w:vAlign w:val="center"/>
            <w:hideMark/>
          </w:tcPr>
          <w:p w14:paraId="6968DD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265 (0.7%)</w:t>
            </w:r>
          </w:p>
        </w:tc>
        <w:tc>
          <w:tcPr>
            <w:tcW w:w="550" w:type="pct"/>
            <w:tcBorders>
              <w:top w:val="nil"/>
              <w:left w:val="nil"/>
              <w:bottom w:val="nil"/>
              <w:right w:val="nil"/>
            </w:tcBorders>
            <w:shd w:val="clear" w:color="000000" w:fill="FFFFFF"/>
            <w:noWrap/>
            <w:vAlign w:val="center"/>
            <w:hideMark/>
          </w:tcPr>
          <w:p w14:paraId="770468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679 (5.6%)</w:t>
            </w:r>
          </w:p>
        </w:tc>
        <w:tc>
          <w:tcPr>
            <w:tcW w:w="305" w:type="pct"/>
            <w:tcBorders>
              <w:top w:val="nil"/>
              <w:left w:val="nil"/>
              <w:bottom w:val="nil"/>
              <w:right w:val="nil"/>
            </w:tcBorders>
            <w:shd w:val="clear" w:color="000000" w:fill="FFFFFF"/>
            <w:noWrap/>
            <w:vAlign w:val="center"/>
            <w:hideMark/>
          </w:tcPr>
          <w:p w14:paraId="7F1E94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3346F1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944 (1.9%)</w:t>
            </w:r>
          </w:p>
        </w:tc>
        <w:tc>
          <w:tcPr>
            <w:tcW w:w="550" w:type="pct"/>
            <w:tcBorders>
              <w:top w:val="nil"/>
              <w:left w:val="nil"/>
              <w:bottom w:val="nil"/>
              <w:right w:val="nil"/>
            </w:tcBorders>
            <w:shd w:val="clear" w:color="000000" w:fill="FFFFFF"/>
            <w:noWrap/>
            <w:vAlign w:val="center"/>
            <w:hideMark/>
          </w:tcPr>
          <w:p w14:paraId="1D965E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162 (0.2%)</w:t>
            </w:r>
          </w:p>
        </w:tc>
        <w:tc>
          <w:tcPr>
            <w:tcW w:w="550" w:type="pct"/>
            <w:tcBorders>
              <w:top w:val="nil"/>
              <w:left w:val="nil"/>
              <w:bottom w:val="nil"/>
              <w:right w:val="nil"/>
            </w:tcBorders>
            <w:shd w:val="clear" w:color="000000" w:fill="FFFFFF"/>
            <w:noWrap/>
            <w:vAlign w:val="center"/>
            <w:hideMark/>
          </w:tcPr>
          <w:p w14:paraId="2CB2829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302 (1.2%)</w:t>
            </w:r>
          </w:p>
        </w:tc>
        <w:tc>
          <w:tcPr>
            <w:tcW w:w="305" w:type="pct"/>
            <w:tcBorders>
              <w:top w:val="nil"/>
              <w:left w:val="nil"/>
              <w:bottom w:val="nil"/>
              <w:right w:val="nil"/>
            </w:tcBorders>
            <w:shd w:val="clear" w:color="000000" w:fill="FFFFFF"/>
            <w:noWrap/>
            <w:vAlign w:val="center"/>
            <w:hideMark/>
          </w:tcPr>
          <w:p w14:paraId="574813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324B86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464 (0.4%)</w:t>
            </w:r>
          </w:p>
        </w:tc>
      </w:tr>
      <w:tr w:rsidR="00DA1572" w:rsidRPr="00DC3283" w14:paraId="276F601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B903F21"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Inflammatory bowel disease</w:t>
            </w:r>
          </w:p>
        </w:tc>
        <w:tc>
          <w:tcPr>
            <w:tcW w:w="550" w:type="pct"/>
            <w:tcBorders>
              <w:top w:val="nil"/>
              <w:left w:val="nil"/>
              <w:bottom w:val="nil"/>
              <w:right w:val="nil"/>
            </w:tcBorders>
            <w:shd w:val="clear" w:color="000000" w:fill="FFFFFF"/>
            <w:noWrap/>
            <w:vAlign w:val="center"/>
            <w:hideMark/>
          </w:tcPr>
          <w:p w14:paraId="17D2C5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BF6853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B627DF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C87D3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1CCED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DB935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54F4A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DD8F65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23834FD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6C62F3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C0D46A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160 (0.4%)</w:t>
            </w:r>
          </w:p>
        </w:tc>
        <w:tc>
          <w:tcPr>
            <w:tcW w:w="550" w:type="pct"/>
            <w:tcBorders>
              <w:top w:val="nil"/>
              <w:left w:val="nil"/>
              <w:bottom w:val="nil"/>
              <w:right w:val="nil"/>
            </w:tcBorders>
            <w:shd w:val="clear" w:color="000000" w:fill="FFFFFF"/>
            <w:noWrap/>
            <w:vAlign w:val="center"/>
            <w:hideMark/>
          </w:tcPr>
          <w:p w14:paraId="145CB5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104 (0.9%)</w:t>
            </w:r>
          </w:p>
        </w:tc>
        <w:tc>
          <w:tcPr>
            <w:tcW w:w="305" w:type="pct"/>
            <w:tcBorders>
              <w:top w:val="nil"/>
              <w:left w:val="nil"/>
              <w:bottom w:val="nil"/>
              <w:right w:val="nil"/>
            </w:tcBorders>
            <w:shd w:val="clear" w:color="000000" w:fill="FFFFFF"/>
            <w:noWrap/>
            <w:vAlign w:val="center"/>
            <w:hideMark/>
          </w:tcPr>
          <w:p w14:paraId="43BB70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8D4FC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264 (0.5%)</w:t>
            </w:r>
          </w:p>
        </w:tc>
        <w:tc>
          <w:tcPr>
            <w:tcW w:w="550" w:type="pct"/>
            <w:tcBorders>
              <w:top w:val="nil"/>
              <w:left w:val="nil"/>
              <w:bottom w:val="nil"/>
              <w:right w:val="nil"/>
            </w:tcBorders>
            <w:shd w:val="clear" w:color="000000" w:fill="FFFFFF"/>
            <w:noWrap/>
            <w:vAlign w:val="center"/>
            <w:hideMark/>
          </w:tcPr>
          <w:p w14:paraId="6DD6ABF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 (0.1%)</w:t>
            </w:r>
          </w:p>
        </w:tc>
        <w:tc>
          <w:tcPr>
            <w:tcW w:w="550" w:type="pct"/>
            <w:tcBorders>
              <w:top w:val="nil"/>
              <w:left w:val="nil"/>
              <w:bottom w:val="nil"/>
              <w:right w:val="nil"/>
            </w:tcBorders>
            <w:shd w:val="clear" w:color="000000" w:fill="FFFFFF"/>
            <w:noWrap/>
            <w:vAlign w:val="center"/>
            <w:hideMark/>
          </w:tcPr>
          <w:p w14:paraId="5F8FAE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54 (0.2%)</w:t>
            </w:r>
          </w:p>
        </w:tc>
        <w:tc>
          <w:tcPr>
            <w:tcW w:w="305" w:type="pct"/>
            <w:tcBorders>
              <w:top w:val="nil"/>
              <w:left w:val="nil"/>
              <w:bottom w:val="nil"/>
              <w:right w:val="nil"/>
            </w:tcBorders>
            <w:shd w:val="clear" w:color="000000" w:fill="FFFFFF"/>
            <w:noWrap/>
            <w:vAlign w:val="center"/>
            <w:hideMark/>
          </w:tcPr>
          <w:p w14:paraId="2614C65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60907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136 (0.1%)</w:t>
            </w:r>
          </w:p>
        </w:tc>
      </w:tr>
      <w:tr w:rsidR="00DA1572" w:rsidRPr="00DC3283" w14:paraId="2EC2E04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F9AE563"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Irritable bowel syndrome</w:t>
            </w:r>
          </w:p>
        </w:tc>
        <w:tc>
          <w:tcPr>
            <w:tcW w:w="550" w:type="pct"/>
            <w:tcBorders>
              <w:top w:val="nil"/>
              <w:left w:val="nil"/>
              <w:bottom w:val="nil"/>
              <w:right w:val="nil"/>
            </w:tcBorders>
            <w:shd w:val="clear" w:color="000000" w:fill="FFFFFF"/>
            <w:noWrap/>
            <w:vAlign w:val="center"/>
            <w:hideMark/>
          </w:tcPr>
          <w:p w14:paraId="745EF19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966F39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D9CAC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E8206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D4EC5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1FE58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58933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B7E13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9A44E5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521C0E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7AF24CF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1716 (4.6%)</w:t>
            </w:r>
          </w:p>
        </w:tc>
        <w:tc>
          <w:tcPr>
            <w:tcW w:w="550" w:type="pct"/>
            <w:tcBorders>
              <w:top w:val="nil"/>
              <w:left w:val="nil"/>
              <w:bottom w:val="nil"/>
              <w:right w:val="nil"/>
            </w:tcBorders>
            <w:shd w:val="clear" w:color="000000" w:fill="FFFFFF"/>
            <w:noWrap/>
            <w:vAlign w:val="center"/>
            <w:hideMark/>
          </w:tcPr>
          <w:p w14:paraId="3C7F5A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1346 (11.2%)</w:t>
            </w:r>
          </w:p>
        </w:tc>
        <w:tc>
          <w:tcPr>
            <w:tcW w:w="305" w:type="pct"/>
            <w:tcBorders>
              <w:top w:val="nil"/>
              <w:left w:val="nil"/>
              <w:bottom w:val="nil"/>
              <w:right w:val="nil"/>
            </w:tcBorders>
            <w:shd w:val="clear" w:color="000000" w:fill="FFFFFF"/>
            <w:noWrap/>
            <w:vAlign w:val="center"/>
            <w:hideMark/>
          </w:tcPr>
          <w:p w14:paraId="7CC19D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ABD6B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3062 (6.2%)</w:t>
            </w:r>
          </w:p>
        </w:tc>
        <w:tc>
          <w:tcPr>
            <w:tcW w:w="550" w:type="pct"/>
            <w:tcBorders>
              <w:top w:val="nil"/>
              <w:left w:val="nil"/>
              <w:bottom w:val="nil"/>
              <w:right w:val="nil"/>
            </w:tcBorders>
            <w:shd w:val="clear" w:color="000000" w:fill="FFFFFF"/>
            <w:noWrap/>
            <w:vAlign w:val="center"/>
            <w:hideMark/>
          </w:tcPr>
          <w:p w14:paraId="3FD7616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757 (1.0%)</w:t>
            </w:r>
          </w:p>
        </w:tc>
        <w:tc>
          <w:tcPr>
            <w:tcW w:w="550" w:type="pct"/>
            <w:tcBorders>
              <w:top w:val="nil"/>
              <w:left w:val="nil"/>
              <w:bottom w:val="nil"/>
              <w:right w:val="nil"/>
            </w:tcBorders>
            <w:shd w:val="clear" w:color="000000" w:fill="FFFFFF"/>
            <w:noWrap/>
            <w:vAlign w:val="center"/>
            <w:hideMark/>
          </w:tcPr>
          <w:p w14:paraId="44C0525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545 (2.1%)</w:t>
            </w:r>
          </w:p>
        </w:tc>
        <w:tc>
          <w:tcPr>
            <w:tcW w:w="305" w:type="pct"/>
            <w:tcBorders>
              <w:top w:val="nil"/>
              <w:left w:val="nil"/>
              <w:bottom w:val="nil"/>
              <w:right w:val="nil"/>
            </w:tcBorders>
            <w:shd w:val="clear" w:color="000000" w:fill="FFFFFF"/>
            <w:noWrap/>
            <w:vAlign w:val="center"/>
            <w:hideMark/>
          </w:tcPr>
          <w:p w14:paraId="21235D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4BE0A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1302 (1.3%)</w:t>
            </w:r>
          </w:p>
        </w:tc>
      </w:tr>
      <w:tr w:rsidR="00DA1572" w:rsidRPr="00DC3283" w14:paraId="6FDA5FF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F5F75D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IgA deficiency</w:t>
            </w:r>
          </w:p>
        </w:tc>
        <w:tc>
          <w:tcPr>
            <w:tcW w:w="550" w:type="pct"/>
            <w:tcBorders>
              <w:top w:val="nil"/>
              <w:left w:val="nil"/>
              <w:bottom w:val="nil"/>
              <w:right w:val="nil"/>
            </w:tcBorders>
            <w:shd w:val="clear" w:color="000000" w:fill="FFFFFF"/>
            <w:noWrap/>
            <w:vAlign w:val="center"/>
            <w:hideMark/>
          </w:tcPr>
          <w:p w14:paraId="6C3999F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8D399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8BA731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3DED21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62F6D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4817A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646F0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A7AB0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1A2837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7A0F18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45FB89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 (0.0%)</w:t>
            </w:r>
          </w:p>
        </w:tc>
        <w:tc>
          <w:tcPr>
            <w:tcW w:w="550" w:type="pct"/>
            <w:tcBorders>
              <w:top w:val="nil"/>
              <w:left w:val="nil"/>
              <w:bottom w:val="nil"/>
              <w:right w:val="nil"/>
            </w:tcBorders>
            <w:shd w:val="clear" w:color="000000" w:fill="FFFFFF"/>
            <w:noWrap/>
            <w:vAlign w:val="center"/>
            <w:hideMark/>
          </w:tcPr>
          <w:p w14:paraId="473A4B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c>
          <w:tcPr>
            <w:tcW w:w="305" w:type="pct"/>
            <w:tcBorders>
              <w:top w:val="nil"/>
              <w:left w:val="nil"/>
              <w:bottom w:val="nil"/>
              <w:right w:val="nil"/>
            </w:tcBorders>
            <w:shd w:val="clear" w:color="000000" w:fill="FFFFFF"/>
            <w:noWrap/>
            <w:vAlign w:val="center"/>
            <w:hideMark/>
          </w:tcPr>
          <w:p w14:paraId="22763A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0.004</w:t>
            </w:r>
          </w:p>
        </w:tc>
        <w:tc>
          <w:tcPr>
            <w:tcW w:w="550" w:type="pct"/>
            <w:tcBorders>
              <w:top w:val="nil"/>
              <w:left w:val="nil"/>
              <w:bottom w:val="nil"/>
              <w:right w:val="single" w:sz="8" w:space="0" w:color="auto"/>
            </w:tcBorders>
            <w:shd w:val="clear" w:color="000000" w:fill="FFFFFF"/>
            <w:noWrap/>
            <w:vAlign w:val="center"/>
            <w:hideMark/>
          </w:tcPr>
          <w:p w14:paraId="2CB267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nil"/>
              <w:right w:val="nil"/>
            </w:tcBorders>
            <w:shd w:val="clear" w:color="000000" w:fill="FFFFFF"/>
            <w:noWrap/>
            <w:vAlign w:val="center"/>
            <w:hideMark/>
          </w:tcPr>
          <w:p w14:paraId="5331FAD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 (0.0%)</w:t>
            </w:r>
          </w:p>
        </w:tc>
        <w:tc>
          <w:tcPr>
            <w:tcW w:w="550" w:type="pct"/>
            <w:tcBorders>
              <w:top w:val="nil"/>
              <w:left w:val="nil"/>
              <w:bottom w:val="nil"/>
              <w:right w:val="nil"/>
            </w:tcBorders>
            <w:shd w:val="clear" w:color="000000" w:fill="FFFFFF"/>
            <w:noWrap/>
            <w:vAlign w:val="center"/>
            <w:hideMark/>
          </w:tcPr>
          <w:p w14:paraId="3F7207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 (0.0%)</w:t>
            </w:r>
          </w:p>
        </w:tc>
        <w:tc>
          <w:tcPr>
            <w:tcW w:w="305" w:type="pct"/>
            <w:tcBorders>
              <w:top w:val="nil"/>
              <w:left w:val="nil"/>
              <w:bottom w:val="nil"/>
              <w:right w:val="nil"/>
            </w:tcBorders>
            <w:shd w:val="clear" w:color="000000" w:fill="FFFFFF"/>
            <w:noWrap/>
            <w:vAlign w:val="center"/>
            <w:hideMark/>
          </w:tcPr>
          <w:p w14:paraId="148AB5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2870FCE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r>
      <w:tr w:rsidR="00DA1572" w:rsidRPr="00DC3283" w14:paraId="16DDC10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29AD88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lastRenderedPageBreak/>
              <w:t>Iron, vit B12, or folate deficiency</w:t>
            </w:r>
          </w:p>
        </w:tc>
        <w:tc>
          <w:tcPr>
            <w:tcW w:w="550" w:type="pct"/>
            <w:tcBorders>
              <w:top w:val="nil"/>
              <w:left w:val="nil"/>
              <w:bottom w:val="nil"/>
              <w:right w:val="nil"/>
            </w:tcBorders>
            <w:shd w:val="clear" w:color="000000" w:fill="FFFFFF"/>
            <w:noWrap/>
            <w:vAlign w:val="center"/>
            <w:hideMark/>
          </w:tcPr>
          <w:p w14:paraId="2972956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BD983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28D265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C0577C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8D0FD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4A3ED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FED0B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3E0EC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AA7E7B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443950B"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3FB99C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505 (1.4%)</w:t>
            </w:r>
          </w:p>
        </w:tc>
        <w:tc>
          <w:tcPr>
            <w:tcW w:w="550" w:type="pct"/>
            <w:tcBorders>
              <w:top w:val="nil"/>
              <w:left w:val="nil"/>
              <w:bottom w:val="nil"/>
              <w:right w:val="nil"/>
            </w:tcBorders>
            <w:shd w:val="clear" w:color="000000" w:fill="FFFFFF"/>
            <w:noWrap/>
            <w:vAlign w:val="center"/>
            <w:hideMark/>
          </w:tcPr>
          <w:p w14:paraId="4EC3AA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938 (7.8%)</w:t>
            </w:r>
          </w:p>
        </w:tc>
        <w:tc>
          <w:tcPr>
            <w:tcW w:w="305" w:type="pct"/>
            <w:tcBorders>
              <w:top w:val="nil"/>
              <w:left w:val="nil"/>
              <w:bottom w:val="nil"/>
              <w:right w:val="nil"/>
            </w:tcBorders>
            <w:shd w:val="clear" w:color="000000" w:fill="FFFFFF"/>
            <w:noWrap/>
            <w:vAlign w:val="center"/>
            <w:hideMark/>
          </w:tcPr>
          <w:p w14:paraId="4367E6B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409F50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1443 (2.9%)</w:t>
            </w:r>
          </w:p>
        </w:tc>
        <w:tc>
          <w:tcPr>
            <w:tcW w:w="550" w:type="pct"/>
            <w:tcBorders>
              <w:top w:val="nil"/>
              <w:left w:val="nil"/>
              <w:bottom w:val="nil"/>
              <w:right w:val="nil"/>
            </w:tcBorders>
            <w:shd w:val="clear" w:color="000000" w:fill="FFFFFF"/>
            <w:noWrap/>
            <w:vAlign w:val="center"/>
            <w:hideMark/>
          </w:tcPr>
          <w:p w14:paraId="0D0A20D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235 (0.3%)</w:t>
            </w:r>
          </w:p>
        </w:tc>
        <w:tc>
          <w:tcPr>
            <w:tcW w:w="550" w:type="pct"/>
            <w:tcBorders>
              <w:top w:val="nil"/>
              <w:left w:val="nil"/>
              <w:bottom w:val="nil"/>
              <w:right w:val="nil"/>
            </w:tcBorders>
            <w:shd w:val="clear" w:color="000000" w:fill="FFFFFF"/>
            <w:noWrap/>
            <w:vAlign w:val="center"/>
            <w:hideMark/>
          </w:tcPr>
          <w:p w14:paraId="589B291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394 (1.5%)</w:t>
            </w:r>
          </w:p>
        </w:tc>
        <w:tc>
          <w:tcPr>
            <w:tcW w:w="305" w:type="pct"/>
            <w:tcBorders>
              <w:top w:val="nil"/>
              <w:left w:val="nil"/>
              <w:bottom w:val="nil"/>
              <w:right w:val="nil"/>
            </w:tcBorders>
            <w:shd w:val="clear" w:color="000000" w:fill="FFFFFF"/>
            <w:noWrap/>
            <w:vAlign w:val="center"/>
            <w:hideMark/>
          </w:tcPr>
          <w:p w14:paraId="5383D4F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38D9C0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629 (0.6%)</w:t>
            </w:r>
          </w:p>
        </w:tc>
      </w:tr>
      <w:tr w:rsidR="00DA1572" w:rsidRPr="00DC3283" w14:paraId="7B3CC6E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67197F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Mouth ulcers (count, 1 year)</w:t>
            </w:r>
          </w:p>
        </w:tc>
        <w:tc>
          <w:tcPr>
            <w:tcW w:w="550" w:type="pct"/>
            <w:tcBorders>
              <w:top w:val="nil"/>
              <w:left w:val="nil"/>
              <w:bottom w:val="nil"/>
              <w:right w:val="nil"/>
            </w:tcBorders>
            <w:shd w:val="clear" w:color="000000" w:fill="FFFFFF"/>
            <w:noWrap/>
            <w:vAlign w:val="center"/>
            <w:hideMark/>
          </w:tcPr>
          <w:p w14:paraId="0EDFF74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11E7E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9E677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99620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F5CE3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999CCD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C54EF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1829FE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52C8875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5A7FE1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78CB6E3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110 (0.3%)</w:t>
            </w:r>
          </w:p>
        </w:tc>
        <w:tc>
          <w:tcPr>
            <w:tcW w:w="550" w:type="pct"/>
            <w:tcBorders>
              <w:top w:val="nil"/>
              <w:left w:val="nil"/>
              <w:bottom w:val="nil"/>
              <w:right w:val="nil"/>
            </w:tcBorders>
            <w:shd w:val="clear" w:color="000000" w:fill="FFFFFF"/>
            <w:noWrap/>
            <w:vAlign w:val="center"/>
            <w:hideMark/>
          </w:tcPr>
          <w:p w14:paraId="2F5097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121 (1.0%)</w:t>
            </w:r>
          </w:p>
        </w:tc>
        <w:tc>
          <w:tcPr>
            <w:tcW w:w="305" w:type="pct"/>
            <w:tcBorders>
              <w:top w:val="nil"/>
              <w:left w:val="nil"/>
              <w:bottom w:val="nil"/>
              <w:right w:val="nil"/>
            </w:tcBorders>
            <w:shd w:val="clear" w:color="000000" w:fill="FFFFFF"/>
            <w:noWrap/>
            <w:vAlign w:val="center"/>
            <w:hideMark/>
          </w:tcPr>
          <w:p w14:paraId="41E0B4C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48384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231 (0.5%)</w:t>
            </w:r>
          </w:p>
        </w:tc>
        <w:tc>
          <w:tcPr>
            <w:tcW w:w="550" w:type="pct"/>
            <w:tcBorders>
              <w:top w:val="nil"/>
              <w:left w:val="nil"/>
              <w:bottom w:val="nil"/>
              <w:right w:val="nil"/>
            </w:tcBorders>
            <w:shd w:val="clear" w:color="000000" w:fill="FFFFFF"/>
            <w:noWrap/>
            <w:vAlign w:val="center"/>
            <w:hideMark/>
          </w:tcPr>
          <w:p w14:paraId="2491CA2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 (0.1%)</w:t>
            </w:r>
          </w:p>
        </w:tc>
        <w:tc>
          <w:tcPr>
            <w:tcW w:w="550" w:type="pct"/>
            <w:tcBorders>
              <w:top w:val="nil"/>
              <w:left w:val="nil"/>
              <w:bottom w:val="nil"/>
              <w:right w:val="nil"/>
            </w:tcBorders>
            <w:shd w:val="clear" w:color="000000" w:fill="FFFFFF"/>
            <w:noWrap/>
            <w:vAlign w:val="center"/>
            <w:hideMark/>
          </w:tcPr>
          <w:p w14:paraId="0806329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 (0.1%)</w:t>
            </w:r>
          </w:p>
        </w:tc>
        <w:tc>
          <w:tcPr>
            <w:tcW w:w="305" w:type="pct"/>
            <w:tcBorders>
              <w:top w:val="nil"/>
              <w:left w:val="nil"/>
              <w:bottom w:val="nil"/>
              <w:right w:val="nil"/>
            </w:tcBorders>
            <w:shd w:val="clear" w:color="000000" w:fill="FFFFFF"/>
            <w:noWrap/>
            <w:vAlign w:val="center"/>
            <w:hideMark/>
          </w:tcPr>
          <w:p w14:paraId="70D053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328E4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75 (0.1%)</w:t>
            </w:r>
          </w:p>
        </w:tc>
      </w:tr>
      <w:tr w:rsidR="00DA1572" w:rsidRPr="00DC3283" w14:paraId="53F8B6A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1FE1C7B"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3C978A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 (0.0%)</w:t>
            </w:r>
          </w:p>
        </w:tc>
        <w:tc>
          <w:tcPr>
            <w:tcW w:w="550" w:type="pct"/>
            <w:tcBorders>
              <w:top w:val="nil"/>
              <w:left w:val="nil"/>
              <w:bottom w:val="nil"/>
              <w:right w:val="nil"/>
            </w:tcBorders>
            <w:shd w:val="clear" w:color="000000" w:fill="FFFFFF"/>
            <w:noWrap/>
            <w:vAlign w:val="center"/>
            <w:hideMark/>
          </w:tcPr>
          <w:p w14:paraId="1CB3C3F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 (0.3%)</w:t>
            </w:r>
          </w:p>
        </w:tc>
        <w:tc>
          <w:tcPr>
            <w:tcW w:w="305" w:type="pct"/>
            <w:tcBorders>
              <w:top w:val="nil"/>
              <w:left w:val="nil"/>
              <w:bottom w:val="nil"/>
              <w:right w:val="nil"/>
            </w:tcBorders>
            <w:shd w:val="clear" w:color="000000" w:fill="FFFFFF"/>
            <w:noWrap/>
            <w:vAlign w:val="center"/>
            <w:hideMark/>
          </w:tcPr>
          <w:p w14:paraId="3770D19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E263E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 (0.1%)</w:t>
            </w:r>
          </w:p>
        </w:tc>
        <w:tc>
          <w:tcPr>
            <w:tcW w:w="550" w:type="pct"/>
            <w:tcBorders>
              <w:top w:val="nil"/>
              <w:left w:val="nil"/>
              <w:bottom w:val="nil"/>
              <w:right w:val="nil"/>
            </w:tcBorders>
            <w:shd w:val="clear" w:color="000000" w:fill="FFFFFF"/>
            <w:noWrap/>
            <w:vAlign w:val="center"/>
            <w:hideMark/>
          </w:tcPr>
          <w:p w14:paraId="1C3636B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 (0.0%)</w:t>
            </w:r>
          </w:p>
        </w:tc>
        <w:tc>
          <w:tcPr>
            <w:tcW w:w="550" w:type="pct"/>
            <w:tcBorders>
              <w:top w:val="nil"/>
              <w:left w:val="nil"/>
              <w:bottom w:val="nil"/>
              <w:right w:val="nil"/>
            </w:tcBorders>
            <w:shd w:val="clear" w:color="000000" w:fill="FFFFFF"/>
            <w:noWrap/>
            <w:vAlign w:val="center"/>
            <w:hideMark/>
          </w:tcPr>
          <w:p w14:paraId="66DCDC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 (0.1%)</w:t>
            </w:r>
          </w:p>
        </w:tc>
        <w:tc>
          <w:tcPr>
            <w:tcW w:w="305" w:type="pct"/>
            <w:tcBorders>
              <w:top w:val="nil"/>
              <w:left w:val="nil"/>
              <w:bottom w:val="nil"/>
              <w:right w:val="nil"/>
            </w:tcBorders>
            <w:shd w:val="clear" w:color="000000" w:fill="FFFFFF"/>
            <w:noWrap/>
            <w:vAlign w:val="center"/>
            <w:hideMark/>
          </w:tcPr>
          <w:p w14:paraId="41FB373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D81B4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 (0.0%)</w:t>
            </w:r>
          </w:p>
        </w:tc>
      </w:tr>
      <w:tr w:rsidR="00DA1572" w:rsidRPr="00DC3283" w14:paraId="6DCCA8B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784034E"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Neuropathy or ataxia</w:t>
            </w:r>
          </w:p>
        </w:tc>
        <w:tc>
          <w:tcPr>
            <w:tcW w:w="550" w:type="pct"/>
            <w:tcBorders>
              <w:top w:val="nil"/>
              <w:left w:val="nil"/>
              <w:bottom w:val="nil"/>
              <w:right w:val="nil"/>
            </w:tcBorders>
            <w:shd w:val="clear" w:color="000000" w:fill="FFFFFF"/>
            <w:noWrap/>
            <w:vAlign w:val="center"/>
            <w:hideMark/>
          </w:tcPr>
          <w:p w14:paraId="6E7F8A9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DF5D3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AD0D1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7F61C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7A92F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086DD0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0DA3E8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F9D3A2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694D30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F72017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33AF5C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 (0.2%)</w:t>
            </w:r>
          </w:p>
        </w:tc>
        <w:tc>
          <w:tcPr>
            <w:tcW w:w="550" w:type="pct"/>
            <w:tcBorders>
              <w:top w:val="nil"/>
              <w:left w:val="nil"/>
              <w:bottom w:val="nil"/>
              <w:right w:val="nil"/>
            </w:tcBorders>
            <w:shd w:val="clear" w:color="000000" w:fill="FFFFFF"/>
            <w:noWrap/>
            <w:vAlign w:val="center"/>
            <w:hideMark/>
          </w:tcPr>
          <w:p w14:paraId="697855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55 (0.5%)</w:t>
            </w:r>
          </w:p>
        </w:tc>
        <w:tc>
          <w:tcPr>
            <w:tcW w:w="305" w:type="pct"/>
            <w:tcBorders>
              <w:top w:val="nil"/>
              <w:left w:val="nil"/>
              <w:bottom w:val="nil"/>
              <w:right w:val="nil"/>
            </w:tcBorders>
            <w:shd w:val="clear" w:color="000000" w:fill="FFFFFF"/>
            <w:noWrap/>
            <w:vAlign w:val="center"/>
            <w:hideMark/>
          </w:tcPr>
          <w:p w14:paraId="4877BB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46C61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139 (0.3%)</w:t>
            </w:r>
          </w:p>
        </w:tc>
        <w:tc>
          <w:tcPr>
            <w:tcW w:w="550" w:type="pct"/>
            <w:tcBorders>
              <w:top w:val="nil"/>
              <w:left w:val="nil"/>
              <w:bottom w:val="nil"/>
              <w:right w:val="nil"/>
            </w:tcBorders>
            <w:shd w:val="clear" w:color="000000" w:fill="FFFFFF"/>
            <w:noWrap/>
            <w:vAlign w:val="center"/>
            <w:hideMark/>
          </w:tcPr>
          <w:p w14:paraId="3CDE42F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56 (0.1%)</w:t>
            </w:r>
          </w:p>
        </w:tc>
        <w:tc>
          <w:tcPr>
            <w:tcW w:w="550" w:type="pct"/>
            <w:tcBorders>
              <w:top w:val="nil"/>
              <w:left w:val="nil"/>
              <w:bottom w:val="nil"/>
              <w:right w:val="nil"/>
            </w:tcBorders>
            <w:shd w:val="clear" w:color="000000" w:fill="FFFFFF"/>
            <w:noWrap/>
            <w:vAlign w:val="center"/>
            <w:hideMark/>
          </w:tcPr>
          <w:p w14:paraId="35BB85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 (0.1%)</w:t>
            </w:r>
          </w:p>
        </w:tc>
        <w:tc>
          <w:tcPr>
            <w:tcW w:w="305" w:type="pct"/>
            <w:tcBorders>
              <w:top w:val="nil"/>
              <w:left w:val="nil"/>
              <w:bottom w:val="nil"/>
              <w:right w:val="nil"/>
            </w:tcBorders>
            <w:shd w:val="clear" w:color="000000" w:fill="FFFFFF"/>
            <w:noWrap/>
            <w:vAlign w:val="center"/>
            <w:hideMark/>
          </w:tcPr>
          <w:p w14:paraId="75F87B9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0.003</w:t>
            </w:r>
          </w:p>
        </w:tc>
        <w:tc>
          <w:tcPr>
            <w:tcW w:w="549" w:type="pct"/>
            <w:tcBorders>
              <w:top w:val="nil"/>
              <w:left w:val="nil"/>
              <w:bottom w:val="nil"/>
              <w:right w:val="single" w:sz="4" w:space="0" w:color="auto"/>
            </w:tcBorders>
            <w:shd w:val="clear" w:color="000000" w:fill="FFFFFF"/>
            <w:noWrap/>
            <w:vAlign w:val="center"/>
            <w:hideMark/>
          </w:tcPr>
          <w:p w14:paraId="58A9D6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92 (0.1%)</w:t>
            </w:r>
          </w:p>
        </w:tc>
      </w:tr>
      <w:tr w:rsidR="00DA1572" w:rsidRPr="00DC3283" w14:paraId="01C12BE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670271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Osteoporosis</w:t>
            </w:r>
          </w:p>
        </w:tc>
        <w:tc>
          <w:tcPr>
            <w:tcW w:w="550" w:type="pct"/>
            <w:tcBorders>
              <w:top w:val="nil"/>
              <w:left w:val="nil"/>
              <w:bottom w:val="nil"/>
              <w:right w:val="nil"/>
            </w:tcBorders>
            <w:shd w:val="clear" w:color="000000" w:fill="FFFFFF"/>
            <w:noWrap/>
            <w:vAlign w:val="center"/>
            <w:hideMark/>
          </w:tcPr>
          <w:p w14:paraId="67990A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5404C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EB2E9B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0BDCF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CBEF1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43C4E0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88A0C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308C0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7BB6B13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ABE278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BFFDC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915 (2.5%)</w:t>
            </w:r>
          </w:p>
        </w:tc>
        <w:tc>
          <w:tcPr>
            <w:tcW w:w="550" w:type="pct"/>
            <w:tcBorders>
              <w:top w:val="nil"/>
              <w:left w:val="nil"/>
              <w:bottom w:val="nil"/>
              <w:right w:val="nil"/>
            </w:tcBorders>
            <w:shd w:val="clear" w:color="000000" w:fill="FFFFFF"/>
            <w:noWrap/>
            <w:vAlign w:val="center"/>
            <w:hideMark/>
          </w:tcPr>
          <w:p w14:paraId="41AE96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898 (7.5%)</w:t>
            </w:r>
          </w:p>
        </w:tc>
        <w:tc>
          <w:tcPr>
            <w:tcW w:w="305" w:type="pct"/>
            <w:tcBorders>
              <w:top w:val="nil"/>
              <w:left w:val="nil"/>
              <w:bottom w:val="nil"/>
              <w:right w:val="nil"/>
            </w:tcBorders>
            <w:shd w:val="clear" w:color="000000" w:fill="FFFFFF"/>
            <w:noWrap/>
            <w:vAlign w:val="center"/>
            <w:hideMark/>
          </w:tcPr>
          <w:p w14:paraId="61E376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6E4B991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1813 (3.7%)</w:t>
            </w:r>
          </w:p>
        </w:tc>
        <w:tc>
          <w:tcPr>
            <w:tcW w:w="550" w:type="pct"/>
            <w:tcBorders>
              <w:top w:val="nil"/>
              <w:left w:val="nil"/>
              <w:bottom w:val="nil"/>
              <w:right w:val="nil"/>
            </w:tcBorders>
            <w:shd w:val="clear" w:color="000000" w:fill="FFFFFF"/>
            <w:noWrap/>
            <w:vAlign w:val="center"/>
            <w:hideMark/>
          </w:tcPr>
          <w:p w14:paraId="653DF3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367 (0.5%)</w:t>
            </w:r>
          </w:p>
        </w:tc>
        <w:tc>
          <w:tcPr>
            <w:tcW w:w="550" w:type="pct"/>
            <w:tcBorders>
              <w:top w:val="nil"/>
              <w:left w:val="nil"/>
              <w:bottom w:val="nil"/>
              <w:right w:val="nil"/>
            </w:tcBorders>
            <w:shd w:val="clear" w:color="000000" w:fill="FFFFFF"/>
            <w:noWrap/>
            <w:vAlign w:val="center"/>
            <w:hideMark/>
          </w:tcPr>
          <w:p w14:paraId="14B0B3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305 (1.2%)</w:t>
            </w:r>
          </w:p>
        </w:tc>
        <w:tc>
          <w:tcPr>
            <w:tcW w:w="305" w:type="pct"/>
            <w:tcBorders>
              <w:top w:val="nil"/>
              <w:left w:val="nil"/>
              <w:bottom w:val="nil"/>
              <w:right w:val="nil"/>
            </w:tcBorders>
            <w:shd w:val="clear" w:color="000000" w:fill="FFFFFF"/>
            <w:noWrap/>
            <w:vAlign w:val="center"/>
            <w:hideMark/>
          </w:tcPr>
          <w:p w14:paraId="59E60E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9D3C1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672 (0.6%)</w:t>
            </w:r>
          </w:p>
        </w:tc>
      </w:tr>
      <w:tr w:rsidR="00DA1572" w:rsidRPr="00DC3283" w14:paraId="0BFACD9C"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ABA8D3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Systemic lupus erythematosus</w:t>
            </w:r>
          </w:p>
        </w:tc>
        <w:tc>
          <w:tcPr>
            <w:tcW w:w="550" w:type="pct"/>
            <w:tcBorders>
              <w:top w:val="nil"/>
              <w:left w:val="nil"/>
              <w:bottom w:val="nil"/>
              <w:right w:val="nil"/>
            </w:tcBorders>
            <w:shd w:val="clear" w:color="000000" w:fill="FFFFFF"/>
            <w:noWrap/>
            <w:vAlign w:val="center"/>
            <w:hideMark/>
          </w:tcPr>
          <w:p w14:paraId="51C91E6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BA0F7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9340F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D4C8C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CA744A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80226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593349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B5521B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C73F2B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FAE9DA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58E2200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 (0.1%)</w:t>
            </w:r>
          </w:p>
        </w:tc>
        <w:tc>
          <w:tcPr>
            <w:tcW w:w="550" w:type="pct"/>
            <w:tcBorders>
              <w:top w:val="nil"/>
              <w:left w:val="nil"/>
              <w:bottom w:val="nil"/>
              <w:right w:val="nil"/>
            </w:tcBorders>
            <w:shd w:val="clear" w:color="000000" w:fill="FFFFFF"/>
            <w:noWrap/>
            <w:vAlign w:val="center"/>
            <w:hideMark/>
          </w:tcPr>
          <w:p w14:paraId="75F36DA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40 (0.3%)</w:t>
            </w:r>
          </w:p>
        </w:tc>
        <w:tc>
          <w:tcPr>
            <w:tcW w:w="305" w:type="pct"/>
            <w:tcBorders>
              <w:top w:val="nil"/>
              <w:left w:val="nil"/>
              <w:bottom w:val="nil"/>
              <w:right w:val="nil"/>
            </w:tcBorders>
            <w:shd w:val="clear" w:color="000000" w:fill="FFFFFF"/>
            <w:noWrap/>
            <w:vAlign w:val="center"/>
            <w:hideMark/>
          </w:tcPr>
          <w:p w14:paraId="16C299F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298E9E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 (0.2%)</w:t>
            </w:r>
          </w:p>
        </w:tc>
        <w:tc>
          <w:tcPr>
            <w:tcW w:w="550" w:type="pct"/>
            <w:tcBorders>
              <w:top w:val="nil"/>
              <w:left w:val="nil"/>
              <w:bottom w:val="nil"/>
              <w:right w:val="nil"/>
            </w:tcBorders>
            <w:shd w:val="clear" w:color="000000" w:fill="FFFFFF"/>
            <w:noWrap/>
            <w:vAlign w:val="center"/>
            <w:hideMark/>
          </w:tcPr>
          <w:p w14:paraId="7F5208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 (0.0%)</w:t>
            </w:r>
          </w:p>
        </w:tc>
        <w:tc>
          <w:tcPr>
            <w:tcW w:w="550" w:type="pct"/>
            <w:tcBorders>
              <w:top w:val="nil"/>
              <w:left w:val="nil"/>
              <w:bottom w:val="nil"/>
              <w:right w:val="nil"/>
            </w:tcBorders>
            <w:shd w:val="clear" w:color="000000" w:fill="FFFFFF"/>
            <w:noWrap/>
            <w:vAlign w:val="center"/>
            <w:hideMark/>
          </w:tcPr>
          <w:p w14:paraId="0920D2F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 (0.1%)</w:t>
            </w:r>
          </w:p>
        </w:tc>
        <w:tc>
          <w:tcPr>
            <w:tcW w:w="305" w:type="pct"/>
            <w:tcBorders>
              <w:top w:val="nil"/>
              <w:left w:val="nil"/>
              <w:bottom w:val="nil"/>
              <w:right w:val="nil"/>
            </w:tcBorders>
            <w:shd w:val="clear" w:color="000000" w:fill="FFFFFF"/>
            <w:noWrap/>
            <w:vAlign w:val="center"/>
            <w:hideMark/>
          </w:tcPr>
          <w:p w14:paraId="4B4916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DF7F4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41 (0.0%)</w:t>
            </w:r>
          </w:p>
        </w:tc>
      </w:tr>
      <w:tr w:rsidR="00DA1572" w:rsidRPr="00DC3283" w14:paraId="5D27701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7330EFA"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Type 1 diabetes</w:t>
            </w:r>
          </w:p>
        </w:tc>
        <w:tc>
          <w:tcPr>
            <w:tcW w:w="550" w:type="pct"/>
            <w:tcBorders>
              <w:top w:val="nil"/>
              <w:left w:val="nil"/>
              <w:bottom w:val="nil"/>
              <w:right w:val="nil"/>
            </w:tcBorders>
            <w:shd w:val="clear" w:color="000000" w:fill="FFFFFF"/>
            <w:noWrap/>
            <w:vAlign w:val="center"/>
            <w:hideMark/>
          </w:tcPr>
          <w:p w14:paraId="0CD2650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E79F5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7DBD2F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73960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F387B6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4E3C56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1192B8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DA8BB5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7EA160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D02FAE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65FD7F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99 (0.3%)</w:t>
            </w:r>
          </w:p>
        </w:tc>
        <w:tc>
          <w:tcPr>
            <w:tcW w:w="550" w:type="pct"/>
            <w:tcBorders>
              <w:top w:val="nil"/>
              <w:left w:val="nil"/>
              <w:bottom w:val="nil"/>
              <w:right w:val="nil"/>
            </w:tcBorders>
            <w:shd w:val="clear" w:color="000000" w:fill="FFFFFF"/>
            <w:noWrap/>
            <w:vAlign w:val="center"/>
            <w:hideMark/>
          </w:tcPr>
          <w:p w14:paraId="25EC0D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141 (1.2%)</w:t>
            </w:r>
          </w:p>
        </w:tc>
        <w:tc>
          <w:tcPr>
            <w:tcW w:w="305" w:type="pct"/>
            <w:tcBorders>
              <w:top w:val="nil"/>
              <w:left w:val="nil"/>
              <w:bottom w:val="nil"/>
              <w:right w:val="nil"/>
            </w:tcBorders>
            <w:shd w:val="clear" w:color="000000" w:fill="FFFFFF"/>
            <w:noWrap/>
            <w:vAlign w:val="center"/>
            <w:hideMark/>
          </w:tcPr>
          <w:p w14:paraId="6BD260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0C4586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240 (0.5%)</w:t>
            </w:r>
          </w:p>
        </w:tc>
        <w:tc>
          <w:tcPr>
            <w:tcW w:w="550" w:type="pct"/>
            <w:tcBorders>
              <w:top w:val="nil"/>
              <w:left w:val="nil"/>
              <w:bottom w:val="nil"/>
              <w:right w:val="nil"/>
            </w:tcBorders>
            <w:shd w:val="clear" w:color="000000" w:fill="FFFFFF"/>
            <w:noWrap/>
            <w:vAlign w:val="center"/>
            <w:hideMark/>
          </w:tcPr>
          <w:p w14:paraId="077FAAA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223 (0.3%)</w:t>
            </w:r>
          </w:p>
        </w:tc>
        <w:tc>
          <w:tcPr>
            <w:tcW w:w="550" w:type="pct"/>
            <w:tcBorders>
              <w:top w:val="nil"/>
              <w:left w:val="nil"/>
              <w:bottom w:val="nil"/>
              <w:right w:val="nil"/>
            </w:tcBorders>
            <w:shd w:val="clear" w:color="000000" w:fill="FFFFFF"/>
            <w:noWrap/>
            <w:vAlign w:val="center"/>
            <w:hideMark/>
          </w:tcPr>
          <w:p w14:paraId="47C296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147 (0.6%)</w:t>
            </w:r>
          </w:p>
        </w:tc>
        <w:tc>
          <w:tcPr>
            <w:tcW w:w="305" w:type="pct"/>
            <w:tcBorders>
              <w:top w:val="nil"/>
              <w:left w:val="nil"/>
              <w:bottom w:val="nil"/>
              <w:right w:val="nil"/>
            </w:tcBorders>
            <w:shd w:val="clear" w:color="000000" w:fill="FFFFFF"/>
            <w:noWrap/>
            <w:vAlign w:val="center"/>
            <w:hideMark/>
          </w:tcPr>
          <w:p w14:paraId="0F1826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2C9B968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370 (0.4%)</w:t>
            </w:r>
          </w:p>
        </w:tc>
      </w:tr>
      <w:tr w:rsidR="00DA1572" w:rsidRPr="00DC3283" w14:paraId="4379337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A5CD13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Thyroid disorders</w:t>
            </w:r>
          </w:p>
        </w:tc>
        <w:tc>
          <w:tcPr>
            <w:tcW w:w="550" w:type="pct"/>
            <w:tcBorders>
              <w:top w:val="nil"/>
              <w:left w:val="nil"/>
              <w:bottom w:val="nil"/>
              <w:right w:val="nil"/>
            </w:tcBorders>
            <w:shd w:val="clear" w:color="000000" w:fill="FFFFFF"/>
            <w:noWrap/>
            <w:vAlign w:val="center"/>
            <w:hideMark/>
          </w:tcPr>
          <w:p w14:paraId="75D39C7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226B8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275929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3863DD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FFF52C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1173E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3C4081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27812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358FF8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BB8C52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A716B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2042 (5.5%)</w:t>
            </w:r>
          </w:p>
        </w:tc>
        <w:tc>
          <w:tcPr>
            <w:tcW w:w="550" w:type="pct"/>
            <w:tcBorders>
              <w:top w:val="nil"/>
              <w:left w:val="nil"/>
              <w:bottom w:val="nil"/>
              <w:right w:val="nil"/>
            </w:tcBorders>
            <w:shd w:val="clear" w:color="000000" w:fill="FFFFFF"/>
            <w:noWrap/>
            <w:vAlign w:val="center"/>
            <w:hideMark/>
          </w:tcPr>
          <w:p w14:paraId="0C2A56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1442 (12.0%)</w:t>
            </w:r>
          </w:p>
        </w:tc>
        <w:tc>
          <w:tcPr>
            <w:tcW w:w="305" w:type="pct"/>
            <w:tcBorders>
              <w:top w:val="nil"/>
              <w:left w:val="nil"/>
              <w:bottom w:val="nil"/>
              <w:right w:val="nil"/>
            </w:tcBorders>
            <w:shd w:val="clear" w:color="000000" w:fill="FFFFFF"/>
            <w:noWrap/>
            <w:vAlign w:val="center"/>
            <w:hideMark/>
          </w:tcPr>
          <w:p w14:paraId="4F38BD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EC08C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3484 (7.1%)</w:t>
            </w:r>
          </w:p>
        </w:tc>
        <w:tc>
          <w:tcPr>
            <w:tcW w:w="550" w:type="pct"/>
            <w:tcBorders>
              <w:top w:val="nil"/>
              <w:left w:val="nil"/>
              <w:bottom w:val="nil"/>
              <w:right w:val="nil"/>
            </w:tcBorders>
            <w:shd w:val="clear" w:color="000000" w:fill="FFFFFF"/>
            <w:noWrap/>
            <w:vAlign w:val="center"/>
            <w:hideMark/>
          </w:tcPr>
          <w:p w14:paraId="4BCE6A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815 (1.1%)</w:t>
            </w:r>
          </w:p>
        </w:tc>
        <w:tc>
          <w:tcPr>
            <w:tcW w:w="550" w:type="pct"/>
            <w:tcBorders>
              <w:top w:val="nil"/>
              <w:left w:val="nil"/>
              <w:bottom w:val="nil"/>
              <w:right w:val="nil"/>
            </w:tcBorders>
            <w:shd w:val="clear" w:color="000000" w:fill="FFFFFF"/>
            <w:noWrap/>
            <w:vAlign w:val="center"/>
            <w:hideMark/>
          </w:tcPr>
          <w:p w14:paraId="48EA970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623 (2.4%)</w:t>
            </w:r>
          </w:p>
        </w:tc>
        <w:tc>
          <w:tcPr>
            <w:tcW w:w="305" w:type="pct"/>
            <w:tcBorders>
              <w:top w:val="nil"/>
              <w:left w:val="nil"/>
              <w:bottom w:val="nil"/>
              <w:right w:val="nil"/>
            </w:tcBorders>
            <w:shd w:val="clear" w:color="000000" w:fill="FFFFFF"/>
            <w:noWrap/>
            <w:vAlign w:val="center"/>
            <w:hideMark/>
          </w:tcPr>
          <w:p w14:paraId="6AB056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9E0779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1438 (1.4%)</w:t>
            </w:r>
          </w:p>
        </w:tc>
      </w:tr>
      <w:tr w:rsidR="00DA1572" w:rsidRPr="00DC3283" w14:paraId="64BF3DE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84E9FF4"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Turner syndrome</w:t>
            </w:r>
          </w:p>
        </w:tc>
        <w:tc>
          <w:tcPr>
            <w:tcW w:w="550" w:type="pct"/>
            <w:tcBorders>
              <w:top w:val="nil"/>
              <w:left w:val="nil"/>
              <w:bottom w:val="nil"/>
              <w:right w:val="nil"/>
            </w:tcBorders>
            <w:shd w:val="clear" w:color="000000" w:fill="FFFFFF"/>
            <w:noWrap/>
            <w:vAlign w:val="center"/>
            <w:hideMark/>
          </w:tcPr>
          <w:p w14:paraId="4B5B0DE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F326F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CF7ED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E5E51A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36EBEC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A995C4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875683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B2C7CD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28B6BB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7B64D9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7CB53B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 (0.0%)</w:t>
            </w:r>
          </w:p>
        </w:tc>
        <w:tc>
          <w:tcPr>
            <w:tcW w:w="550" w:type="pct"/>
            <w:tcBorders>
              <w:top w:val="nil"/>
              <w:left w:val="nil"/>
              <w:bottom w:val="nil"/>
              <w:right w:val="nil"/>
            </w:tcBorders>
            <w:shd w:val="clear" w:color="000000" w:fill="FFFFFF"/>
            <w:noWrap/>
            <w:vAlign w:val="center"/>
            <w:hideMark/>
          </w:tcPr>
          <w:p w14:paraId="5E56DC8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305" w:type="pct"/>
            <w:tcBorders>
              <w:top w:val="nil"/>
              <w:left w:val="nil"/>
              <w:bottom w:val="nil"/>
              <w:right w:val="nil"/>
            </w:tcBorders>
            <w:shd w:val="clear" w:color="000000" w:fill="FFFFFF"/>
            <w:noWrap/>
            <w:vAlign w:val="center"/>
            <w:hideMark/>
          </w:tcPr>
          <w:p w14:paraId="45582E5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0.037</w:t>
            </w:r>
          </w:p>
        </w:tc>
        <w:tc>
          <w:tcPr>
            <w:tcW w:w="550" w:type="pct"/>
            <w:tcBorders>
              <w:top w:val="nil"/>
              <w:left w:val="nil"/>
              <w:bottom w:val="nil"/>
              <w:right w:val="single" w:sz="8" w:space="0" w:color="auto"/>
            </w:tcBorders>
            <w:shd w:val="clear" w:color="000000" w:fill="FFFFFF"/>
            <w:noWrap/>
            <w:vAlign w:val="center"/>
            <w:hideMark/>
          </w:tcPr>
          <w:p w14:paraId="62F5C77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(0.0%)</w:t>
            </w:r>
          </w:p>
        </w:tc>
        <w:tc>
          <w:tcPr>
            <w:tcW w:w="550" w:type="pct"/>
            <w:tcBorders>
              <w:top w:val="nil"/>
              <w:left w:val="nil"/>
              <w:bottom w:val="nil"/>
              <w:right w:val="nil"/>
            </w:tcBorders>
            <w:shd w:val="clear" w:color="000000" w:fill="FFFFFF"/>
            <w:noWrap/>
            <w:vAlign w:val="center"/>
            <w:hideMark/>
          </w:tcPr>
          <w:p w14:paraId="09F326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 (0%)</w:t>
            </w:r>
          </w:p>
        </w:tc>
        <w:tc>
          <w:tcPr>
            <w:tcW w:w="550" w:type="pct"/>
            <w:tcBorders>
              <w:top w:val="nil"/>
              <w:left w:val="nil"/>
              <w:bottom w:val="nil"/>
              <w:right w:val="nil"/>
            </w:tcBorders>
            <w:shd w:val="clear" w:color="000000" w:fill="FFFFFF"/>
            <w:noWrap/>
            <w:vAlign w:val="center"/>
            <w:hideMark/>
          </w:tcPr>
          <w:p w14:paraId="50172FB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c>
          <w:tcPr>
            <w:tcW w:w="305" w:type="pct"/>
            <w:tcBorders>
              <w:top w:val="nil"/>
              <w:left w:val="nil"/>
              <w:bottom w:val="nil"/>
              <w:right w:val="nil"/>
            </w:tcBorders>
            <w:shd w:val="clear" w:color="000000" w:fill="FFFFFF"/>
            <w:noWrap/>
            <w:vAlign w:val="center"/>
            <w:hideMark/>
          </w:tcPr>
          <w:p w14:paraId="248F72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2E2F2A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r>
      <w:tr w:rsidR="00DA1572" w:rsidRPr="00DC3283" w14:paraId="63D1663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9AF7398"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Weight loss</w:t>
            </w:r>
          </w:p>
        </w:tc>
        <w:tc>
          <w:tcPr>
            <w:tcW w:w="550" w:type="pct"/>
            <w:tcBorders>
              <w:top w:val="nil"/>
              <w:left w:val="nil"/>
              <w:bottom w:val="nil"/>
              <w:right w:val="nil"/>
            </w:tcBorders>
            <w:shd w:val="clear" w:color="000000" w:fill="FFFFFF"/>
            <w:noWrap/>
            <w:vAlign w:val="center"/>
            <w:hideMark/>
          </w:tcPr>
          <w:p w14:paraId="7AF23F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A703F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F44E5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111E1D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B5535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EFB2F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54A24E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87677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847FBB4" w14:textId="77777777" w:rsidTr="000526F1">
        <w:trPr>
          <w:trHeight w:val="315"/>
        </w:trPr>
        <w:tc>
          <w:tcPr>
            <w:tcW w:w="1091" w:type="pct"/>
            <w:tcBorders>
              <w:top w:val="nil"/>
              <w:left w:val="single" w:sz="4" w:space="0" w:color="auto"/>
              <w:bottom w:val="single" w:sz="12" w:space="0" w:color="000000"/>
              <w:right w:val="single" w:sz="8" w:space="0" w:color="auto"/>
            </w:tcBorders>
            <w:shd w:val="clear" w:color="000000" w:fill="FFFFFF"/>
            <w:noWrap/>
            <w:vAlign w:val="center"/>
            <w:hideMark/>
          </w:tcPr>
          <w:p w14:paraId="734A69D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single" w:sz="12" w:space="0" w:color="000000"/>
              <w:right w:val="nil"/>
            </w:tcBorders>
            <w:shd w:val="clear" w:color="000000" w:fill="FFFFFF"/>
            <w:noWrap/>
            <w:vAlign w:val="center"/>
            <w:hideMark/>
          </w:tcPr>
          <w:p w14:paraId="08CA9F7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500 (1.3%)</w:t>
            </w:r>
          </w:p>
        </w:tc>
        <w:tc>
          <w:tcPr>
            <w:tcW w:w="550" w:type="pct"/>
            <w:tcBorders>
              <w:top w:val="nil"/>
              <w:left w:val="nil"/>
              <w:bottom w:val="single" w:sz="12" w:space="0" w:color="000000"/>
              <w:right w:val="nil"/>
            </w:tcBorders>
            <w:shd w:val="clear" w:color="000000" w:fill="FFFFFF"/>
            <w:noWrap/>
            <w:vAlign w:val="center"/>
            <w:hideMark/>
          </w:tcPr>
          <w:p w14:paraId="605379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672 (5.6%)</w:t>
            </w:r>
          </w:p>
        </w:tc>
        <w:tc>
          <w:tcPr>
            <w:tcW w:w="305" w:type="pct"/>
            <w:tcBorders>
              <w:top w:val="nil"/>
              <w:left w:val="nil"/>
              <w:bottom w:val="single" w:sz="12" w:space="0" w:color="000000"/>
              <w:right w:val="nil"/>
            </w:tcBorders>
            <w:shd w:val="clear" w:color="000000" w:fill="FFFFFF"/>
            <w:noWrap/>
            <w:vAlign w:val="center"/>
            <w:hideMark/>
          </w:tcPr>
          <w:p w14:paraId="7D5BDB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single" w:sz="12" w:space="0" w:color="000000"/>
              <w:right w:val="single" w:sz="8" w:space="0" w:color="auto"/>
            </w:tcBorders>
            <w:shd w:val="clear" w:color="000000" w:fill="FFFFFF"/>
            <w:noWrap/>
            <w:vAlign w:val="center"/>
            <w:hideMark/>
          </w:tcPr>
          <w:p w14:paraId="480D4E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1172 (2.4%)</w:t>
            </w:r>
          </w:p>
        </w:tc>
        <w:tc>
          <w:tcPr>
            <w:tcW w:w="550" w:type="pct"/>
            <w:tcBorders>
              <w:top w:val="nil"/>
              <w:left w:val="nil"/>
              <w:bottom w:val="single" w:sz="12" w:space="0" w:color="000000"/>
              <w:right w:val="nil"/>
            </w:tcBorders>
            <w:shd w:val="clear" w:color="000000" w:fill="FFFFFF"/>
            <w:noWrap/>
            <w:vAlign w:val="center"/>
            <w:hideMark/>
          </w:tcPr>
          <w:p w14:paraId="417EC47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105 (0.1%)</w:t>
            </w:r>
          </w:p>
        </w:tc>
        <w:tc>
          <w:tcPr>
            <w:tcW w:w="550" w:type="pct"/>
            <w:tcBorders>
              <w:top w:val="nil"/>
              <w:left w:val="nil"/>
              <w:bottom w:val="single" w:sz="12" w:space="0" w:color="000000"/>
              <w:right w:val="nil"/>
            </w:tcBorders>
            <w:shd w:val="clear" w:color="000000" w:fill="FFFFFF"/>
            <w:noWrap/>
            <w:vAlign w:val="center"/>
            <w:hideMark/>
          </w:tcPr>
          <w:p w14:paraId="3742CD7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145 (0.6%)</w:t>
            </w:r>
          </w:p>
        </w:tc>
        <w:tc>
          <w:tcPr>
            <w:tcW w:w="305" w:type="pct"/>
            <w:tcBorders>
              <w:top w:val="nil"/>
              <w:left w:val="nil"/>
              <w:bottom w:val="single" w:sz="12" w:space="0" w:color="000000"/>
              <w:right w:val="nil"/>
            </w:tcBorders>
            <w:shd w:val="clear" w:color="000000" w:fill="FFFFFF"/>
            <w:noWrap/>
            <w:vAlign w:val="center"/>
            <w:hideMark/>
          </w:tcPr>
          <w:p w14:paraId="18D0FA5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single" w:sz="12" w:space="0" w:color="000000"/>
              <w:right w:val="single" w:sz="4" w:space="0" w:color="auto"/>
            </w:tcBorders>
            <w:shd w:val="clear" w:color="000000" w:fill="FFFFFF"/>
            <w:noWrap/>
            <w:vAlign w:val="center"/>
            <w:hideMark/>
          </w:tcPr>
          <w:p w14:paraId="24219B1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250 (0.2%)</w:t>
            </w:r>
          </w:p>
        </w:tc>
      </w:tr>
      <w:tr w:rsidR="00C8418F" w:rsidRPr="00DC3283" w14:paraId="0BA68876" w14:textId="77777777" w:rsidTr="002C63E9">
        <w:trPr>
          <w:trHeight w:val="315"/>
        </w:trPr>
        <w:tc>
          <w:tcPr>
            <w:tcW w:w="1091" w:type="pct"/>
            <w:vMerge w:val="restart"/>
            <w:tcBorders>
              <w:top w:val="nil"/>
              <w:left w:val="single" w:sz="4" w:space="0" w:color="auto"/>
              <w:bottom w:val="single" w:sz="8" w:space="0" w:color="000000"/>
              <w:right w:val="single" w:sz="8" w:space="0" w:color="auto"/>
            </w:tcBorders>
            <w:shd w:val="clear" w:color="000000" w:fill="E7E6E6"/>
            <w:vAlign w:val="center"/>
            <w:hideMark/>
          </w:tcPr>
          <w:p w14:paraId="3C8FF844"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MEN</w:t>
            </w:r>
          </w:p>
        </w:tc>
        <w:tc>
          <w:tcPr>
            <w:tcW w:w="550" w:type="pct"/>
            <w:tcBorders>
              <w:top w:val="nil"/>
              <w:left w:val="nil"/>
              <w:bottom w:val="nil"/>
              <w:right w:val="nil"/>
            </w:tcBorders>
            <w:shd w:val="clear" w:color="000000" w:fill="E7E6E6"/>
            <w:vAlign w:val="center"/>
            <w:hideMark/>
          </w:tcPr>
          <w:p w14:paraId="7A34144D"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3AFBD8BE"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6AB6B3C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50" w:type="pct"/>
            <w:tcBorders>
              <w:top w:val="nil"/>
              <w:left w:val="nil"/>
              <w:bottom w:val="nil"/>
              <w:right w:val="single" w:sz="8" w:space="0" w:color="auto"/>
            </w:tcBorders>
            <w:shd w:val="clear" w:color="000000" w:fill="E7E6E6"/>
            <w:vAlign w:val="center"/>
            <w:hideMark/>
          </w:tcPr>
          <w:p w14:paraId="7E1BF9C9"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c>
          <w:tcPr>
            <w:tcW w:w="550" w:type="pct"/>
            <w:tcBorders>
              <w:top w:val="nil"/>
              <w:left w:val="nil"/>
              <w:bottom w:val="nil"/>
              <w:right w:val="nil"/>
            </w:tcBorders>
            <w:shd w:val="clear" w:color="000000" w:fill="E7E6E6"/>
            <w:vAlign w:val="center"/>
            <w:hideMark/>
          </w:tcPr>
          <w:p w14:paraId="124A9712"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Control</w:t>
            </w:r>
          </w:p>
        </w:tc>
        <w:tc>
          <w:tcPr>
            <w:tcW w:w="550" w:type="pct"/>
            <w:tcBorders>
              <w:top w:val="nil"/>
              <w:left w:val="nil"/>
              <w:bottom w:val="nil"/>
              <w:right w:val="nil"/>
            </w:tcBorders>
            <w:shd w:val="clear" w:color="000000" w:fill="E7E6E6"/>
            <w:vAlign w:val="center"/>
            <w:hideMark/>
          </w:tcPr>
          <w:p w14:paraId="52925B8A"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Coeliac disease</w:t>
            </w:r>
          </w:p>
        </w:tc>
        <w:tc>
          <w:tcPr>
            <w:tcW w:w="305" w:type="pct"/>
            <w:tcBorders>
              <w:top w:val="nil"/>
              <w:left w:val="nil"/>
              <w:bottom w:val="nil"/>
              <w:right w:val="nil"/>
            </w:tcBorders>
            <w:shd w:val="clear" w:color="000000" w:fill="E7E6E6"/>
            <w:vAlign w:val="center"/>
            <w:hideMark/>
          </w:tcPr>
          <w:p w14:paraId="53CE9A58"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 values</w:t>
            </w:r>
          </w:p>
        </w:tc>
        <w:tc>
          <w:tcPr>
            <w:tcW w:w="549" w:type="pct"/>
            <w:tcBorders>
              <w:top w:val="nil"/>
              <w:left w:val="nil"/>
              <w:bottom w:val="nil"/>
              <w:right w:val="single" w:sz="4" w:space="0" w:color="auto"/>
            </w:tcBorders>
            <w:shd w:val="clear" w:color="000000" w:fill="E7E6E6"/>
            <w:vAlign w:val="center"/>
            <w:hideMark/>
          </w:tcPr>
          <w:p w14:paraId="3803FA4F"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Overall</w:t>
            </w:r>
          </w:p>
        </w:tc>
      </w:tr>
      <w:tr w:rsidR="00C8418F" w:rsidRPr="00DC3283" w14:paraId="72A04AEC" w14:textId="77777777" w:rsidTr="002C63E9">
        <w:trPr>
          <w:trHeight w:val="315"/>
        </w:trPr>
        <w:tc>
          <w:tcPr>
            <w:tcW w:w="1091" w:type="pct"/>
            <w:vMerge/>
            <w:tcBorders>
              <w:top w:val="nil"/>
              <w:left w:val="single" w:sz="4" w:space="0" w:color="auto"/>
              <w:bottom w:val="single" w:sz="8" w:space="0" w:color="000000"/>
              <w:right w:val="single" w:sz="8" w:space="0" w:color="auto"/>
            </w:tcBorders>
            <w:vAlign w:val="center"/>
            <w:hideMark/>
          </w:tcPr>
          <w:p w14:paraId="0ECDCF97"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p>
        </w:tc>
        <w:tc>
          <w:tcPr>
            <w:tcW w:w="550" w:type="pct"/>
            <w:tcBorders>
              <w:top w:val="nil"/>
              <w:left w:val="nil"/>
              <w:bottom w:val="single" w:sz="8" w:space="0" w:color="000000"/>
              <w:right w:val="nil"/>
            </w:tcBorders>
            <w:shd w:val="clear" w:color="000000" w:fill="E7E6E6"/>
            <w:vAlign w:val="center"/>
            <w:hideMark/>
          </w:tcPr>
          <w:p w14:paraId="08A19A97"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(N=35264)</w:t>
            </w:r>
          </w:p>
        </w:tc>
        <w:tc>
          <w:tcPr>
            <w:tcW w:w="550" w:type="pct"/>
            <w:tcBorders>
              <w:top w:val="nil"/>
              <w:left w:val="nil"/>
              <w:bottom w:val="single" w:sz="8" w:space="0" w:color="000000"/>
              <w:right w:val="nil"/>
            </w:tcBorders>
            <w:shd w:val="clear" w:color="000000" w:fill="E7E6E6"/>
            <w:vAlign w:val="center"/>
            <w:hideMark/>
          </w:tcPr>
          <w:p w14:paraId="3AB45851"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(N=6035)</w:t>
            </w:r>
          </w:p>
        </w:tc>
        <w:tc>
          <w:tcPr>
            <w:tcW w:w="305" w:type="pct"/>
            <w:tcBorders>
              <w:top w:val="nil"/>
              <w:left w:val="nil"/>
              <w:bottom w:val="single" w:sz="8" w:space="0" w:color="000000"/>
              <w:right w:val="nil"/>
            </w:tcBorders>
            <w:shd w:val="clear" w:color="000000" w:fill="E7E6E6"/>
            <w:vAlign w:val="center"/>
            <w:hideMark/>
          </w:tcPr>
          <w:p w14:paraId="33ACDD83"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 </w:t>
            </w:r>
          </w:p>
        </w:tc>
        <w:tc>
          <w:tcPr>
            <w:tcW w:w="550" w:type="pct"/>
            <w:tcBorders>
              <w:top w:val="nil"/>
              <w:left w:val="nil"/>
              <w:bottom w:val="single" w:sz="8" w:space="0" w:color="000000"/>
              <w:right w:val="single" w:sz="8" w:space="0" w:color="auto"/>
            </w:tcBorders>
            <w:shd w:val="clear" w:color="000000" w:fill="E7E6E6"/>
            <w:vAlign w:val="center"/>
            <w:hideMark/>
          </w:tcPr>
          <w:p w14:paraId="09BACC60"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(N=41299)</w:t>
            </w:r>
          </w:p>
        </w:tc>
        <w:tc>
          <w:tcPr>
            <w:tcW w:w="550" w:type="pct"/>
            <w:tcBorders>
              <w:top w:val="nil"/>
              <w:left w:val="nil"/>
              <w:bottom w:val="single" w:sz="8" w:space="0" w:color="000000"/>
              <w:right w:val="nil"/>
            </w:tcBorders>
            <w:shd w:val="clear" w:color="000000" w:fill="E7E6E6"/>
            <w:vAlign w:val="center"/>
            <w:hideMark/>
          </w:tcPr>
          <w:p w14:paraId="5E3F33EC"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(N=76775)</w:t>
            </w:r>
          </w:p>
        </w:tc>
        <w:tc>
          <w:tcPr>
            <w:tcW w:w="550" w:type="pct"/>
            <w:tcBorders>
              <w:top w:val="nil"/>
              <w:left w:val="nil"/>
              <w:bottom w:val="single" w:sz="8" w:space="0" w:color="000000"/>
              <w:right w:val="nil"/>
            </w:tcBorders>
            <w:shd w:val="clear" w:color="000000" w:fill="E7E6E6"/>
            <w:vAlign w:val="center"/>
            <w:hideMark/>
          </w:tcPr>
          <w:p w14:paraId="39B7D5A7"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(N=12385)</w:t>
            </w:r>
          </w:p>
        </w:tc>
        <w:tc>
          <w:tcPr>
            <w:tcW w:w="305" w:type="pct"/>
            <w:tcBorders>
              <w:top w:val="nil"/>
              <w:left w:val="nil"/>
              <w:bottom w:val="single" w:sz="8" w:space="0" w:color="000000"/>
              <w:right w:val="nil"/>
            </w:tcBorders>
            <w:shd w:val="clear" w:color="000000" w:fill="E7E6E6"/>
            <w:vAlign w:val="center"/>
            <w:hideMark/>
          </w:tcPr>
          <w:p w14:paraId="5C8C373E"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 </w:t>
            </w:r>
          </w:p>
        </w:tc>
        <w:tc>
          <w:tcPr>
            <w:tcW w:w="549" w:type="pct"/>
            <w:tcBorders>
              <w:top w:val="nil"/>
              <w:left w:val="nil"/>
              <w:bottom w:val="single" w:sz="8" w:space="0" w:color="000000"/>
              <w:right w:val="single" w:sz="4" w:space="0" w:color="auto"/>
            </w:tcBorders>
            <w:shd w:val="clear" w:color="000000" w:fill="E7E6E6"/>
            <w:vAlign w:val="center"/>
            <w:hideMark/>
          </w:tcPr>
          <w:p w14:paraId="0A301B9F" w14:textId="77777777" w:rsidR="00DC3283" w:rsidRPr="00DC3283" w:rsidRDefault="00DC3283" w:rsidP="00DC3283">
            <w:pPr>
              <w:spacing w:after="0" w:line="240" w:lineRule="auto"/>
              <w:jc w:val="center"/>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(N=89160)</w:t>
            </w:r>
          </w:p>
        </w:tc>
      </w:tr>
      <w:tr w:rsidR="00DA1572" w:rsidRPr="00DC3283" w14:paraId="371ACA8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A67275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Age (years)</w:t>
            </w:r>
          </w:p>
        </w:tc>
        <w:tc>
          <w:tcPr>
            <w:tcW w:w="550" w:type="pct"/>
            <w:tcBorders>
              <w:top w:val="nil"/>
              <w:left w:val="nil"/>
              <w:bottom w:val="nil"/>
              <w:right w:val="nil"/>
            </w:tcBorders>
            <w:shd w:val="clear" w:color="000000" w:fill="FFFFFF"/>
            <w:noWrap/>
            <w:vAlign w:val="center"/>
            <w:hideMark/>
          </w:tcPr>
          <w:p w14:paraId="325DD6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4F524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B74A2A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49170C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AA1843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15B56E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822AD9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56B79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C5768E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9D7B73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Mean (SD)</w:t>
            </w:r>
          </w:p>
        </w:tc>
        <w:tc>
          <w:tcPr>
            <w:tcW w:w="550" w:type="pct"/>
            <w:tcBorders>
              <w:top w:val="nil"/>
              <w:left w:val="nil"/>
              <w:bottom w:val="nil"/>
              <w:right w:val="nil"/>
            </w:tcBorders>
            <w:shd w:val="clear" w:color="000000" w:fill="FFFFFF"/>
            <w:noWrap/>
            <w:vAlign w:val="center"/>
            <w:hideMark/>
          </w:tcPr>
          <w:p w14:paraId="039C98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47.5 (16.4)</w:t>
            </w:r>
          </w:p>
        </w:tc>
        <w:tc>
          <w:tcPr>
            <w:tcW w:w="550" w:type="pct"/>
            <w:tcBorders>
              <w:top w:val="nil"/>
              <w:left w:val="nil"/>
              <w:bottom w:val="nil"/>
              <w:right w:val="nil"/>
            </w:tcBorders>
            <w:shd w:val="clear" w:color="000000" w:fill="FFFFFF"/>
            <w:noWrap/>
            <w:vAlign w:val="center"/>
            <w:hideMark/>
          </w:tcPr>
          <w:p w14:paraId="2996AA0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53.9 (16.3)</w:t>
            </w:r>
          </w:p>
        </w:tc>
        <w:tc>
          <w:tcPr>
            <w:tcW w:w="305" w:type="pct"/>
            <w:tcBorders>
              <w:top w:val="nil"/>
              <w:left w:val="nil"/>
              <w:bottom w:val="nil"/>
              <w:right w:val="nil"/>
            </w:tcBorders>
            <w:shd w:val="clear" w:color="000000" w:fill="FFFFFF"/>
            <w:noWrap/>
            <w:vAlign w:val="center"/>
            <w:hideMark/>
          </w:tcPr>
          <w:p w14:paraId="1404B7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3FA49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48.4 (16.6)</w:t>
            </w:r>
          </w:p>
        </w:tc>
        <w:tc>
          <w:tcPr>
            <w:tcW w:w="550" w:type="pct"/>
            <w:tcBorders>
              <w:top w:val="nil"/>
              <w:left w:val="nil"/>
              <w:bottom w:val="nil"/>
              <w:right w:val="nil"/>
            </w:tcBorders>
            <w:shd w:val="clear" w:color="000000" w:fill="FFFFFF"/>
            <w:noWrap/>
            <w:vAlign w:val="center"/>
            <w:hideMark/>
          </w:tcPr>
          <w:p w14:paraId="03DB71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46.6 (16.5)</w:t>
            </w:r>
          </w:p>
        </w:tc>
        <w:tc>
          <w:tcPr>
            <w:tcW w:w="550" w:type="pct"/>
            <w:tcBorders>
              <w:top w:val="nil"/>
              <w:left w:val="nil"/>
              <w:bottom w:val="nil"/>
              <w:right w:val="nil"/>
            </w:tcBorders>
            <w:shd w:val="clear" w:color="000000" w:fill="FFFFFF"/>
            <w:noWrap/>
            <w:vAlign w:val="center"/>
            <w:hideMark/>
          </w:tcPr>
          <w:p w14:paraId="14A039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52.4 (17.1)</w:t>
            </w:r>
          </w:p>
        </w:tc>
        <w:tc>
          <w:tcPr>
            <w:tcW w:w="305" w:type="pct"/>
            <w:tcBorders>
              <w:top w:val="nil"/>
              <w:left w:val="nil"/>
              <w:bottom w:val="nil"/>
              <w:right w:val="nil"/>
            </w:tcBorders>
            <w:shd w:val="clear" w:color="000000" w:fill="FFFFFF"/>
            <w:noWrap/>
            <w:vAlign w:val="center"/>
            <w:hideMark/>
          </w:tcPr>
          <w:p w14:paraId="61BFCA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5CE09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47.4 (16.7)</w:t>
            </w:r>
          </w:p>
        </w:tc>
      </w:tr>
      <w:tr w:rsidR="00DA1572" w:rsidRPr="00DC3283" w14:paraId="2369AFA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06135D2"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Median [Min, Max]</w:t>
            </w:r>
          </w:p>
        </w:tc>
        <w:tc>
          <w:tcPr>
            <w:tcW w:w="550" w:type="pct"/>
            <w:tcBorders>
              <w:top w:val="nil"/>
              <w:left w:val="nil"/>
              <w:bottom w:val="nil"/>
              <w:right w:val="nil"/>
            </w:tcBorders>
            <w:shd w:val="clear" w:color="000000" w:fill="FFFFFF"/>
            <w:noWrap/>
            <w:vAlign w:val="center"/>
            <w:hideMark/>
          </w:tcPr>
          <w:p w14:paraId="0C5A9E7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47.0 [18.0, 103]</w:t>
            </w:r>
          </w:p>
        </w:tc>
        <w:tc>
          <w:tcPr>
            <w:tcW w:w="550" w:type="pct"/>
            <w:tcBorders>
              <w:top w:val="nil"/>
              <w:left w:val="nil"/>
              <w:bottom w:val="nil"/>
              <w:right w:val="nil"/>
            </w:tcBorders>
            <w:shd w:val="clear" w:color="000000" w:fill="FFFFFF"/>
            <w:noWrap/>
            <w:vAlign w:val="center"/>
            <w:hideMark/>
          </w:tcPr>
          <w:p w14:paraId="0B7D37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55.0 [18.0, 94.0]</w:t>
            </w:r>
          </w:p>
        </w:tc>
        <w:tc>
          <w:tcPr>
            <w:tcW w:w="305" w:type="pct"/>
            <w:tcBorders>
              <w:top w:val="nil"/>
              <w:left w:val="nil"/>
              <w:bottom w:val="nil"/>
              <w:right w:val="nil"/>
            </w:tcBorders>
            <w:shd w:val="clear" w:color="000000" w:fill="FFFFFF"/>
            <w:noWrap/>
            <w:vAlign w:val="center"/>
            <w:hideMark/>
          </w:tcPr>
          <w:p w14:paraId="5DB8E4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191A31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48.0 [18.0, 103]</w:t>
            </w:r>
          </w:p>
        </w:tc>
        <w:tc>
          <w:tcPr>
            <w:tcW w:w="550" w:type="pct"/>
            <w:tcBorders>
              <w:top w:val="nil"/>
              <w:left w:val="nil"/>
              <w:bottom w:val="nil"/>
              <w:right w:val="nil"/>
            </w:tcBorders>
            <w:shd w:val="clear" w:color="000000" w:fill="FFFFFF"/>
            <w:noWrap/>
            <w:vAlign w:val="center"/>
            <w:hideMark/>
          </w:tcPr>
          <w:p w14:paraId="1CF7BC5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46.0 [18.0, 107]</w:t>
            </w:r>
          </w:p>
        </w:tc>
        <w:tc>
          <w:tcPr>
            <w:tcW w:w="550" w:type="pct"/>
            <w:tcBorders>
              <w:top w:val="nil"/>
              <w:left w:val="nil"/>
              <w:bottom w:val="nil"/>
              <w:right w:val="nil"/>
            </w:tcBorders>
            <w:shd w:val="clear" w:color="000000" w:fill="FFFFFF"/>
            <w:noWrap/>
            <w:vAlign w:val="center"/>
            <w:hideMark/>
          </w:tcPr>
          <w:p w14:paraId="6701DD6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53.0 [18.0, 98.0]</w:t>
            </w:r>
          </w:p>
        </w:tc>
        <w:tc>
          <w:tcPr>
            <w:tcW w:w="305" w:type="pct"/>
            <w:tcBorders>
              <w:top w:val="nil"/>
              <w:left w:val="nil"/>
              <w:bottom w:val="nil"/>
              <w:right w:val="nil"/>
            </w:tcBorders>
            <w:shd w:val="clear" w:color="000000" w:fill="FFFFFF"/>
            <w:noWrap/>
            <w:vAlign w:val="center"/>
            <w:hideMark/>
          </w:tcPr>
          <w:p w14:paraId="4D988DC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0846D8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47.0 [18.0, 107]</w:t>
            </w:r>
          </w:p>
        </w:tc>
      </w:tr>
      <w:tr w:rsidR="00DA1572" w:rsidRPr="00DC3283" w14:paraId="4DF1C6A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8845FBA"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Ethnicity</w:t>
            </w:r>
          </w:p>
        </w:tc>
        <w:tc>
          <w:tcPr>
            <w:tcW w:w="550" w:type="pct"/>
            <w:tcBorders>
              <w:top w:val="nil"/>
              <w:left w:val="nil"/>
              <w:bottom w:val="nil"/>
              <w:right w:val="nil"/>
            </w:tcBorders>
            <w:shd w:val="clear" w:color="000000" w:fill="FFFFFF"/>
            <w:noWrap/>
            <w:vAlign w:val="center"/>
            <w:hideMark/>
          </w:tcPr>
          <w:p w14:paraId="7959360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E7B04C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07457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A54B0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DFEA6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D528C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2EED5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F7606D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C9C5C2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F5F500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Non-white</w:t>
            </w:r>
          </w:p>
        </w:tc>
        <w:tc>
          <w:tcPr>
            <w:tcW w:w="550" w:type="pct"/>
            <w:tcBorders>
              <w:top w:val="nil"/>
              <w:left w:val="nil"/>
              <w:bottom w:val="nil"/>
              <w:right w:val="nil"/>
            </w:tcBorders>
            <w:shd w:val="clear" w:color="000000" w:fill="FFFFFF"/>
            <w:noWrap/>
            <w:vAlign w:val="center"/>
            <w:hideMark/>
          </w:tcPr>
          <w:p w14:paraId="168F23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535 (1.5%)</w:t>
            </w:r>
          </w:p>
        </w:tc>
        <w:tc>
          <w:tcPr>
            <w:tcW w:w="550" w:type="pct"/>
            <w:tcBorders>
              <w:top w:val="nil"/>
              <w:left w:val="nil"/>
              <w:bottom w:val="nil"/>
              <w:right w:val="nil"/>
            </w:tcBorders>
            <w:shd w:val="clear" w:color="000000" w:fill="FFFFFF"/>
            <w:noWrap/>
            <w:vAlign w:val="center"/>
            <w:hideMark/>
          </w:tcPr>
          <w:p w14:paraId="0C49D7E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94 (1.6%)</w:t>
            </w:r>
          </w:p>
        </w:tc>
        <w:tc>
          <w:tcPr>
            <w:tcW w:w="305" w:type="pct"/>
            <w:tcBorders>
              <w:top w:val="nil"/>
              <w:left w:val="nil"/>
              <w:bottom w:val="nil"/>
              <w:right w:val="nil"/>
            </w:tcBorders>
            <w:shd w:val="clear" w:color="000000" w:fill="FFFFFF"/>
            <w:noWrap/>
            <w:vAlign w:val="center"/>
            <w:hideMark/>
          </w:tcPr>
          <w:p w14:paraId="07EC82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0.022</w:t>
            </w:r>
          </w:p>
        </w:tc>
        <w:tc>
          <w:tcPr>
            <w:tcW w:w="550" w:type="pct"/>
            <w:tcBorders>
              <w:top w:val="nil"/>
              <w:left w:val="nil"/>
              <w:bottom w:val="nil"/>
              <w:right w:val="single" w:sz="8" w:space="0" w:color="auto"/>
            </w:tcBorders>
            <w:shd w:val="clear" w:color="000000" w:fill="FFFFFF"/>
            <w:noWrap/>
            <w:vAlign w:val="center"/>
            <w:hideMark/>
          </w:tcPr>
          <w:p w14:paraId="175FC9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629 (1.5%)</w:t>
            </w:r>
          </w:p>
        </w:tc>
        <w:tc>
          <w:tcPr>
            <w:tcW w:w="550" w:type="pct"/>
            <w:tcBorders>
              <w:top w:val="nil"/>
              <w:left w:val="nil"/>
              <w:bottom w:val="nil"/>
              <w:right w:val="nil"/>
            </w:tcBorders>
            <w:shd w:val="clear" w:color="000000" w:fill="FFFFFF"/>
            <w:noWrap/>
            <w:vAlign w:val="center"/>
            <w:hideMark/>
          </w:tcPr>
          <w:p w14:paraId="50CE7C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976 (1.3%)</w:t>
            </w:r>
          </w:p>
        </w:tc>
        <w:tc>
          <w:tcPr>
            <w:tcW w:w="550" w:type="pct"/>
            <w:tcBorders>
              <w:top w:val="nil"/>
              <w:left w:val="nil"/>
              <w:bottom w:val="nil"/>
              <w:right w:val="nil"/>
            </w:tcBorders>
            <w:shd w:val="clear" w:color="000000" w:fill="FFFFFF"/>
            <w:noWrap/>
            <w:vAlign w:val="center"/>
            <w:hideMark/>
          </w:tcPr>
          <w:p w14:paraId="1C8E9E0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155 (1.3%)</w:t>
            </w:r>
          </w:p>
        </w:tc>
        <w:tc>
          <w:tcPr>
            <w:tcW w:w="305" w:type="pct"/>
            <w:tcBorders>
              <w:top w:val="nil"/>
              <w:left w:val="nil"/>
              <w:bottom w:val="nil"/>
              <w:right w:val="nil"/>
            </w:tcBorders>
            <w:shd w:val="clear" w:color="000000" w:fill="FFFFFF"/>
            <w:noWrap/>
            <w:vAlign w:val="center"/>
            <w:hideMark/>
          </w:tcPr>
          <w:p w14:paraId="2650241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B865CA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1131 (1.3%)</w:t>
            </w:r>
          </w:p>
        </w:tc>
      </w:tr>
      <w:tr w:rsidR="00DA1572" w:rsidRPr="00DC3283" w14:paraId="2C5F830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58787D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White</w:t>
            </w:r>
          </w:p>
        </w:tc>
        <w:tc>
          <w:tcPr>
            <w:tcW w:w="550" w:type="pct"/>
            <w:tcBorders>
              <w:top w:val="nil"/>
              <w:left w:val="nil"/>
              <w:bottom w:val="nil"/>
              <w:right w:val="nil"/>
            </w:tcBorders>
            <w:shd w:val="clear" w:color="000000" w:fill="FFFFFF"/>
            <w:noWrap/>
            <w:vAlign w:val="center"/>
            <w:hideMark/>
          </w:tcPr>
          <w:p w14:paraId="2B7387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10083 (28.6%)</w:t>
            </w:r>
          </w:p>
        </w:tc>
        <w:tc>
          <w:tcPr>
            <w:tcW w:w="550" w:type="pct"/>
            <w:tcBorders>
              <w:top w:val="nil"/>
              <w:left w:val="nil"/>
              <w:bottom w:val="nil"/>
              <w:right w:val="nil"/>
            </w:tcBorders>
            <w:shd w:val="clear" w:color="000000" w:fill="FFFFFF"/>
            <w:noWrap/>
            <w:vAlign w:val="center"/>
            <w:hideMark/>
          </w:tcPr>
          <w:p w14:paraId="0A24A9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2315 (38.4%)</w:t>
            </w:r>
          </w:p>
        </w:tc>
        <w:tc>
          <w:tcPr>
            <w:tcW w:w="305" w:type="pct"/>
            <w:tcBorders>
              <w:top w:val="nil"/>
              <w:left w:val="nil"/>
              <w:bottom w:val="nil"/>
              <w:right w:val="nil"/>
            </w:tcBorders>
            <w:shd w:val="clear" w:color="000000" w:fill="FFFFFF"/>
            <w:noWrap/>
            <w:vAlign w:val="center"/>
            <w:hideMark/>
          </w:tcPr>
          <w:p w14:paraId="3B898B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6B1AC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12398 (30.0%)</w:t>
            </w:r>
          </w:p>
        </w:tc>
        <w:tc>
          <w:tcPr>
            <w:tcW w:w="550" w:type="pct"/>
            <w:tcBorders>
              <w:top w:val="nil"/>
              <w:left w:val="nil"/>
              <w:bottom w:val="nil"/>
              <w:right w:val="nil"/>
            </w:tcBorders>
            <w:shd w:val="clear" w:color="000000" w:fill="FFFFFF"/>
            <w:noWrap/>
            <w:vAlign w:val="center"/>
            <w:hideMark/>
          </w:tcPr>
          <w:p w14:paraId="0941745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8967 (11.7%)</w:t>
            </w:r>
          </w:p>
        </w:tc>
        <w:tc>
          <w:tcPr>
            <w:tcW w:w="550" w:type="pct"/>
            <w:tcBorders>
              <w:top w:val="nil"/>
              <w:left w:val="nil"/>
              <w:bottom w:val="nil"/>
              <w:right w:val="nil"/>
            </w:tcBorders>
            <w:shd w:val="clear" w:color="000000" w:fill="FFFFFF"/>
            <w:noWrap/>
            <w:vAlign w:val="center"/>
            <w:hideMark/>
          </w:tcPr>
          <w:p w14:paraId="2F1960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2100 (17.0%)</w:t>
            </w:r>
          </w:p>
        </w:tc>
        <w:tc>
          <w:tcPr>
            <w:tcW w:w="305" w:type="pct"/>
            <w:tcBorders>
              <w:top w:val="nil"/>
              <w:left w:val="nil"/>
              <w:bottom w:val="nil"/>
              <w:right w:val="nil"/>
            </w:tcBorders>
            <w:shd w:val="clear" w:color="000000" w:fill="FFFFFF"/>
            <w:noWrap/>
            <w:vAlign w:val="center"/>
            <w:hideMark/>
          </w:tcPr>
          <w:p w14:paraId="7BA797A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77270D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11067 (12.4%)</w:t>
            </w:r>
          </w:p>
        </w:tc>
      </w:tr>
      <w:tr w:rsidR="00DA1572" w:rsidRPr="00DC3283" w14:paraId="7D82D03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7319F3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75B609B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24646 (69.9%)</w:t>
            </w:r>
          </w:p>
        </w:tc>
        <w:tc>
          <w:tcPr>
            <w:tcW w:w="550" w:type="pct"/>
            <w:tcBorders>
              <w:top w:val="nil"/>
              <w:left w:val="nil"/>
              <w:bottom w:val="nil"/>
              <w:right w:val="nil"/>
            </w:tcBorders>
            <w:shd w:val="clear" w:color="000000" w:fill="FFFFFF"/>
            <w:noWrap/>
            <w:vAlign w:val="center"/>
            <w:hideMark/>
          </w:tcPr>
          <w:p w14:paraId="639FEB0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3626 (60.1%)</w:t>
            </w:r>
          </w:p>
        </w:tc>
        <w:tc>
          <w:tcPr>
            <w:tcW w:w="305" w:type="pct"/>
            <w:tcBorders>
              <w:top w:val="nil"/>
              <w:left w:val="nil"/>
              <w:bottom w:val="nil"/>
              <w:right w:val="nil"/>
            </w:tcBorders>
            <w:shd w:val="clear" w:color="000000" w:fill="FFFFFF"/>
            <w:noWrap/>
            <w:vAlign w:val="center"/>
            <w:hideMark/>
          </w:tcPr>
          <w:p w14:paraId="090755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960B0A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28272 (68.5%)</w:t>
            </w:r>
          </w:p>
        </w:tc>
        <w:tc>
          <w:tcPr>
            <w:tcW w:w="550" w:type="pct"/>
            <w:tcBorders>
              <w:top w:val="nil"/>
              <w:left w:val="nil"/>
              <w:bottom w:val="nil"/>
              <w:right w:val="nil"/>
            </w:tcBorders>
            <w:shd w:val="clear" w:color="000000" w:fill="FFFFFF"/>
            <w:noWrap/>
            <w:vAlign w:val="center"/>
            <w:hideMark/>
          </w:tcPr>
          <w:p w14:paraId="0D6517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66832 (87.0%)</w:t>
            </w:r>
          </w:p>
        </w:tc>
        <w:tc>
          <w:tcPr>
            <w:tcW w:w="550" w:type="pct"/>
            <w:tcBorders>
              <w:top w:val="nil"/>
              <w:left w:val="nil"/>
              <w:bottom w:val="nil"/>
              <w:right w:val="nil"/>
            </w:tcBorders>
            <w:shd w:val="clear" w:color="000000" w:fill="FFFFFF"/>
            <w:noWrap/>
            <w:vAlign w:val="center"/>
            <w:hideMark/>
          </w:tcPr>
          <w:p w14:paraId="7A355C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10130 (81.8%)</w:t>
            </w:r>
          </w:p>
        </w:tc>
        <w:tc>
          <w:tcPr>
            <w:tcW w:w="305" w:type="pct"/>
            <w:tcBorders>
              <w:top w:val="nil"/>
              <w:left w:val="nil"/>
              <w:bottom w:val="nil"/>
              <w:right w:val="nil"/>
            </w:tcBorders>
            <w:shd w:val="clear" w:color="000000" w:fill="FFFFFF"/>
            <w:noWrap/>
            <w:vAlign w:val="center"/>
            <w:hideMark/>
          </w:tcPr>
          <w:p w14:paraId="6C3AC7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5FD326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76962 (86.3%)</w:t>
            </w:r>
          </w:p>
        </w:tc>
      </w:tr>
      <w:tr w:rsidR="00DA1572" w:rsidRPr="00DC3283" w14:paraId="376D550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7A9610"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lastRenderedPageBreak/>
              <w:t>Deprivation (IMD 2015 quintiles)</w:t>
            </w:r>
          </w:p>
        </w:tc>
        <w:tc>
          <w:tcPr>
            <w:tcW w:w="550" w:type="pct"/>
            <w:tcBorders>
              <w:top w:val="nil"/>
              <w:left w:val="nil"/>
              <w:bottom w:val="nil"/>
              <w:right w:val="nil"/>
            </w:tcBorders>
            <w:shd w:val="clear" w:color="000000" w:fill="FFFFFF"/>
            <w:noWrap/>
            <w:vAlign w:val="center"/>
            <w:hideMark/>
          </w:tcPr>
          <w:p w14:paraId="5FDBB3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A8C126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AAB26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2EE0D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179485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4D8ACF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77029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4E81B5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521D9F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863125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w:t>
            </w:r>
          </w:p>
        </w:tc>
        <w:tc>
          <w:tcPr>
            <w:tcW w:w="550" w:type="pct"/>
            <w:tcBorders>
              <w:top w:val="nil"/>
              <w:left w:val="nil"/>
              <w:bottom w:val="nil"/>
              <w:right w:val="nil"/>
            </w:tcBorders>
            <w:shd w:val="clear" w:color="000000" w:fill="FFFFFF"/>
            <w:noWrap/>
            <w:vAlign w:val="center"/>
            <w:hideMark/>
          </w:tcPr>
          <w:p w14:paraId="0BC404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2563 (7.3%)</w:t>
            </w:r>
          </w:p>
        </w:tc>
        <w:tc>
          <w:tcPr>
            <w:tcW w:w="550" w:type="pct"/>
            <w:tcBorders>
              <w:top w:val="nil"/>
              <w:left w:val="nil"/>
              <w:bottom w:val="nil"/>
              <w:right w:val="nil"/>
            </w:tcBorders>
            <w:shd w:val="clear" w:color="000000" w:fill="FFFFFF"/>
            <w:noWrap/>
            <w:vAlign w:val="center"/>
            <w:hideMark/>
          </w:tcPr>
          <w:p w14:paraId="79F61B2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624 (10.3%)</w:t>
            </w:r>
          </w:p>
        </w:tc>
        <w:tc>
          <w:tcPr>
            <w:tcW w:w="305" w:type="pct"/>
            <w:tcBorders>
              <w:top w:val="nil"/>
              <w:left w:val="nil"/>
              <w:bottom w:val="nil"/>
              <w:right w:val="nil"/>
            </w:tcBorders>
            <w:shd w:val="clear" w:color="000000" w:fill="FFFFFF"/>
            <w:noWrap/>
            <w:vAlign w:val="center"/>
            <w:hideMark/>
          </w:tcPr>
          <w:p w14:paraId="717B865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0.005</w:t>
            </w:r>
          </w:p>
        </w:tc>
        <w:tc>
          <w:tcPr>
            <w:tcW w:w="550" w:type="pct"/>
            <w:tcBorders>
              <w:top w:val="nil"/>
              <w:left w:val="nil"/>
              <w:bottom w:val="nil"/>
              <w:right w:val="single" w:sz="8" w:space="0" w:color="auto"/>
            </w:tcBorders>
            <w:shd w:val="clear" w:color="000000" w:fill="FFFFFF"/>
            <w:noWrap/>
            <w:vAlign w:val="center"/>
            <w:hideMark/>
          </w:tcPr>
          <w:p w14:paraId="2ADECC2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3187 (7.7%)</w:t>
            </w:r>
          </w:p>
        </w:tc>
        <w:tc>
          <w:tcPr>
            <w:tcW w:w="550" w:type="pct"/>
            <w:tcBorders>
              <w:top w:val="nil"/>
              <w:left w:val="nil"/>
              <w:bottom w:val="nil"/>
              <w:right w:val="nil"/>
            </w:tcBorders>
            <w:shd w:val="clear" w:color="000000" w:fill="FFFFFF"/>
            <w:noWrap/>
            <w:vAlign w:val="center"/>
            <w:hideMark/>
          </w:tcPr>
          <w:p w14:paraId="404A74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4205 (5.5%)</w:t>
            </w:r>
          </w:p>
        </w:tc>
        <w:tc>
          <w:tcPr>
            <w:tcW w:w="550" w:type="pct"/>
            <w:tcBorders>
              <w:top w:val="nil"/>
              <w:left w:val="nil"/>
              <w:bottom w:val="nil"/>
              <w:right w:val="nil"/>
            </w:tcBorders>
            <w:shd w:val="clear" w:color="000000" w:fill="FFFFFF"/>
            <w:noWrap/>
            <w:vAlign w:val="center"/>
            <w:hideMark/>
          </w:tcPr>
          <w:p w14:paraId="03770E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682 (5.5%)</w:t>
            </w:r>
          </w:p>
        </w:tc>
        <w:tc>
          <w:tcPr>
            <w:tcW w:w="305" w:type="pct"/>
            <w:tcBorders>
              <w:top w:val="nil"/>
              <w:left w:val="nil"/>
              <w:bottom w:val="nil"/>
              <w:right w:val="nil"/>
            </w:tcBorders>
            <w:shd w:val="clear" w:color="000000" w:fill="FFFFFF"/>
            <w:noWrap/>
            <w:vAlign w:val="center"/>
            <w:hideMark/>
          </w:tcPr>
          <w:p w14:paraId="096260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0.55</w:t>
            </w:r>
          </w:p>
        </w:tc>
        <w:tc>
          <w:tcPr>
            <w:tcW w:w="549" w:type="pct"/>
            <w:tcBorders>
              <w:top w:val="nil"/>
              <w:left w:val="nil"/>
              <w:bottom w:val="nil"/>
              <w:right w:val="single" w:sz="4" w:space="0" w:color="auto"/>
            </w:tcBorders>
            <w:shd w:val="clear" w:color="000000" w:fill="FFFFFF"/>
            <w:noWrap/>
            <w:vAlign w:val="center"/>
            <w:hideMark/>
          </w:tcPr>
          <w:p w14:paraId="1E16A0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4887 (5.5%)</w:t>
            </w:r>
          </w:p>
        </w:tc>
      </w:tr>
      <w:tr w:rsidR="00DA1572" w:rsidRPr="00DC3283" w14:paraId="799996E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EB3A801"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w:t>
            </w:r>
          </w:p>
        </w:tc>
        <w:tc>
          <w:tcPr>
            <w:tcW w:w="550" w:type="pct"/>
            <w:tcBorders>
              <w:top w:val="nil"/>
              <w:left w:val="nil"/>
              <w:bottom w:val="nil"/>
              <w:right w:val="nil"/>
            </w:tcBorders>
            <w:shd w:val="clear" w:color="000000" w:fill="FFFFFF"/>
            <w:noWrap/>
            <w:vAlign w:val="center"/>
            <w:hideMark/>
          </w:tcPr>
          <w:p w14:paraId="2D410E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2389 (6.8%)</w:t>
            </w:r>
          </w:p>
        </w:tc>
        <w:tc>
          <w:tcPr>
            <w:tcW w:w="550" w:type="pct"/>
            <w:tcBorders>
              <w:top w:val="nil"/>
              <w:left w:val="nil"/>
              <w:bottom w:val="nil"/>
              <w:right w:val="nil"/>
            </w:tcBorders>
            <w:shd w:val="clear" w:color="000000" w:fill="FFFFFF"/>
            <w:noWrap/>
            <w:vAlign w:val="center"/>
            <w:hideMark/>
          </w:tcPr>
          <w:p w14:paraId="33E738E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597 (9.9%)</w:t>
            </w:r>
          </w:p>
        </w:tc>
        <w:tc>
          <w:tcPr>
            <w:tcW w:w="305" w:type="pct"/>
            <w:tcBorders>
              <w:top w:val="nil"/>
              <w:left w:val="nil"/>
              <w:bottom w:val="nil"/>
              <w:right w:val="nil"/>
            </w:tcBorders>
            <w:shd w:val="clear" w:color="000000" w:fill="FFFFFF"/>
            <w:noWrap/>
            <w:vAlign w:val="center"/>
            <w:hideMark/>
          </w:tcPr>
          <w:p w14:paraId="487F9B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28B36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2986 (7.2%)</w:t>
            </w:r>
          </w:p>
        </w:tc>
        <w:tc>
          <w:tcPr>
            <w:tcW w:w="550" w:type="pct"/>
            <w:tcBorders>
              <w:top w:val="nil"/>
              <w:left w:val="nil"/>
              <w:bottom w:val="nil"/>
              <w:right w:val="nil"/>
            </w:tcBorders>
            <w:shd w:val="clear" w:color="000000" w:fill="FFFFFF"/>
            <w:noWrap/>
            <w:vAlign w:val="center"/>
            <w:hideMark/>
          </w:tcPr>
          <w:p w14:paraId="11C4A4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3745 (4.9%)</w:t>
            </w:r>
          </w:p>
        </w:tc>
        <w:tc>
          <w:tcPr>
            <w:tcW w:w="550" w:type="pct"/>
            <w:tcBorders>
              <w:top w:val="nil"/>
              <w:left w:val="nil"/>
              <w:bottom w:val="nil"/>
              <w:right w:val="nil"/>
            </w:tcBorders>
            <w:shd w:val="clear" w:color="000000" w:fill="FFFFFF"/>
            <w:noWrap/>
            <w:vAlign w:val="center"/>
            <w:hideMark/>
          </w:tcPr>
          <w:p w14:paraId="3FE242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625 (5.0%)</w:t>
            </w:r>
          </w:p>
        </w:tc>
        <w:tc>
          <w:tcPr>
            <w:tcW w:w="305" w:type="pct"/>
            <w:tcBorders>
              <w:top w:val="nil"/>
              <w:left w:val="nil"/>
              <w:bottom w:val="nil"/>
              <w:right w:val="nil"/>
            </w:tcBorders>
            <w:shd w:val="clear" w:color="000000" w:fill="FFFFFF"/>
            <w:noWrap/>
            <w:vAlign w:val="center"/>
            <w:hideMark/>
          </w:tcPr>
          <w:p w14:paraId="6626A3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350B0B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4370 (4.9%)</w:t>
            </w:r>
          </w:p>
        </w:tc>
      </w:tr>
      <w:tr w:rsidR="00DA1572" w:rsidRPr="00DC3283" w14:paraId="707449A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44018EE"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w:t>
            </w:r>
          </w:p>
        </w:tc>
        <w:tc>
          <w:tcPr>
            <w:tcW w:w="550" w:type="pct"/>
            <w:tcBorders>
              <w:top w:val="nil"/>
              <w:left w:val="nil"/>
              <w:bottom w:val="nil"/>
              <w:right w:val="nil"/>
            </w:tcBorders>
            <w:shd w:val="clear" w:color="000000" w:fill="FFFFFF"/>
            <w:noWrap/>
            <w:vAlign w:val="center"/>
            <w:hideMark/>
          </w:tcPr>
          <w:p w14:paraId="7A092EA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2264 (6.4%)</w:t>
            </w:r>
          </w:p>
        </w:tc>
        <w:tc>
          <w:tcPr>
            <w:tcW w:w="550" w:type="pct"/>
            <w:tcBorders>
              <w:top w:val="nil"/>
              <w:left w:val="nil"/>
              <w:bottom w:val="nil"/>
              <w:right w:val="nil"/>
            </w:tcBorders>
            <w:shd w:val="clear" w:color="000000" w:fill="FFFFFF"/>
            <w:noWrap/>
            <w:vAlign w:val="center"/>
            <w:hideMark/>
          </w:tcPr>
          <w:p w14:paraId="4D4FFF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450 (7.5%)</w:t>
            </w:r>
          </w:p>
        </w:tc>
        <w:tc>
          <w:tcPr>
            <w:tcW w:w="305" w:type="pct"/>
            <w:tcBorders>
              <w:top w:val="nil"/>
              <w:left w:val="nil"/>
              <w:bottom w:val="nil"/>
              <w:right w:val="nil"/>
            </w:tcBorders>
            <w:shd w:val="clear" w:color="000000" w:fill="FFFFFF"/>
            <w:noWrap/>
            <w:vAlign w:val="center"/>
            <w:hideMark/>
          </w:tcPr>
          <w:p w14:paraId="10FD76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6AD8C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2714 (6.6%)</w:t>
            </w:r>
          </w:p>
        </w:tc>
        <w:tc>
          <w:tcPr>
            <w:tcW w:w="550" w:type="pct"/>
            <w:tcBorders>
              <w:top w:val="nil"/>
              <w:left w:val="nil"/>
              <w:bottom w:val="nil"/>
              <w:right w:val="nil"/>
            </w:tcBorders>
            <w:shd w:val="clear" w:color="000000" w:fill="FFFFFF"/>
            <w:noWrap/>
            <w:vAlign w:val="center"/>
            <w:hideMark/>
          </w:tcPr>
          <w:p w14:paraId="2AE8676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3038 (4.0%)</w:t>
            </w:r>
          </w:p>
        </w:tc>
        <w:tc>
          <w:tcPr>
            <w:tcW w:w="550" w:type="pct"/>
            <w:tcBorders>
              <w:top w:val="nil"/>
              <w:left w:val="nil"/>
              <w:bottom w:val="nil"/>
              <w:right w:val="nil"/>
            </w:tcBorders>
            <w:shd w:val="clear" w:color="000000" w:fill="FFFFFF"/>
            <w:noWrap/>
            <w:vAlign w:val="center"/>
            <w:hideMark/>
          </w:tcPr>
          <w:p w14:paraId="30D3C35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478 (3.9%)</w:t>
            </w:r>
          </w:p>
        </w:tc>
        <w:tc>
          <w:tcPr>
            <w:tcW w:w="305" w:type="pct"/>
            <w:tcBorders>
              <w:top w:val="nil"/>
              <w:left w:val="nil"/>
              <w:bottom w:val="nil"/>
              <w:right w:val="nil"/>
            </w:tcBorders>
            <w:shd w:val="clear" w:color="000000" w:fill="FFFFFF"/>
            <w:noWrap/>
            <w:vAlign w:val="center"/>
            <w:hideMark/>
          </w:tcPr>
          <w:p w14:paraId="46F8DFA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4A8F2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3516 (3.9%)</w:t>
            </w:r>
          </w:p>
        </w:tc>
      </w:tr>
      <w:tr w:rsidR="00DA1572" w:rsidRPr="00DC3283" w14:paraId="5A16EED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83A1FC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w:t>
            </w:r>
          </w:p>
        </w:tc>
        <w:tc>
          <w:tcPr>
            <w:tcW w:w="550" w:type="pct"/>
            <w:tcBorders>
              <w:top w:val="nil"/>
              <w:left w:val="nil"/>
              <w:bottom w:val="nil"/>
              <w:right w:val="nil"/>
            </w:tcBorders>
            <w:shd w:val="clear" w:color="000000" w:fill="FFFFFF"/>
            <w:noWrap/>
            <w:vAlign w:val="center"/>
            <w:hideMark/>
          </w:tcPr>
          <w:p w14:paraId="28E0D64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1852 (5.3%)</w:t>
            </w:r>
          </w:p>
        </w:tc>
        <w:tc>
          <w:tcPr>
            <w:tcW w:w="550" w:type="pct"/>
            <w:tcBorders>
              <w:top w:val="nil"/>
              <w:left w:val="nil"/>
              <w:bottom w:val="nil"/>
              <w:right w:val="nil"/>
            </w:tcBorders>
            <w:shd w:val="clear" w:color="000000" w:fill="FFFFFF"/>
            <w:noWrap/>
            <w:vAlign w:val="center"/>
            <w:hideMark/>
          </w:tcPr>
          <w:p w14:paraId="548A21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399 (6.6%)</w:t>
            </w:r>
          </w:p>
        </w:tc>
        <w:tc>
          <w:tcPr>
            <w:tcW w:w="305" w:type="pct"/>
            <w:tcBorders>
              <w:top w:val="nil"/>
              <w:left w:val="nil"/>
              <w:bottom w:val="nil"/>
              <w:right w:val="nil"/>
            </w:tcBorders>
            <w:shd w:val="clear" w:color="000000" w:fill="FFFFFF"/>
            <w:noWrap/>
            <w:vAlign w:val="center"/>
            <w:hideMark/>
          </w:tcPr>
          <w:p w14:paraId="523D1A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D293F4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2251 (5.5%)</w:t>
            </w:r>
          </w:p>
        </w:tc>
        <w:tc>
          <w:tcPr>
            <w:tcW w:w="550" w:type="pct"/>
            <w:tcBorders>
              <w:top w:val="nil"/>
              <w:left w:val="nil"/>
              <w:bottom w:val="nil"/>
              <w:right w:val="nil"/>
            </w:tcBorders>
            <w:shd w:val="clear" w:color="000000" w:fill="FFFFFF"/>
            <w:noWrap/>
            <w:vAlign w:val="center"/>
            <w:hideMark/>
          </w:tcPr>
          <w:p w14:paraId="026E14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2745 (3.6%)</w:t>
            </w:r>
          </w:p>
        </w:tc>
        <w:tc>
          <w:tcPr>
            <w:tcW w:w="550" w:type="pct"/>
            <w:tcBorders>
              <w:top w:val="nil"/>
              <w:left w:val="nil"/>
              <w:bottom w:val="nil"/>
              <w:right w:val="nil"/>
            </w:tcBorders>
            <w:shd w:val="clear" w:color="000000" w:fill="FFFFFF"/>
            <w:noWrap/>
            <w:vAlign w:val="center"/>
            <w:hideMark/>
          </w:tcPr>
          <w:p w14:paraId="5413C22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431 (3.5%)</w:t>
            </w:r>
          </w:p>
        </w:tc>
        <w:tc>
          <w:tcPr>
            <w:tcW w:w="305" w:type="pct"/>
            <w:tcBorders>
              <w:top w:val="nil"/>
              <w:left w:val="nil"/>
              <w:bottom w:val="nil"/>
              <w:right w:val="nil"/>
            </w:tcBorders>
            <w:shd w:val="clear" w:color="000000" w:fill="FFFFFF"/>
            <w:noWrap/>
            <w:vAlign w:val="center"/>
            <w:hideMark/>
          </w:tcPr>
          <w:p w14:paraId="150BBFA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EC4AC6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3176 (3.6%)</w:t>
            </w:r>
          </w:p>
        </w:tc>
      </w:tr>
      <w:tr w:rsidR="00DA1572" w:rsidRPr="00DC3283" w14:paraId="6CB7D22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CD59F0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w:t>
            </w:r>
          </w:p>
        </w:tc>
        <w:tc>
          <w:tcPr>
            <w:tcW w:w="550" w:type="pct"/>
            <w:tcBorders>
              <w:top w:val="nil"/>
              <w:left w:val="nil"/>
              <w:bottom w:val="nil"/>
              <w:right w:val="nil"/>
            </w:tcBorders>
            <w:shd w:val="clear" w:color="000000" w:fill="FFFFFF"/>
            <w:noWrap/>
            <w:vAlign w:val="center"/>
            <w:hideMark/>
          </w:tcPr>
          <w:p w14:paraId="6A4278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1550 (4.4%)</w:t>
            </w:r>
          </w:p>
        </w:tc>
        <w:tc>
          <w:tcPr>
            <w:tcW w:w="550" w:type="pct"/>
            <w:tcBorders>
              <w:top w:val="nil"/>
              <w:left w:val="nil"/>
              <w:bottom w:val="nil"/>
              <w:right w:val="nil"/>
            </w:tcBorders>
            <w:shd w:val="clear" w:color="000000" w:fill="FFFFFF"/>
            <w:noWrap/>
            <w:vAlign w:val="center"/>
            <w:hideMark/>
          </w:tcPr>
          <w:p w14:paraId="131F5A3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339 (5.6%)</w:t>
            </w:r>
          </w:p>
        </w:tc>
        <w:tc>
          <w:tcPr>
            <w:tcW w:w="305" w:type="pct"/>
            <w:tcBorders>
              <w:top w:val="nil"/>
              <w:left w:val="nil"/>
              <w:bottom w:val="nil"/>
              <w:right w:val="nil"/>
            </w:tcBorders>
            <w:shd w:val="clear" w:color="000000" w:fill="FFFFFF"/>
            <w:noWrap/>
            <w:vAlign w:val="center"/>
            <w:hideMark/>
          </w:tcPr>
          <w:p w14:paraId="34D471C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51DC6E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1889 (4.6%)</w:t>
            </w:r>
          </w:p>
        </w:tc>
        <w:tc>
          <w:tcPr>
            <w:tcW w:w="550" w:type="pct"/>
            <w:tcBorders>
              <w:top w:val="nil"/>
              <w:left w:val="nil"/>
              <w:bottom w:val="nil"/>
              <w:right w:val="nil"/>
            </w:tcBorders>
            <w:shd w:val="clear" w:color="000000" w:fill="FFFFFF"/>
            <w:noWrap/>
            <w:vAlign w:val="center"/>
            <w:hideMark/>
          </w:tcPr>
          <w:p w14:paraId="7265073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2139 (2.8%)</w:t>
            </w:r>
          </w:p>
        </w:tc>
        <w:tc>
          <w:tcPr>
            <w:tcW w:w="550" w:type="pct"/>
            <w:tcBorders>
              <w:top w:val="nil"/>
              <w:left w:val="nil"/>
              <w:bottom w:val="nil"/>
              <w:right w:val="nil"/>
            </w:tcBorders>
            <w:shd w:val="clear" w:color="000000" w:fill="FFFFFF"/>
            <w:noWrap/>
            <w:vAlign w:val="center"/>
            <w:hideMark/>
          </w:tcPr>
          <w:p w14:paraId="28D31E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316 (2.6%)</w:t>
            </w:r>
          </w:p>
        </w:tc>
        <w:tc>
          <w:tcPr>
            <w:tcW w:w="305" w:type="pct"/>
            <w:tcBorders>
              <w:top w:val="nil"/>
              <w:left w:val="nil"/>
              <w:bottom w:val="nil"/>
              <w:right w:val="nil"/>
            </w:tcBorders>
            <w:shd w:val="clear" w:color="000000" w:fill="FFFFFF"/>
            <w:noWrap/>
            <w:vAlign w:val="center"/>
            <w:hideMark/>
          </w:tcPr>
          <w:p w14:paraId="46440EA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BF2CD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2455 (2.8%)</w:t>
            </w:r>
          </w:p>
        </w:tc>
      </w:tr>
      <w:tr w:rsidR="00DA1572" w:rsidRPr="00DC3283" w14:paraId="7ADF806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3062930"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Missing</w:t>
            </w:r>
          </w:p>
        </w:tc>
        <w:tc>
          <w:tcPr>
            <w:tcW w:w="550" w:type="pct"/>
            <w:tcBorders>
              <w:top w:val="nil"/>
              <w:left w:val="nil"/>
              <w:bottom w:val="nil"/>
              <w:right w:val="nil"/>
            </w:tcBorders>
            <w:shd w:val="clear" w:color="000000" w:fill="FFFFFF"/>
            <w:noWrap/>
            <w:vAlign w:val="center"/>
            <w:hideMark/>
          </w:tcPr>
          <w:p w14:paraId="7E66FC9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24646 (69.9%)</w:t>
            </w:r>
          </w:p>
        </w:tc>
        <w:tc>
          <w:tcPr>
            <w:tcW w:w="550" w:type="pct"/>
            <w:tcBorders>
              <w:top w:val="nil"/>
              <w:left w:val="nil"/>
              <w:bottom w:val="nil"/>
              <w:right w:val="nil"/>
            </w:tcBorders>
            <w:shd w:val="clear" w:color="000000" w:fill="FFFFFF"/>
            <w:noWrap/>
            <w:vAlign w:val="center"/>
            <w:hideMark/>
          </w:tcPr>
          <w:p w14:paraId="4FF410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3626 (60.1%)</w:t>
            </w:r>
          </w:p>
        </w:tc>
        <w:tc>
          <w:tcPr>
            <w:tcW w:w="305" w:type="pct"/>
            <w:tcBorders>
              <w:top w:val="nil"/>
              <w:left w:val="nil"/>
              <w:bottom w:val="nil"/>
              <w:right w:val="nil"/>
            </w:tcBorders>
            <w:shd w:val="clear" w:color="000000" w:fill="FFFFFF"/>
            <w:noWrap/>
            <w:vAlign w:val="center"/>
            <w:hideMark/>
          </w:tcPr>
          <w:p w14:paraId="612075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55585F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28272 (68.5%)</w:t>
            </w:r>
          </w:p>
        </w:tc>
        <w:tc>
          <w:tcPr>
            <w:tcW w:w="550" w:type="pct"/>
            <w:tcBorders>
              <w:top w:val="nil"/>
              <w:left w:val="nil"/>
              <w:bottom w:val="nil"/>
              <w:right w:val="nil"/>
            </w:tcBorders>
            <w:shd w:val="clear" w:color="000000" w:fill="FFFFFF"/>
            <w:noWrap/>
            <w:vAlign w:val="center"/>
            <w:hideMark/>
          </w:tcPr>
          <w:p w14:paraId="2D01D5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60903 (79.3%)</w:t>
            </w:r>
          </w:p>
        </w:tc>
        <w:tc>
          <w:tcPr>
            <w:tcW w:w="550" w:type="pct"/>
            <w:tcBorders>
              <w:top w:val="nil"/>
              <w:left w:val="nil"/>
              <w:bottom w:val="nil"/>
              <w:right w:val="nil"/>
            </w:tcBorders>
            <w:shd w:val="clear" w:color="000000" w:fill="FFFFFF"/>
            <w:noWrap/>
            <w:vAlign w:val="center"/>
            <w:hideMark/>
          </w:tcPr>
          <w:p w14:paraId="3A7A07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9853 (79.6%)</w:t>
            </w:r>
          </w:p>
        </w:tc>
        <w:tc>
          <w:tcPr>
            <w:tcW w:w="305" w:type="pct"/>
            <w:tcBorders>
              <w:top w:val="nil"/>
              <w:left w:val="nil"/>
              <w:bottom w:val="nil"/>
              <w:right w:val="nil"/>
            </w:tcBorders>
            <w:shd w:val="clear" w:color="000000" w:fill="FFFFFF"/>
            <w:noWrap/>
            <w:vAlign w:val="center"/>
            <w:hideMark/>
          </w:tcPr>
          <w:p w14:paraId="7689F73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5DF19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70756 (79.4%)</w:t>
            </w:r>
          </w:p>
        </w:tc>
      </w:tr>
      <w:tr w:rsidR="00DA1572" w:rsidRPr="00DC3283" w14:paraId="2B9E783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B4CE6E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Anaemia</w:t>
            </w:r>
          </w:p>
        </w:tc>
        <w:tc>
          <w:tcPr>
            <w:tcW w:w="550" w:type="pct"/>
            <w:tcBorders>
              <w:top w:val="nil"/>
              <w:left w:val="nil"/>
              <w:bottom w:val="nil"/>
              <w:right w:val="nil"/>
            </w:tcBorders>
            <w:shd w:val="clear" w:color="000000" w:fill="FFFFFF"/>
            <w:noWrap/>
            <w:vAlign w:val="center"/>
            <w:hideMark/>
          </w:tcPr>
          <w:p w14:paraId="0042E1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0D173D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E54F8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CE0BE8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4FA18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998854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B3D57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B49DC8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F24E16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977C1C1"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25104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208 (0.6%)</w:t>
            </w:r>
          </w:p>
        </w:tc>
        <w:tc>
          <w:tcPr>
            <w:tcW w:w="550" w:type="pct"/>
            <w:tcBorders>
              <w:top w:val="nil"/>
              <w:left w:val="nil"/>
              <w:bottom w:val="nil"/>
              <w:right w:val="nil"/>
            </w:tcBorders>
            <w:shd w:val="clear" w:color="000000" w:fill="FFFFFF"/>
            <w:noWrap/>
            <w:vAlign w:val="center"/>
            <w:hideMark/>
          </w:tcPr>
          <w:p w14:paraId="7918E32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733 (12.1%)</w:t>
            </w:r>
          </w:p>
        </w:tc>
        <w:tc>
          <w:tcPr>
            <w:tcW w:w="305" w:type="pct"/>
            <w:tcBorders>
              <w:top w:val="nil"/>
              <w:left w:val="nil"/>
              <w:bottom w:val="nil"/>
              <w:right w:val="nil"/>
            </w:tcBorders>
            <w:shd w:val="clear" w:color="000000" w:fill="FFFFFF"/>
            <w:noWrap/>
            <w:vAlign w:val="center"/>
            <w:hideMark/>
          </w:tcPr>
          <w:p w14:paraId="4ACFDF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3C7FF0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941 (2.3%)</w:t>
            </w:r>
          </w:p>
        </w:tc>
        <w:tc>
          <w:tcPr>
            <w:tcW w:w="550" w:type="pct"/>
            <w:tcBorders>
              <w:top w:val="nil"/>
              <w:left w:val="nil"/>
              <w:bottom w:val="nil"/>
              <w:right w:val="nil"/>
            </w:tcBorders>
            <w:shd w:val="clear" w:color="000000" w:fill="FFFFFF"/>
            <w:noWrap/>
            <w:vAlign w:val="center"/>
            <w:hideMark/>
          </w:tcPr>
          <w:p w14:paraId="4A906CF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104 (0.1%)</w:t>
            </w:r>
          </w:p>
        </w:tc>
        <w:tc>
          <w:tcPr>
            <w:tcW w:w="550" w:type="pct"/>
            <w:tcBorders>
              <w:top w:val="nil"/>
              <w:left w:val="nil"/>
              <w:bottom w:val="nil"/>
              <w:right w:val="nil"/>
            </w:tcBorders>
            <w:shd w:val="clear" w:color="000000" w:fill="FFFFFF"/>
            <w:noWrap/>
            <w:vAlign w:val="center"/>
            <w:hideMark/>
          </w:tcPr>
          <w:p w14:paraId="21B01D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305 (2.5%)</w:t>
            </w:r>
          </w:p>
        </w:tc>
        <w:tc>
          <w:tcPr>
            <w:tcW w:w="305" w:type="pct"/>
            <w:tcBorders>
              <w:top w:val="nil"/>
              <w:left w:val="nil"/>
              <w:bottom w:val="nil"/>
              <w:right w:val="nil"/>
            </w:tcBorders>
            <w:shd w:val="clear" w:color="000000" w:fill="FFFFFF"/>
            <w:noWrap/>
            <w:vAlign w:val="center"/>
            <w:hideMark/>
          </w:tcPr>
          <w:p w14:paraId="7C68FA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268F2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409 (0.5%)</w:t>
            </w:r>
          </w:p>
        </w:tc>
      </w:tr>
      <w:tr w:rsidR="00DA1572" w:rsidRPr="00DC3283" w14:paraId="4016403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4E8B776"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Cardiovascular disease</w:t>
            </w:r>
          </w:p>
        </w:tc>
        <w:tc>
          <w:tcPr>
            <w:tcW w:w="550" w:type="pct"/>
            <w:tcBorders>
              <w:top w:val="nil"/>
              <w:left w:val="nil"/>
              <w:bottom w:val="nil"/>
              <w:right w:val="nil"/>
            </w:tcBorders>
            <w:shd w:val="clear" w:color="000000" w:fill="FFFFFF"/>
            <w:noWrap/>
            <w:vAlign w:val="center"/>
            <w:hideMark/>
          </w:tcPr>
          <w:p w14:paraId="1ED311C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25E70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C02BA4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FB2062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BA2A20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92F49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61DD4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17C13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588039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0AB8B2D"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00712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2081 (5.9%)</w:t>
            </w:r>
          </w:p>
        </w:tc>
        <w:tc>
          <w:tcPr>
            <w:tcW w:w="550" w:type="pct"/>
            <w:tcBorders>
              <w:top w:val="nil"/>
              <w:left w:val="nil"/>
              <w:bottom w:val="nil"/>
              <w:right w:val="nil"/>
            </w:tcBorders>
            <w:shd w:val="clear" w:color="000000" w:fill="FFFFFF"/>
            <w:noWrap/>
            <w:vAlign w:val="center"/>
            <w:hideMark/>
          </w:tcPr>
          <w:p w14:paraId="6A5C46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860 (14.3%)</w:t>
            </w:r>
          </w:p>
        </w:tc>
        <w:tc>
          <w:tcPr>
            <w:tcW w:w="305" w:type="pct"/>
            <w:tcBorders>
              <w:top w:val="nil"/>
              <w:left w:val="nil"/>
              <w:bottom w:val="nil"/>
              <w:right w:val="nil"/>
            </w:tcBorders>
            <w:shd w:val="clear" w:color="000000" w:fill="FFFFFF"/>
            <w:noWrap/>
            <w:vAlign w:val="center"/>
            <w:hideMark/>
          </w:tcPr>
          <w:p w14:paraId="7100227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D3672C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2941 (7.1%)</w:t>
            </w:r>
          </w:p>
        </w:tc>
        <w:tc>
          <w:tcPr>
            <w:tcW w:w="550" w:type="pct"/>
            <w:tcBorders>
              <w:top w:val="nil"/>
              <w:left w:val="nil"/>
              <w:bottom w:val="nil"/>
              <w:right w:val="nil"/>
            </w:tcBorders>
            <w:shd w:val="clear" w:color="000000" w:fill="FFFFFF"/>
            <w:noWrap/>
            <w:vAlign w:val="center"/>
            <w:hideMark/>
          </w:tcPr>
          <w:p w14:paraId="1CDD8C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822 (1.1%)</w:t>
            </w:r>
          </w:p>
        </w:tc>
        <w:tc>
          <w:tcPr>
            <w:tcW w:w="550" w:type="pct"/>
            <w:tcBorders>
              <w:top w:val="nil"/>
              <w:left w:val="nil"/>
              <w:bottom w:val="nil"/>
              <w:right w:val="nil"/>
            </w:tcBorders>
            <w:shd w:val="clear" w:color="000000" w:fill="FFFFFF"/>
            <w:noWrap/>
            <w:vAlign w:val="center"/>
            <w:hideMark/>
          </w:tcPr>
          <w:p w14:paraId="7A6C15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321 (2.6%)</w:t>
            </w:r>
          </w:p>
        </w:tc>
        <w:tc>
          <w:tcPr>
            <w:tcW w:w="305" w:type="pct"/>
            <w:tcBorders>
              <w:top w:val="nil"/>
              <w:left w:val="nil"/>
              <w:bottom w:val="nil"/>
              <w:right w:val="nil"/>
            </w:tcBorders>
            <w:shd w:val="clear" w:color="000000" w:fill="FFFFFF"/>
            <w:noWrap/>
            <w:vAlign w:val="center"/>
            <w:hideMark/>
          </w:tcPr>
          <w:p w14:paraId="1F766C1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D1DA67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1143 (1.3%)</w:t>
            </w:r>
          </w:p>
        </w:tc>
      </w:tr>
      <w:tr w:rsidR="00DA1572" w:rsidRPr="00DC3283" w14:paraId="39C583C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DFE81F6"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Chronic liver disease</w:t>
            </w:r>
          </w:p>
        </w:tc>
        <w:tc>
          <w:tcPr>
            <w:tcW w:w="550" w:type="pct"/>
            <w:tcBorders>
              <w:top w:val="nil"/>
              <w:left w:val="nil"/>
              <w:bottom w:val="nil"/>
              <w:right w:val="nil"/>
            </w:tcBorders>
            <w:shd w:val="clear" w:color="000000" w:fill="FFFFFF"/>
            <w:noWrap/>
            <w:vAlign w:val="center"/>
            <w:hideMark/>
          </w:tcPr>
          <w:p w14:paraId="47CC86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C507E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715598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917338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A20AC7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284423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6EC35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EC013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D029CC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95C77D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B6EBFE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421 (1.2%)</w:t>
            </w:r>
          </w:p>
        </w:tc>
        <w:tc>
          <w:tcPr>
            <w:tcW w:w="550" w:type="pct"/>
            <w:tcBorders>
              <w:top w:val="nil"/>
              <w:left w:val="nil"/>
              <w:bottom w:val="nil"/>
              <w:right w:val="nil"/>
            </w:tcBorders>
            <w:shd w:val="clear" w:color="000000" w:fill="FFFFFF"/>
            <w:noWrap/>
            <w:vAlign w:val="center"/>
            <w:hideMark/>
          </w:tcPr>
          <w:p w14:paraId="02C42B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184 (3.0%)</w:t>
            </w:r>
          </w:p>
        </w:tc>
        <w:tc>
          <w:tcPr>
            <w:tcW w:w="305" w:type="pct"/>
            <w:tcBorders>
              <w:top w:val="nil"/>
              <w:left w:val="nil"/>
              <w:bottom w:val="nil"/>
              <w:right w:val="nil"/>
            </w:tcBorders>
            <w:shd w:val="clear" w:color="000000" w:fill="FFFFFF"/>
            <w:noWrap/>
            <w:vAlign w:val="center"/>
            <w:hideMark/>
          </w:tcPr>
          <w:p w14:paraId="3ABA252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23063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605 (1.5%)</w:t>
            </w:r>
          </w:p>
        </w:tc>
        <w:tc>
          <w:tcPr>
            <w:tcW w:w="550" w:type="pct"/>
            <w:tcBorders>
              <w:top w:val="nil"/>
              <w:left w:val="nil"/>
              <w:bottom w:val="nil"/>
              <w:right w:val="nil"/>
            </w:tcBorders>
            <w:shd w:val="clear" w:color="000000" w:fill="FFFFFF"/>
            <w:noWrap/>
            <w:vAlign w:val="center"/>
            <w:hideMark/>
          </w:tcPr>
          <w:p w14:paraId="65611D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311 (0.4%)</w:t>
            </w:r>
          </w:p>
        </w:tc>
        <w:tc>
          <w:tcPr>
            <w:tcW w:w="550" w:type="pct"/>
            <w:tcBorders>
              <w:top w:val="nil"/>
              <w:left w:val="nil"/>
              <w:bottom w:val="nil"/>
              <w:right w:val="nil"/>
            </w:tcBorders>
            <w:shd w:val="clear" w:color="000000" w:fill="FFFFFF"/>
            <w:noWrap/>
            <w:vAlign w:val="center"/>
            <w:hideMark/>
          </w:tcPr>
          <w:p w14:paraId="59AE4BD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140 (1.1%)</w:t>
            </w:r>
          </w:p>
        </w:tc>
        <w:tc>
          <w:tcPr>
            <w:tcW w:w="305" w:type="pct"/>
            <w:tcBorders>
              <w:top w:val="nil"/>
              <w:left w:val="nil"/>
              <w:bottom w:val="nil"/>
              <w:right w:val="nil"/>
            </w:tcBorders>
            <w:shd w:val="clear" w:color="000000" w:fill="FFFFFF"/>
            <w:noWrap/>
            <w:vAlign w:val="center"/>
            <w:hideMark/>
          </w:tcPr>
          <w:p w14:paraId="0E9F95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B2D898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451 (0.5%)</w:t>
            </w:r>
          </w:p>
        </w:tc>
      </w:tr>
      <w:tr w:rsidR="00DA1572" w:rsidRPr="00DC3283" w14:paraId="542F3FA9"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8451466" w14:textId="7625928F" w:rsidR="00DC3283" w:rsidRPr="00DC3283" w:rsidRDefault="00A65A5D" w:rsidP="00DC3283">
            <w:pPr>
              <w:spacing w:after="0" w:line="240" w:lineRule="auto"/>
              <w:rPr>
                <w:rFonts w:ascii="Calibri" w:eastAsia="Times New Roman" w:hAnsi="Calibri" w:cs="Calibri"/>
                <w:b/>
                <w:bCs/>
                <w:color w:val="000000"/>
                <w:sz w:val="18"/>
                <w:szCs w:val="18"/>
                <w:lang w:eastAsia="en-GB"/>
              </w:rPr>
            </w:pPr>
            <w:r>
              <w:rPr>
                <w:rFonts w:ascii="Calibri" w:eastAsia="Times New Roman" w:hAnsi="Calibri" w:cs="Calibri"/>
                <w:b/>
                <w:bCs/>
                <w:color w:val="000000"/>
                <w:sz w:val="18"/>
                <w:szCs w:val="18"/>
                <w:lang w:eastAsia="en-GB"/>
              </w:rPr>
              <w:t>Down</w:t>
            </w:r>
            <w:r w:rsidR="00DC3283" w:rsidRPr="00DC3283">
              <w:rPr>
                <w:rFonts w:ascii="Calibri" w:eastAsia="Times New Roman" w:hAnsi="Calibri" w:cs="Calibri"/>
                <w:b/>
                <w:bCs/>
                <w:color w:val="000000"/>
                <w:sz w:val="18"/>
                <w:szCs w:val="18"/>
                <w:lang w:eastAsia="en-GB"/>
              </w:rPr>
              <w:t xml:space="preserve"> syndrome</w:t>
            </w:r>
          </w:p>
        </w:tc>
        <w:tc>
          <w:tcPr>
            <w:tcW w:w="550" w:type="pct"/>
            <w:tcBorders>
              <w:top w:val="nil"/>
              <w:left w:val="nil"/>
              <w:bottom w:val="nil"/>
              <w:right w:val="nil"/>
            </w:tcBorders>
            <w:shd w:val="clear" w:color="000000" w:fill="FFFFFF"/>
            <w:noWrap/>
            <w:vAlign w:val="center"/>
            <w:hideMark/>
          </w:tcPr>
          <w:p w14:paraId="7D2C56E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90FEC6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2ED4D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4B14A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08DAA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5E4082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8191B1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630AB7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B75AA4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3AA162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F20B5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(0.0%)</w:t>
            </w:r>
          </w:p>
        </w:tc>
        <w:tc>
          <w:tcPr>
            <w:tcW w:w="550" w:type="pct"/>
            <w:tcBorders>
              <w:top w:val="nil"/>
              <w:left w:val="nil"/>
              <w:bottom w:val="nil"/>
              <w:right w:val="nil"/>
            </w:tcBorders>
            <w:shd w:val="clear" w:color="000000" w:fill="FFFFFF"/>
            <w:noWrap/>
            <w:vAlign w:val="center"/>
            <w:hideMark/>
          </w:tcPr>
          <w:p w14:paraId="44D6455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 (0.1%)</w:t>
            </w:r>
          </w:p>
        </w:tc>
        <w:tc>
          <w:tcPr>
            <w:tcW w:w="305" w:type="pct"/>
            <w:tcBorders>
              <w:top w:val="nil"/>
              <w:left w:val="nil"/>
              <w:bottom w:val="nil"/>
              <w:right w:val="nil"/>
            </w:tcBorders>
            <w:shd w:val="clear" w:color="000000" w:fill="FFFFFF"/>
            <w:noWrap/>
            <w:vAlign w:val="center"/>
            <w:hideMark/>
          </w:tcPr>
          <w:p w14:paraId="6B2F2CC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0.002</w:t>
            </w:r>
          </w:p>
        </w:tc>
        <w:tc>
          <w:tcPr>
            <w:tcW w:w="550" w:type="pct"/>
            <w:tcBorders>
              <w:top w:val="nil"/>
              <w:left w:val="nil"/>
              <w:bottom w:val="nil"/>
              <w:right w:val="single" w:sz="8" w:space="0" w:color="auto"/>
            </w:tcBorders>
            <w:shd w:val="clear" w:color="000000" w:fill="FFFFFF"/>
            <w:noWrap/>
            <w:vAlign w:val="center"/>
            <w:hideMark/>
          </w:tcPr>
          <w:p w14:paraId="0BD629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 (0.0%)</w:t>
            </w:r>
          </w:p>
        </w:tc>
        <w:tc>
          <w:tcPr>
            <w:tcW w:w="550" w:type="pct"/>
            <w:tcBorders>
              <w:top w:val="nil"/>
              <w:left w:val="nil"/>
              <w:bottom w:val="nil"/>
              <w:right w:val="nil"/>
            </w:tcBorders>
            <w:shd w:val="clear" w:color="000000" w:fill="FFFFFF"/>
            <w:noWrap/>
            <w:vAlign w:val="center"/>
            <w:hideMark/>
          </w:tcPr>
          <w:p w14:paraId="320FB2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 (0.0%)</w:t>
            </w:r>
          </w:p>
        </w:tc>
        <w:tc>
          <w:tcPr>
            <w:tcW w:w="550" w:type="pct"/>
            <w:tcBorders>
              <w:top w:val="nil"/>
              <w:left w:val="nil"/>
              <w:bottom w:val="nil"/>
              <w:right w:val="nil"/>
            </w:tcBorders>
            <w:shd w:val="clear" w:color="000000" w:fill="FFFFFF"/>
            <w:noWrap/>
            <w:vAlign w:val="center"/>
            <w:hideMark/>
          </w:tcPr>
          <w:p w14:paraId="1F386A0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c>
          <w:tcPr>
            <w:tcW w:w="305" w:type="pct"/>
            <w:tcBorders>
              <w:top w:val="nil"/>
              <w:left w:val="nil"/>
              <w:bottom w:val="nil"/>
              <w:right w:val="nil"/>
            </w:tcBorders>
            <w:shd w:val="clear" w:color="000000" w:fill="FFFFFF"/>
            <w:noWrap/>
            <w:vAlign w:val="center"/>
            <w:hideMark/>
          </w:tcPr>
          <w:p w14:paraId="524937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DD1249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 (0.0%)</w:t>
            </w:r>
          </w:p>
        </w:tc>
      </w:tr>
      <w:tr w:rsidR="00DA1572" w:rsidRPr="00DC3283" w14:paraId="2B1A0A4F"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C11E4B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Epilepsy</w:t>
            </w:r>
          </w:p>
        </w:tc>
        <w:tc>
          <w:tcPr>
            <w:tcW w:w="550" w:type="pct"/>
            <w:tcBorders>
              <w:top w:val="nil"/>
              <w:left w:val="nil"/>
              <w:bottom w:val="nil"/>
              <w:right w:val="nil"/>
            </w:tcBorders>
            <w:shd w:val="clear" w:color="000000" w:fill="FFFFFF"/>
            <w:noWrap/>
            <w:vAlign w:val="center"/>
            <w:hideMark/>
          </w:tcPr>
          <w:p w14:paraId="458138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95D5FB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E2D03C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FF7F55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68CD07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32663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2CEE7D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6A10A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4090EB5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10A4534"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20DA0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207 (0.6%)</w:t>
            </w:r>
          </w:p>
        </w:tc>
        <w:tc>
          <w:tcPr>
            <w:tcW w:w="550" w:type="pct"/>
            <w:tcBorders>
              <w:top w:val="nil"/>
              <w:left w:val="nil"/>
              <w:bottom w:val="nil"/>
              <w:right w:val="nil"/>
            </w:tcBorders>
            <w:shd w:val="clear" w:color="000000" w:fill="FFFFFF"/>
            <w:noWrap/>
            <w:vAlign w:val="center"/>
            <w:hideMark/>
          </w:tcPr>
          <w:p w14:paraId="7FDF9C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69 (1.1%)</w:t>
            </w:r>
          </w:p>
        </w:tc>
        <w:tc>
          <w:tcPr>
            <w:tcW w:w="305" w:type="pct"/>
            <w:tcBorders>
              <w:top w:val="nil"/>
              <w:left w:val="nil"/>
              <w:bottom w:val="nil"/>
              <w:right w:val="nil"/>
            </w:tcBorders>
            <w:shd w:val="clear" w:color="000000" w:fill="FFFFFF"/>
            <w:noWrap/>
            <w:vAlign w:val="center"/>
            <w:hideMark/>
          </w:tcPr>
          <w:p w14:paraId="408AE43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B6177D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276 (0.7%)</w:t>
            </w:r>
          </w:p>
        </w:tc>
        <w:tc>
          <w:tcPr>
            <w:tcW w:w="550" w:type="pct"/>
            <w:tcBorders>
              <w:top w:val="nil"/>
              <w:left w:val="nil"/>
              <w:bottom w:val="nil"/>
              <w:right w:val="nil"/>
            </w:tcBorders>
            <w:shd w:val="clear" w:color="000000" w:fill="FFFFFF"/>
            <w:noWrap/>
            <w:vAlign w:val="center"/>
            <w:hideMark/>
          </w:tcPr>
          <w:p w14:paraId="553EF1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101 (0.1%)</w:t>
            </w:r>
          </w:p>
        </w:tc>
        <w:tc>
          <w:tcPr>
            <w:tcW w:w="550" w:type="pct"/>
            <w:tcBorders>
              <w:top w:val="nil"/>
              <w:left w:val="nil"/>
              <w:bottom w:val="nil"/>
              <w:right w:val="nil"/>
            </w:tcBorders>
            <w:shd w:val="clear" w:color="000000" w:fill="FFFFFF"/>
            <w:noWrap/>
            <w:vAlign w:val="center"/>
            <w:hideMark/>
          </w:tcPr>
          <w:p w14:paraId="6AB670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45 (0.4%)</w:t>
            </w:r>
          </w:p>
        </w:tc>
        <w:tc>
          <w:tcPr>
            <w:tcW w:w="305" w:type="pct"/>
            <w:tcBorders>
              <w:top w:val="nil"/>
              <w:left w:val="nil"/>
              <w:bottom w:val="nil"/>
              <w:right w:val="nil"/>
            </w:tcBorders>
            <w:shd w:val="clear" w:color="000000" w:fill="FFFFFF"/>
            <w:noWrap/>
            <w:vAlign w:val="center"/>
            <w:hideMark/>
          </w:tcPr>
          <w:p w14:paraId="73F3EC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FD103E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146 (0.2%)</w:t>
            </w:r>
          </w:p>
        </w:tc>
      </w:tr>
      <w:tr w:rsidR="00DA1572" w:rsidRPr="00DC3283" w14:paraId="4F3A074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2A0A09A"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w:t>
            </w:r>
          </w:p>
        </w:tc>
        <w:tc>
          <w:tcPr>
            <w:tcW w:w="550" w:type="pct"/>
            <w:tcBorders>
              <w:top w:val="nil"/>
              <w:left w:val="nil"/>
              <w:bottom w:val="nil"/>
              <w:right w:val="nil"/>
            </w:tcBorders>
            <w:shd w:val="clear" w:color="000000" w:fill="FFFFFF"/>
            <w:noWrap/>
            <w:vAlign w:val="center"/>
            <w:hideMark/>
          </w:tcPr>
          <w:p w14:paraId="373DF8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F706E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74DE1D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1DE3EB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619AAB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1B6B79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9AF45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14139B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EBC152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035357D"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1451AC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1941 (5.5%)</w:t>
            </w:r>
          </w:p>
        </w:tc>
        <w:tc>
          <w:tcPr>
            <w:tcW w:w="550" w:type="pct"/>
            <w:tcBorders>
              <w:top w:val="nil"/>
              <w:left w:val="nil"/>
              <w:bottom w:val="nil"/>
              <w:right w:val="nil"/>
            </w:tcBorders>
            <w:shd w:val="clear" w:color="000000" w:fill="FFFFFF"/>
            <w:noWrap/>
            <w:vAlign w:val="center"/>
            <w:hideMark/>
          </w:tcPr>
          <w:p w14:paraId="1C654E2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881 (14.6%)</w:t>
            </w:r>
          </w:p>
        </w:tc>
        <w:tc>
          <w:tcPr>
            <w:tcW w:w="305" w:type="pct"/>
            <w:tcBorders>
              <w:top w:val="nil"/>
              <w:left w:val="nil"/>
              <w:bottom w:val="nil"/>
              <w:right w:val="nil"/>
            </w:tcBorders>
            <w:shd w:val="clear" w:color="000000" w:fill="FFFFFF"/>
            <w:noWrap/>
            <w:vAlign w:val="center"/>
            <w:hideMark/>
          </w:tcPr>
          <w:p w14:paraId="757529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2ACEFA5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2822 (6.8%)</w:t>
            </w:r>
          </w:p>
        </w:tc>
        <w:tc>
          <w:tcPr>
            <w:tcW w:w="550" w:type="pct"/>
            <w:tcBorders>
              <w:top w:val="nil"/>
              <w:left w:val="nil"/>
              <w:bottom w:val="nil"/>
              <w:right w:val="nil"/>
            </w:tcBorders>
            <w:shd w:val="clear" w:color="000000" w:fill="FFFFFF"/>
            <w:noWrap/>
            <w:vAlign w:val="center"/>
            <w:hideMark/>
          </w:tcPr>
          <w:p w14:paraId="6166F54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710 (0.9%)</w:t>
            </w:r>
          </w:p>
        </w:tc>
        <w:tc>
          <w:tcPr>
            <w:tcW w:w="550" w:type="pct"/>
            <w:tcBorders>
              <w:top w:val="nil"/>
              <w:left w:val="nil"/>
              <w:bottom w:val="nil"/>
              <w:right w:val="nil"/>
            </w:tcBorders>
            <w:shd w:val="clear" w:color="000000" w:fill="FFFFFF"/>
            <w:noWrap/>
            <w:vAlign w:val="center"/>
            <w:hideMark/>
          </w:tcPr>
          <w:p w14:paraId="45DCB9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346 (2.8%)</w:t>
            </w:r>
          </w:p>
        </w:tc>
        <w:tc>
          <w:tcPr>
            <w:tcW w:w="305" w:type="pct"/>
            <w:tcBorders>
              <w:top w:val="nil"/>
              <w:left w:val="nil"/>
              <w:bottom w:val="nil"/>
              <w:right w:val="nil"/>
            </w:tcBorders>
            <w:shd w:val="clear" w:color="000000" w:fill="FFFFFF"/>
            <w:noWrap/>
            <w:vAlign w:val="center"/>
            <w:hideMark/>
          </w:tcPr>
          <w:p w14:paraId="3FD4983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59E0C3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1056 (1.2%)</w:t>
            </w:r>
          </w:p>
        </w:tc>
      </w:tr>
      <w:tr w:rsidR="00DA1572" w:rsidRPr="00DC3283" w14:paraId="3F0EB5C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08453D5"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Fatigue (count, 1 year)</w:t>
            </w:r>
          </w:p>
        </w:tc>
        <w:tc>
          <w:tcPr>
            <w:tcW w:w="550" w:type="pct"/>
            <w:tcBorders>
              <w:top w:val="nil"/>
              <w:left w:val="nil"/>
              <w:bottom w:val="nil"/>
              <w:right w:val="nil"/>
            </w:tcBorders>
            <w:shd w:val="clear" w:color="000000" w:fill="FFFFFF"/>
            <w:noWrap/>
            <w:vAlign w:val="center"/>
            <w:hideMark/>
          </w:tcPr>
          <w:p w14:paraId="5F90E3F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486C03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089DCD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3EB226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E9325D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E1F052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71508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CFC888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55D2571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25F799E"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13C967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396 (1.1%)</w:t>
            </w:r>
          </w:p>
        </w:tc>
        <w:tc>
          <w:tcPr>
            <w:tcW w:w="550" w:type="pct"/>
            <w:tcBorders>
              <w:top w:val="nil"/>
              <w:left w:val="nil"/>
              <w:bottom w:val="nil"/>
              <w:right w:val="nil"/>
            </w:tcBorders>
            <w:shd w:val="clear" w:color="000000" w:fill="FFFFFF"/>
            <w:noWrap/>
            <w:vAlign w:val="center"/>
            <w:hideMark/>
          </w:tcPr>
          <w:p w14:paraId="308E05E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288 (4.8%)</w:t>
            </w:r>
          </w:p>
        </w:tc>
        <w:tc>
          <w:tcPr>
            <w:tcW w:w="305" w:type="pct"/>
            <w:tcBorders>
              <w:top w:val="nil"/>
              <w:left w:val="nil"/>
              <w:bottom w:val="nil"/>
              <w:right w:val="nil"/>
            </w:tcBorders>
            <w:shd w:val="clear" w:color="000000" w:fill="FFFFFF"/>
            <w:noWrap/>
            <w:vAlign w:val="center"/>
            <w:hideMark/>
          </w:tcPr>
          <w:p w14:paraId="5385BA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C47E8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684 (1.7%)</w:t>
            </w:r>
          </w:p>
        </w:tc>
        <w:tc>
          <w:tcPr>
            <w:tcW w:w="550" w:type="pct"/>
            <w:tcBorders>
              <w:top w:val="nil"/>
              <w:left w:val="nil"/>
              <w:bottom w:val="nil"/>
              <w:right w:val="nil"/>
            </w:tcBorders>
            <w:shd w:val="clear" w:color="000000" w:fill="FFFFFF"/>
            <w:noWrap/>
            <w:vAlign w:val="center"/>
            <w:hideMark/>
          </w:tcPr>
          <w:p w14:paraId="7DA48F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113 (0.1%)</w:t>
            </w:r>
          </w:p>
        </w:tc>
        <w:tc>
          <w:tcPr>
            <w:tcW w:w="550" w:type="pct"/>
            <w:tcBorders>
              <w:top w:val="nil"/>
              <w:left w:val="nil"/>
              <w:bottom w:val="nil"/>
              <w:right w:val="nil"/>
            </w:tcBorders>
            <w:shd w:val="clear" w:color="000000" w:fill="FFFFFF"/>
            <w:noWrap/>
            <w:vAlign w:val="center"/>
            <w:hideMark/>
          </w:tcPr>
          <w:p w14:paraId="2D23DA9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87 (0.7%)</w:t>
            </w:r>
          </w:p>
        </w:tc>
        <w:tc>
          <w:tcPr>
            <w:tcW w:w="305" w:type="pct"/>
            <w:tcBorders>
              <w:top w:val="nil"/>
              <w:left w:val="nil"/>
              <w:bottom w:val="nil"/>
              <w:right w:val="nil"/>
            </w:tcBorders>
            <w:shd w:val="clear" w:color="000000" w:fill="FFFFFF"/>
            <w:noWrap/>
            <w:vAlign w:val="center"/>
            <w:hideMark/>
          </w:tcPr>
          <w:p w14:paraId="53854F2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3C3B9B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200 (0.2%)</w:t>
            </w:r>
          </w:p>
        </w:tc>
      </w:tr>
      <w:tr w:rsidR="00DA1572" w:rsidRPr="00DC3283" w14:paraId="471B61D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163AE0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6817FD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 (0.1%)</w:t>
            </w:r>
          </w:p>
        </w:tc>
        <w:tc>
          <w:tcPr>
            <w:tcW w:w="550" w:type="pct"/>
            <w:tcBorders>
              <w:top w:val="nil"/>
              <w:left w:val="nil"/>
              <w:bottom w:val="nil"/>
              <w:right w:val="nil"/>
            </w:tcBorders>
            <w:shd w:val="clear" w:color="000000" w:fill="FFFFFF"/>
            <w:noWrap/>
            <w:vAlign w:val="center"/>
            <w:hideMark/>
          </w:tcPr>
          <w:p w14:paraId="7B65628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63 (1.0%)</w:t>
            </w:r>
          </w:p>
        </w:tc>
        <w:tc>
          <w:tcPr>
            <w:tcW w:w="305" w:type="pct"/>
            <w:tcBorders>
              <w:top w:val="nil"/>
              <w:left w:val="nil"/>
              <w:bottom w:val="nil"/>
              <w:right w:val="nil"/>
            </w:tcBorders>
            <w:shd w:val="clear" w:color="000000" w:fill="FFFFFF"/>
            <w:noWrap/>
            <w:vAlign w:val="center"/>
            <w:hideMark/>
          </w:tcPr>
          <w:p w14:paraId="7B82D05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47F12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113 (0.3%)</w:t>
            </w:r>
          </w:p>
        </w:tc>
        <w:tc>
          <w:tcPr>
            <w:tcW w:w="550" w:type="pct"/>
            <w:tcBorders>
              <w:top w:val="nil"/>
              <w:left w:val="nil"/>
              <w:bottom w:val="nil"/>
              <w:right w:val="nil"/>
            </w:tcBorders>
            <w:shd w:val="clear" w:color="000000" w:fill="FFFFFF"/>
            <w:noWrap/>
            <w:vAlign w:val="center"/>
            <w:hideMark/>
          </w:tcPr>
          <w:p w14:paraId="79EF55C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 (0.0%)</w:t>
            </w:r>
          </w:p>
        </w:tc>
        <w:tc>
          <w:tcPr>
            <w:tcW w:w="550" w:type="pct"/>
            <w:tcBorders>
              <w:top w:val="nil"/>
              <w:left w:val="nil"/>
              <w:bottom w:val="nil"/>
              <w:right w:val="nil"/>
            </w:tcBorders>
            <w:shd w:val="clear" w:color="000000" w:fill="FFFFFF"/>
            <w:noWrap/>
            <w:vAlign w:val="center"/>
            <w:hideMark/>
          </w:tcPr>
          <w:p w14:paraId="6DBA28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35 (0.3%)</w:t>
            </w:r>
          </w:p>
        </w:tc>
        <w:tc>
          <w:tcPr>
            <w:tcW w:w="305" w:type="pct"/>
            <w:tcBorders>
              <w:top w:val="nil"/>
              <w:left w:val="nil"/>
              <w:bottom w:val="nil"/>
              <w:right w:val="nil"/>
            </w:tcBorders>
            <w:shd w:val="clear" w:color="000000" w:fill="FFFFFF"/>
            <w:noWrap/>
            <w:vAlign w:val="center"/>
            <w:hideMark/>
          </w:tcPr>
          <w:p w14:paraId="19C1F0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0242E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63 (0.1%)</w:t>
            </w:r>
          </w:p>
        </w:tc>
      </w:tr>
      <w:tr w:rsidR="00DA1572" w:rsidRPr="00DC3283" w14:paraId="0A6E739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0084736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744C26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 (0.0%)</w:t>
            </w:r>
          </w:p>
        </w:tc>
        <w:tc>
          <w:tcPr>
            <w:tcW w:w="550" w:type="pct"/>
            <w:tcBorders>
              <w:top w:val="nil"/>
              <w:left w:val="nil"/>
              <w:bottom w:val="nil"/>
              <w:right w:val="nil"/>
            </w:tcBorders>
            <w:shd w:val="clear" w:color="000000" w:fill="FFFFFF"/>
            <w:noWrap/>
            <w:vAlign w:val="center"/>
            <w:hideMark/>
          </w:tcPr>
          <w:p w14:paraId="286E3F3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22 (0.4%)</w:t>
            </w:r>
          </w:p>
        </w:tc>
        <w:tc>
          <w:tcPr>
            <w:tcW w:w="305" w:type="pct"/>
            <w:tcBorders>
              <w:top w:val="nil"/>
              <w:left w:val="nil"/>
              <w:bottom w:val="nil"/>
              <w:right w:val="nil"/>
            </w:tcBorders>
            <w:shd w:val="clear" w:color="000000" w:fill="FFFFFF"/>
            <w:noWrap/>
            <w:vAlign w:val="center"/>
            <w:hideMark/>
          </w:tcPr>
          <w:p w14:paraId="287CEFD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C09B51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39 (0.1%)</w:t>
            </w:r>
          </w:p>
        </w:tc>
        <w:tc>
          <w:tcPr>
            <w:tcW w:w="550" w:type="pct"/>
            <w:tcBorders>
              <w:top w:val="nil"/>
              <w:left w:val="nil"/>
              <w:bottom w:val="nil"/>
              <w:right w:val="nil"/>
            </w:tcBorders>
            <w:shd w:val="clear" w:color="000000" w:fill="FFFFFF"/>
            <w:noWrap/>
            <w:vAlign w:val="center"/>
            <w:hideMark/>
          </w:tcPr>
          <w:p w14:paraId="7B741C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 (0.0%)</w:t>
            </w:r>
          </w:p>
        </w:tc>
        <w:tc>
          <w:tcPr>
            <w:tcW w:w="550" w:type="pct"/>
            <w:tcBorders>
              <w:top w:val="nil"/>
              <w:left w:val="nil"/>
              <w:bottom w:val="nil"/>
              <w:right w:val="nil"/>
            </w:tcBorders>
            <w:shd w:val="clear" w:color="000000" w:fill="FFFFFF"/>
            <w:noWrap/>
            <w:vAlign w:val="center"/>
            <w:hideMark/>
          </w:tcPr>
          <w:p w14:paraId="306BA8C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 (0.3%)</w:t>
            </w:r>
          </w:p>
        </w:tc>
        <w:tc>
          <w:tcPr>
            <w:tcW w:w="305" w:type="pct"/>
            <w:tcBorders>
              <w:top w:val="nil"/>
              <w:left w:val="nil"/>
              <w:bottom w:val="nil"/>
              <w:right w:val="nil"/>
            </w:tcBorders>
            <w:shd w:val="clear" w:color="000000" w:fill="FFFFFF"/>
            <w:noWrap/>
            <w:vAlign w:val="center"/>
            <w:hideMark/>
          </w:tcPr>
          <w:p w14:paraId="2D3592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B51C1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49 (0.1%)</w:t>
            </w:r>
          </w:p>
        </w:tc>
      </w:tr>
      <w:tr w:rsidR="00DA1572" w:rsidRPr="00DC3283" w14:paraId="30A1325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A5601A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First degree relative</w:t>
            </w:r>
          </w:p>
        </w:tc>
        <w:tc>
          <w:tcPr>
            <w:tcW w:w="550" w:type="pct"/>
            <w:tcBorders>
              <w:top w:val="nil"/>
              <w:left w:val="nil"/>
              <w:bottom w:val="nil"/>
              <w:right w:val="nil"/>
            </w:tcBorders>
            <w:shd w:val="clear" w:color="000000" w:fill="FFFFFF"/>
            <w:noWrap/>
            <w:vAlign w:val="center"/>
            <w:hideMark/>
          </w:tcPr>
          <w:p w14:paraId="608A900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EC3478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49B3B9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248EE6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2EE15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2AC1E5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01513F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3AD0B8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736F90E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314C85D"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3F57575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103 (0.3%)</w:t>
            </w:r>
          </w:p>
        </w:tc>
        <w:tc>
          <w:tcPr>
            <w:tcW w:w="550" w:type="pct"/>
            <w:tcBorders>
              <w:top w:val="nil"/>
              <w:left w:val="nil"/>
              <w:bottom w:val="nil"/>
              <w:right w:val="nil"/>
            </w:tcBorders>
            <w:shd w:val="clear" w:color="000000" w:fill="FFFFFF"/>
            <w:noWrap/>
            <w:vAlign w:val="center"/>
            <w:hideMark/>
          </w:tcPr>
          <w:p w14:paraId="14BDE6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157 (2.6%)</w:t>
            </w:r>
          </w:p>
        </w:tc>
        <w:tc>
          <w:tcPr>
            <w:tcW w:w="305" w:type="pct"/>
            <w:tcBorders>
              <w:top w:val="nil"/>
              <w:left w:val="nil"/>
              <w:bottom w:val="nil"/>
              <w:right w:val="nil"/>
            </w:tcBorders>
            <w:shd w:val="clear" w:color="000000" w:fill="FFFFFF"/>
            <w:noWrap/>
            <w:vAlign w:val="center"/>
            <w:hideMark/>
          </w:tcPr>
          <w:p w14:paraId="5434B3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4E57C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260 (0.6%)</w:t>
            </w:r>
          </w:p>
        </w:tc>
        <w:tc>
          <w:tcPr>
            <w:tcW w:w="550" w:type="pct"/>
            <w:tcBorders>
              <w:top w:val="nil"/>
              <w:left w:val="nil"/>
              <w:bottom w:val="nil"/>
              <w:right w:val="nil"/>
            </w:tcBorders>
            <w:shd w:val="clear" w:color="000000" w:fill="FFFFFF"/>
            <w:noWrap/>
            <w:vAlign w:val="center"/>
            <w:hideMark/>
          </w:tcPr>
          <w:p w14:paraId="72E827C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550" w:type="pct"/>
            <w:tcBorders>
              <w:top w:val="nil"/>
              <w:left w:val="nil"/>
              <w:bottom w:val="nil"/>
              <w:right w:val="nil"/>
            </w:tcBorders>
            <w:shd w:val="clear" w:color="000000" w:fill="FFFFFF"/>
            <w:noWrap/>
            <w:vAlign w:val="center"/>
            <w:hideMark/>
          </w:tcPr>
          <w:p w14:paraId="4F4BE9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c>
          <w:tcPr>
            <w:tcW w:w="305" w:type="pct"/>
            <w:tcBorders>
              <w:top w:val="nil"/>
              <w:left w:val="nil"/>
              <w:bottom w:val="nil"/>
              <w:right w:val="nil"/>
            </w:tcBorders>
            <w:shd w:val="clear" w:color="000000" w:fill="FFFFFF"/>
            <w:noWrap/>
            <w:vAlign w:val="center"/>
            <w:hideMark/>
          </w:tcPr>
          <w:p w14:paraId="2E5BAAB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DB1A76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NR</w:t>
            </w:r>
          </w:p>
        </w:tc>
      </w:tr>
      <w:tr w:rsidR="00DA1572" w:rsidRPr="00DC3283" w14:paraId="270D48D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A16C523"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w:t>
            </w:r>
          </w:p>
        </w:tc>
        <w:tc>
          <w:tcPr>
            <w:tcW w:w="550" w:type="pct"/>
            <w:tcBorders>
              <w:top w:val="nil"/>
              <w:left w:val="nil"/>
              <w:bottom w:val="nil"/>
              <w:right w:val="nil"/>
            </w:tcBorders>
            <w:shd w:val="clear" w:color="000000" w:fill="FFFFFF"/>
            <w:noWrap/>
            <w:vAlign w:val="center"/>
            <w:hideMark/>
          </w:tcPr>
          <w:p w14:paraId="769593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34F240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E25BB7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894BFE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D9309D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CEC44E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F1D4C8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20DD0B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98249D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3AF13D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2E9966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7850 (22.3%)</w:t>
            </w:r>
          </w:p>
        </w:tc>
        <w:tc>
          <w:tcPr>
            <w:tcW w:w="550" w:type="pct"/>
            <w:tcBorders>
              <w:top w:val="nil"/>
              <w:left w:val="nil"/>
              <w:bottom w:val="nil"/>
              <w:right w:val="nil"/>
            </w:tcBorders>
            <w:shd w:val="clear" w:color="000000" w:fill="FFFFFF"/>
            <w:noWrap/>
            <w:vAlign w:val="center"/>
            <w:hideMark/>
          </w:tcPr>
          <w:p w14:paraId="4DF2310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3164 (52.4%)</w:t>
            </w:r>
          </w:p>
        </w:tc>
        <w:tc>
          <w:tcPr>
            <w:tcW w:w="305" w:type="pct"/>
            <w:tcBorders>
              <w:top w:val="nil"/>
              <w:left w:val="nil"/>
              <w:bottom w:val="nil"/>
              <w:right w:val="nil"/>
            </w:tcBorders>
            <w:shd w:val="clear" w:color="000000" w:fill="FFFFFF"/>
            <w:noWrap/>
            <w:vAlign w:val="center"/>
            <w:hideMark/>
          </w:tcPr>
          <w:p w14:paraId="5F4FC17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1BDEF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11014 (26.7%)</w:t>
            </w:r>
          </w:p>
        </w:tc>
        <w:tc>
          <w:tcPr>
            <w:tcW w:w="550" w:type="pct"/>
            <w:tcBorders>
              <w:top w:val="nil"/>
              <w:left w:val="nil"/>
              <w:bottom w:val="nil"/>
              <w:right w:val="nil"/>
            </w:tcBorders>
            <w:shd w:val="clear" w:color="000000" w:fill="FFFFFF"/>
            <w:noWrap/>
            <w:vAlign w:val="center"/>
            <w:hideMark/>
          </w:tcPr>
          <w:p w14:paraId="3EAB824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2974 (3.9%)</w:t>
            </w:r>
          </w:p>
        </w:tc>
        <w:tc>
          <w:tcPr>
            <w:tcW w:w="550" w:type="pct"/>
            <w:tcBorders>
              <w:top w:val="nil"/>
              <w:left w:val="nil"/>
              <w:bottom w:val="nil"/>
              <w:right w:val="nil"/>
            </w:tcBorders>
            <w:shd w:val="clear" w:color="000000" w:fill="FFFFFF"/>
            <w:noWrap/>
            <w:vAlign w:val="center"/>
            <w:hideMark/>
          </w:tcPr>
          <w:p w14:paraId="54B132A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1154 (9.3%)</w:t>
            </w:r>
          </w:p>
        </w:tc>
        <w:tc>
          <w:tcPr>
            <w:tcW w:w="305" w:type="pct"/>
            <w:tcBorders>
              <w:top w:val="nil"/>
              <w:left w:val="nil"/>
              <w:bottom w:val="nil"/>
              <w:right w:val="nil"/>
            </w:tcBorders>
            <w:shd w:val="clear" w:color="000000" w:fill="FFFFFF"/>
            <w:noWrap/>
            <w:vAlign w:val="center"/>
            <w:hideMark/>
          </w:tcPr>
          <w:p w14:paraId="2CF0591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1B96212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4128 (4.6%)</w:t>
            </w:r>
          </w:p>
        </w:tc>
      </w:tr>
      <w:tr w:rsidR="00DA1572" w:rsidRPr="00DC3283" w14:paraId="1CCBB4A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6581FFD"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GI symptoms (count, 1 year)</w:t>
            </w:r>
          </w:p>
        </w:tc>
        <w:tc>
          <w:tcPr>
            <w:tcW w:w="550" w:type="pct"/>
            <w:tcBorders>
              <w:top w:val="nil"/>
              <w:left w:val="nil"/>
              <w:bottom w:val="nil"/>
              <w:right w:val="nil"/>
            </w:tcBorders>
            <w:shd w:val="clear" w:color="000000" w:fill="FFFFFF"/>
            <w:noWrap/>
            <w:vAlign w:val="center"/>
            <w:hideMark/>
          </w:tcPr>
          <w:p w14:paraId="3DD0070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0AB44E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57F412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DF49E3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C674ED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2498A2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A456BB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441D66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19C16F6"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DDDD576"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lastRenderedPageBreak/>
              <w:t>Once</w:t>
            </w:r>
          </w:p>
        </w:tc>
        <w:tc>
          <w:tcPr>
            <w:tcW w:w="550" w:type="pct"/>
            <w:tcBorders>
              <w:top w:val="nil"/>
              <w:left w:val="nil"/>
              <w:bottom w:val="nil"/>
              <w:right w:val="nil"/>
            </w:tcBorders>
            <w:shd w:val="clear" w:color="000000" w:fill="FFFFFF"/>
            <w:noWrap/>
            <w:vAlign w:val="center"/>
            <w:hideMark/>
          </w:tcPr>
          <w:p w14:paraId="5253008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1482 (4.2%)</w:t>
            </w:r>
          </w:p>
        </w:tc>
        <w:tc>
          <w:tcPr>
            <w:tcW w:w="550" w:type="pct"/>
            <w:tcBorders>
              <w:top w:val="nil"/>
              <w:left w:val="nil"/>
              <w:bottom w:val="nil"/>
              <w:right w:val="nil"/>
            </w:tcBorders>
            <w:shd w:val="clear" w:color="000000" w:fill="FFFFFF"/>
            <w:noWrap/>
            <w:vAlign w:val="center"/>
            <w:hideMark/>
          </w:tcPr>
          <w:p w14:paraId="55494E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1030 (17.1%)</w:t>
            </w:r>
          </w:p>
        </w:tc>
        <w:tc>
          <w:tcPr>
            <w:tcW w:w="305" w:type="pct"/>
            <w:tcBorders>
              <w:top w:val="nil"/>
              <w:left w:val="nil"/>
              <w:bottom w:val="nil"/>
              <w:right w:val="nil"/>
            </w:tcBorders>
            <w:shd w:val="clear" w:color="000000" w:fill="FFFFFF"/>
            <w:noWrap/>
            <w:vAlign w:val="center"/>
            <w:hideMark/>
          </w:tcPr>
          <w:p w14:paraId="7867D5A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27BC1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2512 (6.1%)</w:t>
            </w:r>
          </w:p>
        </w:tc>
        <w:tc>
          <w:tcPr>
            <w:tcW w:w="550" w:type="pct"/>
            <w:tcBorders>
              <w:top w:val="nil"/>
              <w:left w:val="nil"/>
              <w:bottom w:val="nil"/>
              <w:right w:val="nil"/>
            </w:tcBorders>
            <w:shd w:val="clear" w:color="000000" w:fill="FFFFFF"/>
            <w:noWrap/>
            <w:vAlign w:val="center"/>
            <w:hideMark/>
          </w:tcPr>
          <w:p w14:paraId="20CD861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535 (0.7%)</w:t>
            </w:r>
          </w:p>
        </w:tc>
        <w:tc>
          <w:tcPr>
            <w:tcW w:w="550" w:type="pct"/>
            <w:tcBorders>
              <w:top w:val="nil"/>
              <w:left w:val="nil"/>
              <w:bottom w:val="nil"/>
              <w:right w:val="nil"/>
            </w:tcBorders>
            <w:shd w:val="clear" w:color="000000" w:fill="FFFFFF"/>
            <w:noWrap/>
            <w:vAlign w:val="center"/>
            <w:hideMark/>
          </w:tcPr>
          <w:p w14:paraId="079DD3E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306 (2.5%)</w:t>
            </w:r>
          </w:p>
        </w:tc>
        <w:tc>
          <w:tcPr>
            <w:tcW w:w="305" w:type="pct"/>
            <w:tcBorders>
              <w:top w:val="nil"/>
              <w:left w:val="nil"/>
              <w:bottom w:val="nil"/>
              <w:right w:val="nil"/>
            </w:tcBorders>
            <w:shd w:val="clear" w:color="000000" w:fill="FFFFFF"/>
            <w:noWrap/>
            <w:vAlign w:val="center"/>
            <w:hideMark/>
          </w:tcPr>
          <w:p w14:paraId="4CD743E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79558A0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841 (0.9%)</w:t>
            </w:r>
          </w:p>
        </w:tc>
      </w:tr>
      <w:tr w:rsidR="00DA1572" w:rsidRPr="00DC3283" w14:paraId="2F139D7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C29CA0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2A389FF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421 (1.2%)</w:t>
            </w:r>
          </w:p>
        </w:tc>
        <w:tc>
          <w:tcPr>
            <w:tcW w:w="550" w:type="pct"/>
            <w:tcBorders>
              <w:top w:val="nil"/>
              <w:left w:val="nil"/>
              <w:bottom w:val="nil"/>
              <w:right w:val="nil"/>
            </w:tcBorders>
            <w:shd w:val="clear" w:color="000000" w:fill="FFFFFF"/>
            <w:noWrap/>
            <w:vAlign w:val="center"/>
            <w:hideMark/>
          </w:tcPr>
          <w:p w14:paraId="595DF21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483 (8.0%)</w:t>
            </w:r>
          </w:p>
        </w:tc>
        <w:tc>
          <w:tcPr>
            <w:tcW w:w="305" w:type="pct"/>
            <w:tcBorders>
              <w:top w:val="nil"/>
              <w:left w:val="nil"/>
              <w:bottom w:val="nil"/>
              <w:right w:val="nil"/>
            </w:tcBorders>
            <w:shd w:val="clear" w:color="000000" w:fill="FFFFFF"/>
            <w:noWrap/>
            <w:vAlign w:val="center"/>
            <w:hideMark/>
          </w:tcPr>
          <w:p w14:paraId="041D46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213728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904 (2.2%)</w:t>
            </w:r>
          </w:p>
        </w:tc>
        <w:tc>
          <w:tcPr>
            <w:tcW w:w="550" w:type="pct"/>
            <w:tcBorders>
              <w:top w:val="nil"/>
              <w:left w:val="nil"/>
              <w:bottom w:val="nil"/>
              <w:right w:val="nil"/>
            </w:tcBorders>
            <w:shd w:val="clear" w:color="000000" w:fill="FFFFFF"/>
            <w:noWrap/>
            <w:vAlign w:val="center"/>
            <w:hideMark/>
          </w:tcPr>
          <w:p w14:paraId="6F1E4B0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170 (0.2%)</w:t>
            </w:r>
          </w:p>
        </w:tc>
        <w:tc>
          <w:tcPr>
            <w:tcW w:w="550" w:type="pct"/>
            <w:tcBorders>
              <w:top w:val="nil"/>
              <w:left w:val="nil"/>
              <w:bottom w:val="nil"/>
              <w:right w:val="nil"/>
            </w:tcBorders>
            <w:shd w:val="clear" w:color="000000" w:fill="FFFFFF"/>
            <w:noWrap/>
            <w:vAlign w:val="center"/>
            <w:hideMark/>
          </w:tcPr>
          <w:p w14:paraId="7832755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172 (1.4%)</w:t>
            </w:r>
          </w:p>
        </w:tc>
        <w:tc>
          <w:tcPr>
            <w:tcW w:w="305" w:type="pct"/>
            <w:tcBorders>
              <w:top w:val="nil"/>
              <w:left w:val="nil"/>
              <w:bottom w:val="nil"/>
              <w:right w:val="nil"/>
            </w:tcBorders>
            <w:shd w:val="clear" w:color="000000" w:fill="FFFFFF"/>
            <w:noWrap/>
            <w:vAlign w:val="center"/>
            <w:hideMark/>
          </w:tcPr>
          <w:p w14:paraId="42CD2E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47BDE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342 (0.4%)</w:t>
            </w:r>
          </w:p>
        </w:tc>
      </w:tr>
      <w:tr w:rsidR="00DA1572" w:rsidRPr="00DC3283" w14:paraId="10DCBE78"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8D4E61"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Three times</w:t>
            </w:r>
          </w:p>
        </w:tc>
        <w:tc>
          <w:tcPr>
            <w:tcW w:w="550" w:type="pct"/>
            <w:tcBorders>
              <w:top w:val="nil"/>
              <w:left w:val="nil"/>
              <w:bottom w:val="nil"/>
              <w:right w:val="nil"/>
            </w:tcBorders>
            <w:shd w:val="clear" w:color="000000" w:fill="FFFFFF"/>
            <w:noWrap/>
            <w:vAlign w:val="center"/>
            <w:hideMark/>
          </w:tcPr>
          <w:p w14:paraId="2E0498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134 (0.4%)</w:t>
            </w:r>
          </w:p>
        </w:tc>
        <w:tc>
          <w:tcPr>
            <w:tcW w:w="550" w:type="pct"/>
            <w:tcBorders>
              <w:top w:val="nil"/>
              <w:left w:val="nil"/>
              <w:bottom w:val="nil"/>
              <w:right w:val="nil"/>
            </w:tcBorders>
            <w:shd w:val="clear" w:color="000000" w:fill="FFFFFF"/>
            <w:noWrap/>
            <w:vAlign w:val="center"/>
            <w:hideMark/>
          </w:tcPr>
          <w:p w14:paraId="01661D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247 (4.1%)</w:t>
            </w:r>
          </w:p>
        </w:tc>
        <w:tc>
          <w:tcPr>
            <w:tcW w:w="305" w:type="pct"/>
            <w:tcBorders>
              <w:top w:val="nil"/>
              <w:left w:val="nil"/>
              <w:bottom w:val="nil"/>
              <w:right w:val="nil"/>
            </w:tcBorders>
            <w:shd w:val="clear" w:color="000000" w:fill="FFFFFF"/>
            <w:noWrap/>
            <w:vAlign w:val="center"/>
            <w:hideMark/>
          </w:tcPr>
          <w:p w14:paraId="458D5AB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ADD71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381 (0.9%)</w:t>
            </w:r>
          </w:p>
        </w:tc>
        <w:tc>
          <w:tcPr>
            <w:tcW w:w="550" w:type="pct"/>
            <w:tcBorders>
              <w:top w:val="nil"/>
              <w:left w:val="nil"/>
              <w:bottom w:val="nil"/>
              <w:right w:val="nil"/>
            </w:tcBorders>
            <w:shd w:val="clear" w:color="000000" w:fill="FFFFFF"/>
            <w:noWrap/>
            <w:vAlign w:val="center"/>
            <w:hideMark/>
          </w:tcPr>
          <w:p w14:paraId="7C5BE7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60 (0.1%)</w:t>
            </w:r>
          </w:p>
        </w:tc>
        <w:tc>
          <w:tcPr>
            <w:tcW w:w="550" w:type="pct"/>
            <w:tcBorders>
              <w:top w:val="nil"/>
              <w:left w:val="nil"/>
              <w:bottom w:val="nil"/>
              <w:right w:val="nil"/>
            </w:tcBorders>
            <w:shd w:val="clear" w:color="000000" w:fill="FFFFFF"/>
            <w:noWrap/>
            <w:vAlign w:val="center"/>
            <w:hideMark/>
          </w:tcPr>
          <w:p w14:paraId="6CCB240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76 (0.6%)</w:t>
            </w:r>
          </w:p>
        </w:tc>
        <w:tc>
          <w:tcPr>
            <w:tcW w:w="305" w:type="pct"/>
            <w:tcBorders>
              <w:top w:val="nil"/>
              <w:left w:val="nil"/>
              <w:bottom w:val="nil"/>
              <w:right w:val="nil"/>
            </w:tcBorders>
            <w:shd w:val="clear" w:color="000000" w:fill="FFFFFF"/>
            <w:noWrap/>
            <w:vAlign w:val="center"/>
            <w:hideMark/>
          </w:tcPr>
          <w:p w14:paraId="483321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CA8554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136 (0.2%)</w:t>
            </w:r>
          </w:p>
        </w:tc>
      </w:tr>
      <w:tr w:rsidR="00DA1572" w:rsidRPr="00DC3283" w14:paraId="257F431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F83B943"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Four times</w:t>
            </w:r>
          </w:p>
        </w:tc>
        <w:tc>
          <w:tcPr>
            <w:tcW w:w="550" w:type="pct"/>
            <w:tcBorders>
              <w:top w:val="nil"/>
              <w:left w:val="nil"/>
              <w:bottom w:val="nil"/>
              <w:right w:val="nil"/>
            </w:tcBorders>
            <w:shd w:val="clear" w:color="000000" w:fill="FFFFFF"/>
            <w:noWrap/>
            <w:vAlign w:val="center"/>
            <w:hideMark/>
          </w:tcPr>
          <w:p w14:paraId="7B673D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115 (0.3%)</w:t>
            </w:r>
          </w:p>
        </w:tc>
        <w:tc>
          <w:tcPr>
            <w:tcW w:w="550" w:type="pct"/>
            <w:tcBorders>
              <w:top w:val="nil"/>
              <w:left w:val="nil"/>
              <w:bottom w:val="nil"/>
              <w:right w:val="nil"/>
            </w:tcBorders>
            <w:shd w:val="clear" w:color="000000" w:fill="FFFFFF"/>
            <w:noWrap/>
            <w:vAlign w:val="center"/>
            <w:hideMark/>
          </w:tcPr>
          <w:p w14:paraId="42C12C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272 (4.5%)</w:t>
            </w:r>
          </w:p>
        </w:tc>
        <w:tc>
          <w:tcPr>
            <w:tcW w:w="305" w:type="pct"/>
            <w:tcBorders>
              <w:top w:val="nil"/>
              <w:left w:val="nil"/>
              <w:bottom w:val="nil"/>
              <w:right w:val="nil"/>
            </w:tcBorders>
            <w:shd w:val="clear" w:color="000000" w:fill="FFFFFF"/>
            <w:noWrap/>
            <w:vAlign w:val="center"/>
            <w:hideMark/>
          </w:tcPr>
          <w:p w14:paraId="07C3202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3B430B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387 (0.9%)</w:t>
            </w:r>
          </w:p>
        </w:tc>
        <w:tc>
          <w:tcPr>
            <w:tcW w:w="550" w:type="pct"/>
            <w:tcBorders>
              <w:top w:val="nil"/>
              <w:left w:val="nil"/>
              <w:bottom w:val="nil"/>
              <w:right w:val="nil"/>
            </w:tcBorders>
            <w:shd w:val="clear" w:color="000000" w:fill="FFFFFF"/>
            <w:noWrap/>
            <w:vAlign w:val="center"/>
            <w:hideMark/>
          </w:tcPr>
          <w:p w14:paraId="12BD7BB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100 (0.1%)</w:t>
            </w:r>
          </w:p>
        </w:tc>
        <w:tc>
          <w:tcPr>
            <w:tcW w:w="550" w:type="pct"/>
            <w:tcBorders>
              <w:top w:val="nil"/>
              <w:left w:val="nil"/>
              <w:bottom w:val="nil"/>
              <w:right w:val="nil"/>
            </w:tcBorders>
            <w:shd w:val="clear" w:color="000000" w:fill="FFFFFF"/>
            <w:noWrap/>
            <w:vAlign w:val="center"/>
            <w:hideMark/>
          </w:tcPr>
          <w:p w14:paraId="0A405E9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144 (1.2%)</w:t>
            </w:r>
          </w:p>
        </w:tc>
        <w:tc>
          <w:tcPr>
            <w:tcW w:w="305" w:type="pct"/>
            <w:tcBorders>
              <w:top w:val="nil"/>
              <w:left w:val="nil"/>
              <w:bottom w:val="nil"/>
              <w:right w:val="nil"/>
            </w:tcBorders>
            <w:shd w:val="clear" w:color="000000" w:fill="FFFFFF"/>
            <w:noWrap/>
            <w:vAlign w:val="center"/>
            <w:hideMark/>
          </w:tcPr>
          <w:p w14:paraId="6279C6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4CADCA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244 (0.3%)</w:t>
            </w:r>
          </w:p>
        </w:tc>
      </w:tr>
      <w:tr w:rsidR="00DA1572" w:rsidRPr="00DC3283" w14:paraId="365DB97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E3D962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Irritable bowel syndrome</w:t>
            </w:r>
          </w:p>
        </w:tc>
        <w:tc>
          <w:tcPr>
            <w:tcW w:w="550" w:type="pct"/>
            <w:tcBorders>
              <w:top w:val="nil"/>
              <w:left w:val="nil"/>
              <w:bottom w:val="nil"/>
              <w:right w:val="nil"/>
            </w:tcBorders>
            <w:shd w:val="clear" w:color="000000" w:fill="FFFFFF"/>
            <w:noWrap/>
            <w:vAlign w:val="center"/>
            <w:hideMark/>
          </w:tcPr>
          <w:p w14:paraId="3BB65D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E27A0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137F8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B3D465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8BF489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D4FFD4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0B375E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2FBE660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57AED55"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4A01125"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BBEA44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597 (1.7%)</w:t>
            </w:r>
          </w:p>
        </w:tc>
        <w:tc>
          <w:tcPr>
            <w:tcW w:w="550" w:type="pct"/>
            <w:tcBorders>
              <w:top w:val="nil"/>
              <w:left w:val="nil"/>
              <w:bottom w:val="nil"/>
              <w:right w:val="nil"/>
            </w:tcBorders>
            <w:shd w:val="clear" w:color="000000" w:fill="FFFFFF"/>
            <w:noWrap/>
            <w:vAlign w:val="center"/>
            <w:hideMark/>
          </w:tcPr>
          <w:p w14:paraId="6BB086C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339 (5.6%)</w:t>
            </w:r>
          </w:p>
        </w:tc>
        <w:tc>
          <w:tcPr>
            <w:tcW w:w="305" w:type="pct"/>
            <w:tcBorders>
              <w:top w:val="nil"/>
              <w:left w:val="nil"/>
              <w:bottom w:val="nil"/>
              <w:right w:val="nil"/>
            </w:tcBorders>
            <w:shd w:val="clear" w:color="000000" w:fill="FFFFFF"/>
            <w:noWrap/>
            <w:vAlign w:val="center"/>
            <w:hideMark/>
          </w:tcPr>
          <w:p w14:paraId="6E2FD52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C1187B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936 (2.3%)</w:t>
            </w:r>
          </w:p>
        </w:tc>
        <w:tc>
          <w:tcPr>
            <w:tcW w:w="550" w:type="pct"/>
            <w:tcBorders>
              <w:top w:val="nil"/>
              <w:left w:val="nil"/>
              <w:bottom w:val="nil"/>
              <w:right w:val="nil"/>
            </w:tcBorders>
            <w:shd w:val="clear" w:color="000000" w:fill="FFFFFF"/>
            <w:noWrap/>
            <w:vAlign w:val="center"/>
            <w:hideMark/>
          </w:tcPr>
          <w:p w14:paraId="07917B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288 (0.4%)</w:t>
            </w:r>
          </w:p>
        </w:tc>
        <w:tc>
          <w:tcPr>
            <w:tcW w:w="550" w:type="pct"/>
            <w:tcBorders>
              <w:top w:val="nil"/>
              <w:left w:val="nil"/>
              <w:bottom w:val="nil"/>
              <w:right w:val="nil"/>
            </w:tcBorders>
            <w:shd w:val="clear" w:color="000000" w:fill="FFFFFF"/>
            <w:noWrap/>
            <w:vAlign w:val="center"/>
            <w:hideMark/>
          </w:tcPr>
          <w:p w14:paraId="734E44F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142 (1.1%)</w:t>
            </w:r>
          </w:p>
        </w:tc>
        <w:tc>
          <w:tcPr>
            <w:tcW w:w="305" w:type="pct"/>
            <w:tcBorders>
              <w:top w:val="nil"/>
              <w:left w:val="nil"/>
              <w:bottom w:val="nil"/>
              <w:right w:val="nil"/>
            </w:tcBorders>
            <w:shd w:val="clear" w:color="000000" w:fill="FFFFFF"/>
            <w:noWrap/>
            <w:vAlign w:val="center"/>
            <w:hideMark/>
          </w:tcPr>
          <w:p w14:paraId="1CB8B07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7455AA8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430 (0.5%)</w:t>
            </w:r>
          </w:p>
        </w:tc>
      </w:tr>
      <w:tr w:rsidR="00DA1572" w:rsidRPr="00DC3283" w14:paraId="591BD46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7EFA10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Iron, vit B12, or folate deficiency</w:t>
            </w:r>
          </w:p>
        </w:tc>
        <w:tc>
          <w:tcPr>
            <w:tcW w:w="550" w:type="pct"/>
            <w:tcBorders>
              <w:top w:val="nil"/>
              <w:left w:val="nil"/>
              <w:bottom w:val="nil"/>
              <w:right w:val="nil"/>
            </w:tcBorders>
            <w:shd w:val="clear" w:color="000000" w:fill="FFFFFF"/>
            <w:noWrap/>
            <w:vAlign w:val="center"/>
            <w:hideMark/>
          </w:tcPr>
          <w:p w14:paraId="2F0190D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A1F49C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D5E027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A90E79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41188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FB592F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3D2FA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7FE396C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F7CB271"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BB0C00D"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6C4688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193 (0.5%)</w:t>
            </w:r>
          </w:p>
        </w:tc>
        <w:tc>
          <w:tcPr>
            <w:tcW w:w="550" w:type="pct"/>
            <w:tcBorders>
              <w:top w:val="nil"/>
              <w:left w:val="nil"/>
              <w:bottom w:val="nil"/>
              <w:right w:val="nil"/>
            </w:tcBorders>
            <w:shd w:val="clear" w:color="000000" w:fill="FFFFFF"/>
            <w:noWrap/>
            <w:vAlign w:val="center"/>
            <w:hideMark/>
          </w:tcPr>
          <w:p w14:paraId="17EAA03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429 (7.1%)</w:t>
            </w:r>
          </w:p>
        </w:tc>
        <w:tc>
          <w:tcPr>
            <w:tcW w:w="305" w:type="pct"/>
            <w:tcBorders>
              <w:top w:val="nil"/>
              <w:left w:val="nil"/>
              <w:bottom w:val="nil"/>
              <w:right w:val="nil"/>
            </w:tcBorders>
            <w:shd w:val="clear" w:color="000000" w:fill="FFFFFF"/>
            <w:noWrap/>
            <w:vAlign w:val="center"/>
            <w:hideMark/>
          </w:tcPr>
          <w:p w14:paraId="1F10448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E21C8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622 (1.5%)</w:t>
            </w:r>
          </w:p>
        </w:tc>
        <w:tc>
          <w:tcPr>
            <w:tcW w:w="550" w:type="pct"/>
            <w:tcBorders>
              <w:top w:val="nil"/>
              <w:left w:val="nil"/>
              <w:bottom w:val="nil"/>
              <w:right w:val="nil"/>
            </w:tcBorders>
            <w:shd w:val="clear" w:color="000000" w:fill="FFFFFF"/>
            <w:noWrap/>
            <w:vAlign w:val="center"/>
            <w:hideMark/>
          </w:tcPr>
          <w:p w14:paraId="012457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104 (0.1%)</w:t>
            </w:r>
          </w:p>
        </w:tc>
        <w:tc>
          <w:tcPr>
            <w:tcW w:w="550" w:type="pct"/>
            <w:tcBorders>
              <w:top w:val="nil"/>
              <w:left w:val="nil"/>
              <w:bottom w:val="nil"/>
              <w:right w:val="nil"/>
            </w:tcBorders>
            <w:shd w:val="clear" w:color="000000" w:fill="FFFFFF"/>
            <w:noWrap/>
            <w:vAlign w:val="center"/>
            <w:hideMark/>
          </w:tcPr>
          <w:p w14:paraId="6A48205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163 (1.3%)</w:t>
            </w:r>
          </w:p>
        </w:tc>
        <w:tc>
          <w:tcPr>
            <w:tcW w:w="305" w:type="pct"/>
            <w:tcBorders>
              <w:top w:val="nil"/>
              <w:left w:val="nil"/>
              <w:bottom w:val="nil"/>
              <w:right w:val="nil"/>
            </w:tcBorders>
            <w:shd w:val="clear" w:color="000000" w:fill="FFFFFF"/>
            <w:noWrap/>
            <w:vAlign w:val="center"/>
            <w:hideMark/>
          </w:tcPr>
          <w:p w14:paraId="6C0CB80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3EFC48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267 (0.3%)</w:t>
            </w:r>
          </w:p>
        </w:tc>
      </w:tr>
      <w:tr w:rsidR="00DA1572" w:rsidRPr="00DC3283" w14:paraId="496883A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1DD68F97"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Mouth ulcers</w:t>
            </w:r>
          </w:p>
        </w:tc>
        <w:tc>
          <w:tcPr>
            <w:tcW w:w="550" w:type="pct"/>
            <w:tcBorders>
              <w:top w:val="nil"/>
              <w:left w:val="nil"/>
              <w:bottom w:val="nil"/>
              <w:right w:val="nil"/>
            </w:tcBorders>
            <w:shd w:val="clear" w:color="000000" w:fill="FFFFFF"/>
            <w:noWrap/>
            <w:vAlign w:val="center"/>
            <w:hideMark/>
          </w:tcPr>
          <w:p w14:paraId="4B4F551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D8141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2C46B7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645CAD9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27B89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869817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32992BF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9388C3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8850DA3"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99098A8"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4B3D34D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331 (0.9%)</w:t>
            </w:r>
          </w:p>
        </w:tc>
        <w:tc>
          <w:tcPr>
            <w:tcW w:w="550" w:type="pct"/>
            <w:tcBorders>
              <w:top w:val="nil"/>
              <w:left w:val="nil"/>
              <w:bottom w:val="nil"/>
              <w:right w:val="nil"/>
            </w:tcBorders>
            <w:shd w:val="clear" w:color="000000" w:fill="FFFFFF"/>
            <w:noWrap/>
            <w:vAlign w:val="center"/>
            <w:hideMark/>
          </w:tcPr>
          <w:p w14:paraId="0620940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170 (2.8%)</w:t>
            </w:r>
          </w:p>
        </w:tc>
        <w:tc>
          <w:tcPr>
            <w:tcW w:w="305" w:type="pct"/>
            <w:tcBorders>
              <w:top w:val="nil"/>
              <w:left w:val="nil"/>
              <w:bottom w:val="nil"/>
              <w:right w:val="nil"/>
            </w:tcBorders>
            <w:shd w:val="clear" w:color="000000" w:fill="FFFFFF"/>
            <w:noWrap/>
            <w:vAlign w:val="center"/>
            <w:hideMark/>
          </w:tcPr>
          <w:p w14:paraId="2ADB1F9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3358B2C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501 (1.2%)</w:t>
            </w:r>
          </w:p>
        </w:tc>
        <w:tc>
          <w:tcPr>
            <w:tcW w:w="550" w:type="pct"/>
            <w:tcBorders>
              <w:top w:val="nil"/>
              <w:left w:val="nil"/>
              <w:bottom w:val="nil"/>
              <w:right w:val="nil"/>
            </w:tcBorders>
            <w:shd w:val="clear" w:color="000000" w:fill="FFFFFF"/>
            <w:noWrap/>
            <w:vAlign w:val="center"/>
            <w:hideMark/>
          </w:tcPr>
          <w:p w14:paraId="6CCFA04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142 (0.2%)</w:t>
            </w:r>
          </w:p>
        </w:tc>
        <w:tc>
          <w:tcPr>
            <w:tcW w:w="550" w:type="pct"/>
            <w:tcBorders>
              <w:top w:val="nil"/>
              <w:left w:val="nil"/>
              <w:bottom w:val="nil"/>
              <w:right w:val="nil"/>
            </w:tcBorders>
            <w:shd w:val="clear" w:color="000000" w:fill="FFFFFF"/>
            <w:noWrap/>
            <w:vAlign w:val="center"/>
            <w:hideMark/>
          </w:tcPr>
          <w:p w14:paraId="7445E7F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76 (0.6%)</w:t>
            </w:r>
          </w:p>
        </w:tc>
        <w:tc>
          <w:tcPr>
            <w:tcW w:w="305" w:type="pct"/>
            <w:tcBorders>
              <w:top w:val="nil"/>
              <w:left w:val="nil"/>
              <w:bottom w:val="nil"/>
              <w:right w:val="nil"/>
            </w:tcBorders>
            <w:shd w:val="clear" w:color="000000" w:fill="FFFFFF"/>
            <w:noWrap/>
            <w:vAlign w:val="center"/>
            <w:hideMark/>
          </w:tcPr>
          <w:p w14:paraId="38E1C75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8A8A31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218 (0.2%)</w:t>
            </w:r>
          </w:p>
        </w:tc>
      </w:tr>
      <w:tr w:rsidR="00DA1572" w:rsidRPr="00DC3283" w14:paraId="78EA0DB4"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368D1BF"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Mouth ulcers (count, 1 year)</w:t>
            </w:r>
          </w:p>
        </w:tc>
        <w:tc>
          <w:tcPr>
            <w:tcW w:w="550" w:type="pct"/>
            <w:tcBorders>
              <w:top w:val="nil"/>
              <w:left w:val="nil"/>
              <w:bottom w:val="nil"/>
              <w:right w:val="nil"/>
            </w:tcBorders>
            <w:shd w:val="clear" w:color="000000" w:fill="FFFFFF"/>
            <w:noWrap/>
            <w:vAlign w:val="center"/>
            <w:hideMark/>
          </w:tcPr>
          <w:p w14:paraId="17437AA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2C64D7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C958E9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708B12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241C5C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04D8A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49BA0E1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01BADE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3C248C2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61CBCC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Once</w:t>
            </w:r>
          </w:p>
        </w:tc>
        <w:tc>
          <w:tcPr>
            <w:tcW w:w="550" w:type="pct"/>
            <w:tcBorders>
              <w:top w:val="nil"/>
              <w:left w:val="nil"/>
              <w:bottom w:val="nil"/>
              <w:right w:val="nil"/>
            </w:tcBorders>
            <w:shd w:val="clear" w:color="000000" w:fill="FFFFFF"/>
            <w:noWrap/>
            <w:vAlign w:val="center"/>
            <w:hideMark/>
          </w:tcPr>
          <w:p w14:paraId="5783484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50 (0.1%)</w:t>
            </w:r>
          </w:p>
        </w:tc>
        <w:tc>
          <w:tcPr>
            <w:tcW w:w="550" w:type="pct"/>
            <w:tcBorders>
              <w:top w:val="nil"/>
              <w:left w:val="nil"/>
              <w:bottom w:val="nil"/>
              <w:right w:val="nil"/>
            </w:tcBorders>
            <w:shd w:val="clear" w:color="000000" w:fill="FFFFFF"/>
            <w:noWrap/>
            <w:vAlign w:val="center"/>
            <w:hideMark/>
          </w:tcPr>
          <w:p w14:paraId="6279B7A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 (0.7%)</w:t>
            </w:r>
          </w:p>
        </w:tc>
        <w:tc>
          <w:tcPr>
            <w:tcW w:w="305" w:type="pct"/>
            <w:tcBorders>
              <w:top w:val="nil"/>
              <w:left w:val="nil"/>
              <w:bottom w:val="nil"/>
              <w:right w:val="nil"/>
            </w:tcBorders>
            <w:shd w:val="clear" w:color="000000" w:fill="FFFFFF"/>
            <w:noWrap/>
            <w:vAlign w:val="center"/>
            <w:hideMark/>
          </w:tcPr>
          <w:p w14:paraId="7287109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293DD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92 (0.2%)</w:t>
            </w:r>
          </w:p>
        </w:tc>
        <w:tc>
          <w:tcPr>
            <w:tcW w:w="550" w:type="pct"/>
            <w:tcBorders>
              <w:top w:val="nil"/>
              <w:left w:val="nil"/>
              <w:bottom w:val="nil"/>
              <w:right w:val="nil"/>
            </w:tcBorders>
            <w:shd w:val="clear" w:color="000000" w:fill="FFFFFF"/>
            <w:noWrap/>
            <w:vAlign w:val="center"/>
            <w:hideMark/>
          </w:tcPr>
          <w:p w14:paraId="3D9ABD6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 (0.0%)</w:t>
            </w:r>
          </w:p>
        </w:tc>
        <w:tc>
          <w:tcPr>
            <w:tcW w:w="550" w:type="pct"/>
            <w:tcBorders>
              <w:top w:val="nil"/>
              <w:left w:val="nil"/>
              <w:bottom w:val="nil"/>
              <w:right w:val="nil"/>
            </w:tcBorders>
            <w:shd w:val="clear" w:color="000000" w:fill="FFFFFF"/>
            <w:noWrap/>
            <w:vAlign w:val="center"/>
            <w:hideMark/>
          </w:tcPr>
          <w:p w14:paraId="74620A1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19 (0.2%)</w:t>
            </w:r>
          </w:p>
        </w:tc>
        <w:tc>
          <w:tcPr>
            <w:tcW w:w="305" w:type="pct"/>
            <w:tcBorders>
              <w:top w:val="nil"/>
              <w:left w:val="nil"/>
              <w:bottom w:val="nil"/>
              <w:right w:val="nil"/>
            </w:tcBorders>
            <w:shd w:val="clear" w:color="000000" w:fill="FFFFFF"/>
            <w:noWrap/>
            <w:vAlign w:val="center"/>
            <w:hideMark/>
          </w:tcPr>
          <w:p w14:paraId="702ADC9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375E6A6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51 (0.1%)</w:t>
            </w:r>
          </w:p>
        </w:tc>
      </w:tr>
      <w:tr w:rsidR="00DA1572" w:rsidRPr="00DC3283" w14:paraId="66659EA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122218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Twice</w:t>
            </w:r>
          </w:p>
        </w:tc>
        <w:tc>
          <w:tcPr>
            <w:tcW w:w="550" w:type="pct"/>
            <w:tcBorders>
              <w:top w:val="nil"/>
              <w:left w:val="nil"/>
              <w:bottom w:val="nil"/>
              <w:right w:val="nil"/>
            </w:tcBorders>
            <w:shd w:val="clear" w:color="000000" w:fill="FFFFFF"/>
            <w:noWrap/>
            <w:vAlign w:val="center"/>
            <w:hideMark/>
          </w:tcPr>
          <w:p w14:paraId="756D95C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 (0.0%)</w:t>
            </w:r>
          </w:p>
        </w:tc>
        <w:tc>
          <w:tcPr>
            <w:tcW w:w="550" w:type="pct"/>
            <w:tcBorders>
              <w:top w:val="nil"/>
              <w:left w:val="nil"/>
              <w:bottom w:val="nil"/>
              <w:right w:val="nil"/>
            </w:tcBorders>
            <w:shd w:val="clear" w:color="000000" w:fill="FFFFFF"/>
            <w:noWrap/>
            <w:vAlign w:val="center"/>
            <w:hideMark/>
          </w:tcPr>
          <w:p w14:paraId="0816F92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 (0.1%)</w:t>
            </w:r>
          </w:p>
        </w:tc>
        <w:tc>
          <w:tcPr>
            <w:tcW w:w="305" w:type="pct"/>
            <w:tcBorders>
              <w:top w:val="nil"/>
              <w:left w:val="nil"/>
              <w:bottom w:val="nil"/>
              <w:right w:val="nil"/>
            </w:tcBorders>
            <w:shd w:val="clear" w:color="000000" w:fill="FFFFFF"/>
            <w:noWrap/>
            <w:vAlign w:val="center"/>
            <w:hideMark/>
          </w:tcPr>
          <w:p w14:paraId="7461710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93A49A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 (0.0%)</w:t>
            </w:r>
          </w:p>
        </w:tc>
        <w:tc>
          <w:tcPr>
            <w:tcW w:w="550" w:type="pct"/>
            <w:tcBorders>
              <w:top w:val="nil"/>
              <w:left w:val="nil"/>
              <w:bottom w:val="nil"/>
              <w:right w:val="nil"/>
            </w:tcBorders>
            <w:shd w:val="clear" w:color="000000" w:fill="FFFFFF"/>
            <w:noWrap/>
            <w:vAlign w:val="center"/>
            <w:hideMark/>
          </w:tcPr>
          <w:p w14:paraId="2C27539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 (0.0%)</w:t>
            </w:r>
          </w:p>
        </w:tc>
        <w:tc>
          <w:tcPr>
            <w:tcW w:w="550" w:type="pct"/>
            <w:tcBorders>
              <w:top w:val="nil"/>
              <w:left w:val="nil"/>
              <w:bottom w:val="nil"/>
              <w:right w:val="nil"/>
            </w:tcBorders>
            <w:shd w:val="clear" w:color="000000" w:fill="FFFFFF"/>
            <w:noWrap/>
            <w:vAlign w:val="center"/>
            <w:hideMark/>
          </w:tcPr>
          <w:p w14:paraId="7BBDD6B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 (0.1%)</w:t>
            </w:r>
          </w:p>
        </w:tc>
        <w:tc>
          <w:tcPr>
            <w:tcW w:w="305" w:type="pct"/>
            <w:tcBorders>
              <w:top w:val="nil"/>
              <w:left w:val="nil"/>
              <w:bottom w:val="nil"/>
              <w:right w:val="nil"/>
            </w:tcBorders>
            <w:shd w:val="clear" w:color="000000" w:fill="FFFFFF"/>
            <w:noWrap/>
            <w:vAlign w:val="center"/>
            <w:hideMark/>
          </w:tcPr>
          <w:p w14:paraId="3CE2F9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6A9161E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 (0.0%)</w:t>
            </w:r>
          </w:p>
        </w:tc>
      </w:tr>
      <w:tr w:rsidR="00DA1572" w:rsidRPr="00DC3283" w14:paraId="2A396D7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3844E4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Osteoporosis</w:t>
            </w:r>
          </w:p>
        </w:tc>
        <w:tc>
          <w:tcPr>
            <w:tcW w:w="550" w:type="pct"/>
            <w:tcBorders>
              <w:top w:val="nil"/>
              <w:left w:val="nil"/>
              <w:bottom w:val="nil"/>
              <w:right w:val="nil"/>
            </w:tcBorders>
            <w:shd w:val="clear" w:color="000000" w:fill="FFFFFF"/>
            <w:noWrap/>
            <w:vAlign w:val="center"/>
            <w:hideMark/>
          </w:tcPr>
          <w:p w14:paraId="65BCAD7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256E79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AFEC13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0A47AB3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A7FE19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6FF9B0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6EA542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46AB070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0B4F3B1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82A14FF"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01746A8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118 (0.3%)</w:t>
            </w:r>
          </w:p>
        </w:tc>
        <w:tc>
          <w:tcPr>
            <w:tcW w:w="550" w:type="pct"/>
            <w:tcBorders>
              <w:top w:val="nil"/>
              <w:left w:val="nil"/>
              <w:bottom w:val="nil"/>
              <w:right w:val="nil"/>
            </w:tcBorders>
            <w:shd w:val="clear" w:color="000000" w:fill="FFFFFF"/>
            <w:noWrap/>
            <w:vAlign w:val="center"/>
            <w:hideMark/>
          </w:tcPr>
          <w:p w14:paraId="6A26B80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145 (2.4%)</w:t>
            </w:r>
          </w:p>
        </w:tc>
        <w:tc>
          <w:tcPr>
            <w:tcW w:w="305" w:type="pct"/>
            <w:tcBorders>
              <w:top w:val="nil"/>
              <w:left w:val="nil"/>
              <w:bottom w:val="nil"/>
              <w:right w:val="nil"/>
            </w:tcBorders>
            <w:shd w:val="clear" w:color="000000" w:fill="FFFFFF"/>
            <w:noWrap/>
            <w:vAlign w:val="center"/>
            <w:hideMark/>
          </w:tcPr>
          <w:p w14:paraId="6A6F6E6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4FEAC2F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263 (0.6%)</w:t>
            </w:r>
          </w:p>
        </w:tc>
        <w:tc>
          <w:tcPr>
            <w:tcW w:w="550" w:type="pct"/>
            <w:tcBorders>
              <w:top w:val="nil"/>
              <w:left w:val="nil"/>
              <w:bottom w:val="nil"/>
              <w:right w:val="nil"/>
            </w:tcBorders>
            <w:shd w:val="clear" w:color="000000" w:fill="FFFFFF"/>
            <w:noWrap/>
            <w:vAlign w:val="center"/>
            <w:hideMark/>
          </w:tcPr>
          <w:p w14:paraId="7C45CF3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42 (0.1%)</w:t>
            </w:r>
          </w:p>
        </w:tc>
        <w:tc>
          <w:tcPr>
            <w:tcW w:w="550" w:type="pct"/>
            <w:tcBorders>
              <w:top w:val="nil"/>
              <w:left w:val="nil"/>
              <w:bottom w:val="nil"/>
              <w:right w:val="nil"/>
            </w:tcBorders>
            <w:shd w:val="clear" w:color="000000" w:fill="FFFFFF"/>
            <w:noWrap/>
            <w:vAlign w:val="center"/>
            <w:hideMark/>
          </w:tcPr>
          <w:p w14:paraId="1D2AB91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62 (0.5%)</w:t>
            </w:r>
          </w:p>
        </w:tc>
        <w:tc>
          <w:tcPr>
            <w:tcW w:w="305" w:type="pct"/>
            <w:tcBorders>
              <w:top w:val="nil"/>
              <w:left w:val="nil"/>
              <w:bottom w:val="nil"/>
              <w:right w:val="nil"/>
            </w:tcBorders>
            <w:shd w:val="clear" w:color="000000" w:fill="FFFFFF"/>
            <w:noWrap/>
            <w:vAlign w:val="center"/>
            <w:hideMark/>
          </w:tcPr>
          <w:p w14:paraId="0B0B47A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AC8902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104 (0.1%)</w:t>
            </w:r>
          </w:p>
        </w:tc>
      </w:tr>
      <w:tr w:rsidR="00DA1572" w:rsidRPr="00DC3283" w14:paraId="0652E91A"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99B35D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Psoriasis</w:t>
            </w:r>
          </w:p>
        </w:tc>
        <w:tc>
          <w:tcPr>
            <w:tcW w:w="550" w:type="pct"/>
            <w:tcBorders>
              <w:top w:val="nil"/>
              <w:left w:val="nil"/>
              <w:bottom w:val="nil"/>
              <w:right w:val="nil"/>
            </w:tcBorders>
            <w:shd w:val="clear" w:color="000000" w:fill="FFFFFF"/>
            <w:noWrap/>
            <w:vAlign w:val="center"/>
            <w:hideMark/>
          </w:tcPr>
          <w:p w14:paraId="526DCB2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91690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51A7AF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28FFD97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7A46205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F53845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7208FC9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DCFC20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1A315742"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35C52F2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8AF11E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722 (2.0%)</w:t>
            </w:r>
          </w:p>
        </w:tc>
        <w:tc>
          <w:tcPr>
            <w:tcW w:w="550" w:type="pct"/>
            <w:tcBorders>
              <w:top w:val="nil"/>
              <w:left w:val="nil"/>
              <w:bottom w:val="nil"/>
              <w:right w:val="nil"/>
            </w:tcBorders>
            <w:shd w:val="clear" w:color="000000" w:fill="FFFFFF"/>
            <w:noWrap/>
            <w:vAlign w:val="center"/>
            <w:hideMark/>
          </w:tcPr>
          <w:p w14:paraId="1F4DEAB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237 (3.9%)</w:t>
            </w:r>
          </w:p>
        </w:tc>
        <w:tc>
          <w:tcPr>
            <w:tcW w:w="305" w:type="pct"/>
            <w:tcBorders>
              <w:top w:val="nil"/>
              <w:left w:val="nil"/>
              <w:bottom w:val="nil"/>
              <w:right w:val="nil"/>
            </w:tcBorders>
            <w:shd w:val="clear" w:color="000000" w:fill="FFFFFF"/>
            <w:noWrap/>
            <w:vAlign w:val="center"/>
            <w:hideMark/>
          </w:tcPr>
          <w:p w14:paraId="0B321945"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C0014A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959 (2.3%)</w:t>
            </w:r>
          </w:p>
        </w:tc>
        <w:tc>
          <w:tcPr>
            <w:tcW w:w="550" w:type="pct"/>
            <w:tcBorders>
              <w:top w:val="nil"/>
              <w:left w:val="nil"/>
              <w:bottom w:val="nil"/>
              <w:right w:val="nil"/>
            </w:tcBorders>
            <w:shd w:val="clear" w:color="000000" w:fill="FFFFFF"/>
            <w:noWrap/>
            <w:vAlign w:val="center"/>
            <w:hideMark/>
          </w:tcPr>
          <w:p w14:paraId="4A261BE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290 (0.4%)</w:t>
            </w:r>
          </w:p>
        </w:tc>
        <w:tc>
          <w:tcPr>
            <w:tcW w:w="550" w:type="pct"/>
            <w:tcBorders>
              <w:top w:val="nil"/>
              <w:left w:val="nil"/>
              <w:bottom w:val="nil"/>
              <w:right w:val="nil"/>
            </w:tcBorders>
            <w:shd w:val="clear" w:color="000000" w:fill="FFFFFF"/>
            <w:noWrap/>
            <w:vAlign w:val="center"/>
            <w:hideMark/>
          </w:tcPr>
          <w:p w14:paraId="3309F5D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85 (0.7%)</w:t>
            </w:r>
          </w:p>
        </w:tc>
        <w:tc>
          <w:tcPr>
            <w:tcW w:w="305" w:type="pct"/>
            <w:tcBorders>
              <w:top w:val="nil"/>
              <w:left w:val="nil"/>
              <w:bottom w:val="nil"/>
              <w:right w:val="nil"/>
            </w:tcBorders>
            <w:shd w:val="clear" w:color="000000" w:fill="FFFFFF"/>
            <w:noWrap/>
            <w:vAlign w:val="center"/>
            <w:hideMark/>
          </w:tcPr>
          <w:p w14:paraId="202A03E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06E4FFA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375 (0.4%)</w:t>
            </w:r>
          </w:p>
        </w:tc>
      </w:tr>
      <w:tr w:rsidR="00DA1572" w:rsidRPr="00DC3283" w14:paraId="3271D970"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71ED366C"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Type 1 diabetes</w:t>
            </w:r>
          </w:p>
        </w:tc>
        <w:tc>
          <w:tcPr>
            <w:tcW w:w="550" w:type="pct"/>
            <w:tcBorders>
              <w:top w:val="nil"/>
              <w:left w:val="nil"/>
              <w:bottom w:val="nil"/>
              <w:right w:val="nil"/>
            </w:tcBorders>
            <w:shd w:val="clear" w:color="000000" w:fill="FFFFFF"/>
            <w:noWrap/>
            <w:vAlign w:val="center"/>
            <w:hideMark/>
          </w:tcPr>
          <w:p w14:paraId="344DB6F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470BA3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3A5527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485A2BD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65104A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2D2BD52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059C2C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36DB2D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24710D9B"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54AF6B89"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8BD5C6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119 (0.3%)</w:t>
            </w:r>
          </w:p>
        </w:tc>
        <w:tc>
          <w:tcPr>
            <w:tcW w:w="550" w:type="pct"/>
            <w:tcBorders>
              <w:top w:val="nil"/>
              <w:left w:val="nil"/>
              <w:bottom w:val="nil"/>
              <w:right w:val="nil"/>
            </w:tcBorders>
            <w:shd w:val="clear" w:color="000000" w:fill="FFFFFF"/>
            <w:noWrap/>
            <w:vAlign w:val="center"/>
            <w:hideMark/>
          </w:tcPr>
          <w:p w14:paraId="438EE25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126 (2.1%)</w:t>
            </w:r>
          </w:p>
        </w:tc>
        <w:tc>
          <w:tcPr>
            <w:tcW w:w="305" w:type="pct"/>
            <w:tcBorders>
              <w:top w:val="nil"/>
              <w:left w:val="nil"/>
              <w:bottom w:val="nil"/>
              <w:right w:val="nil"/>
            </w:tcBorders>
            <w:shd w:val="clear" w:color="000000" w:fill="FFFFFF"/>
            <w:noWrap/>
            <w:vAlign w:val="center"/>
            <w:hideMark/>
          </w:tcPr>
          <w:p w14:paraId="5B8EE8C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148599E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245 (0.6%)</w:t>
            </w:r>
          </w:p>
        </w:tc>
        <w:tc>
          <w:tcPr>
            <w:tcW w:w="550" w:type="pct"/>
            <w:tcBorders>
              <w:top w:val="nil"/>
              <w:left w:val="nil"/>
              <w:bottom w:val="nil"/>
              <w:right w:val="nil"/>
            </w:tcBorders>
            <w:shd w:val="clear" w:color="000000" w:fill="FFFFFF"/>
            <w:noWrap/>
            <w:vAlign w:val="center"/>
            <w:hideMark/>
          </w:tcPr>
          <w:p w14:paraId="646CEFF4"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324 (0.4%)</w:t>
            </w:r>
          </w:p>
        </w:tc>
        <w:tc>
          <w:tcPr>
            <w:tcW w:w="550" w:type="pct"/>
            <w:tcBorders>
              <w:top w:val="nil"/>
              <w:left w:val="nil"/>
              <w:bottom w:val="nil"/>
              <w:right w:val="nil"/>
            </w:tcBorders>
            <w:shd w:val="clear" w:color="000000" w:fill="FFFFFF"/>
            <w:noWrap/>
            <w:vAlign w:val="center"/>
            <w:hideMark/>
          </w:tcPr>
          <w:p w14:paraId="423E4BB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150 (1.2%)</w:t>
            </w:r>
          </w:p>
        </w:tc>
        <w:tc>
          <w:tcPr>
            <w:tcW w:w="305" w:type="pct"/>
            <w:tcBorders>
              <w:top w:val="nil"/>
              <w:left w:val="nil"/>
              <w:bottom w:val="nil"/>
              <w:right w:val="nil"/>
            </w:tcBorders>
            <w:shd w:val="clear" w:color="000000" w:fill="FFFFFF"/>
            <w:noWrap/>
            <w:vAlign w:val="center"/>
            <w:hideMark/>
          </w:tcPr>
          <w:p w14:paraId="6AEB90C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6A1E38A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474 (0.5%)</w:t>
            </w:r>
          </w:p>
        </w:tc>
      </w:tr>
      <w:tr w:rsidR="00DA1572" w:rsidRPr="00DC3283" w14:paraId="4DF18B7E"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2023B519"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Thyroid disorders</w:t>
            </w:r>
          </w:p>
        </w:tc>
        <w:tc>
          <w:tcPr>
            <w:tcW w:w="550" w:type="pct"/>
            <w:tcBorders>
              <w:top w:val="nil"/>
              <w:left w:val="nil"/>
              <w:bottom w:val="nil"/>
              <w:right w:val="nil"/>
            </w:tcBorders>
            <w:shd w:val="clear" w:color="000000" w:fill="FFFFFF"/>
            <w:noWrap/>
            <w:vAlign w:val="center"/>
            <w:hideMark/>
          </w:tcPr>
          <w:p w14:paraId="14E745F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0774E6D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2AC75C4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3D2B074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36C2E4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6DB9FF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386E73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3960B44C"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6481CD47"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46815057"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nil"/>
              <w:right w:val="nil"/>
            </w:tcBorders>
            <w:shd w:val="clear" w:color="000000" w:fill="FFFFFF"/>
            <w:noWrap/>
            <w:vAlign w:val="center"/>
            <w:hideMark/>
          </w:tcPr>
          <w:p w14:paraId="69F4053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389 (1.1%)</w:t>
            </w:r>
          </w:p>
        </w:tc>
        <w:tc>
          <w:tcPr>
            <w:tcW w:w="550" w:type="pct"/>
            <w:tcBorders>
              <w:top w:val="nil"/>
              <w:left w:val="nil"/>
              <w:bottom w:val="nil"/>
              <w:right w:val="nil"/>
            </w:tcBorders>
            <w:shd w:val="clear" w:color="000000" w:fill="FFFFFF"/>
            <w:noWrap/>
            <w:vAlign w:val="center"/>
            <w:hideMark/>
          </w:tcPr>
          <w:p w14:paraId="51786F6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287 (4.8%)</w:t>
            </w:r>
          </w:p>
        </w:tc>
        <w:tc>
          <w:tcPr>
            <w:tcW w:w="305" w:type="pct"/>
            <w:tcBorders>
              <w:top w:val="nil"/>
              <w:left w:val="nil"/>
              <w:bottom w:val="nil"/>
              <w:right w:val="nil"/>
            </w:tcBorders>
            <w:shd w:val="clear" w:color="000000" w:fill="FFFFFF"/>
            <w:noWrap/>
            <w:vAlign w:val="center"/>
            <w:hideMark/>
          </w:tcPr>
          <w:p w14:paraId="1457E37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nil"/>
              <w:right w:val="single" w:sz="8" w:space="0" w:color="auto"/>
            </w:tcBorders>
            <w:shd w:val="clear" w:color="000000" w:fill="FFFFFF"/>
            <w:noWrap/>
            <w:vAlign w:val="center"/>
            <w:hideMark/>
          </w:tcPr>
          <w:p w14:paraId="0ABE4CE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676 (1.6%)</w:t>
            </w:r>
          </w:p>
        </w:tc>
        <w:tc>
          <w:tcPr>
            <w:tcW w:w="550" w:type="pct"/>
            <w:tcBorders>
              <w:top w:val="nil"/>
              <w:left w:val="nil"/>
              <w:bottom w:val="nil"/>
              <w:right w:val="nil"/>
            </w:tcBorders>
            <w:shd w:val="clear" w:color="000000" w:fill="FFFFFF"/>
            <w:noWrap/>
            <w:vAlign w:val="center"/>
            <w:hideMark/>
          </w:tcPr>
          <w:p w14:paraId="41984F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166 (0.2%)</w:t>
            </w:r>
          </w:p>
        </w:tc>
        <w:tc>
          <w:tcPr>
            <w:tcW w:w="550" w:type="pct"/>
            <w:tcBorders>
              <w:top w:val="nil"/>
              <w:left w:val="nil"/>
              <w:bottom w:val="nil"/>
              <w:right w:val="nil"/>
            </w:tcBorders>
            <w:shd w:val="clear" w:color="000000" w:fill="FFFFFF"/>
            <w:noWrap/>
            <w:vAlign w:val="center"/>
            <w:hideMark/>
          </w:tcPr>
          <w:p w14:paraId="0B23FE6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130 (1.0%)</w:t>
            </w:r>
          </w:p>
        </w:tc>
        <w:tc>
          <w:tcPr>
            <w:tcW w:w="305" w:type="pct"/>
            <w:tcBorders>
              <w:top w:val="nil"/>
              <w:left w:val="nil"/>
              <w:bottom w:val="nil"/>
              <w:right w:val="nil"/>
            </w:tcBorders>
            <w:shd w:val="clear" w:color="000000" w:fill="FFFFFF"/>
            <w:noWrap/>
            <w:vAlign w:val="center"/>
            <w:hideMark/>
          </w:tcPr>
          <w:p w14:paraId="7EE252FB"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nil"/>
              <w:right w:val="single" w:sz="4" w:space="0" w:color="auto"/>
            </w:tcBorders>
            <w:shd w:val="clear" w:color="000000" w:fill="FFFFFF"/>
            <w:noWrap/>
            <w:vAlign w:val="center"/>
            <w:hideMark/>
          </w:tcPr>
          <w:p w14:paraId="4B966A8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296 (0.3%)</w:t>
            </w:r>
          </w:p>
        </w:tc>
      </w:tr>
      <w:tr w:rsidR="00DA1572" w:rsidRPr="00DC3283" w14:paraId="67D11DFD" w14:textId="77777777" w:rsidTr="000526F1">
        <w:trPr>
          <w:trHeight w:val="300"/>
        </w:trPr>
        <w:tc>
          <w:tcPr>
            <w:tcW w:w="1091" w:type="pct"/>
            <w:tcBorders>
              <w:top w:val="nil"/>
              <w:left w:val="single" w:sz="4" w:space="0" w:color="auto"/>
              <w:bottom w:val="nil"/>
              <w:right w:val="single" w:sz="8" w:space="0" w:color="auto"/>
            </w:tcBorders>
            <w:shd w:val="clear" w:color="000000" w:fill="FFFFFF"/>
            <w:noWrap/>
            <w:vAlign w:val="center"/>
            <w:hideMark/>
          </w:tcPr>
          <w:p w14:paraId="62AD0FE2" w14:textId="77777777" w:rsidR="00DC3283" w:rsidRPr="00DC3283" w:rsidRDefault="00DC3283" w:rsidP="00DC3283">
            <w:pPr>
              <w:spacing w:after="0" w:line="240" w:lineRule="auto"/>
              <w:rPr>
                <w:rFonts w:ascii="Calibri" w:eastAsia="Times New Roman" w:hAnsi="Calibri" w:cs="Calibri"/>
                <w:b/>
                <w:bCs/>
                <w:color w:val="000000"/>
                <w:sz w:val="18"/>
                <w:szCs w:val="18"/>
                <w:lang w:eastAsia="en-GB"/>
              </w:rPr>
            </w:pPr>
            <w:r w:rsidRPr="00DC3283">
              <w:rPr>
                <w:rFonts w:ascii="Calibri" w:eastAsia="Times New Roman" w:hAnsi="Calibri" w:cs="Calibri"/>
                <w:b/>
                <w:bCs/>
                <w:color w:val="000000"/>
                <w:sz w:val="18"/>
                <w:szCs w:val="18"/>
                <w:lang w:eastAsia="en-GB"/>
              </w:rPr>
              <w:t>Weight loss</w:t>
            </w:r>
          </w:p>
        </w:tc>
        <w:tc>
          <w:tcPr>
            <w:tcW w:w="550" w:type="pct"/>
            <w:tcBorders>
              <w:top w:val="nil"/>
              <w:left w:val="nil"/>
              <w:bottom w:val="nil"/>
              <w:right w:val="nil"/>
            </w:tcBorders>
            <w:shd w:val="clear" w:color="000000" w:fill="FFFFFF"/>
            <w:noWrap/>
            <w:vAlign w:val="center"/>
            <w:hideMark/>
          </w:tcPr>
          <w:p w14:paraId="24472AF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5947313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1B38311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single" w:sz="8" w:space="0" w:color="auto"/>
            </w:tcBorders>
            <w:shd w:val="clear" w:color="000000" w:fill="FFFFFF"/>
            <w:noWrap/>
            <w:vAlign w:val="center"/>
            <w:hideMark/>
          </w:tcPr>
          <w:p w14:paraId="55C05A4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4F555473"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50" w:type="pct"/>
            <w:tcBorders>
              <w:top w:val="nil"/>
              <w:left w:val="nil"/>
              <w:bottom w:val="nil"/>
              <w:right w:val="nil"/>
            </w:tcBorders>
            <w:shd w:val="clear" w:color="000000" w:fill="FFFFFF"/>
            <w:noWrap/>
            <w:vAlign w:val="center"/>
            <w:hideMark/>
          </w:tcPr>
          <w:p w14:paraId="1795B21F"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305" w:type="pct"/>
            <w:tcBorders>
              <w:top w:val="nil"/>
              <w:left w:val="nil"/>
              <w:bottom w:val="nil"/>
              <w:right w:val="nil"/>
            </w:tcBorders>
            <w:shd w:val="clear" w:color="000000" w:fill="FFFFFF"/>
            <w:noWrap/>
            <w:vAlign w:val="center"/>
            <w:hideMark/>
          </w:tcPr>
          <w:p w14:paraId="64DF09C7"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c>
          <w:tcPr>
            <w:tcW w:w="549" w:type="pct"/>
            <w:tcBorders>
              <w:top w:val="nil"/>
              <w:left w:val="nil"/>
              <w:bottom w:val="nil"/>
              <w:right w:val="single" w:sz="4" w:space="0" w:color="auto"/>
            </w:tcBorders>
            <w:shd w:val="clear" w:color="000000" w:fill="FFFFFF"/>
            <w:noWrap/>
            <w:vAlign w:val="center"/>
            <w:hideMark/>
          </w:tcPr>
          <w:p w14:paraId="5B87122D"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 </w:t>
            </w:r>
          </w:p>
        </w:tc>
      </w:tr>
      <w:tr w:rsidR="00DA1572" w:rsidRPr="00DC3283" w14:paraId="4D298274" w14:textId="77777777" w:rsidTr="000526F1">
        <w:trPr>
          <w:trHeight w:val="315"/>
        </w:trPr>
        <w:tc>
          <w:tcPr>
            <w:tcW w:w="1091" w:type="pct"/>
            <w:tcBorders>
              <w:top w:val="nil"/>
              <w:left w:val="single" w:sz="4" w:space="0" w:color="auto"/>
              <w:bottom w:val="single" w:sz="12" w:space="0" w:color="000000"/>
              <w:right w:val="single" w:sz="8" w:space="0" w:color="auto"/>
            </w:tcBorders>
            <w:shd w:val="clear" w:color="000000" w:fill="FFFFFF"/>
            <w:noWrap/>
            <w:vAlign w:val="center"/>
            <w:hideMark/>
          </w:tcPr>
          <w:p w14:paraId="5C78645A" w14:textId="77777777" w:rsidR="00DC3283" w:rsidRPr="00DC3283" w:rsidRDefault="00DC3283" w:rsidP="00DC3283">
            <w:pPr>
              <w:spacing w:after="0" w:line="240" w:lineRule="auto"/>
              <w:ind w:firstLineChars="200" w:firstLine="360"/>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Present</w:t>
            </w:r>
          </w:p>
        </w:tc>
        <w:tc>
          <w:tcPr>
            <w:tcW w:w="550" w:type="pct"/>
            <w:tcBorders>
              <w:top w:val="nil"/>
              <w:left w:val="nil"/>
              <w:bottom w:val="single" w:sz="12" w:space="0" w:color="000000"/>
              <w:right w:val="nil"/>
            </w:tcBorders>
            <w:shd w:val="clear" w:color="000000" w:fill="FFFFFF"/>
            <w:noWrap/>
            <w:vAlign w:val="center"/>
            <w:hideMark/>
          </w:tcPr>
          <w:p w14:paraId="11AEAAB0"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340 (1.0%)</w:t>
            </w:r>
          </w:p>
        </w:tc>
        <w:tc>
          <w:tcPr>
            <w:tcW w:w="550" w:type="pct"/>
            <w:tcBorders>
              <w:top w:val="nil"/>
              <w:left w:val="nil"/>
              <w:bottom w:val="single" w:sz="12" w:space="0" w:color="000000"/>
              <w:right w:val="nil"/>
            </w:tcBorders>
            <w:shd w:val="clear" w:color="000000" w:fill="FFFFFF"/>
            <w:noWrap/>
            <w:vAlign w:val="center"/>
            <w:hideMark/>
          </w:tcPr>
          <w:p w14:paraId="74D6DB2E"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467 (7.7%)</w:t>
            </w:r>
          </w:p>
        </w:tc>
        <w:tc>
          <w:tcPr>
            <w:tcW w:w="305" w:type="pct"/>
            <w:tcBorders>
              <w:top w:val="nil"/>
              <w:left w:val="nil"/>
              <w:bottom w:val="single" w:sz="12" w:space="0" w:color="000000"/>
              <w:right w:val="nil"/>
            </w:tcBorders>
            <w:shd w:val="clear" w:color="000000" w:fill="FFFFFF"/>
            <w:noWrap/>
            <w:vAlign w:val="center"/>
            <w:hideMark/>
          </w:tcPr>
          <w:p w14:paraId="71A36B38"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50" w:type="pct"/>
            <w:tcBorders>
              <w:top w:val="nil"/>
              <w:left w:val="nil"/>
              <w:bottom w:val="single" w:sz="12" w:space="0" w:color="000000"/>
              <w:right w:val="single" w:sz="8" w:space="0" w:color="auto"/>
            </w:tcBorders>
            <w:shd w:val="clear" w:color="000000" w:fill="FFFFFF"/>
            <w:noWrap/>
            <w:vAlign w:val="center"/>
            <w:hideMark/>
          </w:tcPr>
          <w:p w14:paraId="255538C2"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807 (2.0%)</w:t>
            </w:r>
          </w:p>
        </w:tc>
        <w:tc>
          <w:tcPr>
            <w:tcW w:w="550" w:type="pct"/>
            <w:tcBorders>
              <w:top w:val="nil"/>
              <w:left w:val="nil"/>
              <w:bottom w:val="single" w:sz="12" w:space="0" w:color="000000"/>
              <w:right w:val="nil"/>
            </w:tcBorders>
            <w:shd w:val="clear" w:color="000000" w:fill="FFFFFF"/>
            <w:noWrap/>
            <w:vAlign w:val="center"/>
            <w:hideMark/>
          </w:tcPr>
          <w:p w14:paraId="516F363A"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85 (0.1%)</w:t>
            </w:r>
          </w:p>
        </w:tc>
        <w:tc>
          <w:tcPr>
            <w:tcW w:w="550" w:type="pct"/>
            <w:tcBorders>
              <w:top w:val="nil"/>
              <w:left w:val="nil"/>
              <w:bottom w:val="single" w:sz="12" w:space="0" w:color="000000"/>
              <w:right w:val="nil"/>
            </w:tcBorders>
            <w:shd w:val="clear" w:color="000000" w:fill="FFFFFF"/>
            <w:noWrap/>
            <w:vAlign w:val="center"/>
            <w:hideMark/>
          </w:tcPr>
          <w:p w14:paraId="32804169"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100 (0.8%)</w:t>
            </w:r>
          </w:p>
        </w:tc>
        <w:tc>
          <w:tcPr>
            <w:tcW w:w="305" w:type="pct"/>
            <w:tcBorders>
              <w:top w:val="nil"/>
              <w:left w:val="nil"/>
              <w:bottom w:val="single" w:sz="12" w:space="0" w:color="000000"/>
              <w:right w:val="nil"/>
            </w:tcBorders>
            <w:shd w:val="clear" w:color="000000" w:fill="FFFFFF"/>
            <w:noWrap/>
            <w:vAlign w:val="center"/>
            <w:hideMark/>
          </w:tcPr>
          <w:p w14:paraId="7D5A3A06"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&lt;0.001</w:t>
            </w:r>
          </w:p>
        </w:tc>
        <w:tc>
          <w:tcPr>
            <w:tcW w:w="549" w:type="pct"/>
            <w:tcBorders>
              <w:top w:val="nil"/>
              <w:left w:val="nil"/>
              <w:bottom w:val="single" w:sz="12" w:space="0" w:color="000000"/>
              <w:right w:val="single" w:sz="4" w:space="0" w:color="auto"/>
            </w:tcBorders>
            <w:shd w:val="clear" w:color="000000" w:fill="FFFFFF"/>
            <w:noWrap/>
            <w:vAlign w:val="center"/>
            <w:hideMark/>
          </w:tcPr>
          <w:p w14:paraId="0970F311" w14:textId="77777777" w:rsidR="00DC3283" w:rsidRPr="00DC3283" w:rsidRDefault="00DC3283" w:rsidP="00DC3283">
            <w:pPr>
              <w:spacing w:after="0" w:line="240" w:lineRule="auto"/>
              <w:jc w:val="center"/>
              <w:rPr>
                <w:rFonts w:ascii="Calibri" w:eastAsia="Times New Roman" w:hAnsi="Calibri" w:cs="Calibri"/>
                <w:color w:val="000000"/>
                <w:sz w:val="18"/>
                <w:szCs w:val="18"/>
                <w:lang w:eastAsia="en-GB"/>
              </w:rPr>
            </w:pPr>
            <w:r w:rsidRPr="00DC3283">
              <w:rPr>
                <w:rFonts w:ascii="Calibri" w:eastAsia="Times New Roman" w:hAnsi="Calibri" w:cs="Calibri"/>
                <w:color w:val="000000"/>
                <w:sz w:val="18"/>
                <w:szCs w:val="18"/>
                <w:lang w:eastAsia="en-GB"/>
              </w:rPr>
              <w:t>185 (0.2%)</w:t>
            </w:r>
          </w:p>
        </w:tc>
      </w:tr>
    </w:tbl>
    <w:p w14:paraId="2271C8CF" w14:textId="77777777" w:rsidR="00B240D7" w:rsidRPr="00DC3283" w:rsidRDefault="00B240D7" w:rsidP="00DF5EDB">
      <w:pPr>
        <w:rPr>
          <w:rFonts w:cstheme="minorHAnsi"/>
          <w:i/>
          <w:lang w:val="fr-FR"/>
        </w:rPr>
        <w:sectPr w:rsidR="00B240D7" w:rsidRPr="00DC3283" w:rsidSect="002E12D4">
          <w:pgSz w:w="16838" w:h="11906" w:orient="landscape"/>
          <w:pgMar w:top="1440" w:right="1440" w:bottom="1440" w:left="1440" w:header="709" w:footer="709" w:gutter="0"/>
          <w:cols w:space="708"/>
          <w:docGrid w:linePitch="360"/>
        </w:sectPr>
      </w:pPr>
    </w:p>
    <w:p w14:paraId="0208E41A" w14:textId="18CE220D" w:rsidR="00DF5EDB" w:rsidRPr="00734942" w:rsidRDefault="004F1939" w:rsidP="006B7911">
      <w:pPr>
        <w:pStyle w:val="Heading3"/>
      </w:pPr>
      <w:bookmarkStart w:id="127" w:name="_Toc99539847"/>
      <w:r>
        <w:lastRenderedPageBreak/>
        <w:t>Diagnostic</w:t>
      </w:r>
      <w:r w:rsidR="00432830">
        <w:t xml:space="preserve"> indicat</w:t>
      </w:r>
      <w:r w:rsidR="00DF5EDB" w:rsidRPr="00734942">
        <w:t>or selection</w:t>
      </w:r>
      <w:bookmarkEnd w:id="127"/>
    </w:p>
    <w:p w14:paraId="2A23711E" w14:textId="26ECF5D0" w:rsidR="00DF5EDB" w:rsidRPr="00734942" w:rsidRDefault="00DF5EDB" w:rsidP="00DF5EDB">
      <w:pPr>
        <w:rPr>
          <w:rFonts w:cstheme="minorHAnsi"/>
        </w:rPr>
      </w:pPr>
      <w:r w:rsidRPr="00734942">
        <w:t xml:space="preserve">The following </w:t>
      </w:r>
      <w:r w:rsidR="0046220B">
        <w:t xml:space="preserve">candidate </w:t>
      </w:r>
      <w:r w:rsidR="00432830">
        <w:t>diagnostic indicat</w:t>
      </w:r>
      <w:r w:rsidRPr="00734942">
        <w:t>ors</w:t>
      </w:r>
      <w:r w:rsidR="0046220B">
        <w:t xml:space="preserve"> from </w:t>
      </w:r>
      <w:r w:rsidR="0089464C">
        <w:t xml:space="preserve">Appendix 9 </w:t>
      </w:r>
      <w:r w:rsidR="006F0F99">
        <w:fldChar w:fldCharType="begin"/>
      </w:r>
      <w:r w:rsidR="006F0F99">
        <w:instrText xml:space="preserve"> REF _Ref83907190 \h </w:instrText>
      </w:r>
      <w:r w:rsidR="006F0F99">
        <w:fldChar w:fldCharType="separate"/>
      </w:r>
      <w:r w:rsidR="008B5583" w:rsidRPr="00734942">
        <w:t xml:space="preserve">Table </w:t>
      </w:r>
      <w:r w:rsidR="008B5583">
        <w:rPr>
          <w:noProof/>
        </w:rPr>
        <w:t>51</w:t>
      </w:r>
      <w:r w:rsidR="006F0F99">
        <w:fldChar w:fldCharType="end"/>
      </w:r>
      <w:r w:rsidRPr="00734942">
        <w:t xml:space="preserve"> could not be considered in the model because there were no observations with the respective codes:</w:t>
      </w:r>
      <w:r w:rsidRPr="00734942">
        <w:rPr>
          <w:rFonts w:cstheme="minorHAnsi"/>
        </w:rPr>
        <w:t xml:space="preserve"> hyposplenism or functional asplenia, raised liver enzymes, multiple sclerosis</w:t>
      </w:r>
      <w:r w:rsidRPr="00734942">
        <w:rPr>
          <w:rFonts w:ascii="Calibri" w:hAnsi="Calibri" w:cs="Calibri"/>
        </w:rPr>
        <w:t xml:space="preserve">, pancreatitis, pulmonary haemosiderosis, subfertility and recurrent pregnancy loss in children; </w:t>
      </w:r>
      <w:r w:rsidRPr="00734942">
        <w:rPr>
          <w:rFonts w:cstheme="minorHAnsi"/>
        </w:rPr>
        <w:t xml:space="preserve">delayed puberty and </w:t>
      </w:r>
      <w:r w:rsidRPr="00734942">
        <w:rPr>
          <w:rFonts w:ascii="Calibri" w:hAnsi="Calibri" w:cs="Calibri"/>
        </w:rPr>
        <w:t xml:space="preserve">pulmonary haemosiderosis in women; </w:t>
      </w:r>
      <w:r w:rsidRPr="00734942">
        <w:rPr>
          <w:rFonts w:cstheme="minorHAnsi"/>
        </w:rPr>
        <w:t>amenorrhoea</w:t>
      </w:r>
      <w:r w:rsidRPr="00734942">
        <w:rPr>
          <w:rFonts w:ascii="Calibri" w:hAnsi="Calibri" w:cs="Calibri"/>
        </w:rPr>
        <w:t xml:space="preserve"> and turner syndrome in men. There were no observations of Williams-Beuren syndrome or d</w:t>
      </w:r>
      <w:r w:rsidRPr="00734942">
        <w:t>ental enamel defects in any of the samples.</w:t>
      </w:r>
    </w:p>
    <w:p w14:paraId="2CB7642B" w14:textId="1543FAA8" w:rsidR="00DF5EDB" w:rsidRPr="00901DAC" w:rsidRDefault="00901DAC" w:rsidP="00DF5EDB">
      <w:r>
        <w:rPr>
          <w:rFonts w:cstheme="minorHAnsi"/>
        </w:rPr>
        <w:t xml:space="preserve">Supplementary Table S8 </w:t>
      </w:r>
      <w:r w:rsidR="000833D8">
        <w:rPr>
          <w:rFonts w:cstheme="minorHAnsi"/>
        </w:rPr>
        <w:t>p</w:t>
      </w:r>
      <w:r w:rsidR="00DF5EDB" w:rsidRPr="00734942">
        <w:rPr>
          <w:rFonts w:cstheme="minorHAnsi"/>
        </w:rPr>
        <w:t>resent</w:t>
      </w:r>
      <w:r w:rsidR="000833D8">
        <w:rPr>
          <w:rFonts w:cstheme="minorHAnsi"/>
        </w:rPr>
        <w:t>s</w:t>
      </w:r>
      <w:r w:rsidR="00DF5EDB" w:rsidRPr="00734942">
        <w:rPr>
          <w:rFonts w:cstheme="minorHAnsi"/>
        </w:rPr>
        <w:t xml:space="preserve"> the proportion of bootstrap samples that included each </w:t>
      </w:r>
      <w:r w:rsidR="00432830">
        <w:rPr>
          <w:rFonts w:cstheme="minorHAnsi"/>
        </w:rPr>
        <w:t>indicat</w:t>
      </w:r>
      <w:r w:rsidR="00DF5EDB" w:rsidRPr="00734942">
        <w:rPr>
          <w:rFonts w:cstheme="minorHAnsi"/>
        </w:rPr>
        <w:t xml:space="preserve">or and the median beta coefficient </w:t>
      </w:r>
      <w:r w:rsidR="00515D04">
        <w:rPr>
          <w:rFonts w:cstheme="minorHAnsi"/>
        </w:rPr>
        <w:t>across</w:t>
      </w:r>
      <w:r w:rsidR="00DF5EDB" w:rsidRPr="00734942">
        <w:rPr>
          <w:rFonts w:cstheme="minorHAnsi"/>
        </w:rPr>
        <w:t xml:space="preserve"> all bootstrap samples.</w:t>
      </w:r>
    </w:p>
    <w:p w14:paraId="128A8F0E" w14:textId="1F60BC71" w:rsidR="00DF5EDB" w:rsidRPr="00734942" w:rsidRDefault="00515D04" w:rsidP="74280802">
      <w:r>
        <w:t xml:space="preserve">The following </w:t>
      </w:r>
      <w:r w:rsidR="00432830">
        <w:t>indicat</w:t>
      </w:r>
      <w:r w:rsidR="00DF5EDB" w:rsidRPr="00734942">
        <w:t xml:space="preserve">ors were dropped out of the model because </w:t>
      </w:r>
      <w:r>
        <w:t xml:space="preserve">of an apparent </w:t>
      </w:r>
      <w:r w:rsidR="00DF5EDB" w:rsidRPr="00734942">
        <w:t>inverse relationship with CD</w:t>
      </w:r>
      <w:r>
        <w:t>:</w:t>
      </w:r>
      <w:r w:rsidR="00DF5EDB" w:rsidRPr="00734942" w:rsidDel="00AA19C2">
        <w:t xml:space="preserve"> </w:t>
      </w:r>
      <w:r w:rsidR="00DF5EDB" w:rsidRPr="00734942">
        <w:t>amenorrhoea</w:t>
      </w:r>
      <w:r w:rsidR="00AA19C2" w:rsidRPr="00734942">
        <w:t>, arthritis, irritability, mood disorders, multiple sclerosis, subfertility, and type 2 diabetes</w:t>
      </w:r>
      <w:r w:rsidR="00DF5EDB" w:rsidRPr="00734942">
        <w:t xml:space="preserve"> for women, and </w:t>
      </w:r>
      <w:r w:rsidR="00AA19C2" w:rsidRPr="00734942">
        <w:t xml:space="preserve">type 2 diabetes </w:t>
      </w:r>
      <w:r w:rsidR="00DF5EDB" w:rsidRPr="00734942">
        <w:t xml:space="preserve">for men. </w:t>
      </w:r>
      <w:r w:rsidR="000A7B03" w:rsidRPr="00734942">
        <w:t>ADHD, h</w:t>
      </w:r>
      <w:r w:rsidR="00DF5EDB" w:rsidRPr="00734942">
        <w:t xml:space="preserve">eadaches, migraines, </w:t>
      </w:r>
      <w:r w:rsidR="000A7B03" w:rsidRPr="00734942">
        <w:t xml:space="preserve">hyposplenism or functional asplenia, </w:t>
      </w:r>
      <w:r w:rsidR="00DF5EDB" w:rsidRPr="00734942">
        <w:t xml:space="preserve">IgA nephropathy, irritability, </w:t>
      </w:r>
      <w:r w:rsidR="000A7B03" w:rsidRPr="00734942">
        <w:t xml:space="preserve">pancreatitis, type 2 diabetes, </w:t>
      </w:r>
      <w:r w:rsidR="00DF5EDB" w:rsidRPr="00734942">
        <w:t xml:space="preserve">and multiple sclerosis were not selected as important </w:t>
      </w:r>
      <w:r w:rsidR="00432830">
        <w:t>indicat</w:t>
      </w:r>
      <w:r w:rsidR="00DF5EDB" w:rsidRPr="00734942">
        <w:t>ors in any of the models.</w:t>
      </w:r>
    </w:p>
    <w:p w14:paraId="3D242F46" w14:textId="77777777" w:rsidR="004F4B73" w:rsidRPr="00734942" w:rsidRDefault="004F4B73" w:rsidP="004F4B73">
      <w:pPr>
        <w:pStyle w:val="Heading3"/>
      </w:pPr>
      <w:bookmarkStart w:id="128" w:name="_Toc86163974"/>
      <w:bookmarkStart w:id="129" w:name="_Toc99539848"/>
      <w:bookmarkStart w:id="130" w:name="_Ref83908178"/>
      <w:r w:rsidRPr="00734942">
        <w:t>Model specification</w:t>
      </w:r>
      <w:bookmarkEnd w:id="128"/>
      <w:bookmarkEnd w:id="129"/>
    </w:p>
    <w:p w14:paraId="30644416" w14:textId="07CE70B4" w:rsidR="004F4B73" w:rsidRPr="00734942" w:rsidRDefault="004F4B73" w:rsidP="004F4B73">
      <w:r w:rsidRPr="00734942">
        <w:t xml:space="preserve">The model intercepts and coefficients of the final prediction models are presented in </w:t>
      </w:r>
      <w:r w:rsidRPr="00734942">
        <w:fldChar w:fldCharType="begin"/>
      </w:r>
      <w:r w:rsidRPr="00734942">
        <w:instrText xml:space="preserve"> REF _Ref85455875 \h </w:instrText>
      </w:r>
      <w:r w:rsidRPr="00734942">
        <w:fldChar w:fldCharType="separate"/>
      </w:r>
      <w:r w:rsidR="008B5583" w:rsidRPr="00734942">
        <w:t xml:space="preserve">Table </w:t>
      </w:r>
      <w:r w:rsidR="008B5583">
        <w:rPr>
          <w:noProof/>
        </w:rPr>
        <w:t>3</w:t>
      </w:r>
      <w:r w:rsidRPr="00734942">
        <w:fldChar w:fldCharType="end"/>
      </w:r>
      <w:r w:rsidRPr="00734942">
        <w:t xml:space="preserve">. For children, having type 1 diabetes, Turner syndrome, IgA deficiency, or a first-degree relative with CD were estimated to be the strongest </w:t>
      </w:r>
      <w:r w:rsidR="00432830">
        <w:t>diagnostic indicat</w:t>
      </w:r>
      <w:r w:rsidRPr="00734942">
        <w:t>ors (</w:t>
      </w:r>
      <w:r>
        <w:t xml:space="preserve">i.e. had the </w:t>
      </w:r>
      <w:r w:rsidRPr="00734942">
        <w:t xml:space="preserve">highest </w:t>
      </w:r>
      <w:r>
        <w:t xml:space="preserve">estimated </w:t>
      </w:r>
      <w:r w:rsidRPr="00734942">
        <w:t xml:space="preserve">coefficients). For women and men </w:t>
      </w:r>
      <w:r>
        <w:t>the strongest predictors</w:t>
      </w:r>
      <w:r w:rsidRPr="00734942">
        <w:t xml:space="preserve"> were having a first-degree relative with CD or anaemia. All three models included first degree relatives (with CD), anaemia, type 1 diabetes, iron, vit B12 or folate deficiency, thyroid disorders, weight loss, </w:t>
      </w:r>
      <w:r w:rsidR="00A65A5D">
        <w:t>Down</w:t>
      </w:r>
      <w:r w:rsidRPr="00734942">
        <w:t xml:space="preserve"> syndrome, GI symptoms, fatigue, irritable bowel syndrome, and age. Epilepsy, cardiovascular disease, chronic liver disease, mouth ulcers, and osteoporosis were estimated to be important </w:t>
      </w:r>
      <w:r w:rsidR="00432830">
        <w:t>indicat</w:t>
      </w:r>
      <w:r w:rsidRPr="00734942">
        <w:t xml:space="preserve">ors for adults but not for children, whereas arthritis, failure to thrive, mood disorders, and delayed puberty were estimated to be predictive of CD in children but not in adults. Fractures, inflammatory bowel disorder, systemic lupus erythematosus, and neuropathy or ataxia were only selected </w:t>
      </w:r>
      <w:r w:rsidR="00432830">
        <w:t>indicat</w:t>
      </w:r>
      <w:r w:rsidRPr="00734942">
        <w:t>ors for women.</w:t>
      </w:r>
      <w:r w:rsidR="008A44BC">
        <w:t xml:space="preserve"> </w:t>
      </w:r>
      <w:r w:rsidR="008A44BC">
        <w:fldChar w:fldCharType="begin"/>
      </w:r>
      <w:r w:rsidR="008A44BC">
        <w:instrText xml:space="preserve"> REF _Ref95137073 \h </w:instrText>
      </w:r>
      <w:r w:rsidR="008A44BC">
        <w:fldChar w:fldCharType="separate"/>
      </w:r>
      <w:r w:rsidR="008B5583" w:rsidRPr="00734942">
        <w:t xml:space="preserve">Appendix </w:t>
      </w:r>
      <w:r w:rsidR="008B5583">
        <w:t>11</w:t>
      </w:r>
      <w:r w:rsidR="008A44BC">
        <w:fldChar w:fldCharType="end"/>
      </w:r>
      <w:r w:rsidR="008A44BC">
        <w:t xml:space="preserve"> </w:t>
      </w:r>
      <w:r w:rsidR="00B81C78">
        <w:fldChar w:fldCharType="begin"/>
      </w:r>
      <w:r w:rsidR="00B81C78">
        <w:instrText xml:space="preserve"> REF _Ref95317207 \h </w:instrText>
      </w:r>
      <w:r w:rsidR="00B81C78">
        <w:fldChar w:fldCharType="separate"/>
      </w:r>
      <w:r w:rsidR="008B5583">
        <w:t xml:space="preserve">Table </w:t>
      </w:r>
      <w:r w:rsidR="008B5583">
        <w:rPr>
          <w:noProof/>
        </w:rPr>
        <w:t>52</w:t>
      </w:r>
      <w:r w:rsidR="00B81C78">
        <w:fldChar w:fldCharType="end"/>
      </w:r>
      <w:r w:rsidR="00B81C78">
        <w:t>-</w:t>
      </w:r>
      <w:r w:rsidR="00B81C78">
        <w:fldChar w:fldCharType="begin"/>
      </w:r>
      <w:r w:rsidR="00B81C78">
        <w:instrText xml:space="preserve"> REF _Ref95317209 \h </w:instrText>
      </w:r>
      <w:r w:rsidR="00B81C78">
        <w:fldChar w:fldCharType="separate"/>
      </w:r>
      <w:r w:rsidR="008B5583">
        <w:t xml:space="preserve">Table </w:t>
      </w:r>
      <w:r w:rsidR="008B5583">
        <w:rPr>
          <w:noProof/>
        </w:rPr>
        <w:t>54</w:t>
      </w:r>
      <w:r w:rsidR="00B81C78">
        <w:fldChar w:fldCharType="end"/>
      </w:r>
      <w:r w:rsidR="00B81C78">
        <w:t xml:space="preserve"> </w:t>
      </w:r>
      <w:r w:rsidR="008A44BC">
        <w:t>r</w:t>
      </w:r>
      <w:r w:rsidRPr="00734942">
        <w:t xml:space="preserve">eports the effect of the applied shrinkage, showing coefficients with and without shrinkage, and report the adjusted and unadjusted ORs for each </w:t>
      </w:r>
      <w:r w:rsidR="00432830">
        <w:t>indicat</w:t>
      </w:r>
      <w:r w:rsidRPr="00734942">
        <w:t>or</w:t>
      </w:r>
      <w:r w:rsidR="003C527C">
        <w:t xml:space="preserve"> for children, women, and men, respectively</w:t>
      </w:r>
      <w:r w:rsidRPr="00734942">
        <w:t>.</w:t>
      </w:r>
    </w:p>
    <w:p w14:paraId="325D10D6" w14:textId="77777777" w:rsidR="000A39DB" w:rsidRDefault="000A39DB" w:rsidP="000A39DB"/>
    <w:p w14:paraId="6148B68E" w14:textId="21EA3E19" w:rsidR="000A39DB" w:rsidRPr="000A39DB" w:rsidRDefault="000A39DB" w:rsidP="000A39DB">
      <w:pPr>
        <w:sectPr w:rsidR="000A39DB" w:rsidRPr="000A39DB" w:rsidSect="005F1ED0">
          <w:pgSz w:w="11906" w:h="16838"/>
          <w:pgMar w:top="1440" w:right="1440" w:bottom="1440" w:left="1440" w:header="708" w:footer="708" w:gutter="0"/>
          <w:cols w:space="708"/>
          <w:docGrid w:linePitch="360"/>
        </w:sectPr>
      </w:pPr>
    </w:p>
    <w:p w14:paraId="163859BF" w14:textId="0291DFBE" w:rsidR="00A65A40" w:rsidRPr="00734942" w:rsidRDefault="00A65A40" w:rsidP="005672CA">
      <w:pPr>
        <w:pStyle w:val="Caption"/>
      </w:pPr>
      <w:bookmarkStart w:id="131" w:name="_Ref85455875"/>
      <w:bookmarkStart w:id="132" w:name="_Toc99720714"/>
      <w:bookmarkEnd w:id="130"/>
      <w:r w:rsidRPr="00734942">
        <w:lastRenderedPageBreak/>
        <w:t xml:space="preserve">Table </w:t>
      </w:r>
      <w:r w:rsidRPr="00734942">
        <w:fldChar w:fldCharType="begin"/>
      </w:r>
      <w:r w:rsidRPr="00734942">
        <w:instrText>SEQ Table \* ARABIC</w:instrText>
      </w:r>
      <w:r w:rsidRPr="00734942">
        <w:fldChar w:fldCharType="separate"/>
      </w:r>
      <w:r w:rsidR="008B5583">
        <w:rPr>
          <w:noProof/>
        </w:rPr>
        <w:t>3</w:t>
      </w:r>
      <w:r w:rsidRPr="00734942">
        <w:fldChar w:fldCharType="end"/>
      </w:r>
      <w:bookmarkEnd w:id="131"/>
      <w:r w:rsidRPr="00734942">
        <w:t xml:space="preserve"> Model specification</w:t>
      </w:r>
      <w:bookmarkEnd w:id="132"/>
    </w:p>
    <w:p w14:paraId="082513EE" w14:textId="3A2A21CB" w:rsidR="00DF5EDB" w:rsidRPr="0036239C" w:rsidRDefault="00A65A40" w:rsidP="00DF5EDB">
      <w:pPr>
        <w:rPr>
          <w:sz w:val="20"/>
          <w:szCs w:val="20"/>
        </w:rPr>
      </w:pPr>
      <w:r w:rsidRPr="0036239C">
        <w:rPr>
          <w:sz w:val="20"/>
          <w:szCs w:val="20"/>
        </w:rPr>
        <w:t xml:space="preserve">Not selected in model: -. </w:t>
      </w:r>
      <w:r w:rsidR="00785031" w:rsidRPr="0036239C">
        <w:rPr>
          <w:sz w:val="20"/>
          <w:szCs w:val="20"/>
          <w:vertAlign w:val="superscript"/>
        </w:rPr>
        <w:t>a</w:t>
      </w:r>
      <w:r w:rsidRPr="0036239C">
        <w:rPr>
          <w:sz w:val="20"/>
          <w:szCs w:val="20"/>
        </w:rPr>
        <w:t>highest to lowest coefficient.</w:t>
      </w:r>
    </w:p>
    <w:tbl>
      <w:tblPr>
        <w:tblW w:w="0" w:type="auto"/>
        <w:tblLook w:val="04A0" w:firstRow="1" w:lastRow="0" w:firstColumn="1" w:lastColumn="0" w:noHBand="0" w:noVBand="1"/>
      </w:tblPr>
      <w:tblGrid>
        <w:gridCol w:w="2125"/>
        <w:gridCol w:w="1196"/>
        <w:gridCol w:w="695"/>
        <w:gridCol w:w="2050"/>
        <w:gridCol w:w="1196"/>
        <w:gridCol w:w="695"/>
        <w:gridCol w:w="2050"/>
        <w:gridCol w:w="1196"/>
        <w:gridCol w:w="695"/>
        <w:gridCol w:w="2050"/>
      </w:tblGrid>
      <w:tr w:rsidR="00C445E9" w:rsidRPr="00DA2B98" w14:paraId="1C140351" w14:textId="77777777" w:rsidTr="00D848CE">
        <w:trPr>
          <w:trHeight w:val="20"/>
          <w:tblHeader/>
        </w:trPr>
        <w:tc>
          <w:tcPr>
            <w:tcW w:w="0" w:type="auto"/>
            <w:tcBorders>
              <w:top w:val="single" w:sz="4" w:space="0" w:color="auto"/>
              <w:left w:val="single" w:sz="4" w:space="0" w:color="auto"/>
              <w:bottom w:val="single" w:sz="4" w:space="0" w:color="auto"/>
              <w:right w:val="single" w:sz="8" w:space="0" w:color="DBDBDB"/>
            </w:tcBorders>
            <w:shd w:val="clear" w:color="auto" w:fill="auto"/>
            <w:noWrap/>
            <w:hideMark/>
          </w:tcPr>
          <w:p w14:paraId="5AD0F712" w14:textId="77777777" w:rsidR="00C445E9" w:rsidRPr="00DA2B98" w:rsidRDefault="00C445E9" w:rsidP="00C445E9">
            <w:pPr>
              <w:spacing w:after="0" w:line="240" w:lineRule="auto"/>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gridSpan w:val="3"/>
            <w:tcBorders>
              <w:top w:val="single" w:sz="4" w:space="0" w:color="auto"/>
              <w:left w:val="nil"/>
              <w:bottom w:val="single" w:sz="4" w:space="0" w:color="auto"/>
              <w:right w:val="single" w:sz="8" w:space="0" w:color="DBDBDB"/>
            </w:tcBorders>
            <w:shd w:val="clear" w:color="auto" w:fill="auto"/>
            <w:noWrap/>
            <w:vAlign w:val="center"/>
            <w:hideMark/>
          </w:tcPr>
          <w:p w14:paraId="1DA36307"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Children</w:t>
            </w:r>
          </w:p>
        </w:tc>
        <w:tc>
          <w:tcPr>
            <w:tcW w:w="0" w:type="auto"/>
            <w:gridSpan w:val="3"/>
            <w:tcBorders>
              <w:top w:val="single" w:sz="4" w:space="0" w:color="auto"/>
              <w:left w:val="nil"/>
              <w:bottom w:val="single" w:sz="4" w:space="0" w:color="auto"/>
              <w:right w:val="single" w:sz="8" w:space="0" w:color="DBDBDB"/>
            </w:tcBorders>
            <w:shd w:val="clear" w:color="auto" w:fill="auto"/>
            <w:noWrap/>
            <w:vAlign w:val="center"/>
            <w:hideMark/>
          </w:tcPr>
          <w:p w14:paraId="201AD631"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Women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097D6B0"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Men</w:t>
            </w:r>
          </w:p>
        </w:tc>
      </w:tr>
      <w:tr w:rsidR="00C445E9" w:rsidRPr="00DA2B98" w14:paraId="40850361" w14:textId="77777777" w:rsidTr="00D848CE">
        <w:trPr>
          <w:trHeight w:val="20"/>
        </w:trPr>
        <w:tc>
          <w:tcPr>
            <w:tcW w:w="0" w:type="auto"/>
            <w:tcBorders>
              <w:top w:val="single" w:sz="4" w:space="0" w:color="auto"/>
              <w:left w:val="single" w:sz="4" w:space="0" w:color="auto"/>
              <w:bottom w:val="single" w:sz="8" w:space="0" w:color="DBDBDB"/>
              <w:right w:val="single" w:sz="8" w:space="0" w:color="DBDBDB"/>
            </w:tcBorders>
            <w:shd w:val="clear" w:color="auto" w:fill="auto"/>
            <w:vAlign w:val="center"/>
            <w:hideMark/>
          </w:tcPr>
          <w:p w14:paraId="46D00B0C" w14:textId="264C65B5"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 xml:space="preserve">Selected </w:t>
            </w:r>
            <w:r w:rsidR="00432830">
              <w:rPr>
                <w:rFonts w:eastAsia="Times New Roman" w:cstheme="minorHAnsi"/>
                <w:b/>
                <w:bCs/>
                <w:color w:val="000000"/>
                <w:sz w:val="20"/>
                <w:szCs w:val="20"/>
                <w:lang w:eastAsia="en-GB"/>
              </w:rPr>
              <w:t>diagnostic indicat</w:t>
            </w:r>
            <w:r w:rsidRPr="00DA2B98">
              <w:rPr>
                <w:rFonts w:eastAsia="Times New Roman" w:cstheme="minorHAnsi"/>
                <w:b/>
                <w:bCs/>
                <w:color w:val="000000"/>
                <w:sz w:val="20"/>
                <w:szCs w:val="20"/>
                <w:lang w:eastAsia="en-GB"/>
              </w:rPr>
              <w:t>ors</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3644B648" w14:textId="04F3E86A"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Coefficients</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0511C9B8" w14:textId="38B9D0A0"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Rank</w:t>
            </w:r>
            <w:r w:rsidR="00785031" w:rsidRPr="00DA2B98">
              <w:rPr>
                <w:rFonts w:eastAsia="Times New Roman" w:cstheme="minorHAnsi"/>
                <w:b/>
                <w:bCs/>
                <w:color w:val="000000"/>
                <w:sz w:val="20"/>
                <w:szCs w:val="20"/>
                <w:vertAlign w:val="superscript"/>
                <w:lang w:eastAsia="en-GB"/>
              </w:rPr>
              <w:t>a</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167437FE"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200x Bootstrap samples median (IQR)</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0394BBD5" w14:textId="484C9695"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 xml:space="preserve">Coefficients </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7BF68276" w14:textId="06DCC103"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Rank</w:t>
            </w:r>
            <w:r w:rsidR="00785031" w:rsidRPr="00DA2B98">
              <w:rPr>
                <w:rFonts w:eastAsia="Times New Roman" w:cstheme="minorHAnsi"/>
                <w:b/>
                <w:bCs/>
                <w:color w:val="000000"/>
                <w:sz w:val="20"/>
                <w:szCs w:val="20"/>
                <w:vertAlign w:val="superscript"/>
                <w:lang w:eastAsia="en-GB"/>
              </w:rPr>
              <w:t>a</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3AF7EFE3"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200x Bootstrap samples median (IQR)</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54BABD97" w14:textId="1620AD63"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 xml:space="preserve">Coefficients </w:t>
            </w:r>
          </w:p>
        </w:tc>
        <w:tc>
          <w:tcPr>
            <w:tcW w:w="0" w:type="auto"/>
            <w:tcBorders>
              <w:top w:val="single" w:sz="4" w:space="0" w:color="auto"/>
              <w:left w:val="nil"/>
              <w:bottom w:val="single" w:sz="8" w:space="0" w:color="DBDBDB"/>
              <w:right w:val="single" w:sz="8" w:space="0" w:color="DBDBDB"/>
            </w:tcBorders>
            <w:shd w:val="clear" w:color="auto" w:fill="auto"/>
            <w:vAlign w:val="center"/>
            <w:hideMark/>
          </w:tcPr>
          <w:p w14:paraId="1B0839CD" w14:textId="5E54698F"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Rank</w:t>
            </w:r>
            <w:r w:rsidR="00785031" w:rsidRPr="00DA2B98">
              <w:rPr>
                <w:rFonts w:eastAsia="Times New Roman" w:cstheme="minorHAnsi"/>
                <w:b/>
                <w:bCs/>
                <w:color w:val="000000"/>
                <w:sz w:val="20"/>
                <w:szCs w:val="20"/>
                <w:vertAlign w:val="superscript"/>
                <w:lang w:eastAsia="en-GB"/>
              </w:rPr>
              <w:t>a</w:t>
            </w:r>
          </w:p>
        </w:tc>
        <w:tc>
          <w:tcPr>
            <w:tcW w:w="0" w:type="auto"/>
            <w:tcBorders>
              <w:top w:val="single" w:sz="4" w:space="0" w:color="auto"/>
              <w:left w:val="nil"/>
              <w:bottom w:val="single" w:sz="8" w:space="0" w:color="DBDBDB"/>
              <w:right w:val="single" w:sz="4" w:space="0" w:color="auto"/>
            </w:tcBorders>
            <w:shd w:val="clear" w:color="auto" w:fill="auto"/>
            <w:vAlign w:val="center"/>
            <w:hideMark/>
          </w:tcPr>
          <w:p w14:paraId="259E2F30" w14:textId="77777777" w:rsidR="00C445E9" w:rsidRPr="00DA2B98" w:rsidRDefault="00C445E9" w:rsidP="00C445E9">
            <w:pPr>
              <w:spacing w:after="0" w:line="240" w:lineRule="auto"/>
              <w:jc w:val="center"/>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200x Bootstrap samples median (IQR)</w:t>
            </w:r>
          </w:p>
        </w:tc>
      </w:tr>
      <w:tr w:rsidR="00C445E9" w:rsidRPr="00DA2B98" w14:paraId="6888C23B"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9DF69E4"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(Intercept)</w:t>
            </w:r>
          </w:p>
        </w:tc>
        <w:tc>
          <w:tcPr>
            <w:tcW w:w="0" w:type="auto"/>
            <w:tcBorders>
              <w:top w:val="nil"/>
              <w:left w:val="nil"/>
              <w:bottom w:val="single" w:sz="8" w:space="0" w:color="DBDBDB"/>
              <w:right w:val="single" w:sz="8" w:space="0" w:color="DBDBDB"/>
            </w:tcBorders>
            <w:shd w:val="clear" w:color="auto" w:fill="auto"/>
            <w:vAlign w:val="center"/>
            <w:hideMark/>
          </w:tcPr>
          <w:p w14:paraId="1AEE3EE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-5.119</w:t>
            </w:r>
          </w:p>
        </w:tc>
        <w:tc>
          <w:tcPr>
            <w:tcW w:w="0" w:type="auto"/>
            <w:tcBorders>
              <w:top w:val="nil"/>
              <w:left w:val="nil"/>
              <w:bottom w:val="single" w:sz="8" w:space="0" w:color="DBDBDB"/>
              <w:right w:val="single" w:sz="8" w:space="0" w:color="DBDBDB"/>
            </w:tcBorders>
            <w:shd w:val="clear" w:color="auto" w:fill="auto"/>
            <w:vAlign w:val="center"/>
            <w:hideMark/>
          </w:tcPr>
          <w:p w14:paraId="40EED23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2502923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-5.127 (-5.146; -5.108)</w:t>
            </w:r>
          </w:p>
        </w:tc>
        <w:tc>
          <w:tcPr>
            <w:tcW w:w="0" w:type="auto"/>
            <w:tcBorders>
              <w:top w:val="nil"/>
              <w:left w:val="nil"/>
              <w:bottom w:val="single" w:sz="8" w:space="0" w:color="DBDBDB"/>
              <w:right w:val="single" w:sz="8" w:space="0" w:color="DBDBDB"/>
            </w:tcBorders>
            <w:shd w:val="clear" w:color="auto" w:fill="auto"/>
            <w:vAlign w:val="center"/>
            <w:hideMark/>
          </w:tcPr>
          <w:p w14:paraId="6EAF4D5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-5.063</w:t>
            </w:r>
          </w:p>
        </w:tc>
        <w:tc>
          <w:tcPr>
            <w:tcW w:w="0" w:type="auto"/>
            <w:tcBorders>
              <w:top w:val="nil"/>
              <w:left w:val="nil"/>
              <w:bottom w:val="single" w:sz="8" w:space="0" w:color="DBDBDB"/>
              <w:right w:val="single" w:sz="8" w:space="0" w:color="DBDBDB"/>
            </w:tcBorders>
            <w:shd w:val="clear" w:color="auto" w:fill="auto"/>
            <w:vAlign w:val="center"/>
            <w:hideMark/>
          </w:tcPr>
          <w:p w14:paraId="563635B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78B812F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-5.062 (-5.080; -5.042)</w:t>
            </w:r>
          </w:p>
        </w:tc>
        <w:tc>
          <w:tcPr>
            <w:tcW w:w="0" w:type="auto"/>
            <w:tcBorders>
              <w:top w:val="nil"/>
              <w:left w:val="nil"/>
              <w:bottom w:val="single" w:sz="8" w:space="0" w:color="DBDBDB"/>
              <w:right w:val="single" w:sz="8" w:space="0" w:color="DBDBDB"/>
            </w:tcBorders>
            <w:shd w:val="clear" w:color="auto" w:fill="auto"/>
            <w:vAlign w:val="center"/>
            <w:hideMark/>
          </w:tcPr>
          <w:p w14:paraId="48BD356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-5.478</w:t>
            </w:r>
          </w:p>
        </w:tc>
        <w:tc>
          <w:tcPr>
            <w:tcW w:w="0" w:type="auto"/>
            <w:tcBorders>
              <w:top w:val="nil"/>
              <w:left w:val="nil"/>
              <w:bottom w:val="single" w:sz="8" w:space="0" w:color="DBDBDB"/>
              <w:right w:val="single" w:sz="8" w:space="0" w:color="DBDBDB"/>
            </w:tcBorders>
            <w:shd w:val="clear" w:color="auto" w:fill="auto"/>
            <w:vAlign w:val="center"/>
            <w:hideMark/>
          </w:tcPr>
          <w:p w14:paraId="1DB65A9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vAlign w:val="center"/>
            <w:hideMark/>
          </w:tcPr>
          <w:p w14:paraId="77BEA9E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-5.488 (-5.526; -5.460)</w:t>
            </w:r>
          </w:p>
        </w:tc>
      </w:tr>
      <w:tr w:rsidR="00C445E9" w:rsidRPr="00DA2B98" w14:paraId="35F199BE"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0D3BB596"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Age</w:t>
            </w:r>
          </w:p>
        </w:tc>
        <w:tc>
          <w:tcPr>
            <w:tcW w:w="0" w:type="auto"/>
            <w:tcBorders>
              <w:top w:val="nil"/>
              <w:left w:val="nil"/>
              <w:bottom w:val="single" w:sz="8" w:space="0" w:color="DBDBDB"/>
              <w:right w:val="single" w:sz="8" w:space="0" w:color="DBDBDB"/>
            </w:tcBorders>
            <w:shd w:val="clear" w:color="auto" w:fill="auto"/>
            <w:vAlign w:val="center"/>
            <w:hideMark/>
          </w:tcPr>
          <w:p w14:paraId="46B1F66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0.011</w:t>
            </w:r>
          </w:p>
        </w:tc>
        <w:tc>
          <w:tcPr>
            <w:tcW w:w="0" w:type="auto"/>
            <w:tcBorders>
              <w:top w:val="nil"/>
              <w:left w:val="nil"/>
              <w:bottom w:val="single" w:sz="8" w:space="0" w:color="DBDBDB"/>
              <w:right w:val="single" w:sz="8" w:space="0" w:color="DBDBDB"/>
            </w:tcBorders>
            <w:shd w:val="clear" w:color="auto" w:fill="auto"/>
            <w:vAlign w:val="center"/>
            <w:hideMark/>
          </w:tcPr>
          <w:p w14:paraId="344604F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19</w:t>
            </w:r>
          </w:p>
        </w:tc>
        <w:tc>
          <w:tcPr>
            <w:tcW w:w="0" w:type="auto"/>
            <w:tcBorders>
              <w:top w:val="nil"/>
              <w:left w:val="nil"/>
              <w:bottom w:val="single" w:sz="8" w:space="0" w:color="DBDBDB"/>
              <w:right w:val="single" w:sz="8" w:space="0" w:color="DBDBDB"/>
            </w:tcBorders>
            <w:shd w:val="clear" w:color="auto" w:fill="auto"/>
            <w:vAlign w:val="center"/>
            <w:hideMark/>
          </w:tcPr>
          <w:p w14:paraId="7D3938C4" w14:textId="7EE61824"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0.011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0.007;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0.014)</w:t>
            </w:r>
          </w:p>
        </w:tc>
        <w:tc>
          <w:tcPr>
            <w:tcW w:w="0" w:type="auto"/>
            <w:tcBorders>
              <w:top w:val="nil"/>
              <w:left w:val="nil"/>
              <w:bottom w:val="single" w:sz="8" w:space="0" w:color="DBDBDB"/>
              <w:right w:val="single" w:sz="8" w:space="0" w:color="DBDBDB"/>
            </w:tcBorders>
            <w:shd w:val="clear" w:color="auto" w:fill="auto"/>
            <w:vAlign w:val="center"/>
            <w:hideMark/>
          </w:tcPr>
          <w:p w14:paraId="1743AA8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-0.006</w:t>
            </w:r>
          </w:p>
        </w:tc>
        <w:tc>
          <w:tcPr>
            <w:tcW w:w="0" w:type="auto"/>
            <w:tcBorders>
              <w:top w:val="nil"/>
              <w:left w:val="nil"/>
              <w:bottom w:val="single" w:sz="8" w:space="0" w:color="DBDBDB"/>
              <w:right w:val="single" w:sz="8" w:space="0" w:color="DBDBDB"/>
            </w:tcBorders>
            <w:shd w:val="clear" w:color="auto" w:fill="auto"/>
            <w:vAlign w:val="center"/>
            <w:hideMark/>
          </w:tcPr>
          <w:p w14:paraId="19F178C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25</w:t>
            </w:r>
          </w:p>
        </w:tc>
        <w:tc>
          <w:tcPr>
            <w:tcW w:w="0" w:type="auto"/>
            <w:tcBorders>
              <w:top w:val="nil"/>
              <w:left w:val="nil"/>
              <w:bottom w:val="single" w:sz="8" w:space="0" w:color="DBDBDB"/>
              <w:right w:val="single" w:sz="8" w:space="0" w:color="DBDBDB"/>
            </w:tcBorders>
            <w:shd w:val="clear" w:color="auto" w:fill="auto"/>
            <w:vAlign w:val="center"/>
            <w:hideMark/>
          </w:tcPr>
          <w:p w14:paraId="5FB3103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-0.006 (-0.006; -0.005)</w:t>
            </w:r>
          </w:p>
        </w:tc>
        <w:tc>
          <w:tcPr>
            <w:tcW w:w="0" w:type="auto"/>
            <w:tcBorders>
              <w:top w:val="nil"/>
              <w:left w:val="nil"/>
              <w:bottom w:val="single" w:sz="8" w:space="0" w:color="DBDBDB"/>
              <w:right w:val="single" w:sz="8" w:space="0" w:color="DBDBDB"/>
            </w:tcBorders>
            <w:shd w:val="clear" w:color="auto" w:fill="auto"/>
            <w:vAlign w:val="center"/>
            <w:hideMark/>
          </w:tcPr>
          <w:p w14:paraId="738197A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0.01</w:t>
            </w:r>
          </w:p>
        </w:tc>
        <w:tc>
          <w:tcPr>
            <w:tcW w:w="0" w:type="auto"/>
            <w:tcBorders>
              <w:top w:val="nil"/>
              <w:left w:val="nil"/>
              <w:bottom w:val="single" w:sz="8" w:space="0" w:color="DBDBDB"/>
              <w:right w:val="single" w:sz="8" w:space="0" w:color="DBDBDB"/>
            </w:tcBorders>
            <w:shd w:val="clear" w:color="auto" w:fill="auto"/>
            <w:vAlign w:val="center"/>
            <w:hideMark/>
          </w:tcPr>
          <w:p w14:paraId="4DA37F5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20</w:t>
            </w:r>
          </w:p>
        </w:tc>
        <w:tc>
          <w:tcPr>
            <w:tcW w:w="0" w:type="auto"/>
            <w:tcBorders>
              <w:top w:val="nil"/>
              <w:left w:val="nil"/>
              <w:bottom w:val="single" w:sz="8" w:space="0" w:color="DBDBDB"/>
              <w:right w:val="single" w:sz="4" w:space="0" w:color="auto"/>
            </w:tcBorders>
            <w:shd w:val="clear" w:color="auto" w:fill="auto"/>
            <w:vAlign w:val="center"/>
            <w:hideMark/>
          </w:tcPr>
          <w:p w14:paraId="145903C0" w14:textId="132B6741"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0.011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0.010;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0.011)</w:t>
            </w:r>
          </w:p>
        </w:tc>
      </w:tr>
      <w:tr w:rsidR="00C445E9" w:rsidRPr="00DA2B98" w14:paraId="652C5262"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A708BB5"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Anaemia</w:t>
            </w:r>
          </w:p>
        </w:tc>
        <w:tc>
          <w:tcPr>
            <w:tcW w:w="0" w:type="auto"/>
            <w:tcBorders>
              <w:top w:val="nil"/>
              <w:left w:val="nil"/>
              <w:bottom w:val="single" w:sz="8" w:space="0" w:color="DBDBDB"/>
              <w:right w:val="single" w:sz="8" w:space="0" w:color="DBDBDB"/>
            </w:tcBorders>
            <w:shd w:val="clear" w:color="auto" w:fill="auto"/>
            <w:vAlign w:val="center"/>
            <w:hideMark/>
          </w:tcPr>
          <w:p w14:paraId="5AAC696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2.645</w:t>
            </w:r>
          </w:p>
        </w:tc>
        <w:tc>
          <w:tcPr>
            <w:tcW w:w="0" w:type="auto"/>
            <w:tcBorders>
              <w:top w:val="nil"/>
              <w:left w:val="nil"/>
              <w:bottom w:val="single" w:sz="8" w:space="0" w:color="DBDBDB"/>
              <w:right w:val="single" w:sz="8" w:space="0" w:color="DBDBDB"/>
            </w:tcBorders>
            <w:shd w:val="clear" w:color="auto" w:fill="auto"/>
            <w:vAlign w:val="center"/>
            <w:hideMark/>
          </w:tcPr>
          <w:p w14:paraId="2353AB2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w:t>
            </w:r>
          </w:p>
        </w:tc>
        <w:tc>
          <w:tcPr>
            <w:tcW w:w="0" w:type="auto"/>
            <w:tcBorders>
              <w:top w:val="nil"/>
              <w:left w:val="nil"/>
              <w:bottom w:val="single" w:sz="8" w:space="0" w:color="DBDBDB"/>
              <w:right w:val="single" w:sz="8" w:space="0" w:color="DBDBDB"/>
            </w:tcBorders>
            <w:shd w:val="clear" w:color="auto" w:fill="auto"/>
            <w:vAlign w:val="center"/>
            <w:hideMark/>
          </w:tcPr>
          <w:p w14:paraId="5BD97C69" w14:textId="3710DC0E"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2.618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2.522;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2.751)</w:t>
            </w:r>
          </w:p>
        </w:tc>
        <w:tc>
          <w:tcPr>
            <w:tcW w:w="0" w:type="auto"/>
            <w:tcBorders>
              <w:top w:val="nil"/>
              <w:left w:val="nil"/>
              <w:bottom w:val="single" w:sz="8" w:space="0" w:color="DBDBDB"/>
              <w:right w:val="single" w:sz="8" w:space="0" w:color="DBDBDB"/>
            </w:tcBorders>
            <w:shd w:val="clear" w:color="auto" w:fill="auto"/>
            <w:vAlign w:val="center"/>
            <w:hideMark/>
          </w:tcPr>
          <w:p w14:paraId="4186BD68"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1.63</w:t>
            </w:r>
          </w:p>
        </w:tc>
        <w:tc>
          <w:tcPr>
            <w:tcW w:w="0" w:type="auto"/>
            <w:tcBorders>
              <w:top w:val="nil"/>
              <w:left w:val="nil"/>
              <w:bottom w:val="single" w:sz="8" w:space="0" w:color="DBDBDB"/>
              <w:right w:val="single" w:sz="8" w:space="0" w:color="DBDBDB"/>
            </w:tcBorders>
            <w:shd w:val="clear" w:color="auto" w:fill="auto"/>
            <w:vAlign w:val="center"/>
            <w:hideMark/>
          </w:tcPr>
          <w:p w14:paraId="691D22E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w:t>
            </w:r>
          </w:p>
        </w:tc>
        <w:tc>
          <w:tcPr>
            <w:tcW w:w="0" w:type="auto"/>
            <w:tcBorders>
              <w:top w:val="nil"/>
              <w:left w:val="nil"/>
              <w:bottom w:val="single" w:sz="8" w:space="0" w:color="DBDBDB"/>
              <w:right w:val="single" w:sz="8" w:space="0" w:color="DBDBDB"/>
            </w:tcBorders>
            <w:shd w:val="clear" w:color="auto" w:fill="auto"/>
            <w:vAlign w:val="center"/>
            <w:hideMark/>
          </w:tcPr>
          <w:p w14:paraId="1DD02BB8" w14:textId="7A137431"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1.635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1.605;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1.661)</w:t>
            </w:r>
          </w:p>
        </w:tc>
        <w:tc>
          <w:tcPr>
            <w:tcW w:w="0" w:type="auto"/>
            <w:tcBorders>
              <w:top w:val="nil"/>
              <w:left w:val="nil"/>
              <w:bottom w:val="single" w:sz="8" w:space="0" w:color="DBDBDB"/>
              <w:right w:val="single" w:sz="8" w:space="0" w:color="DBDBDB"/>
            </w:tcBorders>
            <w:shd w:val="clear" w:color="auto" w:fill="auto"/>
            <w:vAlign w:val="center"/>
            <w:hideMark/>
          </w:tcPr>
          <w:p w14:paraId="5629EFB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2.685</w:t>
            </w:r>
          </w:p>
        </w:tc>
        <w:tc>
          <w:tcPr>
            <w:tcW w:w="0" w:type="auto"/>
            <w:tcBorders>
              <w:top w:val="nil"/>
              <w:left w:val="nil"/>
              <w:bottom w:val="single" w:sz="8" w:space="0" w:color="DBDBDB"/>
              <w:right w:val="single" w:sz="8" w:space="0" w:color="DBDBDB"/>
            </w:tcBorders>
            <w:shd w:val="clear" w:color="auto" w:fill="auto"/>
            <w:vAlign w:val="center"/>
            <w:hideMark/>
          </w:tcPr>
          <w:p w14:paraId="21DEDA7D"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w:t>
            </w:r>
          </w:p>
        </w:tc>
        <w:tc>
          <w:tcPr>
            <w:tcW w:w="0" w:type="auto"/>
            <w:tcBorders>
              <w:top w:val="nil"/>
              <w:left w:val="nil"/>
              <w:bottom w:val="single" w:sz="8" w:space="0" w:color="DBDBDB"/>
              <w:right w:val="single" w:sz="4" w:space="0" w:color="auto"/>
            </w:tcBorders>
            <w:shd w:val="clear" w:color="auto" w:fill="auto"/>
            <w:vAlign w:val="center"/>
            <w:hideMark/>
          </w:tcPr>
          <w:p w14:paraId="7D70A30E" w14:textId="38094882"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2.689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2.632;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2.753)</w:t>
            </w:r>
          </w:p>
        </w:tc>
      </w:tr>
      <w:tr w:rsidR="00FA5F6F" w:rsidRPr="00DA2B98" w14:paraId="31E151F7"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70617501"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Arthritis</w:t>
            </w:r>
          </w:p>
        </w:tc>
        <w:tc>
          <w:tcPr>
            <w:tcW w:w="0" w:type="auto"/>
            <w:tcBorders>
              <w:top w:val="nil"/>
              <w:left w:val="nil"/>
              <w:bottom w:val="single" w:sz="8" w:space="0" w:color="DBDBDB"/>
              <w:right w:val="single" w:sz="8" w:space="0" w:color="DBDBDB"/>
            </w:tcBorders>
            <w:shd w:val="clear" w:color="auto" w:fill="auto"/>
            <w:vAlign w:val="center"/>
            <w:hideMark/>
          </w:tcPr>
          <w:p w14:paraId="65D2ADC8"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1.318</w:t>
            </w:r>
          </w:p>
        </w:tc>
        <w:tc>
          <w:tcPr>
            <w:tcW w:w="0" w:type="auto"/>
            <w:tcBorders>
              <w:top w:val="nil"/>
              <w:left w:val="nil"/>
              <w:bottom w:val="single" w:sz="8" w:space="0" w:color="DBDBDB"/>
              <w:right w:val="single" w:sz="8" w:space="0" w:color="DBDBDB"/>
            </w:tcBorders>
            <w:shd w:val="clear" w:color="auto" w:fill="auto"/>
            <w:vAlign w:val="center"/>
            <w:hideMark/>
          </w:tcPr>
          <w:p w14:paraId="5E61CCC3"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12</w:t>
            </w:r>
          </w:p>
        </w:tc>
        <w:tc>
          <w:tcPr>
            <w:tcW w:w="0" w:type="auto"/>
            <w:tcBorders>
              <w:top w:val="nil"/>
              <w:left w:val="nil"/>
              <w:bottom w:val="single" w:sz="8" w:space="0" w:color="DBDBDB"/>
              <w:right w:val="single" w:sz="8" w:space="0" w:color="DBDBDB"/>
            </w:tcBorders>
            <w:shd w:val="clear" w:color="auto" w:fill="auto"/>
            <w:vAlign w:val="center"/>
            <w:hideMark/>
          </w:tcPr>
          <w:p w14:paraId="68F93F63" w14:textId="52D8329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1.371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0.949;</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1.738)</w:t>
            </w:r>
          </w:p>
        </w:tc>
        <w:tc>
          <w:tcPr>
            <w:tcW w:w="0" w:type="auto"/>
            <w:tcBorders>
              <w:top w:val="nil"/>
              <w:left w:val="nil"/>
              <w:bottom w:val="single" w:sz="8" w:space="0" w:color="DBDBDB"/>
              <w:right w:val="single" w:sz="8" w:space="0" w:color="DBDBDB"/>
            </w:tcBorders>
            <w:shd w:val="clear" w:color="auto" w:fill="auto"/>
            <w:hideMark/>
          </w:tcPr>
          <w:p w14:paraId="3D019E0B" w14:textId="7A1951A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218E71D" w14:textId="0C13EA98"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1066F238" w14:textId="7F12FB4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867080A" w14:textId="7DCD907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3AC533C" w14:textId="759B9B4A"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0501D1FC" w14:textId="643AC74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FA5F6F" w:rsidRPr="00DA2B98" w14:paraId="5CD08CC1"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2C124B05"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Cardiovascular disease</w:t>
            </w:r>
          </w:p>
        </w:tc>
        <w:tc>
          <w:tcPr>
            <w:tcW w:w="0" w:type="auto"/>
            <w:tcBorders>
              <w:top w:val="nil"/>
              <w:left w:val="nil"/>
              <w:bottom w:val="single" w:sz="8" w:space="0" w:color="DBDBDB"/>
              <w:right w:val="single" w:sz="8" w:space="0" w:color="DBDBDB"/>
            </w:tcBorders>
            <w:shd w:val="clear" w:color="auto" w:fill="auto"/>
            <w:hideMark/>
          </w:tcPr>
          <w:p w14:paraId="54D4D3EF" w14:textId="2FFA1D7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3D35EDB" w14:textId="560D7DF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EEAA1AB" w14:textId="4A3226D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6A48FA1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0.196</w:t>
            </w:r>
          </w:p>
        </w:tc>
        <w:tc>
          <w:tcPr>
            <w:tcW w:w="0" w:type="auto"/>
            <w:tcBorders>
              <w:top w:val="nil"/>
              <w:left w:val="nil"/>
              <w:bottom w:val="single" w:sz="8" w:space="0" w:color="DBDBDB"/>
              <w:right w:val="single" w:sz="8" w:space="0" w:color="DBDBDB"/>
            </w:tcBorders>
            <w:shd w:val="clear" w:color="auto" w:fill="auto"/>
            <w:vAlign w:val="center"/>
            <w:hideMark/>
          </w:tcPr>
          <w:p w14:paraId="0CAFC79C"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20</w:t>
            </w:r>
          </w:p>
        </w:tc>
        <w:tc>
          <w:tcPr>
            <w:tcW w:w="0" w:type="auto"/>
            <w:tcBorders>
              <w:top w:val="nil"/>
              <w:left w:val="nil"/>
              <w:bottom w:val="single" w:sz="8" w:space="0" w:color="DBDBDB"/>
              <w:right w:val="single" w:sz="8" w:space="0" w:color="DBDBDB"/>
            </w:tcBorders>
            <w:shd w:val="clear" w:color="auto" w:fill="auto"/>
            <w:vAlign w:val="center"/>
            <w:hideMark/>
          </w:tcPr>
          <w:p w14:paraId="4E89716E" w14:textId="58B2727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0.190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0.139;</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0.222)</w:t>
            </w:r>
          </w:p>
        </w:tc>
        <w:tc>
          <w:tcPr>
            <w:tcW w:w="0" w:type="auto"/>
            <w:tcBorders>
              <w:top w:val="nil"/>
              <w:left w:val="nil"/>
              <w:bottom w:val="single" w:sz="8" w:space="0" w:color="DBDBDB"/>
              <w:right w:val="single" w:sz="8" w:space="0" w:color="DBDBDB"/>
            </w:tcBorders>
            <w:shd w:val="clear" w:color="auto" w:fill="auto"/>
            <w:vAlign w:val="center"/>
            <w:hideMark/>
          </w:tcPr>
          <w:p w14:paraId="09D166ED"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0.253</w:t>
            </w:r>
          </w:p>
        </w:tc>
        <w:tc>
          <w:tcPr>
            <w:tcW w:w="0" w:type="auto"/>
            <w:tcBorders>
              <w:top w:val="nil"/>
              <w:left w:val="nil"/>
              <w:bottom w:val="single" w:sz="8" w:space="0" w:color="DBDBDB"/>
              <w:right w:val="single" w:sz="8" w:space="0" w:color="DBDBDB"/>
            </w:tcBorders>
            <w:shd w:val="clear" w:color="auto" w:fill="auto"/>
            <w:vAlign w:val="center"/>
            <w:hideMark/>
          </w:tcPr>
          <w:p w14:paraId="41663D08"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18</w:t>
            </w:r>
          </w:p>
        </w:tc>
        <w:tc>
          <w:tcPr>
            <w:tcW w:w="0" w:type="auto"/>
            <w:tcBorders>
              <w:top w:val="nil"/>
              <w:left w:val="nil"/>
              <w:bottom w:val="single" w:sz="8" w:space="0" w:color="DBDBDB"/>
              <w:right w:val="single" w:sz="4" w:space="0" w:color="auto"/>
            </w:tcBorders>
            <w:shd w:val="clear" w:color="auto" w:fill="auto"/>
            <w:vAlign w:val="center"/>
            <w:hideMark/>
          </w:tcPr>
          <w:p w14:paraId="0A4038D2" w14:textId="0A5F714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0.243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0.214;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0.282)</w:t>
            </w:r>
          </w:p>
        </w:tc>
      </w:tr>
      <w:tr w:rsidR="00FA5F6F" w:rsidRPr="00DA2B98" w14:paraId="194D48C1"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7B4B85B"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Chronic liver disease</w:t>
            </w:r>
          </w:p>
        </w:tc>
        <w:tc>
          <w:tcPr>
            <w:tcW w:w="0" w:type="auto"/>
            <w:tcBorders>
              <w:top w:val="nil"/>
              <w:left w:val="nil"/>
              <w:bottom w:val="single" w:sz="8" w:space="0" w:color="DBDBDB"/>
              <w:right w:val="single" w:sz="8" w:space="0" w:color="DBDBDB"/>
            </w:tcBorders>
            <w:shd w:val="clear" w:color="auto" w:fill="auto"/>
            <w:hideMark/>
          </w:tcPr>
          <w:p w14:paraId="7B1158A4" w14:textId="240E4BF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638286C2" w14:textId="2E46E5A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178B1FF" w14:textId="3DDA017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2E513E3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0.326</w:t>
            </w:r>
          </w:p>
        </w:tc>
        <w:tc>
          <w:tcPr>
            <w:tcW w:w="0" w:type="auto"/>
            <w:tcBorders>
              <w:top w:val="nil"/>
              <w:left w:val="nil"/>
              <w:bottom w:val="single" w:sz="8" w:space="0" w:color="DBDBDB"/>
              <w:right w:val="single" w:sz="8" w:space="0" w:color="DBDBDB"/>
            </w:tcBorders>
            <w:shd w:val="clear" w:color="auto" w:fill="auto"/>
            <w:vAlign w:val="center"/>
            <w:hideMark/>
          </w:tcPr>
          <w:p w14:paraId="7DCD38E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16</w:t>
            </w:r>
          </w:p>
        </w:tc>
        <w:tc>
          <w:tcPr>
            <w:tcW w:w="0" w:type="auto"/>
            <w:tcBorders>
              <w:top w:val="nil"/>
              <w:left w:val="nil"/>
              <w:bottom w:val="single" w:sz="8" w:space="0" w:color="DBDBDB"/>
              <w:right w:val="single" w:sz="8" w:space="0" w:color="DBDBDB"/>
            </w:tcBorders>
            <w:shd w:val="clear" w:color="auto" w:fill="auto"/>
            <w:vAlign w:val="center"/>
            <w:hideMark/>
          </w:tcPr>
          <w:p w14:paraId="450D8742" w14:textId="3B5B36C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0.324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0.245;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0.383)</w:t>
            </w:r>
          </w:p>
        </w:tc>
        <w:tc>
          <w:tcPr>
            <w:tcW w:w="0" w:type="auto"/>
            <w:tcBorders>
              <w:top w:val="nil"/>
              <w:left w:val="nil"/>
              <w:bottom w:val="single" w:sz="8" w:space="0" w:color="DBDBDB"/>
              <w:right w:val="single" w:sz="8" w:space="0" w:color="DBDBDB"/>
            </w:tcBorders>
            <w:shd w:val="clear" w:color="auto" w:fill="auto"/>
            <w:vAlign w:val="center"/>
            <w:hideMark/>
          </w:tcPr>
          <w:p w14:paraId="330ABA6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0.321</w:t>
            </w:r>
          </w:p>
        </w:tc>
        <w:tc>
          <w:tcPr>
            <w:tcW w:w="0" w:type="auto"/>
            <w:tcBorders>
              <w:top w:val="nil"/>
              <w:left w:val="nil"/>
              <w:bottom w:val="single" w:sz="8" w:space="0" w:color="DBDBDB"/>
              <w:right w:val="single" w:sz="8" w:space="0" w:color="DBDBDB"/>
            </w:tcBorders>
            <w:shd w:val="clear" w:color="auto" w:fill="auto"/>
            <w:vAlign w:val="center"/>
            <w:hideMark/>
          </w:tcPr>
          <w:p w14:paraId="3D9EE46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16</w:t>
            </w:r>
          </w:p>
        </w:tc>
        <w:tc>
          <w:tcPr>
            <w:tcW w:w="0" w:type="auto"/>
            <w:tcBorders>
              <w:top w:val="nil"/>
              <w:left w:val="nil"/>
              <w:bottom w:val="single" w:sz="8" w:space="0" w:color="DBDBDB"/>
              <w:right w:val="single" w:sz="4" w:space="0" w:color="auto"/>
            </w:tcBorders>
            <w:shd w:val="clear" w:color="auto" w:fill="auto"/>
            <w:vAlign w:val="center"/>
            <w:hideMark/>
          </w:tcPr>
          <w:p w14:paraId="13AE1AF8" w14:textId="28E9CEB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0.321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0.236;</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0.396)</w:t>
            </w:r>
          </w:p>
        </w:tc>
      </w:tr>
      <w:tr w:rsidR="00FA5F6F" w:rsidRPr="00DA2B98" w14:paraId="5B5E7BDB"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4ECD17B"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Delayed puberty</w:t>
            </w:r>
          </w:p>
        </w:tc>
        <w:tc>
          <w:tcPr>
            <w:tcW w:w="0" w:type="auto"/>
            <w:tcBorders>
              <w:top w:val="nil"/>
              <w:left w:val="nil"/>
              <w:bottom w:val="single" w:sz="8" w:space="0" w:color="DBDBDB"/>
              <w:right w:val="single" w:sz="8" w:space="0" w:color="DBDBDB"/>
            </w:tcBorders>
            <w:shd w:val="clear" w:color="auto" w:fill="auto"/>
            <w:vAlign w:val="center"/>
            <w:hideMark/>
          </w:tcPr>
          <w:p w14:paraId="4C2D2C75"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1.995</w:t>
            </w:r>
          </w:p>
        </w:tc>
        <w:tc>
          <w:tcPr>
            <w:tcW w:w="0" w:type="auto"/>
            <w:tcBorders>
              <w:top w:val="nil"/>
              <w:left w:val="nil"/>
              <w:bottom w:val="single" w:sz="8" w:space="0" w:color="DBDBDB"/>
              <w:right w:val="single" w:sz="8" w:space="0" w:color="DBDBDB"/>
            </w:tcBorders>
            <w:shd w:val="clear" w:color="auto" w:fill="auto"/>
            <w:vAlign w:val="center"/>
            <w:hideMark/>
          </w:tcPr>
          <w:p w14:paraId="7C0F56FF"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10</w:t>
            </w:r>
          </w:p>
        </w:tc>
        <w:tc>
          <w:tcPr>
            <w:tcW w:w="0" w:type="auto"/>
            <w:tcBorders>
              <w:top w:val="nil"/>
              <w:left w:val="nil"/>
              <w:bottom w:val="single" w:sz="8" w:space="0" w:color="DBDBDB"/>
              <w:right w:val="single" w:sz="8" w:space="0" w:color="DBDBDB"/>
            </w:tcBorders>
            <w:shd w:val="clear" w:color="auto" w:fill="auto"/>
            <w:vAlign w:val="center"/>
            <w:hideMark/>
          </w:tcPr>
          <w:p w14:paraId="73897450" w14:textId="60DE71E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1.997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1.537;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2.577)</w:t>
            </w:r>
          </w:p>
        </w:tc>
        <w:tc>
          <w:tcPr>
            <w:tcW w:w="0" w:type="auto"/>
            <w:tcBorders>
              <w:top w:val="nil"/>
              <w:left w:val="nil"/>
              <w:bottom w:val="single" w:sz="8" w:space="0" w:color="DBDBDB"/>
              <w:right w:val="single" w:sz="8" w:space="0" w:color="DBDBDB"/>
            </w:tcBorders>
            <w:shd w:val="clear" w:color="auto" w:fill="auto"/>
            <w:hideMark/>
          </w:tcPr>
          <w:p w14:paraId="7B400EAE" w14:textId="76D32198"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63801F85" w14:textId="0C98054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45462A53" w14:textId="62B169D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FD29968" w14:textId="16074FA1"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D53E9CC" w14:textId="105C2A4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573D07BB" w14:textId="0A073BA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14A86A33"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52C2621D" w14:textId="13B9AD6C" w:rsidR="00C445E9" w:rsidRPr="00DA2B98" w:rsidRDefault="00A65A5D" w:rsidP="00C445E9">
            <w:pPr>
              <w:spacing w:after="0" w:line="240" w:lineRule="auto"/>
              <w:rPr>
                <w:rFonts w:eastAsia="Times New Roman" w:cstheme="minorHAnsi"/>
                <w:b/>
                <w:bCs/>
                <w:color w:val="000000"/>
                <w:sz w:val="20"/>
                <w:szCs w:val="20"/>
                <w:lang w:eastAsia="en-GB"/>
              </w:rPr>
            </w:pPr>
            <w:r>
              <w:rPr>
                <w:rFonts w:eastAsia="Times New Roman" w:cstheme="minorHAnsi"/>
                <w:b/>
                <w:bCs/>
                <w:color w:val="000000"/>
                <w:sz w:val="20"/>
                <w:szCs w:val="20"/>
                <w:lang w:eastAsia="en-GB"/>
              </w:rPr>
              <w:t>Down</w:t>
            </w:r>
            <w:r w:rsidR="00C87375" w:rsidRPr="00DA2B98">
              <w:rPr>
                <w:rFonts w:eastAsia="Times New Roman" w:cstheme="minorHAnsi"/>
                <w:b/>
                <w:bCs/>
                <w:color w:val="000000"/>
                <w:sz w:val="20"/>
                <w:szCs w:val="20"/>
                <w:lang w:eastAsia="en-GB"/>
              </w:rPr>
              <w:t xml:space="preserve"> syndrome</w:t>
            </w:r>
          </w:p>
        </w:tc>
        <w:tc>
          <w:tcPr>
            <w:tcW w:w="0" w:type="auto"/>
            <w:tcBorders>
              <w:top w:val="nil"/>
              <w:left w:val="nil"/>
              <w:bottom w:val="single" w:sz="8" w:space="0" w:color="DBDBDB"/>
              <w:right w:val="single" w:sz="8" w:space="0" w:color="DBDBDB"/>
            </w:tcBorders>
            <w:shd w:val="clear" w:color="auto" w:fill="auto"/>
            <w:vAlign w:val="center"/>
            <w:hideMark/>
          </w:tcPr>
          <w:p w14:paraId="063ADF69"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2.429</w:t>
            </w:r>
          </w:p>
        </w:tc>
        <w:tc>
          <w:tcPr>
            <w:tcW w:w="0" w:type="auto"/>
            <w:tcBorders>
              <w:top w:val="nil"/>
              <w:left w:val="nil"/>
              <w:bottom w:val="single" w:sz="8" w:space="0" w:color="DBDBDB"/>
              <w:right w:val="single" w:sz="8" w:space="0" w:color="DBDBDB"/>
            </w:tcBorders>
            <w:shd w:val="clear" w:color="auto" w:fill="auto"/>
            <w:vAlign w:val="center"/>
            <w:hideMark/>
          </w:tcPr>
          <w:p w14:paraId="1B996FB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6</w:t>
            </w:r>
          </w:p>
        </w:tc>
        <w:tc>
          <w:tcPr>
            <w:tcW w:w="0" w:type="auto"/>
            <w:tcBorders>
              <w:top w:val="nil"/>
              <w:left w:val="nil"/>
              <w:bottom w:val="single" w:sz="8" w:space="0" w:color="DBDBDB"/>
              <w:right w:val="single" w:sz="8" w:space="0" w:color="DBDBDB"/>
            </w:tcBorders>
            <w:shd w:val="clear" w:color="auto" w:fill="auto"/>
            <w:vAlign w:val="center"/>
            <w:hideMark/>
          </w:tcPr>
          <w:p w14:paraId="685EF47A" w14:textId="501A78C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2.428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2.096;</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2.763)</w:t>
            </w:r>
          </w:p>
        </w:tc>
        <w:tc>
          <w:tcPr>
            <w:tcW w:w="0" w:type="auto"/>
            <w:tcBorders>
              <w:top w:val="nil"/>
              <w:left w:val="nil"/>
              <w:bottom w:val="single" w:sz="8" w:space="0" w:color="DBDBDB"/>
              <w:right w:val="single" w:sz="8" w:space="0" w:color="DBDBDB"/>
            </w:tcBorders>
            <w:shd w:val="clear" w:color="auto" w:fill="auto"/>
            <w:vAlign w:val="center"/>
            <w:hideMark/>
          </w:tcPr>
          <w:p w14:paraId="1DD5CCF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1.163</w:t>
            </w:r>
          </w:p>
        </w:tc>
        <w:tc>
          <w:tcPr>
            <w:tcW w:w="0" w:type="auto"/>
            <w:tcBorders>
              <w:top w:val="nil"/>
              <w:left w:val="nil"/>
              <w:bottom w:val="single" w:sz="8" w:space="0" w:color="DBDBDB"/>
              <w:right w:val="single" w:sz="8" w:space="0" w:color="DBDBDB"/>
            </w:tcBorders>
            <w:shd w:val="clear" w:color="auto" w:fill="auto"/>
            <w:vAlign w:val="center"/>
            <w:hideMark/>
          </w:tcPr>
          <w:p w14:paraId="2E2578CD"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w:t>
            </w:r>
          </w:p>
        </w:tc>
        <w:tc>
          <w:tcPr>
            <w:tcW w:w="0" w:type="auto"/>
            <w:tcBorders>
              <w:top w:val="nil"/>
              <w:left w:val="nil"/>
              <w:bottom w:val="single" w:sz="8" w:space="0" w:color="DBDBDB"/>
              <w:right w:val="single" w:sz="8" w:space="0" w:color="DBDBDB"/>
            </w:tcBorders>
            <w:shd w:val="clear" w:color="auto" w:fill="auto"/>
            <w:vAlign w:val="center"/>
            <w:hideMark/>
          </w:tcPr>
          <w:p w14:paraId="6E980C1D" w14:textId="46DF397F"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1.269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1.161;</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1.358)</w:t>
            </w:r>
          </w:p>
        </w:tc>
        <w:tc>
          <w:tcPr>
            <w:tcW w:w="0" w:type="auto"/>
            <w:tcBorders>
              <w:top w:val="nil"/>
              <w:left w:val="nil"/>
              <w:bottom w:val="single" w:sz="8" w:space="0" w:color="DBDBDB"/>
              <w:right w:val="single" w:sz="8" w:space="0" w:color="DBDBDB"/>
            </w:tcBorders>
            <w:shd w:val="clear" w:color="auto" w:fill="auto"/>
            <w:vAlign w:val="center"/>
            <w:hideMark/>
          </w:tcPr>
          <w:p w14:paraId="5A15A4D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1.293</w:t>
            </w:r>
          </w:p>
        </w:tc>
        <w:tc>
          <w:tcPr>
            <w:tcW w:w="0" w:type="auto"/>
            <w:tcBorders>
              <w:top w:val="nil"/>
              <w:left w:val="nil"/>
              <w:bottom w:val="single" w:sz="8" w:space="0" w:color="DBDBDB"/>
              <w:right w:val="single" w:sz="8" w:space="0" w:color="DBDBDB"/>
            </w:tcBorders>
            <w:shd w:val="clear" w:color="auto" w:fill="auto"/>
            <w:vAlign w:val="center"/>
            <w:hideMark/>
          </w:tcPr>
          <w:p w14:paraId="0B6223D4"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7</w:t>
            </w:r>
          </w:p>
        </w:tc>
        <w:tc>
          <w:tcPr>
            <w:tcW w:w="0" w:type="auto"/>
            <w:tcBorders>
              <w:top w:val="nil"/>
              <w:left w:val="nil"/>
              <w:bottom w:val="single" w:sz="8" w:space="0" w:color="DBDBDB"/>
              <w:right w:val="single" w:sz="4" w:space="0" w:color="auto"/>
            </w:tcBorders>
            <w:shd w:val="clear" w:color="auto" w:fill="auto"/>
            <w:vAlign w:val="center"/>
            <w:hideMark/>
          </w:tcPr>
          <w:p w14:paraId="4F052D51" w14:textId="2BD6175D"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1.344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0.856;</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1.813)</w:t>
            </w:r>
          </w:p>
        </w:tc>
      </w:tr>
      <w:tr w:rsidR="00FA5F6F" w:rsidRPr="00DA2B98" w14:paraId="5DF4C080"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1BFEDDFA"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Epilepsy</w:t>
            </w:r>
          </w:p>
        </w:tc>
        <w:tc>
          <w:tcPr>
            <w:tcW w:w="0" w:type="auto"/>
            <w:tcBorders>
              <w:top w:val="nil"/>
              <w:left w:val="nil"/>
              <w:bottom w:val="single" w:sz="8" w:space="0" w:color="DBDBDB"/>
              <w:right w:val="single" w:sz="8" w:space="0" w:color="DBDBDB"/>
            </w:tcBorders>
            <w:shd w:val="clear" w:color="auto" w:fill="auto"/>
            <w:hideMark/>
          </w:tcPr>
          <w:p w14:paraId="1B96832F" w14:textId="402C08D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83360DC" w14:textId="07F805E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6617E05D" w14:textId="4875345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3D074725"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0.258</w:t>
            </w:r>
          </w:p>
        </w:tc>
        <w:tc>
          <w:tcPr>
            <w:tcW w:w="0" w:type="auto"/>
            <w:tcBorders>
              <w:top w:val="nil"/>
              <w:left w:val="nil"/>
              <w:bottom w:val="single" w:sz="8" w:space="0" w:color="DBDBDB"/>
              <w:right w:val="single" w:sz="8" w:space="0" w:color="DBDBDB"/>
            </w:tcBorders>
            <w:shd w:val="clear" w:color="auto" w:fill="auto"/>
            <w:vAlign w:val="center"/>
            <w:hideMark/>
          </w:tcPr>
          <w:p w14:paraId="5B413DD7"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17</w:t>
            </w:r>
          </w:p>
        </w:tc>
        <w:tc>
          <w:tcPr>
            <w:tcW w:w="0" w:type="auto"/>
            <w:tcBorders>
              <w:top w:val="nil"/>
              <w:left w:val="nil"/>
              <w:bottom w:val="single" w:sz="8" w:space="0" w:color="DBDBDB"/>
              <w:right w:val="single" w:sz="8" w:space="0" w:color="DBDBDB"/>
            </w:tcBorders>
            <w:shd w:val="clear" w:color="auto" w:fill="auto"/>
            <w:vAlign w:val="center"/>
            <w:hideMark/>
          </w:tcPr>
          <w:p w14:paraId="70EE546B" w14:textId="0D76061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0.252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0.232;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0.268)</w:t>
            </w:r>
          </w:p>
        </w:tc>
        <w:tc>
          <w:tcPr>
            <w:tcW w:w="0" w:type="auto"/>
            <w:tcBorders>
              <w:top w:val="nil"/>
              <w:left w:val="nil"/>
              <w:bottom w:val="single" w:sz="8" w:space="0" w:color="DBDBDB"/>
              <w:right w:val="single" w:sz="8" w:space="0" w:color="DBDBDB"/>
            </w:tcBorders>
            <w:shd w:val="clear" w:color="auto" w:fill="auto"/>
            <w:vAlign w:val="center"/>
            <w:hideMark/>
          </w:tcPr>
          <w:p w14:paraId="02297B9F"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0.259</w:t>
            </w:r>
          </w:p>
        </w:tc>
        <w:tc>
          <w:tcPr>
            <w:tcW w:w="0" w:type="auto"/>
            <w:tcBorders>
              <w:top w:val="nil"/>
              <w:left w:val="nil"/>
              <w:bottom w:val="single" w:sz="8" w:space="0" w:color="DBDBDB"/>
              <w:right w:val="single" w:sz="8" w:space="0" w:color="DBDBDB"/>
            </w:tcBorders>
            <w:shd w:val="clear" w:color="auto" w:fill="auto"/>
            <w:vAlign w:val="center"/>
            <w:hideMark/>
          </w:tcPr>
          <w:p w14:paraId="0C7821DC"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17</w:t>
            </w:r>
          </w:p>
        </w:tc>
        <w:tc>
          <w:tcPr>
            <w:tcW w:w="0" w:type="auto"/>
            <w:tcBorders>
              <w:top w:val="nil"/>
              <w:left w:val="nil"/>
              <w:bottom w:val="single" w:sz="8" w:space="0" w:color="DBDBDB"/>
              <w:right w:val="single" w:sz="4" w:space="0" w:color="auto"/>
            </w:tcBorders>
            <w:shd w:val="clear" w:color="auto" w:fill="auto"/>
            <w:vAlign w:val="center"/>
            <w:hideMark/>
          </w:tcPr>
          <w:p w14:paraId="77B7B702" w14:textId="76E536B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0.290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0.147;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0.384)</w:t>
            </w:r>
          </w:p>
        </w:tc>
      </w:tr>
      <w:tr w:rsidR="00FA5F6F" w:rsidRPr="00DA2B98" w14:paraId="6A3C7BE3"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1189D814"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Failure to thrive</w:t>
            </w:r>
          </w:p>
        </w:tc>
        <w:tc>
          <w:tcPr>
            <w:tcW w:w="0" w:type="auto"/>
            <w:tcBorders>
              <w:top w:val="nil"/>
              <w:left w:val="nil"/>
              <w:bottom w:val="single" w:sz="8" w:space="0" w:color="DBDBDB"/>
              <w:right w:val="single" w:sz="8" w:space="0" w:color="DBDBDB"/>
            </w:tcBorders>
            <w:shd w:val="clear" w:color="auto" w:fill="auto"/>
            <w:vAlign w:val="center"/>
            <w:hideMark/>
          </w:tcPr>
          <w:p w14:paraId="7033281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1.382</w:t>
            </w:r>
          </w:p>
        </w:tc>
        <w:tc>
          <w:tcPr>
            <w:tcW w:w="0" w:type="auto"/>
            <w:tcBorders>
              <w:top w:val="nil"/>
              <w:left w:val="nil"/>
              <w:bottom w:val="single" w:sz="8" w:space="0" w:color="DBDBDB"/>
              <w:right w:val="single" w:sz="8" w:space="0" w:color="DBDBDB"/>
            </w:tcBorders>
            <w:shd w:val="clear" w:color="auto" w:fill="auto"/>
            <w:vAlign w:val="center"/>
            <w:hideMark/>
          </w:tcPr>
          <w:p w14:paraId="7596F138"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w:t>
            </w:r>
          </w:p>
        </w:tc>
        <w:tc>
          <w:tcPr>
            <w:tcW w:w="0" w:type="auto"/>
            <w:tcBorders>
              <w:top w:val="nil"/>
              <w:left w:val="nil"/>
              <w:bottom w:val="single" w:sz="8" w:space="0" w:color="DBDBDB"/>
              <w:right w:val="single" w:sz="8" w:space="0" w:color="DBDBDB"/>
            </w:tcBorders>
            <w:shd w:val="clear" w:color="auto" w:fill="auto"/>
            <w:vAlign w:val="center"/>
            <w:hideMark/>
          </w:tcPr>
          <w:p w14:paraId="3AB0E7F5" w14:textId="435500E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1.398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1.215;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1.540)</w:t>
            </w:r>
          </w:p>
        </w:tc>
        <w:tc>
          <w:tcPr>
            <w:tcW w:w="0" w:type="auto"/>
            <w:tcBorders>
              <w:top w:val="nil"/>
              <w:left w:val="nil"/>
              <w:bottom w:val="single" w:sz="8" w:space="0" w:color="DBDBDB"/>
              <w:right w:val="single" w:sz="8" w:space="0" w:color="DBDBDB"/>
            </w:tcBorders>
            <w:shd w:val="clear" w:color="auto" w:fill="auto"/>
            <w:hideMark/>
          </w:tcPr>
          <w:p w14:paraId="2FBF6A29" w14:textId="6D410EA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D587DA9" w14:textId="5D60B35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6D9A346" w14:textId="2FAC9D1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65976F8" w14:textId="5D142CB2"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135C6F6" w14:textId="26DCFC11"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771E8E0D" w14:textId="6496E94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3B39F868"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2D699459"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Fatigue</w:t>
            </w:r>
          </w:p>
        </w:tc>
        <w:tc>
          <w:tcPr>
            <w:tcW w:w="0" w:type="auto"/>
            <w:tcBorders>
              <w:top w:val="nil"/>
              <w:left w:val="nil"/>
              <w:bottom w:val="single" w:sz="8" w:space="0" w:color="DBDBDB"/>
              <w:right w:val="single" w:sz="8" w:space="0" w:color="DBDBDB"/>
            </w:tcBorders>
            <w:shd w:val="clear" w:color="auto" w:fill="auto"/>
            <w:vAlign w:val="center"/>
            <w:hideMark/>
          </w:tcPr>
          <w:p w14:paraId="466CEED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0.613</w:t>
            </w:r>
          </w:p>
        </w:tc>
        <w:tc>
          <w:tcPr>
            <w:tcW w:w="0" w:type="auto"/>
            <w:tcBorders>
              <w:top w:val="nil"/>
              <w:left w:val="nil"/>
              <w:bottom w:val="single" w:sz="8" w:space="0" w:color="DBDBDB"/>
              <w:right w:val="single" w:sz="8" w:space="0" w:color="DBDBDB"/>
            </w:tcBorders>
            <w:shd w:val="clear" w:color="auto" w:fill="auto"/>
            <w:vAlign w:val="center"/>
            <w:hideMark/>
          </w:tcPr>
          <w:p w14:paraId="5C13F6D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16</w:t>
            </w:r>
          </w:p>
        </w:tc>
        <w:tc>
          <w:tcPr>
            <w:tcW w:w="0" w:type="auto"/>
            <w:tcBorders>
              <w:top w:val="nil"/>
              <w:left w:val="nil"/>
              <w:bottom w:val="single" w:sz="8" w:space="0" w:color="DBDBDB"/>
              <w:right w:val="single" w:sz="8" w:space="0" w:color="DBDBDB"/>
            </w:tcBorders>
            <w:shd w:val="clear" w:color="auto" w:fill="auto"/>
            <w:vAlign w:val="center"/>
            <w:hideMark/>
          </w:tcPr>
          <w:p w14:paraId="04F16130" w14:textId="1F8E072F"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0.605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0.500;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0.698)</w:t>
            </w:r>
          </w:p>
        </w:tc>
        <w:tc>
          <w:tcPr>
            <w:tcW w:w="0" w:type="auto"/>
            <w:tcBorders>
              <w:top w:val="nil"/>
              <w:left w:val="nil"/>
              <w:bottom w:val="single" w:sz="8" w:space="0" w:color="DBDBDB"/>
              <w:right w:val="single" w:sz="8" w:space="0" w:color="DBDBDB"/>
            </w:tcBorders>
            <w:shd w:val="clear" w:color="auto" w:fill="auto"/>
            <w:vAlign w:val="center"/>
            <w:hideMark/>
          </w:tcPr>
          <w:p w14:paraId="3B2A221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0.153</w:t>
            </w:r>
          </w:p>
        </w:tc>
        <w:tc>
          <w:tcPr>
            <w:tcW w:w="0" w:type="auto"/>
            <w:tcBorders>
              <w:top w:val="nil"/>
              <w:left w:val="nil"/>
              <w:bottom w:val="single" w:sz="8" w:space="0" w:color="DBDBDB"/>
              <w:right w:val="single" w:sz="8" w:space="0" w:color="DBDBDB"/>
            </w:tcBorders>
            <w:shd w:val="clear" w:color="auto" w:fill="auto"/>
            <w:vAlign w:val="center"/>
            <w:hideMark/>
          </w:tcPr>
          <w:p w14:paraId="5A699F6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22</w:t>
            </w:r>
          </w:p>
        </w:tc>
        <w:tc>
          <w:tcPr>
            <w:tcW w:w="0" w:type="auto"/>
            <w:tcBorders>
              <w:top w:val="nil"/>
              <w:left w:val="nil"/>
              <w:bottom w:val="single" w:sz="8" w:space="0" w:color="DBDBDB"/>
              <w:right w:val="single" w:sz="8" w:space="0" w:color="DBDBDB"/>
            </w:tcBorders>
            <w:shd w:val="clear" w:color="auto" w:fill="auto"/>
            <w:vAlign w:val="center"/>
            <w:hideMark/>
          </w:tcPr>
          <w:p w14:paraId="2115C362" w14:textId="3EEAA173"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0.151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0.127;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0.178)</w:t>
            </w:r>
          </w:p>
        </w:tc>
        <w:tc>
          <w:tcPr>
            <w:tcW w:w="0" w:type="auto"/>
            <w:tcBorders>
              <w:top w:val="nil"/>
              <w:left w:val="nil"/>
              <w:bottom w:val="single" w:sz="8" w:space="0" w:color="DBDBDB"/>
              <w:right w:val="single" w:sz="8" w:space="0" w:color="DBDBDB"/>
            </w:tcBorders>
            <w:shd w:val="clear" w:color="auto" w:fill="auto"/>
            <w:vAlign w:val="center"/>
            <w:hideMark/>
          </w:tcPr>
          <w:p w14:paraId="5AF5559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0.185</w:t>
            </w:r>
          </w:p>
        </w:tc>
        <w:tc>
          <w:tcPr>
            <w:tcW w:w="0" w:type="auto"/>
            <w:tcBorders>
              <w:top w:val="nil"/>
              <w:left w:val="nil"/>
              <w:bottom w:val="single" w:sz="8" w:space="0" w:color="DBDBDB"/>
              <w:right w:val="single" w:sz="8" w:space="0" w:color="DBDBDB"/>
            </w:tcBorders>
            <w:shd w:val="clear" w:color="auto" w:fill="auto"/>
            <w:vAlign w:val="center"/>
            <w:hideMark/>
          </w:tcPr>
          <w:p w14:paraId="10E0D37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19</w:t>
            </w:r>
          </w:p>
        </w:tc>
        <w:tc>
          <w:tcPr>
            <w:tcW w:w="0" w:type="auto"/>
            <w:tcBorders>
              <w:top w:val="nil"/>
              <w:left w:val="nil"/>
              <w:bottom w:val="single" w:sz="8" w:space="0" w:color="DBDBDB"/>
              <w:right w:val="single" w:sz="4" w:space="0" w:color="auto"/>
            </w:tcBorders>
            <w:shd w:val="clear" w:color="auto" w:fill="auto"/>
            <w:vAlign w:val="center"/>
            <w:hideMark/>
          </w:tcPr>
          <w:p w14:paraId="1C1DB874" w14:textId="28E9B8B8"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0.186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0.136;</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0.233)</w:t>
            </w:r>
          </w:p>
        </w:tc>
      </w:tr>
      <w:tr w:rsidR="00C445E9" w:rsidRPr="00DA2B98" w14:paraId="348A7A60"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39FB8573"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Fatigue (count 1 year)</w:t>
            </w:r>
          </w:p>
        </w:tc>
        <w:tc>
          <w:tcPr>
            <w:tcW w:w="0" w:type="auto"/>
            <w:tcBorders>
              <w:top w:val="nil"/>
              <w:left w:val="nil"/>
              <w:bottom w:val="single" w:sz="8" w:space="0" w:color="DBDBDB"/>
              <w:right w:val="single" w:sz="8" w:space="0" w:color="DBDBDB"/>
            </w:tcBorders>
            <w:shd w:val="clear" w:color="auto" w:fill="auto"/>
            <w:vAlign w:val="center"/>
            <w:hideMark/>
          </w:tcPr>
          <w:p w14:paraId="013B543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1.111</w:t>
            </w:r>
          </w:p>
        </w:tc>
        <w:tc>
          <w:tcPr>
            <w:tcW w:w="0" w:type="auto"/>
            <w:tcBorders>
              <w:top w:val="nil"/>
              <w:left w:val="nil"/>
              <w:bottom w:val="single" w:sz="8" w:space="0" w:color="DBDBDB"/>
              <w:right w:val="single" w:sz="8" w:space="0" w:color="DBDBDB"/>
            </w:tcBorders>
            <w:shd w:val="clear" w:color="auto" w:fill="auto"/>
            <w:vAlign w:val="center"/>
            <w:hideMark/>
          </w:tcPr>
          <w:p w14:paraId="5C196CE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14</w:t>
            </w:r>
          </w:p>
        </w:tc>
        <w:tc>
          <w:tcPr>
            <w:tcW w:w="0" w:type="auto"/>
            <w:tcBorders>
              <w:top w:val="nil"/>
              <w:left w:val="nil"/>
              <w:bottom w:val="single" w:sz="8" w:space="0" w:color="DBDBDB"/>
              <w:right w:val="single" w:sz="8" w:space="0" w:color="DBDBDB"/>
            </w:tcBorders>
            <w:shd w:val="clear" w:color="auto" w:fill="auto"/>
            <w:vAlign w:val="center"/>
            <w:hideMark/>
          </w:tcPr>
          <w:p w14:paraId="567303D3" w14:textId="6D23A026"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1.090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0.967;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1.233)</w:t>
            </w:r>
          </w:p>
        </w:tc>
        <w:tc>
          <w:tcPr>
            <w:tcW w:w="0" w:type="auto"/>
            <w:tcBorders>
              <w:top w:val="nil"/>
              <w:left w:val="nil"/>
              <w:bottom w:val="single" w:sz="8" w:space="0" w:color="DBDBDB"/>
              <w:right w:val="single" w:sz="8" w:space="0" w:color="DBDBDB"/>
            </w:tcBorders>
            <w:shd w:val="clear" w:color="auto" w:fill="auto"/>
            <w:vAlign w:val="center"/>
            <w:hideMark/>
          </w:tcPr>
          <w:p w14:paraId="1566A64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0.545</w:t>
            </w:r>
          </w:p>
        </w:tc>
        <w:tc>
          <w:tcPr>
            <w:tcW w:w="0" w:type="auto"/>
            <w:tcBorders>
              <w:top w:val="nil"/>
              <w:left w:val="nil"/>
              <w:bottom w:val="single" w:sz="8" w:space="0" w:color="DBDBDB"/>
              <w:right w:val="single" w:sz="8" w:space="0" w:color="DBDBDB"/>
            </w:tcBorders>
            <w:shd w:val="clear" w:color="auto" w:fill="auto"/>
            <w:vAlign w:val="center"/>
            <w:hideMark/>
          </w:tcPr>
          <w:p w14:paraId="1E057F2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14</w:t>
            </w:r>
          </w:p>
        </w:tc>
        <w:tc>
          <w:tcPr>
            <w:tcW w:w="0" w:type="auto"/>
            <w:tcBorders>
              <w:top w:val="nil"/>
              <w:left w:val="nil"/>
              <w:bottom w:val="single" w:sz="8" w:space="0" w:color="DBDBDB"/>
              <w:right w:val="single" w:sz="8" w:space="0" w:color="DBDBDB"/>
            </w:tcBorders>
            <w:shd w:val="clear" w:color="auto" w:fill="auto"/>
            <w:vAlign w:val="center"/>
            <w:hideMark/>
          </w:tcPr>
          <w:p w14:paraId="53EAFB90" w14:textId="13DE19C0"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0.544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0.518;</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0.571)</w:t>
            </w:r>
          </w:p>
        </w:tc>
        <w:tc>
          <w:tcPr>
            <w:tcW w:w="0" w:type="auto"/>
            <w:tcBorders>
              <w:top w:val="nil"/>
              <w:left w:val="nil"/>
              <w:bottom w:val="single" w:sz="8" w:space="0" w:color="DBDBDB"/>
              <w:right w:val="single" w:sz="8" w:space="0" w:color="DBDBDB"/>
            </w:tcBorders>
            <w:shd w:val="clear" w:color="auto" w:fill="auto"/>
            <w:vAlign w:val="center"/>
            <w:hideMark/>
          </w:tcPr>
          <w:p w14:paraId="78C1B6B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0.663</w:t>
            </w:r>
          </w:p>
        </w:tc>
        <w:tc>
          <w:tcPr>
            <w:tcW w:w="0" w:type="auto"/>
            <w:tcBorders>
              <w:top w:val="nil"/>
              <w:left w:val="nil"/>
              <w:bottom w:val="single" w:sz="8" w:space="0" w:color="DBDBDB"/>
              <w:right w:val="single" w:sz="8" w:space="0" w:color="DBDBDB"/>
            </w:tcBorders>
            <w:shd w:val="clear" w:color="auto" w:fill="auto"/>
            <w:vAlign w:val="center"/>
            <w:hideMark/>
          </w:tcPr>
          <w:p w14:paraId="3A8AE6BE"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12</w:t>
            </w:r>
          </w:p>
        </w:tc>
        <w:tc>
          <w:tcPr>
            <w:tcW w:w="0" w:type="auto"/>
            <w:tcBorders>
              <w:top w:val="nil"/>
              <w:left w:val="nil"/>
              <w:bottom w:val="single" w:sz="8" w:space="0" w:color="DBDBDB"/>
              <w:right w:val="single" w:sz="4" w:space="0" w:color="auto"/>
            </w:tcBorders>
            <w:shd w:val="clear" w:color="auto" w:fill="auto"/>
            <w:vAlign w:val="center"/>
            <w:hideMark/>
          </w:tcPr>
          <w:p w14:paraId="7DC2C848" w14:textId="5D9F0E73"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0.652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0.592;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0.714)</w:t>
            </w:r>
          </w:p>
        </w:tc>
      </w:tr>
      <w:tr w:rsidR="00C445E9" w:rsidRPr="00DA2B98" w14:paraId="1BB14D07"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3F859768"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First degree relatives</w:t>
            </w:r>
          </w:p>
        </w:tc>
        <w:tc>
          <w:tcPr>
            <w:tcW w:w="0" w:type="auto"/>
            <w:tcBorders>
              <w:top w:val="nil"/>
              <w:left w:val="nil"/>
              <w:bottom w:val="single" w:sz="8" w:space="0" w:color="DBDBDB"/>
              <w:right w:val="single" w:sz="8" w:space="0" w:color="DBDBDB"/>
            </w:tcBorders>
            <w:shd w:val="clear" w:color="auto" w:fill="auto"/>
            <w:vAlign w:val="center"/>
            <w:hideMark/>
          </w:tcPr>
          <w:p w14:paraId="030E4528"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3.1</w:t>
            </w:r>
          </w:p>
        </w:tc>
        <w:tc>
          <w:tcPr>
            <w:tcW w:w="0" w:type="auto"/>
            <w:tcBorders>
              <w:top w:val="nil"/>
              <w:left w:val="nil"/>
              <w:bottom w:val="single" w:sz="8" w:space="0" w:color="DBDBDB"/>
              <w:right w:val="single" w:sz="8" w:space="0" w:color="DBDBDB"/>
            </w:tcBorders>
            <w:shd w:val="clear" w:color="auto" w:fill="auto"/>
            <w:vAlign w:val="center"/>
            <w:hideMark/>
          </w:tcPr>
          <w:p w14:paraId="557FB0E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4</w:t>
            </w:r>
          </w:p>
        </w:tc>
        <w:tc>
          <w:tcPr>
            <w:tcW w:w="0" w:type="auto"/>
            <w:tcBorders>
              <w:top w:val="nil"/>
              <w:left w:val="nil"/>
              <w:bottom w:val="single" w:sz="8" w:space="0" w:color="DBDBDB"/>
              <w:right w:val="single" w:sz="8" w:space="0" w:color="DBDBDB"/>
            </w:tcBorders>
            <w:shd w:val="clear" w:color="auto" w:fill="auto"/>
            <w:vAlign w:val="center"/>
            <w:hideMark/>
          </w:tcPr>
          <w:p w14:paraId="1EB154B3" w14:textId="525BC509"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3.109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3.037;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3.172)</w:t>
            </w:r>
          </w:p>
        </w:tc>
        <w:tc>
          <w:tcPr>
            <w:tcW w:w="0" w:type="auto"/>
            <w:tcBorders>
              <w:top w:val="nil"/>
              <w:left w:val="nil"/>
              <w:bottom w:val="single" w:sz="8" w:space="0" w:color="DBDBDB"/>
              <w:right w:val="single" w:sz="8" w:space="0" w:color="DBDBDB"/>
            </w:tcBorders>
            <w:shd w:val="clear" w:color="auto" w:fill="auto"/>
            <w:vAlign w:val="center"/>
            <w:hideMark/>
          </w:tcPr>
          <w:p w14:paraId="140B20E9"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2.459</w:t>
            </w:r>
          </w:p>
        </w:tc>
        <w:tc>
          <w:tcPr>
            <w:tcW w:w="0" w:type="auto"/>
            <w:tcBorders>
              <w:top w:val="nil"/>
              <w:left w:val="nil"/>
              <w:bottom w:val="single" w:sz="8" w:space="0" w:color="DBDBDB"/>
              <w:right w:val="single" w:sz="8" w:space="0" w:color="DBDBDB"/>
            </w:tcBorders>
            <w:shd w:val="clear" w:color="auto" w:fill="auto"/>
            <w:vAlign w:val="center"/>
            <w:hideMark/>
          </w:tcPr>
          <w:p w14:paraId="09FA41D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w:t>
            </w:r>
          </w:p>
        </w:tc>
        <w:tc>
          <w:tcPr>
            <w:tcW w:w="0" w:type="auto"/>
            <w:tcBorders>
              <w:top w:val="nil"/>
              <w:left w:val="nil"/>
              <w:bottom w:val="single" w:sz="8" w:space="0" w:color="DBDBDB"/>
              <w:right w:val="single" w:sz="8" w:space="0" w:color="DBDBDB"/>
            </w:tcBorders>
            <w:shd w:val="clear" w:color="auto" w:fill="auto"/>
            <w:vAlign w:val="center"/>
            <w:hideMark/>
          </w:tcPr>
          <w:p w14:paraId="60BDB677" w14:textId="73D3AF1A"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2.449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2.378;</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2.517)</w:t>
            </w:r>
          </w:p>
        </w:tc>
        <w:tc>
          <w:tcPr>
            <w:tcW w:w="0" w:type="auto"/>
            <w:tcBorders>
              <w:top w:val="nil"/>
              <w:left w:val="nil"/>
              <w:bottom w:val="single" w:sz="8" w:space="0" w:color="DBDBDB"/>
              <w:right w:val="single" w:sz="8" w:space="0" w:color="DBDBDB"/>
            </w:tcBorders>
            <w:shd w:val="clear" w:color="auto" w:fill="auto"/>
            <w:vAlign w:val="center"/>
            <w:hideMark/>
          </w:tcPr>
          <w:p w14:paraId="690DE4B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2.347</w:t>
            </w:r>
          </w:p>
        </w:tc>
        <w:tc>
          <w:tcPr>
            <w:tcW w:w="0" w:type="auto"/>
            <w:tcBorders>
              <w:top w:val="nil"/>
              <w:left w:val="nil"/>
              <w:bottom w:val="single" w:sz="8" w:space="0" w:color="DBDBDB"/>
              <w:right w:val="single" w:sz="8" w:space="0" w:color="DBDBDB"/>
            </w:tcBorders>
            <w:shd w:val="clear" w:color="auto" w:fill="auto"/>
            <w:vAlign w:val="center"/>
            <w:hideMark/>
          </w:tcPr>
          <w:p w14:paraId="550D5458"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w:t>
            </w:r>
          </w:p>
        </w:tc>
        <w:tc>
          <w:tcPr>
            <w:tcW w:w="0" w:type="auto"/>
            <w:tcBorders>
              <w:top w:val="nil"/>
              <w:left w:val="nil"/>
              <w:bottom w:val="single" w:sz="8" w:space="0" w:color="DBDBDB"/>
              <w:right w:val="single" w:sz="4" w:space="0" w:color="auto"/>
            </w:tcBorders>
            <w:shd w:val="clear" w:color="auto" w:fill="auto"/>
            <w:vAlign w:val="center"/>
            <w:hideMark/>
          </w:tcPr>
          <w:p w14:paraId="7B698F74" w14:textId="3D8BA005"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2.362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2.282;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2.461)</w:t>
            </w:r>
          </w:p>
        </w:tc>
      </w:tr>
      <w:tr w:rsidR="00FA5F6F" w:rsidRPr="00DA2B98" w14:paraId="5E1D7AC1"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7BE4D0FE"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Fractures (count 1 year)</w:t>
            </w:r>
          </w:p>
        </w:tc>
        <w:tc>
          <w:tcPr>
            <w:tcW w:w="0" w:type="auto"/>
            <w:tcBorders>
              <w:top w:val="nil"/>
              <w:left w:val="nil"/>
              <w:bottom w:val="single" w:sz="8" w:space="0" w:color="DBDBDB"/>
              <w:right w:val="single" w:sz="8" w:space="0" w:color="DBDBDB"/>
            </w:tcBorders>
            <w:shd w:val="clear" w:color="auto" w:fill="auto"/>
            <w:hideMark/>
          </w:tcPr>
          <w:p w14:paraId="14329D1B" w14:textId="75EFC48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4C1DFF5" w14:textId="67AA7448"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4CB9C153" w14:textId="3F711C6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0D3A68C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0.196</w:t>
            </w:r>
          </w:p>
        </w:tc>
        <w:tc>
          <w:tcPr>
            <w:tcW w:w="0" w:type="auto"/>
            <w:tcBorders>
              <w:top w:val="nil"/>
              <w:left w:val="nil"/>
              <w:bottom w:val="single" w:sz="8" w:space="0" w:color="DBDBDB"/>
              <w:right w:val="single" w:sz="8" w:space="0" w:color="DBDBDB"/>
            </w:tcBorders>
            <w:shd w:val="clear" w:color="auto" w:fill="auto"/>
            <w:vAlign w:val="center"/>
            <w:hideMark/>
          </w:tcPr>
          <w:p w14:paraId="14D2ECD8"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19</w:t>
            </w:r>
          </w:p>
        </w:tc>
        <w:tc>
          <w:tcPr>
            <w:tcW w:w="0" w:type="auto"/>
            <w:tcBorders>
              <w:top w:val="nil"/>
              <w:left w:val="nil"/>
              <w:bottom w:val="single" w:sz="8" w:space="0" w:color="DBDBDB"/>
              <w:right w:val="single" w:sz="8" w:space="0" w:color="DBDBDB"/>
            </w:tcBorders>
            <w:shd w:val="clear" w:color="auto" w:fill="auto"/>
            <w:vAlign w:val="center"/>
            <w:hideMark/>
          </w:tcPr>
          <w:p w14:paraId="7AD4DDAD" w14:textId="39EC667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0.203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0.167;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0.241)</w:t>
            </w:r>
          </w:p>
        </w:tc>
        <w:tc>
          <w:tcPr>
            <w:tcW w:w="0" w:type="auto"/>
            <w:tcBorders>
              <w:top w:val="nil"/>
              <w:left w:val="nil"/>
              <w:bottom w:val="single" w:sz="8" w:space="0" w:color="DBDBDB"/>
              <w:right w:val="single" w:sz="8" w:space="0" w:color="DBDBDB"/>
            </w:tcBorders>
            <w:shd w:val="clear" w:color="auto" w:fill="auto"/>
            <w:hideMark/>
          </w:tcPr>
          <w:p w14:paraId="5349336D" w14:textId="0964E91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A46C6EC" w14:textId="1AE83C5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484A1BE8" w14:textId="3FBEB8D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31164593"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2BFB3866"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GI symptoms</w:t>
            </w:r>
          </w:p>
        </w:tc>
        <w:tc>
          <w:tcPr>
            <w:tcW w:w="0" w:type="auto"/>
            <w:tcBorders>
              <w:top w:val="nil"/>
              <w:left w:val="nil"/>
              <w:bottom w:val="single" w:sz="8" w:space="0" w:color="DBDBDB"/>
              <w:right w:val="single" w:sz="8" w:space="0" w:color="DBDBDB"/>
            </w:tcBorders>
            <w:shd w:val="clear" w:color="auto" w:fill="auto"/>
            <w:vAlign w:val="center"/>
            <w:hideMark/>
          </w:tcPr>
          <w:p w14:paraId="5FAF655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0.582</w:t>
            </w:r>
          </w:p>
        </w:tc>
        <w:tc>
          <w:tcPr>
            <w:tcW w:w="0" w:type="auto"/>
            <w:tcBorders>
              <w:top w:val="nil"/>
              <w:left w:val="nil"/>
              <w:bottom w:val="single" w:sz="8" w:space="0" w:color="DBDBDB"/>
              <w:right w:val="single" w:sz="8" w:space="0" w:color="DBDBDB"/>
            </w:tcBorders>
            <w:shd w:val="clear" w:color="auto" w:fill="auto"/>
            <w:vAlign w:val="center"/>
            <w:hideMark/>
          </w:tcPr>
          <w:p w14:paraId="66CE9A1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17</w:t>
            </w:r>
          </w:p>
        </w:tc>
        <w:tc>
          <w:tcPr>
            <w:tcW w:w="0" w:type="auto"/>
            <w:tcBorders>
              <w:top w:val="nil"/>
              <w:left w:val="nil"/>
              <w:bottom w:val="single" w:sz="8" w:space="0" w:color="DBDBDB"/>
              <w:right w:val="single" w:sz="8" w:space="0" w:color="DBDBDB"/>
            </w:tcBorders>
            <w:shd w:val="clear" w:color="auto" w:fill="auto"/>
            <w:vAlign w:val="center"/>
            <w:hideMark/>
          </w:tcPr>
          <w:p w14:paraId="1EFAFB2A" w14:textId="1118AE7C"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0.584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0.550;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0.613)</w:t>
            </w:r>
          </w:p>
        </w:tc>
        <w:tc>
          <w:tcPr>
            <w:tcW w:w="0" w:type="auto"/>
            <w:tcBorders>
              <w:top w:val="nil"/>
              <w:left w:val="nil"/>
              <w:bottom w:val="single" w:sz="8" w:space="0" w:color="DBDBDB"/>
              <w:right w:val="single" w:sz="8" w:space="0" w:color="DBDBDB"/>
            </w:tcBorders>
            <w:shd w:val="clear" w:color="auto" w:fill="auto"/>
            <w:vAlign w:val="center"/>
            <w:hideMark/>
          </w:tcPr>
          <w:p w14:paraId="1D824FAE"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0.249</w:t>
            </w:r>
          </w:p>
        </w:tc>
        <w:tc>
          <w:tcPr>
            <w:tcW w:w="0" w:type="auto"/>
            <w:tcBorders>
              <w:top w:val="nil"/>
              <w:left w:val="nil"/>
              <w:bottom w:val="single" w:sz="8" w:space="0" w:color="DBDBDB"/>
              <w:right w:val="single" w:sz="8" w:space="0" w:color="DBDBDB"/>
            </w:tcBorders>
            <w:shd w:val="clear" w:color="auto" w:fill="auto"/>
            <w:vAlign w:val="center"/>
            <w:hideMark/>
          </w:tcPr>
          <w:p w14:paraId="2B377C6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18</w:t>
            </w:r>
          </w:p>
        </w:tc>
        <w:tc>
          <w:tcPr>
            <w:tcW w:w="0" w:type="auto"/>
            <w:tcBorders>
              <w:top w:val="nil"/>
              <w:left w:val="nil"/>
              <w:bottom w:val="single" w:sz="8" w:space="0" w:color="DBDBDB"/>
              <w:right w:val="single" w:sz="8" w:space="0" w:color="DBDBDB"/>
            </w:tcBorders>
            <w:shd w:val="clear" w:color="auto" w:fill="auto"/>
            <w:vAlign w:val="center"/>
            <w:hideMark/>
          </w:tcPr>
          <w:p w14:paraId="0AABA1F5" w14:textId="10B1501B"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0.251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0.173;</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0.360)</w:t>
            </w:r>
          </w:p>
        </w:tc>
        <w:tc>
          <w:tcPr>
            <w:tcW w:w="0" w:type="auto"/>
            <w:tcBorders>
              <w:top w:val="nil"/>
              <w:left w:val="nil"/>
              <w:bottom w:val="single" w:sz="8" w:space="0" w:color="DBDBDB"/>
              <w:right w:val="single" w:sz="8" w:space="0" w:color="DBDBDB"/>
            </w:tcBorders>
            <w:shd w:val="clear" w:color="auto" w:fill="auto"/>
            <w:vAlign w:val="center"/>
            <w:hideMark/>
          </w:tcPr>
          <w:p w14:paraId="7570EC1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0.448</w:t>
            </w:r>
          </w:p>
        </w:tc>
        <w:tc>
          <w:tcPr>
            <w:tcW w:w="0" w:type="auto"/>
            <w:tcBorders>
              <w:top w:val="nil"/>
              <w:left w:val="nil"/>
              <w:bottom w:val="single" w:sz="8" w:space="0" w:color="DBDBDB"/>
              <w:right w:val="single" w:sz="8" w:space="0" w:color="DBDBDB"/>
            </w:tcBorders>
            <w:shd w:val="clear" w:color="auto" w:fill="auto"/>
            <w:vAlign w:val="center"/>
            <w:hideMark/>
          </w:tcPr>
          <w:p w14:paraId="081F635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w:t>
            </w:r>
          </w:p>
        </w:tc>
        <w:tc>
          <w:tcPr>
            <w:tcW w:w="0" w:type="auto"/>
            <w:tcBorders>
              <w:top w:val="nil"/>
              <w:left w:val="nil"/>
              <w:bottom w:val="single" w:sz="8" w:space="0" w:color="DBDBDB"/>
              <w:right w:val="single" w:sz="4" w:space="0" w:color="auto"/>
            </w:tcBorders>
            <w:shd w:val="clear" w:color="auto" w:fill="auto"/>
            <w:vAlign w:val="center"/>
            <w:hideMark/>
          </w:tcPr>
          <w:p w14:paraId="3732C0AC" w14:textId="206A2E36"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0.442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0.414;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0.472)</w:t>
            </w:r>
          </w:p>
        </w:tc>
      </w:tr>
      <w:tr w:rsidR="00C445E9" w:rsidRPr="00DA2B98" w14:paraId="12683F31"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3E77EFFE"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GI symptoms (count 1 year)</w:t>
            </w:r>
          </w:p>
        </w:tc>
        <w:tc>
          <w:tcPr>
            <w:tcW w:w="0" w:type="auto"/>
            <w:tcBorders>
              <w:top w:val="nil"/>
              <w:left w:val="nil"/>
              <w:bottom w:val="single" w:sz="8" w:space="0" w:color="DBDBDB"/>
              <w:right w:val="single" w:sz="8" w:space="0" w:color="DBDBDB"/>
            </w:tcBorders>
            <w:shd w:val="clear" w:color="auto" w:fill="auto"/>
            <w:vAlign w:val="center"/>
            <w:hideMark/>
          </w:tcPr>
          <w:p w14:paraId="1A3ECA14"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0.794</w:t>
            </w:r>
          </w:p>
        </w:tc>
        <w:tc>
          <w:tcPr>
            <w:tcW w:w="0" w:type="auto"/>
            <w:tcBorders>
              <w:top w:val="nil"/>
              <w:left w:val="nil"/>
              <w:bottom w:val="single" w:sz="8" w:space="0" w:color="DBDBDB"/>
              <w:right w:val="single" w:sz="8" w:space="0" w:color="DBDBDB"/>
            </w:tcBorders>
            <w:shd w:val="clear" w:color="auto" w:fill="auto"/>
            <w:vAlign w:val="center"/>
            <w:hideMark/>
          </w:tcPr>
          <w:p w14:paraId="75DB1CD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15</w:t>
            </w:r>
          </w:p>
        </w:tc>
        <w:tc>
          <w:tcPr>
            <w:tcW w:w="0" w:type="auto"/>
            <w:tcBorders>
              <w:top w:val="nil"/>
              <w:left w:val="nil"/>
              <w:bottom w:val="single" w:sz="8" w:space="0" w:color="DBDBDB"/>
              <w:right w:val="single" w:sz="8" w:space="0" w:color="DBDBDB"/>
            </w:tcBorders>
            <w:shd w:val="clear" w:color="auto" w:fill="auto"/>
            <w:vAlign w:val="center"/>
            <w:hideMark/>
          </w:tcPr>
          <w:p w14:paraId="71EE00BA" w14:textId="32283AFA"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0.792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0.775;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0.817)</w:t>
            </w:r>
          </w:p>
        </w:tc>
        <w:tc>
          <w:tcPr>
            <w:tcW w:w="0" w:type="auto"/>
            <w:tcBorders>
              <w:top w:val="nil"/>
              <w:left w:val="nil"/>
              <w:bottom w:val="single" w:sz="8" w:space="0" w:color="DBDBDB"/>
              <w:right w:val="single" w:sz="8" w:space="0" w:color="DBDBDB"/>
            </w:tcBorders>
            <w:shd w:val="clear" w:color="auto" w:fill="auto"/>
            <w:vAlign w:val="center"/>
            <w:hideMark/>
          </w:tcPr>
          <w:p w14:paraId="529EC86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0.604</w:t>
            </w:r>
          </w:p>
        </w:tc>
        <w:tc>
          <w:tcPr>
            <w:tcW w:w="0" w:type="auto"/>
            <w:tcBorders>
              <w:top w:val="nil"/>
              <w:left w:val="nil"/>
              <w:bottom w:val="single" w:sz="8" w:space="0" w:color="DBDBDB"/>
              <w:right w:val="single" w:sz="8" w:space="0" w:color="DBDBDB"/>
            </w:tcBorders>
            <w:shd w:val="clear" w:color="auto" w:fill="auto"/>
            <w:vAlign w:val="center"/>
            <w:hideMark/>
          </w:tcPr>
          <w:p w14:paraId="307AA90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12</w:t>
            </w:r>
          </w:p>
        </w:tc>
        <w:tc>
          <w:tcPr>
            <w:tcW w:w="0" w:type="auto"/>
            <w:tcBorders>
              <w:top w:val="nil"/>
              <w:left w:val="nil"/>
              <w:bottom w:val="single" w:sz="8" w:space="0" w:color="DBDBDB"/>
              <w:right w:val="single" w:sz="8" w:space="0" w:color="DBDBDB"/>
            </w:tcBorders>
            <w:shd w:val="clear" w:color="auto" w:fill="auto"/>
            <w:vAlign w:val="center"/>
            <w:hideMark/>
          </w:tcPr>
          <w:p w14:paraId="6CB33F51" w14:textId="4CD79489"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0.604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0.594;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0.615)</w:t>
            </w:r>
          </w:p>
        </w:tc>
        <w:tc>
          <w:tcPr>
            <w:tcW w:w="0" w:type="auto"/>
            <w:tcBorders>
              <w:top w:val="nil"/>
              <w:left w:val="nil"/>
              <w:bottom w:val="single" w:sz="8" w:space="0" w:color="DBDBDB"/>
              <w:right w:val="single" w:sz="8" w:space="0" w:color="DBDBDB"/>
            </w:tcBorders>
            <w:shd w:val="clear" w:color="auto" w:fill="auto"/>
            <w:vAlign w:val="center"/>
            <w:hideMark/>
          </w:tcPr>
          <w:p w14:paraId="3390F519"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0.787</w:t>
            </w:r>
          </w:p>
        </w:tc>
        <w:tc>
          <w:tcPr>
            <w:tcW w:w="0" w:type="auto"/>
            <w:tcBorders>
              <w:top w:val="nil"/>
              <w:left w:val="nil"/>
              <w:bottom w:val="single" w:sz="8" w:space="0" w:color="DBDBDB"/>
              <w:right w:val="single" w:sz="8" w:space="0" w:color="DBDBDB"/>
            </w:tcBorders>
            <w:shd w:val="clear" w:color="auto" w:fill="auto"/>
            <w:vAlign w:val="center"/>
            <w:hideMark/>
          </w:tcPr>
          <w:p w14:paraId="5B177E7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10</w:t>
            </w:r>
          </w:p>
        </w:tc>
        <w:tc>
          <w:tcPr>
            <w:tcW w:w="0" w:type="auto"/>
            <w:tcBorders>
              <w:top w:val="nil"/>
              <w:left w:val="nil"/>
              <w:bottom w:val="single" w:sz="8" w:space="0" w:color="DBDBDB"/>
              <w:right w:val="single" w:sz="4" w:space="0" w:color="auto"/>
            </w:tcBorders>
            <w:shd w:val="clear" w:color="auto" w:fill="auto"/>
            <w:vAlign w:val="center"/>
            <w:hideMark/>
          </w:tcPr>
          <w:p w14:paraId="2F5CB3BE" w14:textId="53292F3E"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0.789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0.772;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0.807)</w:t>
            </w:r>
          </w:p>
        </w:tc>
      </w:tr>
      <w:tr w:rsidR="00FA5F6F" w:rsidRPr="00DA2B98" w14:paraId="4A9BCAA4"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44CF2FF"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IgA deficiency</w:t>
            </w:r>
          </w:p>
        </w:tc>
        <w:tc>
          <w:tcPr>
            <w:tcW w:w="0" w:type="auto"/>
            <w:tcBorders>
              <w:top w:val="nil"/>
              <w:left w:val="nil"/>
              <w:bottom w:val="single" w:sz="8" w:space="0" w:color="DBDBDB"/>
              <w:right w:val="single" w:sz="8" w:space="0" w:color="DBDBDB"/>
            </w:tcBorders>
            <w:shd w:val="clear" w:color="auto" w:fill="auto"/>
            <w:vAlign w:val="center"/>
            <w:hideMark/>
          </w:tcPr>
          <w:p w14:paraId="57130351"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3.21</w:t>
            </w:r>
          </w:p>
        </w:tc>
        <w:tc>
          <w:tcPr>
            <w:tcW w:w="0" w:type="auto"/>
            <w:tcBorders>
              <w:top w:val="nil"/>
              <w:left w:val="nil"/>
              <w:bottom w:val="single" w:sz="8" w:space="0" w:color="DBDBDB"/>
              <w:right w:val="single" w:sz="8" w:space="0" w:color="DBDBDB"/>
            </w:tcBorders>
            <w:shd w:val="clear" w:color="auto" w:fill="auto"/>
            <w:vAlign w:val="center"/>
            <w:hideMark/>
          </w:tcPr>
          <w:p w14:paraId="0F731CBC"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w:t>
            </w:r>
          </w:p>
        </w:tc>
        <w:tc>
          <w:tcPr>
            <w:tcW w:w="0" w:type="auto"/>
            <w:tcBorders>
              <w:top w:val="nil"/>
              <w:left w:val="nil"/>
              <w:bottom w:val="single" w:sz="8" w:space="0" w:color="DBDBDB"/>
              <w:right w:val="single" w:sz="8" w:space="0" w:color="DBDBDB"/>
            </w:tcBorders>
            <w:shd w:val="clear" w:color="auto" w:fill="auto"/>
            <w:vAlign w:val="center"/>
            <w:hideMark/>
          </w:tcPr>
          <w:p w14:paraId="4E2217C3" w14:textId="7EC904F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3.185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2.287;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3.563)</w:t>
            </w:r>
          </w:p>
        </w:tc>
        <w:tc>
          <w:tcPr>
            <w:tcW w:w="0" w:type="auto"/>
            <w:tcBorders>
              <w:top w:val="nil"/>
              <w:left w:val="nil"/>
              <w:bottom w:val="single" w:sz="8" w:space="0" w:color="DBDBDB"/>
              <w:right w:val="single" w:sz="8" w:space="0" w:color="DBDBDB"/>
            </w:tcBorders>
            <w:shd w:val="clear" w:color="auto" w:fill="auto"/>
            <w:vAlign w:val="center"/>
            <w:hideMark/>
          </w:tcPr>
          <w:p w14:paraId="0CF667EA"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1.127</w:t>
            </w:r>
          </w:p>
        </w:tc>
        <w:tc>
          <w:tcPr>
            <w:tcW w:w="0" w:type="auto"/>
            <w:tcBorders>
              <w:top w:val="nil"/>
              <w:left w:val="nil"/>
              <w:bottom w:val="single" w:sz="8" w:space="0" w:color="DBDBDB"/>
              <w:right w:val="single" w:sz="8" w:space="0" w:color="DBDBDB"/>
            </w:tcBorders>
            <w:shd w:val="clear" w:color="auto" w:fill="auto"/>
            <w:vAlign w:val="center"/>
            <w:hideMark/>
          </w:tcPr>
          <w:p w14:paraId="63FD27D7"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6</w:t>
            </w:r>
          </w:p>
        </w:tc>
        <w:tc>
          <w:tcPr>
            <w:tcW w:w="0" w:type="auto"/>
            <w:tcBorders>
              <w:top w:val="nil"/>
              <w:left w:val="nil"/>
              <w:bottom w:val="single" w:sz="8" w:space="0" w:color="DBDBDB"/>
              <w:right w:val="single" w:sz="8" w:space="0" w:color="DBDBDB"/>
            </w:tcBorders>
            <w:shd w:val="clear" w:color="auto" w:fill="auto"/>
            <w:vAlign w:val="center"/>
            <w:hideMark/>
          </w:tcPr>
          <w:p w14:paraId="01EE46EA" w14:textId="7B874B1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1.170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0.765;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1.596)</w:t>
            </w:r>
          </w:p>
        </w:tc>
        <w:tc>
          <w:tcPr>
            <w:tcW w:w="0" w:type="auto"/>
            <w:tcBorders>
              <w:top w:val="nil"/>
              <w:left w:val="nil"/>
              <w:bottom w:val="single" w:sz="8" w:space="0" w:color="DBDBDB"/>
              <w:right w:val="single" w:sz="8" w:space="0" w:color="DBDBDB"/>
            </w:tcBorders>
            <w:shd w:val="clear" w:color="auto" w:fill="auto"/>
            <w:hideMark/>
          </w:tcPr>
          <w:p w14:paraId="2D233063" w14:textId="37B9E6D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A041458" w14:textId="75A32E4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498D3E4C" w14:textId="4433B8B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FA5F6F" w:rsidRPr="00DA2B98" w14:paraId="2654EA6E"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55B9D808"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Inflammatory bowel disease</w:t>
            </w:r>
          </w:p>
        </w:tc>
        <w:tc>
          <w:tcPr>
            <w:tcW w:w="0" w:type="auto"/>
            <w:tcBorders>
              <w:top w:val="nil"/>
              <w:left w:val="nil"/>
              <w:bottom w:val="single" w:sz="8" w:space="0" w:color="DBDBDB"/>
              <w:right w:val="single" w:sz="8" w:space="0" w:color="DBDBDB"/>
            </w:tcBorders>
            <w:shd w:val="clear" w:color="auto" w:fill="auto"/>
            <w:hideMark/>
          </w:tcPr>
          <w:p w14:paraId="55A19EAB" w14:textId="6A9F260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450F850" w14:textId="3847ED5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152E803" w14:textId="0B336548"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049B717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0.138</w:t>
            </w:r>
          </w:p>
        </w:tc>
        <w:tc>
          <w:tcPr>
            <w:tcW w:w="0" w:type="auto"/>
            <w:tcBorders>
              <w:top w:val="nil"/>
              <w:left w:val="nil"/>
              <w:bottom w:val="single" w:sz="8" w:space="0" w:color="DBDBDB"/>
              <w:right w:val="single" w:sz="8" w:space="0" w:color="DBDBDB"/>
            </w:tcBorders>
            <w:shd w:val="clear" w:color="auto" w:fill="auto"/>
            <w:vAlign w:val="center"/>
            <w:hideMark/>
          </w:tcPr>
          <w:p w14:paraId="5A5D9D4D"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23</w:t>
            </w:r>
          </w:p>
        </w:tc>
        <w:tc>
          <w:tcPr>
            <w:tcW w:w="0" w:type="auto"/>
            <w:tcBorders>
              <w:top w:val="nil"/>
              <w:left w:val="nil"/>
              <w:bottom w:val="single" w:sz="8" w:space="0" w:color="DBDBDB"/>
              <w:right w:val="single" w:sz="8" w:space="0" w:color="DBDBDB"/>
            </w:tcBorders>
            <w:shd w:val="clear" w:color="auto" w:fill="auto"/>
            <w:vAlign w:val="center"/>
            <w:hideMark/>
          </w:tcPr>
          <w:p w14:paraId="54688B75" w14:textId="4BE4B7B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0.112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0.000;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0.227)</w:t>
            </w:r>
          </w:p>
        </w:tc>
        <w:tc>
          <w:tcPr>
            <w:tcW w:w="0" w:type="auto"/>
            <w:tcBorders>
              <w:top w:val="nil"/>
              <w:left w:val="nil"/>
              <w:bottom w:val="single" w:sz="8" w:space="0" w:color="DBDBDB"/>
              <w:right w:val="single" w:sz="8" w:space="0" w:color="DBDBDB"/>
            </w:tcBorders>
            <w:shd w:val="clear" w:color="auto" w:fill="auto"/>
            <w:hideMark/>
          </w:tcPr>
          <w:p w14:paraId="49BAE457" w14:textId="4507D68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1D6B978" w14:textId="4AC38F0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4595FE98" w14:textId="0DBC16AA"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7DD5F0CB"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22B2564E"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Iron, Vit B12, or Folate deficiency</w:t>
            </w:r>
          </w:p>
        </w:tc>
        <w:tc>
          <w:tcPr>
            <w:tcW w:w="0" w:type="auto"/>
            <w:tcBorders>
              <w:top w:val="nil"/>
              <w:left w:val="nil"/>
              <w:bottom w:val="single" w:sz="8" w:space="0" w:color="DBDBDB"/>
              <w:right w:val="single" w:sz="8" w:space="0" w:color="DBDBDB"/>
            </w:tcBorders>
            <w:shd w:val="clear" w:color="auto" w:fill="auto"/>
            <w:vAlign w:val="center"/>
            <w:hideMark/>
          </w:tcPr>
          <w:p w14:paraId="2EA5A7B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2.016</w:t>
            </w:r>
          </w:p>
        </w:tc>
        <w:tc>
          <w:tcPr>
            <w:tcW w:w="0" w:type="auto"/>
            <w:tcBorders>
              <w:top w:val="nil"/>
              <w:left w:val="nil"/>
              <w:bottom w:val="single" w:sz="8" w:space="0" w:color="DBDBDB"/>
              <w:right w:val="single" w:sz="8" w:space="0" w:color="DBDBDB"/>
            </w:tcBorders>
            <w:shd w:val="clear" w:color="auto" w:fill="auto"/>
            <w:vAlign w:val="center"/>
            <w:hideMark/>
          </w:tcPr>
          <w:p w14:paraId="2420900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9</w:t>
            </w:r>
          </w:p>
        </w:tc>
        <w:tc>
          <w:tcPr>
            <w:tcW w:w="0" w:type="auto"/>
            <w:tcBorders>
              <w:top w:val="nil"/>
              <w:left w:val="nil"/>
              <w:bottom w:val="single" w:sz="8" w:space="0" w:color="DBDBDB"/>
              <w:right w:val="single" w:sz="8" w:space="0" w:color="DBDBDB"/>
            </w:tcBorders>
            <w:shd w:val="clear" w:color="auto" w:fill="auto"/>
            <w:vAlign w:val="center"/>
            <w:hideMark/>
          </w:tcPr>
          <w:p w14:paraId="1041D68D" w14:textId="61FA60A4"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2.013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1.704;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2.363)</w:t>
            </w:r>
          </w:p>
        </w:tc>
        <w:tc>
          <w:tcPr>
            <w:tcW w:w="0" w:type="auto"/>
            <w:tcBorders>
              <w:top w:val="nil"/>
              <w:left w:val="nil"/>
              <w:bottom w:val="single" w:sz="8" w:space="0" w:color="DBDBDB"/>
              <w:right w:val="single" w:sz="8" w:space="0" w:color="DBDBDB"/>
            </w:tcBorders>
            <w:shd w:val="clear" w:color="auto" w:fill="auto"/>
            <w:vAlign w:val="center"/>
            <w:hideMark/>
          </w:tcPr>
          <w:p w14:paraId="48D0A4AE"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1.323</w:t>
            </w:r>
          </w:p>
        </w:tc>
        <w:tc>
          <w:tcPr>
            <w:tcW w:w="0" w:type="auto"/>
            <w:tcBorders>
              <w:top w:val="nil"/>
              <w:left w:val="nil"/>
              <w:bottom w:val="single" w:sz="8" w:space="0" w:color="DBDBDB"/>
              <w:right w:val="single" w:sz="8" w:space="0" w:color="DBDBDB"/>
            </w:tcBorders>
            <w:shd w:val="clear" w:color="auto" w:fill="auto"/>
            <w:vAlign w:val="center"/>
            <w:hideMark/>
          </w:tcPr>
          <w:p w14:paraId="074A8FA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w:t>
            </w:r>
          </w:p>
        </w:tc>
        <w:tc>
          <w:tcPr>
            <w:tcW w:w="0" w:type="auto"/>
            <w:tcBorders>
              <w:top w:val="nil"/>
              <w:left w:val="nil"/>
              <w:bottom w:val="single" w:sz="8" w:space="0" w:color="DBDBDB"/>
              <w:right w:val="single" w:sz="8" w:space="0" w:color="DBDBDB"/>
            </w:tcBorders>
            <w:shd w:val="clear" w:color="auto" w:fill="auto"/>
            <w:vAlign w:val="center"/>
            <w:hideMark/>
          </w:tcPr>
          <w:p w14:paraId="5276282D" w14:textId="6CF12CB0"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1.383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0.554;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2.113)</w:t>
            </w:r>
          </w:p>
        </w:tc>
        <w:tc>
          <w:tcPr>
            <w:tcW w:w="0" w:type="auto"/>
            <w:tcBorders>
              <w:top w:val="nil"/>
              <w:left w:val="nil"/>
              <w:bottom w:val="single" w:sz="8" w:space="0" w:color="DBDBDB"/>
              <w:right w:val="single" w:sz="8" w:space="0" w:color="DBDBDB"/>
            </w:tcBorders>
            <w:shd w:val="clear" w:color="auto" w:fill="auto"/>
            <w:vAlign w:val="center"/>
            <w:hideMark/>
          </w:tcPr>
          <w:p w14:paraId="19F021C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1.81</w:t>
            </w:r>
          </w:p>
        </w:tc>
        <w:tc>
          <w:tcPr>
            <w:tcW w:w="0" w:type="auto"/>
            <w:tcBorders>
              <w:top w:val="nil"/>
              <w:left w:val="nil"/>
              <w:bottom w:val="single" w:sz="8" w:space="0" w:color="DBDBDB"/>
              <w:right w:val="single" w:sz="8" w:space="0" w:color="DBDBDB"/>
            </w:tcBorders>
            <w:shd w:val="clear" w:color="auto" w:fill="auto"/>
            <w:vAlign w:val="center"/>
            <w:hideMark/>
          </w:tcPr>
          <w:p w14:paraId="2C4C006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w:t>
            </w:r>
          </w:p>
        </w:tc>
        <w:tc>
          <w:tcPr>
            <w:tcW w:w="0" w:type="auto"/>
            <w:tcBorders>
              <w:top w:val="nil"/>
              <w:left w:val="nil"/>
              <w:bottom w:val="single" w:sz="8" w:space="0" w:color="DBDBDB"/>
              <w:right w:val="single" w:sz="4" w:space="0" w:color="auto"/>
            </w:tcBorders>
            <w:shd w:val="clear" w:color="auto" w:fill="auto"/>
            <w:vAlign w:val="center"/>
            <w:hideMark/>
          </w:tcPr>
          <w:p w14:paraId="7AB7F243" w14:textId="3769F196"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1.828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1.754;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1.917)</w:t>
            </w:r>
          </w:p>
        </w:tc>
      </w:tr>
      <w:tr w:rsidR="00C445E9" w:rsidRPr="00DA2B98" w14:paraId="548015F2"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138390B6"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Irritable bowel syndrome</w:t>
            </w:r>
          </w:p>
        </w:tc>
        <w:tc>
          <w:tcPr>
            <w:tcW w:w="0" w:type="auto"/>
            <w:tcBorders>
              <w:top w:val="nil"/>
              <w:left w:val="nil"/>
              <w:bottom w:val="single" w:sz="8" w:space="0" w:color="DBDBDB"/>
              <w:right w:val="single" w:sz="8" w:space="0" w:color="DBDBDB"/>
            </w:tcBorders>
            <w:shd w:val="clear" w:color="auto" w:fill="auto"/>
            <w:vAlign w:val="center"/>
            <w:hideMark/>
          </w:tcPr>
          <w:p w14:paraId="39535E6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1.127</w:t>
            </w:r>
          </w:p>
        </w:tc>
        <w:tc>
          <w:tcPr>
            <w:tcW w:w="0" w:type="auto"/>
            <w:tcBorders>
              <w:top w:val="nil"/>
              <w:left w:val="nil"/>
              <w:bottom w:val="single" w:sz="8" w:space="0" w:color="DBDBDB"/>
              <w:right w:val="single" w:sz="8" w:space="0" w:color="DBDBDB"/>
            </w:tcBorders>
            <w:shd w:val="clear" w:color="auto" w:fill="auto"/>
            <w:vAlign w:val="center"/>
            <w:hideMark/>
          </w:tcPr>
          <w:p w14:paraId="4E5A39F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w:t>
            </w:r>
          </w:p>
        </w:tc>
        <w:tc>
          <w:tcPr>
            <w:tcW w:w="0" w:type="auto"/>
            <w:tcBorders>
              <w:top w:val="nil"/>
              <w:left w:val="nil"/>
              <w:bottom w:val="single" w:sz="8" w:space="0" w:color="DBDBDB"/>
              <w:right w:val="single" w:sz="8" w:space="0" w:color="DBDBDB"/>
            </w:tcBorders>
            <w:shd w:val="clear" w:color="auto" w:fill="auto"/>
            <w:vAlign w:val="center"/>
            <w:hideMark/>
          </w:tcPr>
          <w:p w14:paraId="766D8AD2" w14:textId="3E45C2C2"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1.135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0.934;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1.377)</w:t>
            </w:r>
          </w:p>
        </w:tc>
        <w:tc>
          <w:tcPr>
            <w:tcW w:w="0" w:type="auto"/>
            <w:tcBorders>
              <w:top w:val="nil"/>
              <w:left w:val="nil"/>
              <w:bottom w:val="single" w:sz="8" w:space="0" w:color="DBDBDB"/>
              <w:right w:val="single" w:sz="8" w:space="0" w:color="DBDBDB"/>
            </w:tcBorders>
            <w:shd w:val="clear" w:color="auto" w:fill="auto"/>
            <w:vAlign w:val="center"/>
            <w:hideMark/>
          </w:tcPr>
          <w:p w14:paraId="637383F0"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0.478</w:t>
            </w:r>
          </w:p>
        </w:tc>
        <w:tc>
          <w:tcPr>
            <w:tcW w:w="0" w:type="auto"/>
            <w:tcBorders>
              <w:top w:val="nil"/>
              <w:left w:val="nil"/>
              <w:bottom w:val="single" w:sz="8" w:space="0" w:color="DBDBDB"/>
              <w:right w:val="single" w:sz="8" w:space="0" w:color="DBDBDB"/>
            </w:tcBorders>
            <w:shd w:val="clear" w:color="auto" w:fill="auto"/>
            <w:vAlign w:val="center"/>
            <w:hideMark/>
          </w:tcPr>
          <w:p w14:paraId="61996C85"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15</w:t>
            </w:r>
          </w:p>
        </w:tc>
        <w:tc>
          <w:tcPr>
            <w:tcW w:w="0" w:type="auto"/>
            <w:tcBorders>
              <w:top w:val="nil"/>
              <w:left w:val="nil"/>
              <w:bottom w:val="single" w:sz="8" w:space="0" w:color="DBDBDB"/>
              <w:right w:val="single" w:sz="8" w:space="0" w:color="DBDBDB"/>
            </w:tcBorders>
            <w:shd w:val="clear" w:color="auto" w:fill="auto"/>
            <w:vAlign w:val="center"/>
            <w:hideMark/>
          </w:tcPr>
          <w:p w14:paraId="55E51E74" w14:textId="538F17CA"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0.474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0.450;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0.505)</w:t>
            </w:r>
          </w:p>
        </w:tc>
        <w:tc>
          <w:tcPr>
            <w:tcW w:w="0" w:type="auto"/>
            <w:tcBorders>
              <w:top w:val="nil"/>
              <w:left w:val="nil"/>
              <w:bottom w:val="single" w:sz="8" w:space="0" w:color="DBDBDB"/>
              <w:right w:val="single" w:sz="8" w:space="0" w:color="DBDBDB"/>
            </w:tcBorders>
            <w:shd w:val="clear" w:color="auto" w:fill="auto"/>
            <w:vAlign w:val="center"/>
            <w:hideMark/>
          </w:tcPr>
          <w:p w14:paraId="51CE36C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0.709</w:t>
            </w:r>
          </w:p>
        </w:tc>
        <w:tc>
          <w:tcPr>
            <w:tcW w:w="0" w:type="auto"/>
            <w:tcBorders>
              <w:top w:val="nil"/>
              <w:left w:val="nil"/>
              <w:bottom w:val="single" w:sz="8" w:space="0" w:color="DBDBDB"/>
              <w:right w:val="single" w:sz="8" w:space="0" w:color="DBDBDB"/>
            </w:tcBorders>
            <w:shd w:val="clear" w:color="auto" w:fill="auto"/>
            <w:vAlign w:val="center"/>
            <w:hideMark/>
          </w:tcPr>
          <w:p w14:paraId="6F1987E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w:t>
            </w:r>
          </w:p>
        </w:tc>
        <w:tc>
          <w:tcPr>
            <w:tcW w:w="0" w:type="auto"/>
            <w:tcBorders>
              <w:top w:val="nil"/>
              <w:left w:val="nil"/>
              <w:bottom w:val="single" w:sz="8" w:space="0" w:color="DBDBDB"/>
              <w:right w:val="single" w:sz="4" w:space="0" w:color="auto"/>
            </w:tcBorders>
            <w:shd w:val="clear" w:color="auto" w:fill="auto"/>
            <w:vAlign w:val="center"/>
            <w:hideMark/>
          </w:tcPr>
          <w:p w14:paraId="417F878D" w14:textId="49B062BD"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0.714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0.651;</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0.776)</w:t>
            </w:r>
          </w:p>
        </w:tc>
      </w:tr>
      <w:tr w:rsidR="00FA5F6F" w:rsidRPr="00DA2B98" w14:paraId="2FBEFB14"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50D6CA11"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Mood disorders</w:t>
            </w:r>
          </w:p>
        </w:tc>
        <w:tc>
          <w:tcPr>
            <w:tcW w:w="0" w:type="auto"/>
            <w:tcBorders>
              <w:top w:val="nil"/>
              <w:left w:val="nil"/>
              <w:bottom w:val="single" w:sz="8" w:space="0" w:color="DBDBDB"/>
              <w:right w:val="single" w:sz="8" w:space="0" w:color="DBDBDB"/>
            </w:tcBorders>
            <w:shd w:val="clear" w:color="auto" w:fill="auto"/>
            <w:vAlign w:val="center"/>
            <w:hideMark/>
          </w:tcPr>
          <w:p w14:paraId="5B12D041"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0.363</w:t>
            </w:r>
          </w:p>
        </w:tc>
        <w:tc>
          <w:tcPr>
            <w:tcW w:w="0" w:type="auto"/>
            <w:tcBorders>
              <w:top w:val="nil"/>
              <w:left w:val="nil"/>
              <w:bottom w:val="single" w:sz="8" w:space="0" w:color="DBDBDB"/>
              <w:right w:val="single" w:sz="8" w:space="0" w:color="DBDBDB"/>
            </w:tcBorders>
            <w:shd w:val="clear" w:color="auto" w:fill="auto"/>
            <w:vAlign w:val="center"/>
            <w:hideMark/>
          </w:tcPr>
          <w:p w14:paraId="7BCC44E5"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18</w:t>
            </w:r>
          </w:p>
        </w:tc>
        <w:tc>
          <w:tcPr>
            <w:tcW w:w="0" w:type="auto"/>
            <w:tcBorders>
              <w:top w:val="nil"/>
              <w:left w:val="nil"/>
              <w:bottom w:val="single" w:sz="8" w:space="0" w:color="DBDBDB"/>
              <w:right w:val="single" w:sz="8" w:space="0" w:color="DBDBDB"/>
            </w:tcBorders>
            <w:shd w:val="clear" w:color="auto" w:fill="auto"/>
            <w:vAlign w:val="center"/>
            <w:hideMark/>
          </w:tcPr>
          <w:p w14:paraId="667C0BFC" w14:textId="494B58F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0.343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0.250;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0.448)</w:t>
            </w:r>
          </w:p>
        </w:tc>
        <w:tc>
          <w:tcPr>
            <w:tcW w:w="0" w:type="auto"/>
            <w:tcBorders>
              <w:top w:val="nil"/>
              <w:left w:val="nil"/>
              <w:bottom w:val="single" w:sz="8" w:space="0" w:color="DBDBDB"/>
              <w:right w:val="single" w:sz="8" w:space="0" w:color="DBDBDB"/>
            </w:tcBorders>
            <w:shd w:val="clear" w:color="auto" w:fill="auto"/>
            <w:hideMark/>
          </w:tcPr>
          <w:p w14:paraId="3FE4BA0F" w14:textId="33428EC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44C2A06C" w14:textId="253D9A70"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9913A4E" w14:textId="62130D4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376B1D4" w14:textId="285D7AA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B90F6A6" w14:textId="748AE46F"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5352EF9B" w14:textId="008BBF3A"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FA5F6F" w:rsidRPr="00DA2B98" w14:paraId="7D6CAC3C"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CB30C13"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Mouth ulcers</w:t>
            </w:r>
          </w:p>
        </w:tc>
        <w:tc>
          <w:tcPr>
            <w:tcW w:w="0" w:type="auto"/>
            <w:tcBorders>
              <w:top w:val="nil"/>
              <w:left w:val="nil"/>
              <w:bottom w:val="single" w:sz="8" w:space="0" w:color="DBDBDB"/>
              <w:right w:val="single" w:sz="8" w:space="0" w:color="DBDBDB"/>
            </w:tcBorders>
            <w:shd w:val="clear" w:color="auto" w:fill="auto"/>
            <w:hideMark/>
          </w:tcPr>
          <w:p w14:paraId="0BE31EA1" w14:textId="02C60D1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31AC548" w14:textId="5AA73168"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50F16E0" w14:textId="0896F95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EED604C" w14:textId="4FBA231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394240B" w14:textId="7682AD6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5378B11" w14:textId="51A4FEA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4EDEF98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0.412</w:t>
            </w:r>
          </w:p>
        </w:tc>
        <w:tc>
          <w:tcPr>
            <w:tcW w:w="0" w:type="auto"/>
            <w:tcBorders>
              <w:top w:val="nil"/>
              <w:left w:val="nil"/>
              <w:bottom w:val="single" w:sz="8" w:space="0" w:color="DBDBDB"/>
              <w:right w:val="single" w:sz="8" w:space="0" w:color="DBDBDB"/>
            </w:tcBorders>
            <w:shd w:val="clear" w:color="auto" w:fill="auto"/>
            <w:vAlign w:val="center"/>
            <w:hideMark/>
          </w:tcPr>
          <w:p w14:paraId="5B1838B0"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14</w:t>
            </w:r>
          </w:p>
        </w:tc>
        <w:tc>
          <w:tcPr>
            <w:tcW w:w="0" w:type="auto"/>
            <w:tcBorders>
              <w:top w:val="nil"/>
              <w:left w:val="nil"/>
              <w:bottom w:val="single" w:sz="8" w:space="0" w:color="DBDBDB"/>
              <w:right w:val="single" w:sz="4" w:space="0" w:color="auto"/>
            </w:tcBorders>
            <w:shd w:val="clear" w:color="auto" w:fill="auto"/>
            <w:vAlign w:val="center"/>
            <w:hideMark/>
          </w:tcPr>
          <w:p w14:paraId="4B43A70E" w14:textId="33907D5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0.401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0.305;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0.514)</w:t>
            </w:r>
          </w:p>
        </w:tc>
      </w:tr>
      <w:tr w:rsidR="00FA5F6F" w:rsidRPr="00DA2B98" w14:paraId="0FFCA5C2"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4D186611"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Mouth ulcers (count 1 year)</w:t>
            </w:r>
          </w:p>
        </w:tc>
        <w:tc>
          <w:tcPr>
            <w:tcW w:w="0" w:type="auto"/>
            <w:tcBorders>
              <w:top w:val="nil"/>
              <w:left w:val="nil"/>
              <w:bottom w:val="single" w:sz="8" w:space="0" w:color="DBDBDB"/>
              <w:right w:val="single" w:sz="8" w:space="0" w:color="DBDBDB"/>
            </w:tcBorders>
            <w:shd w:val="clear" w:color="auto" w:fill="auto"/>
            <w:hideMark/>
          </w:tcPr>
          <w:p w14:paraId="3C108626" w14:textId="5E7BB18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60F72FD4" w14:textId="5956E692"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5F2B18F" w14:textId="568A8750"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4A9270BF"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0.857</w:t>
            </w:r>
          </w:p>
        </w:tc>
        <w:tc>
          <w:tcPr>
            <w:tcW w:w="0" w:type="auto"/>
            <w:tcBorders>
              <w:top w:val="nil"/>
              <w:left w:val="nil"/>
              <w:bottom w:val="single" w:sz="8" w:space="0" w:color="DBDBDB"/>
              <w:right w:val="single" w:sz="8" w:space="0" w:color="DBDBDB"/>
            </w:tcBorders>
            <w:shd w:val="clear" w:color="auto" w:fill="auto"/>
            <w:vAlign w:val="center"/>
            <w:hideMark/>
          </w:tcPr>
          <w:p w14:paraId="6EFC3942"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10</w:t>
            </w:r>
          </w:p>
        </w:tc>
        <w:tc>
          <w:tcPr>
            <w:tcW w:w="0" w:type="auto"/>
            <w:tcBorders>
              <w:top w:val="nil"/>
              <w:left w:val="nil"/>
              <w:bottom w:val="single" w:sz="8" w:space="0" w:color="DBDBDB"/>
              <w:right w:val="single" w:sz="8" w:space="0" w:color="DBDBDB"/>
            </w:tcBorders>
            <w:shd w:val="clear" w:color="auto" w:fill="auto"/>
            <w:vAlign w:val="center"/>
            <w:hideMark/>
          </w:tcPr>
          <w:p w14:paraId="5D2D8C11" w14:textId="4B84962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0.841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0.767;</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0.907)</w:t>
            </w:r>
          </w:p>
        </w:tc>
        <w:tc>
          <w:tcPr>
            <w:tcW w:w="0" w:type="auto"/>
            <w:tcBorders>
              <w:top w:val="nil"/>
              <w:left w:val="nil"/>
              <w:bottom w:val="single" w:sz="8" w:space="0" w:color="DBDBDB"/>
              <w:right w:val="single" w:sz="8" w:space="0" w:color="DBDBDB"/>
            </w:tcBorders>
            <w:shd w:val="clear" w:color="auto" w:fill="auto"/>
            <w:vAlign w:val="center"/>
            <w:hideMark/>
          </w:tcPr>
          <w:p w14:paraId="37634204"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0.934</w:t>
            </w:r>
          </w:p>
        </w:tc>
        <w:tc>
          <w:tcPr>
            <w:tcW w:w="0" w:type="auto"/>
            <w:tcBorders>
              <w:top w:val="nil"/>
              <w:left w:val="nil"/>
              <w:bottom w:val="single" w:sz="8" w:space="0" w:color="DBDBDB"/>
              <w:right w:val="single" w:sz="8" w:space="0" w:color="DBDBDB"/>
            </w:tcBorders>
            <w:shd w:val="clear" w:color="auto" w:fill="auto"/>
            <w:vAlign w:val="center"/>
            <w:hideMark/>
          </w:tcPr>
          <w:p w14:paraId="75E8651F"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8</w:t>
            </w:r>
          </w:p>
        </w:tc>
        <w:tc>
          <w:tcPr>
            <w:tcW w:w="0" w:type="auto"/>
            <w:tcBorders>
              <w:top w:val="nil"/>
              <w:left w:val="nil"/>
              <w:bottom w:val="single" w:sz="8" w:space="0" w:color="DBDBDB"/>
              <w:right w:val="single" w:sz="4" w:space="0" w:color="auto"/>
            </w:tcBorders>
            <w:shd w:val="clear" w:color="auto" w:fill="auto"/>
            <w:vAlign w:val="center"/>
            <w:hideMark/>
          </w:tcPr>
          <w:p w14:paraId="6F7C5603" w14:textId="5BB4BD4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0.919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0.849;</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0.994)</w:t>
            </w:r>
          </w:p>
        </w:tc>
      </w:tr>
      <w:tr w:rsidR="00FA5F6F" w:rsidRPr="00DA2B98" w14:paraId="7EDCF192"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0511C4CC"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lastRenderedPageBreak/>
              <w:t>Neuropathy ataxia</w:t>
            </w:r>
          </w:p>
        </w:tc>
        <w:tc>
          <w:tcPr>
            <w:tcW w:w="0" w:type="auto"/>
            <w:tcBorders>
              <w:top w:val="nil"/>
              <w:left w:val="nil"/>
              <w:bottom w:val="single" w:sz="8" w:space="0" w:color="DBDBDB"/>
              <w:right w:val="single" w:sz="8" w:space="0" w:color="DBDBDB"/>
            </w:tcBorders>
            <w:shd w:val="clear" w:color="auto" w:fill="auto"/>
            <w:hideMark/>
          </w:tcPr>
          <w:p w14:paraId="15B77AA3" w14:textId="788850C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AE87F5B" w14:textId="7E6BCC5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46A8C1F" w14:textId="3E86F09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068E2E5F"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0.179</w:t>
            </w:r>
          </w:p>
        </w:tc>
        <w:tc>
          <w:tcPr>
            <w:tcW w:w="0" w:type="auto"/>
            <w:tcBorders>
              <w:top w:val="nil"/>
              <w:left w:val="nil"/>
              <w:bottom w:val="single" w:sz="8" w:space="0" w:color="DBDBDB"/>
              <w:right w:val="single" w:sz="8" w:space="0" w:color="DBDBDB"/>
            </w:tcBorders>
            <w:shd w:val="clear" w:color="auto" w:fill="auto"/>
            <w:vAlign w:val="center"/>
            <w:hideMark/>
          </w:tcPr>
          <w:p w14:paraId="1795B354"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21</w:t>
            </w:r>
          </w:p>
        </w:tc>
        <w:tc>
          <w:tcPr>
            <w:tcW w:w="0" w:type="auto"/>
            <w:tcBorders>
              <w:top w:val="nil"/>
              <w:left w:val="nil"/>
              <w:bottom w:val="single" w:sz="8" w:space="0" w:color="DBDBDB"/>
              <w:right w:val="single" w:sz="8" w:space="0" w:color="DBDBDB"/>
            </w:tcBorders>
            <w:shd w:val="clear" w:color="auto" w:fill="auto"/>
            <w:vAlign w:val="center"/>
            <w:hideMark/>
          </w:tcPr>
          <w:p w14:paraId="650D558F" w14:textId="7C523F2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0.178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0.074;</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0.311)</w:t>
            </w:r>
          </w:p>
        </w:tc>
        <w:tc>
          <w:tcPr>
            <w:tcW w:w="0" w:type="auto"/>
            <w:tcBorders>
              <w:top w:val="nil"/>
              <w:left w:val="nil"/>
              <w:bottom w:val="single" w:sz="8" w:space="0" w:color="DBDBDB"/>
              <w:right w:val="single" w:sz="8" w:space="0" w:color="DBDBDB"/>
            </w:tcBorders>
            <w:shd w:val="clear" w:color="auto" w:fill="auto"/>
            <w:hideMark/>
          </w:tcPr>
          <w:p w14:paraId="4B984A0E" w14:textId="3E6136E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C5DE5A3" w14:textId="7AEDFAD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293F5CEE" w14:textId="1043F73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FA5F6F" w:rsidRPr="00DA2B98" w14:paraId="1A001E5A"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7D2C6971"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Osteoporosis</w:t>
            </w:r>
          </w:p>
        </w:tc>
        <w:tc>
          <w:tcPr>
            <w:tcW w:w="0" w:type="auto"/>
            <w:tcBorders>
              <w:top w:val="nil"/>
              <w:left w:val="nil"/>
              <w:bottom w:val="single" w:sz="8" w:space="0" w:color="DBDBDB"/>
              <w:right w:val="single" w:sz="8" w:space="0" w:color="DBDBDB"/>
            </w:tcBorders>
            <w:shd w:val="clear" w:color="auto" w:fill="auto"/>
            <w:hideMark/>
          </w:tcPr>
          <w:p w14:paraId="2BD61A8C" w14:textId="573F662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4FC5487F" w14:textId="5ED9F510"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E7B0F98" w14:textId="0B4D787E"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321223CB"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1.028</w:t>
            </w:r>
          </w:p>
        </w:tc>
        <w:tc>
          <w:tcPr>
            <w:tcW w:w="0" w:type="auto"/>
            <w:tcBorders>
              <w:top w:val="nil"/>
              <w:left w:val="nil"/>
              <w:bottom w:val="single" w:sz="8" w:space="0" w:color="DBDBDB"/>
              <w:right w:val="single" w:sz="8" w:space="0" w:color="DBDBDB"/>
            </w:tcBorders>
            <w:shd w:val="clear" w:color="auto" w:fill="auto"/>
            <w:vAlign w:val="center"/>
            <w:hideMark/>
          </w:tcPr>
          <w:p w14:paraId="7CF3F9F6"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8</w:t>
            </w:r>
          </w:p>
        </w:tc>
        <w:tc>
          <w:tcPr>
            <w:tcW w:w="0" w:type="auto"/>
            <w:tcBorders>
              <w:top w:val="nil"/>
              <w:left w:val="nil"/>
              <w:bottom w:val="single" w:sz="8" w:space="0" w:color="DBDBDB"/>
              <w:right w:val="single" w:sz="8" w:space="0" w:color="DBDBDB"/>
            </w:tcBorders>
            <w:shd w:val="clear" w:color="auto" w:fill="auto"/>
            <w:vAlign w:val="center"/>
            <w:hideMark/>
          </w:tcPr>
          <w:p w14:paraId="36C93CB1" w14:textId="7FC41BF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1.040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1.000;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1.077)</w:t>
            </w:r>
          </w:p>
        </w:tc>
        <w:tc>
          <w:tcPr>
            <w:tcW w:w="0" w:type="auto"/>
            <w:tcBorders>
              <w:top w:val="nil"/>
              <w:left w:val="nil"/>
              <w:bottom w:val="single" w:sz="8" w:space="0" w:color="DBDBDB"/>
              <w:right w:val="single" w:sz="8" w:space="0" w:color="DBDBDB"/>
            </w:tcBorders>
            <w:shd w:val="clear" w:color="auto" w:fill="auto"/>
            <w:vAlign w:val="center"/>
            <w:hideMark/>
          </w:tcPr>
          <w:p w14:paraId="612A228C"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1.554</w:t>
            </w:r>
          </w:p>
        </w:tc>
        <w:tc>
          <w:tcPr>
            <w:tcW w:w="0" w:type="auto"/>
            <w:tcBorders>
              <w:top w:val="nil"/>
              <w:left w:val="nil"/>
              <w:bottom w:val="single" w:sz="8" w:space="0" w:color="DBDBDB"/>
              <w:right w:val="single" w:sz="8" w:space="0" w:color="DBDBDB"/>
            </w:tcBorders>
            <w:shd w:val="clear" w:color="auto" w:fill="auto"/>
            <w:vAlign w:val="center"/>
            <w:hideMark/>
          </w:tcPr>
          <w:p w14:paraId="287C434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5</w:t>
            </w:r>
          </w:p>
        </w:tc>
        <w:tc>
          <w:tcPr>
            <w:tcW w:w="0" w:type="auto"/>
            <w:tcBorders>
              <w:top w:val="nil"/>
              <w:left w:val="nil"/>
              <w:bottom w:val="single" w:sz="8" w:space="0" w:color="DBDBDB"/>
              <w:right w:val="single" w:sz="4" w:space="0" w:color="auto"/>
            </w:tcBorders>
            <w:shd w:val="clear" w:color="auto" w:fill="auto"/>
            <w:vAlign w:val="center"/>
            <w:hideMark/>
          </w:tcPr>
          <w:p w14:paraId="422ED722" w14:textId="1656E922"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1.549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1.433;</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1.673)</w:t>
            </w:r>
          </w:p>
        </w:tc>
      </w:tr>
      <w:tr w:rsidR="00FA5F6F" w:rsidRPr="00DA2B98" w14:paraId="30E09254"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119924DC"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Psoriasis</w:t>
            </w:r>
          </w:p>
        </w:tc>
        <w:tc>
          <w:tcPr>
            <w:tcW w:w="0" w:type="auto"/>
            <w:tcBorders>
              <w:top w:val="nil"/>
              <w:left w:val="nil"/>
              <w:bottom w:val="single" w:sz="8" w:space="0" w:color="DBDBDB"/>
              <w:right w:val="single" w:sz="8" w:space="0" w:color="DBDBDB"/>
            </w:tcBorders>
            <w:shd w:val="clear" w:color="auto" w:fill="auto"/>
            <w:hideMark/>
          </w:tcPr>
          <w:p w14:paraId="3B27CE4F" w14:textId="119AA835"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12283FF" w14:textId="63D7D82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42E7234" w14:textId="3D8933E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24E000F2"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0.048</w:t>
            </w:r>
          </w:p>
        </w:tc>
        <w:tc>
          <w:tcPr>
            <w:tcW w:w="0" w:type="auto"/>
            <w:tcBorders>
              <w:top w:val="nil"/>
              <w:left w:val="nil"/>
              <w:bottom w:val="single" w:sz="8" w:space="0" w:color="DBDBDB"/>
              <w:right w:val="single" w:sz="8" w:space="0" w:color="DBDBDB"/>
            </w:tcBorders>
            <w:shd w:val="clear" w:color="auto" w:fill="auto"/>
            <w:vAlign w:val="center"/>
            <w:hideMark/>
          </w:tcPr>
          <w:p w14:paraId="409110E7"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24</w:t>
            </w:r>
          </w:p>
        </w:tc>
        <w:tc>
          <w:tcPr>
            <w:tcW w:w="0" w:type="auto"/>
            <w:tcBorders>
              <w:top w:val="nil"/>
              <w:left w:val="nil"/>
              <w:bottom w:val="single" w:sz="8" w:space="0" w:color="DBDBDB"/>
              <w:right w:val="single" w:sz="8" w:space="0" w:color="DBDBDB"/>
            </w:tcBorders>
            <w:shd w:val="clear" w:color="auto" w:fill="auto"/>
            <w:vAlign w:val="center"/>
            <w:hideMark/>
          </w:tcPr>
          <w:p w14:paraId="18424CF8" w14:textId="1ED3B48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0.047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0.000;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0.097)</w:t>
            </w:r>
          </w:p>
        </w:tc>
        <w:tc>
          <w:tcPr>
            <w:tcW w:w="0" w:type="auto"/>
            <w:tcBorders>
              <w:top w:val="nil"/>
              <w:left w:val="nil"/>
              <w:bottom w:val="single" w:sz="8" w:space="0" w:color="DBDBDB"/>
              <w:right w:val="single" w:sz="8" w:space="0" w:color="DBDBDB"/>
            </w:tcBorders>
            <w:shd w:val="clear" w:color="auto" w:fill="auto"/>
            <w:vAlign w:val="center"/>
            <w:hideMark/>
          </w:tcPr>
          <w:p w14:paraId="428F7633"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0.335</w:t>
            </w:r>
          </w:p>
        </w:tc>
        <w:tc>
          <w:tcPr>
            <w:tcW w:w="0" w:type="auto"/>
            <w:tcBorders>
              <w:top w:val="nil"/>
              <w:left w:val="nil"/>
              <w:bottom w:val="single" w:sz="8" w:space="0" w:color="DBDBDB"/>
              <w:right w:val="single" w:sz="8" w:space="0" w:color="DBDBDB"/>
            </w:tcBorders>
            <w:shd w:val="clear" w:color="auto" w:fill="auto"/>
            <w:vAlign w:val="center"/>
            <w:hideMark/>
          </w:tcPr>
          <w:p w14:paraId="14B64D89"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15</w:t>
            </w:r>
          </w:p>
        </w:tc>
        <w:tc>
          <w:tcPr>
            <w:tcW w:w="0" w:type="auto"/>
            <w:tcBorders>
              <w:top w:val="nil"/>
              <w:left w:val="nil"/>
              <w:bottom w:val="single" w:sz="8" w:space="0" w:color="DBDBDB"/>
              <w:right w:val="single" w:sz="4" w:space="0" w:color="auto"/>
            </w:tcBorders>
            <w:shd w:val="clear" w:color="auto" w:fill="auto"/>
            <w:vAlign w:val="center"/>
            <w:hideMark/>
          </w:tcPr>
          <w:p w14:paraId="30C92D6E" w14:textId="284D8A0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0.339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0.265;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0.401)</w:t>
            </w:r>
          </w:p>
        </w:tc>
      </w:tr>
      <w:tr w:rsidR="00FA5F6F" w:rsidRPr="00DA2B98" w14:paraId="0CE9C02C"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325A714A"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Sex (male)</w:t>
            </w:r>
          </w:p>
        </w:tc>
        <w:tc>
          <w:tcPr>
            <w:tcW w:w="0" w:type="auto"/>
            <w:tcBorders>
              <w:top w:val="nil"/>
              <w:left w:val="nil"/>
              <w:bottom w:val="single" w:sz="8" w:space="0" w:color="DBDBDB"/>
              <w:right w:val="single" w:sz="8" w:space="0" w:color="DBDBDB"/>
            </w:tcBorders>
            <w:shd w:val="clear" w:color="auto" w:fill="auto"/>
            <w:vAlign w:val="center"/>
            <w:hideMark/>
          </w:tcPr>
          <w:p w14:paraId="52B8F661"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-0.477</w:t>
            </w:r>
          </w:p>
        </w:tc>
        <w:tc>
          <w:tcPr>
            <w:tcW w:w="0" w:type="auto"/>
            <w:tcBorders>
              <w:top w:val="nil"/>
              <w:left w:val="nil"/>
              <w:bottom w:val="single" w:sz="8" w:space="0" w:color="DBDBDB"/>
              <w:right w:val="single" w:sz="8" w:space="0" w:color="DBDBDB"/>
            </w:tcBorders>
            <w:shd w:val="clear" w:color="auto" w:fill="auto"/>
            <w:vAlign w:val="center"/>
            <w:hideMark/>
          </w:tcPr>
          <w:p w14:paraId="1CD0C08E"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20</w:t>
            </w:r>
          </w:p>
        </w:tc>
        <w:tc>
          <w:tcPr>
            <w:tcW w:w="0" w:type="auto"/>
            <w:tcBorders>
              <w:top w:val="nil"/>
              <w:left w:val="nil"/>
              <w:bottom w:val="single" w:sz="8" w:space="0" w:color="DBDBDB"/>
              <w:right w:val="single" w:sz="8" w:space="0" w:color="DBDBDB"/>
            </w:tcBorders>
            <w:shd w:val="clear" w:color="auto" w:fill="auto"/>
            <w:vAlign w:val="center"/>
            <w:hideMark/>
          </w:tcPr>
          <w:p w14:paraId="0F77CED9"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-0.472 (-0.502; -0.447)</w:t>
            </w:r>
          </w:p>
        </w:tc>
        <w:tc>
          <w:tcPr>
            <w:tcW w:w="0" w:type="auto"/>
            <w:tcBorders>
              <w:top w:val="nil"/>
              <w:left w:val="nil"/>
              <w:bottom w:val="single" w:sz="8" w:space="0" w:color="DBDBDB"/>
              <w:right w:val="single" w:sz="8" w:space="0" w:color="DBDBDB"/>
            </w:tcBorders>
            <w:shd w:val="clear" w:color="auto" w:fill="auto"/>
            <w:hideMark/>
          </w:tcPr>
          <w:p w14:paraId="02470459" w14:textId="5567E4C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97E6F91" w14:textId="27B0C732"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028B1873" w14:textId="1B101C5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2D35A741" w14:textId="6AD5EDB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E5E3A49" w14:textId="354EAD91"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7FEEF2E9" w14:textId="1D0A4869"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FA5F6F" w:rsidRPr="00DA2B98" w14:paraId="1119DDA9"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7E7DFE45"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Systemic lupus erythematosus</w:t>
            </w:r>
          </w:p>
        </w:tc>
        <w:tc>
          <w:tcPr>
            <w:tcW w:w="0" w:type="auto"/>
            <w:tcBorders>
              <w:top w:val="nil"/>
              <w:left w:val="nil"/>
              <w:bottom w:val="single" w:sz="8" w:space="0" w:color="DBDBDB"/>
              <w:right w:val="single" w:sz="8" w:space="0" w:color="DBDBDB"/>
            </w:tcBorders>
            <w:shd w:val="clear" w:color="auto" w:fill="auto"/>
            <w:hideMark/>
          </w:tcPr>
          <w:p w14:paraId="4290964D" w14:textId="2F1A85A6"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FE2DDEA" w14:textId="58C3060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7D6840F5" w14:textId="1369D9A1"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vAlign w:val="center"/>
            <w:hideMark/>
          </w:tcPr>
          <w:p w14:paraId="2390E6E0"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0.699</w:t>
            </w:r>
          </w:p>
        </w:tc>
        <w:tc>
          <w:tcPr>
            <w:tcW w:w="0" w:type="auto"/>
            <w:tcBorders>
              <w:top w:val="nil"/>
              <w:left w:val="nil"/>
              <w:bottom w:val="single" w:sz="8" w:space="0" w:color="DBDBDB"/>
              <w:right w:val="single" w:sz="8" w:space="0" w:color="DBDBDB"/>
            </w:tcBorders>
            <w:shd w:val="clear" w:color="auto" w:fill="auto"/>
            <w:vAlign w:val="center"/>
            <w:hideMark/>
          </w:tcPr>
          <w:p w14:paraId="08F5DA33"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11</w:t>
            </w:r>
          </w:p>
        </w:tc>
        <w:tc>
          <w:tcPr>
            <w:tcW w:w="0" w:type="auto"/>
            <w:tcBorders>
              <w:top w:val="nil"/>
              <w:left w:val="nil"/>
              <w:bottom w:val="single" w:sz="8" w:space="0" w:color="DBDBDB"/>
              <w:right w:val="single" w:sz="8" w:space="0" w:color="DBDBDB"/>
            </w:tcBorders>
            <w:shd w:val="clear" w:color="auto" w:fill="auto"/>
            <w:vAlign w:val="center"/>
            <w:hideMark/>
          </w:tcPr>
          <w:p w14:paraId="5AC07A31" w14:textId="72AC224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0.698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0.532;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0.856)</w:t>
            </w:r>
          </w:p>
        </w:tc>
        <w:tc>
          <w:tcPr>
            <w:tcW w:w="0" w:type="auto"/>
            <w:tcBorders>
              <w:top w:val="nil"/>
              <w:left w:val="nil"/>
              <w:bottom w:val="single" w:sz="8" w:space="0" w:color="DBDBDB"/>
              <w:right w:val="single" w:sz="8" w:space="0" w:color="DBDBDB"/>
            </w:tcBorders>
            <w:shd w:val="clear" w:color="auto" w:fill="auto"/>
            <w:hideMark/>
          </w:tcPr>
          <w:p w14:paraId="251C9553" w14:textId="2F6473B3"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54995DBA" w14:textId="032D93A4"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1AAD9AD7" w14:textId="520E59C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64F02638"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28594EAC"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Thyroid disorders</w:t>
            </w:r>
          </w:p>
        </w:tc>
        <w:tc>
          <w:tcPr>
            <w:tcW w:w="0" w:type="auto"/>
            <w:tcBorders>
              <w:top w:val="nil"/>
              <w:left w:val="nil"/>
              <w:bottom w:val="single" w:sz="8" w:space="0" w:color="DBDBDB"/>
              <w:right w:val="single" w:sz="8" w:space="0" w:color="DBDBDB"/>
            </w:tcBorders>
            <w:shd w:val="clear" w:color="auto" w:fill="auto"/>
            <w:vAlign w:val="center"/>
            <w:hideMark/>
          </w:tcPr>
          <w:p w14:paraId="052BF1C2"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2.144</w:t>
            </w:r>
          </w:p>
        </w:tc>
        <w:tc>
          <w:tcPr>
            <w:tcW w:w="0" w:type="auto"/>
            <w:tcBorders>
              <w:top w:val="nil"/>
              <w:left w:val="nil"/>
              <w:bottom w:val="single" w:sz="8" w:space="0" w:color="DBDBDB"/>
              <w:right w:val="single" w:sz="8" w:space="0" w:color="DBDBDB"/>
            </w:tcBorders>
            <w:shd w:val="clear" w:color="auto" w:fill="auto"/>
            <w:vAlign w:val="center"/>
            <w:hideMark/>
          </w:tcPr>
          <w:p w14:paraId="01E647B8"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8</w:t>
            </w:r>
          </w:p>
        </w:tc>
        <w:tc>
          <w:tcPr>
            <w:tcW w:w="0" w:type="auto"/>
            <w:tcBorders>
              <w:top w:val="nil"/>
              <w:left w:val="nil"/>
              <w:bottom w:val="single" w:sz="8" w:space="0" w:color="DBDBDB"/>
              <w:right w:val="single" w:sz="8" w:space="0" w:color="DBDBDB"/>
            </w:tcBorders>
            <w:shd w:val="clear" w:color="auto" w:fill="auto"/>
            <w:vAlign w:val="center"/>
            <w:hideMark/>
          </w:tcPr>
          <w:p w14:paraId="7A59FFB5" w14:textId="70FF942C"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2.185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2.000;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2.395)</w:t>
            </w:r>
          </w:p>
        </w:tc>
        <w:tc>
          <w:tcPr>
            <w:tcW w:w="0" w:type="auto"/>
            <w:tcBorders>
              <w:top w:val="nil"/>
              <w:left w:val="nil"/>
              <w:bottom w:val="single" w:sz="8" w:space="0" w:color="DBDBDB"/>
              <w:right w:val="single" w:sz="8" w:space="0" w:color="DBDBDB"/>
            </w:tcBorders>
            <w:shd w:val="clear" w:color="auto" w:fill="auto"/>
            <w:vAlign w:val="center"/>
            <w:hideMark/>
          </w:tcPr>
          <w:p w14:paraId="69B3C6DA"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0.599</w:t>
            </w:r>
          </w:p>
        </w:tc>
        <w:tc>
          <w:tcPr>
            <w:tcW w:w="0" w:type="auto"/>
            <w:tcBorders>
              <w:top w:val="nil"/>
              <w:left w:val="nil"/>
              <w:bottom w:val="single" w:sz="8" w:space="0" w:color="DBDBDB"/>
              <w:right w:val="single" w:sz="8" w:space="0" w:color="DBDBDB"/>
            </w:tcBorders>
            <w:shd w:val="clear" w:color="auto" w:fill="auto"/>
            <w:vAlign w:val="center"/>
            <w:hideMark/>
          </w:tcPr>
          <w:p w14:paraId="30E092F4"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13</w:t>
            </w:r>
          </w:p>
        </w:tc>
        <w:tc>
          <w:tcPr>
            <w:tcW w:w="0" w:type="auto"/>
            <w:tcBorders>
              <w:top w:val="nil"/>
              <w:left w:val="nil"/>
              <w:bottom w:val="single" w:sz="8" w:space="0" w:color="DBDBDB"/>
              <w:right w:val="single" w:sz="8" w:space="0" w:color="DBDBDB"/>
            </w:tcBorders>
            <w:shd w:val="clear" w:color="auto" w:fill="auto"/>
            <w:vAlign w:val="center"/>
            <w:hideMark/>
          </w:tcPr>
          <w:p w14:paraId="32727ADA" w14:textId="2C6FA941"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0.598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0.563;</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0.629)</w:t>
            </w:r>
          </w:p>
        </w:tc>
        <w:tc>
          <w:tcPr>
            <w:tcW w:w="0" w:type="auto"/>
            <w:tcBorders>
              <w:top w:val="nil"/>
              <w:left w:val="nil"/>
              <w:bottom w:val="single" w:sz="8" w:space="0" w:color="DBDBDB"/>
              <w:right w:val="single" w:sz="8" w:space="0" w:color="DBDBDB"/>
            </w:tcBorders>
            <w:shd w:val="clear" w:color="auto" w:fill="auto"/>
            <w:vAlign w:val="center"/>
            <w:hideMark/>
          </w:tcPr>
          <w:p w14:paraId="6CDFB95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0.91</w:t>
            </w:r>
          </w:p>
        </w:tc>
        <w:tc>
          <w:tcPr>
            <w:tcW w:w="0" w:type="auto"/>
            <w:tcBorders>
              <w:top w:val="nil"/>
              <w:left w:val="nil"/>
              <w:bottom w:val="single" w:sz="8" w:space="0" w:color="DBDBDB"/>
              <w:right w:val="single" w:sz="8" w:space="0" w:color="DBDBDB"/>
            </w:tcBorders>
            <w:shd w:val="clear" w:color="auto" w:fill="auto"/>
            <w:vAlign w:val="center"/>
            <w:hideMark/>
          </w:tcPr>
          <w:p w14:paraId="5DD6F92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9</w:t>
            </w:r>
          </w:p>
        </w:tc>
        <w:tc>
          <w:tcPr>
            <w:tcW w:w="0" w:type="auto"/>
            <w:tcBorders>
              <w:top w:val="nil"/>
              <w:left w:val="nil"/>
              <w:bottom w:val="single" w:sz="8" w:space="0" w:color="DBDBDB"/>
              <w:right w:val="single" w:sz="4" w:space="0" w:color="auto"/>
            </w:tcBorders>
            <w:shd w:val="clear" w:color="auto" w:fill="auto"/>
            <w:vAlign w:val="center"/>
            <w:hideMark/>
          </w:tcPr>
          <w:p w14:paraId="1B213B64" w14:textId="36DA6390"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0.913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0.753;</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1.074)</w:t>
            </w:r>
          </w:p>
        </w:tc>
      </w:tr>
      <w:tr w:rsidR="00FA5F6F" w:rsidRPr="00DA2B98" w14:paraId="4F76E388"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6BF729B4" w14:textId="77777777" w:rsidR="00FA5F6F" w:rsidRPr="00DA2B98" w:rsidRDefault="00FA5F6F" w:rsidP="00FA5F6F">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Turner syndrome</w:t>
            </w:r>
          </w:p>
        </w:tc>
        <w:tc>
          <w:tcPr>
            <w:tcW w:w="0" w:type="auto"/>
            <w:tcBorders>
              <w:top w:val="nil"/>
              <w:left w:val="nil"/>
              <w:bottom w:val="single" w:sz="8" w:space="0" w:color="DBDBDB"/>
              <w:right w:val="single" w:sz="8" w:space="0" w:color="DBDBDB"/>
            </w:tcBorders>
            <w:shd w:val="clear" w:color="auto" w:fill="auto"/>
            <w:vAlign w:val="center"/>
            <w:hideMark/>
          </w:tcPr>
          <w:p w14:paraId="0407C5CC"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3.949</w:t>
            </w:r>
          </w:p>
        </w:tc>
        <w:tc>
          <w:tcPr>
            <w:tcW w:w="0" w:type="auto"/>
            <w:tcBorders>
              <w:top w:val="nil"/>
              <w:left w:val="nil"/>
              <w:bottom w:val="single" w:sz="8" w:space="0" w:color="DBDBDB"/>
              <w:right w:val="single" w:sz="8" w:space="0" w:color="DBDBDB"/>
            </w:tcBorders>
            <w:shd w:val="clear" w:color="auto" w:fill="auto"/>
            <w:vAlign w:val="center"/>
            <w:hideMark/>
          </w:tcPr>
          <w:p w14:paraId="393BC9B3"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w:t>
            </w:r>
          </w:p>
        </w:tc>
        <w:tc>
          <w:tcPr>
            <w:tcW w:w="0" w:type="auto"/>
            <w:tcBorders>
              <w:top w:val="nil"/>
              <w:left w:val="nil"/>
              <w:bottom w:val="single" w:sz="8" w:space="0" w:color="DBDBDB"/>
              <w:right w:val="single" w:sz="8" w:space="0" w:color="DBDBDB"/>
            </w:tcBorders>
            <w:shd w:val="clear" w:color="auto" w:fill="auto"/>
            <w:vAlign w:val="center"/>
            <w:hideMark/>
          </w:tcPr>
          <w:p w14:paraId="45B5A068" w14:textId="3D0FB3FC"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3.908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3.715;</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4.084)</w:t>
            </w:r>
          </w:p>
        </w:tc>
        <w:tc>
          <w:tcPr>
            <w:tcW w:w="0" w:type="auto"/>
            <w:tcBorders>
              <w:top w:val="nil"/>
              <w:left w:val="nil"/>
              <w:bottom w:val="single" w:sz="8" w:space="0" w:color="DBDBDB"/>
              <w:right w:val="single" w:sz="8" w:space="0" w:color="DBDBDB"/>
            </w:tcBorders>
            <w:shd w:val="clear" w:color="auto" w:fill="auto"/>
            <w:vAlign w:val="center"/>
            <w:hideMark/>
          </w:tcPr>
          <w:p w14:paraId="63D7A174"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1.08</w:t>
            </w:r>
          </w:p>
        </w:tc>
        <w:tc>
          <w:tcPr>
            <w:tcW w:w="0" w:type="auto"/>
            <w:tcBorders>
              <w:top w:val="nil"/>
              <w:left w:val="nil"/>
              <w:bottom w:val="single" w:sz="8" w:space="0" w:color="DBDBDB"/>
              <w:right w:val="single" w:sz="8" w:space="0" w:color="DBDBDB"/>
            </w:tcBorders>
            <w:shd w:val="clear" w:color="auto" w:fill="auto"/>
            <w:vAlign w:val="center"/>
            <w:hideMark/>
          </w:tcPr>
          <w:p w14:paraId="6259B9A7" w14:textId="77777777"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7</w:t>
            </w:r>
          </w:p>
        </w:tc>
        <w:tc>
          <w:tcPr>
            <w:tcW w:w="0" w:type="auto"/>
            <w:tcBorders>
              <w:top w:val="nil"/>
              <w:left w:val="nil"/>
              <w:bottom w:val="single" w:sz="8" w:space="0" w:color="DBDBDB"/>
              <w:right w:val="single" w:sz="8" w:space="0" w:color="DBDBDB"/>
            </w:tcBorders>
            <w:shd w:val="clear" w:color="auto" w:fill="auto"/>
            <w:vAlign w:val="center"/>
            <w:hideMark/>
          </w:tcPr>
          <w:p w14:paraId="273425B1" w14:textId="16FC27FB"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1.057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0.422;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1.681)</w:t>
            </w:r>
          </w:p>
        </w:tc>
        <w:tc>
          <w:tcPr>
            <w:tcW w:w="0" w:type="auto"/>
            <w:tcBorders>
              <w:top w:val="nil"/>
              <w:left w:val="nil"/>
              <w:bottom w:val="single" w:sz="8" w:space="0" w:color="DBDBDB"/>
              <w:right w:val="single" w:sz="8" w:space="0" w:color="DBDBDB"/>
            </w:tcBorders>
            <w:shd w:val="clear" w:color="auto" w:fill="auto"/>
            <w:hideMark/>
          </w:tcPr>
          <w:p w14:paraId="1696D1F8" w14:textId="3B6DDE50"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8" w:space="0" w:color="DBDBDB"/>
            </w:tcBorders>
            <w:shd w:val="clear" w:color="auto" w:fill="auto"/>
            <w:hideMark/>
          </w:tcPr>
          <w:p w14:paraId="3301C254" w14:textId="0CB4E97D"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c>
          <w:tcPr>
            <w:tcW w:w="0" w:type="auto"/>
            <w:tcBorders>
              <w:top w:val="nil"/>
              <w:left w:val="nil"/>
              <w:bottom w:val="single" w:sz="8" w:space="0" w:color="DBDBDB"/>
              <w:right w:val="single" w:sz="4" w:space="0" w:color="auto"/>
            </w:tcBorders>
            <w:shd w:val="clear" w:color="auto" w:fill="auto"/>
            <w:hideMark/>
          </w:tcPr>
          <w:p w14:paraId="6588E2EF" w14:textId="00B30C01" w:rsidR="00FA5F6F" w:rsidRPr="00DA2B98" w:rsidRDefault="00FA5F6F" w:rsidP="00FA5F6F">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w:t>
            </w:r>
          </w:p>
        </w:tc>
      </w:tr>
      <w:tr w:rsidR="00C445E9" w:rsidRPr="00DA2B98" w14:paraId="402268B5" w14:textId="77777777" w:rsidTr="00D848CE">
        <w:trPr>
          <w:trHeight w:val="20"/>
        </w:trPr>
        <w:tc>
          <w:tcPr>
            <w:tcW w:w="0" w:type="auto"/>
            <w:tcBorders>
              <w:top w:val="nil"/>
              <w:left w:val="single" w:sz="4" w:space="0" w:color="auto"/>
              <w:bottom w:val="single" w:sz="8" w:space="0" w:color="DBDBDB"/>
              <w:right w:val="single" w:sz="8" w:space="0" w:color="DBDBDB"/>
            </w:tcBorders>
            <w:shd w:val="clear" w:color="auto" w:fill="auto"/>
            <w:vAlign w:val="center"/>
            <w:hideMark/>
          </w:tcPr>
          <w:p w14:paraId="1F03CA26"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Type 1 diabetes</w:t>
            </w:r>
          </w:p>
        </w:tc>
        <w:tc>
          <w:tcPr>
            <w:tcW w:w="0" w:type="auto"/>
            <w:tcBorders>
              <w:top w:val="nil"/>
              <w:left w:val="nil"/>
              <w:bottom w:val="single" w:sz="8" w:space="0" w:color="DBDBDB"/>
              <w:right w:val="single" w:sz="8" w:space="0" w:color="DBDBDB"/>
            </w:tcBorders>
            <w:shd w:val="clear" w:color="auto" w:fill="auto"/>
            <w:vAlign w:val="center"/>
            <w:hideMark/>
          </w:tcPr>
          <w:p w14:paraId="6F6EE34D"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4.153</w:t>
            </w:r>
          </w:p>
        </w:tc>
        <w:tc>
          <w:tcPr>
            <w:tcW w:w="0" w:type="auto"/>
            <w:tcBorders>
              <w:top w:val="nil"/>
              <w:left w:val="nil"/>
              <w:bottom w:val="single" w:sz="8" w:space="0" w:color="DBDBDB"/>
              <w:right w:val="single" w:sz="8" w:space="0" w:color="DBDBDB"/>
            </w:tcBorders>
            <w:shd w:val="clear" w:color="auto" w:fill="auto"/>
            <w:vAlign w:val="center"/>
            <w:hideMark/>
          </w:tcPr>
          <w:p w14:paraId="0C12F677"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w:t>
            </w:r>
          </w:p>
        </w:tc>
        <w:tc>
          <w:tcPr>
            <w:tcW w:w="0" w:type="auto"/>
            <w:tcBorders>
              <w:top w:val="nil"/>
              <w:left w:val="nil"/>
              <w:bottom w:val="single" w:sz="8" w:space="0" w:color="DBDBDB"/>
              <w:right w:val="single" w:sz="8" w:space="0" w:color="DBDBDB"/>
            </w:tcBorders>
            <w:shd w:val="clear" w:color="auto" w:fill="auto"/>
            <w:vAlign w:val="center"/>
            <w:hideMark/>
          </w:tcPr>
          <w:p w14:paraId="4E85DF83" w14:textId="45DE685B"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4.182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4.062;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4.278)</w:t>
            </w:r>
          </w:p>
        </w:tc>
        <w:tc>
          <w:tcPr>
            <w:tcW w:w="0" w:type="auto"/>
            <w:tcBorders>
              <w:top w:val="nil"/>
              <w:left w:val="nil"/>
              <w:bottom w:val="single" w:sz="8" w:space="0" w:color="DBDBDB"/>
              <w:right w:val="single" w:sz="8" w:space="0" w:color="DBDBDB"/>
            </w:tcBorders>
            <w:shd w:val="clear" w:color="auto" w:fill="auto"/>
            <w:vAlign w:val="center"/>
            <w:hideMark/>
          </w:tcPr>
          <w:p w14:paraId="00DC8BD8"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1.277</w:t>
            </w:r>
          </w:p>
        </w:tc>
        <w:tc>
          <w:tcPr>
            <w:tcW w:w="0" w:type="auto"/>
            <w:tcBorders>
              <w:top w:val="nil"/>
              <w:left w:val="nil"/>
              <w:bottom w:val="single" w:sz="8" w:space="0" w:color="DBDBDB"/>
              <w:right w:val="single" w:sz="8" w:space="0" w:color="DBDBDB"/>
            </w:tcBorders>
            <w:shd w:val="clear" w:color="auto" w:fill="auto"/>
            <w:vAlign w:val="center"/>
            <w:hideMark/>
          </w:tcPr>
          <w:p w14:paraId="27ED9C7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4</w:t>
            </w:r>
          </w:p>
        </w:tc>
        <w:tc>
          <w:tcPr>
            <w:tcW w:w="0" w:type="auto"/>
            <w:tcBorders>
              <w:top w:val="nil"/>
              <w:left w:val="nil"/>
              <w:bottom w:val="single" w:sz="8" w:space="0" w:color="DBDBDB"/>
              <w:right w:val="single" w:sz="8" w:space="0" w:color="DBDBDB"/>
            </w:tcBorders>
            <w:shd w:val="clear" w:color="auto" w:fill="auto"/>
            <w:vAlign w:val="center"/>
            <w:hideMark/>
          </w:tcPr>
          <w:p w14:paraId="619911AB" w14:textId="06C69271"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1.337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1.293;</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1.375)</w:t>
            </w:r>
          </w:p>
        </w:tc>
        <w:tc>
          <w:tcPr>
            <w:tcW w:w="0" w:type="auto"/>
            <w:tcBorders>
              <w:top w:val="nil"/>
              <w:left w:val="nil"/>
              <w:bottom w:val="single" w:sz="8" w:space="0" w:color="DBDBDB"/>
              <w:right w:val="single" w:sz="8" w:space="0" w:color="DBDBDB"/>
            </w:tcBorders>
            <w:shd w:val="clear" w:color="auto" w:fill="auto"/>
            <w:vAlign w:val="center"/>
            <w:hideMark/>
          </w:tcPr>
          <w:p w14:paraId="4847C38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1.746</w:t>
            </w:r>
          </w:p>
        </w:tc>
        <w:tc>
          <w:tcPr>
            <w:tcW w:w="0" w:type="auto"/>
            <w:tcBorders>
              <w:top w:val="nil"/>
              <w:left w:val="nil"/>
              <w:bottom w:val="single" w:sz="8" w:space="0" w:color="DBDBDB"/>
              <w:right w:val="single" w:sz="8" w:space="0" w:color="DBDBDB"/>
            </w:tcBorders>
            <w:shd w:val="clear" w:color="auto" w:fill="auto"/>
            <w:vAlign w:val="center"/>
            <w:hideMark/>
          </w:tcPr>
          <w:p w14:paraId="04259BBE"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4</w:t>
            </w:r>
          </w:p>
        </w:tc>
        <w:tc>
          <w:tcPr>
            <w:tcW w:w="0" w:type="auto"/>
            <w:tcBorders>
              <w:top w:val="nil"/>
              <w:left w:val="nil"/>
              <w:bottom w:val="single" w:sz="8" w:space="0" w:color="DBDBDB"/>
              <w:right w:val="single" w:sz="4" w:space="0" w:color="auto"/>
            </w:tcBorders>
            <w:shd w:val="clear" w:color="auto" w:fill="auto"/>
            <w:vAlign w:val="center"/>
            <w:hideMark/>
          </w:tcPr>
          <w:p w14:paraId="31D47F3F" w14:textId="325EF13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1.749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1.650;</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1.868)</w:t>
            </w:r>
          </w:p>
        </w:tc>
      </w:tr>
      <w:tr w:rsidR="00C445E9" w:rsidRPr="00DA2B98" w14:paraId="48E1345E" w14:textId="77777777" w:rsidTr="00D848CE">
        <w:trPr>
          <w:trHeight w:val="20"/>
        </w:trPr>
        <w:tc>
          <w:tcPr>
            <w:tcW w:w="0" w:type="auto"/>
            <w:tcBorders>
              <w:top w:val="nil"/>
              <w:left w:val="single" w:sz="4" w:space="0" w:color="auto"/>
              <w:bottom w:val="single" w:sz="4" w:space="0" w:color="auto"/>
              <w:right w:val="single" w:sz="8" w:space="0" w:color="DBDBDB"/>
            </w:tcBorders>
            <w:shd w:val="clear" w:color="auto" w:fill="auto"/>
            <w:vAlign w:val="center"/>
            <w:hideMark/>
          </w:tcPr>
          <w:p w14:paraId="0317B2E9" w14:textId="77777777" w:rsidR="00C445E9" w:rsidRPr="00DA2B98" w:rsidRDefault="00C445E9" w:rsidP="00C445E9">
            <w:pPr>
              <w:spacing w:after="0" w:line="240" w:lineRule="auto"/>
              <w:rPr>
                <w:rFonts w:eastAsia="Times New Roman" w:cstheme="minorHAnsi"/>
                <w:b/>
                <w:bCs/>
                <w:color w:val="000000"/>
                <w:sz w:val="20"/>
                <w:szCs w:val="20"/>
                <w:lang w:eastAsia="en-GB"/>
              </w:rPr>
            </w:pPr>
            <w:r w:rsidRPr="00DA2B98">
              <w:rPr>
                <w:rFonts w:eastAsia="Times New Roman" w:cstheme="minorHAnsi"/>
                <w:b/>
                <w:bCs/>
                <w:color w:val="000000"/>
                <w:sz w:val="20"/>
                <w:szCs w:val="20"/>
                <w:lang w:eastAsia="en-GB"/>
              </w:rPr>
              <w:t>Weight loss</w:t>
            </w:r>
          </w:p>
        </w:tc>
        <w:tc>
          <w:tcPr>
            <w:tcW w:w="0" w:type="auto"/>
            <w:tcBorders>
              <w:top w:val="nil"/>
              <w:left w:val="nil"/>
              <w:bottom w:val="single" w:sz="4" w:space="0" w:color="auto"/>
              <w:right w:val="single" w:sz="8" w:space="0" w:color="DBDBDB"/>
            </w:tcBorders>
            <w:shd w:val="clear" w:color="auto" w:fill="auto"/>
            <w:vAlign w:val="center"/>
            <w:hideMark/>
          </w:tcPr>
          <w:p w14:paraId="3F374F3D"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2.316</w:t>
            </w:r>
          </w:p>
        </w:tc>
        <w:tc>
          <w:tcPr>
            <w:tcW w:w="0" w:type="auto"/>
            <w:tcBorders>
              <w:top w:val="nil"/>
              <w:left w:val="nil"/>
              <w:bottom w:val="single" w:sz="4" w:space="0" w:color="auto"/>
              <w:right w:val="single" w:sz="8" w:space="0" w:color="DBDBDB"/>
            </w:tcBorders>
            <w:shd w:val="clear" w:color="auto" w:fill="auto"/>
            <w:vAlign w:val="center"/>
            <w:hideMark/>
          </w:tcPr>
          <w:p w14:paraId="47E7B2A6"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7</w:t>
            </w:r>
          </w:p>
        </w:tc>
        <w:tc>
          <w:tcPr>
            <w:tcW w:w="0" w:type="auto"/>
            <w:tcBorders>
              <w:top w:val="nil"/>
              <w:left w:val="nil"/>
              <w:bottom w:val="single" w:sz="4" w:space="0" w:color="auto"/>
              <w:right w:val="single" w:sz="8" w:space="0" w:color="DBDBDB"/>
            </w:tcBorders>
            <w:shd w:val="clear" w:color="auto" w:fill="auto"/>
            <w:vAlign w:val="center"/>
            <w:hideMark/>
          </w:tcPr>
          <w:p w14:paraId="1EBD72D5" w14:textId="07AA6710"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2.302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2.142;</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2.485)</w:t>
            </w:r>
          </w:p>
        </w:tc>
        <w:tc>
          <w:tcPr>
            <w:tcW w:w="0" w:type="auto"/>
            <w:tcBorders>
              <w:top w:val="nil"/>
              <w:left w:val="nil"/>
              <w:bottom w:val="single" w:sz="4" w:space="0" w:color="auto"/>
              <w:right w:val="single" w:sz="8" w:space="0" w:color="DBDBDB"/>
            </w:tcBorders>
            <w:shd w:val="clear" w:color="auto" w:fill="auto"/>
            <w:vAlign w:val="center"/>
            <w:hideMark/>
          </w:tcPr>
          <w:p w14:paraId="64EB17C3"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0.91</w:t>
            </w:r>
          </w:p>
        </w:tc>
        <w:tc>
          <w:tcPr>
            <w:tcW w:w="0" w:type="auto"/>
            <w:tcBorders>
              <w:top w:val="nil"/>
              <w:left w:val="nil"/>
              <w:bottom w:val="single" w:sz="4" w:space="0" w:color="auto"/>
              <w:right w:val="single" w:sz="8" w:space="0" w:color="DBDBDB"/>
            </w:tcBorders>
            <w:shd w:val="clear" w:color="auto" w:fill="auto"/>
            <w:vAlign w:val="center"/>
            <w:hideMark/>
          </w:tcPr>
          <w:p w14:paraId="29FB917F"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9</w:t>
            </w:r>
          </w:p>
        </w:tc>
        <w:tc>
          <w:tcPr>
            <w:tcW w:w="0" w:type="auto"/>
            <w:tcBorders>
              <w:top w:val="nil"/>
              <w:left w:val="nil"/>
              <w:bottom w:val="single" w:sz="4" w:space="0" w:color="auto"/>
              <w:right w:val="single" w:sz="8" w:space="0" w:color="DBDBDB"/>
            </w:tcBorders>
            <w:shd w:val="clear" w:color="auto" w:fill="auto"/>
            <w:vAlign w:val="center"/>
            <w:hideMark/>
          </w:tcPr>
          <w:p w14:paraId="33098011" w14:textId="58D51FEA"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0.895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0.848;</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0.950)</w:t>
            </w:r>
          </w:p>
        </w:tc>
        <w:tc>
          <w:tcPr>
            <w:tcW w:w="0" w:type="auto"/>
            <w:tcBorders>
              <w:top w:val="nil"/>
              <w:left w:val="nil"/>
              <w:bottom w:val="single" w:sz="4" w:space="0" w:color="auto"/>
              <w:right w:val="single" w:sz="8" w:space="0" w:color="DBDBDB"/>
            </w:tcBorders>
            <w:shd w:val="clear" w:color="auto" w:fill="auto"/>
            <w:vAlign w:val="center"/>
            <w:hideMark/>
          </w:tcPr>
          <w:p w14:paraId="0E82D83B"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1.49</w:t>
            </w:r>
          </w:p>
        </w:tc>
        <w:tc>
          <w:tcPr>
            <w:tcW w:w="0" w:type="auto"/>
            <w:tcBorders>
              <w:top w:val="nil"/>
              <w:left w:val="nil"/>
              <w:bottom w:val="single" w:sz="4" w:space="0" w:color="auto"/>
              <w:right w:val="single" w:sz="8" w:space="0" w:color="DBDBDB"/>
            </w:tcBorders>
            <w:shd w:val="clear" w:color="auto" w:fill="auto"/>
            <w:vAlign w:val="center"/>
            <w:hideMark/>
          </w:tcPr>
          <w:p w14:paraId="4CAE10EC" w14:textId="77777777"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6</w:t>
            </w:r>
          </w:p>
        </w:tc>
        <w:tc>
          <w:tcPr>
            <w:tcW w:w="0" w:type="auto"/>
            <w:tcBorders>
              <w:top w:val="nil"/>
              <w:left w:val="nil"/>
              <w:bottom w:val="single" w:sz="4" w:space="0" w:color="auto"/>
              <w:right w:val="single" w:sz="4" w:space="0" w:color="auto"/>
            </w:tcBorders>
            <w:shd w:val="clear" w:color="auto" w:fill="auto"/>
            <w:vAlign w:val="center"/>
            <w:hideMark/>
          </w:tcPr>
          <w:p w14:paraId="4CCBFE22" w14:textId="55077BC6" w:rsidR="00C445E9" w:rsidRPr="00DA2B98" w:rsidRDefault="00C445E9" w:rsidP="00C445E9">
            <w:pPr>
              <w:spacing w:after="0" w:line="240" w:lineRule="auto"/>
              <w:jc w:val="center"/>
              <w:rPr>
                <w:rFonts w:eastAsia="Times New Roman" w:cstheme="minorHAnsi"/>
                <w:color w:val="000000"/>
                <w:sz w:val="20"/>
                <w:szCs w:val="20"/>
                <w:lang w:eastAsia="en-GB"/>
              </w:rPr>
            </w:pPr>
            <w:r w:rsidRPr="00DA2B98">
              <w:rPr>
                <w:rFonts w:eastAsia="Times New Roman" w:cstheme="minorHAnsi"/>
                <w:color w:val="000000"/>
                <w:sz w:val="20"/>
                <w:szCs w:val="20"/>
                <w:lang w:eastAsia="en-GB"/>
              </w:rPr>
              <w:t xml:space="preserve"> 1.489 </w:t>
            </w:r>
            <w:r w:rsidR="00C25994" w:rsidRPr="00DA2B98">
              <w:rPr>
                <w:rFonts w:eastAsia="Times New Roman" w:cstheme="minorHAnsi"/>
                <w:color w:val="000000"/>
                <w:sz w:val="20"/>
                <w:szCs w:val="20"/>
                <w:lang w:eastAsia="en-GB"/>
              </w:rPr>
              <w:t>(</w:t>
            </w:r>
            <w:r w:rsidRPr="00DA2B98">
              <w:rPr>
                <w:rFonts w:eastAsia="Times New Roman" w:cstheme="minorHAnsi"/>
                <w:color w:val="000000"/>
                <w:sz w:val="20"/>
                <w:szCs w:val="20"/>
                <w:lang w:eastAsia="en-GB"/>
              </w:rPr>
              <w:t>1.431;</w:t>
            </w:r>
            <w:r w:rsidR="00C25994" w:rsidRPr="00DA2B98">
              <w:rPr>
                <w:rFonts w:eastAsia="Times New Roman" w:cstheme="minorHAnsi"/>
                <w:color w:val="000000"/>
                <w:sz w:val="20"/>
                <w:szCs w:val="20"/>
                <w:lang w:eastAsia="en-GB"/>
              </w:rPr>
              <w:t xml:space="preserve"> </w:t>
            </w:r>
            <w:r w:rsidRPr="00DA2B98">
              <w:rPr>
                <w:rFonts w:eastAsia="Times New Roman" w:cstheme="minorHAnsi"/>
                <w:color w:val="000000"/>
                <w:sz w:val="20"/>
                <w:szCs w:val="20"/>
                <w:lang w:eastAsia="en-GB"/>
              </w:rPr>
              <w:t>1.552)</w:t>
            </w:r>
          </w:p>
        </w:tc>
      </w:tr>
    </w:tbl>
    <w:p w14:paraId="6245C0EB" w14:textId="1530B1E3" w:rsidR="00C445E9" w:rsidRPr="00734942" w:rsidRDefault="00C445E9" w:rsidP="00DF5EDB">
      <w:pPr>
        <w:sectPr w:rsidR="00C445E9" w:rsidRPr="00734942" w:rsidSect="005F1ED0">
          <w:pgSz w:w="16838" w:h="11906" w:orient="landscape"/>
          <w:pgMar w:top="1440" w:right="1440" w:bottom="1440" w:left="1440" w:header="709" w:footer="709" w:gutter="0"/>
          <w:cols w:space="708"/>
          <w:docGrid w:linePitch="360"/>
        </w:sectPr>
      </w:pPr>
    </w:p>
    <w:p w14:paraId="2906E8F7" w14:textId="77777777" w:rsidR="00DF5EDB" w:rsidRPr="00734942" w:rsidRDefault="00DF5EDB" w:rsidP="006B7911">
      <w:pPr>
        <w:pStyle w:val="Heading3"/>
      </w:pPr>
      <w:bookmarkStart w:id="133" w:name="_Toc99539849"/>
      <w:r w:rsidRPr="00734942">
        <w:lastRenderedPageBreak/>
        <w:t>Model performance</w:t>
      </w:r>
      <w:bookmarkEnd w:id="133"/>
    </w:p>
    <w:p w14:paraId="05B641B1" w14:textId="5E2F71F9" w:rsidR="00042ED3"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 xml:space="preserve">The </w:t>
      </w:r>
      <w:r w:rsidR="0011512C" w:rsidRPr="00734942">
        <w:rPr>
          <w:rFonts w:asciiTheme="minorHAnsi" w:eastAsiaTheme="minorHAnsi" w:hAnsiTheme="minorHAnsi" w:cstheme="minorBidi"/>
          <w:szCs w:val="22"/>
        </w:rPr>
        <w:t xml:space="preserve">amount of variability explained (R-squared), the </w:t>
      </w:r>
      <w:r w:rsidRPr="00734942">
        <w:rPr>
          <w:rFonts w:asciiTheme="minorHAnsi" w:eastAsiaTheme="minorHAnsi" w:hAnsiTheme="minorHAnsi" w:cstheme="minorBidi"/>
          <w:szCs w:val="22"/>
        </w:rPr>
        <w:t>overall model fit (</w:t>
      </w:r>
      <w:r w:rsidR="0011512C" w:rsidRPr="00734942">
        <w:rPr>
          <w:rFonts w:asciiTheme="minorHAnsi" w:eastAsiaTheme="minorHAnsi" w:hAnsiTheme="minorHAnsi" w:cstheme="minorBidi"/>
          <w:szCs w:val="22"/>
        </w:rPr>
        <w:t>Brier score</w:t>
      </w:r>
      <w:r w:rsidRPr="00734942">
        <w:rPr>
          <w:rFonts w:asciiTheme="minorHAnsi" w:eastAsiaTheme="minorHAnsi" w:hAnsiTheme="minorHAnsi" w:cstheme="minorBidi"/>
          <w:szCs w:val="22"/>
        </w:rPr>
        <w:t xml:space="preserve">), discrimination (c statistic), and calibration measures (intercept and slope of calibration curve) are shown in </w:t>
      </w:r>
      <w:r w:rsidR="00684620" w:rsidRPr="00734942">
        <w:rPr>
          <w:rFonts w:asciiTheme="minorHAnsi" w:eastAsiaTheme="minorHAnsi" w:hAnsiTheme="minorHAnsi" w:cstheme="minorBidi"/>
          <w:szCs w:val="22"/>
        </w:rPr>
        <w:fldChar w:fldCharType="begin"/>
      </w:r>
      <w:r w:rsidR="00684620" w:rsidRPr="00734942">
        <w:rPr>
          <w:rFonts w:asciiTheme="minorHAnsi" w:eastAsiaTheme="minorHAnsi" w:hAnsiTheme="minorHAnsi" w:cstheme="minorBidi"/>
          <w:szCs w:val="22"/>
        </w:rPr>
        <w:instrText xml:space="preserve"> REF _Ref83908370 \h </w:instrText>
      </w:r>
      <w:r w:rsidR="00C82BBA" w:rsidRPr="00734942">
        <w:rPr>
          <w:rFonts w:asciiTheme="minorHAnsi" w:eastAsiaTheme="minorHAnsi" w:hAnsiTheme="minorHAnsi" w:cstheme="minorBidi"/>
          <w:szCs w:val="22"/>
        </w:rPr>
        <w:instrText xml:space="preserve"> \* MERGEFORMAT </w:instrText>
      </w:r>
      <w:r w:rsidR="00684620" w:rsidRPr="00734942">
        <w:rPr>
          <w:rFonts w:asciiTheme="minorHAnsi" w:eastAsiaTheme="minorHAnsi" w:hAnsiTheme="minorHAnsi" w:cstheme="minorBidi"/>
          <w:szCs w:val="22"/>
        </w:rPr>
      </w:r>
      <w:r w:rsidR="00684620" w:rsidRPr="00734942">
        <w:rPr>
          <w:rFonts w:asciiTheme="minorHAnsi" w:eastAsiaTheme="minorHAnsi" w:hAnsiTheme="minorHAnsi" w:cstheme="minorBidi"/>
          <w:szCs w:val="22"/>
        </w:rPr>
        <w:fldChar w:fldCharType="separate"/>
      </w:r>
      <w:r w:rsidR="008B5583" w:rsidRPr="00C34531">
        <w:rPr>
          <w:rFonts w:asciiTheme="minorHAnsi" w:eastAsiaTheme="minorHAnsi" w:hAnsiTheme="minorHAnsi" w:cstheme="minorBidi"/>
          <w:szCs w:val="22"/>
        </w:rPr>
        <w:t>Table 4</w:t>
      </w:r>
      <w:r w:rsidR="00684620" w:rsidRPr="00734942">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t xml:space="preserve">. </w:t>
      </w:r>
    </w:p>
    <w:p w14:paraId="09240D4C" w14:textId="392B79E9" w:rsidR="00DF5EDB" w:rsidRPr="00734942" w:rsidRDefault="00DF5EDB"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 xml:space="preserve">The </w:t>
      </w:r>
      <w:r w:rsidR="00621A36" w:rsidRPr="00734942">
        <w:rPr>
          <w:rFonts w:asciiTheme="minorHAnsi" w:eastAsiaTheme="minorHAnsi" w:hAnsiTheme="minorHAnsi" w:cstheme="minorBidi"/>
          <w:szCs w:val="22"/>
        </w:rPr>
        <w:t xml:space="preserve">development </w:t>
      </w:r>
      <w:r w:rsidRPr="00734942">
        <w:rPr>
          <w:rFonts w:asciiTheme="minorHAnsi" w:eastAsiaTheme="minorHAnsi" w:hAnsiTheme="minorHAnsi" w:cstheme="minorBidi"/>
          <w:szCs w:val="22"/>
        </w:rPr>
        <w:t xml:space="preserve">model in children shows the best overall model fit and ability to discriminate between those with and without CD compared to the models for men and women. The calibration slope is below 1 for all three models, meaning that </w:t>
      </w:r>
      <w:r w:rsidR="00042ED3">
        <w:rPr>
          <w:rFonts w:asciiTheme="minorHAnsi" w:eastAsiaTheme="minorHAnsi" w:hAnsiTheme="minorHAnsi" w:cstheme="minorBidi"/>
          <w:szCs w:val="22"/>
        </w:rPr>
        <w:t>all three models</w:t>
      </w:r>
      <w:r w:rsidRPr="00734942">
        <w:rPr>
          <w:rFonts w:asciiTheme="minorHAnsi" w:eastAsiaTheme="minorHAnsi" w:hAnsiTheme="minorHAnsi" w:cstheme="minorBidi"/>
          <w:szCs w:val="22"/>
        </w:rPr>
        <w:t xml:space="preserve"> overestimate the risk of CD </w:t>
      </w:r>
      <w:r w:rsidR="00042ED3">
        <w:rPr>
          <w:rFonts w:asciiTheme="minorHAnsi" w:eastAsiaTheme="minorHAnsi" w:hAnsiTheme="minorHAnsi" w:cstheme="minorBidi"/>
          <w:szCs w:val="22"/>
        </w:rPr>
        <w:t>on average</w:t>
      </w:r>
      <w:r w:rsidRPr="00734942">
        <w:rPr>
          <w:rFonts w:asciiTheme="minorHAnsi" w:eastAsiaTheme="minorHAnsi" w:hAnsiTheme="minorHAnsi" w:cstheme="minorBidi"/>
          <w:szCs w:val="22"/>
        </w:rPr>
        <w:t xml:space="preserve"> (</w:t>
      </w:r>
      <w:r w:rsidR="003C527C">
        <w:rPr>
          <w:rFonts w:asciiTheme="minorHAnsi" w:eastAsiaTheme="minorHAnsi" w:hAnsiTheme="minorHAnsi" w:cstheme="minorBidi"/>
          <w:szCs w:val="22"/>
        </w:rPr>
        <w:t xml:space="preserve">Appendix 12 </w:t>
      </w:r>
      <w:r w:rsidR="00C567D7" w:rsidRPr="00734942">
        <w:rPr>
          <w:rFonts w:asciiTheme="minorHAnsi" w:eastAsiaTheme="minorHAnsi" w:hAnsiTheme="minorHAnsi" w:cstheme="minorBidi"/>
          <w:szCs w:val="22"/>
        </w:rPr>
        <w:fldChar w:fldCharType="begin"/>
      </w:r>
      <w:r w:rsidR="00C567D7" w:rsidRPr="00734942">
        <w:rPr>
          <w:rFonts w:asciiTheme="minorHAnsi" w:eastAsiaTheme="minorHAnsi" w:hAnsiTheme="minorHAnsi" w:cstheme="minorBidi"/>
          <w:szCs w:val="22"/>
        </w:rPr>
        <w:instrText xml:space="preserve"> REF _Ref85728878 \h  \* MERGEFORMAT </w:instrText>
      </w:r>
      <w:r w:rsidR="00C567D7" w:rsidRPr="00734942">
        <w:rPr>
          <w:rFonts w:asciiTheme="minorHAnsi" w:eastAsiaTheme="minorHAnsi" w:hAnsiTheme="minorHAnsi" w:cstheme="minorBidi"/>
          <w:szCs w:val="22"/>
        </w:rPr>
      </w:r>
      <w:r w:rsidR="00C567D7" w:rsidRPr="00734942">
        <w:rPr>
          <w:rFonts w:asciiTheme="minorHAnsi" w:eastAsiaTheme="minorHAnsi" w:hAnsiTheme="minorHAnsi" w:cstheme="minorBidi"/>
          <w:szCs w:val="22"/>
        </w:rPr>
        <w:fldChar w:fldCharType="separate"/>
      </w:r>
      <w:r w:rsidR="008B5583" w:rsidRPr="00C34531">
        <w:rPr>
          <w:rFonts w:asciiTheme="minorHAnsi" w:eastAsiaTheme="minorHAnsi" w:hAnsiTheme="minorHAnsi" w:cstheme="minorBidi"/>
          <w:szCs w:val="22"/>
        </w:rPr>
        <w:t>Figure 55</w:t>
      </w:r>
      <w:r w:rsidR="00C567D7" w:rsidRPr="00734942">
        <w:rPr>
          <w:rFonts w:asciiTheme="minorHAnsi" w:eastAsiaTheme="minorHAnsi" w:hAnsiTheme="minorHAnsi" w:cstheme="minorBidi"/>
          <w:szCs w:val="22"/>
        </w:rPr>
        <w:fldChar w:fldCharType="end"/>
      </w:r>
      <w:r w:rsidRPr="00734942">
        <w:rPr>
          <w:rFonts w:asciiTheme="minorHAnsi" w:eastAsiaTheme="minorHAnsi" w:hAnsiTheme="minorHAnsi" w:cstheme="minorBidi"/>
          <w:szCs w:val="22"/>
        </w:rPr>
        <w:t xml:space="preserve">). For instance, the model for children estimates a </w:t>
      </w:r>
      <w:r w:rsidR="00042ED3">
        <w:rPr>
          <w:rFonts w:asciiTheme="minorHAnsi" w:eastAsiaTheme="minorHAnsi" w:hAnsiTheme="minorHAnsi" w:cstheme="minorBidi"/>
          <w:szCs w:val="22"/>
        </w:rPr>
        <w:t xml:space="preserve">40% chance of </w:t>
      </w:r>
      <w:r w:rsidRPr="00734942">
        <w:rPr>
          <w:rFonts w:asciiTheme="minorHAnsi" w:eastAsiaTheme="minorHAnsi" w:hAnsiTheme="minorHAnsi" w:cstheme="minorBidi"/>
          <w:szCs w:val="22"/>
        </w:rPr>
        <w:t>CD</w:t>
      </w:r>
      <w:r w:rsidR="004C4293">
        <w:rPr>
          <w:rFonts w:asciiTheme="minorHAnsi" w:eastAsiaTheme="minorHAnsi" w:hAnsiTheme="minorHAnsi" w:cstheme="minorBidi"/>
          <w:szCs w:val="22"/>
        </w:rPr>
        <w:t>, compared with a prevalence in the data set of 20%.</w:t>
      </w:r>
      <w:r w:rsidRPr="00734942">
        <w:rPr>
          <w:rFonts w:asciiTheme="minorHAnsi" w:eastAsiaTheme="minorHAnsi" w:hAnsiTheme="minorHAnsi" w:cstheme="minorBidi"/>
          <w:szCs w:val="22"/>
        </w:rPr>
        <w:t>. At higher risks, the model performs better. The estimated model performance shows to be stable, as the</w:t>
      </w:r>
      <w:r w:rsidR="003920B3">
        <w:rPr>
          <w:rFonts w:asciiTheme="minorHAnsi" w:eastAsiaTheme="minorHAnsi" w:hAnsiTheme="minorHAnsi" w:cstheme="minorBidi"/>
          <w:szCs w:val="22"/>
        </w:rPr>
        <w:t xml:space="preserve"> internal</w:t>
      </w:r>
      <w:r w:rsidRPr="00734942">
        <w:rPr>
          <w:rFonts w:asciiTheme="minorHAnsi" w:eastAsiaTheme="minorHAnsi" w:hAnsiTheme="minorHAnsi" w:cstheme="minorBidi"/>
          <w:szCs w:val="22"/>
        </w:rPr>
        <w:t xml:space="preserve"> model performance in 200 bootstrap samples was similar with narrow confidence intervals</w:t>
      </w:r>
      <w:r w:rsidR="003920B3">
        <w:rPr>
          <w:rFonts w:asciiTheme="minorHAnsi" w:eastAsiaTheme="minorHAnsi" w:hAnsiTheme="minorHAnsi" w:cstheme="minorBidi"/>
          <w:szCs w:val="22"/>
        </w:rPr>
        <w:t xml:space="preserve"> (</w:t>
      </w:r>
      <w:r w:rsidR="00E7011A">
        <w:rPr>
          <w:rFonts w:asciiTheme="minorHAnsi" w:eastAsiaTheme="minorHAnsi" w:hAnsiTheme="minorHAnsi" w:cstheme="minorBidi"/>
          <w:szCs w:val="22"/>
        </w:rPr>
        <w:fldChar w:fldCharType="begin"/>
      </w:r>
      <w:r w:rsidR="00E7011A">
        <w:rPr>
          <w:rFonts w:asciiTheme="minorHAnsi" w:eastAsiaTheme="minorHAnsi" w:hAnsiTheme="minorHAnsi" w:cstheme="minorBidi"/>
          <w:szCs w:val="22"/>
        </w:rPr>
        <w:instrText xml:space="preserve"> REF _Ref83908370 \h  \* MERGEFORMAT </w:instrText>
      </w:r>
      <w:r w:rsidR="00E7011A">
        <w:rPr>
          <w:rFonts w:asciiTheme="minorHAnsi" w:eastAsiaTheme="minorHAnsi" w:hAnsiTheme="minorHAnsi" w:cstheme="minorBidi"/>
          <w:szCs w:val="22"/>
        </w:rPr>
      </w:r>
      <w:r w:rsidR="00E7011A">
        <w:rPr>
          <w:rFonts w:asciiTheme="minorHAnsi" w:eastAsiaTheme="minorHAnsi" w:hAnsiTheme="minorHAnsi" w:cstheme="minorBidi"/>
          <w:szCs w:val="22"/>
        </w:rPr>
        <w:fldChar w:fldCharType="separate"/>
      </w:r>
      <w:r w:rsidR="008B5583" w:rsidRPr="00C34531">
        <w:rPr>
          <w:rFonts w:asciiTheme="minorHAnsi" w:eastAsiaTheme="minorHAnsi" w:hAnsiTheme="minorHAnsi" w:cstheme="minorBidi"/>
          <w:szCs w:val="22"/>
        </w:rPr>
        <w:t>Table 4</w:t>
      </w:r>
      <w:r w:rsidR="00E7011A">
        <w:rPr>
          <w:rFonts w:asciiTheme="minorHAnsi" w:eastAsiaTheme="minorHAnsi" w:hAnsiTheme="minorHAnsi" w:cstheme="minorBidi"/>
          <w:szCs w:val="22"/>
        </w:rPr>
        <w:fldChar w:fldCharType="end"/>
      </w:r>
      <w:r w:rsidR="003920B3">
        <w:rPr>
          <w:rFonts w:asciiTheme="minorHAnsi" w:eastAsiaTheme="minorHAnsi" w:hAnsiTheme="minorHAnsi" w:cstheme="minorBidi"/>
          <w:szCs w:val="22"/>
        </w:rPr>
        <w:t>)</w:t>
      </w:r>
      <w:r w:rsidRPr="00734942">
        <w:rPr>
          <w:rFonts w:asciiTheme="minorHAnsi" w:eastAsiaTheme="minorHAnsi" w:hAnsiTheme="minorHAnsi" w:cstheme="minorBidi"/>
          <w:szCs w:val="22"/>
        </w:rPr>
        <w:t>.</w:t>
      </w:r>
    </w:p>
    <w:p w14:paraId="5C8A8F04" w14:textId="4F045AEC" w:rsidR="00024521" w:rsidRPr="00734942" w:rsidRDefault="00024521" w:rsidP="00024521">
      <w:pPr>
        <w:pStyle w:val="Heading3"/>
      </w:pPr>
      <w:bookmarkStart w:id="134" w:name="_Toc99539850"/>
      <w:r w:rsidRPr="00734942">
        <w:t>External validation</w:t>
      </w:r>
      <w:bookmarkEnd w:id="134"/>
    </w:p>
    <w:p w14:paraId="03C2D1F0" w14:textId="291616EF" w:rsidR="00DF5EDB" w:rsidRPr="00734942" w:rsidRDefault="00F50CF7" w:rsidP="00DF5EDB">
      <w:pPr>
        <w:pStyle w:val="NormalIndent"/>
        <w:ind w:left="0"/>
        <w:jc w:val="left"/>
        <w:rPr>
          <w:rFonts w:asciiTheme="minorHAnsi" w:eastAsiaTheme="minorHAnsi" w:hAnsiTheme="minorHAnsi" w:cstheme="minorBidi"/>
          <w:szCs w:val="22"/>
        </w:rPr>
      </w:pPr>
      <w:r w:rsidRPr="00734942">
        <w:rPr>
          <w:rFonts w:asciiTheme="minorHAnsi" w:eastAsiaTheme="minorHAnsi" w:hAnsiTheme="minorHAnsi" w:cstheme="minorBidi"/>
          <w:szCs w:val="22"/>
        </w:rPr>
        <w:t xml:space="preserve">The prevalence of each predictor was generally lower in </w:t>
      </w:r>
      <w:r w:rsidR="006D6A33">
        <w:rPr>
          <w:rFonts w:asciiTheme="minorHAnsi" w:eastAsiaTheme="minorHAnsi" w:hAnsiTheme="minorHAnsi" w:cstheme="minorBidi"/>
          <w:szCs w:val="22"/>
        </w:rPr>
        <w:t xml:space="preserve">the </w:t>
      </w:r>
      <w:r w:rsidR="00FC5B9F">
        <w:rPr>
          <w:rFonts w:asciiTheme="minorHAnsi" w:eastAsiaTheme="minorHAnsi" w:hAnsiTheme="minorHAnsi" w:cstheme="minorBidi"/>
          <w:szCs w:val="22"/>
        </w:rPr>
        <w:t xml:space="preserve">external </w:t>
      </w:r>
      <w:r w:rsidR="006D6A33">
        <w:rPr>
          <w:rFonts w:asciiTheme="minorHAnsi" w:eastAsiaTheme="minorHAnsi" w:hAnsiTheme="minorHAnsi" w:cstheme="minorBidi"/>
          <w:szCs w:val="22"/>
        </w:rPr>
        <w:t>validation dataset</w:t>
      </w:r>
      <w:r w:rsidRPr="00734942">
        <w:rPr>
          <w:rFonts w:asciiTheme="minorHAnsi" w:eastAsiaTheme="minorHAnsi" w:hAnsiTheme="minorHAnsi" w:cstheme="minorBidi"/>
          <w:szCs w:val="22"/>
        </w:rPr>
        <w:t xml:space="preserve">. </w:t>
      </w:r>
      <w:r w:rsidR="00DF5EDB" w:rsidRPr="00734942">
        <w:rPr>
          <w:rFonts w:asciiTheme="minorHAnsi" w:eastAsiaTheme="minorHAnsi" w:hAnsiTheme="minorHAnsi" w:cstheme="minorBidi"/>
          <w:szCs w:val="22"/>
        </w:rPr>
        <w:t xml:space="preserve">The models performed less well in the </w:t>
      </w:r>
      <w:r w:rsidR="00AA19C2" w:rsidRPr="00734942">
        <w:rPr>
          <w:rFonts w:asciiTheme="minorHAnsi" w:eastAsiaTheme="minorHAnsi" w:hAnsiTheme="minorHAnsi" w:cstheme="minorBidi"/>
          <w:szCs w:val="22"/>
        </w:rPr>
        <w:t>validation dataset</w:t>
      </w:r>
      <w:r w:rsidR="00DF5EDB" w:rsidRPr="00734942">
        <w:rPr>
          <w:rFonts w:asciiTheme="minorHAnsi" w:eastAsiaTheme="minorHAnsi" w:hAnsiTheme="minorHAnsi" w:cstheme="minorBidi"/>
          <w:szCs w:val="22"/>
        </w:rPr>
        <w:t xml:space="preserve">. </w:t>
      </w:r>
      <w:r w:rsidR="000D703B">
        <w:rPr>
          <w:rFonts w:asciiTheme="minorHAnsi" w:eastAsiaTheme="minorHAnsi" w:hAnsiTheme="minorHAnsi" w:cstheme="minorBidi"/>
          <w:szCs w:val="22"/>
        </w:rPr>
        <w:t>The amount of var</w:t>
      </w:r>
      <w:r w:rsidR="00F7194E">
        <w:rPr>
          <w:rFonts w:asciiTheme="minorHAnsi" w:eastAsiaTheme="minorHAnsi" w:hAnsiTheme="minorHAnsi" w:cstheme="minorBidi"/>
          <w:szCs w:val="22"/>
        </w:rPr>
        <w:t xml:space="preserve">iability explained by the model dropped to </w:t>
      </w:r>
      <w:r w:rsidR="00F014B9">
        <w:rPr>
          <w:rFonts w:asciiTheme="minorHAnsi" w:eastAsiaTheme="minorHAnsi" w:hAnsiTheme="minorHAnsi" w:cstheme="minorBidi"/>
          <w:szCs w:val="22"/>
        </w:rPr>
        <w:t>below 7</w:t>
      </w:r>
      <w:r w:rsidR="00F7194E">
        <w:rPr>
          <w:rFonts w:asciiTheme="minorHAnsi" w:eastAsiaTheme="minorHAnsi" w:hAnsiTheme="minorHAnsi" w:cstheme="minorBidi"/>
          <w:szCs w:val="22"/>
        </w:rPr>
        <w:t>%</w:t>
      </w:r>
      <w:r w:rsidR="00F014B9">
        <w:rPr>
          <w:rFonts w:asciiTheme="minorHAnsi" w:eastAsiaTheme="minorHAnsi" w:hAnsiTheme="minorHAnsi" w:cstheme="minorBidi"/>
          <w:szCs w:val="22"/>
        </w:rPr>
        <w:t xml:space="preserve"> in all models</w:t>
      </w:r>
      <w:r w:rsidR="00DF5EDB" w:rsidRPr="00734942">
        <w:rPr>
          <w:rFonts w:asciiTheme="minorHAnsi" w:eastAsiaTheme="minorHAnsi" w:hAnsiTheme="minorHAnsi" w:cstheme="minorBidi"/>
          <w:szCs w:val="22"/>
        </w:rPr>
        <w:t xml:space="preserve">. The c-statistics </w:t>
      </w:r>
      <w:r w:rsidR="00185A33">
        <w:rPr>
          <w:rFonts w:asciiTheme="minorHAnsi" w:eastAsiaTheme="minorHAnsi" w:hAnsiTheme="minorHAnsi" w:cstheme="minorBidi"/>
          <w:szCs w:val="22"/>
        </w:rPr>
        <w:t>were above 0.5, suggesting that the model</w:t>
      </w:r>
      <w:r w:rsidR="00F76937">
        <w:rPr>
          <w:rFonts w:asciiTheme="minorHAnsi" w:eastAsiaTheme="minorHAnsi" w:hAnsiTheme="minorHAnsi" w:cstheme="minorBidi"/>
          <w:szCs w:val="22"/>
        </w:rPr>
        <w:t>s</w:t>
      </w:r>
      <w:r w:rsidR="00185A33">
        <w:rPr>
          <w:rFonts w:asciiTheme="minorHAnsi" w:eastAsiaTheme="minorHAnsi" w:hAnsiTheme="minorHAnsi" w:cstheme="minorBidi"/>
          <w:szCs w:val="22"/>
        </w:rPr>
        <w:t xml:space="preserve"> discriminated</w:t>
      </w:r>
      <w:r w:rsidR="00DF5EDB" w:rsidRPr="00734942">
        <w:rPr>
          <w:rFonts w:asciiTheme="minorHAnsi" w:eastAsiaTheme="minorHAnsi" w:hAnsiTheme="minorHAnsi" w:cstheme="minorBidi"/>
          <w:szCs w:val="22"/>
        </w:rPr>
        <w:t xml:space="preserve"> better than chance. Calibration intercepts were further away from 0 and calibration slopes further away from 1 compared to the apparent model performance. The R-squared, c statistic, and calibration slope were not different for people with </w:t>
      </w:r>
      <w:r w:rsidR="009E3294" w:rsidRPr="00734942">
        <w:rPr>
          <w:rFonts w:asciiTheme="minorHAnsi" w:eastAsiaTheme="minorHAnsi" w:hAnsiTheme="minorHAnsi" w:cstheme="minorBidi"/>
          <w:szCs w:val="22"/>
        </w:rPr>
        <w:t>or</w:t>
      </w:r>
      <w:r w:rsidR="00DF5EDB" w:rsidRPr="00734942">
        <w:rPr>
          <w:rFonts w:asciiTheme="minorHAnsi" w:eastAsiaTheme="minorHAnsi" w:hAnsiTheme="minorHAnsi" w:cstheme="minorBidi"/>
          <w:szCs w:val="22"/>
        </w:rPr>
        <w:t xml:space="preserve"> without </w:t>
      </w:r>
      <w:r w:rsidR="00C25994" w:rsidRPr="00734942">
        <w:rPr>
          <w:rFonts w:asciiTheme="minorHAnsi" w:eastAsiaTheme="minorHAnsi" w:hAnsiTheme="minorHAnsi" w:cstheme="minorBidi"/>
          <w:szCs w:val="22"/>
        </w:rPr>
        <w:t xml:space="preserve">a first-degree relative </w:t>
      </w:r>
      <w:r w:rsidR="00DF5EDB" w:rsidRPr="00734942">
        <w:rPr>
          <w:rFonts w:asciiTheme="minorHAnsi" w:eastAsiaTheme="minorHAnsi" w:hAnsiTheme="minorHAnsi" w:cstheme="minorBidi"/>
          <w:szCs w:val="22"/>
        </w:rPr>
        <w:t>with CD.</w:t>
      </w:r>
    </w:p>
    <w:p w14:paraId="76A127B8" w14:textId="31D0A320" w:rsidR="00A14D5A" w:rsidRPr="00734942" w:rsidRDefault="00A14D5A" w:rsidP="005672CA">
      <w:pPr>
        <w:pStyle w:val="Caption"/>
      </w:pPr>
      <w:bookmarkStart w:id="135" w:name="_Ref83908370"/>
      <w:bookmarkStart w:id="136" w:name="_Toc99720715"/>
      <w:r w:rsidRPr="00734942">
        <w:t xml:space="preserve">Table </w:t>
      </w:r>
      <w:r w:rsidRPr="00734942">
        <w:fldChar w:fldCharType="begin"/>
      </w:r>
      <w:r w:rsidRPr="00734942">
        <w:instrText>SEQ Table \* ARABIC</w:instrText>
      </w:r>
      <w:r w:rsidRPr="00734942">
        <w:fldChar w:fldCharType="separate"/>
      </w:r>
      <w:r w:rsidR="008B5583">
        <w:rPr>
          <w:noProof/>
        </w:rPr>
        <w:t>4</w:t>
      </w:r>
      <w:r w:rsidRPr="00734942">
        <w:fldChar w:fldCharType="end"/>
      </w:r>
      <w:bookmarkEnd w:id="135"/>
      <w:r w:rsidRPr="00734942">
        <w:t xml:space="preserve"> Model performance</w:t>
      </w:r>
      <w:bookmarkEnd w:id="136"/>
    </w:p>
    <w:p w14:paraId="67FBD522" w14:textId="7166F7CD" w:rsidR="00A14D5A" w:rsidRPr="009D4838" w:rsidRDefault="00785031" w:rsidP="00A14D5A">
      <w:pPr>
        <w:rPr>
          <w:sz w:val="20"/>
          <w:szCs w:val="20"/>
        </w:rPr>
      </w:pPr>
      <w:r w:rsidRPr="009D4838">
        <w:rPr>
          <w:sz w:val="20"/>
          <w:szCs w:val="20"/>
          <w:vertAlign w:val="superscript"/>
        </w:rPr>
        <w:t>a</w:t>
      </w:r>
      <w:r w:rsidR="00A14D5A" w:rsidRPr="009D4838">
        <w:rPr>
          <w:sz w:val="20"/>
          <w:szCs w:val="20"/>
        </w:rPr>
        <w:t xml:space="preserve"> Calibration statistics were estimated using an inflated control group to adjust for sampling frequency.</w:t>
      </w:r>
      <w:r w:rsidR="00C25994" w:rsidRPr="009D4838">
        <w:rPr>
          <w:sz w:val="20"/>
          <w:szCs w:val="20"/>
        </w:rPr>
        <w:t xml:space="preserve"> FDR: first-degree relative.</w:t>
      </w:r>
    </w:p>
    <w:tbl>
      <w:tblPr>
        <w:tblStyle w:val="TableGrid"/>
        <w:tblW w:w="9214" w:type="dxa"/>
        <w:tblInd w:w="-5" w:type="dxa"/>
        <w:tblLook w:val="04A0" w:firstRow="1" w:lastRow="0" w:firstColumn="1" w:lastColumn="0" w:noHBand="0" w:noVBand="1"/>
      </w:tblPr>
      <w:tblGrid>
        <w:gridCol w:w="2127"/>
        <w:gridCol w:w="1701"/>
        <w:gridCol w:w="2126"/>
        <w:gridCol w:w="3260"/>
      </w:tblGrid>
      <w:tr w:rsidR="00DF5EDB" w:rsidRPr="00734942" w14:paraId="05AA9303" w14:textId="77777777" w:rsidTr="008869D7">
        <w:tc>
          <w:tcPr>
            <w:tcW w:w="2127" w:type="dxa"/>
            <w:vAlign w:val="center"/>
          </w:tcPr>
          <w:p w14:paraId="5939477B" w14:textId="77777777" w:rsidR="00DF5EDB" w:rsidRPr="00734942" w:rsidRDefault="00DF5EDB" w:rsidP="007F251D">
            <w:pPr>
              <w:rPr>
                <w:rFonts w:cstheme="minorHAnsi"/>
                <w:b/>
                <w:bCs/>
                <w:sz w:val="20"/>
                <w:szCs w:val="20"/>
              </w:rPr>
            </w:pPr>
          </w:p>
        </w:tc>
        <w:tc>
          <w:tcPr>
            <w:tcW w:w="1701" w:type="dxa"/>
            <w:vAlign w:val="center"/>
          </w:tcPr>
          <w:p w14:paraId="05782177" w14:textId="77777777" w:rsidR="00DF5EDB" w:rsidRPr="00734942" w:rsidRDefault="00DF5EDB" w:rsidP="007F251D">
            <w:pPr>
              <w:jc w:val="center"/>
              <w:rPr>
                <w:rFonts w:cstheme="minorHAnsi"/>
                <w:b/>
                <w:bCs/>
                <w:sz w:val="20"/>
                <w:szCs w:val="20"/>
              </w:rPr>
            </w:pPr>
            <w:r w:rsidRPr="00734942">
              <w:rPr>
                <w:rFonts w:cstheme="minorHAnsi"/>
                <w:b/>
                <w:bCs/>
                <w:sz w:val="20"/>
                <w:szCs w:val="20"/>
              </w:rPr>
              <w:t>Apparent model performance</w:t>
            </w:r>
          </w:p>
        </w:tc>
        <w:tc>
          <w:tcPr>
            <w:tcW w:w="2126" w:type="dxa"/>
            <w:vAlign w:val="center"/>
          </w:tcPr>
          <w:p w14:paraId="6CA8754B" w14:textId="77777777" w:rsidR="00DF5EDB" w:rsidRPr="00734942" w:rsidRDefault="00DF5EDB" w:rsidP="007F251D">
            <w:pPr>
              <w:jc w:val="center"/>
              <w:rPr>
                <w:rFonts w:cstheme="minorHAnsi"/>
                <w:b/>
                <w:bCs/>
                <w:sz w:val="20"/>
                <w:szCs w:val="20"/>
              </w:rPr>
            </w:pPr>
            <w:r w:rsidRPr="00734942">
              <w:rPr>
                <w:rFonts w:cstheme="minorHAnsi"/>
                <w:b/>
                <w:bCs/>
                <w:sz w:val="20"/>
                <w:szCs w:val="20"/>
              </w:rPr>
              <w:t>Internally validated model performance</w:t>
            </w:r>
          </w:p>
        </w:tc>
        <w:tc>
          <w:tcPr>
            <w:tcW w:w="3260" w:type="dxa"/>
            <w:vAlign w:val="center"/>
          </w:tcPr>
          <w:p w14:paraId="15A8BEC0" w14:textId="77777777" w:rsidR="00DF5EDB" w:rsidRPr="00734942" w:rsidRDefault="00DF5EDB" w:rsidP="007F251D">
            <w:pPr>
              <w:jc w:val="center"/>
              <w:rPr>
                <w:rFonts w:cstheme="minorHAnsi"/>
                <w:b/>
                <w:bCs/>
                <w:sz w:val="20"/>
                <w:szCs w:val="20"/>
              </w:rPr>
            </w:pPr>
            <w:r w:rsidRPr="00734942">
              <w:rPr>
                <w:rFonts w:cstheme="minorHAnsi"/>
                <w:b/>
                <w:bCs/>
                <w:sz w:val="20"/>
                <w:szCs w:val="20"/>
              </w:rPr>
              <w:t>Externally validated model performance</w:t>
            </w:r>
          </w:p>
        </w:tc>
      </w:tr>
      <w:tr w:rsidR="00DF5EDB" w:rsidRPr="00734942" w14:paraId="1CCC9EC4" w14:textId="77777777" w:rsidTr="008869D7">
        <w:tc>
          <w:tcPr>
            <w:tcW w:w="2127" w:type="dxa"/>
            <w:vAlign w:val="center"/>
          </w:tcPr>
          <w:p w14:paraId="7BD68399" w14:textId="77777777" w:rsidR="00DF5EDB" w:rsidRPr="00734942" w:rsidRDefault="00DF5EDB" w:rsidP="007F251D">
            <w:pPr>
              <w:rPr>
                <w:rFonts w:cstheme="minorHAnsi"/>
                <w:b/>
                <w:bCs/>
                <w:sz w:val="20"/>
                <w:szCs w:val="20"/>
              </w:rPr>
            </w:pPr>
            <w:r w:rsidRPr="00734942">
              <w:rPr>
                <w:rFonts w:cstheme="minorHAnsi"/>
                <w:b/>
                <w:bCs/>
                <w:sz w:val="20"/>
                <w:szCs w:val="20"/>
              </w:rPr>
              <w:t>Data</w:t>
            </w:r>
          </w:p>
        </w:tc>
        <w:tc>
          <w:tcPr>
            <w:tcW w:w="1701" w:type="dxa"/>
            <w:vAlign w:val="center"/>
          </w:tcPr>
          <w:p w14:paraId="6F83768C" w14:textId="77777777" w:rsidR="00DF5EDB" w:rsidRPr="00734942" w:rsidRDefault="00DF5EDB" w:rsidP="007F251D">
            <w:pPr>
              <w:jc w:val="center"/>
              <w:rPr>
                <w:rFonts w:cstheme="minorHAnsi"/>
                <w:b/>
                <w:bCs/>
                <w:sz w:val="20"/>
                <w:szCs w:val="20"/>
              </w:rPr>
            </w:pPr>
            <w:r w:rsidRPr="00734942">
              <w:rPr>
                <w:rFonts w:cstheme="minorHAnsi"/>
                <w:b/>
                <w:bCs/>
                <w:sz w:val="20"/>
                <w:szCs w:val="20"/>
              </w:rPr>
              <w:t>Original data set (CPRD Gold)</w:t>
            </w:r>
          </w:p>
        </w:tc>
        <w:tc>
          <w:tcPr>
            <w:tcW w:w="2126" w:type="dxa"/>
            <w:vAlign w:val="center"/>
          </w:tcPr>
          <w:p w14:paraId="2167BD57" w14:textId="77777777" w:rsidR="00DF5EDB" w:rsidRPr="00734942" w:rsidRDefault="00DF5EDB" w:rsidP="007F251D">
            <w:pPr>
              <w:jc w:val="center"/>
              <w:rPr>
                <w:rFonts w:cstheme="minorHAnsi"/>
                <w:b/>
                <w:bCs/>
                <w:sz w:val="20"/>
                <w:szCs w:val="20"/>
              </w:rPr>
            </w:pPr>
            <w:r w:rsidRPr="00734942">
              <w:rPr>
                <w:rFonts w:cstheme="minorHAnsi"/>
                <w:b/>
                <w:bCs/>
                <w:sz w:val="20"/>
                <w:szCs w:val="20"/>
              </w:rPr>
              <w:t>200x bootstrap samples of original data, median (IQR)</w:t>
            </w:r>
          </w:p>
        </w:tc>
        <w:tc>
          <w:tcPr>
            <w:tcW w:w="3260" w:type="dxa"/>
            <w:vAlign w:val="center"/>
          </w:tcPr>
          <w:p w14:paraId="23D77C69" w14:textId="77777777" w:rsidR="00DF5EDB" w:rsidRPr="00734942" w:rsidRDefault="00DF5EDB" w:rsidP="007F251D">
            <w:pPr>
              <w:jc w:val="center"/>
              <w:rPr>
                <w:rFonts w:cstheme="minorHAnsi"/>
                <w:b/>
                <w:bCs/>
                <w:sz w:val="20"/>
                <w:szCs w:val="20"/>
              </w:rPr>
            </w:pPr>
            <w:r w:rsidRPr="00734942">
              <w:rPr>
                <w:rFonts w:cstheme="minorHAnsi"/>
                <w:b/>
                <w:bCs/>
                <w:sz w:val="20"/>
                <w:szCs w:val="20"/>
              </w:rPr>
              <w:t>Independent data set (AURUM)</w:t>
            </w:r>
          </w:p>
        </w:tc>
      </w:tr>
      <w:tr w:rsidR="00C76271" w:rsidRPr="00734942" w14:paraId="166A921C" w14:textId="77777777" w:rsidTr="008869D7">
        <w:tc>
          <w:tcPr>
            <w:tcW w:w="2127" w:type="dxa"/>
            <w:shd w:val="clear" w:color="auto" w:fill="BFBFBF" w:themeFill="background1" w:themeFillShade="BF"/>
            <w:vAlign w:val="center"/>
          </w:tcPr>
          <w:p w14:paraId="70F377C7" w14:textId="77777777" w:rsidR="00DF5EDB" w:rsidRPr="00734942" w:rsidRDefault="00DF5EDB" w:rsidP="007F251D">
            <w:pPr>
              <w:rPr>
                <w:rFonts w:cstheme="minorHAnsi"/>
                <w:b/>
                <w:bCs/>
                <w:sz w:val="20"/>
                <w:szCs w:val="20"/>
              </w:rPr>
            </w:pPr>
            <w:r w:rsidRPr="00734942">
              <w:rPr>
                <w:rFonts w:cstheme="minorHAnsi"/>
                <w:b/>
                <w:bCs/>
                <w:sz w:val="20"/>
                <w:szCs w:val="20"/>
              </w:rPr>
              <w:t>Children</w:t>
            </w:r>
          </w:p>
        </w:tc>
        <w:tc>
          <w:tcPr>
            <w:tcW w:w="1701" w:type="dxa"/>
            <w:shd w:val="clear" w:color="auto" w:fill="BFBFBF" w:themeFill="background1" w:themeFillShade="BF"/>
            <w:vAlign w:val="center"/>
          </w:tcPr>
          <w:p w14:paraId="4746FE6F" w14:textId="77777777" w:rsidR="00DF5EDB" w:rsidRPr="00734942" w:rsidRDefault="00DF5EDB" w:rsidP="007F251D">
            <w:pPr>
              <w:jc w:val="center"/>
              <w:rPr>
                <w:rFonts w:cstheme="minorHAnsi"/>
                <w:sz w:val="20"/>
                <w:szCs w:val="20"/>
              </w:rPr>
            </w:pPr>
          </w:p>
        </w:tc>
        <w:tc>
          <w:tcPr>
            <w:tcW w:w="2126" w:type="dxa"/>
            <w:shd w:val="clear" w:color="auto" w:fill="BFBFBF" w:themeFill="background1" w:themeFillShade="BF"/>
            <w:vAlign w:val="center"/>
          </w:tcPr>
          <w:p w14:paraId="099BCCF5" w14:textId="77777777" w:rsidR="00DF5EDB" w:rsidRPr="00734942" w:rsidRDefault="00DF5EDB" w:rsidP="007F251D">
            <w:pPr>
              <w:jc w:val="center"/>
              <w:rPr>
                <w:rFonts w:cstheme="minorHAnsi"/>
                <w:sz w:val="20"/>
                <w:szCs w:val="20"/>
              </w:rPr>
            </w:pPr>
          </w:p>
        </w:tc>
        <w:tc>
          <w:tcPr>
            <w:tcW w:w="3260" w:type="dxa"/>
            <w:shd w:val="clear" w:color="auto" w:fill="BFBFBF" w:themeFill="background1" w:themeFillShade="BF"/>
            <w:vAlign w:val="center"/>
          </w:tcPr>
          <w:p w14:paraId="3912844F" w14:textId="77777777" w:rsidR="00DF5EDB" w:rsidRPr="00734942" w:rsidRDefault="00DF5EDB" w:rsidP="007F251D">
            <w:pPr>
              <w:jc w:val="center"/>
              <w:rPr>
                <w:rFonts w:cstheme="minorHAnsi"/>
                <w:sz w:val="20"/>
                <w:szCs w:val="20"/>
              </w:rPr>
            </w:pPr>
          </w:p>
        </w:tc>
      </w:tr>
      <w:tr w:rsidR="0046562D" w:rsidRPr="00734942" w14:paraId="3C7355C8" w14:textId="77777777" w:rsidTr="008869D7">
        <w:trPr>
          <w:trHeight w:val="267"/>
        </w:trPr>
        <w:tc>
          <w:tcPr>
            <w:tcW w:w="2127" w:type="dxa"/>
            <w:vAlign w:val="center"/>
          </w:tcPr>
          <w:p w14:paraId="1173F39F" w14:textId="77777777" w:rsidR="0046562D" w:rsidRPr="00734942" w:rsidRDefault="0046562D" w:rsidP="007F251D">
            <w:pPr>
              <w:rPr>
                <w:rFonts w:cstheme="minorHAnsi"/>
                <w:b/>
                <w:bCs/>
                <w:sz w:val="20"/>
                <w:szCs w:val="20"/>
              </w:rPr>
            </w:pPr>
            <w:r w:rsidRPr="00734942">
              <w:rPr>
                <w:rFonts w:cstheme="minorHAnsi"/>
                <w:b/>
                <w:bCs/>
                <w:sz w:val="20"/>
                <w:szCs w:val="20"/>
              </w:rPr>
              <w:t>R-squared</w:t>
            </w:r>
          </w:p>
        </w:tc>
        <w:tc>
          <w:tcPr>
            <w:tcW w:w="1701" w:type="dxa"/>
            <w:vAlign w:val="center"/>
          </w:tcPr>
          <w:p w14:paraId="2855DE20" w14:textId="17E200F4" w:rsidR="0046562D" w:rsidRPr="00734942" w:rsidRDefault="0046562D" w:rsidP="007F251D">
            <w:pPr>
              <w:jc w:val="center"/>
              <w:rPr>
                <w:rFonts w:cstheme="minorHAnsi"/>
                <w:sz w:val="20"/>
                <w:szCs w:val="20"/>
              </w:rPr>
            </w:pPr>
            <w:r w:rsidRPr="00734942">
              <w:rPr>
                <w:rFonts w:cstheme="minorHAnsi"/>
                <w:sz w:val="20"/>
                <w:szCs w:val="20"/>
              </w:rPr>
              <w:t>0.407</w:t>
            </w:r>
          </w:p>
        </w:tc>
        <w:tc>
          <w:tcPr>
            <w:tcW w:w="2126" w:type="dxa"/>
            <w:vAlign w:val="center"/>
          </w:tcPr>
          <w:p w14:paraId="0137306B" w14:textId="6988B3D8" w:rsidR="0046562D" w:rsidRPr="00734942" w:rsidRDefault="0046562D" w:rsidP="007F251D">
            <w:pPr>
              <w:jc w:val="center"/>
              <w:rPr>
                <w:rFonts w:cstheme="minorHAnsi"/>
                <w:sz w:val="20"/>
                <w:szCs w:val="20"/>
              </w:rPr>
            </w:pPr>
            <w:r w:rsidRPr="00734942">
              <w:rPr>
                <w:rFonts w:cstheme="minorHAnsi"/>
                <w:sz w:val="20"/>
                <w:szCs w:val="20"/>
              </w:rPr>
              <w:t>0.408 (0.401; 0.413)</w:t>
            </w:r>
          </w:p>
        </w:tc>
        <w:tc>
          <w:tcPr>
            <w:tcW w:w="3260" w:type="dxa"/>
            <w:vAlign w:val="center"/>
          </w:tcPr>
          <w:p w14:paraId="3D493497" w14:textId="3758B9FF" w:rsidR="0046562D" w:rsidRPr="00734942" w:rsidRDefault="0046562D" w:rsidP="007F251D">
            <w:pPr>
              <w:jc w:val="center"/>
              <w:rPr>
                <w:rFonts w:cstheme="minorHAnsi"/>
                <w:sz w:val="20"/>
                <w:szCs w:val="20"/>
              </w:rPr>
            </w:pPr>
            <w:r w:rsidRPr="00734942">
              <w:rPr>
                <w:rFonts w:cstheme="minorHAnsi"/>
                <w:sz w:val="20"/>
                <w:szCs w:val="20"/>
              </w:rPr>
              <w:t>0.065</w:t>
            </w:r>
          </w:p>
        </w:tc>
      </w:tr>
      <w:tr w:rsidR="0046562D" w:rsidRPr="00734942" w14:paraId="4DB5878C" w14:textId="77777777" w:rsidTr="008869D7">
        <w:tc>
          <w:tcPr>
            <w:tcW w:w="2127" w:type="dxa"/>
            <w:vAlign w:val="center"/>
          </w:tcPr>
          <w:p w14:paraId="55CF9AD4" w14:textId="7567FBD4" w:rsidR="0046562D" w:rsidRPr="00734942" w:rsidRDefault="0046562D" w:rsidP="007F251D">
            <w:pPr>
              <w:rPr>
                <w:rFonts w:cstheme="minorHAnsi"/>
                <w:b/>
                <w:bCs/>
                <w:sz w:val="20"/>
                <w:szCs w:val="20"/>
              </w:rPr>
            </w:pPr>
            <w:r w:rsidRPr="00734942">
              <w:rPr>
                <w:rFonts w:cstheme="minorHAnsi"/>
                <w:b/>
                <w:bCs/>
                <w:sz w:val="20"/>
                <w:szCs w:val="20"/>
              </w:rPr>
              <w:t>Brier score</w:t>
            </w:r>
          </w:p>
        </w:tc>
        <w:tc>
          <w:tcPr>
            <w:tcW w:w="1701" w:type="dxa"/>
            <w:vAlign w:val="center"/>
          </w:tcPr>
          <w:p w14:paraId="1873A863" w14:textId="544B4251" w:rsidR="0046562D" w:rsidRPr="00734942" w:rsidRDefault="0046562D" w:rsidP="007F251D">
            <w:pPr>
              <w:jc w:val="center"/>
              <w:rPr>
                <w:rFonts w:cstheme="minorHAnsi"/>
                <w:sz w:val="20"/>
                <w:szCs w:val="20"/>
              </w:rPr>
            </w:pPr>
            <w:r w:rsidRPr="00734942">
              <w:rPr>
                <w:rFonts w:cstheme="minorHAnsi"/>
                <w:sz w:val="20"/>
                <w:szCs w:val="20"/>
              </w:rPr>
              <w:t>0.167</w:t>
            </w:r>
          </w:p>
        </w:tc>
        <w:tc>
          <w:tcPr>
            <w:tcW w:w="2126" w:type="dxa"/>
            <w:vAlign w:val="center"/>
          </w:tcPr>
          <w:p w14:paraId="280F8AA0" w14:textId="6C1BCBA6" w:rsidR="0046562D" w:rsidRPr="00734942" w:rsidRDefault="0046562D" w:rsidP="007F251D">
            <w:pPr>
              <w:jc w:val="center"/>
              <w:rPr>
                <w:rFonts w:cstheme="minorHAnsi"/>
                <w:sz w:val="20"/>
                <w:szCs w:val="20"/>
              </w:rPr>
            </w:pPr>
            <w:r w:rsidRPr="00734942">
              <w:rPr>
                <w:rFonts w:cstheme="minorHAnsi"/>
                <w:sz w:val="20"/>
                <w:szCs w:val="20"/>
              </w:rPr>
              <w:t>0.167 (0.165; 0.169)</w:t>
            </w:r>
          </w:p>
        </w:tc>
        <w:tc>
          <w:tcPr>
            <w:tcW w:w="3260" w:type="dxa"/>
            <w:vAlign w:val="center"/>
          </w:tcPr>
          <w:p w14:paraId="4EC8DB7F" w14:textId="3DCBFEC2" w:rsidR="0046562D" w:rsidRPr="00734942" w:rsidRDefault="0046562D" w:rsidP="007F251D">
            <w:pPr>
              <w:jc w:val="center"/>
              <w:rPr>
                <w:rFonts w:cstheme="minorHAnsi"/>
                <w:sz w:val="20"/>
                <w:szCs w:val="20"/>
              </w:rPr>
            </w:pPr>
            <w:r w:rsidRPr="00734942">
              <w:rPr>
                <w:rFonts w:cstheme="minorHAnsi"/>
                <w:sz w:val="20"/>
                <w:szCs w:val="20"/>
              </w:rPr>
              <w:t>0.190 / 0.156</w:t>
            </w:r>
          </w:p>
          <w:p w14:paraId="7745D97D" w14:textId="68663F03" w:rsidR="0046562D" w:rsidRPr="00734942" w:rsidRDefault="0046562D" w:rsidP="007F251D">
            <w:pPr>
              <w:jc w:val="center"/>
              <w:rPr>
                <w:rFonts w:cstheme="minorHAnsi"/>
                <w:sz w:val="20"/>
                <w:szCs w:val="20"/>
              </w:rPr>
            </w:pPr>
            <w:r w:rsidRPr="00734942">
              <w:rPr>
                <w:rFonts w:cstheme="minorHAnsi"/>
                <w:sz w:val="20"/>
                <w:szCs w:val="20"/>
              </w:rPr>
              <w:t>Without / with FDR</w:t>
            </w:r>
          </w:p>
        </w:tc>
      </w:tr>
      <w:tr w:rsidR="00DF5EDB" w:rsidRPr="00734942" w14:paraId="6B48F562" w14:textId="77777777" w:rsidTr="008869D7">
        <w:tc>
          <w:tcPr>
            <w:tcW w:w="2127" w:type="dxa"/>
            <w:vAlign w:val="center"/>
          </w:tcPr>
          <w:p w14:paraId="2FAE9F31" w14:textId="77777777" w:rsidR="00DF5EDB" w:rsidRPr="00734942" w:rsidRDefault="00DF5EDB" w:rsidP="007F251D">
            <w:pPr>
              <w:rPr>
                <w:rFonts w:cstheme="minorHAnsi"/>
                <w:b/>
                <w:bCs/>
                <w:sz w:val="20"/>
                <w:szCs w:val="20"/>
              </w:rPr>
            </w:pPr>
            <w:r w:rsidRPr="00734942">
              <w:rPr>
                <w:rFonts w:cstheme="minorHAnsi"/>
                <w:b/>
                <w:bCs/>
                <w:sz w:val="20"/>
                <w:szCs w:val="20"/>
              </w:rPr>
              <w:t>C statistic</w:t>
            </w:r>
          </w:p>
        </w:tc>
        <w:tc>
          <w:tcPr>
            <w:tcW w:w="1701" w:type="dxa"/>
            <w:vAlign w:val="center"/>
          </w:tcPr>
          <w:p w14:paraId="591DE3DB" w14:textId="41C6CA66" w:rsidR="00DF5EDB" w:rsidRPr="00734942" w:rsidRDefault="00E02108" w:rsidP="007F251D">
            <w:pPr>
              <w:jc w:val="center"/>
              <w:rPr>
                <w:rFonts w:cstheme="minorHAnsi"/>
                <w:sz w:val="20"/>
                <w:szCs w:val="20"/>
              </w:rPr>
            </w:pPr>
            <w:r w:rsidRPr="00734942">
              <w:rPr>
                <w:rFonts w:cstheme="minorHAnsi"/>
                <w:sz w:val="20"/>
                <w:szCs w:val="20"/>
              </w:rPr>
              <w:t>0.821</w:t>
            </w:r>
          </w:p>
        </w:tc>
        <w:tc>
          <w:tcPr>
            <w:tcW w:w="2126" w:type="dxa"/>
            <w:vAlign w:val="center"/>
          </w:tcPr>
          <w:p w14:paraId="6ABB2637" w14:textId="2E7DB3C4" w:rsidR="00DF5EDB" w:rsidRPr="00734942" w:rsidRDefault="00AC6A0C" w:rsidP="007F251D">
            <w:pPr>
              <w:jc w:val="center"/>
              <w:rPr>
                <w:rFonts w:cstheme="minorHAnsi"/>
                <w:sz w:val="20"/>
                <w:szCs w:val="20"/>
              </w:rPr>
            </w:pPr>
            <w:r w:rsidRPr="00734942">
              <w:rPr>
                <w:rFonts w:cstheme="minorHAnsi"/>
                <w:sz w:val="20"/>
                <w:szCs w:val="20"/>
              </w:rPr>
              <w:t>0.821 (0.818; 0.824)</w:t>
            </w:r>
          </w:p>
        </w:tc>
        <w:tc>
          <w:tcPr>
            <w:tcW w:w="3260" w:type="dxa"/>
            <w:vAlign w:val="center"/>
          </w:tcPr>
          <w:p w14:paraId="28B60E22" w14:textId="17E5C720" w:rsidR="00DF5EDB" w:rsidRPr="00734942" w:rsidRDefault="0046562D" w:rsidP="007F251D">
            <w:pPr>
              <w:jc w:val="center"/>
              <w:rPr>
                <w:rFonts w:cstheme="minorHAnsi"/>
                <w:sz w:val="20"/>
                <w:szCs w:val="20"/>
              </w:rPr>
            </w:pPr>
            <w:r w:rsidRPr="00734942">
              <w:rPr>
                <w:rFonts w:cstheme="minorHAnsi"/>
                <w:sz w:val="20"/>
                <w:szCs w:val="20"/>
              </w:rPr>
              <w:t>0.600</w:t>
            </w:r>
          </w:p>
        </w:tc>
      </w:tr>
      <w:tr w:rsidR="000F7E2F" w:rsidRPr="00734942" w14:paraId="7FE6E969" w14:textId="77777777" w:rsidTr="008869D7">
        <w:tc>
          <w:tcPr>
            <w:tcW w:w="2127" w:type="dxa"/>
            <w:vAlign w:val="center"/>
          </w:tcPr>
          <w:p w14:paraId="68FA91EE" w14:textId="371813CD" w:rsidR="000F7E2F" w:rsidRPr="00734942" w:rsidRDefault="000F7E2F" w:rsidP="007F251D">
            <w:pPr>
              <w:rPr>
                <w:rFonts w:cstheme="minorHAnsi"/>
                <w:b/>
                <w:bCs/>
                <w:sz w:val="20"/>
                <w:szCs w:val="20"/>
              </w:rPr>
            </w:pPr>
            <w:r w:rsidRPr="00734942">
              <w:rPr>
                <w:rFonts w:cstheme="minorHAnsi"/>
                <w:b/>
                <w:bCs/>
                <w:sz w:val="20"/>
                <w:szCs w:val="20"/>
              </w:rPr>
              <w:t>Calibration intercept</w:t>
            </w:r>
            <w:r w:rsidR="00785031" w:rsidRPr="00785031">
              <w:rPr>
                <w:rFonts w:cstheme="minorHAnsi"/>
                <w:b/>
                <w:bCs/>
                <w:sz w:val="20"/>
                <w:szCs w:val="20"/>
                <w:vertAlign w:val="superscript"/>
              </w:rPr>
              <w:t>a</w:t>
            </w:r>
          </w:p>
        </w:tc>
        <w:tc>
          <w:tcPr>
            <w:tcW w:w="1701" w:type="dxa"/>
            <w:vAlign w:val="center"/>
          </w:tcPr>
          <w:p w14:paraId="6FBD55DD" w14:textId="07544AF9" w:rsidR="000F7E2F" w:rsidRPr="00734942" w:rsidRDefault="000F7E2F" w:rsidP="007F251D">
            <w:pPr>
              <w:jc w:val="center"/>
              <w:rPr>
                <w:rFonts w:cstheme="minorHAnsi"/>
                <w:sz w:val="20"/>
                <w:szCs w:val="20"/>
              </w:rPr>
            </w:pPr>
            <w:r w:rsidRPr="00734942">
              <w:rPr>
                <w:rFonts w:cstheme="minorHAnsi"/>
                <w:sz w:val="20"/>
                <w:szCs w:val="20"/>
              </w:rPr>
              <w:t>0.147</w:t>
            </w:r>
          </w:p>
        </w:tc>
        <w:tc>
          <w:tcPr>
            <w:tcW w:w="2126" w:type="dxa"/>
            <w:vAlign w:val="center"/>
          </w:tcPr>
          <w:p w14:paraId="4D93E988" w14:textId="2AB45969" w:rsidR="000F7E2F" w:rsidRPr="00734942" w:rsidRDefault="000F7E2F" w:rsidP="007F251D">
            <w:pPr>
              <w:jc w:val="center"/>
              <w:rPr>
                <w:rFonts w:cstheme="minorHAnsi"/>
                <w:sz w:val="20"/>
                <w:szCs w:val="20"/>
              </w:rPr>
            </w:pPr>
            <w:r w:rsidRPr="00734942">
              <w:rPr>
                <w:rFonts w:cstheme="minorHAnsi"/>
                <w:sz w:val="20"/>
                <w:szCs w:val="20"/>
              </w:rPr>
              <w:t>0.161 (0.134; 0.181)</w:t>
            </w:r>
          </w:p>
        </w:tc>
        <w:tc>
          <w:tcPr>
            <w:tcW w:w="3260" w:type="dxa"/>
            <w:vAlign w:val="center"/>
          </w:tcPr>
          <w:p w14:paraId="107E93C8" w14:textId="77777777" w:rsidR="000F7E2F" w:rsidRPr="00734942" w:rsidRDefault="000F7E2F" w:rsidP="007F251D">
            <w:pPr>
              <w:jc w:val="center"/>
              <w:rPr>
                <w:rFonts w:cstheme="minorHAnsi"/>
                <w:sz w:val="20"/>
                <w:szCs w:val="20"/>
              </w:rPr>
            </w:pPr>
            <w:r w:rsidRPr="00734942">
              <w:rPr>
                <w:rFonts w:cstheme="minorHAnsi"/>
                <w:sz w:val="20"/>
                <w:szCs w:val="20"/>
              </w:rPr>
              <w:t>0.433 / -2.676</w:t>
            </w:r>
          </w:p>
          <w:p w14:paraId="5B58FCCB" w14:textId="7D0AD60A" w:rsidR="000F7E2F" w:rsidRPr="00734942" w:rsidRDefault="000F7E2F" w:rsidP="007F251D">
            <w:pPr>
              <w:jc w:val="center"/>
              <w:rPr>
                <w:rFonts w:cstheme="minorHAnsi"/>
                <w:sz w:val="20"/>
                <w:szCs w:val="20"/>
              </w:rPr>
            </w:pPr>
            <w:r w:rsidRPr="00734942">
              <w:rPr>
                <w:rFonts w:cstheme="minorHAnsi"/>
                <w:sz w:val="20"/>
                <w:szCs w:val="20"/>
              </w:rPr>
              <w:t>Without / with FDR</w:t>
            </w:r>
          </w:p>
        </w:tc>
      </w:tr>
      <w:tr w:rsidR="000F7E2F" w:rsidRPr="00734942" w14:paraId="40F700DD" w14:textId="77777777" w:rsidTr="008869D7">
        <w:tc>
          <w:tcPr>
            <w:tcW w:w="2127" w:type="dxa"/>
            <w:vAlign w:val="center"/>
          </w:tcPr>
          <w:p w14:paraId="5895500A" w14:textId="783DE482" w:rsidR="000F7E2F" w:rsidRPr="00734942" w:rsidRDefault="000F7E2F" w:rsidP="007F251D">
            <w:pPr>
              <w:rPr>
                <w:rFonts w:cstheme="minorHAnsi"/>
                <w:b/>
                <w:bCs/>
                <w:sz w:val="20"/>
                <w:szCs w:val="20"/>
              </w:rPr>
            </w:pPr>
            <w:r w:rsidRPr="00734942">
              <w:rPr>
                <w:rFonts w:cstheme="minorHAnsi"/>
                <w:b/>
                <w:bCs/>
                <w:sz w:val="20"/>
                <w:szCs w:val="20"/>
              </w:rPr>
              <w:t>Calibration slope</w:t>
            </w:r>
            <w:r w:rsidR="00785031" w:rsidRPr="00785031">
              <w:rPr>
                <w:rFonts w:cstheme="minorHAnsi"/>
                <w:b/>
                <w:bCs/>
                <w:sz w:val="20"/>
                <w:szCs w:val="20"/>
                <w:vertAlign w:val="superscript"/>
              </w:rPr>
              <w:t>a</w:t>
            </w:r>
          </w:p>
        </w:tc>
        <w:tc>
          <w:tcPr>
            <w:tcW w:w="1701" w:type="dxa"/>
            <w:vAlign w:val="center"/>
          </w:tcPr>
          <w:p w14:paraId="732C62E0" w14:textId="47CCF930" w:rsidR="000F7E2F" w:rsidRPr="00734942" w:rsidRDefault="000F7E2F" w:rsidP="007F251D">
            <w:pPr>
              <w:jc w:val="center"/>
              <w:rPr>
                <w:rFonts w:cstheme="minorHAnsi"/>
                <w:sz w:val="20"/>
                <w:szCs w:val="20"/>
              </w:rPr>
            </w:pPr>
            <w:r w:rsidRPr="00734942">
              <w:rPr>
                <w:rFonts w:cstheme="minorHAnsi"/>
                <w:sz w:val="20"/>
                <w:szCs w:val="20"/>
              </w:rPr>
              <w:t>0.964</w:t>
            </w:r>
          </w:p>
        </w:tc>
        <w:tc>
          <w:tcPr>
            <w:tcW w:w="2126" w:type="dxa"/>
            <w:vAlign w:val="center"/>
          </w:tcPr>
          <w:p w14:paraId="08DA2403" w14:textId="16ECC6BA" w:rsidR="000F7E2F" w:rsidRPr="00734942" w:rsidRDefault="000F7E2F" w:rsidP="007F251D">
            <w:pPr>
              <w:jc w:val="center"/>
              <w:rPr>
                <w:rFonts w:cstheme="minorHAnsi"/>
                <w:sz w:val="20"/>
                <w:szCs w:val="20"/>
              </w:rPr>
            </w:pPr>
            <w:r w:rsidRPr="00734942">
              <w:rPr>
                <w:rFonts w:cstheme="minorHAnsi"/>
                <w:sz w:val="20"/>
                <w:szCs w:val="20"/>
              </w:rPr>
              <w:t>0.986 (0.959; 1.014)</w:t>
            </w:r>
          </w:p>
        </w:tc>
        <w:tc>
          <w:tcPr>
            <w:tcW w:w="3260" w:type="dxa"/>
            <w:vAlign w:val="center"/>
          </w:tcPr>
          <w:p w14:paraId="33A44BA6" w14:textId="5D28C7BE" w:rsidR="000F7E2F" w:rsidRPr="00734942" w:rsidRDefault="000F7E2F" w:rsidP="007F251D">
            <w:pPr>
              <w:jc w:val="center"/>
              <w:rPr>
                <w:rFonts w:cstheme="minorHAnsi"/>
                <w:sz w:val="20"/>
                <w:szCs w:val="20"/>
              </w:rPr>
            </w:pPr>
            <w:r w:rsidRPr="00734942">
              <w:rPr>
                <w:rFonts w:cstheme="minorHAnsi"/>
                <w:sz w:val="20"/>
                <w:szCs w:val="20"/>
              </w:rPr>
              <w:t>0.655</w:t>
            </w:r>
          </w:p>
        </w:tc>
      </w:tr>
      <w:tr w:rsidR="00C76271" w:rsidRPr="00734942" w14:paraId="3E42B3C6" w14:textId="77777777" w:rsidTr="008869D7">
        <w:tc>
          <w:tcPr>
            <w:tcW w:w="2127" w:type="dxa"/>
            <w:shd w:val="clear" w:color="auto" w:fill="BFBFBF" w:themeFill="background1" w:themeFillShade="BF"/>
            <w:vAlign w:val="center"/>
          </w:tcPr>
          <w:p w14:paraId="5EE8E4CB" w14:textId="77777777" w:rsidR="00DF5EDB" w:rsidRPr="00734942" w:rsidRDefault="00DF5EDB" w:rsidP="007F251D">
            <w:pPr>
              <w:rPr>
                <w:rFonts w:cstheme="minorHAnsi"/>
                <w:b/>
                <w:bCs/>
                <w:sz w:val="20"/>
                <w:szCs w:val="20"/>
              </w:rPr>
            </w:pPr>
            <w:r w:rsidRPr="00734942">
              <w:rPr>
                <w:rFonts w:cstheme="minorHAnsi"/>
                <w:b/>
                <w:bCs/>
                <w:sz w:val="20"/>
                <w:szCs w:val="20"/>
              </w:rPr>
              <w:t>Women</w:t>
            </w:r>
          </w:p>
        </w:tc>
        <w:tc>
          <w:tcPr>
            <w:tcW w:w="1701" w:type="dxa"/>
            <w:shd w:val="clear" w:color="auto" w:fill="BFBFBF" w:themeFill="background1" w:themeFillShade="BF"/>
            <w:vAlign w:val="center"/>
          </w:tcPr>
          <w:p w14:paraId="279E16AA" w14:textId="77777777" w:rsidR="00DF5EDB" w:rsidRPr="00734942" w:rsidRDefault="00DF5EDB" w:rsidP="007F251D">
            <w:pPr>
              <w:jc w:val="center"/>
              <w:rPr>
                <w:rFonts w:cstheme="minorHAnsi"/>
                <w:sz w:val="20"/>
                <w:szCs w:val="20"/>
              </w:rPr>
            </w:pPr>
          </w:p>
        </w:tc>
        <w:tc>
          <w:tcPr>
            <w:tcW w:w="2126" w:type="dxa"/>
            <w:shd w:val="clear" w:color="auto" w:fill="BFBFBF" w:themeFill="background1" w:themeFillShade="BF"/>
            <w:vAlign w:val="center"/>
          </w:tcPr>
          <w:p w14:paraId="76D84634" w14:textId="77777777" w:rsidR="00DF5EDB" w:rsidRPr="00734942" w:rsidRDefault="00DF5EDB" w:rsidP="007F251D">
            <w:pPr>
              <w:jc w:val="center"/>
              <w:rPr>
                <w:rFonts w:cstheme="minorHAnsi"/>
                <w:sz w:val="20"/>
                <w:szCs w:val="20"/>
              </w:rPr>
            </w:pPr>
          </w:p>
        </w:tc>
        <w:tc>
          <w:tcPr>
            <w:tcW w:w="3260" w:type="dxa"/>
            <w:shd w:val="clear" w:color="auto" w:fill="BFBFBF" w:themeFill="background1" w:themeFillShade="BF"/>
            <w:vAlign w:val="center"/>
          </w:tcPr>
          <w:p w14:paraId="620A3FE9" w14:textId="77777777" w:rsidR="00DF5EDB" w:rsidRPr="00734942" w:rsidRDefault="00DF5EDB" w:rsidP="007F251D">
            <w:pPr>
              <w:jc w:val="center"/>
              <w:rPr>
                <w:rFonts w:cstheme="minorHAnsi"/>
                <w:sz w:val="20"/>
                <w:szCs w:val="20"/>
              </w:rPr>
            </w:pPr>
          </w:p>
        </w:tc>
      </w:tr>
      <w:tr w:rsidR="00C65681" w:rsidRPr="00734942" w14:paraId="27DAEF76" w14:textId="77777777" w:rsidTr="008869D7">
        <w:tc>
          <w:tcPr>
            <w:tcW w:w="2127" w:type="dxa"/>
            <w:vAlign w:val="center"/>
          </w:tcPr>
          <w:p w14:paraId="1FF77C83" w14:textId="77777777" w:rsidR="00C65681" w:rsidRPr="00734942" w:rsidRDefault="00C65681" w:rsidP="007F251D">
            <w:pPr>
              <w:rPr>
                <w:rFonts w:cstheme="minorHAnsi"/>
                <w:b/>
                <w:bCs/>
                <w:sz w:val="20"/>
                <w:szCs w:val="20"/>
              </w:rPr>
            </w:pPr>
            <w:r w:rsidRPr="00734942">
              <w:rPr>
                <w:rFonts w:cstheme="minorHAnsi"/>
                <w:b/>
                <w:bCs/>
                <w:sz w:val="20"/>
                <w:szCs w:val="20"/>
              </w:rPr>
              <w:t>R-squared</w:t>
            </w:r>
          </w:p>
        </w:tc>
        <w:tc>
          <w:tcPr>
            <w:tcW w:w="1701" w:type="dxa"/>
            <w:vAlign w:val="center"/>
          </w:tcPr>
          <w:p w14:paraId="74706F4D" w14:textId="22936F30" w:rsidR="00C65681" w:rsidRPr="00734942" w:rsidRDefault="00C65681" w:rsidP="007F251D">
            <w:pPr>
              <w:jc w:val="center"/>
              <w:rPr>
                <w:rFonts w:cstheme="minorHAnsi"/>
                <w:sz w:val="20"/>
                <w:szCs w:val="20"/>
              </w:rPr>
            </w:pPr>
            <w:r w:rsidRPr="00734942">
              <w:rPr>
                <w:rFonts w:cstheme="minorHAnsi"/>
                <w:sz w:val="20"/>
                <w:szCs w:val="20"/>
              </w:rPr>
              <w:t>0.237</w:t>
            </w:r>
          </w:p>
        </w:tc>
        <w:tc>
          <w:tcPr>
            <w:tcW w:w="2126" w:type="dxa"/>
            <w:vAlign w:val="center"/>
          </w:tcPr>
          <w:p w14:paraId="186AC247" w14:textId="5A7B16D7" w:rsidR="00C65681" w:rsidRPr="00734942" w:rsidRDefault="00C65681" w:rsidP="007F251D">
            <w:pPr>
              <w:jc w:val="center"/>
              <w:rPr>
                <w:rFonts w:cstheme="minorHAnsi"/>
                <w:sz w:val="20"/>
                <w:szCs w:val="20"/>
              </w:rPr>
            </w:pPr>
            <w:r w:rsidRPr="00734942">
              <w:rPr>
                <w:rFonts w:cstheme="minorHAnsi"/>
                <w:sz w:val="20"/>
                <w:szCs w:val="20"/>
              </w:rPr>
              <w:t>0.248 (0.242; 0.254)</w:t>
            </w:r>
          </w:p>
        </w:tc>
        <w:tc>
          <w:tcPr>
            <w:tcW w:w="3260" w:type="dxa"/>
            <w:vAlign w:val="center"/>
          </w:tcPr>
          <w:p w14:paraId="52ABE772" w14:textId="5D76F533" w:rsidR="00C65681" w:rsidRPr="00734942" w:rsidRDefault="00C65681" w:rsidP="007F251D">
            <w:pPr>
              <w:jc w:val="center"/>
              <w:rPr>
                <w:rFonts w:cstheme="minorHAnsi"/>
                <w:sz w:val="20"/>
                <w:szCs w:val="20"/>
              </w:rPr>
            </w:pPr>
            <w:r w:rsidRPr="00734942">
              <w:rPr>
                <w:rFonts w:cstheme="minorHAnsi"/>
                <w:sz w:val="20"/>
                <w:szCs w:val="20"/>
              </w:rPr>
              <w:t>0.032</w:t>
            </w:r>
          </w:p>
        </w:tc>
      </w:tr>
      <w:tr w:rsidR="00C65681" w:rsidRPr="00734942" w14:paraId="7AAF8EC1" w14:textId="77777777" w:rsidTr="008869D7">
        <w:tc>
          <w:tcPr>
            <w:tcW w:w="2127" w:type="dxa"/>
            <w:vAlign w:val="center"/>
          </w:tcPr>
          <w:p w14:paraId="1FCBC54C" w14:textId="66FAD3B1" w:rsidR="00C65681" w:rsidRPr="00734942" w:rsidRDefault="00C65681" w:rsidP="007F251D">
            <w:pPr>
              <w:rPr>
                <w:rFonts w:cstheme="minorHAnsi"/>
                <w:b/>
                <w:bCs/>
                <w:sz w:val="20"/>
                <w:szCs w:val="20"/>
              </w:rPr>
            </w:pPr>
            <w:r w:rsidRPr="00734942">
              <w:rPr>
                <w:rFonts w:cstheme="minorHAnsi"/>
                <w:b/>
                <w:bCs/>
                <w:sz w:val="20"/>
                <w:szCs w:val="20"/>
              </w:rPr>
              <w:t>Brier score</w:t>
            </w:r>
          </w:p>
        </w:tc>
        <w:tc>
          <w:tcPr>
            <w:tcW w:w="1701" w:type="dxa"/>
            <w:vAlign w:val="center"/>
          </w:tcPr>
          <w:p w14:paraId="675CA623" w14:textId="0D1D40C2" w:rsidR="00C65681" w:rsidRPr="00734942" w:rsidRDefault="00C65681" w:rsidP="007F251D">
            <w:pPr>
              <w:jc w:val="center"/>
              <w:rPr>
                <w:rFonts w:cstheme="minorHAnsi"/>
                <w:sz w:val="20"/>
                <w:szCs w:val="20"/>
              </w:rPr>
            </w:pPr>
            <w:r w:rsidRPr="00734942">
              <w:rPr>
                <w:rFonts w:cstheme="minorHAnsi"/>
                <w:sz w:val="20"/>
                <w:szCs w:val="20"/>
              </w:rPr>
              <w:t>0.227</w:t>
            </w:r>
          </w:p>
        </w:tc>
        <w:tc>
          <w:tcPr>
            <w:tcW w:w="2126" w:type="dxa"/>
            <w:vAlign w:val="center"/>
          </w:tcPr>
          <w:p w14:paraId="685E6906" w14:textId="3F2823A7" w:rsidR="00C65681" w:rsidRPr="00734942" w:rsidRDefault="00C65681" w:rsidP="007F251D">
            <w:pPr>
              <w:jc w:val="center"/>
              <w:rPr>
                <w:rFonts w:cstheme="minorHAnsi"/>
                <w:sz w:val="20"/>
                <w:szCs w:val="20"/>
              </w:rPr>
            </w:pPr>
            <w:r w:rsidRPr="00734942">
              <w:rPr>
                <w:rFonts w:cstheme="minorHAnsi"/>
                <w:sz w:val="20"/>
                <w:szCs w:val="20"/>
              </w:rPr>
              <w:t>0.225 (0.223; 0.227)</w:t>
            </w:r>
          </w:p>
        </w:tc>
        <w:tc>
          <w:tcPr>
            <w:tcW w:w="3260" w:type="dxa"/>
            <w:vAlign w:val="center"/>
          </w:tcPr>
          <w:p w14:paraId="20D7C633" w14:textId="77777777" w:rsidR="00C65681" w:rsidRPr="00734942" w:rsidRDefault="00C65681" w:rsidP="007F251D">
            <w:pPr>
              <w:jc w:val="center"/>
              <w:rPr>
                <w:rFonts w:cstheme="minorHAnsi"/>
                <w:sz w:val="20"/>
                <w:szCs w:val="20"/>
              </w:rPr>
            </w:pPr>
            <w:r w:rsidRPr="00734942">
              <w:rPr>
                <w:rFonts w:cstheme="minorHAnsi"/>
                <w:sz w:val="20"/>
                <w:szCs w:val="20"/>
              </w:rPr>
              <w:t>0.245 / 0.217</w:t>
            </w:r>
          </w:p>
          <w:p w14:paraId="08F002FE" w14:textId="67093FEE" w:rsidR="00C65681" w:rsidRPr="00734942" w:rsidRDefault="00C65681" w:rsidP="007F251D">
            <w:pPr>
              <w:jc w:val="center"/>
              <w:rPr>
                <w:rFonts w:cstheme="minorHAnsi"/>
                <w:sz w:val="20"/>
                <w:szCs w:val="20"/>
              </w:rPr>
            </w:pPr>
            <w:r w:rsidRPr="00734942">
              <w:rPr>
                <w:rFonts w:cstheme="minorHAnsi"/>
                <w:sz w:val="20"/>
                <w:szCs w:val="20"/>
              </w:rPr>
              <w:t>Without / with FDR</w:t>
            </w:r>
          </w:p>
        </w:tc>
      </w:tr>
      <w:tr w:rsidR="00DF5EDB" w:rsidRPr="00734942" w14:paraId="5D79B5B4" w14:textId="77777777" w:rsidTr="008869D7">
        <w:tc>
          <w:tcPr>
            <w:tcW w:w="2127" w:type="dxa"/>
            <w:vAlign w:val="center"/>
          </w:tcPr>
          <w:p w14:paraId="15213CB0" w14:textId="77777777" w:rsidR="00DF5EDB" w:rsidRPr="00734942" w:rsidRDefault="00DF5EDB" w:rsidP="007F251D">
            <w:pPr>
              <w:rPr>
                <w:rFonts w:cstheme="minorHAnsi"/>
                <w:b/>
                <w:bCs/>
                <w:sz w:val="20"/>
                <w:szCs w:val="20"/>
              </w:rPr>
            </w:pPr>
            <w:r w:rsidRPr="00734942">
              <w:rPr>
                <w:rFonts w:cstheme="minorHAnsi"/>
                <w:b/>
                <w:bCs/>
                <w:sz w:val="20"/>
                <w:szCs w:val="20"/>
              </w:rPr>
              <w:t>C statistic</w:t>
            </w:r>
          </w:p>
        </w:tc>
        <w:tc>
          <w:tcPr>
            <w:tcW w:w="1701" w:type="dxa"/>
            <w:vAlign w:val="center"/>
          </w:tcPr>
          <w:p w14:paraId="3721F5F8" w14:textId="3635E930" w:rsidR="00DF5EDB" w:rsidRPr="00734942" w:rsidRDefault="00F05D39" w:rsidP="007F251D">
            <w:pPr>
              <w:jc w:val="center"/>
              <w:rPr>
                <w:rFonts w:cstheme="minorHAnsi"/>
                <w:sz w:val="20"/>
                <w:szCs w:val="20"/>
              </w:rPr>
            </w:pPr>
            <w:r w:rsidRPr="00734942">
              <w:rPr>
                <w:rFonts w:cstheme="minorHAnsi"/>
                <w:sz w:val="20"/>
                <w:szCs w:val="20"/>
              </w:rPr>
              <w:t>0.756</w:t>
            </w:r>
          </w:p>
        </w:tc>
        <w:tc>
          <w:tcPr>
            <w:tcW w:w="2126" w:type="dxa"/>
            <w:vAlign w:val="center"/>
          </w:tcPr>
          <w:p w14:paraId="2CE5F041" w14:textId="64F5176D" w:rsidR="00DF5EDB" w:rsidRPr="00734942" w:rsidRDefault="0014662C" w:rsidP="007F251D">
            <w:pPr>
              <w:jc w:val="center"/>
              <w:rPr>
                <w:rFonts w:cstheme="minorHAnsi"/>
                <w:sz w:val="20"/>
                <w:szCs w:val="20"/>
              </w:rPr>
            </w:pPr>
            <w:r w:rsidRPr="00734942">
              <w:rPr>
                <w:rFonts w:cstheme="minorHAnsi"/>
                <w:sz w:val="20"/>
                <w:szCs w:val="20"/>
              </w:rPr>
              <w:t>0.764 (0.761; 0.767)</w:t>
            </w:r>
          </w:p>
        </w:tc>
        <w:tc>
          <w:tcPr>
            <w:tcW w:w="3260" w:type="dxa"/>
            <w:vAlign w:val="center"/>
          </w:tcPr>
          <w:p w14:paraId="0C3EBA32" w14:textId="51319AC8" w:rsidR="00DF5EDB" w:rsidRPr="00734942" w:rsidRDefault="00C65681" w:rsidP="007F251D">
            <w:pPr>
              <w:jc w:val="center"/>
              <w:rPr>
                <w:rFonts w:cstheme="minorHAnsi"/>
                <w:sz w:val="20"/>
                <w:szCs w:val="20"/>
              </w:rPr>
            </w:pPr>
            <w:r w:rsidRPr="00734942">
              <w:rPr>
                <w:rFonts w:cstheme="minorHAnsi"/>
                <w:sz w:val="20"/>
                <w:szCs w:val="20"/>
              </w:rPr>
              <w:t>0.551</w:t>
            </w:r>
          </w:p>
        </w:tc>
      </w:tr>
      <w:tr w:rsidR="008B105C" w:rsidRPr="00734942" w14:paraId="22CCC689" w14:textId="77777777" w:rsidTr="008869D7">
        <w:tc>
          <w:tcPr>
            <w:tcW w:w="2127" w:type="dxa"/>
            <w:vAlign w:val="center"/>
          </w:tcPr>
          <w:p w14:paraId="213C944F" w14:textId="3FE84C39" w:rsidR="008B105C" w:rsidRPr="00734942" w:rsidRDefault="008B105C" w:rsidP="007F251D">
            <w:pPr>
              <w:rPr>
                <w:rFonts w:cstheme="minorHAnsi"/>
                <w:b/>
                <w:bCs/>
                <w:sz w:val="20"/>
                <w:szCs w:val="20"/>
              </w:rPr>
            </w:pPr>
            <w:r w:rsidRPr="00734942">
              <w:rPr>
                <w:rFonts w:cstheme="minorHAnsi"/>
                <w:b/>
                <w:bCs/>
                <w:sz w:val="20"/>
                <w:szCs w:val="20"/>
              </w:rPr>
              <w:t>Calibration intercept</w:t>
            </w:r>
            <w:r w:rsidR="00785031" w:rsidRPr="00785031">
              <w:rPr>
                <w:rFonts w:cstheme="minorHAnsi"/>
                <w:b/>
                <w:bCs/>
                <w:sz w:val="20"/>
                <w:szCs w:val="20"/>
                <w:vertAlign w:val="superscript"/>
              </w:rPr>
              <w:t>a</w:t>
            </w:r>
          </w:p>
        </w:tc>
        <w:tc>
          <w:tcPr>
            <w:tcW w:w="1701" w:type="dxa"/>
            <w:vAlign w:val="center"/>
          </w:tcPr>
          <w:p w14:paraId="2C124CFA" w14:textId="24E61B1D" w:rsidR="008B105C" w:rsidRPr="00734942" w:rsidRDefault="008B105C" w:rsidP="007F251D">
            <w:pPr>
              <w:jc w:val="center"/>
              <w:rPr>
                <w:rFonts w:cstheme="minorHAnsi"/>
                <w:sz w:val="20"/>
                <w:szCs w:val="20"/>
              </w:rPr>
            </w:pPr>
            <w:r w:rsidRPr="00734942">
              <w:rPr>
                <w:rFonts w:cstheme="minorHAnsi"/>
                <w:sz w:val="20"/>
                <w:szCs w:val="20"/>
              </w:rPr>
              <w:t>-0.161</w:t>
            </w:r>
          </w:p>
        </w:tc>
        <w:tc>
          <w:tcPr>
            <w:tcW w:w="2126" w:type="dxa"/>
            <w:vAlign w:val="center"/>
          </w:tcPr>
          <w:p w14:paraId="551FE816" w14:textId="05C5A6AA" w:rsidR="008B105C" w:rsidRPr="00734942" w:rsidRDefault="008B105C" w:rsidP="007F251D">
            <w:pPr>
              <w:jc w:val="center"/>
              <w:rPr>
                <w:rFonts w:cstheme="minorHAnsi"/>
                <w:sz w:val="20"/>
                <w:szCs w:val="20"/>
              </w:rPr>
            </w:pPr>
            <w:r w:rsidRPr="00734942">
              <w:rPr>
                <w:rFonts w:cstheme="minorHAnsi"/>
                <w:sz w:val="20"/>
                <w:szCs w:val="20"/>
              </w:rPr>
              <w:t>-0.153 (-0.169; -0.143)</w:t>
            </w:r>
          </w:p>
        </w:tc>
        <w:tc>
          <w:tcPr>
            <w:tcW w:w="3260" w:type="dxa"/>
            <w:vAlign w:val="center"/>
          </w:tcPr>
          <w:p w14:paraId="14B6EE16" w14:textId="77777777" w:rsidR="008B105C" w:rsidRPr="00734942" w:rsidRDefault="008B105C" w:rsidP="007F251D">
            <w:pPr>
              <w:jc w:val="center"/>
              <w:rPr>
                <w:rFonts w:cstheme="minorHAnsi"/>
                <w:sz w:val="20"/>
                <w:szCs w:val="20"/>
              </w:rPr>
            </w:pPr>
            <w:r w:rsidRPr="00734942">
              <w:rPr>
                <w:rFonts w:cstheme="minorHAnsi"/>
                <w:sz w:val="20"/>
                <w:szCs w:val="20"/>
              </w:rPr>
              <w:t>0.433 / -2.676</w:t>
            </w:r>
          </w:p>
          <w:p w14:paraId="55EDE73C" w14:textId="31AFBC44" w:rsidR="008B105C" w:rsidRPr="00734942" w:rsidRDefault="008B105C" w:rsidP="007F251D">
            <w:pPr>
              <w:jc w:val="center"/>
              <w:rPr>
                <w:rFonts w:cstheme="minorHAnsi"/>
                <w:sz w:val="20"/>
                <w:szCs w:val="20"/>
              </w:rPr>
            </w:pPr>
            <w:r w:rsidRPr="00734942">
              <w:rPr>
                <w:rFonts w:cstheme="minorHAnsi"/>
                <w:sz w:val="20"/>
                <w:szCs w:val="20"/>
              </w:rPr>
              <w:t>Without / with FDR</w:t>
            </w:r>
          </w:p>
        </w:tc>
      </w:tr>
      <w:tr w:rsidR="008B105C" w:rsidRPr="00734942" w14:paraId="566B710A" w14:textId="77777777" w:rsidTr="008869D7">
        <w:tc>
          <w:tcPr>
            <w:tcW w:w="2127" w:type="dxa"/>
            <w:vAlign w:val="center"/>
          </w:tcPr>
          <w:p w14:paraId="24E9322A" w14:textId="5F4CC0BE" w:rsidR="008B105C" w:rsidRPr="00734942" w:rsidRDefault="008B105C" w:rsidP="007F251D">
            <w:pPr>
              <w:rPr>
                <w:rFonts w:cstheme="minorHAnsi"/>
                <w:b/>
                <w:bCs/>
                <w:sz w:val="20"/>
                <w:szCs w:val="20"/>
              </w:rPr>
            </w:pPr>
            <w:r w:rsidRPr="00734942">
              <w:rPr>
                <w:rFonts w:cstheme="minorHAnsi"/>
                <w:b/>
                <w:bCs/>
                <w:sz w:val="20"/>
                <w:szCs w:val="20"/>
              </w:rPr>
              <w:t>Calibration slope</w:t>
            </w:r>
            <w:r w:rsidR="00785031" w:rsidRPr="00785031">
              <w:rPr>
                <w:rFonts w:cstheme="minorHAnsi"/>
                <w:b/>
                <w:bCs/>
                <w:sz w:val="20"/>
                <w:szCs w:val="20"/>
                <w:vertAlign w:val="superscript"/>
              </w:rPr>
              <w:t>a</w:t>
            </w:r>
          </w:p>
        </w:tc>
        <w:tc>
          <w:tcPr>
            <w:tcW w:w="1701" w:type="dxa"/>
            <w:vAlign w:val="center"/>
          </w:tcPr>
          <w:p w14:paraId="2136382C" w14:textId="2AAAE85A" w:rsidR="008B105C" w:rsidRPr="00734942" w:rsidRDefault="008B105C" w:rsidP="007F251D">
            <w:pPr>
              <w:jc w:val="center"/>
              <w:rPr>
                <w:rFonts w:cstheme="minorHAnsi"/>
                <w:sz w:val="20"/>
                <w:szCs w:val="20"/>
              </w:rPr>
            </w:pPr>
            <w:r w:rsidRPr="00734942">
              <w:rPr>
                <w:rFonts w:cstheme="minorHAnsi"/>
                <w:sz w:val="20"/>
                <w:szCs w:val="20"/>
              </w:rPr>
              <w:t>0.822</w:t>
            </w:r>
          </w:p>
        </w:tc>
        <w:tc>
          <w:tcPr>
            <w:tcW w:w="2126" w:type="dxa"/>
            <w:vAlign w:val="center"/>
          </w:tcPr>
          <w:p w14:paraId="3815AB54" w14:textId="6703B700" w:rsidR="008B105C" w:rsidRPr="00734942" w:rsidRDefault="008B105C" w:rsidP="007F251D">
            <w:pPr>
              <w:jc w:val="center"/>
              <w:rPr>
                <w:rFonts w:cstheme="minorHAnsi"/>
                <w:sz w:val="20"/>
                <w:szCs w:val="20"/>
              </w:rPr>
            </w:pPr>
            <w:r w:rsidRPr="00734942">
              <w:rPr>
                <w:rFonts w:cstheme="minorHAnsi"/>
                <w:sz w:val="20"/>
                <w:szCs w:val="20"/>
              </w:rPr>
              <w:t>0.836 (0.817; 0.855)</w:t>
            </w:r>
          </w:p>
        </w:tc>
        <w:tc>
          <w:tcPr>
            <w:tcW w:w="3260" w:type="dxa"/>
            <w:vAlign w:val="center"/>
          </w:tcPr>
          <w:p w14:paraId="325A89F6" w14:textId="432A4D02" w:rsidR="008B105C" w:rsidRPr="00734942" w:rsidRDefault="008B105C" w:rsidP="007F251D">
            <w:pPr>
              <w:jc w:val="center"/>
              <w:rPr>
                <w:rFonts w:cstheme="minorHAnsi"/>
                <w:sz w:val="20"/>
                <w:szCs w:val="20"/>
              </w:rPr>
            </w:pPr>
            <w:r w:rsidRPr="00734942">
              <w:rPr>
                <w:rFonts w:cstheme="minorHAnsi"/>
                <w:sz w:val="20"/>
                <w:szCs w:val="20"/>
              </w:rPr>
              <w:t>0.655</w:t>
            </w:r>
          </w:p>
        </w:tc>
      </w:tr>
      <w:tr w:rsidR="00C76271" w:rsidRPr="00734942" w14:paraId="0B95ED2A" w14:textId="77777777" w:rsidTr="008869D7">
        <w:tc>
          <w:tcPr>
            <w:tcW w:w="2127" w:type="dxa"/>
            <w:shd w:val="clear" w:color="auto" w:fill="BFBFBF" w:themeFill="background1" w:themeFillShade="BF"/>
            <w:vAlign w:val="center"/>
          </w:tcPr>
          <w:p w14:paraId="72DC8231" w14:textId="77777777" w:rsidR="00DF5EDB" w:rsidRPr="00734942" w:rsidRDefault="00DF5EDB" w:rsidP="007F251D">
            <w:pPr>
              <w:rPr>
                <w:rFonts w:cstheme="minorHAnsi"/>
                <w:b/>
                <w:bCs/>
                <w:sz w:val="20"/>
                <w:szCs w:val="20"/>
              </w:rPr>
            </w:pPr>
            <w:r w:rsidRPr="00734942">
              <w:rPr>
                <w:rFonts w:cstheme="minorHAnsi"/>
                <w:b/>
                <w:bCs/>
                <w:sz w:val="20"/>
                <w:szCs w:val="20"/>
              </w:rPr>
              <w:t>Men</w:t>
            </w:r>
          </w:p>
        </w:tc>
        <w:tc>
          <w:tcPr>
            <w:tcW w:w="1701" w:type="dxa"/>
            <w:shd w:val="clear" w:color="auto" w:fill="BFBFBF" w:themeFill="background1" w:themeFillShade="BF"/>
            <w:vAlign w:val="center"/>
          </w:tcPr>
          <w:p w14:paraId="107B91C8" w14:textId="77777777" w:rsidR="00DF5EDB" w:rsidRPr="00734942" w:rsidRDefault="00DF5EDB" w:rsidP="007F251D">
            <w:pPr>
              <w:jc w:val="center"/>
              <w:rPr>
                <w:rFonts w:cstheme="minorHAnsi"/>
                <w:sz w:val="20"/>
                <w:szCs w:val="20"/>
              </w:rPr>
            </w:pPr>
          </w:p>
        </w:tc>
        <w:tc>
          <w:tcPr>
            <w:tcW w:w="2126" w:type="dxa"/>
            <w:shd w:val="clear" w:color="auto" w:fill="BFBFBF" w:themeFill="background1" w:themeFillShade="BF"/>
            <w:vAlign w:val="center"/>
          </w:tcPr>
          <w:p w14:paraId="6F94626C" w14:textId="77777777" w:rsidR="00DF5EDB" w:rsidRPr="00734942" w:rsidRDefault="00DF5EDB" w:rsidP="007F251D">
            <w:pPr>
              <w:jc w:val="center"/>
              <w:rPr>
                <w:rFonts w:cstheme="minorHAnsi"/>
                <w:sz w:val="20"/>
                <w:szCs w:val="20"/>
              </w:rPr>
            </w:pPr>
          </w:p>
        </w:tc>
        <w:tc>
          <w:tcPr>
            <w:tcW w:w="3260" w:type="dxa"/>
            <w:shd w:val="clear" w:color="auto" w:fill="BFBFBF" w:themeFill="background1" w:themeFillShade="BF"/>
            <w:vAlign w:val="center"/>
          </w:tcPr>
          <w:p w14:paraId="2A90AEFD" w14:textId="77777777" w:rsidR="00DF5EDB" w:rsidRPr="00734942" w:rsidRDefault="00DF5EDB" w:rsidP="007F251D">
            <w:pPr>
              <w:jc w:val="center"/>
              <w:rPr>
                <w:rFonts w:cstheme="minorHAnsi"/>
                <w:sz w:val="20"/>
                <w:szCs w:val="20"/>
              </w:rPr>
            </w:pPr>
          </w:p>
        </w:tc>
      </w:tr>
      <w:tr w:rsidR="00034D53" w:rsidRPr="00734942" w14:paraId="38014379" w14:textId="77777777" w:rsidTr="008869D7">
        <w:tc>
          <w:tcPr>
            <w:tcW w:w="2127" w:type="dxa"/>
            <w:vAlign w:val="center"/>
          </w:tcPr>
          <w:p w14:paraId="11B82227" w14:textId="77777777" w:rsidR="00034D53" w:rsidRPr="00734942" w:rsidRDefault="00034D53" w:rsidP="007F251D">
            <w:pPr>
              <w:rPr>
                <w:rFonts w:cstheme="minorHAnsi"/>
                <w:b/>
                <w:bCs/>
                <w:sz w:val="20"/>
                <w:szCs w:val="20"/>
              </w:rPr>
            </w:pPr>
            <w:r w:rsidRPr="00734942">
              <w:rPr>
                <w:rFonts w:cstheme="minorHAnsi"/>
                <w:b/>
                <w:bCs/>
                <w:sz w:val="20"/>
                <w:szCs w:val="20"/>
              </w:rPr>
              <w:t>R-squared</w:t>
            </w:r>
          </w:p>
        </w:tc>
        <w:tc>
          <w:tcPr>
            <w:tcW w:w="1701" w:type="dxa"/>
            <w:vAlign w:val="center"/>
          </w:tcPr>
          <w:p w14:paraId="6002E6FE" w14:textId="2E9172B8" w:rsidR="00034D53" w:rsidRPr="00734942" w:rsidRDefault="00034D53" w:rsidP="007F251D">
            <w:pPr>
              <w:jc w:val="center"/>
              <w:rPr>
                <w:rFonts w:cstheme="minorHAnsi"/>
                <w:sz w:val="20"/>
                <w:szCs w:val="20"/>
              </w:rPr>
            </w:pPr>
            <w:r w:rsidRPr="00734942">
              <w:rPr>
                <w:rFonts w:cstheme="minorHAnsi"/>
                <w:sz w:val="20"/>
                <w:szCs w:val="20"/>
              </w:rPr>
              <w:t>0.286</w:t>
            </w:r>
          </w:p>
        </w:tc>
        <w:tc>
          <w:tcPr>
            <w:tcW w:w="2126" w:type="dxa"/>
            <w:vAlign w:val="center"/>
          </w:tcPr>
          <w:p w14:paraId="6A647A48" w14:textId="6B14EEE7" w:rsidR="00034D53" w:rsidRPr="00734942" w:rsidRDefault="00034D53" w:rsidP="007F251D">
            <w:pPr>
              <w:jc w:val="center"/>
              <w:rPr>
                <w:rFonts w:cstheme="minorHAnsi"/>
                <w:sz w:val="20"/>
                <w:szCs w:val="20"/>
              </w:rPr>
            </w:pPr>
            <w:r w:rsidRPr="00734942">
              <w:rPr>
                <w:rFonts w:cstheme="minorHAnsi"/>
                <w:sz w:val="20"/>
                <w:szCs w:val="20"/>
              </w:rPr>
              <w:t>0.284 (0.278; 0.291)</w:t>
            </w:r>
          </w:p>
        </w:tc>
        <w:tc>
          <w:tcPr>
            <w:tcW w:w="3260" w:type="dxa"/>
            <w:vAlign w:val="center"/>
          </w:tcPr>
          <w:p w14:paraId="2BB41E75" w14:textId="0EC8E2DB" w:rsidR="00034D53" w:rsidRPr="00734942" w:rsidRDefault="00034D53" w:rsidP="007F251D">
            <w:pPr>
              <w:jc w:val="center"/>
              <w:rPr>
                <w:rFonts w:cstheme="minorHAnsi"/>
                <w:sz w:val="20"/>
                <w:szCs w:val="20"/>
              </w:rPr>
            </w:pPr>
            <w:r w:rsidRPr="00734942">
              <w:rPr>
                <w:rFonts w:cstheme="minorHAnsi"/>
                <w:sz w:val="20"/>
                <w:szCs w:val="20"/>
              </w:rPr>
              <w:t>0.056</w:t>
            </w:r>
          </w:p>
        </w:tc>
      </w:tr>
      <w:tr w:rsidR="00034D53" w:rsidRPr="00734942" w14:paraId="48875491" w14:textId="77777777" w:rsidTr="008869D7">
        <w:tc>
          <w:tcPr>
            <w:tcW w:w="2127" w:type="dxa"/>
            <w:vAlign w:val="center"/>
          </w:tcPr>
          <w:p w14:paraId="44A86DC9" w14:textId="34A97715" w:rsidR="00034D53" w:rsidRPr="00734942" w:rsidRDefault="00034D53" w:rsidP="007F251D">
            <w:pPr>
              <w:rPr>
                <w:rFonts w:cstheme="minorHAnsi"/>
                <w:b/>
                <w:bCs/>
                <w:sz w:val="20"/>
                <w:szCs w:val="20"/>
              </w:rPr>
            </w:pPr>
            <w:r w:rsidRPr="00734942">
              <w:rPr>
                <w:rFonts w:cstheme="minorHAnsi"/>
                <w:b/>
                <w:bCs/>
                <w:sz w:val="20"/>
                <w:szCs w:val="20"/>
              </w:rPr>
              <w:t>Brier score</w:t>
            </w:r>
          </w:p>
        </w:tc>
        <w:tc>
          <w:tcPr>
            <w:tcW w:w="1701" w:type="dxa"/>
            <w:vAlign w:val="center"/>
          </w:tcPr>
          <w:p w14:paraId="0C8891B6" w14:textId="1CEABC16" w:rsidR="00034D53" w:rsidRPr="00734942" w:rsidRDefault="00034D53" w:rsidP="007F251D">
            <w:pPr>
              <w:jc w:val="center"/>
              <w:rPr>
                <w:rFonts w:cstheme="minorHAnsi"/>
                <w:sz w:val="20"/>
                <w:szCs w:val="20"/>
              </w:rPr>
            </w:pPr>
            <w:r w:rsidRPr="00734942">
              <w:rPr>
                <w:rFonts w:cstheme="minorHAnsi"/>
                <w:sz w:val="20"/>
                <w:szCs w:val="20"/>
              </w:rPr>
              <w:t>0.122</w:t>
            </w:r>
          </w:p>
        </w:tc>
        <w:tc>
          <w:tcPr>
            <w:tcW w:w="2126" w:type="dxa"/>
            <w:vAlign w:val="center"/>
          </w:tcPr>
          <w:p w14:paraId="6E4AB6DA" w14:textId="1D1E1339" w:rsidR="00034D53" w:rsidRPr="00734942" w:rsidRDefault="00034D53" w:rsidP="007F251D">
            <w:pPr>
              <w:jc w:val="center"/>
              <w:rPr>
                <w:rFonts w:cstheme="minorHAnsi"/>
                <w:sz w:val="20"/>
                <w:szCs w:val="20"/>
              </w:rPr>
            </w:pPr>
            <w:r w:rsidRPr="00734942">
              <w:rPr>
                <w:rFonts w:cstheme="minorHAnsi"/>
                <w:sz w:val="20"/>
                <w:szCs w:val="20"/>
              </w:rPr>
              <w:t>0.124 (0.122; 0.126)</w:t>
            </w:r>
          </w:p>
        </w:tc>
        <w:tc>
          <w:tcPr>
            <w:tcW w:w="3260" w:type="dxa"/>
            <w:vAlign w:val="center"/>
          </w:tcPr>
          <w:p w14:paraId="750F261B" w14:textId="77777777" w:rsidR="00034D53" w:rsidRPr="00734942" w:rsidRDefault="00034D53" w:rsidP="007F251D">
            <w:pPr>
              <w:jc w:val="center"/>
              <w:rPr>
                <w:rFonts w:cstheme="minorHAnsi"/>
                <w:sz w:val="20"/>
                <w:szCs w:val="20"/>
              </w:rPr>
            </w:pPr>
            <w:r w:rsidRPr="00734942">
              <w:rPr>
                <w:rFonts w:cstheme="minorHAnsi"/>
                <w:sz w:val="20"/>
                <w:szCs w:val="20"/>
              </w:rPr>
              <w:t>0.134 / 0.118</w:t>
            </w:r>
          </w:p>
          <w:p w14:paraId="4355AAD4" w14:textId="7A4B8D30" w:rsidR="00034D53" w:rsidRPr="00734942" w:rsidRDefault="00034D53" w:rsidP="007F251D">
            <w:pPr>
              <w:jc w:val="center"/>
              <w:rPr>
                <w:rFonts w:cstheme="minorHAnsi"/>
                <w:sz w:val="20"/>
                <w:szCs w:val="20"/>
              </w:rPr>
            </w:pPr>
            <w:r w:rsidRPr="00734942">
              <w:rPr>
                <w:rFonts w:cstheme="minorHAnsi"/>
                <w:sz w:val="20"/>
                <w:szCs w:val="20"/>
              </w:rPr>
              <w:t>Without / with FDR</w:t>
            </w:r>
          </w:p>
        </w:tc>
      </w:tr>
      <w:tr w:rsidR="00DF5EDB" w:rsidRPr="00734942" w14:paraId="4988716D" w14:textId="77777777" w:rsidTr="008869D7">
        <w:tc>
          <w:tcPr>
            <w:tcW w:w="2127" w:type="dxa"/>
            <w:vAlign w:val="center"/>
          </w:tcPr>
          <w:p w14:paraId="2386520D" w14:textId="77777777" w:rsidR="00DF5EDB" w:rsidRPr="00734942" w:rsidRDefault="00DF5EDB" w:rsidP="007F251D">
            <w:pPr>
              <w:rPr>
                <w:rFonts w:cstheme="minorHAnsi"/>
                <w:b/>
                <w:bCs/>
                <w:sz w:val="20"/>
                <w:szCs w:val="20"/>
              </w:rPr>
            </w:pPr>
            <w:r w:rsidRPr="00734942">
              <w:rPr>
                <w:rFonts w:cstheme="minorHAnsi"/>
                <w:b/>
                <w:bCs/>
                <w:sz w:val="20"/>
                <w:szCs w:val="20"/>
              </w:rPr>
              <w:t>C statistic</w:t>
            </w:r>
          </w:p>
        </w:tc>
        <w:tc>
          <w:tcPr>
            <w:tcW w:w="1701" w:type="dxa"/>
            <w:vAlign w:val="center"/>
          </w:tcPr>
          <w:p w14:paraId="73066F12" w14:textId="2C797C9D" w:rsidR="00DF5EDB" w:rsidRPr="00734942" w:rsidRDefault="00011265" w:rsidP="007F251D">
            <w:pPr>
              <w:jc w:val="center"/>
              <w:rPr>
                <w:rFonts w:cstheme="minorHAnsi"/>
                <w:sz w:val="20"/>
                <w:szCs w:val="20"/>
              </w:rPr>
            </w:pPr>
            <w:r w:rsidRPr="00734942">
              <w:rPr>
                <w:rFonts w:cstheme="minorHAnsi"/>
                <w:sz w:val="20"/>
                <w:szCs w:val="20"/>
              </w:rPr>
              <w:t>0.798</w:t>
            </w:r>
          </w:p>
        </w:tc>
        <w:tc>
          <w:tcPr>
            <w:tcW w:w="2126" w:type="dxa"/>
            <w:vAlign w:val="center"/>
          </w:tcPr>
          <w:p w14:paraId="58E00823" w14:textId="0B93FAFF" w:rsidR="00DF5EDB" w:rsidRPr="00734942" w:rsidRDefault="00777114" w:rsidP="007F251D">
            <w:pPr>
              <w:jc w:val="center"/>
              <w:rPr>
                <w:rFonts w:cstheme="minorHAnsi"/>
                <w:sz w:val="20"/>
                <w:szCs w:val="20"/>
              </w:rPr>
            </w:pPr>
            <w:r w:rsidRPr="00734942">
              <w:rPr>
                <w:rFonts w:cstheme="minorHAnsi"/>
                <w:sz w:val="20"/>
                <w:szCs w:val="20"/>
              </w:rPr>
              <w:t>0.796 (0.793;0.801)</w:t>
            </w:r>
          </w:p>
        </w:tc>
        <w:tc>
          <w:tcPr>
            <w:tcW w:w="3260" w:type="dxa"/>
            <w:vAlign w:val="center"/>
          </w:tcPr>
          <w:p w14:paraId="25A517A2" w14:textId="2ED39558" w:rsidR="00DF5EDB" w:rsidRPr="00734942" w:rsidRDefault="00F26B40" w:rsidP="007F251D">
            <w:pPr>
              <w:jc w:val="center"/>
              <w:rPr>
                <w:rFonts w:cstheme="minorHAnsi"/>
                <w:sz w:val="20"/>
                <w:szCs w:val="20"/>
              </w:rPr>
            </w:pPr>
            <w:r w:rsidRPr="00734942">
              <w:rPr>
                <w:rFonts w:cstheme="minorHAnsi"/>
                <w:sz w:val="20"/>
                <w:szCs w:val="20"/>
              </w:rPr>
              <w:t>0.619</w:t>
            </w:r>
          </w:p>
        </w:tc>
      </w:tr>
      <w:tr w:rsidR="00F80E76" w:rsidRPr="00734942" w14:paraId="2F811772" w14:textId="77777777" w:rsidTr="008869D7">
        <w:tc>
          <w:tcPr>
            <w:tcW w:w="2127" w:type="dxa"/>
            <w:vAlign w:val="center"/>
          </w:tcPr>
          <w:p w14:paraId="127438B2" w14:textId="5572782B" w:rsidR="00F80E76" w:rsidRPr="00734942" w:rsidRDefault="00F80E76" w:rsidP="00F80E76">
            <w:pPr>
              <w:rPr>
                <w:rFonts w:cstheme="minorHAnsi"/>
                <w:b/>
                <w:bCs/>
                <w:sz w:val="20"/>
                <w:szCs w:val="20"/>
              </w:rPr>
            </w:pPr>
            <w:r w:rsidRPr="00734942">
              <w:rPr>
                <w:rFonts w:cstheme="minorHAnsi"/>
                <w:b/>
                <w:bCs/>
                <w:sz w:val="20"/>
                <w:szCs w:val="20"/>
              </w:rPr>
              <w:t>Calibration intercept</w:t>
            </w:r>
            <w:r w:rsidR="00785031" w:rsidRPr="00785031">
              <w:rPr>
                <w:rFonts w:cstheme="minorHAnsi"/>
                <w:b/>
                <w:bCs/>
                <w:sz w:val="20"/>
                <w:szCs w:val="20"/>
                <w:vertAlign w:val="superscript"/>
              </w:rPr>
              <w:t>a</w:t>
            </w:r>
          </w:p>
        </w:tc>
        <w:tc>
          <w:tcPr>
            <w:tcW w:w="1701" w:type="dxa"/>
            <w:vAlign w:val="center"/>
          </w:tcPr>
          <w:p w14:paraId="0FAFACD4" w14:textId="6C0BA38A" w:rsidR="00F80E76" w:rsidRPr="00734942" w:rsidRDefault="00F80E76" w:rsidP="00F80E76">
            <w:pPr>
              <w:jc w:val="center"/>
              <w:rPr>
                <w:rFonts w:cstheme="minorHAnsi"/>
                <w:sz w:val="20"/>
                <w:szCs w:val="20"/>
              </w:rPr>
            </w:pPr>
            <w:r w:rsidRPr="00734942">
              <w:rPr>
                <w:rFonts w:cstheme="minorHAnsi"/>
                <w:sz w:val="20"/>
                <w:szCs w:val="20"/>
              </w:rPr>
              <w:t>-0.505</w:t>
            </w:r>
          </w:p>
        </w:tc>
        <w:tc>
          <w:tcPr>
            <w:tcW w:w="2126" w:type="dxa"/>
            <w:vAlign w:val="center"/>
          </w:tcPr>
          <w:p w14:paraId="61860247" w14:textId="2C24C5C6" w:rsidR="00F80E76" w:rsidRPr="00734942" w:rsidRDefault="00F80E76" w:rsidP="00F80E76">
            <w:pPr>
              <w:jc w:val="center"/>
              <w:rPr>
                <w:rFonts w:cstheme="minorHAnsi"/>
                <w:sz w:val="20"/>
                <w:szCs w:val="20"/>
              </w:rPr>
            </w:pPr>
            <w:r w:rsidRPr="00734942">
              <w:rPr>
                <w:rFonts w:cstheme="minorHAnsi"/>
                <w:sz w:val="20"/>
                <w:szCs w:val="20"/>
              </w:rPr>
              <w:t>-0.515 (-0.534;-0.497)</w:t>
            </w:r>
          </w:p>
        </w:tc>
        <w:tc>
          <w:tcPr>
            <w:tcW w:w="3260" w:type="dxa"/>
            <w:vAlign w:val="center"/>
          </w:tcPr>
          <w:p w14:paraId="5B6A7C21" w14:textId="77777777" w:rsidR="00F80E76" w:rsidRPr="00734942" w:rsidRDefault="00F80E76" w:rsidP="00F80E76">
            <w:pPr>
              <w:jc w:val="center"/>
              <w:rPr>
                <w:rFonts w:cstheme="minorHAnsi"/>
                <w:sz w:val="20"/>
                <w:szCs w:val="20"/>
              </w:rPr>
            </w:pPr>
            <w:r w:rsidRPr="00734942">
              <w:rPr>
                <w:rFonts w:cstheme="minorHAnsi"/>
                <w:sz w:val="20"/>
                <w:szCs w:val="20"/>
              </w:rPr>
              <w:t>0.112 / -2.250</w:t>
            </w:r>
          </w:p>
          <w:p w14:paraId="7020A5AF" w14:textId="7E9973F2" w:rsidR="00F80E76" w:rsidRPr="00734942" w:rsidRDefault="00F80E76" w:rsidP="00F80E76">
            <w:pPr>
              <w:jc w:val="center"/>
              <w:rPr>
                <w:rFonts w:cstheme="minorHAnsi"/>
                <w:sz w:val="20"/>
                <w:szCs w:val="20"/>
              </w:rPr>
            </w:pPr>
            <w:r w:rsidRPr="00734942">
              <w:rPr>
                <w:rFonts w:cstheme="minorHAnsi"/>
                <w:sz w:val="20"/>
                <w:szCs w:val="20"/>
              </w:rPr>
              <w:t>Without / with FDR</w:t>
            </w:r>
          </w:p>
        </w:tc>
      </w:tr>
      <w:tr w:rsidR="00F80E76" w:rsidRPr="00734942" w14:paraId="5D2E1CBE" w14:textId="77777777" w:rsidTr="008869D7">
        <w:tc>
          <w:tcPr>
            <w:tcW w:w="2127" w:type="dxa"/>
            <w:vAlign w:val="center"/>
          </w:tcPr>
          <w:p w14:paraId="066D4769" w14:textId="69DBCC87" w:rsidR="00F80E76" w:rsidRPr="00734942" w:rsidRDefault="00F80E76" w:rsidP="00F80E76">
            <w:pPr>
              <w:rPr>
                <w:rFonts w:cstheme="minorHAnsi"/>
                <w:b/>
                <w:bCs/>
                <w:sz w:val="20"/>
                <w:szCs w:val="20"/>
              </w:rPr>
            </w:pPr>
            <w:r w:rsidRPr="00734942">
              <w:rPr>
                <w:rFonts w:cstheme="minorHAnsi"/>
                <w:b/>
                <w:bCs/>
                <w:sz w:val="20"/>
                <w:szCs w:val="20"/>
              </w:rPr>
              <w:t>Calibration slope</w:t>
            </w:r>
            <w:r w:rsidR="00785031" w:rsidRPr="00785031">
              <w:rPr>
                <w:rFonts w:cstheme="minorHAnsi"/>
                <w:b/>
                <w:bCs/>
                <w:sz w:val="20"/>
                <w:szCs w:val="20"/>
                <w:vertAlign w:val="superscript"/>
              </w:rPr>
              <w:t>a</w:t>
            </w:r>
          </w:p>
        </w:tc>
        <w:tc>
          <w:tcPr>
            <w:tcW w:w="1701" w:type="dxa"/>
            <w:vAlign w:val="center"/>
          </w:tcPr>
          <w:p w14:paraId="29593634" w14:textId="319A62DB" w:rsidR="00F80E76" w:rsidRPr="00734942" w:rsidRDefault="00F80E76" w:rsidP="00F80E76">
            <w:pPr>
              <w:jc w:val="center"/>
              <w:rPr>
                <w:rFonts w:cstheme="minorHAnsi"/>
                <w:sz w:val="20"/>
                <w:szCs w:val="20"/>
              </w:rPr>
            </w:pPr>
            <w:r w:rsidRPr="00734942">
              <w:rPr>
                <w:rFonts w:cstheme="minorHAnsi"/>
                <w:sz w:val="20"/>
                <w:szCs w:val="20"/>
              </w:rPr>
              <w:t>0.934</w:t>
            </w:r>
          </w:p>
        </w:tc>
        <w:tc>
          <w:tcPr>
            <w:tcW w:w="2126" w:type="dxa"/>
            <w:vAlign w:val="center"/>
          </w:tcPr>
          <w:p w14:paraId="5E811F10" w14:textId="75CB00C4" w:rsidR="00F80E76" w:rsidRPr="00734942" w:rsidRDefault="00F80E76" w:rsidP="00F80E76">
            <w:pPr>
              <w:jc w:val="center"/>
              <w:rPr>
                <w:rFonts w:cstheme="minorHAnsi"/>
                <w:sz w:val="20"/>
                <w:szCs w:val="20"/>
              </w:rPr>
            </w:pPr>
            <w:r w:rsidRPr="00734942">
              <w:rPr>
                <w:rFonts w:cstheme="minorHAnsi"/>
                <w:sz w:val="20"/>
                <w:szCs w:val="20"/>
              </w:rPr>
              <w:t>0.840 (0.817; 0.867</w:t>
            </w:r>
            <w:r w:rsidRPr="00734942" w:rsidDel="0020209D">
              <w:rPr>
                <w:rFonts w:cstheme="minorHAnsi"/>
                <w:sz w:val="20"/>
                <w:szCs w:val="20"/>
              </w:rPr>
              <w:t>)</w:t>
            </w:r>
          </w:p>
        </w:tc>
        <w:tc>
          <w:tcPr>
            <w:tcW w:w="3260" w:type="dxa"/>
            <w:vAlign w:val="center"/>
          </w:tcPr>
          <w:p w14:paraId="1A918F2B" w14:textId="41CEA406" w:rsidR="00F80E76" w:rsidRPr="00734942" w:rsidRDefault="00F80E76" w:rsidP="00F80E76">
            <w:pPr>
              <w:jc w:val="center"/>
              <w:rPr>
                <w:rFonts w:cstheme="minorHAnsi"/>
                <w:sz w:val="20"/>
                <w:szCs w:val="20"/>
              </w:rPr>
            </w:pPr>
            <w:r w:rsidRPr="00734942">
              <w:rPr>
                <w:rFonts w:cstheme="minorHAnsi"/>
                <w:sz w:val="20"/>
                <w:szCs w:val="20"/>
              </w:rPr>
              <w:t>0.668</w:t>
            </w:r>
          </w:p>
        </w:tc>
      </w:tr>
    </w:tbl>
    <w:p w14:paraId="78EE1C21" w14:textId="4F046FA7" w:rsidR="00DF5EDB" w:rsidRPr="00734942" w:rsidRDefault="00DF5EDB" w:rsidP="00DF5EDB"/>
    <w:p w14:paraId="3DD9FBE4" w14:textId="77777777" w:rsidR="00DF5EDB" w:rsidRPr="00734942" w:rsidRDefault="00DF5EDB" w:rsidP="006B7911">
      <w:pPr>
        <w:pStyle w:val="Heading3"/>
      </w:pPr>
      <w:bookmarkStart w:id="137" w:name="_Toc99539851"/>
      <w:r w:rsidRPr="00734942">
        <w:lastRenderedPageBreak/>
        <w:t>Clinical usefulness</w:t>
      </w:r>
      <w:bookmarkEnd w:id="137"/>
    </w:p>
    <w:p w14:paraId="6EA12D98" w14:textId="27E10657" w:rsidR="00DF5EDB" w:rsidRPr="00734942" w:rsidRDefault="00F7225C" w:rsidP="00DF5EDB">
      <w:r w:rsidRPr="00734942">
        <w:fldChar w:fldCharType="begin"/>
      </w:r>
      <w:r w:rsidRPr="00734942">
        <w:instrText xml:space="preserve"> REF _Ref83908603 \h </w:instrText>
      </w:r>
      <w:r w:rsidRPr="00734942">
        <w:fldChar w:fldCharType="separate"/>
      </w:r>
      <w:r w:rsidR="008B5583" w:rsidRPr="00734942">
        <w:t xml:space="preserve">Table </w:t>
      </w:r>
      <w:r w:rsidR="008B5583">
        <w:rPr>
          <w:noProof/>
        </w:rPr>
        <w:t>5</w:t>
      </w:r>
      <w:r w:rsidRPr="00734942">
        <w:fldChar w:fldCharType="end"/>
      </w:r>
      <w:r w:rsidRPr="00734942">
        <w:t xml:space="preserve"> </w:t>
      </w:r>
      <w:r w:rsidR="00DF5EDB" w:rsidRPr="00734942">
        <w:t xml:space="preserve">shows the sensitivity and specificity of the prediction model at several thresholds to achieve a 1.5%, 2%, 5%, 10%, or 20% </w:t>
      </w:r>
      <w:r w:rsidR="00A44045">
        <w:t>PPV</w:t>
      </w:r>
      <w:r w:rsidR="000040E7">
        <w:t xml:space="preserve"> of the prediction model</w:t>
      </w:r>
      <w:r w:rsidR="00DF5EDB" w:rsidRPr="00734942">
        <w:t>.</w:t>
      </w:r>
      <w:r w:rsidR="002C0286">
        <w:t xml:space="preserve"> This can also be </w:t>
      </w:r>
      <w:r w:rsidR="000040E7">
        <w:t xml:space="preserve">considered as the pre-test probability for </w:t>
      </w:r>
      <w:r w:rsidR="00A44045">
        <w:t>serological</w:t>
      </w:r>
      <w:r w:rsidR="000040E7">
        <w:t xml:space="preserve"> testing, the next stop on the diagnostic pathway</w:t>
      </w:r>
      <w:r w:rsidR="0017613B">
        <w:t>.</w:t>
      </w:r>
      <w:r w:rsidR="00DF5EDB" w:rsidRPr="00734942">
        <w:t xml:space="preserve"> </w:t>
      </w:r>
      <w:r w:rsidR="00C567D7" w:rsidRPr="00734942">
        <w:t xml:space="preserve">The lowest </w:t>
      </w:r>
      <w:r w:rsidR="000938D2">
        <w:t>pre-test probability</w:t>
      </w:r>
      <w:r w:rsidR="00C567D7" w:rsidRPr="00734942">
        <w:t xml:space="preserve"> (1%) is the </w:t>
      </w:r>
      <w:r w:rsidR="000B7DE6">
        <w:t xml:space="preserve">estimated </w:t>
      </w:r>
      <w:r w:rsidR="00C567D7" w:rsidRPr="00734942">
        <w:t>prevalence of CD in the general population, so this strategy is the same as testing everyone.</w:t>
      </w:r>
      <w:r w:rsidR="00BC3064" w:rsidRPr="00734942">
        <w:t xml:space="preserve"> By definition, this strategy is 100% sensitive and 0% specific because a test is offered to anyone regardless of their </w:t>
      </w:r>
      <w:r w:rsidR="00123EF8">
        <w:t>diagnostic indicators</w:t>
      </w:r>
      <w:r w:rsidR="00BC3064" w:rsidRPr="00734942">
        <w:t xml:space="preserve">. Currently in the UK, only one in three CD patients are believed to be diagnosed, so a prediction rule that picks up more than one in three </w:t>
      </w:r>
      <w:r w:rsidR="00BB369E">
        <w:t xml:space="preserve">(i.e. sensitivity </w:t>
      </w:r>
      <w:r w:rsidR="003526FD">
        <w:t>&gt;</w:t>
      </w:r>
      <w:r w:rsidR="00BB369E">
        <w:t xml:space="preserve"> 33%)</w:t>
      </w:r>
      <w:r w:rsidR="00BC3064" w:rsidRPr="00734942">
        <w:t xml:space="preserve"> might already improve case finding.</w:t>
      </w:r>
      <w:r w:rsidR="00C567D7" w:rsidRPr="00734942">
        <w:t xml:space="preserve"> </w:t>
      </w:r>
      <w:r w:rsidR="00BC3064" w:rsidRPr="00734942">
        <w:t xml:space="preserve">According to </w:t>
      </w:r>
      <w:r w:rsidR="00BC3064" w:rsidRPr="00734942">
        <w:fldChar w:fldCharType="begin"/>
      </w:r>
      <w:r w:rsidR="00BC3064" w:rsidRPr="00734942">
        <w:instrText xml:space="preserve"> REF _Ref83908603 \h </w:instrText>
      </w:r>
      <w:r w:rsidR="00BC3064" w:rsidRPr="00734942">
        <w:fldChar w:fldCharType="separate"/>
      </w:r>
      <w:r w:rsidR="008B5583" w:rsidRPr="00734942">
        <w:t xml:space="preserve">Table </w:t>
      </w:r>
      <w:r w:rsidR="008B5583">
        <w:rPr>
          <w:noProof/>
        </w:rPr>
        <w:t>5</w:t>
      </w:r>
      <w:r w:rsidR="00BC3064" w:rsidRPr="00734942">
        <w:fldChar w:fldCharType="end"/>
      </w:r>
      <w:r w:rsidR="00BC3064" w:rsidRPr="00734942">
        <w:t xml:space="preserve"> this can be achieved at a </w:t>
      </w:r>
      <w:r w:rsidR="0002541D">
        <w:t>pre-test probability</w:t>
      </w:r>
      <w:r w:rsidR="00BC3064" w:rsidRPr="00734942">
        <w:t xml:space="preserve"> of </w:t>
      </w:r>
      <w:r w:rsidR="00066F7F" w:rsidRPr="00734942">
        <w:t>&gt;</w:t>
      </w:r>
      <w:r w:rsidR="00BC3064" w:rsidRPr="00734942">
        <w:t>20% for</w:t>
      </w:r>
      <w:r w:rsidR="00066F7F" w:rsidRPr="00734942">
        <w:t xml:space="preserve"> children, &gt;5% in women, and &gt;10% in men. </w:t>
      </w:r>
      <w:r w:rsidR="0014243D" w:rsidRPr="00734942">
        <w:fldChar w:fldCharType="begin"/>
      </w:r>
      <w:r w:rsidR="0014243D" w:rsidRPr="00734942">
        <w:instrText xml:space="preserve"> REF _Ref83907008 \h </w:instrText>
      </w:r>
      <w:r w:rsidR="0014243D" w:rsidRPr="00734942">
        <w:fldChar w:fldCharType="separate"/>
      </w:r>
      <w:r w:rsidR="008B5583" w:rsidRPr="00734942">
        <w:t xml:space="preserve">Table </w:t>
      </w:r>
      <w:r w:rsidR="008B5583">
        <w:rPr>
          <w:noProof/>
        </w:rPr>
        <w:t>6</w:t>
      </w:r>
      <w:r w:rsidR="0014243D" w:rsidRPr="00734942">
        <w:fldChar w:fldCharType="end"/>
      </w:r>
      <w:r w:rsidR="00F241F8" w:rsidRPr="00734942">
        <w:t xml:space="preserve"> </w:t>
      </w:r>
      <w:r w:rsidR="00325B1B" w:rsidRPr="00734942">
        <w:t>shows</w:t>
      </w:r>
      <w:r w:rsidR="00DF5EDB" w:rsidRPr="00734942">
        <w:t xml:space="preserve"> examples of the combination of predictors in patients at these model thresholds</w:t>
      </w:r>
      <w:r w:rsidR="00325B1B" w:rsidRPr="00734942">
        <w:t>.</w:t>
      </w:r>
    </w:p>
    <w:p w14:paraId="1AC1FB85" w14:textId="1142C919" w:rsidR="00571BDC" w:rsidRPr="00734942" w:rsidRDefault="00571BDC" w:rsidP="00571BDC">
      <w:pPr>
        <w:spacing w:after="0"/>
        <w:rPr>
          <w:rFonts w:cstheme="minorHAnsi"/>
        </w:rPr>
      </w:pPr>
      <w:r w:rsidRPr="00734942">
        <w:rPr>
          <w:rFonts w:cstheme="minorHAnsi"/>
        </w:rPr>
        <w:t xml:space="preserve">The ROC curves in </w:t>
      </w:r>
      <w:r w:rsidR="00CF1E03" w:rsidRPr="00734942">
        <w:rPr>
          <w:rFonts w:cstheme="minorHAnsi"/>
        </w:rPr>
        <w:fldChar w:fldCharType="begin"/>
      </w:r>
      <w:r w:rsidR="00CF1E03" w:rsidRPr="00734942">
        <w:rPr>
          <w:rFonts w:cstheme="minorHAnsi"/>
        </w:rPr>
        <w:instrText xml:space="preserve"> REF _Ref85720672 \h </w:instrText>
      </w:r>
      <w:r w:rsidR="00CF1E03" w:rsidRPr="00734942">
        <w:rPr>
          <w:rFonts w:cstheme="minorHAnsi"/>
        </w:rPr>
      </w:r>
      <w:r w:rsidR="00CF1E03" w:rsidRPr="00734942">
        <w:rPr>
          <w:rFonts w:cstheme="minorHAnsi"/>
        </w:rPr>
        <w:fldChar w:fldCharType="separate"/>
      </w:r>
      <w:r w:rsidR="008B5583" w:rsidRPr="00734942">
        <w:t xml:space="preserve">Figure </w:t>
      </w:r>
      <w:r w:rsidR="008B5583">
        <w:rPr>
          <w:noProof/>
        </w:rPr>
        <w:t>2</w:t>
      </w:r>
      <w:r w:rsidR="00CF1E03" w:rsidRPr="00734942">
        <w:rPr>
          <w:rFonts w:cstheme="minorHAnsi"/>
        </w:rPr>
        <w:fldChar w:fldCharType="end"/>
      </w:r>
      <w:r w:rsidR="00CF1E03" w:rsidRPr="00734942">
        <w:rPr>
          <w:rFonts w:cstheme="minorHAnsi"/>
        </w:rPr>
        <w:t xml:space="preserve"> </w:t>
      </w:r>
      <w:r w:rsidRPr="00734942">
        <w:rPr>
          <w:rFonts w:cstheme="minorHAnsi"/>
        </w:rPr>
        <w:t xml:space="preserve">show that the model performs less well in the external data and the ROC curves are closer to the chance line, corresponding to a lower c statistic. </w:t>
      </w:r>
      <w:r w:rsidR="00066F7F" w:rsidRPr="00734942">
        <w:rPr>
          <w:rFonts w:cstheme="minorHAnsi"/>
        </w:rPr>
        <w:t xml:space="preserve">When applying the prediction rule in the external validation datasets, at the 20% threshold for children 95% of CD patients are missed, at the 5% threshold for women 86% CD patients are missed, and 10% for men 94% of CD patients are missed. However, lower thresholds still appear to be able to pick up more than </w:t>
      </w:r>
      <w:r w:rsidR="00481086">
        <w:rPr>
          <w:rFonts w:cstheme="minorHAnsi"/>
        </w:rPr>
        <w:t xml:space="preserve">the </w:t>
      </w:r>
      <w:r w:rsidR="00066F7F" w:rsidRPr="00734942">
        <w:rPr>
          <w:rFonts w:cstheme="minorHAnsi"/>
        </w:rPr>
        <w:t xml:space="preserve">one in three CD patients which is currently the case </w:t>
      </w:r>
      <w:r w:rsidRPr="00734942">
        <w:rPr>
          <w:rFonts w:cstheme="minorHAnsi"/>
        </w:rPr>
        <w:t>(</w:t>
      </w:r>
      <w:r w:rsidR="00975287">
        <w:rPr>
          <w:rFonts w:cstheme="minorHAnsi"/>
        </w:rPr>
        <w:t xml:space="preserve">Appendix 13 </w:t>
      </w:r>
      <w:r w:rsidRPr="00734942">
        <w:rPr>
          <w:rFonts w:cstheme="minorHAnsi"/>
        </w:rPr>
        <w:fldChar w:fldCharType="begin"/>
      </w:r>
      <w:r w:rsidRPr="00734942">
        <w:rPr>
          <w:rFonts w:cstheme="minorHAnsi"/>
        </w:rPr>
        <w:instrText xml:space="preserve"> REF _Ref83908787 \h </w:instrText>
      </w:r>
      <w:r w:rsidRPr="00734942">
        <w:rPr>
          <w:rFonts w:cstheme="minorHAnsi"/>
        </w:rPr>
      </w:r>
      <w:r w:rsidRPr="00734942">
        <w:rPr>
          <w:rFonts w:cstheme="minorHAnsi"/>
        </w:rPr>
        <w:fldChar w:fldCharType="separate"/>
      </w:r>
      <w:r w:rsidR="008B5583" w:rsidRPr="00734942">
        <w:t xml:space="preserve">Table </w:t>
      </w:r>
      <w:r w:rsidR="008B5583">
        <w:rPr>
          <w:noProof/>
        </w:rPr>
        <w:t>55</w:t>
      </w:r>
      <w:r w:rsidRPr="00734942">
        <w:rPr>
          <w:rFonts w:cstheme="minorHAnsi"/>
        </w:rPr>
        <w:fldChar w:fldCharType="end"/>
      </w:r>
      <w:r w:rsidRPr="00734942">
        <w:rPr>
          <w:rFonts w:cstheme="minorHAnsi"/>
        </w:rPr>
        <w:t xml:space="preserve">). </w:t>
      </w:r>
    </w:p>
    <w:p w14:paraId="606679E6" w14:textId="77777777" w:rsidR="00571BDC" w:rsidRPr="00734942" w:rsidRDefault="00571BDC" w:rsidP="00DF5EDB"/>
    <w:p w14:paraId="035057CA" w14:textId="29965A89" w:rsidR="00681227" w:rsidRPr="00734942" w:rsidRDefault="00681227" w:rsidP="005672CA">
      <w:pPr>
        <w:pStyle w:val="Caption"/>
      </w:pPr>
      <w:bookmarkStart w:id="138" w:name="_Ref83908603"/>
      <w:bookmarkStart w:id="139" w:name="_Ref83908596"/>
      <w:bookmarkStart w:id="140" w:name="_Toc99720716"/>
      <w:r w:rsidRPr="00734942">
        <w:t xml:space="preserve">Table </w:t>
      </w:r>
      <w:r w:rsidRPr="00734942">
        <w:fldChar w:fldCharType="begin"/>
      </w:r>
      <w:r w:rsidRPr="00734942">
        <w:instrText>SEQ Table \* ARABIC</w:instrText>
      </w:r>
      <w:r w:rsidRPr="00734942">
        <w:fldChar w:fldCharType="separate"/>
      </w:r>
      <w:r w:rsidR="008B5583">
        <w:rPr>
          <w:noProof/>
        </w:rPr>
        <w:t>5</w:t>
      </w:r>
      <w:r w:rsidRPr="00734942">
        <w:fldChar w:fldCharType="end"/>
      </w:r>
      <w:bookmarkEnd w:id="138"/>
      <w:r w:rsidRPr="00734942">
        <w:t xml:space="preserve"> Clinical usefulness in development data</w:t>
      </w:r>
      <w:bookmarkEnd w:id="139"/>
      <w:bookmarkEnd w:id="140"/>
    </w:p>
    <w:p w14:paraId="449E6071" w14:textId="14FC4EC3" w:rsidR="00F7225C" w:rsidRDefault="00F7225C" w:rsidP="00F7225C">
      <w:pPr>
        <w:rPr>
          <w:sz w:val="20"/>
          <w:szCs w:val="20"/>
        </w:rPr>
      </w:pPr>
      <w:r w:rsidRPr="00734942">
        <w:rPr>
          <w:sz w:val="20"/>
          <w:szCs w:val="20"/>
        </w:rPr>
        <w:t>In a population of 10,000 people.</w:t>
      </w:r>
    </w:p>
    <w:tbl>
      <w:tblPr>
        <w:tblW w:w="10578" w:type="dxa"/>
        <w:tblLook w:val="04A0" w:firstRow="1" w:lastRow="0" w:firstColumn="1" w:lastColumn="0" w:noHBand="0" w:noVBand="1"/>
      </w:tblPr>
      <w:tblGrid>
        <w:gridCol w:w="1171"/>
        <w:gridCol w:w="868"/>
        <w:gridCol w:w="1455"/>
        <w:gridCol w:w="840"/>
        <w:gridCol w:w="867"/>
        <w:gridCol w:w="841"/>
        <w:gridCol w:w="867"/>
        <w:gridCol w:w="919"/>
        <w:gridCol w:w="919"/>
        <w:gridCol w:w="891"/>
        <w:gridCol w:w="940"/>
      </w:tblGrid>
      <w:tr w:rsidR="00BF4FC6" w:rsidRPr="00AE63E1" w14:paraId="7B2836E8" w14:textId="77777777" w:rsidTr="005544EF">
        <w:trPr>
          <w:trHeight w:val="960"/>
        </w:trPr>
        <w:tc>
          <w:tcPr>
            <w:tcW w:w="1171"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1594E733" w14:textId="77777777" w:rsidR="00BF4FC6" w:rsidRPr="00AE63E1" w:rsidRDefault="00BF4FC6" w:rsidP="00BF4FC6">
            <w:pPr>
              <w:spacing w:after="0" w:line="240" w:lineRule="auto"/>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Population</w:t>
            </w:r>
            <w:r w:rsidRPr="00AE63E1">
              <w:rPr>
                <w:rFonts w:ascii="Calibri" w:eastAsia="Times New Roman" w:hAnsi="Calibri" w:cs="Calibri"/>
                <w:color w:val="000000"/>
                <w:sz w:val="20"/>
                <w:szCs w:val="20"/>
                <w:lang w:eastAsia="en-GB"/>
              </w:rPr>
              <w:t> </w:t>
            </w:r>
          </w:p>
        </w:tc>
        <w:tc>
          <w:tcPr>
            <w:tcW w:w="868" w:type="dxa"/>
            <w:tcBorders>
              <w:top w:val="single" w:sz="4" w:space="0" w:color="808080"/>
              <w:left w:val="nil"/>
              <w:bottom w:val="single" w:sz="4" w:space="0" w:color="808080"/>
              <w:right w:val="single" w:sz="4" w:space="0" w:color="808080"/>
            </w:tcBorders>
            <w:shd w:val="clear" w:color="auto" w:fill="auto"/>
            <w:vAlign w:val="center"/>
            <w:hideMark/>
          </w:tcPr>
          <w:p w14:paraId="0C763DB0" w14:textId="218A9E52"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PPV</w:t>
            </w:r>
            <w:r w:rsidRPr="00AE63E1">
              <w:rPr>
                <w:rFonts w:ascii="Calibri" w:eastAsia="Times New Roman" w:hAnsi="Calibri" w:cs="Calibri"/>
                <w:color w:val="000000"/>
                <w:sz w:val="20"/>
                <w:szCs w:val="20"/>
                <w:lang w:eastAsia="en-GB"/>
              </w:rPr>
              <w:t> </w:t>
            </w:r>
          </w:p>
        </w:tc>
        <w:tc>
          <w:tcPr>
            <w:tcW w:w="1455" w:type="dxa"/>
            <w:tcBorders>
              <w:top w:val="single" w:sz="4" w:space="0" w:color="808080"/>
              <w:left w:val="nil"/>
              <w:bottom w:val="single" w:sz="4" w:space="0" w:color="808080"/>
              <w:right w:val="single" w:sz="4" w:space="0" w:color="808080"/>
            </w:tcBorders>
            <w:shd w:val="clear" w:color="auto" w:fill="auto"/>
            <w:vAlign w:val="center"/>
            <w:hideMark/>
          </w:tcPr>
          <w:p w14:paraId="2F293838" w14:textId="2D2F81E0" w:rsidR="00BF4FC6" w:rsidRPr="00AE63E1" w:rsidRDefault="00BF4FC6" w:rsidP="00BF4FC6">
            <w:pPr>
              <w:spacing w:after="0" w:line="240" w:lineRule="auto"/>
              <w:jc w:val="center"/>
              <w:rPr>
                <w:rFonts w:ascii="Calibri" w:eastAsia="Times New Roman" w:hAnsi="Calibri" w:cs="Calibri"/>
                <w:b/>
                <w:bCs/>
                <w:sz w:val="20"/>
                <w:szCs w:val="20"/>
                <w:lang w:eastAsia="en-GB"/>
              </w:rPr>
            </w:pPr>
            <w:r w:rsidRPr="00AE63E1">
              <w:rPr>
                <w:rFonts w:ascii="Calibri" w:eastAsia="Times New Roman" w:hAnsi="Calibri" w:cs="Calibri"/>
                <w:b/>
                <w:bCs/>
                <w:sz w:val="20"/>
                <w:szCs w:val="20"/>
                <w:lang w:eastAsia="en-GB"/>
              </w:rPr>
              <w:t>Threshold</w:t>
            </w:r>
          </w:p>
        </w:tc>
        <w:tc>
          <w:tcPr>
            <w:tcW w:w="840" w:type="dxa"/>
            <w:tcBorders>
              <w:top w:val="single" w:sz="4" w:space="0" w:color="808080"/>
              <w:left w:val="nil"/>
              <w:bottom w:val="single" w:sz="4" w:space="0" w:color="808080"/>
              <w:right w:val="single" w:sz="4" w:space="0" w:color="808080"/>
            </w:tcBorders>
            <w:shd w:val="clear" w:color="auto" w:fill="auto"/>
            <w:vAlign w:val="center"/>
            <w:hideMark/>
          </w:tcPr>
          <w:p w14:paraId="5B5E876C"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TP</w:t>
            </w:r>
          </w:p>
        </w:tc>
        <w:tc>
          <w:tcPr>
            <w:tcW w:w="867" w:type="dxa"/>
            <w:tcBorders>
              <w:top w:val="single" w:sz="4" w:space="0" w:color="808080"/>
              <w:left w:val="nil"/>
              <w:bottom w:val="single" w:sz="4" w:space="0" w:color="808080"/>
              <w:right w:val="single" w:sz="4" w:space="0" w:color="808080"/>
            </w:tcBorders>
            <w:shd w:val="clear" w:color="auto" w:fill="auto"/>
            <w:vAlign w:val="center"/>
            <w:hideMark/>
          </w:tcPr>
          <w:p w14:paraId="547E1439"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FP</w:t>
            </w:r>
          </w:p>
        </w:tc>
        <w:tc>
          <w:tcPr>
            <w:tcW w:w="841" w:type="dxa"/>
            <w:tcBorders>
              <w:top w:val="single" w:sz="4" w:space="0" w:color="808080"/>
              <w:left w:val="nil"/>
              <w:bottom w:val="single" w:sz="4" w:space="0" w:color="808080"/>
              <w:right w:val="single" w:sz="4" w:space="0" w:color="808080"/>
            </w:tcBorders>
            <w:shd w:val="clear" w:color="auto" w:fill="auto"/>
            <w:vAlign w:val="center"/>
            <w:hideMark/>
          </w:tcPr>
          <w:p w14:paraId="03DAAE52"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FN</w:t>
            </w:r>
          </w:p>
        </w:tc>
        <w:tc>
          <w:tcPr>
            <w:tcW w:w="867" w:type="dxa"/>
            <w:tcBorders>
              <w:top w:val="single" w:sz="4" w:space="0" w:color="808080"/>
              <w:left w:val="nil"/>
              <w:bottom w:val="single" w:sz="4" w:space="0" w:color="808080"/>
              <w:right w:val="single" w:sz="4" w:space="0" w:color="808080"/>
            </w:tcBorders>
            <w:shd w:val="clear" w:color="auto" w:fill="auto"/>
            <w:vAlign w:val="center"/>
            <w:hideMark/>
          </w:tcPr>
          <w:p w14:paraId="775E2A92"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TN</w:t>
            </w:r>
          </w:p>
        </w:tc>
        <w:tc>
          <w:tcPr>
            <w:tcW w:w="919" w:type="dxa"/>
            <w:tcBorders>
              <w:top w:val="single" w:sz="4" w:space="0" w:color="808080"/>
              <w:left w:val="nil"/>
              <w:bottom w:val="single" w:sz="4" w:space="0" w:color="808080"/>
              <w:right w:val="single" w:sz="4" w:space="0" w:color="808080"/>
            </w:tcBorders>
            <w:shd w:val="clear" w:color="auto" w:fill="auto"/>
            <w:vAlign w:val="center"/>
            <w:hideMark/>
          </w:tcPr>
          <w:p w14:paraId="72941860"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Sens</w:t>
            </w:r>
          </w:p>
        </w:tc>
        <w:tc>
          <w:tcPr>
            <w:tcW w:w="919" w:type="dxa"/>
            <w:tcBorders>
              <w:top w:val="single" w:sz="4" w:space="0" w:color="808080"/>
              <w:left w:val="nil"/>
              <w:bottom w:val="single" w:sz="4" w:space="0" w:color="808080"/>
              <w:right w:val="single" w:sz="4" w:space="0" w:color="808080"/>
            </w:tcBorders>
            <w:shd w:val="clear" w:color="auto" w:fill="auto"/>
            <w:vAlign w:val="center"/>
            <w:hideMark/>
          </w:tcPr>
          <w:p w14:paraId="36780619"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Spec</w:t>
            </w:r>
          </w:p>
        </w:tc>
        <w:tc>
          <w:tcPr>
            <w:tcW w:w="891" w:type="dxa"/>
            <w:tcBorders>
              <w:top w:val="single" w:sz="4" w:space="0" w:color="808080"/>
              <w:left w:val="nil"/>
              <w:bottom w:val="single" w:sz="4" w:space="0" w:color="808080"/>
              <w:right w:val="single" w:sz="4" w:space="0" w:color="808080"/>
            </w:tcBorders>
            <w:shd w:val="clear" w:color="auto" w:fill="auto"/>
            <w:vAlign w:val="center"/>
            <w:hideMark/>
          </w:tcPr>
          <w:p w14:paraId="410AA210"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NPV</w:t>
            </w:r>
            <w:r w:rsidRPr="00AE63E1">
              <w:rPr>
                <w:rFonts w:ascii="Calibri" w:eastAsia="Times New Roman" w:hAnsi="Calibri" w:cs="Calibri"/>
                <w:color w:val="000000"/>
                <w:sz w:val="20"/>
                <w:szCs w:val="20"/>
                <w:lang w:eastAsia="en-GB"/>
              </w:rPr>
              <w:t> </w:t>
            </w:r>
          </w:p>
        </w:tc>
        <w:tc>
          <w:tcPr>
            <w:tcW w:w="940" w:type="dxa"/>
            <w:tcBorders>
              <w:top w:val="single" w:sz="4" w:space="0" w:color="808080"/>
              <w:left w:val="nil"/>
              <w:bottom w:val="single" w:sz="4" w:space="0" w:color="808080"/>
              <w:right w:val="single" w:sz="4" w:space="0" w:color="808080"/>
            </w:tcBorders>
            <w:shd w:val="clear" w:color="auto" w:fill="auto"/>
            <w:vAlign w:val="center"/>
            <w:hideMark/>
          </w:tcPr>
          <w:p w14:paraId="4FF8141B" w14:textId="77777777" w:rsidR="00BF4FC6" w:rsidRPr="00AE63E1" w:rsidRDefault="00BF4FC6" w:rsidP="00BF4FC6">
            <w:pPr>
              <w:spacing w:after="0" w:line="240" w:lineRule="auto"/>
              <w:jc w:val="center"/>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 CD patients missed</w:t>
            </w:r>
          </w:p>
        </w:tc>
      </w:tr>
      <w:tr w:rsidR="00BF4FC6" w:rsidRPr="00AE63E1" w14:paraId="66BF3E03" w14:textId="77777777" w:rsidTr="005544EF">
        <w:trPr>
          <w:trHeight w:val="300"/>
        </w:trPr>
        <w:tc>
          <w:tcPr>
            <w:tcW w:w="1171"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50CF6016" w14:textId="77777777" w:rsidR="00BF4FC6" w:rsidRPr="00AE63E1" w:rsidRDefault="00BF4FC6" w:rsidP="00BF4FC6">
            <w:pPr>
              <w:spacing w:after="0" w:line="240" w:lineRule="auto"/>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Children</w:t>
            </w:r>
          </w:p>
        </w:tc>
        <w:tc>
          <w:tcPr>
            <w:tcW w:w="868" w:type="dxa"/>
            <w:tcBorders>
              <w:top w:val="nil"/>
              <w:left w:val="nil"/>
              <w:bottom w:val="single" w:sz="4" w:space="0" w:color="808080"/>
              <w:right w:val="single" w:sz="4" w:space="0" w:color="808080"/>
            </w:tcBorders>
            <w:shd w:val="clear" w:color="auto" w:fill="auto"/>
            <w:vAlign w:val="center"/>
            <w:hideMark/>
          </w:tcPr>
          <w:p w14:paraId="3EA604EF"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w:t>
            </w:r>
          </w:p>
        </w:tc>
        <w:tc>
          <w:tcPr>
            <w:tcW w:w="1455" w:type="dxa"/>
            <w:tcBorders>
              <w:top w:val="nil"/>
              <w:left w:val="nil"/>
              <w:bottom w:val="single" w:sz="4" w:space="0" w:color="808080"/>
              <w:right w:val="single" w:sz="4" w:space="0" w:color="808080"/>
            </w:tcBorders>
            <w:shd w:val="clear" w:color="auto" w:fill="auto"/>
            <w:vAlign w:val="center"/>
            <w:hideMark/>
          </w:tcPr>
          <w:p w14:paraId="02180F9B" w14:textId="77777777" w:rsidR="00BF4FC6" w:rsidRPr="00AE63E1" w:rsidRDefault="00BF4FC6" w:rsidP="00BF4FC6">
            <w:pPr>
              <w:spacing w:after="0" w:line="240" w:lineRule="auto"/>
              <w:jc w:val="center"/>
              <w:rPr>
                <w:rFonts w:ascii="Calibri" w:eastAsia="Times New Roman" w:hAnsi="Calibri" w:cs="Calibri"/>
                <w:sz w:val="20"/>
                <w:szCs w:val="20"/>
                <w:lang w:eastAsia="en-GB"/>
              </w:rPr>
            </w:pPr>
            <w:r w:rsidRPr="00AE63E1">
              <w:rPr>
                <w:rFonts w:ascii="Calibri" w:eastAsia="Times New Roman" w:hAnsi="Calibri" w:cs="Calibri"/>
                <w:sz w:val="20"/>
                <w:szCs w:val="20"/>
                <w:lang w:eastAsia="en-GB"/>
              </w:rPr>
              <w:t>0</w:t>
            </w:r>
          </w:p>
        </w:tc>
        <w:tc>
          <w:tcPr>
            <w:tcW w:w="840" w:type="dxa"/>
            <w:tcBorders>
              <w:top w:val="nil"/>
              <w:left w:val="nil"/>
              <w:bottom w:val="single" w:sz="4" w:space="0" w:color="808080"/>
              <w:right w:val="single" w:sz="4" w:space="0" w:color="808080"/>
            </w:tcBorders>
            <w:shd w:val="clear" w:color="auto" w:fill="auto"/>
            <w:vAlign w:val="center"/>
            <w:hideMark/>
          </w:tcPr>
          <w:p w14:paraId="701B6B6C"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w:t>
            </w:r>
          </w:p>
        </w:tc>
        <w:tc>
          <w:tcPr>
            <w:tcW w:w="867" w:type="dxa"/>
            <w:tcBorders>
              <w:top w:val="nil"/>
              <w:left w:val="nil"/>
              <w:bottom w:val="single" w:sz="4" w:space="0" w:color="808080"/>
              <w:right w:val="single" w:sz="4" w:space="0" w:color="808080"/>
            </w:tcBorders>
            <w:shd w:val="clear" w:color="auto" w:fill="auto"/>
            <w:vAlign w:val="center"/>
            <w:hideMark/>
          </w:tcPr>
          <w:p w14:paraId="66F4FE54"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9900</w:t>
            </w:r>
          </w:p>
        </w:tc>
        <w:tc>
          <w:tcPr>
            <w:tcW w:w="841" w:type="dxa"/>
            <w:tcBorders>
              <w:top w:val="nil"/>
              <w:left w:val="nil"/>
              <w:bottom w:val="single" w:sz="4" w:space="0" w:color="808080"/>
              <w:right w:val="single" w:sz="4" w:space="0" w:color="808080"/>
            </w:tcBorders>
            <w:shd w:val="clear" w:color="auto" w:fill="auto"/>
            <w:vAlign w:val="center"/>
            <w:hideMark/>
          </w:tcPr>
          <w:p w14:paraId="5FCDC33E"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867" w:type="dxa"/>
            <w:tcBorders>
              <w:top w:val="nil"/>
              <w:left w:val="nil"/>
              <w:bottom w:val="single" w:sz="4" w:space="0" w:color="808080"/>
              <w:right w:val="single" w:sz="4" w:space="0" w:color="808080"/>
            </w:tcBorders>
            <w:shd w:val="clear" w:color="auto" w:fill="auto"/>
            <w:vAlign w:val="center"/>
            <w:hideMark/>
          </w:tcPr>
          <w:p w14:paraId="73C7FC7C"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919" w:type="dxa"/>
            <w:tcBorders>
              <w:top w:val="nil"/>
              <w:left w:val="nil"/>
              <w:bottom w:val="single" w:sz="4" w:space="0" w:color="808080"/>
              <w:right w:val="single" w:sz="4" w:space="0" w:color="808080"/>
            </w:tcBorders>
            <w:shd w:val="clear" w:color="auto" w:fill="auto"/>
            <w:vAlign w:val="center"/>
            <w:hideMark/>
          </w:tcPr>
          <w:p w14:paraId="5A2E0E84"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100.0%</w:t>
            </w:r>
          </w:p>
        </w:tc>
        <w:tc>
          <w:tcPr>
            <w:tcW w:w="919" w:type="dxa"/>
            <w:tcBorders>
              <w:top w:val="nil"/>
              <w:left w:val="nil"/>
              <w:bottom w:val="single" w:sz="4" w:space="0" w:color="808080"/>
              <w:right w:val="single" w:sz="4" w:space="0" w:color="808080"/>
            </w:tcBorders>
            <w:shd w:val="clear" w:color="auto" w:fill="auto"/>
            <w:vAlign w:val="center"/>
            <w:hideMark/>
          </w:tcPr>
          <w:p w14:paraId="33EFC654"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0.0%</w:t>
            </w:r>
          </w:p>
        </w:tc>
        <w:tc>
          <w:tcPr>
            <w:tcW w:w="891" w:type="dxa"/>
            <w:tcBorders>
              <w:top w:val="nil"/>
              <w:left w:val="nil"/>
              <w:bottom w:val="single" w:sz="4" w:space="0" w:color="808080"/>
              <w:right w:val="single" w:sz="4" w:space="0" w:color="808080"/>
            </w:tcBorders>
            <w:shd w:val="clear" w:color="auto" w:fill="auto"/>
            <w:vAlign w:val="center"/>
            <w:hideMark/>
          </w:tcPr>
          <w:p w14:paraId="408DF90D"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NA</w:t>
            </w:r>
          </w:p>
        </w:tc>
        <w:tc>
          <w:tcPr>
            <w:tcW w:w="940" w:type="dxa"/>
            <w:tcBorders>
              <w:top w:val="nil"/>
              <w:left w:val="nil"/>
              <w:bottom w:val="single" w:sz="4" w:space="0" w:color="808080"/>
              <w:right w:val="single" w:sz="4" w:space="0" w:color="808080"/>
            </w:tcBorders>
            <w:shd w:val="clear" w:color="auto" w:fill="auto"/>
            <w:vAlign w:val="center"/>
            <w:hideMark/>
          </w:tcPr>
          <w:p w14:paraId="219831E7"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r>
      <w:tr w:rsidR="005544EF" w:rsidRPr="00AE63E1" w14:paraId="799B0CE7"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51BAE3C9"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09C1890A" w14:textId="3144FCB4"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1.5%</w:t>
            </w:r>
          </w:p>
        </w:tc>
        <w:tc>
          <w:tcPr>
            <w:tcW w:w="1455" w:type="dxa"/>
            <w:tcBorders>
              <w:top w:val="nil"/>
              <w:left w:val="nil"/>
              <w:bottom w:val="single" w:sz="4" w:space="0" w:color="808080"/>
              <w:right w:val="single" w:sz="4" w:space="0" w:color="808080"/>
            </w:tcBorders>
            <w:shd w:val="clear" w:color="auto" w:fill="auto"/>
            <w:hideMark/>
          </w:tcPr>
          <w:p w14:paraId="60B2F123" w14:textId="6B261E96"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sz w:val="20"/>
                <w:szCs w:val="20"/>
              </w:rPr>
              <w:t>0.0038</w:t>
            </w:r>
          </w:p>
        </w:tc>
        <w:tc>
          <w:tcPr>
            <w:tcW w:w="840" w:type="dxa"/>
            <w:tcBorders>
              <w:top w:val="nil"/>
              <w:left w:val="nil"/>
              <w:bottom w:val="single" w:sz="4" w:space="0" w:color="808080"/>
              <w:right w:val="single" w:sz="4" w:space="0" w:color="808080"/>
            </w:tcBorders>
            <w:shd w:val="clear" w:color="auto" w:fill="auto"/>
            <w:vAlign w:val="center"/>
            <w:hideMark/>
          </w:tcPr>
          <w:p w14:paraId="4BD9C7D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88</w:t>
            </w:r>
          </w:p>
        </w:tc>
        <w:tc>
          <w:tcPr>
            <w:tcW w:w="867" w:type="dxa"/>
            <w:tcBorders>
              <w:top w:val="nil"/>
              <w:left w:val="nil"/>
              <w:bottom w:val="single" w:sz="4" w:space="0" w:color="808080"/>
              <w:right w:val="single" w:sz="4" w:space="0" w:color="808080"/>
            </w:tcBorders>
            <w:shd w:val="clear" w:color="auto" w:fill="auto"/>
            <w:vAlign w:val="center"/>
            <w:hideMark/>
          </w:tcPr>
          <w:p w14:paraId="7CD58F0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5776</w:t>
            </w:r>
          </w:p>
        </w:tc>
        <w:tc>
          <w:tcPr>
            <w:tcW w:w="841" w:type="dxa"/>
            <w:tcBorders>
              <w:top w:val="nil"/>
              <w:left w:val="nil"/>
              <w:bottom w:val="single" w:sz="4" w:space="0" w:color="808080"/>
              <w:right w:val="single" w:sz="4" w:space="0" w:color="808080"/>
            </w:tcBorders>
            <w:shd w:val="clear" w:color="auto" w:fill="auto"/>
            <w:vAlign w:val="center"/>
            <w:hideMark/>
          </w:tcPr>
          <w:p w14:paraId="27DCD14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12</w:t>
            </w:r>
          </w:p>
        </w:tc>
        <w:tc>
          <w:tcPr>
            <w:tcW w:w="867" w:type="dxa"/>
            <w:tcBorders>
              <w:top w:val="nil"/>
              <w:left w:val="nil"/>
              <w:bottom w:val="single" w:sz="4" w:space="0" w:color="808080"/>
              <w:right w:val="single" w:sz="4" w:space="0" w:color="808080"/>
            </w:tcBorders>
            <w:shd w:val="clear" w:color="auto" w:fill="auto"/>
            <w:vAlign w:val="center"/>
            <w:hideMark/>
          </w:tcPr>
          <w:p w14:paraId="5D55E45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4124</w:t>
            </w:r>
          </w:p>
        </w:tc>
        <w:tc>
          <w:tcPr>
            <w:tcW w:w="919" w:type="dxa"/>
            <w:tcBorders>
              <w:top w:val="nil"/>
              <w:left w:val="nil"/>
              <w:bottom w:val="single" w:sz="4" w:space="0" w:color="808080"/>
              <w:right w:val="single" w:sz="4" w:space="0" w:color="808080"/>
            </w:tcBorders>
            <w:shd w:val="clear" w:color="auto" w:fill="auto"/>
            <w:vAlign w:val="center"/>
            <w:hideMark/>
          </w:tcPr>
          <w:p w14:paraId="4324C88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88.2%</w:t>
            </w:r>
          </w:p>
        </w:tc>
        <w:tc>
          <w:tcPr>
            <w:tcW w:w="919" w:type="dxa"/>
            <w:tcBorders>
              <w:top w:val="nil"/>
              <w:left w:val="nil"/>
              <w:bottom w:val="single" w:sz="4" w:space="0" w:color="808080"/>
              <w:right w:val="single" w:sz="4" w:space="0" w:color="808080"/>
            </w:tcBorders>
            <w:shd w:val="clear" w:color="auto" w:fill="auto"/>
            <w:vAlign w:val="center"/>
            <w:hideMark/>
          </w:tcPr>
          <w:p w14:paraId="752C9E8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41.7%</w:t>
            </w:r>
          </w:p>
        </w:tc>
        <w:tc>
          <w:tcPr>
            <w:tcW w:w="891" w:type="dxa"/>
            <w:tcBorders>
              <w:top w:val="nil"/>
              <w:left w:val="nil"/>
              <w:bottom w:val="single" w:sz="4" w:space="0" w:color="808080"/>
              <w:right w:val="single" w:sz="4" w:space="0" w:color="808080"/>
            </w:tcBorders>
            <w:shd w:val="clear" w:color="auto" w:fill="auto"/>
            <w:vAlign w:val="center"/>
            <w:hideMark/>
          </w:tcPr>
          <w:p w14:paraId="128DCA3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99.7%</w:t>
            </w:r>
          </w:p>
        </w:tc>
        <w:tc>
          <w:tcPr>
            <w:tcW w:w="940" w:type="dxa"/>
            <w:tcBorders>
              <w:top w:val="nil"/>
              <w:left w:val="nil"/>
              <w:bottom w:val="single" w:sz="4" w:space="0" w:color="808080"/>
              <w:right w:val="single" w:sz="4" w:space="0" w:color="808080"/>
            </w:tcBorders>
            <w:shd w:val="clear" w:color="auto" w:fill="auto"/>
            <w:vAlign w:val="center"/>
            <w:hideMark/>
          </w:tcPr>
          <w:p w14:paraId="6493150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11.8</w:t>
            </w:r>
          </w:p>
        </w:tc>
      </w:tr>
      <w:tr w:rsidR="005544EF" w:rsidRPr="00AE63E1" w14:paraId="001AD0F0"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4C4AE5D0"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705F4BF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w:t>
            </w:r>
          </w:p>
        </w:tc>
        <w:tc>
          <w:tcPr>
            <w:tcW w:w="1455" w:type="dxa"/>
            <w:tcBorders>
              <w:top w:val="nil"/>
              <w:left w:val="nil"/>
              <w:bottom w:val="single" w:sz="4" w:space="0" w:color="808080"/>
              <w:right w:val="single" w:sz="4" w:space="0" w:color="808080"/>
            </w:tcBorders>
            <w:shd w:val="clear" w:color="auto" w:fill="auto"/>
            <w:hideMark/>
          </w:tcPr>
          <w:p w14:paraId="12F2B9D9" w14:textId="2D534608"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sz w:val="20"/>
                <w:szCs w:val="20"/>
              </w:rPr>
              <w:t>0.0042</w:t>
            </w:r>
          </w:p>
        </w:tc>
        <w:tc>
          <w:tcPr>
            <w:tcW w:w="840" w:type="dxa"/>
            <w:tcBorders>
              <w:top w:val="nil"/>
              <w:left w:val="nil"/>
              <w:bottom w:val="single" w:sz="4" w:space="0" w:color="808080"/>
              <w:right w:val="single" w:sz="4" w:space="0" w:color="808080"/>
            </w:tcBorders>
            <w:shd w:val="clear" w:color="auto" w:fill="auto"/>
            <w:vAlign w:val="center"/>
            <w:hideMark/>
          </w:tcPr>
          <w:p w14:paraId="04D06F6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81</w:t>
            </w:r>
          </w:p>
        </w:tc>
        <w:tc>
          <w:tcPr>
            <w:tcW w:w="867" w:type="dxa"/>
            <w:tcBorders>
              <w:top w:val="nil"/>
              <w:left w:val="nil"/>
              <w:bottom w:val="single" w:sz="4" w:space="0" w:color="808080"/>
              <w:right w:val="single" w:sz="4" w:space="0" w:color="808080"/>
            </w:tcBorders>
            <w:shd w:val="clear" w:color="auto" w:fill="auto"/>
            <w:vAlign w:val="center"/>
            <w:hideMark/>
          </w:tcPr>
          <w:p w14:paraId="4B4EBDC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3865</w:t>
            </w:r>
          </w:p>
        </w:tc>
        <w:tc>
          <w:tcPr>
            <w:tcW w:w="841" w:type="dxa"/>
            <w:tcBorders>
              <w:top w:val="nil"/>
              <w:left w:val="nil"/>
              <w:bottom w:val="single" w:sz="4" w:space="0" w:color="808080"/>
              <w:right w:val="single" w:sz="4" w:space="0" w:color="808080"/>
            </w:tcBorders>
            <w:shd w:val="clear" w:color="auto" w:fill="auto"/>
            <w:vAlign w:val="center"/>
            <w:hideMark/>
          </w:tcPr>
          <w:p w14:paraId="26D247D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19</w:t>
            </w:r>
          </w:p>
        </w:tc>
        <w:tc>
          <w:tcPr>
            <w:tcW w:w="867" w:type="dxa"/>
            <w:tcBorders>
              <w:top w:val="nil"/>
              <w:left w:val="nil"/>
              <w:bottom w:val="single" w:sz="4" w:space="0" w:color="808080"/>
              <w:right w:val="single" w:sz="4" w:space="0" w:color="808080"/>
            </w:tcBorders>
            <w:shd w:val="clear" w:color="auto" w:fill="auto"/>
            <w:vAlign w:val="center"/>
            <w:hideMark/>
          </w:tcPr>
          <w:p w14:paraId="6C1ADBD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6035</w:t>
            </w:r>
          </w:p>
        </w:tc>
        <w:tc>
          <w:tcPr>
            <w:tcW w:w="919" w:type="dxa"/>
            <w:tcBorders>
              <w:top w:val="nil"/>
              <w:left w:val="nil"/>
              <w:bottom w:val="single" w:sz="4" w:space="0" w:color="808080"/>
              <w:right w:val="single" w:sz="4" w:space="0" w:color="808080"/>
            </w:tcBorders>
            <w:shd w:val="clear" w:color="auto" w:fill="auto"/>
            <w:vAlign w:val="center"/>
            <w:hideMark/>
          </w:tcPr>
          <w:p w14:paraId="5D6FE38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80.7%</w:t>
            </w:r>
          </w:p>
        </w:tc>
        <w:tc>
          <w:tcPr>
            <w:tcW w:w="919" w:type="dxa"/>
            <w:tcBorders>
              <w:top w:val="nil"/>
              <w:left w:val="nil"/>
              <w:bottom w:val="single" w:sz="4" w:space="0" w:color="808080"/>
              <w:right w:val="single" w:sz="4" w:space="0" w:color="808080"/>
            </w:tcBorders>
            <w:shd w:val="clear" w:color="auto" w:fill="auto"/>
            <w:vAlign w:val="center"/>
            <w:hideMark/>
          </w:tcPr>
          <w:p w14:paraId="28787C9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61.0%</w:t>
            </w:r>
          </w:p>
        </w:tc>
        <w:tc>
          <w:tcPr>
            <w:tcW w:w="891" w:type="dxa"/>
            <w:tcBorders>
              <w:top w:val="nil"/>
              <w:left w:val="nil"/>
              <w:bottom w:val="single" w:sz="4" w:space="0" w:color="808080"/>
              <w:right w:val="single" w:sz="4" w:space="0" w:color="808080"/>
            </w:tcBorders>
            <w:shd w:val="clear" w:color="auto" w:fill="auto"/>
            <w:vAlign w:val="center"/>
            <w:hideMark/>
          </w:tcPr>
          <w:p w14:paraId="0341D9A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99.7%</w:t>
            </w:r>
          </w:p>
        </w:tc>
        <w:tc>
          <w:tcPr>
            <w:tcW w:w="940" w:type="dxa"/>
            <w:tcBorders>
              <w:top w:val="nil"/>
              <w:left w:val="nil"/>
              <w:bottom w:val="single" w:sz="4" w:space="0" w:color="808080"/>
              <w:right w:val="single" w:sz="4" w:space="0" w:color="808080"/>
            </w:tcBorders>
            <w:shd w:val="clear" w:color="auto" w:fill="auto"/>
            <w:vAlign w:val="center"/>
            <w:hideMark/>
          </w:tcPr>
          <w:p w14:paraId="10469DA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19.3</w:t>
            </w:r>
          </w:p>
        </w:tc>
      </w:tr>
      <w:tr w:rsidR="005544EF" w:rsidRPr="00AE63E1" w14:paraId="50BAEDE3"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1FCE3353"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4493AA1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w:t>
            </w:r>
          </w:p>
        </w:tc>
        <w:tc>
          <w:tcPr>
            <w:tcW w:w="1455" w:type="dxa"/>
            <w:tcBorders>
              <w:top w:val="nil"/>
              <w:left w:val="nil"/>
              <w:bottom w:val="single" w:sz="4" w:space="0" w:color="808080"/>
              <w:right w:val="single" w:sz="4" w:space="0" w:color="808080"/>
            </w:tcBorders>
            <w:shd w:val="clear" w:color="auto" w:fill="auto"/>
            <w:hideMark/>
          </w:tcPr>
          <w:p w14:paraId="6FF1A373" w14:textId="7B032BDF"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sz w:val="20"/>
                <w:szCs w:val="20"/>
              </w:rPr>
              <w:t>0.0077</w:t>
            </w:r>
          </w:p>
        </w:tc>
        <w:tc>
          <w:tcPr>
            <w:tcW w:w="840" w:type="dxa"/>
            <w:tcBorders>
              <w:top w:val="nil"/>
              <w:left w:val="nil"/>
              <w:bottom w:val="single" w:sz="4" w:space="0" w:color="808080"/>
              <w:right w:val="single" w:sz="4" w:space="0" w:color="808080"/>
            </w:tcBorders>
            <w:shd w:val="clear" w:color="auto" w:fill="auto"/>
            <w:vAlign w:val="center"/>
            <w:hideMark/>
          </w:tcPr>
          <w:p w14:paraId="2418643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67</w:t>
            </w:r>
          </w:p>
        </w:tc>
        <w:tc>
          <w:tcPr>
            <w:tcW w:w="867" w:type="dxa"/>
            <w:tcBorders>
              <w:top w:val="nil"/>
              <w:left w:val="nil"/>
              <w:bottom w:val="single" w:sz="4" w:space="0" w:color="808080"/>
              <w:right w:val="single" w:sz="4" w:space="0" w:color="808080"/>
            </w:tcBorders>
            <w:shd w:val="clear" w:color="auto" w:fill="auto"/>
            <w:vAlign w:val="center"/>
            <w:hideMark/>
          </w:tcPr>
          <w:p w14:paraId="56C9927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1271</w:t>
            </w:r>
          </w:p>
        </w:tc>
        <w:tc>
          <w:tcPr>
            <w:tcW w:w="841" w:type="dxa"/>
            <w:tcBorders>
              <w:top w:val="nil"/>
              <w:left w:val="nil"/>
              <w:bottom w:val="single" w:sz="4" w:space="0" w:color="808080"/>
              <w:right w:val="single" w:sz="4" w:space="0" w:color="808080"/>
            </w:tcBorders>
            <w:shd w:val="clear" w:color="auto" w:fill="auto"/>
            <w:vAlign w:val="center"/>
            <w:hideMark/>
          </w:tcPr>
          <w:p w14:paraId="0E05663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33</w:t>
            </w:r>
          </w:p>
        </w:tc>
        <w:tc>
          <w:tcPr>
            <w:tcW w:w="867" w:type="dxa"/>
            <w:tcBorders>
              <w:top w:val="nil"/>
              <w:left w:val="nil"/>
              <w:bottom w:val="single" w:sz="4" w:space="0" w:color="808080"/>
              <w:right w:val="single" w:sz="4" w:space="0" w:color="808080"/>
            </w:tcBorders>
            <w:shd w:val="clear" w:color="auto" w:fill="auto"/>
            <w:vAlign w:val="center"/>
            <w:hideMark/>
          </w:tcPr>
          <w:p w14:paraId="002FAE58"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8629</w:t>
            </w:r>
          </w:p>
        </w:tc>
        <w:tc>
          <w:tcPr>
            <w:tcW w:w="919" w:type="dxa"/>
            <w:tcBorders>
              <w:top w:val="nil"/>
              <w:left w:val="nil"/>
              <w:bottom w:val="single" w:sz="4" w:space="0" w:color="808080"/>
              <w:right w:val="single" w:sz="4" w:space="0" w:color="808080"/>
            </w:tcBorders>
            <w:shd w:val="clear" w:color="auto" w:fill="auto"/>
            <w:vAlign w:val="center"/>
            <w:hideMark/>
          </w:tcPr>
          <w:p w14:paraId="40400F5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66.7%</w:t>
            </w:r>
          </w:p>
        </w:tc>
        <w:tc>
          <w:tcPr>
            <w:tcW w:w="919" w:type="dxa"/>
            <w:tcBorders>
              <w:top w:val="nil"/>
              <w:left w:val="nil"/>
              <w:bottom w:val="single" w:sz="4" w:space="0" w:color="808080"/>
              <w:right w:val="single" w:sz="4" w:space="0" w:color="808080"/>
            </w:tcBorders>
            <w:shd w:val="clear" w:color="auto" w:fill="auto"/>
            <w:vAlign w:val="center"/>
            <w:hideMark/>
          </w:tcPr>
          <w:p w14:paraId="7498ED8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87.2%</w:t>
            </w:r>
          </w:p>
        </w:tc>
        <w:tc>
          <w:tcPr>
            <w:tcW w:w="891" w:type="dxa"/>
            <w:tcBorders>
              <w:top w:val="nil"/>
              <w:left w:val="nil"/>
              <w:bottom w:val="single" w:sz="4" w:space="0" w:color="808080"/>
              <w:right w:val="single" w:sz="4" w:space="0" w:color="808080"/>
            </w:tcBorders>
            <w:shd w:val="clear" w:color="auto" w:fill="auto"/>
            <w:vAlign w:val="center"/>
            <w:hideMark/>
          </w:tcPr>
          <w:p w14:paraId="412E66C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99.6%</w:t>
            </w:r>
          </w:p>
        </w:tc>
        <w:tc>
          <w:tcPr>
            <w:tcW w:w="940" w:type="dxa"/>
            <w:tcBorders>
              <w:top w:val="nil"/>
              <w:left w:val="nil"/>
              <w:bottom w:val="single" w:sz="4" w:space="0" w:color="808080"/>
              <w:right w:val="single" w:sz="4" w:space="0" w:color="808080"/>
            </w:tcBorders>
            <w:shd w:val="clear" w:color="auto" w:fill="auto"/>
            <w:vAlign w:val="center"/>
            <w:hideMark/>
          </w:tcPr>
          <w:p w14:paraId="2C298AB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33.3</w:t>
            </w:r>
          </w:p>
        </w:tc>
      </w:tr>
      <w:tr w:rsidR="005544EF" w:rsidRPr="00AE63E1" w14:paraId="2F896365"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2E44F6C8"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26BC1DE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w:t>
            </w:r>
          </w:p>
        </w:tc>
        <w:tc>
          <w:tcPr>
            <w:tcW w:w="1455" w:type="dxa"/>
            <w:tcBorders>
              <w:top w:val="nil"/>
              <w:left w:val="nil"/>
              <w:bottom w:val="single" w:sz="4" w:space="0" w:color="808080"/>
              <w:right w:val="single" w:sz="4" w:space="0" w:color="808080"/>
            </w:tcBorders>
            <w:shd w:val="clear" w:color="auto" w:fill="auto"/>
            <w:hideMark/>
          </w:tcPr>
          <w:p w14:paraId="19D469E2" w14:textId="20C320FB"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sz w:val="20"/>
                <w:szCs w:val="20"/>
              </w:rPr>
              <w:t>0.0170</w:t>
            </w:r>
          </w:p>
        </w:tc>
        <w:tc>
          <w:tcPr>
            <w:tcW w:w="840" w:type="dxa"/>
            <w:tcBorders>
              <w:top w:val="nil"/>
              <w:left w:val="nil"/>
              <w:bottom w:val="single" w:sz="4" w:space="0" w:color="808080"/>
              <w:right w:val="single" w:sz="4" w:space="0" w:color="808080"/>
            </w:tcBorders>
            <w:shd w:val="clear" w:color="auto" w:fill="auto"/>
            <w:vAlign w:val="center"/>
            <w:hideMark/>
          </w:tcPr>
          <w:p w14:paraId="04EECEB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53</w:t>
            </w:r>
          </w:p>
        </w:tc>
        <w:tc>
          <w:tcPr>
            <w:tcW w:w="867" w:type="dxa"/>
            <w:tcBorders>
              <w:top w:val="nil"/>
              <w:left w:val="nil"/>
              <w:bottom w:val="single" w:sz="4" w:space="0" w:color="808080"/>
              <w:right w:val="single" w:sz="4" w:space="0" w:color="808080"/>
            </w:tcBorders>
            <w:shd w:val="clear" w:color="auto" w:fill="auto"/>
            <w:vAlign w:val="center"/>
            <w:hideMark/>
          </w:tcPr>
          <w:p w14:paraId="587CB3C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478</w:t>
            </w:r>
          </w:p>
        </w:tc>
        <w:tc>
          <w:tcPr>
            <w:tcW w:w="841" w:type="dxa"/>
            <w:tcBorders>
              <w:top w:val="nil"/>
              <w:left w:val="nil"/>
              <w:bottom w:val="single" w:sz="4" w:space="0" w:color="808080"/>
              <w:right w:val="single" w:sz="4" w:space="0" w:color="808080"/>
            </w:tcBorders>
            <w:shd w:val="clear" w:color="auto" w:fill="auto"/>
            <w:vAlign w:val="center"/>
            <w:hideMark/>
          </w:tcPr>
          <w:p w14:paraId="430A5BD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47</w:t>
            </w:r>
          </w:p>
        </w:tc>
        <w:tc>
          <w:tcPr>
            <w:tcW w:w="867" w:type="dxa"/>
            <w:tcBorders>
              <w:top w:val="nil"/>
              <w:left w:val="nil"/>
              <w:bottom w:val="single" w:sz="4" w:space="0" w:color="808080"/>
              <w:right w:val="single" w:sz="4" w:space="0" w:color="808080"/>
            </w:tcBorders>
            <w:shd w:val="clear" w:color="auto" w:fill="auto"/>
            <w:vAlign w:val="center"/>
            <w:hideMark/>
          </w:tcPr>
          <w:p w14:paraId="7F734DC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9422</w:t>
            </w:r>
          </w:p>
        </w:tc>
        <w:tc>
          <w:tcPr>
            <w:tcW w:w="919" w:type="dxa"/>
            <w:tcBorders>
              <w:top w:val="nil"/>
              <w:left w:val="nil"/>
              <w:bottom w:val="single" w:sz="4" w:space="0" w:color="808080"/>
              <w:right w:val="single" w:sz="4" w:space="0" w:color="808080"/>
            </w:tcBorders>
            <w:shd w:val="clear" w:color="auto" w:fill="auto"/>
            <w:vAlign w:val="center"/>
            <w:hideMark/>
          </w:tcPr>
          <w:p w14:paraId="057BCE5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53.3%</w:t>
            </w:r>
          </w:p>
        </w:tc>
        <w:tc>
          <w:tcPr>
            <w:tcW w:w="919" w:type="dxa"/>
            <w:tcBorders>
              <w:top w:val="nil"/>
              <w:left w:val="nil"/>
              <w:bottom w:val="single" w:sz="4" w:space="0" w:color="808080"/>
              <w:right w:val="single" w:sz="4" w:space="0" w:color="808080"/>
            </w:tcBorders>
            <w:shd w:val="clear" w:color="auto" w:fill="auto"/>
            <w:vAlign w:val="center"/>
            <w:hideMark/>
          </w:tcPr>
          <w:p w14:paraId="79A7D3F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95.2%</w:t>
            </w:r>
          </w:p>
        </w:tc>
        <w:tc>
          <w:tcPr>
            <w:tcW w:w="891" w:type="dxa"/>
            <w:tcBorders>
              <w:top w:val="nil"/>
              <w:left w:val="nil"/>
              <w:bottom w:val="single" w:sz="4" w:space="0" w:color="808080"/>
              <w:right w:val="single" w:sz="4" w:space="0" w:color="808080"/>
            </w:tcBorders>
            <w:shd w:val="clear" w:color="auto" w:fill="auto"/>
            <w:vAlign w:val="center"/>
            <w:hideMark/>
          </w:tcPr>
          <w:p w14:paraId="41DABEA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99.5%</w:t>
            </w:r>
          </w:p>
        </w:tc>
        <w:tc>
          <w:tcPr>
            <w:tcW w:w="940" w:type="dxa"/>
            <w:tcBorders>
              <w:top w:val="nil"/>
              <w:left w:val="nil"/>
              <w:bottom w:val="single" w:sz="4" w:space="0" w:color="808080"/>
              <w:right w:val="single" w:sz="4" w:space="0" w:color="808080"/>
            </w:tcBorders>
            <w:shd w:val="clear" w:color="auto" w:fill="auto"/>
            <w:vAlign w:val="center"/>
            <w:hideMark/>
          </w:tcPr>
          <w:p w14:paraId="7FD1D29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46.7</w:t>
            </w:r>
          </w:p>
        </w:tc>
      </w:tr>
      <w:tr w:rsidR="005544EF" w:rsidRPr="00AE63E1" w14:paraId="612E085A"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44B6E080"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36CF5AEE"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20%</w:t>
            </w:r>
          </w:p>
        </w:tc>
        <w:tc>
          <w:tcPr>
            <w:tcW w:w="1455" w:type="dxa"/>
            <w:tcBorders>
              <w:top w:val="nil"/>
              <w:left w:val="nil"/>
              <w:bottom w:val="single" w:sz="4" w:space="0" w:color="808080"/>
              <w:right w:val="single" w:sz="4" w:space="0" w:color="808080"/>
            </w:tcBorders>
            <w:shd w:val="clear" w:color="auto" w:fill="auto"/>
            <w:hideMark/>
          </w:tcPr>
          <w:p w14:paraId="4BE01A6D" w14:textId="3029202A"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sz w:val="20"/>
                <w:szCs w:val="20"/>
              </w:rPr>
              <w:t>0.0800</w:t>
            </w:r>
          </w:p>
        </w:tc>
        <w:tc>
          <w:tcPr>
            <w:tcW w:w="840" w:type="dxa"/>
            <w:tcBorders>
              <w:top w:val="nil"/>
              <w:left w:val="nil"/>
              <w:bottom w:val="single" w:sz="4" w:space="0" w:color="808080"/>
              <w:right w:val="single" w:sz="4" w:space="0" w:color="808080"/>
            </w:tcBorders>
            <w:shd w:val="clear" w:color="auto" w:fill="auto"/>
            <w:vAlign w:val="center"/>
            <w:hideMark/>
          </w:tcPr>
          <w:p w14:paraId="6F62A9C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33</w:t>
            </w:r>
          </w:p>
        </w:tc>
        <w:tc>
          <w:tcPr>
            <w:tcW w:w="867" w:type="dxa"/>
            <w:tcBorders>
              <w:top w:val="nil"/>
              <w:left w:val="nil"/>
              <w:bottom w:val="single" w:sz="4" w:space="0" w:color="808080"/>
              <w:right w:val="single" w:sz="4" w:space="0" w:color="808080"/>
            </w:tcBorders>
            <w:shd w:val="clear" w:color="auto" w:fill="auto"/>
            <w:vAlign w:val="center"/>
            <w:hideMark/>
          </w:tcPr>
          <w:p w14:paraId="3717290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129</w:t>
            </w:r>
          </w:p>
        </w:tc>
        <w:tc>
          <w:tcPr>
            <w:tcW w:w="841" w:type="dxa"/>
            <w:tcBorders>
              <w:top w:val="nil"/>
              <w:left w:val="nil"/>
              <w:bottom w:val="single" w:sz="4" w:space="0" w:color="808080"/>
              <w:right w:val="single" w:sz="4" w:space="0" w:color="808080"/>
            </w:tcBorders>
            <w:shd w:val="clear" w:color="auto" w:fill="auto"/>
            <w:vAlign w:val="center"/>
            <w:hideMark/>
          </w:tcPr>
          <w:p w14:paraId="0E8CE7C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67</w:t>
            </w:r>
          </w:p>
        </w:tc>
        <w:tc>
          <w:tcPr>
            <w:tcW w:w="867" w:type="dxa"/>
            <w:tcBorders>
              <w:top w:val="nil"/>
              <w:left w:val="nil"/>
              <w:bottom w:val="single" w:sz="4" w:space="0" w:color="808080"/>
              <w:right w:val="single" w:sz="4" w:space="0" w:color="808080"/>
            </w:tcBorders>
            <w:shd w:val="clear" w:color="auto" w:fill="auto"/>
            <w:vAlign w:val="center"/>
            <w:hideMark/>
          </w:tcPr>
          <w:p w14:paraId="4EA3892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9771</w:t>
            </w:r>
          </w:p>
        </w:tc>
        <w:tc>
          <w:tcPr>
            <w:tcW w:w="919" w:type="dxa"/>
            <w:tcBorders>
              <w:top w:val="nil"/>
              <w:left w:val="nil"/>
              <w:bottom w:val="single" w:sz="4" w:space="0" w:color="808080"/>
              <w:right w:val="single" w:sz="4" w:space="0" w:color="808080"/>
            </w:tcBorders>
            <w:shd w:val="clear" w:color="auto" w:fill="auto"/>
            <w:vAlign w:val="center"/>
            <w:hideMark/>
          </w:tcPr>
          <w:p w14:paraId="72D1F6F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33.1%</w:t>
            </w:r>
          </w:p>
        </w:tc>
        <w:tc>
          <w:tcPr>
            <w:tcW w:w="919" w:type="dxa"/>
            <w:tcBorders>
              <w:top w:val="nil"/>
              <w:left w:val="nil"/>
              <w:bottom w:val="single" w:sz="4" w:space="0" w:color="808080"/>
              <w:right w:val="single" w:sz="4" w:space="0" w:color="808080"/>
            </w:tcBorders>
            <w:shd w:val="clear" w:color="auto" w:fill="auto"/>
            <w:vAlign w:val="center"/>
            <w:hideMark/>
          </w:tcPr>
          <w:p w14:paraId="7BFCFC8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98.7%</w:t>
            </w:r>
          </w:p>
        </w:tc>
        <w:tc>
          <w:tcPr>
            <w:tcW w:w="891" w:type="dxa"/>
            <w:tcBorders>
              <w:top w:val="nil"/>
              <w:left w:val="nil"/>
              <w:bottom w:val="single" w:sz="4" w:space="0" w:color="808080"/>
              <w:right w:val="single" w:sz="4" w:space="0" w:color="808080"/>
            </w:tcBorders>
            <w:shd w:val="clear" w:color="auto" w:fill="auto"/>
            <w:vAlign w:val="center"/>
            <w:hideMark/>
          </w:tcPr>
          <w:p w14:paraId="6910F8C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99.3%</w:t>
            </w:r>
          </w:p>
        </w:tc>
        <w:tc>
          <w:tcPr>
            <w:tcW w:w="940" w:type="dxa"/>
            <w:tcBorders>
              <w:top w:val="nil"/>
              <w:left w:val="nil"/>
              <w:bottom w:val="single" w:sz="4" w:space="0" w:color="808080"/>
              <w:right w:val="single" w:sz="4" w:space="0" w:color="808080"/>
            </w:tcBorders>
            <w:shd w:val="clear" w:color="auto" w:fill="auto"/>
            <w:vAlign w:val="center"/>
            <w:hideMark/>
          </w:tcPr>
          <w:p w14:paraId="4B24E33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66.9</w:t>
            </w:r>
          </w:p>
        </w:tc>
      </w:tr>
      <w:tr w:rsidR="00BF4FC6" w:rsidRPr="00AE63E1" w14:paraId="18FED26A" w14:textId="77777777" w:rsidTr="005544EF">
        <w:trPr>
          <w:trHeight w:val="300"/>
        </w:trPr>
        <w:tc>
          <w:tcPr>
            <w:tcW w:w="1171"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3E034E32" w14:textId="77777777" w:rsidR="00BF4FC6" w:rsidRPr="00AE63E1" w:rsidRDefault="00BF4FC6" w:rsidP="00BF4FC6">
            <w:pPr>
              <w:spacing w:after="0" w:line="240" w:lineRule="auto"/>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Women</w:t>
            </w:r>
          </w:p>
        </w:tc>
        <w:tc>
          <w:tcPr>
            <w:tcW w:w="868" w:type="dxa"/>
            <w:tcBorders>
              <w:top w:val="nil"/>
              <w:left w:val="nil"/>
              <w:bottom w:val="single" w:sz="4" w:space="0" w:color="808080"/>
              <w:right w:val="single" w:sz="4" w:space="0" w:color="808080"/>
            </w:tcBorders>
            <w:shd w:val="clear" w:color="auto" w:fill="auto"/>
            <w:vAlign w:val="center"/>
            <w:hideMark/>
          </w:tcPr>
          <w:p w14:paraId="1FDBA46A"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w:t>
            </w:r>
          </w:p>
        </w:tc>
        <w:tc>
          <w:tcPr>
            <w:tcW w:w="1455" w:type="dxa"/>
            <w:tcBorders>
              <w:top w:val="nil"/>
              <w:left w:val="nil"/>
              <w:bottom w:val="single" w:sz="4" w:space="0" w:color="808080"/>
              <w:right w:val="single" w:sz="4" w:space="0" w:color="808080"/>
            </w:tcBorders>
            <w:shd w:val="clear" w:color="auto" w:fill="auto"/>
            <w:vAlign w:val="center"/>
            <w:hideMark/>
          </w:tcPr>
          <w:p w14:paraId="483F3E97" w14:textId="77777777" w:rsidR="00BF4FC6" w:rsidRPr="00AE63E1" w:rsidRDefault="00BF4FC6" w:rsidP="00BF4FC6">
            <w:pPr>
              <w:spacing w:after="0" w:line="240" w:lineRule="auto"/>
              <w:jc w:val="center"/>
              <w:rPr>
                <w:rFonts w:ascii="Calibri" w:eastAsia="Times New Roman" w:hAnsi="Calibri" w:cs="Calibri"/>
                <w:sz w:val="20"/>
                <w:szCs w:val="20"/>
                <w:lang w:eastAsia="en-GB"/>
              </w:rPr>
            </w:pPr>
            <w:r w:rsidRPr="00AE63E1">
              <w:rPr>
                <w:rFonts w:ascii="Calibri" w:eastAsia="Times New Roman" w:hAnsi="Calibri" w:cs="Calibri"/>
                <w:sz w:val="20"/>
                <w:szCs w:val="20"/>
                <w:lang w:eastAsia="en-GB"/>
              </w:rPr>
              <w:t>0</w:t>
            </w:r>
          </w:p>
        </w:tc>
        <w:tc>
          <w:tcPr>
            <w:tcW w:w="840" w:type="dxa"/>
            <w:tcBorders>
              <w:top w:val="nil"/>
              <w:left w:val="nil"/>
              <w:bottom w:val="single" w:sz="4" w:space="0" w:color="808080"/>
              <w:right w:val="single" w:sz="4" w:space="0" w:color="808080"/>
            </w:tcBorders>
            <w:shd w:val="clear" w:color="auto" w:fill="auto"/>
            <w:vAlign w:val="center"/>
            <w:hideMark/>
          </w:tcPr>
          <w:p w14:paraId="3D50F6A8"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w:t>
            </w:r>
          </w:p>
        </w:tc>
        <w:tc>
          <w:tcPr>
            <w:tcW w:w="867" w:type="dxa"/>
            <w:tcBorders>
              <w:top w:val="nil"/>
              <w:left w:val="nil"/>
              <w:bottom w:val="single" w:sz="4" w:space="0" w:color="808080"/>
              <w:right w:val="single" w:sz="4" w:space="0" w:color="808080"/>
            </w:tcBorders>
            <w:shd w:val="clear" w:color="auto" w:fill="auto"/>
            <w:vAlign w:val="center"/>
            <w:hideMark/>
          </w:tcPr>
          <w:p w14:paraId="66134FAA"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9900</w:t>
            </w:r>
          </w:p>
        </w:tc>
        <w:tc>
          <w:tcPr>
            <w:tcW w:w="841" w:type="dxa"/>
            <w:tcBorders>
              <w:top w:val="nil"/>
              <w:left w:val="nil"/>
              <w:bottom w:val="single" w:sz="4" w:space="0" w:color="808080"/>
              <w:right w:val="single" w:sz="4" w:space="0" w:color="808080"/>
            </w:tcBorders>
            <w:shd w:val="clear" w:color="auto" w:fill="auto"/>
            <w:vAlign w:val="center"/>
            <w:hideMark/>
          </w:tcPr>
          <w:p w14:paraId="0DE41549"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867" w:type="dxa"/>
            <w:tcBorders>
              <w:top w:val="nil"/>
              <w:left w:val="nil"/>
              <w:bottom w:val="single" w:sz="4" w:space="0" w:color="808080"/>
              <w:right w:val="single" w:sz="4" w:space="0" w:color="808080"/>
            </w:tcBorders>
            <w:shd w:val="clear" w:color="auto" w:fill="auto"/>
            <w:vAlign w:val="center"/>
            <w:hideMark/>
          </w:tcPr>
          <w:p w14:paraId="021153E9"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919" w:type="dxa"/>
            <w:tcBorders>
              <w:top w:val="nil"/>
              <w:left w:val="nil"/>
              <w:bottom w:val="single" w:sz="4" w:space="0" w:color="808080"/>
              <w:right w:val="single" w:sz="4" w:space="0" w:color="808080"/>
            </w:tcBorders>
            <w:shd w:val="clear" w:color="auto" w:fill="auto"/>
            <w:vAlign w:val="center"/>
            <w:hideMark/>
          </w:tcPr>
          <w:p w14:paraId="6DCCC292"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100.0%</w:t>
            </w:r>
          </w:p>
        </w:tc>
        <w:tc>
          <w:tcPr>
            <w:tcW w:w="919" w:type="dxa"/>
            <w:tcBorders>
              <w:top w:val="nil"/>
              <w:left w:val="nil"/>
              <w:bottom w:val="single" w:sz="4" w:space="0" w:color="808080"/>
              <w:right w:val="single" w:sz="4" w:space="0" w:color="808080"/>
            </w:tcBorders>
            <w:shd w:val="clear" w:color="auto" w:fill="auto"/>
            <w:vAlign w:val="center"/>
            <w:hideMark/>
          </w:tcPr>
          <w:p w14:paraId="63514C55"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0.0%</w:t>
            </w:r>
          </w:p>
        </w:tc>
        <w:tc>
          <w:tcPr>
            <w:tcW w:w="891" w:type="dxa"/>
            <w:tcBorders>
              <w:top w:val="nil"/>
              <w:left w:val="nil"/>
              <w:bottom w:val="single" w:sz="4" w:space="0" w:color="808080"/>
              <w:right w:val="single" w:sz="4" w:space="0" w:color="808080"/>
            </w:tcBorders>
            <w:shd w:val="clear" w:color="auto" w:fill="auto"/>
            <w:vAlign w:val="center"/>
            <w:hideMark/>
          </w:tcPr>
          <w:p w14:paraId="750CFE7A"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NA</w:t>
            </w:r>
          </w:p>
        </w:tc>
        <w:tc>
          <w:tcPr>
            <w:tcW w:w="940" w:type="dxa"/>
            <w:tcBorders>
              <w:top w:val="nil"/>
              <w:left w:val="nil"/>
              <w:bottom w:val="single" w:sz="4" w:space="0" w:color="808080"/>
              <w:right w:val="single" w:sz="4" w:space="0" w:color="808080"/>
            </w:tcBorders>
            <w:shd w:val="clear" w:color="auto" w:fill="auto"/>
            <w:vAlign w:val="center"/>
            <w:hideMark/>
          </w:tcPr>
          <w:p w14:paraId="0E8B81CA"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r>
      <w:tr w:rsidR="005544EF" w:rsidRPr="00AE63E1" w14:paraId="6C21BE4F"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02DAF08C"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244ADBA4" w14:textId="59C8BBDE"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1.5%</w:t>
            </w:r>
          </w:p>
        </w:tc>
        <w:tc>
          <w:tcPr>
            <w:tcW w:w="1455" w:type="dxa"/>
            <w:tcBorders>
              <w:top w:val="nil"/>
              <w:left w:val="nil"/>
              <w:bottom w:val="single" w:sz="4" w:space="0" w:color="808080"/>
              <w:right w:val="single" w:sz="4" w:space="0" w:color="808080"/>
            </w:tcBorders>
            <w:shd w:val="clear" w:color="auto" w:fill="auto"/>
            <w:vAlign w:val="bottom"/>
            <w:hideMark/>
          </w:tcPr>
          <w:p w14:paraId="66D8DF92" w14:textId="143890F0"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0.0053</w:t>
            </w:r>
          </w:p>
        </w:tc>
        <w:tc>
          <w:tcPr>
            <w:tcW w:w="840" w:type="dxa"/>
            <w:tcBorders>
              <w:top w:val="nil"/>
              <w:left w:val="nil"/>
              <w:bottom w:val="single" w:sz="4" w:space="0" w:color="808080"/>
              <w:right w:val="single" w:sz="4" w:space="0" w:color="808080"/>
            </w:tcBorders>
            <w:shd w:val="clear" w:color="auto" w:fill="auto"/>
            <w:vAlign w:val="center"/>
            <w:hideMark/>
          </w:tcPr>
          <w:p w14:paraId="2905CF5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84</w:t>
            </w:r>
          </w:p>
        </w:tc>
        <w:tc>
          <w:tcPr>
            <w:tcW w:w="867" w:type="dxa"/>
            <w:tcBorders>
              <w:top w:val="nil"/>
              <w:left w:val="nil"/>
              <w:bottom w:val="single" w:sz="4" w:space="0" w:color="808080"/>
              <w:right w:val="single" w:sz="4" w:space="0" w:color="808080"/>
            </w:tcBorders>
            <w:shd w:val="clear" w:color="auto" w:fill="auto"/>
            <w:vAlign w:val="center"/>
            <w:hideMark/>
          </w:tcPr>
          <w:p w14:paraId="5EEFF44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5468</w:t>
            </w:r>
          </w:p>
        </w:tc>
        <w:tc>
          <w:tcPr>
            <w:tcW w:w="841" w:type="dxa"/>
            <w:tcBorders>
              <w:top w:val="nil"/>
              <w:left w:val="nil"/>
              <w:bottom w:val="single" w:sz="4" w:space="0" w:color="808080"/>
              <w:right w:val="single" w:sz="4" w:space="0" w:color="808080"/>
            </w:tcBorders>
            <w:shd w:val="clear" w:color="auto" w:fill="auto"/>
            <w:vAlign w:val="center"/>
            <w:hideMark/>
          </w:tcPr>
          <w:p w14:paraId="367B200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16</w:t>
            </w:r>
          </w:p>
        </w:tc>
        <w:tc>
          <w:tcPr>
            <w:tcW w:w="867" w:type="dxa"/>
            <w:tcBorders>
              <w:top w:val="nil"/>
              <w:left w:val="nil"/>
              <w:bottom w:val="single" w:sz="4" w:space="0" w:color="808080"/>
              <w:right w:val="single" w:sz="4" w:space="0" w:color="808080"/>
            </w:tcBorders>
            <w:shd w:val="clear" w:color="auto" w:fill="auto"/>
            <w:vAlign w:val="center"/>
            <w:hideMark/>
          </w:tcPr>
          <w:p w14:paraId="2C89B83E"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4432</w:t>
            </w:r>
          </w:p>
        </w:tc>
        <w:tc>
          <w:tcPr>
            <w:tcW w:w="919" w:type="dxa"/>
            <w:tcBorders>
              <w:top w:val="nil"/>
              <w:left w:val="nil"/>
              <w:bottom w:val="single" w:sz="4" w:space="0" w:color="808080"/>
              <w:right w:val="single" w:sz="4" w:space="0" w:color="808080"/>
            </w:tcBorders>
            <w:shd w:val="clear" w:color="auto" w:fill="auto"/>
            <w:vAlign w:val="center"/>
            <w:hideMark/>
          </w:tcPr>
          <w:p w14:paraId="3A6DDF5E"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84.1%</w:t>
            </w:r>
          </w:p>
        </w:tc>
        <w:tc>
          <w:tcPr>
            <w:tcW w:w="919" w:type="dxa"/>
            <w:tcBorders>
              <w:top w:val="nil"/>
              <w:left w:val="nil"/>
              <w:bottom w:val="single" w:sz="4" w:space="0" w:color="808080"/>
              <w:right w:val="single" w:sz="4" w:space="0" w:color="808080"/>
            </w:tcBorders>
            <w:shd w:val="clear" w:color="auto" w:fill="auto"/>
            <w:vAlign w:val="center"/>
            <w:hideMark/>
          </w:tcPr>
          <w:p w14:paraId="241EDF8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44.8%</w:t>
            </w:r>
          </w:p>
        </w:tc>
        <w:tc>
          <w:tcPr>
            <w:tcW w:w="891" w:type="dxa"/>
            <w:tcBorders>
              <w:top w:val="nil"/>
              <w:left w:val="nil"/>
              <w:bottom w:val="single" w:sz="4" w:space="0" w:color="808080"/>
              <w:right w:val="single" w:sz="4" w:space="0" w:color="808080"/>
            </w:tcBorders>
            <w:shd w:val="clear" w:color="auto" w:fill="auto"/>
            <w:vAlign w:val="center"/>
            <w:hideMark/>
          </w:tcPr>
          <w:p w14:paraId="47C592F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99.6%</w:t>
            </w:r>
          </w:p>
        </w:tc>
        <w:tc>
          <w:tcPr>
            <w:tcW w:w="940" w:type="dxa"/>
            <w:tcBorders>
              <w:top w:val="nil"/>
              <w:left w:val="nil"/>
              <w:bottom w:val="single" w:sz="4" w:space="0" w:color="808080"/>
              <w:right w:val="single" w:sz="4" w:space="0" w:color="808080"/>
            </w:tcBorders>
            <w:shd w:val="clear" w:color="auto" w:fill="auto"/>
            <w:vAlign w:val="center"/>
            <w:hideMark/>
          </w:tcPr>
          <w:p w14:paraId="01A32DD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15.9</w:t>
            </w:r>
          </w:p>
        </w:tc>
      </w:tr>
      <w:tr w:rsidR="005544EF" w:rsidRPr="00AE63E1" w14:paraId="1C43D1D8"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658EC18D"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30A4365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w:t>
            </w:r>
          </w:p>
        </w:tc>
        <w:tc>
          <w:tcPr>
            <w:tcW w:w="1455" w:type="dxa"/>
            <w:tcBorders>
              <w:top w:val="nil"/>
              <w:left w:val="nil"/>
              <w:bottom w:val="single" w:sz="4" w:space="0" w:color="808080"/>
              <w:right w:val="single" w:sz="4" w:space="0" w:color="808080"/>
            </w:tcBorders>
            <w:shd w:val="clear" w:color="auto" w:fill="auto"/>
            <w:vAlign w:val="bottom"/>
            <w:hideMark/>
          </w:tcPr>
          <w:p w14:paraId="26C53B3D" w14:textId="13C30D87"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0.0062</w:t>
            </w:r>
          </w:p>
        </w:tc>
        <w:tc>
          <w:tcPr>
            <w:tcW w:w="840" w:type="dxa"/>
            <w:tcBorders>
              <w:top w:val="nil"/>
              <w:left w:val="nil"/>
              <w:bottom w:val="single" w:sz="4" w:space="0" w:color="808080"/>
              <w:right w:val="single" w:sz="4" w:space="0" w:color="808080"/>
            </w:tcBorders>
            <w:shd w:val="clear" w:color="auto" w:fill="auto"/>
            <w:vAlign w:val="center"/>
            <w:hideMark/>
          </w:tcPr>
          <w:p w14:paraId="777E5D4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76</w:t>
            </w:r>
          </w:p>
        </w:tc>
        <w:tc>
          <w:tcPr>
            <w:tcW w:w="867" w:type="dxa"/>
            <w:tcBorders>
              <w:top w:val="nil"/>
              <w:left w:val="nil"/>
              <w:bottom w:val="single" w:sz="4" w:space="0" w:color="808080"/>
              <w:right w:val="single" w:sz="4" w:space="0" w:color="808080"/>
            </w:tcBorders>
            <w:shd w:val="clear" w:color="auto" w:fill="auto"/>
            <w:vAlign w:val="center"/>
            <w:hideMark/>
          </w:tcPr>
          <w:p w14:paraId="45CCC5D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3687</w:t>
            </w:r>
          </w:p>
        </w:tc>
        <w:tc>
          <w:tcPr>
            <w:tcW w:w="841" w:type="dxa"/>
            <w:tcBorders>
              <w:top w:val="nil"/>
              <w:left w:val="nil"/>
              <w:bottom w:val="single" w:sz="4" w:space="0" w:color="808080"/>
              <w:right w:val="single" w:sz="4" w:space="0" w:color="808080"/>
            </w:tcBorders>
            <w:shd w:val="clear" w:color="auto" w:fill="auto"/>
            <w:vAlign w:val="center"/>
            <w:hideMark/>
          </w:tcPr>
          <w:p w14:paraId="5BCE44D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24</w:t>
            </w:r>
          </w:p>
        </w:tc>
        <w:tc>
          <w:tcPr>
            <w:tcW w:w="867" w:type="dxa"/>
            <w:tcBorders>
              <w:top w:val="nil"/>
              <w:left w:val="nil"/>
              <w:bottom w:val="single" w:sz="4" w:space="0" w:color="808080"/>
              <w:right w:val="single" w:sz="4" w:space="0" w:color="808080"/>
            </w:tcBorders>
            <w:shd w:val="clear" w:color="auto" w:fill="auto"/>
            <w:vAlign w:val="center"/>
            <w:hideMark/>
          </w:tcPr>
          <w:p w14:paraId="1333920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6213</w:t>
            </w:r>
          </w:p>
        </w:tc>
        <w:tc>
          <w:tcPr>
            <w:tcW w:w="919" w:type="dxa"/>
            <w:tcBorders>
              <w:top w:val="nil"/>
              <w:left w:val="nil"/>
              <w:bottom w:val="single" w:sz="4" w:space="0" w:color="808080"/>
              <w:right w:val="single" w:sz="4" w:space="0" w:color="808080"/>
            </w:tcBorders>
            <w:shd w:val="clear" w:color="auto" w:fill="auto"/>
            <w:vAlign w:val="center"/>
            <w:hideMark/>
          </w:tcPr>
          <w:p w14:paraId="3C75A03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75.8%</w:t>
            </w:r>
          </w:p>
        </w:tc>
        <w:tc>
          <w:tcPr>
            <w:tcW w:w="919" w:type="dxa"/>
            <w:tcBorders>
              <w:top w:val="nil"/>
              <w:left w:val="nil"/>
              <w:bottom w:val="single" w:sz="4" w:space="0" w:color="808080"/>
              <w:right w:val="single" w:sz="4" w:space="0" w:color="808080"/>
            </w:tcBorders>
            <w:shd w:val="clear" w:color="auto" w:fill="auto"/>
            <w:vAlign w:val="center"/>
            <w:hideMark/>
          </w:tcPr>
          <w:p w14:paraId="078FFBA8"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62.8%</w:t>
            </w:r>
          </w:p>
        </w:tc>
        <w:tc>
          <w:tcPr>
            <w:tcW w:w="891" w:type="dxa"/>
            <w:tcBorders>
              <w:top w:val="nil"/>
              <w:left w:val="nil"/>
              <w:bottom w:val="single" w:sz="4" w:space="0" w:color="808080"/>
              <w:right w:val="single" w:sz="4" w:space="0" w:color="808080"/>
            </w:tcBorders>
            <w:shd w:val="clear" w:color="auto" w:fill="auto"/>
            <w:vAlign w:val="center"/>
            <w:hideMark/>
          </w:tcPr>
          <w:p w14:paraId="1816448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99.6%</w:t>
            </w:r>
          </w:p>
        </w:tc>
        <w:tc>
          <w:tcPr>
            <w:tcW w:w="940" w:type="dxa"/>
            <w:tcBorders>
              <w:top w:val="nil"/>
              <w:left w:val="nil"/>
              <w:bottom w:val="single" w:sz="4" w:space="0" w:color="808080"/>
              <w:right w:val="single" w:sz="4" w:space="0" w:color="808080"/>
            </w:tcBorders>
            <w:shd w:val="clear" w:color="auto" w:fill="auto"/>
            <w:vAlign w:val="center"/>
            <w:hideMark/>
          </w:tcPr>
          <w:p w14:paraId="2950CFE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24.2</w:t>
            </w:r>
          </w:p>
        </w:tc>
      </w:tr>
      <w:tr w:rsidR="005544EF" w:rsidRPr="00AE63E1" w14:paraId="4E68170E"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70D5FC8B"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5C465FB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w:t>
            </w:r>
          </w:p>
        </w:tc>
        <w:tc>
          <w:tcPr>
            <w:tcW w:w="1455" w:type="dxa"/>
            <w:tcBorders>
              <w:top w:val="nil"/>
              <w:left w:val="nil"/>
              <w:bottom w:val="single" w:sz="4" w:space="0" w:color="808080"/>
              <w:right w:val="single" w:sz="4" w:space="0" w:color="808080"/>
            </w:tcBorders>
            <w:shd w:val="clear" w:color="auto" w:fill="auto"/>
            <w:vAlign w:val="bottom"/>
            <w:hideMark/>
          </w:tcPr>
          <w:p w14:paraId="12D32689" w14:textId="48B8DCAD"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0.0233</w:t>
            </w:r>
          </w:p>
        </w:tc>
        <w:tc>
          <w:tcPr>
            <w:tcW w:w="840" w:type="dxa"/>
            <w:tcBorders>
              <w:top w:val="nil"/>
              <w:left w:val="nil"/>
              <w:bottom w:val="single" w:sz="4" w:space="0" w:color="808080"/>
              <w:right w:val="single" w:sz="4" w:space="0" w:color="808080"/>
            </w:tcBorders>
            <w:shd w:val="clear" w:color="auto" w:fill="auto"/>
            <w:vAlign w:val="center"/>
            <w:hideMark/>
          </w:tcPr>
          <w:p w14:paraId="4979FF9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39</w:t>
            </w:r>
          </w:p>
        </w:tc>
        <w:tc>
          <w:tcPr>
            <w:tcW w:w="867" w:type="dxa"/>
            <w:tcBorders>
              <w:top w:val="nil"/>
              <w:left w:val="nil"/>
              <w:bottom w:val="single" w:sz="4" w:space="0" w:color="808080"/>
              <w:right w:val="single" w:sz="4" w:space="0" w:color="808080"/>
            </w:tcBorders>
            <w:shd w:val="clear" w:color="auto" w:fill="auto"/>
            <w:vAlign w:val="center"/>
            <w:hideMark/>
          </w:tcPr>
          <w:p w14:paraId="684EB83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731</w:t>
            </w:r>
          </w:p>
        </w:tc>
        <w:tc>
          <w:tcPr>
            <w:tcW w:w="841" w:type="dxa"/>
            <w:tcBorders>
              <w:top w:val="nil"/>
              <w:left w:val="nil"/>
              <w:bottom w:val="single" w:sz="4" w:space="0" w:color="808080"/>
              <w:right w:val="single" w:sz="4" w:space="0" w:color="808080"/>
            </w:tcBorders>
            <w:shd w:val="clear" w:color="auto" w:fill="auto"/>
            <w:vAlign w:val="center"/>
            <w:hideMark/>
          </w:tcPr>
          <w:p w14:paraId="2EFEF67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61</w:t>
            </w:r>
          </w:p>
        </w:tc>
        <w:tc>
          <w:tcPr>
            <w:tcW w:w="867" w:type="dxa"/>
            <w:tcBorders>
              <w:top w:val="nil"/>
              <w:left w:val="nil"/>
              <w:bottom w:val="single" w:sz="4" w:space="0" w:color="808080"/>
              <w:right w:val="single" w:sz="4" w:space="0" w:color="808080"/>
            </w:tcBorders>
            <w:shd w:val="clear" w:color="auto" w:fill="auto"/>
            <w:vAlign w:val="center"/>
            <w:hideMark/>
          </w:tcPr>
          <w:p w14:paraId="064137A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9169</w:t>
            </w:r>
          </w:p>
        </w:tc>
        <w:tc>
          <w:tcPr>
            <w:tcW w:w="919" w:type="dxa"/>
            <w:tcBorders>
              <w:top w:val="nil"/>
              <w:left w:val="nil"/>
              <w:bottom w:val="single" w:sz="4" w:space="0" w:color="808080"/>
              <w:right w:val="single" w:sz="4" w:space="0" w:color="808080"/>
            </w:tcBorders>
            <w:shd w:val="clear" w:color="auto" w:fill="auto"/>
            <w:vAlign w:val="center"/>
            <w:hideMark/>
          </w:tcPr>
          <w:p w14:paraId="0F01AD8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38.7%</w:t>
            </w:r>
          </w:p>
        </w:tc>
        <w:tc>
          <w:tcPr>
            <w:tcW w:w="919" w:type="dxa"/>
            <w:tcBorders>
              <w:top w:val="nil"/>
              <w:left w:val="nil"/>
              <w:bottom w:val="single" w:sz="4" w:space="0" w:color="808080"/>
              <w:right w:val="single" w:sz="4" w:space="0" w:color="808080"/>
            </w:tcBorders>
            <w:shd w:val="clear" w:color="auto" w:fill="auto"/>
            <w:vAlign w:val="center"/>
            <w:hideMark/>
          </w:tcPr>
          <w:p w14:paraId="4E6B116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92.6%</w:t>
            </w:r>
          </w:p>
        </w:tc>
        <w:tc>
          <w:tcPr>
            <w:tcW w:w="891" w:type="dxa"/>
            <w:tcBorders>
              <w:top w:val="nil"/>
              <w:left w:val="nil"/>
              <w:bottom w:val="single" w:sz="4" w:space="0" w:color="808080"/>
              <w:right w:val="single" w:sz="4" w:space="0" w:color="808080"/>
            </w:tcBorders>
            <w:shd w:val="clear" w:color="auto" w:fill="auto"/>
            <w:vAlign w:val="center"/>
            <w:hideMark/>
          </w:tcPr>
          <w:p w14:paraId="6D673D7E"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99.3%</w:t>
            </w:r>
          </w:p>
        </w:tc>
        <w:tc>
          <w:tcPr>
            <w:tcW w:w="940" w:type="dxa"/>
            <w:tcBorders>
              <w:top w:val="nil"/>
              <w:left w:val="nil"/>
              <w:bottom w:val="single" w:sz="4" w:space="0" w:color="808080"/>
              <w:right w:val="single" w:sz="4" w:space="0" w:color="808080"/>
            </w:tcBorders>
            <w:shd w:val="clear" w:color="auto" w:fill="auto"/>
            <w:vAlign w:val="center"/>
            <w:hideMark/>
          </w:tcPr>
          <w:p w14:paraId="2CAEF13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61.3</w:t>
            </w:r>
          </w:p>
        </w:tc>
      </w:tr>
      <w:tr w:rsidR="005544EF" w:rsidRPr="00AE63E1" w14:paraId="53890728"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0A4952A6"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39F4669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w:t>
            </w:r>
          </w:p>
        </w:tc>
        <w:tc>
          <w:tcPr>
            <w:tcW w:w="1455" w:type="dxa"/>
            <w:tcBorders>
              <w:top w:val="nil"/>
              <w:left w:val="nil"/>
              <w:bottom w:val="single" w:sz="4" w:space="0" w:color="808080"/>
              <w:right w:val="single" w:sz="4" w:space="0" w:color="808080"/>
            </w:tcBorders>
            <w:shd w:val="clear" w:color="auto" w:fill="auto"/>
            <w:vAlign w:val="bottom"/>
            <w:hideMark/>
          </w:tcPr>
          <w:p w14:paraId="7011C411" w14:textId="16EC1775"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0.1070</w:t>
            </w:r>
          </w:p>
        </w:tc>
        <w:tc>
          <w:tcPr>
            <w:tcW w:w="840" w:type="dxa"/>
            <w:tcBorders>
              <w:top w:val="nil"/>
              <w:left w:val="nil"/>
              <w:bottom w:val="single" w:sz="4" w:space="0" w:color="808080"/>
              <w:right w:val="single" w:sz="4" w:space="0" w:color="808080"/>
            </w:tcBorders>
            <w:shd w:val="clear" w:color="auto" w:fill="auto"/>
            <w:vAlign w:val="center"/>
            <w:hideMark/>
          </w:tcPr>
          <w:p w14:paraId="749BA60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11</w:t>
            </w:r>
          </w:p>
        </w:tc>
        <w:tc>
          <w:tcPr>
            <w:tcW w:w="867" w:type="dxa"/>
            <w:tcBorders>
              <w:top w:val="nil"/>
              <w:left w:val="nil"/>
              <w:bottom w:val="single" w:sz="4" w:space="0" w:color="808080"/>
              <w:right w:val="single" w:sz="4" w:space="0" w:color="808080"/>
            </w:tcBorders>
            <w:shd w:val="clear" w:color="auto" w:fill="auto"/>
            <w:vAlign w:val="center"/>
            <w:hideMark/>
          </w:tcPr>
          <w:p w14:paraId="123C488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96</w:t>
            </w:r>
          </w:p>
        </w:tc>
        <w:tc>
          <w:tcPr>
            <w:tcW w:w="841" w:type="dxa"/>
            <w:tcBorders>
              <w:top w:val="nil"/>
              <w:left w:val="nil"/>
              <w:bottom w:val="single" w:sz="4" w:space="0" w:color="808080"/>
              <w:right w:val="single" w:sz="4" w:space="0" w:color="808080"/>
            </w:tcBorders>
            <w:shd w:val="clear" w:color="auto" w:fill="auto"/>
            <w:vAlign w:val="center"/>
            <w:hideMark/>
          </w:tcPr>
          <w:p w14:paraId="2DB67C78"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89</w:t>
            </w:r>
          </w:p>
        </w:tc>
        <w:tc>
          <w:tcPr>
            <w:tcW w:w="867" w:type="dxa"/>
            <w:tcBorders>
              <w:top w:val="nil"/>
              <w:left w:val="nil"/>
              <w:bottom w:val="single" w:sz="4" w:space="0" w:color="808080"/>
              <w:right w:val="single" w:sz="4" w:space="0" w:color="808080"/>
            </w:tcBorders>
            <w:shd w:val="clear" w:color="auto" w:fill="auto"/>
            <w:vAlign w:val="center"/>
            <w:hideMark/>
          </w:tcPr>
          <w:p w14:paraId="4CD1C7E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9804</w:t>
            </w:r>
          </w:p>
        </w:tc>
        <w:tc>
          <w:tcPr>
            <w:tcW w:w="919" w:type="dxa"/>
            <w:tcBorders>
              <w:top w:val="nil"/>
              <w:left w:val="nil"/>
              <w:bottom w:val="single" w:sz="4" w:space="0" w:color="808080"/>
              <w:right w:val="single" w:sz="4" w:space="0" w:color="808080"/>
            </w:tcBorders>
            <w:shd w:val="clear" w:color="auto" w:fill="auto"/>
            <w:vAlign w:val="center"/>
            <w:hideMark/>
          </w:tcPr>
          <w:p w14:paraId="26EDFD1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10.7%</w:t>
            </w:r>
          </w:p>
        </w:tc>
        <w:tc>
          <w:tcPr>
            <w:tcW w:w="919" w:type="dxa"/>
            <w:tcBorders>
              <w:top w:val="nil"/>
              <w:left w:val="nil"/>
              <w:bottom w:val="single" w:sz="4" w:space="0" w:color="808080"/>
              <w:right w:val="single" w:sz="4" w:space="0" w:color="808080"/>
            </w:tcBorders>
            <w:shd w:val="clear" w:color="auto" w:fill="auto"/>
            <w:vAlign w:val="center"/>
            <w:hideMark/>
          </w:tcPr>
          <w:p w14:paraId="1313735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99.0%</w:t>
            </w:r>
          </w:p>
        </w:tc>
        <w:tc>
          <w:tcPr>
            <w:tcW w:w="891" w:type="dxa"/>
            <w:tcBorders>
              <w:top w:val="nil"/>
              <w:left w:val="nil"/>
              <w:bottom w:val="single" w:sz="4" w:space="0" w:color="808080"/>
              <w:right w:val="single" w:sz="4" w:space="0" w:color="808080"/>
            </w:tcBorders>
            <w:shd w:val="clear" w:color="auto" w:fill="auto"/>
            <w:vAlign w:val="center"/>
            <w:hideMark/>
          </w:tcPr>
          <w:p w14:paraId="4282227E"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99.1%</w:t>
            </w:r>
          </w:p>
        </w:tc>
        <w:tc>
          <w:tcPr>
            <w:tcW w:w="940" w:type="dxa"/>
            <w:tcBorders>
              <w:top w:val="nil"/>
              <w:left w:val="nil"/>
              <w:bottom w:val="single" w:sz="4" w:space="0" w:color="808080"/>
              <w:right w:val="single" w:sz="4" w:space="0" w:color="808080"/>
            </w:tcBorders>
            <w:shd w:val="clear" w:color="auto" w:fill="auto"/>
            <w:vAlign w:val="center"/>
            <w:hideMark/>
          </w:tcPr>
          <w:p w14:paraId="15720DD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89.3</w:t>
            </w:r>
          </w:p>
        </w:tc>
      </w:tr>
      <w:tr w:rsidR="005544EF" w:rsidRPr="00AE63E1" w14:paraId="1BBAB92E"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4AE46984"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37B0BA9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20%</w:t>
            </w:r>
          </w:p>
        </w:tc>
        <w:tc>
          <w:tcPr>
            <w:tcW w:w="1455" w:type="dxa"/>
            <w:tcBorders>
              <w:top w:val="nil"/>
              <w:left w:val="nil"/>
              <w:bottom w:val="single" w:sz="4" w:space="0" w:color="808080"/>
              <w:right w:val="single" w:sz="4" w:space="0" w:color="808080"/>
            </w:tcBorders>
            <w:shd w:val="clear" w:color="auto" w:fill="auto"/>
            <w:vAlign w:val="bottom"/>
            <w:hideMark/>
          </w:tcPr>
          <w:p w14:paraId="11F2A080" w14:textId="0942F465"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0.7550</w:t>
            </w:r>
          </w:p>
        </w:tc>
        <w:tc>
          <w:tcPr>
            <w:tcW w:w="840" w:type="dxa"/>
            <w:tcBorders>
              <w:top w:val="nil"/>
              <w:left w:val="nil"/>
              <w:bottom w:val="single" w:sz="4" w:space="0" w:color="808080"/>
              <w:right w:val="single" w:sz="4" w:space="0" w:color="808080"/>
            </w:tcBorders>
            <w:shd w:val="clear" w:color="auto" w:fill="auto"/>
            <w:vAlign w:val="center"/>
            <w:hideMark/>
          </w:tcPr>
          <w:p w14:paraId="2404151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867" w:type="dxa"/>
            <w:tcBorders>
              <w:top w:val="nil"/>
              <w:left w:val="nil"/>
              <w:bottom w:val="single" w:sz="4" w:space="0" w:color="808080"/>
              <w:right w:val="single" w:sz="4" w:space="0" w:color="808080"/>
            </w:tcBorders>
            <w:shd w:val="clear" w:color="auto" w:fill="auto"/>
            <w:vAlign w:val="center"/>
            <w:hideMark/>
          </w:tcPr>
          <w:p w14:paraId="4BA9A48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w:t>
            </w:r>
          </w:p>
        </w:tc>
        <w:tc>
          <w:tcPr>
            <w:tcW w:w="841" w:type="dxa"/>
            <w:tcBorders>
              <w:top w:val="nil"/>
              <w:left w:val="nil"/>
              <w:bottom w:val="single" w:sz="4" w:space="0" w:color="808080"/>
              <w:right w:val="single" w:sz="4" w:space="0" w:color="808080"/>
            </w:tcBorders>
            <w:shd w:val="clear" w:color="auto" w:fill="auto"/>
            <w:vAlign w:val="center"/>
            <w:hideMark/>
          </w:tcPr>
          <w:p w14:paraId="46192648"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w:t>
            </w:r>
          </w:p>
        </w:tc>
        <w:tc>
          <w:tcPr>
            <w:tcW w:w="867" w:type="dxa"/>
            <w:tcBorders>
              <w:top w:val="nil"/>
              <w:left w:val="nil"/>
              <w:bottom w:val="single" w:sz="4" w:space="0" w:color="808080"/>
              <w:right w:val="single" w:sz="4" w:space="0" w:color="808080"/>
            </w:tcBorders>
            <w:shd w:val="clear" w:color="auto" w:fill="auto"/>
            <w:vAlign w:val="center"/>
            <w:hideMark/>
          </w:tcPr>
          <w:p w14:paraId="4DDE793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9899</w:t>
            </w:r>
          </w:p>
        </w:tc>
        <w:tc>
          <w:tcPr>
            <w:tcW w:w="919" w:type="dxa"/>
            <w:tcBorders>
              <w:top w:val="nil"/>
              <w:left w:val="nil"/>
              <w:bottom w:val="single" w:sz="4" w:space="0" w:color="808080"/>
              <w:right w:val="single" w:sz="4" w:space="0" w:color="808080"/>
            </w:tcBorders>
            <w:shd w:val="clear" w:color="auto" w:fill="auto"/>
            <w:vAlign w:val="center"/>
            <w:hideMark/>
          </w:tcPr>
          <w:p w14:paraId="6ADC08E4"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0.2%</w:t>
            </w:r>
          </w:p>
        </w:tc>
        <w:tc>
          <w:tcPr>
            <w:tcW w:w="919" w:type="dxa"/>
            <w:tcBorders>
              <w:top w:val="nil"/>
              <w:left w:val="nil"/>
              <w:bottom w:val="single" w:sz="4" w:space="0" w:color="808080"/>
              <w:right w:val="single" w:sz="4" w:space="0" w:color="808080"/>
            </w:tcBorders>
            <w:shd w:val="clear" w:color="auto" w:fill="auto"/>
            <w:vAlign w:val="center"/>
            <w:hideMark/>
          </w:tcPr>
          <w:p w14:paraId="164E0698"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100.0%</w:t>
            </w:r>
          </w:p>
        </w:tc>
        <w:tc>
          <w:tcPr>
            <w:tcW w:w="891" w:type="dxa"/>
            <w:tcBorders>
              <w:top w:val="nil"/>
              <w:left w:val="nil"/>
              <w:bottom w:val="single" w:sz="4" w:space="0" w:color="808080"/>
              <w:right w:val="single" w:sz="4" w:space="0" w:color="808080"/>
            </w:tcBorders>
            <w:shd w:val="clear" w:color="auto" w:fill="auto"/>
            <w:vAlign w:val="center"/>
            <w:hideMark/>
          </w:tcPr>
          <w:p w14:paraId="56809C2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99.0%</w:t>
            </w:r>
          </w:p>
        </w:tc>
        <w:tc>
          <w:tcPr>
            <w:tcW w:w="940" w:type="dxa"/>
            <w:tcBorders>
              <w:top w:val="nil"/>
              <w:left w:val="nil"/>
              <w:bottom w:val="single" w:sz="4" w:space="0" w:color="808080"/>
              <w:right w:val="single" w:sz="4" w:space="0" w:color="808080"/>
            </w:tcBorders>
            <w:shd w:val="clear" w:color="auto" w:fill="auto"/>
            <w:vAlign w:val="center"/>
            <w:hideMark/>
          </w:tcPr>
          <w:p w14:paraId="1EF442F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99.8</w:t>
            </w:r>
          </w:p>
        </w:tc>
      </w:tr>
      <w:tr w:rsidR="00BF4FC6" w:rsidRPr="00AE63E1" w14:paraId="16C648EC" w14:textId="77777777" w:rsidTr="005544EF">
        <w:trPr>
          <w:trHeight w:val="300"/>
        </w:trPr>
        <w:tc>
          <w:tcPr>
            <w:tcW w:w="1171"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655EE84F" w14:textId="77777777" w:rsidR="00BF4FC6" w:rsidRPr="00AE63E1" w:rsidRDefault="00BF4FC6" w:rsidP="00BF4FC6">
            <w:pPr>
              <w:spacing w:after="0" w:line="240" w:lineRule="auto"/>
              <w:rPr>
                <w:rFonts w:ascii="Calibri" w:eastAsia="Times New Roman" w:hAnsi="Calibri" w:cs="Calibri"/>
                <w:b/>
                <w:bCs/>
                <w:color w:val="000000"/>
                <w:sz w:val="20"/>
                <w:szCs w:val="20"/>
                <w:lang w:eastAsia="en-GB"/>
              </w:rPr>
            </w:pPr>
            <w:r w:rsidRPr="00AE63E1">
              <w:rPr>
                <w:rFonts w:ascii="Calibri" w:eastAsia="Times New Roman" w:hAnsi="Calibri" w:cs="Calibri"/>
                <w:b/>
                <w:bCs/>
                <w:color w:val="000000"/>
                <w:sz w:val="20"/>
                <w:szCs w:val="20"/>
                <w:lang w:eastAsia="en-GB"/>
              </w:rPr>
              <w:t>Men</w:t>
            </w:r>
          </w:p>
        </w:tc>
        <w:tc>
          <w:tcPr>
            <w:tcW w:w="868" w:type="dxa"/>
            <w:tcBorders>
              <w:top w:val="nil"/>
              <w:left w:val="nil"/>
              <w:bottom w:val="single" w:sz="4" w:space="0" w:color="808080"/>
              <w:right w:val="single" w:sz="4" w:space="0" w:color="808080"/>
            </w:tcBorders>
            <w:shd w:val="clear" w:color="auto" w:fill="auto"/>
            <w:vAlign w:val="center"/>
            <w:hideMark/>
          </w:tcPr>
          <w:p w14:paraId="05030D4C"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w:t>
            </w:r>
          </w:p>
        </w:tc>
        <w:tc>
          <w:tcPr>
            <w:tcW w:w="1455" w:type="dxa"/>
            <w:tcBorders>
              <w:top w:val="nil"/>
              <w:left w:val="nil"/>
              <w:bottom w:val="single" w:sz="4" w:space="0" w:color="808080"/>
              <w:right w:val="single" w:sz="4" w:space="0" w:color="808080"/>
            </w:tcBorders>
            <w:shd w:val="clear" w:color="auto" w:fill="auto"/>
            <w:vAlign w:val="center"/>
            <w:hideMark/>
          </w:tcPr>
          <w:p w14:paraId="6121D3FB" w14:textId="77777777" w:rsidR="00BF4FC6" w:rsidRPr="00AE63E1" w:rsidRDefault="00BF4FC6" w:rsidP="00BF4FC6">
            <w:pPr>
              <w:spacing w:after="0" w:line="240" w:lineRule="auto"/>
              <w:jc w:val="center"/>
              <w:rPr>
                <w:rFonts w:ascii="Calibri" w:eastAsia="Times New Roman" w:hAnsi="Calibri" w:cs="Calibri"/>
                <w:sz w:val="20"/>
                <w:szCs w:val="20"/>
                <w:lang w:eastAsia="en-GB"/>
              </w:rPr>
            </w:pPr>
            <w:r w:rsidRPr="00AE63E1">
              <w:rPr>
                <w:rFonts w:ascii="Calibri" w:eastAsia="Times New Roman" w:hAnsi="Calibri" w:cs="Calibri"/>
                <w:sz w:val="20"/>
                <w:szCs w:val="20"/>
                <w:lang w:eastAsia="en-GB"/>
              </w:rPr>
              <w:t>0</w:t>
            </w:r>
          </w:p>
        </w:tc>
        <w:tc>
          <w:tcPr>
            <w:tcW w:w="840" w:type="dxa"/>
            <w:tcBorders>
              <w:top w:val="nil"/>
              <w:left w:val="nil"/>
              <w:bottom w:val="single" w:sz="4" w:space="0" w:color="808080"/>
              <w:right w:val="single" w:sz="4" w:space="0" w:color="808080"/>
            </w:tcBorders>
            <w:shd w:val="clear" w:color="auto" w:fill="auto"/>
            <w:vAlign w:val="center"/>
            <w:hideMark/>
          </w:tcPr>
          <w:p w14:paraId="69CE26F0"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w:t>
            </w:r>
          </w:p>
        </w:tc>
        <w:tc>
          <w:tcPr>
            <w:tcW w:w="867" w:type="dxa"/>
            <w:tcBorders>
              <w:top w:val="nil"/>
              <w:left w:val="nil"/>
              <w:bottom w:val="single" w:sz="4" w:space="0" w:color="808080"/>
              <w:right w:val="single" w:sz="4" w:space="0" w:color="808080"/>
            </w:tcBorders>
            <w:shd w:val="clear" w:color="auto" w:fill="auto"/>
            <w:vAlign w:val="center"/>
            <w:hideMark/>
          </w:tcPr>
          <w:p w14:paraId="24B8AE77"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9900</w:t>
            </w:r>
          </w:p>
        </w:tc>
        <w:tc>
          <w:tcPr>
            <w:tcW w:w="841" w:type="dxa"/>
            <w:tcBorders>
              <w:top w:val="nil"/>
              <w:left w:val="nil"/>
              <w:bottom w:val="single" w:sz="4" w:space="0" w:color="808080"/>
              <w:right w:val="single" w:sz="4" w:space="0" w:color="808080"/>
            </w:tcBorders>
            <w:shd w:val="clear" w:color="auto" w:fill="auto"/>
            <w:vAlign w:val="center"/>
            <w:hideMark/>
          </w:tcPr>
          <w:p w14:paraId="5C09C693"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867" w:type="dxa"/>
            <w:tcBorders>
              <w:top w:val="nil"/>
              <w:left w:val="nil"/>
              <w:bottom w:val="single" w:sz="4" w:space="0" w:color="808080"/>
              <w:right w:val="single" w:sz="4" w:space="0" w:color="808080"/>
            </w:tcBorders>
            <w:shd w:val="clear" w:color="auto" w:fill="auto"/>
            <w:vAlign w:val="center"/>
            <w:hideMark/>
          </w:tcPr>
          <w:p w14:paraId="7E13C9D8"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c>
          <w:tcPr>
            <w:tcW w:w="919" w:type="dxa"/>
            <w:tcBorders>
              <w:top w:val="nil"/>
              <w:left w:val="nil"/>
              <w:bottom w:val="single" w:sz="4" w:space="0" w:color="808080"/>
              <w:right w:val="single" w:sz="4" w:space="0" w:color="808080"/>
            </w:tcBorders>
            <w:shd w:val="clear" w:color="auto" w:fill="auto"/>
            <w:vAlign w:val="center"/>
            <w:hideMark/>
          </w:tcPr>
          <w:p w14:paraId="58335881"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100.0%</w:t>
            </w:r>
          </w:p>
        </w:tc>
        <w:tc>
          <w:tcPr>
            <w:tcW w:w="919" w:type="dxa"/>
            <w:tcBorders>
              <w:top w:val="nil"/>
              <w:left w:val="nil"/>
              <w:bottom w:val="single" w:sz="4" w:space="0" w:color="808080"/>
              <w:right w:val="single" w:sz="4" w:space="0" w:color="808080"/>
            </w:tcBorders>
            <w:shd w:val="clear" w:color="auto" w:fill="auto"/>
            <w:vAlign w:val="center"/>
            <w:hideMark/>
          </w:tcPr>
          <w:p w14:paraId="44D74293"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0.0%</w:t>
            </w:r>
          </w:p>
        </w:tc>
        <w:tc>
          <w:tcPr>
            <w:tcW w:w="891" w:type="dxa"/>
            <w:tcBorders>
              <w:top w:val="nil"/>
              <w:left w:val="nil"/>
              <w:bottom w:val="single" w:sz="4" w:space="0" w:color="808080"/>
              <w:right w:val="single" w:sz="4" w:space="0" w:color="808080"/>
            </w:tcBorders>
            <w:shd w:val="clear" w:color="auto" w:fill="auto"/>
            <w:vAlign w:val="center"/>
            <w:hideMark/>
          </w:tcPr>
          <w:p w14:paraId="5CF2B387"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NA</w:t>
            </w:r>
          </w:p>
        </w:tc>
        <w:tc>
          <w:tcPr>
            <w:tcW w:w="940" w:type="dxa"/>
            <w:tcBorders>
              <w:top w:val="nil"/>
              <w:left w:val="nil"/>
              <w:bottom w:val="single" w:sz="4" w:space="0" w:color="808080"/>
              <w:right w:val="single" w:sz="4" w:space="0" w:color="808080"/>
            </w:tcBorders>
            <w:shd w:val="clear" w:color="auto" w:fill="auto"/>
            <w:vAlign w:val="center"/>
            <w:hideMark/>
          </w:tcPr>
          <w:p w14:paraId="65DE288B" w14:textId="77777777" w:rsidR="00BF4FC6" w:rsidRPr="00AE63E1" w:rsidRDefault="00BF4FC6" w:rsidP="00BF4FC6">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0</w:t>
            </w:r>
          </w:p>
        </w:tc>
      </w:tr>
      <w:tr w:rsidR="005544EF" w:rsidRPr="00AE63E1" w14:paraId="33EFC7B1"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4FE832D7"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19F34949" w14:textId="7671658A"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1.5%</w:t>
            </w:r>
          </w:p>
        </w:tc>
        <w:tc>
          <w:tcPr>
            <w:tcW w:w="1455" w:type="dxa"/>
            <w:tcBorders>
              <w:top w:val="nil"/>
              <w:left w:val="nil"/>
              <w:bottom w:val="single" w:sz="4" w:space="0" w:color="808080"/>
              <w:right w:val="single" w:sz="4" w:space="0" w:color="808080"/>
            </w:tcBorders>
            <w:shd w:val="clear" w:color="auto" w:fill="auto"/>
            <w:vAlign w:val="bottom"/>
            <w:hideMark/>
          </w:tcPr>
          <w:p w14:paraId="254F2D91" w14:textId="4210D727"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0.007</w:t>
            </w:r>
          </w:p>
        </w:tc>
        <w:tc>
          <w:tcPr>
            <w:tcW w:w="840" w:type="dxa"/>
            <w:tcBorders>
              <w:top w:val="nil"/>
              <w:left w:val="nil"/>
              <w:bottom w:val="single" w:sz="4" w:space="0" w:color="808080"/>
              <w:right w:val="single" w:sz="4" w:space="0" w:color="808080"/>
            </w:tcBorders>
            <w:shd w:val="clear" w:color="auto" w:fill="auto"/>
            <w:vAlign w:val="center"/>
            <w:hideMark/>
          </w:tcPr>
          <w:p w14:paraId="6993E86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87</w:t>
            </w:r>
          </w:p>
        </w:tc>
        <w:tc>
          <w:tcPr>
            <w:tcW w:w="867" w:type="dxa"/>
            <w:tcBorders>
              <w:top w:val="nil"/>
              <w:left w:val="nil"/>
              <w:bottom w:val="single" w:sz="4" w:space="0" w:color="808080"/>
              <w:right w:val="single" w:sz="4" w:space="0" w:color="808080"/>
            </w:tcBorders>
            <w:shd w:val="clear" w:color="auto" w:fill="auto"/>
            <w:vAlign w:val="center"/>
            <w:hideMark/>
          </w:tcPr>
          <w:p w14:paraId="6A483B6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5634</w:t>
            </w:r>
          </w:p>
        </w:tc>
        <w:tc>
          <w:tcPr>
            <w:tcW w:w="841" w:type="dxa"/>
            <w:tcBorders>
              <w:top w:val="nil"/>
              <w:left w:val="nil"/>
              <w:bottom w:val="single" w:sz="4" w:space="0" w:color="808080"/>
              <w:right w:val="single" w:sz="4" w:space="0" w:color="808080"/>
            </w:tcBorders>
            <w:shd w:val="clear" w:color="auto" w:fill="auto"/>
            <w:vAlign w:val="center"/>
            <w:hideMark/>
          </w:tcPr>
          <w:p w14:paraId="701C5CF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13</w:t>
            </w:r>
          </w:p>
        </w:tc>
        <w:tc>
          <w:tcPr>
            <w:tcW w:w="867" w:type="dxa"/>
            <w:tcBorders>
              <w:top w:val="nil"/>
              <w:left w:val="nil"/>
              <w:bottom w:val="single" w:sz="4" w:space="0" w:color="808080"/>
              <w:right w:val="single" w:sz="4" w:space="0" w:color="808080"/>
            </w:tcBorders>
            <w:shd w:val="clear" w:color="auto" w:fill="auto"/>
            <w:vAlign w:val="center"/>
            <w:hideMark/>
          </w:tcPr>
          <w:p w14:paraId="0B26B16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4266</w:t>
            </w:r>
          </w:p>
        </w:tc>
        <w:tc>
          <w:tcPr>
            <w:tcW w:w="919" w:type="dxa"/>
            <w:tcBorders>
              <w:top w:val="nil"/>
              <w:left w:val="nil"/>
              <w:bottom w:val="single" w:sz="4" w:space="0" w:color="808080"/>
              <w:right w:val="single" w:sz="4" w:space="0" w:color="808080"/>
            </w:tcBorders>
            <w:shd w:val="clear" w:color="auto" w:fill="auto"/>
            <w:vAlign w:val="center"/>
            <w:hideMark/>
          </w:tcPr>
          <w:p w14:paraId="66701E5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87.0%</w:t>
            </w:r>
          </w:p>
        </w:tc>
        <w:tc>
          <w:tcPr>
            <w:tcW w:w="919" w:type="dxa"/>
            <w:tcBorders>
              <w:top w:val="nil"/>
              <w:left w:val="nil"/>
              <w:bottom w:val="single" w:sz="4" w:space="0" w:color="808080"/>
              <w:right w:val="single" w:sz="4" w:space="0" w:color="808080"/>
            </w:tcBorders>
            <w:shd w:val="clear" w:color="auto" w:fill="auto"/>
            <w:vAlign w:val="center"/>
            <w:hideMark/>
          </w:tcPr>
          <w:p w14:paraId="764A029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43.1%</w:t>
            </w:r>
          </w:p>
        </w:tc>
        <w:tc>
          <w:tcPr>
            <w:tcW w:w="891" w:type="dxa"/>
            <w:tcBorders>
              <w:top w:val="nil"/>
              <w:left w:val="nil"/>
              <w:bottom w:val="single" w:sz="4" w:space="0" w:color="808080"/>
              <w:right w:val="single" w:sz="4" w:space="0" w:color="808080"/>
            </w:tcBorders>
            <w:shd w:val="clear" w:color="auto" w:fill="auto"/>
            <w:vAlign w:val="center"/>
            <w:hideMark/>
          </w:tcPr>
          <w:p w14:paraId="1F34768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99.7%</w:t>
            </w:r>
          </w:p>
        </w:tc>
        <w:tc>
          <w:tcPr>
            <w:tcW w:w="940" w:type="dxa"/>
            <w:tcBorders>
              <w:top w:val="nil"/>
              <w:left w:val="nil"/>
              <w:bottom w:val="single" w:sz="4" w:space="0" w:color="808080"/>
              <w:right w:val="single" w:sz="4" w:space="0" w:color="808080"/>
            </w:tcBorders>
            <w:shd w:val="clear" w:color="auto" w:fill="auto"/>
            <w:vAlign w:val="center"/>
            <w:hideMark/>
          </w:tcPr>
          <w:p w14:paraId="3AB45A0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13</w:t>
            </w:r>
          </w:p>
        </w:tc>
      </w:tr>
      <w:tr w:rsidR="005544EF" w:rsidRPr="00AE63E1" w14:paraId="7C02FF55"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10CCADC4"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1732F13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w:t>
            </w:r>
          </w:p>
        </w:tc>
        <w:tc>
          <w:tcPr>
            <w:tcW w:w="1455" w:type="dxa"/>
            <w:tcBorders>
              <w:top w:val="nil"/>
              <w:left w:val="nil"/>
              <w:bottom w:val="single" w:sz="4" w:space="0" w:color="808080"/>
              <w:right w:val="single" w:sz="4" w:space="0" w:color="808080"/>
            </w:tcBorders>
            <w:shd w:val="clear" w:color="auto" w:fill="auto"/>
            <w:vAlign w:val="bottom"/>
            <w:hideMark/>
          </w:tcPr>
          <w:p w14:paraId="185CFA51" w14:textId="17CF1EC1"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0.008</w:t>
            </w:r>
          </w:p>
        </w:tc>
        <w:tc>
          <w:tcPr>
            <w:tcW w:w="840" w:type="dxa"/>
            <w:tcBorders>
              <w:top w:val="nil"/>
              <w:left w:val="nil"/>
              <w:bottom w:val="single" w:sz="4" w:space="0" w:color="808080"/>
              <w:right w:val="single" w:sz="4" w:space="0" w:color="808080"/>
            </w:tcBorders>
            <w:shd w:val="clear" w:color="auto" w:fill="auto"/>
            <w:vAlign w:val="center"/>
            <w:hideMark/>
          </w:tcPr>
          <w:p w14:paraId="41FBAA6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79</w:t>
            </w:r>
          </w:p>
        </w:tc>
        <w:tc>
          <w:tcPr>
            <w:tcW w:w="867" w:type="dxa"/>
            <w:tcBorders>
              <w:top w:val="nil"/>
              <w:left w:val="nil"/>
              <w:bottom w:val="single" w:sz="4" w:space="0" w:color="808080"/>
              <w:right w:val="single" w:sz="4" w:space="0" w:color="808080"/>
            </w:tcBorders>
            <w:shd w:val="clear" w:color="auto" w:fill="auto"/>
            <w:vAlign w:val="center"/>
            <w:hideMark/>
          </w:tcPr>
          <w:p w14:paraId="6EC4F50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3858</w:t>
            </w:r>
          </w:p>
        </w:tc>
        <w:tc>
          <w:tcPr>
            <w:tcW w:w="841" w:type="dxa"/>
            <w:tcBorders>
              <w:top w:val="nil"/>
              <w:left w:val="nil"/>
              <w:bottom w:val="single" w:sz="4" w:space="0" w:color="808080"/>
              <w:right w:val="single" w:sz="4" w:space="0" w:color="808080"/>
            </w:tcBorders>
            <w:shd w:val="clear" w:color="auto" w:fill="auto"/>
            <w:vAlign w:val="center"/>
            <w:hideMark/>
          </w:tcPr>
          <w:p w14:paraId="14F7FB1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21</w:t>
            </w:r>
          </w:p>
        </w:tc>
        <w:tc>
          <w:tcPr>
            <w:tcW w:w="867" w:type="dxa"/>
            <w:tcBorders>
              <w:top w:val="nil"/>
              <w:left w:val="nil"/>
              <w:bottom w:val="single" w:sz="4" w:space="0" w:color="808080"/>
              <w:right w:val="single" w:sz="4" w:space="0" w:color="808080"/>
            </w:tcBorders>
            <w:shd w:val="clear" w:color="auto" w:fill="auto"/>
            <w:vAlign w:val="center"/>
            <w:hideMark/>
          </w:tcPr>
          <w:p w14:paraId="0867443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6042</w:t>
            </w:r>
          </w:p>
        </w:tc>
        <w:tc>
          <w:tcPr>
            <w:tcW w:w="919" w:type="dxa"/>
            <w:tcBorders>
              <w:top w:val="nil"/>
              <w:left w:val="nil"/>
              <w:bottom w:val="single" w:sz="4" w:space="0" w:color="808080"/>
              <w:right w:val="single" w:sz="4" w:space="0" w:color="808080"/>
            </w:tcBorders>
            <w:shd w:val="clear" w:color="auto" w:fill="auto"/>
            <w:vAlign w:val="center"/>
            <w:hideMark/>
          </w:tcPr>
          <w:p w14:paraId="7CB1D78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79.0%</w:t>
            </w:r>
          </w:p>
        </w:tc>
        <w:tc>
          <w:tcPr>
            <w:tcW w:w="919" w:type="dxa"/>
            <w:tcBorders>
              <w:top w:val="nil"/>
              <w:left w:val="nil"/>
              <w:bottom w:val="single" w:sz="4" w:space="0" w:color="808080"/>
              <w:right w:val="single" w:sz="4" w:space="0" w:color="808080"/>
            </w:tcBorders>
            <w:shd w:val="clear" w:color="auto" w:fill="auto"/>
            <w:vAlign w:val="center"/>
            <w:hideMark/>
          </w:tcPr>
          <w:p w14:paraId="4DA69AE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61.0%</w:t>
            </w:r>
          </w:p>
        </w:tc>
        <w:tc>
          <w:tcPr>
            <w:tcW w:w="891" w:type="dxa"/>
            <w:tcBorders>
              <w:top w:val="nil"/>
              <w:left w:val="nil"/>
              <w:bottom w:val="single" w:sz="4" w:space="0" w:color="808080"/>
              <w:right w:val="single" w:sz="4" w:space="0" w:color="808080"/>
            </w:tcBorders>
            <w:shd w:val="clear" w:color="auto" w:fill="auto"/>
            <w:vAlign w:val="center"/>
            <w:hideMark/>
          </w:tcPr>
          <w:p w14:paraId="43118B0F"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99.7%</w:t>
            </w:r>
          </w:p>
        </w:tc>
        <w:tc>
          <w:tcPr>
            <w:tcW w:w="940" w:type="dxa"/>
            <w:tcBorders>
              <w:top w:val="nil"/>
              <w:left w:val="nil"/>
              <w:bottom w:val="single" w:sz="4" w:space="0" w:color="808080"/>
              <w:right w:val="single" w:sz="4" w:space="0" w:color="808080"/>
            </w:tcBorders>
            <w:shd w:val="clear" w:color="auto" w:fill="auto"/>
            <w:vAlign w:val="center"/>
            <w:hideMark/>
          </w:tcPr>
          <w:p w14:paraId="13108675"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21</w:t>
            </w:r>
          </w:p>
        </w:tc>
      </w:tr>
      <w:tr w:rsidR="005544EF" w:rsidRPr="00AE63E1" w14:paraId="2497E545"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1A0A4F00"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188574D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w:t>
            </w:r>
          </w:p>
        </w:tc>
        <w:tc>
          <w:tcPr>
            <w:tcW w:w="1455" w:type="dxa"/>
            <w:tcBorders>
              <w:top w:val="nil"/>
              <w:left w:val="nil"/>
              <w:bottom w:val="single" w:sz="4" w:space="0" w:color="808080"/>
              <w:right w:val="single" w:sz="4" w:space="0" w:color="808080"/>
            </w:tcBorders>
            <w:shd w:val="clear" w:color="auto" w:fill="auto"/>
            <w:vAlign w:val="bottom"/>
            <w:hideMark/>
          </w:tcPr>
          <w:p w14:paraId="52E10F29" w14:textId="6DFE19FC"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0.0185</w:t>
            </w:r>
          </w:p>
        </w:tc>
        <w:tc>
          <w:tcPr>
            <w:tcW w:w="840" w:type="dxa"/>
            <w:tcBorders>
              <w:top w:val="nil"/>
              <w:left w:val="nil"/>
              <w:bottom w:val="single" w:sz="4" w:space="0" w:color="808080"/>
              <w:right w:val="single" w:sz="4" w:space="0" w:color="808080"/>
            </w:tcBorders>
            <w:shd w:val="clear" w:color="auto" w:fill="auto"/>
            <w:vAlign w:val="center"/>
            <w:hideMark/>
          </w:tcPr>
          <w:p w14:paraId="1F0F7FAC"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58</w:t>
            </w:r>
          </w:p>
        </w:tc>
        <w:tc>
          <w:tcPr>
            <w:tcW w:w="867" w:type="dxa"/>
            <w:tcBorders>
              <w:top w:val="nil"/>
              <w:left w:val="nil"/>
              <w:bottom w:val="single" w:sz="4" w:space="0" w:color="808080"/>
              <w:right w:val="single" w:sz="4" w:space="0" w:color="808080"/>
            </w:tcBorders>
            <w:shd w:val="clear" w:color="auto" w:fill="auto"/>
            <w:vAlign w:val="center"/>
            <w:hideMark/>
          </w:tcPr>
          <w:p w14:paraId="30A1B2E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1095</w:t>
            </w:r>
          </w:p>
        </w:tc>
        <w:tc>
          <w:tcPr>
            <w:tcW w:w="841" w:type="dxa"/>
            <w:tcBorders>
              <w:top w:val="nil"/>
              <w:left w:val="nil"/>
              <w:bottom w:val="single" w:sz="4" w:space="0" w:color="808080"/>
              <w:right w:val="single" w:sz="4" w:space="0" w:color="808080"/>
            </w:tcBorders>
            <w:shd w:val="clear" w:color="auto" w:fill="auto"/>
            <w:vAlign w:val="center"/>
            <w:hideMark/>
          </w:tcPr>
          <w:p w14:paraId="4659952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42</w:t>
            </w:r>
          </w:p>
        </w:tc>
        <w:tc>
          <w:tcPr>
            <w:tcW w:w="867" w:type="dxa"/>
            <w:tcBorders>
              <w:top w:val="nil"/>
              <w:left w:val="nil"/>
              <w:bottom w:val="single" w:sz="4" w:space="0" w:color="808080"/>
              <w:right w:val="single" w:sz="4" w:space="0" w:color="808080"/>
            </w:tcBorders>
            <w:shd w:val="clear" w:color="auto" w:fill="auto"/>
            <w:vAlign w:val="center"/>
            <w:hideMark/>
          </w:tcPr>
          <w:p w14:paraId="75BB99FC"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8805</w:t>
            </w:r>
          </w:p>
        </w:tc>
        <w:tc>
          <w:tcPr>
            <w:tcW w:w="919" w:type="dxa"/>
            <w:tcBorders>
              <w:top w:val="nil"/>
              <w:left w:val="nil"/>
              <w:bottom w:val="single" w:sz="4" w:space="0" w:color="808080"/>
              <w:right w:val="single" w:sz="4" w:space="0" w:color="808080"/>
            </w:tcBorders>
            <w:shd w:val="clear" w:color="auto" w:fill="auto"/>
            <w:vAlign w:val="center"/>
            <w:hideMark/>
          </w:tcPr>
          <w:p w14:paraId="390F47D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57.9%</w:t>
            </w:r>
          </w:p>
        </w:tc>
        <w:tc>
          <w:tcPr>
            <w:tcW w:w="919" w:type="dxa"/>
            <w:tcBorders>
              <w:top w:val="nil"/>
              <w:left w:val="nil"/>
              <w:bottom w:val="single" w:sz="4" w:space="0" w:color="808080"/>
              <w:right w:val="single" w:sz="4" w:space="0" w:color="808080"/>
            </w:tcBorders>
            <w:shd w:val="clear" w:color="auto" w:fill="auto"/>
            <w:vAlign w:val="center"/>
            <w:hideMark/>
          </w:tcPr>
          <w:p w14:paraId="1A42ECB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88.9%</w:t>
            </w:r>
          </w:p>
        </w:tc>
        <w:tc>
          <w:tcPr>
            <w:tcW w:w="891" w:type="dxa"/>
            <w:tcBorders>
              <w:top w:val="nil"/>
              <w:left w:val="nil"/>
              <w:bottom w:val="single" w:sz="4" w:space="0" w:color="808080"/>
              <w:right w:val="single" w:sz="4" w:space="0" w:color="808080"/>
            </w:tcBorders>
            <w:shd w:val="clear" w:color="auto" w:fill="auto"/>
            <w:vAlign w:val="center"/>
            <w:hideMark/>
          </w:tcPr>
          <w:p w14:paraId="1BF7936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99.5%</w:t>
            </w:r>
          </w:p>
        </w:tc>
        <w:tc>
          <w:tcPr>
            <w:tcW w:w="940" w:type="dxa"/>
            <w:tcBorders>
              <w:top w:val="nil"/>
              <w:left w:val="nil"/>
              <w:bottom w:val="single" w:sz="4" w:space="0" w:color="808080"/>
              <w:right w:val="single" w:sz="4" w:space="0" w:color="808080"/>
            </w:tcBorders>
            <w:shd w:val="clear" w:color="auto" w:fill="auto"/>
            <w:vAlign w:val="center"/>
            <w:hideMark/>
          </w:tcPr>
          <w:p w14:paraId="03DF324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42.1</w:t>
            </w:r>
          </w:p>
        </w:tc>
      </w:tr>
      <w:tr w:rsidR="005544EF" w:rsidRPr="00AE63E1" w14:paraId="6D6FBB9C"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724352FE"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1BD3CCB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w:t>
            </w:r>
          </w:p>
        </w:tc>
        <w:tc>
          <w:tcPr>
            <w:tcW w:w="1455" w:type="dxa"/>
            <w:tcBorders>
              <w:top w:val="nil"/>
              <w:left w:val="nil"/>
              <w:bottom w:val="single" w:sz="4" w:space="0" w:color="808080"/>
              <w:right w:val="single" w:sz="4" w:space="0" w:color="808080"/>
            </w:tcBorders>
            <w:shd w:val="clear" w:color="auto" w:fill="auto"/>
            <w:vAlign w:val="bottom"/>
            <w:hideMark/>
          </w:tcPr>
          <w:p w14:paraId="276063DD" w14:textId="7C8E4E69"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0.0610</w:t>
            </w:r>
          </w:p>
        </w:tc>
        <w:tc>
          <w:tcPr>
            <w:tcW w:w="840" w:type="dxa"/>
            <w:tcBorders>
              <w:top w:val="nil"/>
              <w:left w:val="nil"/>
              <w:bottom w:val="single" w:sz="4" w:space="0" w:color="808080"/>
              <w:right w:val="single" w:sz="4" w:space="0" w:color="808080"/>
            </w:tcBorders>
            <w:shd w:val="clear" w:color="auto" w:fill="auto"/>
            <w:vAlign w:val="center"/>
            <w:hideMark/>
          </w:tcPr>
          <w:p w14:paraId="37E3ECA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32</w:t>
            </w:r>
          </w:p>
        </w:tc>
        <w:tc>
          <w:tcPr>
            <w:tcW w:w="867" w:type="dxa"/>
            <w:tcBorders>
              <w:top w:val="nil"/>
              <w:left w:val="nil"/>
              <w:bottom w:val="single" w:sz="4" w:space="0" w:color="808080"/>
              <w:right w:val="single" w:sz="4" w:space="0" w:color="808080"/>
            </w:tcBorders>
            <w:shd w:val="clear" w:color="auto" w:fill="auto"/>
            <w:vAlign w:val="center"/>
            <w:hideMark/>
          </w:tcPr>
          <w:p w14:paraId="3DFA949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290</w:t>
            </w:r>
          </w:p>
        </w:tc>
        <w:tc>
          <w:tcPr>
            <w:tcW w:w="841" w:type="dxa"/>
            <w:tcBorders>
              <w:top w:val="nil"/>
              <w:left w:val="nil"/>
              <w:bottom w:val="single" w:sz="4" w:space="0" w:color="808080"/>
              <w:right w:val="single" w:sz="4" w:space="0" w:color="808080"/>
            </w:tcBorders>
            <w:shd w:val="clear" w:color="auto" w:fill="auto"/>
            <w:vAlign w:val="center"/>
            <w:hideMark/>
          </w:tcPr>
          <w:p w14:paraId="5122469B"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68</w:t>
            </w:r>
          </w:p>
        </w:tc>
        <w:tc>
          <w:tcPr>
            <w:tcW w:w="867" w:type="dxa"/>
            <w:tcBorders>
              <w:top w:val="nil"/>
              <w:left w:val="nil"/>
              <w:bottom w:val="single" w:sz="4" w:space="0" w:color="808080"/>
              <w:right w:val="single" w:sz="4" w:space="0" w:color="808080"/>
            </w:tcBorders>
            <w:shd w:val="clear" w:color="auto" w:fill="auto"/>
            <w:vAlign w:val="center"/>
            <w:hideMark/>
          </w:tcPr>
          <w:p w14:paraId="2AFB908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9610</w:t>
            </w:r>
          </w:p>
        </w:tc>
        <w:tc>
          <w:tcPr>
            <w:tcW w:w="919" w:type="dxa"/>
            <w:tcBorders>
              <w:top w:val="nil"/>
              <w:left w:val="nil"/>
              <w:bottom w:val="single" w:sz="4" w:space="0" w:color="808080"/>
              <w:right w:val="single" w:sz="4" w:space="0" w:color="808080"/>
            </w:tcBorders>
            <w:shd w:val="clear" w:color="auto" w:fill="auto"/>
            <w:vAlign w:val="center"/>
            <w:hideMark/>
          </w:tcPr>
          <w:p w14:paraId="0FE4A4A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32.2%</w:t>
            </w:r>
          </w:p>
        </w:tc>
        <w:tc>
          <w:tcPr>
            <w:tcW w:w="919" w:type="dxa"/>
            <w:tcBorders>
              <w:top w:val="nil"/>
              <w:left w:val="nil"/>
              <w:bottom w:val="single" w:sz="4" w:space="0" w:color="808080"/>
              <w:right w:val="single" w:sz="4" w:space="0" w:color="808080"/>
            </w:tcBorders>
            <w:shd w:val="clear" w:color="auto" w:fill="auto"/>
            <w:vAlign w:val="center"/>
            <w:hideMark/>
          </w:tcPr>
          <w:p w14:paraId="518D35B7"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97.1%</w:t>
            </w:r>
          </w:p>
        </w:tc>
        <w:tc>
          <w:tcPr>
            <w:tcW w:w="891" w:type="dxa"/>
            <w:tcBorders>
              <w:top w:val="nil"/>
              <w:left w:val="nil"/>
              <w:bottom w:val="single" w:sz="4" w:space="0" w:color="808080"/>
              <w:right w:val="single" w:sz="4" w:space="0" w:color="808080"/>
            </w:tcBorders>
            <w:shd w:val="clear" w:color="auto" w:fill="auto"/>
            <w:vAlign w:val="center"/>
            <w:hideMark/>
          </w:tcPr>
          <w:p w14:paraId="4968609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99.3%</w:t>
            </w:r>
          </w:p>
        </w:tc>
        <w:tc>
          <w:tcPr>
            <w:tcW w:w="940" w:type="dxa"/>
            <w:tcBorders>
              <w:top w:val="nil"/>
              <w:left w:val="nil"/>
              <w:bottom w:val="single" w:sz="4" w:space="0" w:color="808080"/>
              <w:right w:val="single" w:sz="4" w:space="0" w:color="808080"/>
            </w:tcBorders>
            <w:shd w:val="clear" w:color="auto" w:fill="auto"/>
            <w:vAlign w:val="center"/>
            <w:hideMark/>
          </w:tcPr>
          <w:p w14:paraId="444D8839"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67.8</w:t>
            </w:r>
          </w:p>
        </w:tc>
      </w:tr>
      <w:tr w:rsidR="005544EF" w:rsidRPr="00AE63E1" w14:paraId="79CB3F69" w14:textId="77777777" w:rsidTr="005544EF">
        <w:trPr>
          <w:trHeight w:val="300"/>
        </w:trPr>
        <w:tc>
          <w:tcPr>
            <w:tcW w:w="1171" w:type="dxa"/>
            <w:vMerge/>
            <w:tcBorders>
              <w:top w:val="nil"/>
              <w:left w:val="single" w:sz="4" w:space="0" w:color="808080"/>
              <w:bottom w:val="single" w:sz="4" w:space="0" w:color="808080"/>
              <w:right w:val="single" w:sz="4" w:space="0" w:color="808080"/>
            </w:tcBorders>
            <w:vAlign w:val="center"/>
            <w:hideMark/>
          </w:tcPr>
          <w:p w14:paraId="727D45C2" w14:textId="77777777" w:rsidR="005544EF" w:rsidRPr="00AE63E1" w:rsidRDefault="005544EF" w:rsidP="005544EF">
            <w:pPr>
              <w:spacing w:after="0" w:line="240" w:lineRule="auto"/>
              <w:rPr>
                <w:rFonts w:ascii="Calibri" w:eastAsia="Times New Roman" w:hAnsi="Calibri" w:cs="Calibri"/>
                <w:b/>
                <w:bCs/>
                <w:color w:val="000000"/>
                <w:sz w:val="20"/>
                <w:szCs w:val="20"/>
                <w:lang w:eastAsia="en-GB"/>
              </w:rPr>
            </w:pPr>
          </w:p>
        </w:tc>
        <w:tc>
          <w:tcPr>
            <w:tcW w:w="868" w:type="dxa"/>
            <w:tcBorders>
              <w:top w:val="nil"/>
              <w:left w:val="nil"/>
              <w:bottom w:val="single" w:sz="4" w:space="0" w:color="808080"/>
              <w:right w:val="single" w:sz="4" w:space="0" w:color="808080"/>
            </w:tcBorders>
            <w:shd w:val="clear" w:color="auto" w:fill="auto"/>
            <w:vAlign w:val="center"/>
            <w:hideMark/>
          </w:tcPr>
          <w:p w14:paraId="4AEA078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20%</w:t>
            </w:r>
          </w:p>
        </w:tc>
        <w:tc>
          <w:tcPr>
            <w:tcW w:w="1455" w:type="dxa"/>
            <w:tcBorders>
              <w:top w:val="nil"/>
              <w:left w:val="nil"/>
              <w:bottom w:val="single" w:sz="4" w:space="0" w:color="808080"/>
              <w:right w:val="single" w:sz="4" w:space="0" w:color="808080"/>
            </w:tcBorders>
            <w:shd w:val="clear" w:color="auto" w:fill="auto"/>
            <w:vAlign w:val="bottom"/>
            <w:hideMark/>
          </w:tcPr>
          <w:p w14:paraId="0F2ECC96" w14:textId="16D8B83C" w:rsidR="005544EF" w:rsidRPr="00AE63E1" w:rsidRDefault="005544EF" w:rsidP="005544EF">
            <w:pPr>
              <w:spacing w:after="0" w:line="240" w:lineRule="auto"/>
              <w:jc w:val="center"/>
              <w:rPr>
                <w:rFonts w:ascii="Calibri" w:eastAsia="Times New Roman" w:hAnsi="Calibri" w:cs="Calibri"/>
                <w:sz w:val="20"/>
                <w:szCs w:val="20"/>
                <w:lang w:eastAsia="en-GB"/>
              </w:rPr>
            </w:pPr>
            <w:r w:rsidRPr="00AE63E1">
              <w:rPr>
                <w:rFonts w:ascii="Calibri" w:hAnsi="Calibri" w:cs="Calibri"/>
                <w:color w:val="000000"/>
                <w:sz w:val="20"/>
                <w:szCs w:val="20"/>
              </w:rPr>
              <w:t>0.2820</w:t>
            </w:r>
          </w:p>
        </w:tc>
        <w:tc>
          <w:tcPr>
            <w:tcW w:w="840" w:type="dxa"/>
            <w:tcBorders>
              <w:top w:val="nil"/>
              <w:left w:val="nil"/>
              <w:bottom w:val="single" w:sz="4" w:space="0" w:color="808080"/>
              <w:right w:val="single" w:sz="4" w:space="0" w:color="808080"/>
            </w:tcBorders>
            <w:shd w:val="clear" w:color="auto" w:fill="auto"/>
            <w:vAlign w:val="center"/>
            <w:hideMark/>
          </w:tcPr>
          <w:p w14:paraId="116B5F7A"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11</w:t>
            </w:r>
          </w:p>
        </w:tc>
        <w:tc>
          <w:tcPr>
            <w:tcW w:w="867" w:type="dxa"/>
            <w:tcBorders>
              <w:top w:val="nil"/>
              <w:left w:val="nil"/>
              <w:bottom w:val="single" w:sz="4" w:space="0" w:color="808080"/>
              <w:right w:val="single" w:sz="4" w:space="0" w:color="808080"/>
            </w:tcBorders>
            <w:shd w:val="clear" w:color="auto" w:fill="auto"/>
            <w:vAlign w:val="center"/>
            <w:hideMark/>
          </w:tcPr>
          <w:p w14:paraId="5F3A7BA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43</w:t>
            </w:r>
          </w:p>
        </w:tc>
        <w:tc>
          <w:tcPr>
            <w:tcW w:w="841" w:type="dxa"/>
            <w:tcBorders>
              <w:top w:val="nil"/>
              <w:left w:val="nil"/>
              <w:bottom w:val="single" w:sz="4" w:space="0" w:color="808080"/>
              <w:right w:val="single" w:sz="4" w:space="0" w:color="808080"/>
            </w:tcBorders>
            <w:shd w:val="clear" w:color="auto" w:fill="auto"/>
            <w:vAlign w:val="center"/>
            <w:hideMark/>
          </w:tcPr>
          <w:p w14:paraId="61A66F36"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89</w:t>
            </w:r>
          </w:p>
        </w:tc>
        <w:tc>
          <w:tcPr>
            <w:tcW w:w="867" w:type="dxa"/>
            <w:tcBorders>
              <w:top w:val="nil"/>
              <w:left w:val="nil"/>
              <w:bottom w:val="single" w:sz="4" w:space="0" w:color="808080"/>
              <w:right w:val="single" w:sz="4" w:space="0" w:color="808080"/>
            </w:tcBorders>
            <w:shd w:val="clear" w:color="auto" w:fill="auto"/>
            <w:vAlign w:val="center"/>
            <w:hideMark/>
          </w:tcPr>
          <w:p w14:paraId="490557A3"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9857</w:t>
            </w:r>
          </w:p>
        </w:tc>
        <w:tc>
          <w:tcPr>
            <w:tcW w:w="919" w:type="dxa"/>
            <w:tcBorders>
              <w:top w:val="nil"/>
              <w:left w:val="nil"/>
              <w:bottom w:val="single" w:sz="4" w:space="0" w:color="808080"/>
              <w:right w:val="single" w:sz="4" w:space="0" w:color="808080"/>
            </w:tcBorders>
            <w:shd w:val="clear" w:color="auto" w:fill="auto"/>
            <w:vAlign w:val="center"/>
            <w:hideMark/>
          </w:tcPr>
          <w:p w14:paraId="6CFFED11"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10.7%</w:t>
            </w:r>
          </w:p>
        </w:tc>
        <w:tc>
          <w:tcPr>
            <w:tcW w:w="919" w:type="dxa"/>
            <w:tcBorders>
              <w:top w:val="nil"/>
              <w:left w:val="nil"/>
              <w:bottom w:val="single" w:sz="4" w:space="0" w:color="808080"/>
              <w:right w:val="single" w:sz="4" w:space="0" w:color="808080"/>
            </w:tcBorders>
            <w:shd w:val="clear" w:color="auto" w:fill="auto"/>
            <w:vAlign w:val="center"/>
            <w:hideMark/>
          </w:tcPr>
          <w:p w14:paraId="313691C0"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99.6%</w:t>
            </w:r>
          </w:p>
        </w:tc>
        <w:tc>
          <w:tcPr>
            <w:tcW w:w="891" w:type="dxa"/>
            <w:tcBorders>
              <w:top w:val="nil"/>
              <w:left w:val="nil"/>
              <w:bottom w:val="single" w:sz="4" w:space="0" w:color="808080"/>
              <w:right w:val="single" w:sz="4" w:space="0" w:color="808080"/>
            </w:tcBorders>
            <w:shd w:val="clear" w:color="auto" w:fill="auto"/>
            <w:vAlign w:val="center"/>
            <w:hideMark/>
          </w:tcPr>
          <w:p w14:paraId="3E26838D"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99.1%</w:t>
            </w:r>
          </w:p>
        </w:tc>
        <w:tc>
          <w:tcPr>
            <w:tcW w:w="940" w:type="dxa"/>
            <w:tcBorders>
              <w:top w:val="nil"/>
              <w:left w:val="nil"/>
              <w:bottom w:val="single" w:sz="4" w:space="0" w:color="808080"/>
              <w:right w:val="single" w:sz="4" w:space="0" w:color="808080"/>
            </w:tcBorders>
            <w:shd w:val="clear" w:color="auto" w:fill="auto"/>
            <w:vAlign w:val="center"/>
            <w:hideMark/>
          </w:tcPr>
          <w:p w14:paraId="66919342" w14:textId="77777777" w:rsidR="005544EF" w:rsidRPr="00AE63E1" w:rsidRDefault="005544EF" w:rsidP="005544EF">
            <w:pPr>
              <w:spacing w:after="0" w:line="240" w:lineRule="auto"/>
              <w:jc w:val="center"/>
              <w:rPr>
                <w:rFonts w:ascii="Calibri" w:eastAsia="Times New Roman" w:hAnsi="Calibri" w:cs="Calibri"/>
                <w:color w:val="000000"/>
                <w:sz w:val="20"/>
                <w:szCs w:val="20"/>
                <w:lang w:eastAsia="en-GB"/>
              </w:rPr>
            </w:pPr>
            <w:r w:rsidRPr="00AE63E1">
              <w:rPr>
                <w:rFonts w:ascii="Calibri" w:eastAsia="Times New Roman" w:hAnsi="Calibri" w:cs="Calibri"/>
                <w:color w:val="000000"/>
                <w:sz w:val="20"/>
                <w:szCs w:val="20"/>
                <w:lang w:eastAsia="en-GB"/>
              </w:rPr>
              <w:t>89.3</w:t>
            </w:r>
          </w:p>
        </w:tc>
      </w:tr>
    </w:tbl>
    <w:p w14:paraId="5A27F934" w14:textId="14FC4EC3" w:rsidR="002F24BC" w:rsidRPr="00734942" w:rsidRDefault="002F24BC" w:rsidP="00F7225C">
      <w:pPr>
        <w:rPr>
          <w:sz w:val="20"/>
          <w:szCs w:val="20"/>
        </w:rPr>
      </w:pPr>
    </w:p>
    <w:p w14:paraId="6AAB3BA5" w14:textId="77777777" w:rsidR="00681227" w:rsidRPr="00734942" w:rsidRDefault="00681227" w:rsidP="00DF5EDB"/>
    <w:p w14:paraId="7B9A2887" w14:textId="7C1F170A" w:rsidR="0014243D" w:rsidRPr="00734942" w:rsidRDefault="0014243D" w:rsidP="005672CA">
      <w:pPr>
        <w:pStyle w:val="Caption"/>
      </w:pPr>
      <w:bookmarkStart w:id="141" w:name="_Ref83907008"/>
      <w:bookmarkStart w:id="142" w:name="_Toc99720717"/>
      <w:r w:rsidRPr="00734942">
        <w:lastRenderedPageBreak/>
        <w:t xml:space="preserve">Table </w:t>
      </w:r>
      <w:r w:rsidRPr="00734942">
        <w:fldChar w:fldCharType="begin"/>
      </w:r>
      <w:r w:rsidRPr="00734942">
        <w:instrText>SEQ Table \* ARABIC</w:instrText>
      </w:r>
      <w:r w:rsidRPr="00734942">
        <w:fldChar w:fldCharType="separate"/>
      </w:r>
      <w:r w:rsidR="008B5583">
        <w:rPr>
          <w:noProof/>
        </w:rPr>
        <w:t>6</w:t>
      </w:r>
      <w:r w:rsidRPr="00734942">
        <w:fldChar w:fldCharType="end"/>
      </w:r>
      <w:bookmarkEnd w:id="141"/>
      <w:r w:rsidRPr="00734942">
        <w:t xml:space="preserve"> Examples of the combination of predictors in patients at several model thresholds</w:t>
      </w:r>
      <w:bookmarkEnd w:id="142"/>
    </w:p>
    <w:p w14:paraId="5DDC529B" w14:textId="55F784DD" w:rsidR="00E0774F" w:rsidRPr="005A4FB5" w:rsidRDefault="00785031" w:rsidP="0094374F">
      <w:pPr>
        <w:spacing w:after="0"/>
        <w:rPr>
          <w:sz w:val="20"/>
          <w:szCs w:val="20"/>
        </w:rPr>
      </w:pPr>
      <w:r w:rsidRPr="005A4FB5">
        <w:rPr>
          <w:sz w:val="20"/>
          <w:szCs w:val="20"/>
          <w:vertAlign w:val="superscript"/>
        </w:rPr>
        <w:t>a</w:t>
      </w:r>
      <w:r w:rsidR="00E0774F" w:rsidRPr="005A4FB5">
        <w:rPr>
          <w:sz w:val="20"/>
          <w:szCs w:val="20"/>
        </w:rPr>
        <w:t>Symptoms that occurred within the last 10 years.</w:t>
      </w:r>
      <w:r w:rsidR="005A5567" w:rsidRPr="005A4FB5">
        <w:rPr>
          <w:sz w:val="20"/>
          <w:szCs w:val="20"/>
        </w:rPr>
        <w:t xml:space="preserve"> CVD: cardiovascular disease; </w:t>
      </w:r>
      <w:r w:rsidR="00F52083" w:rsidRPr="005A4FB5">
        <w:rPr>
          <w:sz w:val="20"/>
          <w:szCs w:val="20"/>
        </w:rPr>
        <w:t>GI: gastrointestinal</w:t>
      </w:r>
      <w:r w:rsidR="00F53C61" w:rsidRPr="005A4FB5">
        <w:rPr>
          <w:sz w:val="20"/>
          <w:szCs w:val="20"/>
        </w:rPr>
        <w:t>; IBD: inflammatory bowel disease</w:t>
      </w:r>
      <w:r w:rsidR="005A5567" w:rsidRPr="005A4FB5">
        <w:rPr>
          <w:sz w:val="20"/>
          <w:szCs w:val="20"/>
        </w:rPr>
        <w:t xml:space="preserve">; IBS: irritable bowel syndrome; </w:t>
      </w:r>
      <w:r w:rsidR="00AC1D62" w:rsidRPr="005A4FB5">
        <w:rPr>
          <w:sz w:val="20"/>
          <w:szCs w:val="20"/>
        </w:rPr>
        <w:t>T1D: type 1 diabetes.</w:t>
      </w:r>
    </w:p>
    <w:tbl>
      <w:tblPr>
        <w:tblStyle w:val="TableGrid"/>
        <w:tblW w:w="9067" w:type="dxa"/>
        <w:tblInd w:w="-113" w:type="dxa"/>
        <w:tblLook w:val="04A0" w:firstRow="1" w:lastRow="0" w:firstColumn="1" w:lastColumn="0" w:noHBand="0" w:noVBand="1"/>
      </w:tblPr>
      <w:tblGrid>
        <w:gridCol w:w="762"/>
        <w:gridCol w:w="2607"/>
        <w:gridCol w:w="3005"/>
        <w:gridCol w:w="2693"/>
      </w:tblGrid>
      <w:tr w:rsidR="00177311" w:rsidRPr="00734942" w14:paraId="5C3D7873" w14:textId="1A4BEAF8" w:rsidTr="001A17B3">
        <w:tc>
          <w:tcPr>
            <w:tcW w:w="762" w:type="dxa"/>
          </w:tcPr>
          <w:p w14:paraId="5AFD3B55" w14:textId="7EF9907D" w:rsidR="00177311" w:rsidRPr="00734942" w:rsidRDefault="00177311" w:rsidP="00177311">
            <w:pPr>
              <w:rPr>
                <w:b/>
                <w:bCs/>
                <w:sz w:val="20"/>
                <w:szCs w:val="20"/>
              </w:rPr>
            </w:pPr>
            <w:r w:rsidRPr="00734942">
              <w:rPr>
                <w:b/>
                <w:bCs/>
                <w:sz w:val="20"/>
                <w:szCs w:val="20"/>
              </w:rPr>
              <w:t>Risk</w:t>
            </w:r>
          </w:p>
        </w:tc>
        <w:tc>
          <w:tcPr>
            <w:tcW w:w="2607" w:type="dxa"/>
          </w:tcPr>
          <w:p w14:paraId="3FDA05A5" w14:textId="6282ED1A" w:rsidR="00177311" w:rsidRPr="00734942" w:rsidRDefault="00177311" w:rsidP="00B840B7">
            <w:pPr>
              <w:rPr>
                <w:rFonts w:cstheme="minorHAnsi"/>
                <w:b/>
                <w:bCs/>
                <w:sz w:val="20"/>
                <w:szCs w:val="20"/>
              </w:rPr>
            </w:pPr>
            <w:r w:rsidRPr="00734942">
              <w:rPr>
                <w:rFonts w:cstheme="minorHAnsi"/>
                <w:b/>
                <w:bCs/>
                <w:sz w:val="20"/>
                <w:szCs w:val="20"/>
              </w:rPr>
              <w:t>Children</w:t>
            </w:r>
          </w:p>
        </w:tc>
        <w:tc>
          <w:tcPr>
            <w:tcW w:w="3005" w:type="dxa"/>
          </w:tcPr>
          <w:p w14:paraId="2A1755A6" w14:textId="2B3D0CD7" w:rsidR="00177311" w:rsidRPr="00734942" w:rsidRDefault="00177311" w:rsidP="00DF5EDB">
            <w:pPr>
              <w:rPr>
                <w:rFonts w:cstheme="minorHAnsi"/>
                <w:b/>
                <w:bCs/>
                <w:sz w:val="20"/>
                <w:szCs w:val="20"/>
              </w:rPr>
            </w:pPr>
            <w:r w:rsidRPr="00734942">
              <w:rPr>
                <w:rFonts w:cstheme="minorHAnsi"/>
                <w:b/>
                <w:bCs/>
                <w:sz w:val="20"/>
                <w:szCs w:val="20"/>
              </w:rPr>
              <w:t>Women</w:t>
            </w:r>
          </w:p>
        </w:tc>
        <w:tc>
          <w:tcPr>
            <w:tcW w:w="2693" w:type="dxa"/>
          </w:tcPr>
          <w:p w14:paraId="6D81E9E8" w14:textId="5483527D" w:rsidR="00177311" w:rsidRPr="00734942" w:rsidRDefault="00177311" w:rsidP="00DF5EDB">
            <w:pPr>
              <w:rPr>
                <w:b/>
                <w:bCs/>
                <w:sz w:val="20"/>
                <w:szCs w:val="20"/>
              </w:rPr>
            </w:pPr>
            <w:r w:rsidRPr="00734942">
              <w:rPr>
                <w:b/>
                <w:bCs/>
                <w:sz w:val="20"/>
                <w:szCs w:val="20"/>
              </w:rPr>
              <w:t>Men</w:t>
            </w:r>
          </w:p>
        </w:tc>
      </w:tr>
      <w:tr w:rsidR="00177311" w:rsidRPr="00734942" w14:paraId="2A465710" w14:textId="54D9E56F" w:rsidTr="001A17B3">
        <w:tc>
          <w:tcPr>
            <w:tcW w:w="762" w:type="dxa"/>
          </w:tcPr>
          <w:p w14:paraId="3D42C7FE" w14:textId="5850B2D4" w:rsidR="00177311" w:rsidRPr="00734942" w:rsidRDefault="0018407C" w:rsidP="00DF5EDB">
            <w:pPr>
              <w:rPr>
                <w:sz w:val="20"/>
                <w:szCs w:val="20"/>
              </w:rPr>
            </w:pPr>
            <w:r>
              <w:rPr>
                <w:rFonts w:cstheme="minorHAnsi"/>
                <w:sz w:val="20"/>
                <w:szCs w:val="20"/>
              </w:rPr>
              <w:t>&gt;</w:t>
            </w:r>
            <w:r w:rsidR="00177311" w:rsidRPr="00734942">
              <w:rPr>
                <w:rFonts w:cstheme="minorHAnsi"/>
                <w:sz w:val="20"/>
                <w:szCs w:val="20"/>
              </w:rPr>
              <w:t>1.5%</w:t>
            </w:r>
          </w:p>
        </w:tc>
        <w:tc>
          <w:tcPr>
            <w:tcW w:w="2607" w:type="dxa"/>
          </w:tcPr>
          <w:p w14:paraId="45FF2A8C" w14:textId="606D46C9" w:rsidR="00177311" w:rsidRPr="00734942" w:rsidRDefault="0018407C" w:rsidP="004E1708">
            <w:pPr>
              <w:pStyle w:val="ListParagraph"/>
              <w:numPr>
                <w:ilvl w:val="0"/>
                <w:numId w:val="12"/>
              </w:numPr>
              <w:rPr>
                <w:sz w:val="20"/>
                <w:szCs w:val="20"/>
              </w:rPr>
            </w:pPr>
            <w:r>
              <w:rPr>
                <w:sz w:val="20"/>
                <w:szCs w:val="20"/>
              </w:rPr>
              <w:t>All female</w:t>
            </w:r>
            <w:r w:rsidR="00542FF7">
              <w:rPr>
                <w:sz w:val="20"/>
                <w:szCs w:val="20"/>
              </w:rPr>
              <w:t xml:space="preserve"> children</w:t>
            </w:r>
          </w:p>
        </w:tc>
        <w:tc>
          <w:tcPr>
            <w:tcW w:w="3005" w:type="dxa"/>
          </w:tcPr>
          <w:p w14:paraId="68096542" w14:textId="686A71D9" w:rsidR="00EE36DE" w:rsidRDefault="00EE36DE" w:rsidP="00EE36DE">
            <w:pPr>
              <w:pStyle w:val="ListParagraph"/>
              <w:numPr>
                <w:ilvl w:val="0"/>
                <w:numId w:val="10"/>
              </w:numPr>
              <w:rPr>
                <w:sz w:val="20"/>
                <w:szCs w:val="20"/>
              </w:rPr>
            </w:pPr>
            <w:r w:rsidRPr="00734942">
              <w:rPr>
                <w:sz w:val="20"/>
                <w:szCs w:val="20"/>
              </w:rPr>
              <w:t>CVD</w:t>
            </w:r>
          </w:p>
          <w:p w14:paraId="06544291" w14:textId="3737DEAB" w:rsidR="00B547BA" w:rsidRPr="00734942" w:rsidRDefault="00B547BA" w:rsidP="00EE36DE">
            <w:pPr>
              <w:pStyle w:val="ListParagraph"/>
              <w:numPr>
                <w:ilvl w:val="0"/>
                <w:numId w:val="10"/>
              </w:numPr>
              <w:rPr>
                <w:sz w:val="20"/>
                <w:szCs w:val="20"/>
              </w:rPr>
            </w:pPr>
            <w:r w:rsidRPr="00B547BA">
              <w:rPr>
                <w:sz w:val="20"/>
                <w:szCs w:val="20"/>
              </w:rPr>
              <w:t>Neuropathy</w:t>
            </w:r>
            <w:r w:rsidR="002D1820">
              <w:rPr>
                <w:sz w:val="20"/>
                <w:szCs w:val="20"/>
              </w:rPr>
              <w:t xml:space="preserve"> or </w:t>
            </w:r>
            <w:r w:rsidRPr="00B547BA">
              <w:rPr>
                <w:sz w:val="20"/>
                <w:szCs w:val="20"/>
              </w:rPr>
              <w:t>ataxia</w:t>
            </w:r>
          </w:p>
          <w:p w14:paraId="4B7E7CD4" w14:textId="569E86CB" w:rsidR="00EE36DE" w:rsidRPr="00734942" w:rsidRDefault="00A65A5D" w:rsidP="00EE36DE">
            <w:pPr>
              <w:pStyle w:val="ListParagraph"/>
              <w:numPr>
                <w:ilvl w:val="0"/>
                <w:numId w:val="10"/>
              </w:numPr>
              <w:rPr>
                <w:sz w:val="20"/>
                <w:szCs w:val="20"/>
              </w:rPr>
            </w:pPr>
            <w:r>
              <w:rPr>
                <w:sz w:val="20"/>
                <w:szCs w:val="20"/>
              </w:rPr>
              <w:t>F</w:t>
            </w:r>
            <w:r w:rsidR="00EE36DE" w:rsidRPr="00734942">
              <w:rPr>
                <w:sz w:val="20"/>
                <w:szCs w:val="20"/>
              </w:rPr>
              <w:t>atigue</w:t>
            </w:r>
            <w:r w:rsidR="00785031" w:rsidRPr="00785031">
              <w:rPr>
                <w:sz w:val="20"/>
                <w:szCs w:val="20"/>
                <w:vertAlign w:val="superscript"/>
              </w:rPr>
              <w:t>a</w:t>
            </w:r>
          </w:p>
          <w:p w14:paraId="69101D71" w14:textId="1AA60858" w:rsidR="00177311" w:rsidRPr="00734942" w:rsidRDefault="00EE36DE" w:rsidP="00EE36DE">
            <w:pPr>
              <w:pStyle w:val="ListParagraph"/>
              <w:numPr>
                <w:ilvl w:val="0"/>
                <w:numId w:val="10"/>
              </w:numPr>
              <w:rPr>
                <w:sz w:val="20"/>
                <w:szCs w:val="20"/>
              </w:rPr>
            </w:pPr>
            <w:r w:rsidRPr="00734942">
              <w:rPr>
                <w:sz w:val="20"/>
                <w:szCs w:val="20"/>
              </w:rPr>
              <w:t>GI symptoms</w:t>
            </w:r>
            <w:r w:rsidR="00785031" w:rsidRPr="00785031">
              <w:rPr>
                <w:sz w:val="20"/>
                <w:szCs w:val="20"/>
                <w:vertAlign w:val="superscript"/>
              </w:rPr>
              <w:t>a</w:t>
            </w:r>
          </w:p>
        </w:tc>
        <w:tc>
          <w:tcPr>
            <w:tcW w:w="2693" w:type="dxa"/>
          </w:tcPr>
          <w:p w14:paraId="4643ABD1" w14:textId="6FA8A242" w:rsidR="00177311" w:rsidRPr="00CE6C2E" w:rsidRDefault="00CE6C2E" w:rsidP="00CE6C2E">
            <w:pPr>
              <w:pStyle w:val="ListParagraph"/>
              <w:numPr>
                <w:ilvl w:val="0"/>
                <w:numId w:val="10"/>
              </w:numPr>
              <w:rPr>
                <w:sz w:val="20"/>
                <w:szCs w:val="20"/>
              </w:rPr>
            </w:pPr>
            <w:r>
              <w:rPr>
                <w:sz w:val="20"/>
                <w:szCs w:val="20"/>
              </w:rPr>
              <w:t>F</w:t>
            </w:r>
            <w:r w:rsidRPr="00734942">
              <w:rPr>
                <w:sz w:val="20"/>
                <w:szCs w:val="20"/>
              </w:rPr>
              <w:t>atigue</w:t>
            </w:r>
            <w:r w:rsidRPr="00785031">
              <w:rPr>
                <w:sz w:val="20"/>
                <w:szCs w:val="20"/>
                <w:vertAlign w:val="superscript"/>
              </w:rPr>
              <w:t>a</w:t>
            </w:r>
          </w:p>
        </w:tc>
      </w:tr>
      <w:tr w:rsidR="00177311" w:rsidRPr="00734942" w14:paraId="4689F24D" w14:textId="0B08C9C6" w:rsidTr="001A17B3">
        <w:tc>
          <w:tcPr>
            <w:tcW w:w="762" w:type="dxa"/>
          </w:tcPr>
          <w:p w14:paraId="6786C093" w14:textId="19A2A341" w:rsidR="00177311" w:rsidRPr="00734942" w:rsidRDefault="0018407C" w:rsidP="00DF5EDB">
            <w:pPr>
              <w:rPr>
                <w:sz w:val="20"/>
                <w:szCs w:val="20"/>
              </w:rPr>
            </w:pPr>
            <w:r>
              <w:rPr>
                <w:rFonts w:cstheme="minorHAnsi"/>
                <w:sz w:val="20"/>
                <w:szCs w:val="20"/>
              </w:rPr>
              <w:t>&gt;</w:t>
            </w:r>
            <w:r w:rsidR="00177311" w:rsidRPr="00734942">
              <w:rPr>
                <w:rFonts w:cstheme="minorHAnsi"/>
                <w:sz w:val="20"/>
                <w:szCs w:val="20"/>
              </w:rPr>
              <w:t>2%</w:t>
            </w:r>
          </w:p>
        </w:tc>
        <w:tc>
          <w:tcPr>
            <w:tcW w:w="2607" w:type="dxa"/>
          </w:tcPr>
          <w:p w14:paraId="5394CAA4" w14:textId="067E9229" w:rsidR="00177311" w:rsidRDefault="00A65A5D" w:rsidP="004E1708">
            <w:pPr>
              <w:pStyle w:val="ListParagraph"/>
              <w:numPr>
                <w:ilvl w:val="0"/>
                <w:numId w:val="11"/>
              </w:numPr>
              <w:rPr>
                <w:sz w:val="20"/>
                <w:szCs w:val="20"/>
              </w:rPr>
            </w:pPr>
            <w:r>
              <w:rPr>
                <w:sz w:val="20"/>
                <w:szCs w:val="20"/>
              </w:rPr>
              <w:t>Mood disorders</w:t>
            </w:r>
          </w:p>
          <w:p w14:paraId="6D3C48E7" w14:textId="77777777" w:rsidR="00A65A5D" w:rsidRPr="00A65A5D" w:rsidRDefault="00A65A5D" w:rsidP="004E1708">
            <w:pPr>
              <w:pStyle w:val="ListParagraph"/>
              <w:numPr>
                <w:ilvl w:val="0"/>
                <w:numId w:val="11"/>
              </w:numPr>
              <w:rPr>
                <w:sz w:val="20"/>
                <w:szCs w:val="20"/>
              </w:rPr>
            </w:pPr>
            <w:r w:rsidRPr="00734942">
              <w:rPr>
                <w:sz w:val="20"/>
                <w:szCs w:val="20"/>
              </w:rPr>
              <w:t>GI symptoms</w:t>
            </w:r>
            <w:r w:rsidRPr="00785031">
              <w:rPr>
                <w:sz w:val="20"/>
                <w:szCs w:val="20"/>
                <w:vertAlign w:val="superscript"/>
              </w:rPr>
              <w:t>a</w:t>
            </w:r>
          </w:p>
          <w:p w14:paraId="3796B759" w14:textId="15D8F6BD" w:rsidR="00A65A5D" w:rsidRPr="00734942" w:rsidRDefault="00A65A5D" w:rsidP="004E1708">
            <w:pPr>
              <w:pStyle w:val="ListParagraph"/>
              <w:numPr>
                <w:ilvl w:val="0"/>
                <w:numId w:val="11"/>
              </w:numPr>
              <w:rPr>
                <w:sz w:val="20"/>
                <w:szCs w:val="20"/>
              </w:rPr>
            </w:pPr>
            <w:r>
              <w:rPr>
                <w:sz w:val="20"/>
                <w:szCs w:val="20"/>
              </w:rPr>
              <w:t>F</w:t>
            </w:r>
            <w:r w:rsidRPr="00734942">
              <w:rPr>
                <w:sz w:val="20"/>
                <w:szCs w:val="20"/>
              </w:rPr>
              <w:t>atigue</w:t>
            </w:r>
            <w:r w:rsidRPr="00785031">
              <w:rPr>
                <w:sz w:val="20"/>
                <w:szCs w:val="20"/>
                <w:vertAlign w:val="superscript"/>
              </w:rPr>
              <w:t>a</w:t>
            </w:r>
          </w:p>
        </w:tc>
        <w:tc>
          <w:tcPr>
            <w:tcW w:w="3005" w:type="dxa"/>
          </w:tcPr>
          <w:p w14:paraId="0AD42DA4" w14:textId="7C66B191" w:rsidR="00EE36DE" w:rsidRPr="00734942" w:rsidRDefault="00EE36DE" w:rsidP="00EE36DE">
            <w:pPr>
              <w:pStyle w:val="ListParagraph"/>
              <w:numPr>
                <w:ilvl w:val="0"/>
                <w:numId w:val="11"/>
              </w:numPr>
              <w:rPr>
                <w:sz w:val="20"/>
                <w:szCs w:val="20"/>
              </w:rPr>
            </w:pPr>
            <w:r w:rsidRPr="00734942">
              <w:rPr>
                <w:sz w:val="20"/>
                <w:szCs w:val="20"/>
              </w:rPr>
              <w:t>GI symptoms</w:t>
            </w:r>
            <w:r w:rsidR="00785031" w:rsidRPr="00785031">
              <w:rPr>
                <w:sz w:val="20"/>
                <w:szCs w:val="20"/>
                <w:vertAlign w:val="superscript"/>
              </w:rPr>
              <w:t>a</w:t>
            </w:r>
            <w:r w:rsidRPr="00734942">
              <w:rPr>
                <w:sz w:val="20"/>
                <w:szCs w:val="20"/>
              </w:rPr>
              <w:t xml:space="preserve"> and psoriasis</w:t>
            </w:r>
          </w:p>
          <w:p w14:paraId="7B29ECF0" w14:textId="77777777" w:rsidR="00177311" w:rsidRPr="00260A6B" w:rsidRDefault="00EE36DE" w:rsidP="00294DA1">
            <w:pPr>
              <w:pStyle w:val="ListParagraph"/>
              <w:numPr>
                <w:ilvl w:val="0"/>
                <w:numId w:val="11"/>
              </w:numPr>
              <w:rPr>
                <w:sz w:val="20"/>
                <w:szCs w:val="20"/>
              </w:rPr>
            </w:pPr>
            <w:r w:rsidRPr="00734942">
              <w:rPr>
                <w:sz w:val="20"/>
                <w:szCs w:val="20"/>
              </w:rPr>
              <w:t>CVD, GI symptoms</w:t>
            </w:r>
            <w:r w:rsidR="00785031" w:rsidRPr="00785031">
              <w:rPr>
                <w:sz w:val="20"/>
                <w:szCs w:val="20"/>
                <w:vertAlign w:val="superscript"/>
              </w:rPr>
              <w:t>a</w:t>
            </w:r>
          </w:p>
          <w:p w14:paraId="61E978BF" w14:textId="77777777" w:rsidR="00260A6B" w:rsidRDefault="00260A6B" w:rsidP="00294DA1">
            <w:pPr>
              <w:pStyle w:val="ListParagraph"/>
              <w:numPr>
                <w:ilvl w:val="0"/>
                <w:numId w:val="11"/>
              </w:numPr>
              <w:rPr>
                <w:sz w:val="20"/>
                <w:szCs w:val="20"/>
              </w:rPr>
            </w:pPr>
            <w:r w:rsidRPr="00260A6B">
              <w:rPr>
                <w:sz w:val="20"/>
                <w:szCs w:val="20"/>
              </w:rPr>
              <w:t>Chronic liver disease</w:t>
            </w:r>
          </w:p>
          <w:p w14:paraId="1E1D91EB" w14:textId="77777777" w:rsidR="00260A6B" w:rsidRDefault="00260A6B" w:rsidP="00294DA1">
            <w:pPr>
              <w:pStyle w:val="ListParagraph"/>
              <w:numPr>
                <w:ilvl w:val="0"/>
                <w:numId w:val="11"/>
              </w:numPr>
              <w:rPr>
                <w:sz w:val="20"/>
                <w:szCs w:val="20"/>
              </w:rPr>
            </w:pPr>
            <w:r>
              <w:rPr>
                <w:sz w:val="20"/>
                <w:szCs w:val="20"/>
              </w:rPr>
              <w:t>IBS</w:t>
            </w:r>
          </w:p>
          <w:p w14:paraId="2C04930C" w14:textId="61D5107D" w:rsidR="00B33301" w:rsidRPr="00260A6B" w:rsidRDefault="00B33301" w:rsidP="00294DA1">
            <w:pPr>
              <w:pStyle w:val="ListParagraph"/>
              <w:numPr>
                <w:ilvl w:val="0"/>
                <w:numId w:val="11"/>
              </w:numPr>
              <w:rPr>
                <w:sz w:val="20"/>
                <w:szCs w:val="20"/>
              </w:rPr>
            </w:pPr>
            <w:r>
              <w:rPr>
                <w:sz w:val="20"/>
                <w:szCs w:val="20"/>
              </w:rPr>
              <w:t>Thyroid disease</w:t>
            </w:r>
          </w:p>
        </w:tc>
        <w:tc>
          <w:tcPr>
            <w:tcW w:w="2693" w:type="dxa"/>
          </w:tcPr>
          <w:p w14:paraId="1BD7EF41" w14:textId="644F94DD" w:rsidR="00EE69EB" w:rsidRDefault="00DE0F9F" w:rsidP="00EE69EB">
            <w:pPr>
              <w:pStyle w:val="ListParagraph"/>
              <w:numPr>
                <w:ilvl w:val="0"/>
                <w:numId w:val="11"/>
              </w:numPr>
              <w:rPr>
                <w:sz w:val="20"/>
                <w:szCs w:val="20"/>
              </w:rPr>
            </w:pPr>
            <w:r>
              <w:rPr>
                <w:sz w:val="20"/>
                <w:szCs w:val="20"/>
              </w:rPr>
              <w:t>CVD</w:t>
            </w:r>
          </w:p>
          <w:p w14:paraId="4DE5334A" w14:textId="5409A8CC" w:rsidR="00DE0F9F" w:rsidRPr="00734942" w:rsidRDefault="00CE6C2E" w:rsidP="00EE69EB">
            <w:pPr>
              <w:pStyle w:val="ListParagraph"/>
              <w:numPr>
                <w:ilvl w:val="0"/>
                <w:numId w:val="11"/>
              </w:numPr>
              <w:rPr>
                <w:sz w:val="20"/>
                <w:szCs w:val="20"/>
              </w:rPr>
            </w:pPr>
            <w:r>
              <w:rPr>
                <w:sz w:val="20"/>
                <w:szCs w:val="20"/>
              </w:rPr>
              <w:t>IBS</w:t>
            </w:r>
          </w:p>
          <w:p w14:paraId="7F7DBED2" w14:textId="77777777" w:rsidR="00177311" w:rsidRPr="003376EB" w:rsidRDefault="00EE69EB" w:rsidP="00EE69EB">
            <w:pPr>
              <w:pStyle w:val="ListParagraph"/>
              <w:numPr>
                <w:ilvl w:val="0"/>
                <w:numId w:val="11"/>
              </w:numPr>
              <w:rPr>
                <w:sz w:val="20"/>
                <w:szCs w:val="20"/>
              </w:rPr>
            </w:pPr>
            <w:r w:rsidRPr="00734942">
              <w:rPr>
                <w:sz w:val="20"/>
                <w:szCs w:val="20"/>
              </w:rPr>
              <w:t>GI symptoms</w:t>
            </w:r>
            <w:r w:rsidR="00785031" w:rsidRPr="00785031">
              <w:rPr>
                <w:sz w:val="20"/>
                <w:szCs w:val="20"/>
                <w:vertAlign w:val="superscript"/>
              </w:rPr>
              <w:t>a</w:t>
            </w:r>
          </w:p>
          <w:p w14:paraId="0F9D94CA" w14:textId="77777777" w:rsidR="003376EB" w:rsidRPr="00331998" w:rsidRDefault="003376EB" w:rsidP="00EE69EB">
            <w:pPr>
              <w:pStyle w:val="ListParagraph"/>
              <w:numPr>
                <w:ilvl w:val="0"/>
                <w:numId w:val="11"/>
              </w:numPr>
              <w:rPr>
                <w:sz w:val="20"/>
                <w:szCs w:val="20"/>
              </w:rPr>
            </w:pPr>
            <w:r w:rsidRPr="003376EB">
              <w:rPr>
                <w:sz w:val="20"/>
                <w:szCs w:val="20"/>
              </w:rPr>
              <w:t>Mouth</w:t>
            </w:r>
            <w:r>
              <w:rPr>
                <w:sz w:val="20"/>
                <w:szCs w:val="20"/>
              </w:rPr>
              <w:t xml:space="preserve"> </w:t>
            </w:r>
            <w:r w:rsidRPr="003376EB">
              <w:rPr>
                <w:sz w:val="20"/>
                <w:szCs w:val="20"/>
              </w:rPr>
              <w:t>ulcers</w:t>
            </w:r>
            <w:r w:rsidRPr="003376EB">
              <w:rPr>
                <w:sz w:val="20"/>
                <w:szCs w:val="20"/>
                <w:vertAlign w:val="superscript"/>
              </w:rPr>
              <w:t>a</w:t>
            </w:r>
          </w:p>
          <w:p w14:paraId="6B316F58" w14:textId="40E6697A" w:rsidR="00331998" w:rsidRPr="00734942" w:rsidRDefault="00331998" w:rsidP="00EE69EB">
            <w:pPr>
              <w:pStyle w:val="ListParagraph"/>
              <w:numPr>
                <w:ilvl w:val="0"/>
                <w:numId w:val="11"/>
              </w:numPr>
              <w:rPr>
                <w:sz w:val="20"/>
                <w:szCs w:val="20"/>
              </w:rPr>
            </w:pPr>
            <w:r>
              <w:rPr>
                <w:sz w:val="20"/>
                <w:szCs w:val="20"/>
              </w:rPr>
              <w:t>E</w:t>
            </w:r>
            <w:r w:rsidRPr="00734942">
              <w:rPr>
                <w:sz w:val="20"/>
                <w:szCs w:val="20"/>
              </w:rPr>
              <w:t>pilepsy</w:t>
            </w:r>
          </w:p>
        </w:tc>
      </w:tr>
      <w:tr w:rsidR="00177311" w:rsidRPr="00734942" w14:paraId="7EAA94DD" w14:textId="07D32F3D" w:rsidTr="001A17B3">
        <w:tc>
          <w:tcPr>
            <w:tcW w:w="762" w:type="dxa"/>
          </w:tcPr>
          <w:p w14:paraId="35213DA1" w14:textId="59D8C9E5" w:rsidR="00177311" w:rsidRPr="00734942" w:rsidRDefault="0018407C" w:rsidP="00DF5EDB">
            <w:pPr>
              <w:rPr>
                <w:sz w:val="20"/>
                <w:szCs w:val="20"/>
              </w:rPr>
            </w:pPr>
            <w:r>
              <w:rPr>
                <w:rFonts w:cstheme="minorHAnsi"/>
                <w:sz w:val="20"/>
                <w:szCs w:val="20"/>
              </w:rPr>
              <w:t>&gt;</w:t>
            </w:r>
            <w:r w:rsidR="00177311" w:rsidRPr="00734942">
              <w:rPr>
                <w:rFonts w:cstheme="minorHAnsi"/>
                <w:sz w:val="20"/>
                <w:szCs w:val="20"/>
              </w:rPr>
              <w:t>5%</w:t>
            </w:r>
          </w:p>
        </w:tc>
        <w:tc>
          <w:tcPr>
            <w:tcW w:w="2607" w:type="dxa"/>
          </w:tcPr>
          <w:p w14:paraId="198AB346" w14:textId="77777777" w:rsidR="0018407C" w:rsidRDefault="0018407C" w:rsidP="004E1708">
            <w:pPr>
              <w:pStyle w:val="ListParagraph"/>
              <w:numPr>
                <w:ilvl w:val="0"/>
                <w:numId w:val="13"/>
              </w:numPr>
              <w:rPr>
                <w:sz w:val="20"/>
                <w:szCs w:val="20"/>
              </w:rPr>
            </w:pPr>
            <w:r>
              <w:rPr>
                <w:sz w:val="20"/>
                <w:szCs w:val="20"/>
              </w:rPr>
              <w:t>Fatigue within last year</w:t>
            </w:r>
          </w:p>
          <w:p w14:paraId="10AEE35E" w14:textId="3EDEB25E" w:rsidR="0018407C" w:rsidRDefault="0018407C" w:rsidP="004E1708">
            <w:pPr>
              <w:pStyle w:val="ListParagraph"/>
              <w:numPr>
                <w:ilvl w:val="0"/>
                <w:numId w:val="13"/>
              </w:numPr>
              <w:rPr>
                <w:sz w:val="20"/>
                <w:szCs w:val="20"/>
              </w:rPr>
            </w:pPr>
            <w:r>
              <w:rPr>
                <w:sz w:val="20"/>
                <w:szCs w:val="20"/>
              </w:rPr>
              <w:t>IBS</w:t>
            </w:r>
          </w:p>
          <w:p w14:paraId="3109B4CA" w14:textId="77777777" w:rsidR="0018407C" w:rsidRDefault="0018407C" w:rsidP="004E1708">
            <w:pPr>
              <w:pStyle w:val="ListParagraph"/>
              <w:numPr>
                <w:ilvl w:val="0"/>
                <w:numId w:val="13"/>
              </w:numPr>
              <w:rPr>
                <w:sz w:val="20"/>
                <w:szCs w:val="20"/>
              </w:rPr>
            </w:pPr>
            <w:r>
              <w:rPr>
                <w:sz w:val="20"/>
                <w:szCs w:val="20"/>
              </w:rPr>
              <w:t>Arthritis</w:t>
            </w:r>
          </w:p>
          <w:p w14:paraId="006D8709" w14:textId="76A35E21" w:rsidR="0018407C" w:rsidRDefault="0018407C" w:rsidP="004E1708">
            <w:pPr>
              <w:pStyle w:val="ListParagraph"/>
              <w:numPr>
                <w:ilvl w:val="0"/>
                <w:numId w:val="13"/>
              </w:numPr>
              <w:rPr>
                <w:sz w:val="20"/>
                <w:szCs w:val="20"/>
              </w:rPr>
            </w:pPr>
            <w:r>
              <w:rPr>
                <w:sz w:val="20"/>
                <w:szCs w:val="20"/>
              </w:rPr>
              <w:t>F</w:t>
            </w:r>
            <w:r w:rsidRPr="00734942">
              <w:rPr>
                <w:sz w:val="20"/>
                <w:szCs w:val="20"/>
              </w:rPr>
              <w:t>ailure to thrive</w:t>
            </w:r>
          </w:p>
          <w:p w14:paraId="5746122B" w14:textId="174797F4" w:rsidR="00177311" w:rsidRPr="0018407C" w:rsidRDefault="00177311" w:rsidP="0018407C">
            <w:pPr>
              <w:rPr>
                <w:sz w:val="20"/>
                <w:szCs w:val="20"/>
              </w:rPr>
            </w:pPr>
          </w:p>
        </w:tc>
        <w:tc>
          <w:tcPr>
            <w:tcW w:w="3005" w:type="dxa"/>
          </w:tcPr>
          <w:p w14:paraId="3F12FC85" w14:textId="1A6E6927" w:rsidR="00294DA1" w:rsidRPr="00734942" w:rsidRDefault="00A65A5D" w:rsidP="00294DA1">
            <w:pPr>
              <w:pStyle w:val="ListParagraph"/>
              <w:numPr>
                <w:ilvl w:val="0"/>
                <w:numId w:val="13"/>
              </w:numPr>
              <w:rPr>
                <w:sz w:val="20"/>
                <w:szCs w:val="20"/>
              </w:rPr>
            </w:pPr>
            <w:r>
              <w:rPr>
                <w:sz w:val="20"/>
                <w:szCs w:val="20"/>
              </w:rPr>
              <w:t>F</w:t>
            </w:r>
            <w:r w:rsidR="00294DA1" w:rsidRPr="00734942">
              <w:rPr>
                <w:sz w:val="20"/>
                <w:szCs w:val="20"/>
              </w:rPr>
              <w:t>atigue</w:t>
            </w:r>
            <w:r w:rsidR="00785031" w:rsidRPr="00785031">
              <w:rPr>
                <w:sz w:val="20"/>
                <w:szCs w:val="20"/>
                <w:vertAlign w:val="superscript"/>
              </w:rPr>
              <w:t>a</w:t>
            </w:r>
            <w:r w:rsidR="00294DA1" w:rsidRPr="00734942">
              <w:rPr>
                <w:sz w:val="20"/>
                <w:szCs w:val="20"/>
              </w:rPr>
              <w:t>, GI symptoms</w:t>
            </w:r>
            <w:r w:rsidR="00785031" w:rsidRPr="00785031">
              <w:rPr>
                <w:sz w:val="20"/>
                <w:szCs w:val="20"/>
                <w:vertAlign w:val="superscript"/>
              </w:rPr>
              <w:t>a</w:t>
            </w:r>
            <w:r w:rsidR="00374E42" w:rsidRPr="00734942">
              <w:rPr>
                <w:sz w:val="20"/>
                <w:szCs w:val="20"/>
              </w:rPr>
              <w:t xml:space="preserve"> and once last year</w:t>
            </w:r>
            <w:r w:rsidR="00294DA1" w:rsidRPr="00734942">
              <w:rPr>
                <w:sz w:val="20"/>
                <w:szCs w:val="20"/>
              </w:rPr>
              <w:t xml:space="preserve">, </w:t>
            </w:r>
            <w:r w:rsidR="00374E42" w:rsidRPr="00734942">
              <w:rPr>
                <w:sz w:val="20"/>
                <w:szCs w:val="20"/>
              </w:rPr>
              <w:t xml:space="preserve">and </w:t>
            </w:r>
            <w:r w:rsidR="00294DA1" w:rsidRPr="00734942">
              <w:rPr>
                <w:sz w:val="20"/>
                <w:szCs w:val="20"/>
              </w:rPr>
              <w:t>IBS</w:t>
            </w:r>
          </w:p>
          <w:p w14:paraId="566E634A" w14:textId="18C4CD92" w:rsidR="00294DA1" w:rsidRPr="00734942" w:rsidRDefault="00294DA1" w:rsidP="00294DA1">
            <w:pPr>
              <w:pStyle w:val="ListParagraph"/>
              <w:numPr>
                <w:ilvl w:val="0"/>
                <w:numId w:val="13"/>
              </w:numPr>
              <w:rPr>
                <w:sz w:val="20"/>
                <w:szCs w:val="20"/>
              </w:rPr>
            </w:pPr>
            <w:r w:rsidRPr="00734942">
              <w:rPr>
                <w:sz w:val="20"/>
                <w:szCs w:val="20"/>
              </w:rPr>
              <w:t>Anaemia</w:t>
            </w:r>
          </w:p>
          <w:p w14:paraId="2E8EBBD5" w14:textId="77777777" w:rsidR="00177311" w:rsidRDefault="00A65A5D" w:rsidP="00294DA1">
            <w:pPr>
              <w:pStyle w:val="ListParagraph"/>
              <w:numPr>
                <w:ilvl w:val="0"/>
                <w:numId w:val="13"/>
              </w:numPr>
              <w:rPr>
                <w:sz w:val="20"/>
                <w:szCs w:val="20"/>
              </w:rPr>
            </w:pPr>
            <w:r>
              <w:rPr>
                <w:sz w:val="20"/>
                <w:szCs w:val="20"/>
              </w:rPr>
              <w:t>F</w:t>
            </w:r>
            <w:r w:rsidR="00294DA1" w:rsidRPr="00734942">
              <w:rPr>
                <w:sz w:val="20"/>
                <w:szCs w:val="20"/>
              </w:rPr>
              <w:t>atigue</w:t>
            </w:r>
            <w:r w:rsidR="00785031" w:rsidRPr="00785031">
              <w:rPr>
                <w:sz w:val="20"/>
                <w:szCs w:val="20"/>
                <w:vertAlign w:val="superscript"/>
              </w:rPr>
              <w:t>a</w:t>
            </w:r>
            <w:r w:rsidR="00182681" w:rsidRPr="00734942">
              <w:rPr>
                <w:sz w:val="20"/>
                <w:szCs w:val="20"/>
              </w:rPr>
              <w:t xml:space="preserve"> </w:t>
            </w:r>
            <w:r w:rsidR="00294DA1" w:rsidRPr="00734942">
              <w:rPr>
                <w:sz w:val="20"/>
                <w:szCs w:val="20"/>
              </w:rPr>
              <w:t>and thyroid disorder</w:t>
            </w:r>
          </w:p>
          <w:p w14:paraId="3633DCCE" w14:textId="35577616" w:rsidR="0089706E" w:rsidRPr="00734942" w:rsidRDefault="0089706E" w:rsidP="00294DA1">
            <w:pPr>
              <w:pStyle w:val="ListParagraph"/>
              <w:numPr>
                <w:ilvl w:val="0"/>
                <w:numId w:val="13"/>
              </w:numPr>
              <w:rPr>
                <w:sz w:val="20"/>
                <w:szCs w:val="20"/>
              </w:rPr>
            </w:pPr>
            <w:r>
              <w:rPr>
                <w:sz w:val="20"/>
                <w:szCs w:val="20"/>
              </w:rPr>
              <w:t>First-degree relative with CD</w:t>
            </w:r>
          </w:p>
        </w:tc>
        <w:tc>
          <w:tcPr>
            <w:tcW w:w="2693" w:type="dxa"/>
          </w:tcPr>
          <w:p w14:paraId="22C376CA" w14:textId="4A293D15" w:rsidR="00EE69EB" w:rsidRPr="00734942" w:rsidRDefault="00EE69EB" w:rsidP="00EE69EB">
            <w:pPr>
              <w:pStyle w:val="ListParagraph"/>
              <w:numPr>
                <w:ilvl w:val="0"/>
                <w:numId w:val="13"/>
              </w:numPr>
              <w:rPr>
                <w:sz w:val="20"/>
                <w:szCs w:val="20"/>
              </w:rPr>
            </w:pPr>
            <w:r w:rsidRPr="00734942">
              <w:rPr>
                <w:sz w:val="20"/>
                <w:szCs w:val="20"/>
              </w:rPr>
              <w:t>GI symptoms</w:t>
            </w:r>
            <w:r w:rsidR="00785031" w:rsidRPr="00785031">
              <w:rPr>
                <w:sz w:val="20"/>
                <w:szCs w:val="20"/>
                <w:vertAlign w:val="superscript"/>
              </w:rPr>
              <w:t>a</w:t>
            </w:r>
            <w:r w:rsidRPr="00734942">
              <w:rPr>
                <w:sz w:val="20"/>
                <w:szCs w:val="20"/>
              </w:rPr>
              <w:t>, and chronic liver disease</w:t>
            </w:r>
            <w:r w:rsidR="00331998">
              <w:rPr>
                <w:sz w:val="20"/>
                <w:szCs w:val="20"/>
              </w:rPr>
              <w:t xml:space="preserve"> or Epilepsy</w:t>
            </w:r>
          </w:p>
          <w:p w14:paraId="2F25C1A3" w14:textId="77777777" w:rsidR="00177311" w:rsidRDefault="0085542B" w:rsidP="00EE69EB">
            <w:pPr>
              <w:pStyle w:val="ListParagraph"/>
              <w:numPr>
                <w:ilvl w:val="0"/>
                <w:numId w:val="13"/>
              </w:numPr>
              <w:rPr>
                <w:sz w:val="20"/>
                <w:szCs w:val="20"/>
              </w:rPr>
            </w:pPr>
            <w:r>
              <w:rPr>
                <w:sz w:val="20"/>
                <w:szCs w:val="20"/>
              </w:rPr>
              <w:t>Down syndrome</w:t>
            </w:r>
          </w:p>
          <w:p w14:paraId="4BC7F37A" w14:textId="1DD1A7FC" w:rsidR="0085542B" w:rsidRPr="00734942" w:rsidRDefault="0085542B" w:rsidP="00EE69EB">
            <w:pPr>
              <w:pStyle w:val="ListParagraph"/>
              <w:numPr>
                <w:ilvl w:val="0"/>
                <w:numId w:val="13"/>
              </w:numPr>
              <w:rPr>
                <w:sz w:val="20"/>
                <w:szCs w:val="20"/>
              </w:rPr>
            </w:pPr>
            <w:r>
              <w:rPr>
                <w:sz w:val="20"/>
                <w:szCs w:val="20"/>
              </w:rPr>
              <w:t>Weight loss</w:t>
            </w:r>
          </w:p>
        </w:tc>
      </w:tr>
      <w:tr w:rsidR="00177311" w:rsidRPr="00734942" w14:paraId="4DBE21D7" w14:textId="0DEA20B7" w:rsidTr="001A17B3">
        <w:tc>
          <w:tcPr>
            <w:tcW w:w="762" w:type="dxa"/>
          </w:tcPr>
          <w:p w14:paraId="711DCDCE" w14:textId="1C40BE96" w:rsidR="00177311" w:rsidRPr="00734942" w:rsidRDefault="0018407C" w:rsidP="00DF5EDB">
            <w:pPr>
              <w:rPr>
                <w:sz w:val="20"/>
                <w:szCs w:val="20"/>
              </w:rPr>
            </w:pPr>
            <w:r>
              <w:rPr>
                <w:rFonts w:cstheme="minorHAnsi"/>
                <w:sz w:val="20"/>
                <w:szCs w:val="20"/>
              </w:rPr>
              <w:t>&gt;</w:t>
            </w:r>
            <w:r w:rsidR="00177311" w:rsidRPr="00734942">
              <w:rPr>
                <w:rFonts w:cstheme="minorHAnsi"/>
                <w:sz w:val="20"/>
                <w:szCs w:val="20"/>
              </w:rPr>
              <w:t>10%</w:t>
            </w:r>
          </w:p>
        </w:tc>
        <w:tc>
          <w:tcPr>
            <w:tcW w:w="2607" w:type="dxa"/>
          </w:tcPr>
          <w:p w14:paraId="3AEE435A" w14:textId="01B85243" w:rsidR="008D544C" w:rsidRPr="00734942" w:rsidRDefault="008D544C" w:rsidP="0018407C">
            <w:pPr>
              <w:pStyle w:val="ListParagraph"/>
              <w:numPr>
                <w:ilvl w:val="0"/>
                <w:numId w:val="14"/>
              </w:numPr>
              <w:rPr>
                <w:sz w:val="20"/>
                <w:szCs w:val="20"/>
              </w:rPr>
            </w:pPr>
            <w:r w:rsidRPr="00734942">
              <w:rPr>
                <w:sz w:val="20"/>
                <w:szCs w:val="20"/>
              </w:rPr>
              <w:t>GI symptoms</w:t>
            </w:r>
            <w:r w:rsidR="00785031" w:rsidRPr="00785031">
              <w:rPr>
                <w:sz w:val="20"/>
                <w:szCs w:val="20"/>
                <w:vertAlign w:val="superscript"/>
              </w:rPr>
              <w:t>a</w:t>
            </w:r>
            <w:r w:rsidR="00374E42" w:rsidRPr="00734942">
              <w:rPr>
                <w:sz w:val="20"/>
                <w:szCs w:val="20"/>
              </w:rPr>
              <w:t xml:space="preserve"> and once</w:t>
            </w:r>
            <w:r w:rsidRPr="00734942">
              <w:rPr>
                <w:sz w:val="20"/>
                <w:szCs w:val="20"/>
              </w:rPr>
              <w:t xml:space="preserve"> last year</w:t>
            </w:r>
          </w:p>
          <w:p w14:paraId="1BBB5497" w14:textId="19AE40C4" w:rsidR="00177311" w:rsidRPr="0018407C" w:rsidRDefault="00A65A5D" w:rsidP="0018407C">
            <w:pPr>
              <w:pStyle w:val="ListParagraph"/>
              <w:numPr>
                <w:ilvl w:val="0"/>
                <w:numId w:val="14"/>
              </w:numPr>
              <w:rPr>
                <w:sz w:val="20"/>
                <w:szCs w:val="20"/>
              </w:rPr>
            </w:pPr>
            <w:r>
              <w:rPr>
                <w:sz w:val="20"/>
                <w:szCs w:val="20"/>
              </w:rPr>
              <w:t>F</w:t>
            </w:r>
            <w:r w:rsidR="008D544C" w:rsidRPr="00734942">
              <w:rPr>
                <w:sz w:val="20"/>
                <w:szCs w:val="20"/>
              </w:rPr>
              <w:t>ailure to thrive</w:t>
            </w:r>
            <w:r w:rsidR="0018407C">
              <w:rPr>
                <w:sz w:val="20"/>
                <w:szCs w:val="20"/>
              </w:rPr>
              <w:t xml:space="preserve"> and</w:t>
            </w:r>
            <w:r w:rsidR="008D544C" w:rsidRPr="00734942">
              <w:rPr>
                <w:sz w:val="20"/>
                <w:szCs w:val="20"/>
              </w:rPr>
              <w:t xml:space="preserve"> GI symptoms</w:t>
            </w:r>
            <w:r w:rsidR="00785031" w:rsidRPr="00785031">
              <w:rPr>
                <w:sz w:val="20"/>
                <w:szCs w:val="20"/>
                <w:vertAlign w:val="superscript"/>
              </w:rPr>
              <w:t>a</w:t>
            </w:r>
          </w:p>
          <w:p w14:paraId="0568FCF9" w14:textId="77777777" w:rsidR="0018407C" w:rsidRPr="00AE6D3F" w:rsidRDefault="0018407C" w:rsidP="0018407C">
            <w:pPr>
              <w:pStyle w:val="ListParagraph"/>
              <w:numPr>
                <w:ilvl w:val="0"/>
                <w:numId w:val="14"/>
              </w:numPr>
              <w:rPr>
                <w:sz w:val="20"/>
                <w:szCs w:val="20"/>
              </w:rPr>
            </w:pPr>
            <w:r>
              <w:rPr>
                <w:sz w:val="20"/>
                <w:szCs w:val="20"/>
                <w:lang w:val="it-IT"/>
              </w:rPr>
              <w:t>I</w:t>
            </w:r>
            <w:r w:rsidRPr="0060719B">
              <w:rPr>
                <w:sz w:val="20"/>
                <w:szCs w:val="20"/>
                <w:lang w:val="it-IT"/>
              </w:rPr>
              <w:t>ron/folate/B12 deficiency</w:t>
            </w:r>
          </w:p>
          <w:p w14:paraId="15C1625D" w14:textId="77777777" w:rsidR="0018407C" w:rsidRDefault="0018407C" w:rsidP="0018407C">
            <w:pPr>
              <w:pStyle w:val="ListParagraph"/>
              <w:numPr>
                <w:ilvl w:val="0"/>
                <w:numId w:val="14"/>
              </w:numPr>
              <w:rPr>
                <w:sz w:val="20"/>
                <w:szCs w:val="20"/>
              </w:rPr>
            </w:pPr>
            <w:r>
              <w:rPr>
                <w:sz w:val="20"/>
                <w:szCs w:val="20"/>
              </w:rPr>
              <w:t>Thyroid disorders</w:t>
            </w:r>
          </w:p>
          <w:p w14:paraId="0A563851" w14:textId="77777777" w:rsidR="0018407C" w:rsidRDefault="0018407C" w:rsidP="0018407C">
            <w:pPr>
              <w:pStyle w:val="ListParagraph"/>
              <w:numPr>
                <w:ilvl w:val="0"/>
                <w:numId w:val="14"/>
              </w:numPr>
              <w:rPr>
                <w:sz w:val="20"/>
                <w:szCs w:val="20"/>
              </w:rPr>
            </w:pPr>
            <w:r>
              <w:rPr>
                <w:sz w:val="20"/>
                <w:szCs w:val="20"/>
              </w:rPr>
              <w:t>Down syndrome</w:t>
            </w:r>
          </w:p>
          <w:p w14:paraId="1F6D4ADA" w14:textId="7E63F8A3" w:rsidR="0018407C" w:rsidRPr="0018407C" w:rsidRDefault="0018407C" w:rsidP="0018407C">
            <w:pPr>
              <w:pStyle w:val="ListParagraph"/>
              <w:numPr>
                <w:ilvl w:val="0"/>
                <w:numId w:val="14"/>
              </w:numPr>
              <w:rPr>
                <w:sz w:val="20"/>
                <w:szCs w:val="20"/>
              </w:rPr>
            </w:pPr>
            <w:r>
              <w:rPr>
                <w:sz w:val="20"/>
                <w:szCs w:val="20"/>
              </w:rPr>
              <w:t>Anaemia</w:t>
            </w:r>
          </w:p>
        </w:tc>
        <w:tc>
          <w:tcPr>
            <w:tcW w:w="3005" w:type="dxa"/>
          </w:tcPr>
          <w:p w14:paraId="60B84A79" w14:textId="47E0C6BC" w:rsidR="00294DA1" w:rsidRPr="0018407C" w:rsidRDefault="00A65A5D" w:rsidP="00294DA1">
            <w:pPr>
              <w:pStyle w:val="ListParagraph"/>
              <w:numPr>
                <w:ilvl w:val="0"/>
                <w:numId w:val="14"/>
              </w:numPr>
              <w:rPr>
                <w:sz w:val="20"/>
                <w:szCs w:val="20"/>
                <w:lang w:val="it-IT"/>
              </w:rPr>
            </w:pPr>
            <w:r w:rsidRPr="0018407C">
              <w:rPr>
                <w:sz w:val="20"/>
                <w:szCs w:val="20"/>
                <w:lang w:val="it-IT"/>
              </w:rPr>
              <w:t>A</w:t>
            </w:r>
            <w:r w:rsidR="00294DA1" w:rsidRPr="0018407C">
              <w:rPr>
                <w:sz w:val="20"/>
                <w:szCs w:val="20"/>
                <w:lang w:val="it-IT"/>
              </w:rPr>
              <w:t>naemia, GI symptoms</w:t>
            </w:r>
            <w:r w:rsidR="00785031" w:rsidRPr="0018407C">
              <w:rPr>
                <w:sz w:val="20"/>
                <w:szCs w:val="20"/>
                <w:vertAlign w:val="superscript"/>
                <w:lang w:val="it-IT"/>
              </w:rPr>
              <w:t>a</w:t>
            </w:r>
            <w:r w:rsidR="00294DA1" w:rsidRPr="0018407C">
              <w:rPr>
                <w:sz w:val="20"/>
                <w:szCs w:val="20"/>
                <w:lang w:val="it-IT"/>
              </w:rPr>
              <w:t>, iron/folate/</w:t>
            </w:r>
            <w:r w:rsidR="00374E42" w:rsidRPr="0018407C">
              <w:rPr>
                <w:sz w:val="20"/>
                <w:szCs w:val="20"/>
                <w:lang w:val="it-IT"/>
              </w:rPr>
              <w:t>B</w:t>
            </w:r>
            <w:r w:rsidR="00294DA1" w:rsidRPr="0018407C">
              <w:rPr>
                <w:sz w:val="20"/>
                <w:szCs w:val="20"/>
                <w:lang w:val="it-IT"/>
              </w:rPr>
              <w:t>12 deficiency</w:t>
            </w:r>
          </w:p>
          <w:p w14:paraId="190DF002" w14:textId="1534FC9B" w:rsidR="00294DA1" w:rsidRPr="00734942" w:rsidRDefault="00294DA1" w:rsidP="00294DA1">
            <w:pPr>
              <w:pStyle w:val="ListParagraph"/>
              <w:numPr>
                <w:ilvl w:val="0"/>
                <w:numId w:val="14"/>
              </w:numPr>
              <w:rPr>
                <w:sz w:val="20"/>
                <w:szCs w:val="20"/>
              </w:rPr>
            </w:pPr>
            <w:r w:rsidRPr="00734942">
              <w:rPr>
                <w:sz w:val="20"/>
                <w:szCs w:val="20"/>
              </w:rPr>
              <w:t>GI symptoms</w:t>
            </w:r>
            <w:r w:rsidR="00785031" w:rsidRPr="00785031">
              <w:rPr>
                <w:sz w:val="20"/>
                <w:szCs w:val="20"/>
                <w:vertAlign w:val="superscript"/>
              </w:rPr>
              <w:t>a</w:t>
            </w:r>
            <w:r w:rsidR="00E47D96" w:rsidRPr="00734942">
              <w:rPr>
                <w:sz w:val="20"/>
                <w:szCs w:val="20"/>
              </w:rPr>
              <w:t xml:space="preserve"> and</w:t>
            </w:r>
            <w:r w:rsidRPr="00734942">
              <w:rPr>
                <w:sz w:val="20"/>
                <w:szCs w:val="20"/>
              </w:rPr>
              <w:t xml:space="preserve"> 4 times last year, IBS</w:t>
            </w:r>
          </w:p>
          <w:p w14:paraId="46BD2D5B" w14:textId="2CCB85C6" w:rsidR="00294DA1" w:rsidRPr="00734942" w:rsidRDefault="00A65A5D" w:rsidP="00294DA1">
            <w:pPr>
              <w:pStyle w:val="ListParagraph"/>
              <w:numPr>
                <w:ilvl w:val="0"/>
                <w:numId w:val="14"/>
              </w:numPr>
              <w:rPr>
                <w:sz w:val="20"/>
                <w:szCs w:val="20"/>
              </w:rPr>
            </w:pPr>
            <w:r>
              <w:rPr>
                <w:sz w:val="20"/>
                <w:szCs w:val="20"/>
              </w:rPr>
              <w:t>C</w:t>
            </w:r>
            <w:r w:rsidR="00294DA1" w:rsidRPr="00734942">
              <w:rPr>
                <w:sz w:val="20"/>
                <w:szCs w:val="20"/>
              </w:rPr>
              <w:t>hronic liver disease, fatigue</w:t>
            </w:r>
            <w:r w:rsidR="00785031" w:rsidRPr="00785031">
              <w:rPr>
                <w:sz w:val="20"/>
                <w:szCs w:val="20"/>
                <w:vertAlign w:val="superscript"/>
              </w:rPr>
              <w:t>a</w:t>
            </w:r>
            <w:r w:rsidR="00E47D96" w:rsidRPr="00734942">
              <w:rPr>
                <w:sz w:val="20"/>
                <w:szCs w:val="20"/>
              </w:rPr>
              <w:t xml:space="preserve"> and</w:t>
            </w:r>
            <w:r w:rsidR="00294DA1" w:rsidRPr="00734942">
              <w:rPr>
                <w:sz w:val="20"/>
                <w:szCs w:val="20"/>
              </w:rPr>
              <w:t xml:space="preserve"> once last year, GI symptoms</w:t>
            </w:r>
            <w:r w:rsidR="00785031" w:rsidRPr="00785031">
              <w:rPr>
                <w:sz w:val="20"/>
                <w:szCs w:val="20"/>
                <w:vertAlign w:val="superscript"/>
              </w:rPr>
              <w:t>a</w:t>
            </w:r>
            <w:r w:rsidR="00E47D96" w:rsidRPr="00734942">
              <w:rPr>
                <w:sz w:val="20"/>
                <w:szCs w:val="20"/>
              </w:rPr>
              <w:t xml:space="preserve"> and</w:t>
            </w:r>
            <w:r w:rsidR="00294DA1" w:rsidRPr="00734942">
              <w:rPr>
                <w:sz w:val="20"/>
                <w:szCs w:val="20"/>
              </w:rPr>
              <w:t xml:space="preserve"> three times last year</w:t>
            </w:r>
          </w:p>
          <w:p w14:paraId="3EDD6024" w14:textId="16D7D101" w:rsidR="00177311" w:rsidRPr="00734942" w:rsidRDefault="00294DA1" w:rsidP="00294DA1">
            <w:pPr>
              <w:pStyle w:val="ListParagraph"/>
              <w:numPr>
                <w:ilvl w:val="0"/>
                <w:numId w:val="14"/>
              </w:numPr>
              <w:rPr>
                <w:sz w:val="20"/>
                <w:szCs w:val="20"/>
              </w:rPr>
            </w:pPr>
            <w:r w:rsidRPr="00734942">
              <w:rPr>
                <w:sz w:val="20"/>
                <w:szCs w:val="20"/>
              </w:rPr>
              <w:t>GI symptoms</w:t>
            </w:r>
            <w:r w:rsidR="00785031" w:rsidRPr="00785031">
              <w:rPr>
                <w:sz w:val="20"/>
                <w:szCs w:val="20"/>
                <w:vertAlign w:val="superscript"/>
              </w:rPr>
              <w:t>a</w:t>
            </w:r>
            <w:r w:rsidRPr="00734942">
              <w:rPr>
                <w:sz w:val="20"/>
                <w:szCs w:val="20"/>
              </w:rPr>
              <w:t xml:space="preserve">, IBS, </w:t>
            </w:r>
            <w:r w:rsidR="00374E42" w:rsidRPr="00734942">
              <w:rPr>
                <w:sz w:val="20"/>
                <w:szCs w:val="20"/>
              </w:rPr>
              <w:t xml:space="preserve">and </w:t>
            </w:r>
            <w:r w:rsidRPr="00734942">
              <w:rPr>
                <w:sz w:val="20"/>
                <w:szCs w:val="20"/>
              </w:rPr>
              <w:t>osteoporosis</w:t>
            </w:r>
          </w:p>
        </w:tc>
        <w:tc>
          <w:tcPr>
            <w:tcW w:w="2693" w:type="dxa"/>
          </w:tcPr>
          <w:p w14:paraId="4878409F" w14:textId="7079BF32" w:rsidR="00016A3E" w:rsidRPr="00734942" w:rsidRDefault="00016A3E" w:rsidP="00016A3E">
            <w:pPr>
              <w:pStyle w:val="ListParagraph"/>
              <w:numPr>
                <w:ilvl w:val="0"/>
                <w:numId w:val="14"/>
              </w:numPr>
              <w:rPr>
                <w:sz w:val="20"/>
                <w:szCs w:val="20"/>
              </w:rPr>
            </w:pPr>
            <w:r w:rsidRPr="00734942">
              <w:rPr>
                <w:sz w:val="20"/>
                <w:szCs w:val="20"/>
              </w:rPr>
              <w:t>GI symptoms</w:t>
            </w:r>
            <w:r w:rsidR="00785031" w:rsidRPr="00785031">
              <w:rPr>
                <w:sz w:val="20"/>
                <w:szCs w:val="20"/>
                <w:vertAlign w:val="superscript"/>
              </w:rPr>
              <w:t>a</w:t>
            </w:r>
            <w:r w:rsidR="00374E42" w:rsidRPr="00734942">
              <w:rPr>
                <w:sz w:val="20"/>
                <w:szCs w:val="20"/>
              </w:rPr>
              <w:t xml:space="preserve"> and</w:t>
            </w:r>
            <w:r w:rsidRPr="00734942">
              <w:rPr>
                <w:sz w:val="20"/>
                <w:szCs w:val="20"/>
              </w:rPr>
              <w:t xml:space="preserve"> </w:t>
            </w:r>
            <w:r w:rsidR="00374E42" w:rsidRPr="00734942">
              <w:rPr>
                <w:sz w:val="20"/>
                <w:szCs w:val="20"/>
              </w:rPr>
              <w:t>twice</w:t>
            </w:r>
            <w:r w:rsidRPr="00734942">
              <w:rPr>
                <w:sz w:val="20"/>
                <w:szCs w:val="20"/>
              </w:rPr>
              <w:t xml:space="preserve"> last year</w:t>
            </w:r>
          </w:p>
          <w:p w14:paraId="4853F970" w14:textId="09A8C4F9" w:rsidR="00016A3E" w:rsidRPr="00541948" w:rsidRDefault="00016A3E" w:rsidP="00016A3E">
            <w:pPr>
              <w:pStyle w:val="ListParagraph"/>
              <w:numPr>
                <w:ilvl w:val="0"/>
                <w:numId w:val="14"/>
              </w:numPr>
              <w:rPr>
                <w:sz w:val="20"/>
                <w:szCs w:val="20"/>
                <w:lang w:val="fr-FR"/>
              </w:rPr>
            </w:pPr>
            <w:r w:rsidRPr="00541948">
              <w:rPr>
                <w:sz w:val="20"/>
                <w:szCs w:val="20"/>
                <w:lang w:val="fr-FR"/>
              </w:rPr>
              <w:t>T1D, fatigue</w:t>
            </w:r>
            <w:r w:rsidR="00785031" w:rsidRPr="00785031">
              <w:rPr>
                <w:sz w:val="20"/>
                <w:szCs w:val="20"/>
                <w:vertAlign w:val="superscript"/>
                <w:lang w:val="fr-FR"/>
              </w:rPr>
              <w:t>a</w:t>
            </w:r>
            <w:r w:rsidRPr="00541948">
              <w:rPr>
                <w:sz w:val="20"/>
                <w:szCs w:val="20"/>
                <w:lang w:val="fr-FR"/>
              </w:rPr>
              <w:t>, GI symptoms</w:t>
            </w:r>
            <w:r w:rsidR="00785031" w:rsidRPr="00785031">
              <w:rPr>
                <w:sz w:val="20"/>
                <w:szCs w:val="20"/>
                <w:vertAlign w:val="superscript"/>
                <w:lang w:val="fr-FR"/>
              </w:rPr>
              <w:t>a</w:t>
            </w:r>
          </w:p>
          <w:p w14:paraId="58952A2F" w14:textId="52B3211E" w:rsidR="00016A3E" w:rsidRPr="00734942" w:rsidRDefault="00A65A5D" w:rsidP="00016A3E">
            <w:pPr>
              <w:pStyle w:val="ListParagraph"/>
              <w:numPr>
                <w:ilvl w:val="0"/>
                <w:numId w:val="14"/>
              </w:numPr>
              <w:rPr>
                <w:sz w:val="20"/>
                <w:szCs w:val="20"/>
              </w:rPr>
            </w:pPr>
            <w:r>
              <w:rPr>
                <w:sz w:val="20"/>
                <w:szCs w:val="20"/>
              </w:rPr>
              <w:t>F</w:t>
            </w:r>
            <w:r w:rsidR="00016A3E" w:rsidRPr="00734942">
              <w:rPr>
                <w:sz w:val="20"/>
                <w:szCs w:val="20"/>
              </w:rPr>
              <w:t>atigue, first degree relative</w:t>
            </w:r>
          </w:p>
          <w:p w14:paraId="45834ADC" w14:textId="77777777" w:rsidR="00177311" w:rsidRDefault="00016A3E" w:rsidP="00016A3E">
            <w:pPr>
              <w:pStyle w:val="ListParagraph"/>
              <w:numPr>
                <w:ilvl w:val="0"/>
                <w:numId w:val="14"/>
              </w:numPr>
              <w:rPr>
                <w:sz w:val="20"/>
                <w:szCs w:val="20"/>
              </w:rPr>
            </w:pPr>
            <w:r w:rsidRPr="00734942">
              <w:rPr>
                <w:sz w:val="20"/>
                <w:szCs w:val="20"/>
              </w:rPr>
              <w:t>GI symptoms</w:t>
            </w:r>
            <w:r w:rsidR="00785031" w:rsidRPr="00785031">
              <w:rPr>
                <w:sz w:val="20"/>
                <w:szCs w:val="20"/>
                <w:vertAlign w:val="superscript"/>
              </w:rPr>
              <w:t>a</w:t>
            </w:r>
            <w:r w:rsidRPr="00734942">
              <w:rPr>
                <w:sz w:val="20"/>
                <w:szCs w:val="20"/>
              </w:rPr>
              <w:t>, osteoporosis</w:t>
            </w:r>
          </w:p>
          <w:p w14:paraId="69F5B850" w14:textId="716FBDC6" w:rsidR="00864661" w:rsidRPr="00734942" w:rsidRDefault="00864661" w:rsidP="00016A3E">
            <w:pPr>
              <w:pStyle w:val="ListParagraph"/>
              <w:numPr>
                <w:ilvl w:val="0"/>
                <w:numId w:val="14"/>
              </w:numPr>
              <w:rPr>
                <w:sz w:val="20"/>
                <w:szCs w:val="20"/>
              </w:rPr>
            </w:pPr>
            <w:r>
              <w:rPr>
                <w:sz w:val="20"/>
                <w:szCs w:val="20"/>
              </w:rPr>
              <w:t>Anaemia</w:t>
            </w:r>
          </w:p>
        </w:tc>
      </w:tr>
      <w:tr w:rsidR="00177311" w:rsidRPr="00734942" w14:paraId="745CE8F1" w14:textId="67AF7CFC" w:rsidTr="001A17B3">
        <w:tc>
          <w:tcPr>
            <w:tcW w:w="762" w:type="dxa"/>
          </w:tcPr>
          <w:p w14:paraId="12250A01" w14:textId="60E5C20D" w:rsidR="00177311" w:rsidRPr="00734942" w:rsidRDefault="0018407C" w:rsidP="00DF5EDB">
            <w:pPr>
              <w:rPr>
                <w:sz w:val="20"/>
                <w:szCs w:val="20"/>
              </w:rPr>
            </w:pPr>
            <w:r>
              <w:rPr>
                <w:rFonts w:cstheme="minorHAnsi"/>
                <w:sz w:val="20"/>
                <w:szCs w:val="20"/>
              </w:rPr>
              <w:t>&gt;</w:t>
            </w:r>
            <w:r w:rsidR="00177311" w:rsidRPr="00734942">
              <w:rPr>
                <w:rFonts w:cstheme="minorHAnsi"/>
                <w:sz w:val="20"/>
                <w:szCs w:val="20"/>
              </w:rPr>
              <w:t>20%</w:t>
            </w:r>
          </w:p>
        </w:tc>
        <w:tc>
          <w:tcPr>
            <w:tcW w:w="2607" w:type="dxa"/>
          </w:tcPr>
          <w:p w14:paraId="2164D2FB" w14:textId="30B4937D" w:rsidR="004E1708" w:rsidRDefault="00A65A5D" w:rsidP="004E1708">
            <w:pPr>
              <w:pStyle w:val="ListParagraph"/>
              <w:numPr>
                <w:ilvl w:val="0"/>
                <w:numId w:val="14"/>
              </w:numPr>
              <w:rPr>
                <w:sz w:val="20"/>
                <w:szCs w:val="20"/>
              </w:rPr>
            </w:pPr>
            <w:r>
              <w:rPr>
                <w:sz w:val="20"/>
                <w:szCs w:val="20"/>
              </w:rPr>
              <w:t>F</w:t>
            </w:r>
            <w:r w:rsidR="00C25994" w:rsidRPr="00734942">
              <w:rPr>
                <w:sz w:val="20"/>
                <w:szCs w:val="20"/>
              </w:rPr>
              <w:t>irst-degree relative</w:t>
            </w:r>
            <w:r w:rsidR="0018407C">
              <w:rPr>
                <w:sz w:val="20"/>
                <w:szCs w:val="20"/>
              </w:rPr>
              <w:t xml:space="preserve"> with CD</w:t>
            </w:r>
          </w:p>
          <w:p w14:paraId="2F6E75F6" w14:textId="69D3CA8F" w:rsidR="0018407C" w:rsidRDefault="0018407C" w:rsidP="004E1708">
            <w:pPr>
              <w:pStyle w:val="ListParagraph"/>
              <w:numPr>
                <w:ilvl w:val="0"/>
                <w:numId w:val="14"/>
              </w:numPr>
              <w:rPr>
                <w:sz w:val="20"/>
                <w:szCs w:val="20"/>
              </w:rPr>
            </w:pPr>
            <w:r>
              <w:rPr>
                <w:sz w:val="20"/>
                <w:szCs w:val="20"/>
              </w:rPr>
              <w:t>IgA deficiency</w:t>
            </w:r>
          </w:p>
          <w:p w14:paraId="7D0EB446" w14:textId="0B7298DB" w:rsidR="0018407C" w:rsidRDefault="0018407C" w:rsidP="004E1708">
            <w:pPr>
              <w:pStyle w:val="ListParagraph"/>
              <w:numPr>
                <w:ilvl w:val="0"/>
                <w:numId w:val="14"/>
              </w:numPr>
              <w:rPr>
                <w:sz w:val="20"/>
                <w:szCs w:val="20"/>
              </w:rPr>
            </w:pPr>
            <w:r>
              <w:rPr>
                <w:sz w:val="20"/>
                <w:szCs w:val="20"/>
              </w:rPr>
              <w:t>Turner syndrome</w:t>
            </w:r>
          </w:p>
          <w:p w14:paraId="465ECC05" w14:textId="7AA50194" w:rsidR="0018407C" w:rsidRPr="00734942" w:rsidRDefault="0018407C" w:rsidP="004E1708">
            <w:pPr>
              <w:pStyle w:val="ListParagraph"/>
              <w:numPr>
                <w:ilvl w:val="0"/>
                <w:numId w:val="14"/>
              </w:numPr>
              <w:rPr>
                <w:sz w:val="20"/>
                <w:szCs w:val="20"/>
              </w:rPr>
            </w:pPr>
            <w:r>
              <w:rPr>
                <w:sz w:val="20"/>
                <w:szCs w:val="20"/>
              </w:rPr>
              <w:t>Type 1 diabetes</w:t>
            </w:r>
          </w:p>
          <w:p w14:paraId="31FD741F" w14:textId="7C37E279" w:rsidR="00177311" w:rsidRPr="0018407C" w:rsidRDefault="00177311" w:rsidP="0018407C">
            <w:pPr>
              <w:rPr>
                <w:sz w:val="20"/>
                <w:szCs w:val="20"/>
              </w:rPr>
            </w:pPr>
          </w:p>
        </w:tc>
        <w:tc>
          <w:tcPr>
            <w:tcW w:w="3005" w:type="dxa"/>
          </w:tcPr>
          <w:p w14:paraId="3F1B62F6" w14:textId="06F83FFC" w:rsidR="002F5933" w:rsidRPr="00734942" w:rsidRDefault="00A65A5D" w:rsidP="002F5933">
            <w:pPr>
              <w:pStyle w:val="ListParagraph"/>
              <w:numPr>
                <w:ilvl w:val="0"/>
                <w:numId w:val="14"/>
              </w:numPr>
              <w:rPr>
                <w:sz w:val="20"/>
                <w:szCs w:val="20"/>
              </w:rPr>
            </w:pPr>
            <w:r>
              <w:rPr>
                <w:sz w:val="20"/>
                <w:szCs w:val="20"/>
              </w:rPr>
              <w:t>A</w:t>
            </w:r>
            <w:r w:rsidR="002F5933" w:rsidRPr="00734942">
              <w:rPr>
                <w:sz w:val="20"/>
                <w:szCs w:val="20"/>
              </w:rPr>
              <w:t>naemia, fatigue</w:t>
            </w:r>
            <w:r w:rsidR="00785031" w:rsidRPr="00785031">
              <w:rPr>
                <w:sz w:val="20"/>
                <w:szCs w:val="20"/>
                <w:vertAlign w:val="superscript"/>
              </w:rPr>
              <w:t>a</w:t>
            </w:r>
            <w:r w:rsidR="002F5933" w:rsidRPr="00734942">
              <w:rPr>
                <w:sz w:val="20"/>
                <w:szCs w:val="20"/>
              </w:rPr>
              <w:t>, GI symptoms</w:t>
            </w:r>
            <w:r w:rsidR="00785031" w:rsidRPr="00785031">
              <w:rPr>
                <w:sz w:val="20"/>
                <w:szCs w:val="20"/>
                <w:vertAlign w:val="superscript"/>
              </w:rPr>
              <w:t>a</w:t>
            </w:r>
            <w:r w:rsidR="00BD72B4" w:rsidRPr="00734942">
              <w:rPr>
                <w:sz w:val="20"/>
                <w:szCs w:val="20"/>
              </w:rPr>
              <w:t xml:space="preserve"> and</w:t>
            </w:r>
            <w:r w:rsidR="002F5933" w:rsidRPr="00734942">
              <w:rPr>
                <w:sz w:val="20"/>
                <w:szCs w:val="20"/>
              </w:rPr>
              <w:t xml:space="preserve"> four times last year, iron</w:t>
            </w:r>
            <w:r w:rsidR="00BD72B4" w:rsidRPr="00734942">
              <w:rPr>
                <w:sz w:val="20"/>
                <w:szCs w:val="20"/>
              </w:rPr>
              <w:t>/</w:t>
            </w:r>
            <w:r w:rsidR="00AC1D62">
              <w:rPr>
                <w:sz w:val="20"/>
                <w:szCs w:val="20"/>
              </w:rPr>
              <w:t>B</w:t>
            </w:r>
            <w:r w:rsidR="00AC1D62" w:rsidRPr="00734942">
              <w:rPr>
                <w:sz w:val="20"/>
                <w:szCs w:val="20"/>
              </w:rPr>
              <w:t>12</w:t>
            </w:r>
            <w:r w:rsidR="00BD72B4" w:rsidRPr="00734942">
              <w:rPr>
                <w:sz w:val="20"/>
                <w:szCs w:val="20"/>
              </w:rPr>
              <w:t>/</w:t>
            </w:r>
            <w:r w:rsidR="002F5933" w:rsidRPr="00734942">
              <w:rPr>
                <w:sz w:val="20"/>
                <w:szCs w:val="20"/>
              </w:rPr>
              <w:t>folate def</w:t>
            </w:r>
            <w:r w:rsidR="00BD72B4" w:rsidRPr="00734942">
              <w:rPr>
                <w:sz w:val="20"/>
                <w:szCs w:val="20"/>
              </w:rPr>
              <w:t>iciency</w:t>
            </w:r>
            <w:r w:rsidR="002F5933" w:rsidRPr="00734942">
              <w:rPr>
                <w:sz w:val="20"/>
                <w:szCs w:val="20"/>
              </w:rPr>
              <w:t>, thyroid disorder</w:t>
            </w:r>
          </w:p>
          <w:p w14:paraId="18B048E4" w14:textId="7CBB5C1E" w:rsidR="002F5933" w:rsidRPr="00734942" w:rsidRDefault="00A65A5D" w:rsidP="002F5933">
            <w:pPr>
              <w:pStyle w:val="ListParagraph"/>
              <w:numPr>
                <w:ilvl w:val="0"/>
                <w:numId w:val="14"/>
              </w:numPr>
              <w:rPr>
                <w:sz w:val="20"/>
                <w:szCs w:val="20"/>
              </w:rPr>
            </w:pPr>
            <w:r>
              <w:rPr>
                <w:sz w:val="20"/>
                <w:szCs w:val="20"/>
              </w:rPr>
              <w:t>A</w:t>
            </w:r>
            <w:r w:rsidR="002F5933" w:rsidRPr="00734942">
              <w:rPr>
                <w:sz w:val="20"/>
                <w:szCs w:val="20"/>
              </w:rPr>
              <w:t>naemia, fatigue</w:t>
            </w:r>
            <w:r w:rsidR="00785031" w:rsidRPr="00785031">
              <w:rPr>
                <w:sz w:val="20"/>
                <w:szCs w:val="20"/>
                <w:vertAlign w:val="superscript"/>
              </w:rPr>
              <w:t>a</w:t>
            </w:r>
            <w:r w:rsidR="00B57597" w:rsidRPr="00734942">
              <w:rPr>
                <w:sz w:val="20"/>
                <w:szCs w:val="20"/>
              </w:rPr>
              <w:t xml:space="preserve"> and </w:t>
            </w:r>
            <w:r w:rsidR="002F5933" w:rsidRPr="00734942">
              <w:rPr>
                <w:sz w:val="20"/>
                <w:szCs w:val="20"/>
              </w:rPr>
              <w:t>three times last year, GI symptoms</w:t>
            </w:r>
            <w:r w:rsidR="00785031" w:rsidRPr="00785031">
              <w:rPr>
                <w:sz w:val="20"/>
                <w:szCs w:val="20"/>
                <w:vertAlign w:val="superscript"/>
              </w:rPr>
              <w:t>a</w:t>
            </w:r>
            <w:r w:rsidR="00B57597" w:rsidRPr="00734942">
              <w:rPr>
                <w:sz w:val="20"/>
                <w:szCs w:val="20"/>
              </w:rPr>
              <w:t xml:space="preserve"> and</w:t>
            </w:r>
            <w:r w:rsidR="002F5933" w:rsidRPr="00734942">
              <w:rPr>
                <w:sz w:val="20"/>
                <w:szCs w:val="20"/>
              </w:rPr>
              <w:t xml:space="preserve"> twice last year, IBD, osteoporosis, </w:t>
            </w:r>
            <w:r w:rsidR="00B57597" w:rsidRPr="00734942">
              <w:rPr>
                <w:sz w:val="20"/>
                <w:szCs w:val="20"/>
              </w:rPr>
              <w:t xml:space="preserve">and </w:t>
            </w:r>
            <w:r w:rsidR="002F5933" w:rsidRPr="00734942">
              <w:rPr>
                <w:sz w:val="20"/>
                <w:szCs w:val="20"/>
              </w:rPr>
              <w:t>thyroid disorder</w:t>
            </w:r>
          </w:p>
          <w:p w14:paraId="635CA619" w14:textId="3AC9E63B" w:rsidR="00177311" w:rsidRPr="00734942" w:rsidRDefault="00A65A5D" w:rsidP="002F5933">
            <w:pPr>
              <w:pStyle w:val="ListParagraph"/>
              <w:numPr>
                <w:ilvl w:val="0"/>
                <w:numId w:val="14"/>
              </w:numPr>
              <w:rPr>
                <w:sz w:val="20"/>
                <w:szCs w:val="20"/>
              </w:rPr>
            </w:pPr>
            <w:r>
              <w:rPr>
                <w:sz w:val="20"/>
                <w:szCs w:val="20"/>
              </w:rPr>
              <w:t>A</w:t>
            </w:r>
            <w:r w:rsidR="002F5933" w:rsidRPr="00734942">
              <w:rPr>
                <w:sz w:val="20"/>
                <w:szCs w:val="20"/>
              </w:rPr>
              <w:t>naemia, CVD, GI symptoms</w:t>
            </w:r>
            <w:r w:rsidR="00785031" w:rsidRPr="00785031">
              <w:rPr>
                <w:sz w:val="20"/>
                <w:szCs w:val="20"/>
                <w:vertAlign w:val="superscript"/>
              </w:rPr>
              <w:t>a</w:t>
            </w:r>
            <w:r w:rsidR="00B57597" w:rsidRPr="00734942">
              <w:rPr>
                <w:sz w:val="20"/>
                <w:szCs w:val="20"/>
              </w:rPr>
              <w:t xml:space="preserve"> and</w:t>
            </w:r>
            <w:r w:rsidR="002F5933" w:rsidRPr="00734942">
              <w:rPr>
                <w:sz w:val="20"/>
                <w:szCs w:val="20"/>
              </w:rPr>
              <w:t xml:space="preserve"> 4 times last year, iron</w:t>
            </w:r>
            <w:r w:rsidR="00B57597" w:rsidRPr="00734942">
              <w:rPr>
                <w:sz w:val="20"/>
                <w:szCs w:val="20"/>
              </w:rPr>
              <w:t>/</w:t>
            </w:r>
            <w:r w:rsidR="00D54BB9">
              <w:rPr>
                <w:sz w:val="20"/>
                <w:szCs w:val="20"/>
              </w:rPr>
              <w:t>B</w:t>
            </w:r>
            <w:r w:rsidR="00D54BB9" w:rsidRPr="00734942">
              <w:rPr>
                <w:sz w:val="20"/>
                <w:szCs w:val="20"/>
              </w:rPr>
              <w:t>12</w:t>
            </w:r>
            <w:r w:rsidR="00B57597" w:rsidRPr="00734942">
              <w:rPr>
                <w:sz w:val="20"/>
                <w:szCs w:val="20"/>
              </w:rPr>
              <w:t>/</w:t>
            </w:r>
            <w:r w:rsidR="002F5933" w:rsidRPr="00734942">
              <w:rPr>
                <w:sz w:val="20"/>
                <w:szCs w:val="20"/>
              </w:rPr>
              <w:t>folate def</w:t>
            </w:r>
            <w:r w:rsidR="00B57597" w:rsidRPr="00734942">
              <w:rPr>
                <w:sz w:val="20"/>
                <w:szCs w:val="20"/>
              </w:rPr>
              <w:t>iciency</w:t>
            </w:r>
            <w:r w:rsidR="002F5933" w:rsidRPr="00734942">
              <w:rPr>
                <w:sz w:val="20"/>
                <w:szCs w:val="20"/>
              </w:rPr>
              <w:t>, weight loss</w:t>
            </w:r>
          </w:p>
        </w:tc>
        <w:tc>
          <w:tcPr>
            <w:tcW w:w="2693" w:type="dxa"/>
          </w:tcPr>
          <w:p w14:paraId="561FFBC1" w14:textId="6E923EAC" w:rsidR="00016A3E" w:rsidRPr="00734942" w:rsidRDefault="00A65A5D" w:rsidP="00016A3E">
            <w:pPr>
              <w:pStyle w:val="ListParagraph"/>
              <w:numPr>
                <w:ilvl w:val="0"/>
                <w:numId w:val="14"/>
              </w:numPr>
              <w:rPr>
                <w:sz w:val="20"/>
                <w:szCs w:val="20"/>
              </w:rPr>
            </w:pPr>
            <w:r>
              <w:rPr>
                <w:sz w:val="20"/>
                <w:szCs w:val="20"/>
              </w:rPr>
              <w:t>F</w:t>
            </w:r>
            <w:r w:rsidR="00016A3E" w:rsidRPr="00734942">
              <w:rPr>
                <w:sz w:val="20"/>
                <w:szCs w:val="20"/>
              </w:rPr>
              <w:t>atigue</w:t>
            </w:r>
            <w:r w:rsidR="00785031" w:rsidRPr="00785031">
              <w:rPr>
                <w:sz w:val="20"/>
                <w:szCs w:val="20"/>
                <w:vertAlign w:val="superscript"/>
              </w:rPr>
              <w:t>a</w:t>
            </w:r>
            <w:r w:rsidR="00016A3E" w:rsidRPr="00734942">
              <w:rPr>
                <w:sz w:val="20"/>
                <w:szCs w:val="20"/>
              </w:rPr>
              <w:t>, GI symptoms</w:t>
            </w:r>
            <w:r w:rsidR="00785031" w:rsidRPr="00785031">
              <w:rPr>
                <w:sz w:val="20"/>
                <w:szCs w:val="20"/>
                <w:vertAlign w:val="superscript"/>
              </w:rPr>
              <w:t>a</w:t>
            </w:r>
            <w:r w:rsidR="00016A3E" w:rsidRPr="00734942">
              <w:rPr>
                <w:sz w:val="20"/>
                <w:szCs w:val="20"/>
              </w:rPr>
              <w:t>, iron/</w:t>
            </w:r>
            <w:r w:rsidR="00AC1D62">
              <w:rPr>
                <w:sz w:val="20"/>
                <w:szCs w:val="20"/>
              </w:rPr>
              <w:t>B</w:t>
            </w:r>
            <w:r w:rsidR="00AC1D62" w:rsidRPr="00734942">
              <w:rPr>
                <w:sz w:val="20"/>
                <w:szCs w:val="20"/>
              </w:rPr>
              <w:t>12</w:t>
            </w:r>
            <w:r w:rsidR="00016A3E" w:rsidRPr="00734942">
              <w:rPr>
                <w:sz w:val="20"/>
                <w:szCs w:val="20"/>
              </w:rPr>
              <w:t>/folate deficiency</w:t>
            </w:r>
          </w:p>
          <w:p w14:paraId="240A1181" w14:textId="7B7B3322" w:rsidR="00016A3E" w:rsidRPr="00734942" w:rsidRDefault="00A65A5D" w:rsidP="00016A3E">
            <w:pPr>
              <w:pStyle w:val="ListParagraph"/>
              <w:numPr>
                <w:ilvl w:val="0"/>
                <w:numId w:val="14"/>
              </w:numPr>
              <w:rPr>
                <w:sz w:val="20"/>
                <w:szCs w:val="20"/>
              </w:rPr>
            </w:pPr>
            <w:r>
              <w:rPr>
                <w:sz w:val="20"/>
                <w:szCs w:val="20"/>
              </w:rPr>
              <w:t>f</w:t>
            </w:r>
            <w:r w:rsidR="00016A3E" w:rsidRPr="00734942">
              <w:rPr>
                <w:sz w:val="20"/>
                <w:szCs w:val="20"/>
              </w:rPr>
              <w:t>atigue</w:t>
            </w:r>
            <w:r w:rsidR="00785031" w:rsidRPr="00785031">
              <w:rPr>
                <w:sz w:val="20"/>
                <w:szCs w:val="20"/>
                <w:vertAlign w:val="superscript"/>
              </w:rPr>
              <w:t>a</w:t>
            </w:r>
            <w:r w:rsidR="00BA7CF2" w:rsidRPr="00734942">
              <w:rPr>
                <w:sz w:val="20"/>
                <w:szCs w:val="20"/>
              </w:rPr>
              <w:t xml:space="preserve"> and</w:t>
            </w:r>
            <w:r w:rsidR="00016A3E" w:rsidRPr="00734942">
              <w:rPr>
                <w:sz w:val="20"/>
                <w:szCs w:val="20"/>
              </w:rPr>
              <w:t xml:space="preserve"> once last year, GI symptoms</w:t>
            </w:r>
            <w:r w:rsidR="00785031" w:rsidRPr="00785031">
              <w:rPr>
                <w:sz w:val="20"/>
                <w:szCs w:val="20"/>
                <w:vertAlign w:val="superscript"/>
              </w:rPr>
              <w:t>a</w:t>
            </w:r>
            <w:r w:rsidR="00016A3E" w:rsidRPr="00734942">
              <w:rPr>
                <w:sz w:val="20"/>
                <w:szCs w:val="20"/>
              </w:rPr>
              <w:t>, thyroid disorders</w:t>
            </w:r>
          </w:p>
          <w:p w14:paraId="314E350A" w14:textId="406599DC" w:rsidR="00016A3E" w:rsidRPr="00734942" w:rsidRDefault="00016A3E" w:rsidP="00016A3E">
            <w:pPr>
              <w:pStyle w:val="ListParagraph"/>
              <w:numPr>
                <w:ilvl w:val="0"/>
                <w:numId w:val="14"/>
              </w:numPr>
              <w:rPr>
                <w:sz w:val="20"/>
                <w:szCs w:val="20"/>
              </w:rPr>
            </w:pPr>
            <w:r w:rsidRPr="00734942">
              <w:rPr>
                <w:sz w:val="20"/>
                <w:szCs w:val="20"/>
              </w:rPr>
              <w:t xml:space="preserve"> GI symptoms</w:t>
            </w:r>
            <w:r w:rsidR="00785031" w:rsidRPr="00785031">
              <w:rPr>
                <w:sz w:val="20"/>
                <w:szCs w:val="20"/>
                <w:vertAlign w:val="superscript"/>
              </w:rPr>
              <w:t>a</w:t>
            </w:r>
            <w:r w:rsidR="00BA7CF2" w:rsidRPr="00734942">
              <w:rPr>
                <w:sz w:val="20"/>
                <w:szCs w:val="20"/>
              </w:rPr>
              <w:t xml:space="preserve"> and</w:t>
            </w:r>
            <w:r w:rsidRPr="00734942">
              <w:rPr>
                <w:sz w:val="20"/>
                <w:szCs w:val="20"/>
              </w:rPr>
              <w:t xml:space="preserve"> 4 times last year, IBS</w:t>
            </w:r>
          </w:p>
          <w:p w14:paraId="525AAB42" w14:textId="14CC662A" w:rsidR="00177311" w:rsidRPr="00734942" w:rsidRDefault="00016A3E" w:rsidP="00016A3E">
            <w:pPr>
              <w:pStyle w:val="ListParagraph"/>
              <w:numPr>
                <w:ilvl w:val="0"/>
                <w:numId w:val="14"/>
              </w:numPr>
              <w:rPr>
                <w:sz w:val="20"/>
                <w:szCs w:val="20"/>
              </w:rPr>
            </w:pPr>
            <w:r w:rsidRPr="00734942">
              <w:rPr>
                <w:sz w:val="20"/>
                <w:szCs w:val="20"/>
              </w:rPr>
              <w:t>CVD, GI symptoms</w:t>
            </w:r>
            <w:r w:rsidR="00785031" w:rsidRPr="00785031">
              <w:rPr>
                <w:sz w:val="20"/>
                <w:szCs w:val="20"/>
                <w:vertAlign w:val="superscript"/>
              </w:rPr>
              <w:t>a</w:t>
            </w:r>
            <w:r w:rsidR="00BA7CF2" w:rsidRPr="00734942">
              <w:rPr>
                <w:sz w:val="20"/>
                <w:szCs w:val="20"/>
              </w:rPr>
              <w:t xml:space="preserve"> and</w:t>
            </w:r>
            <w:r w:rsidRPr="00734942">
              <w:rPr>
                <w:sz w:val="20"/>
                <w:szCs w:val="20"/>
              </w:rPr>
              <w:t xml:space="preserve"> once last year, mouth ulcers</w:t>
            </w:r>
            <w:r w:rsidR="00785031" w:rsidRPr="00785031">
              <w:rPr>
                <w:sz w:val="20"/>
                <w:szCs w:val="20"/>
                <w:vertAlign w:val="superscript"/>
              </w:rPr>
              <w:t>a</w:t>
            </w:r>
            <w:r w:rsidR="005B5B58" w:rsidRPr="00734942">
              <w:rPr>
                <w:sz w:val="20"/>
                <w:szCs w:val="20"/>
              </w:rPr>
              <w:t xml:space="preserve"> and</w:t>
            </w:r>
            <w:r w:rsidRPr="00734942">
              <w:rPr>
                <w:sz w:val="20"/>
                <w:szCs w:val="20"/>
              </w:rPr>
              <w:t xml:space="preserve"> twice last year</w:t>
            </w:r>
          </w:p>
        </w:tc>
      </w:tr>
    </w:tbl>
    <w:p w14:paraId="40703D82" w14:textId="77777777" w:rsidR="00DF5EDB" w:rsidRPr="00734942" w:rsidRDefault="00DF5EDB" w:rsidP="00DF5EDB">
      <w:pPr>
        <w:rPr>
          <w:rFonts w:cstheme="minorHAnsi"/>
        </w:rPr>
      </w:pPr>
      <w:r w:rsidRPr="00734942">
        <w:rPr>
          <w:rFonts w:cstheme="minorHAnsi"/>
        </w:rPr>
        <w:br w:type="page"/>
      </w:r>
    </w:p>
    <w:p w14:paraId="465EF8CA" w14:textId="7A3AED42" w:rsidR="008326DA" w:rsidRPr="00734942" w:rsidRDefault="008326DA" w:rsidP="005672CA">
      <w:pPr>
        <w:pStyle w:val="Caption"/>
      </w:pPr>
      <w:bookmarkStart w:id="143" w:name="_Ref85720672"/>
      <w:bookmarkStart w:id="144" w:name="_Toc99720783"/>
      <w:r w:rsidRPr="00734942">
        <w:lastRenderedPageBreak/>
        <w:t xml:space="preserve">Figure </w:t>
      </w:r>
      <w:r>
        <w:fldChar w:fldCharType="begin"/>
      </w:r>
      <w:r>
        <w:instrText>SEQ Figure \* ARABIC</w:instrText>
      </w:r>
      <w:r>
        <w:fldChar w:fldCharType="separate"/>
      </w:r>
      <w:r w:rsidR="008B5583">
        <w:rPr>
          <w:noProof/>
        </w:rPr>
        <w:t>2</w:t>
      </w:r>
      <w:r>
        <w:fldChar w:fldCharType="end"/>
      </w:r>
      <w:bookmarkEnd w:id="143"/>
      <w:r w:rsidRPr="00734942">
        <w:t xml:space="preserve"> ROC curves model development</w:t>
      </w:r>
      <w:bookmarkEnd w:id="144"/>
    </w:p>
    <w:p w14:paraId="6E91B47E" w14:textId="6BADF139" w:rsidR="00F7225C" w:rsidRPr="005A4FB5" w:rsidRDefault="00F7225C" w:rsidP="00F7225C">
      <w:pPr>
        <w:spacing w:after="0"/>
        <w:rPr>
          <w:sz w:val="20"/>
          <w:szCs w:val="20"/>
        </w:rPr>
      </w:pPr>
      <w:r w:rsidRPr="005A4FB5">
        <w:rPr>
          <w:sz w:val="20"/>
          <w:szCs w:val="20"/>
        </w:rPr>
        <w:t>Thresholds are shown that result in a 1%, 1.5%, 2%, 5%, 10%, and 20% PPV.</w:t>
      </w:r>
      <w:r w:rsidR="009D2100" w:rsidRPr="005A4FB5">
        <w:rPr>
          <w:sz w:val="20"/>
          <w:szCs w:val="20"/>
        </w:rPr>
        <w:t xml:space="preserve"> The same thresholds are applied on the external data.</w:t>
      </w:r>
    </w:p>
    <w:p w14:paraId="591B0041" w14:textId="670B72F8" w:rsidR="00DF5EDB" w:rsidRPr="00734942" w:rsidRDefault="0023565F" w:rsidP="00DF5EDB">
      <w:r w:rsidRPr="00734942">
        <w:rPr>
          <w:noProof/>
        </w:rPr>
        <w:drawing>
          <wp:inline distT="0" distB="0" distL="0" distR="0" wp14:anchorId="596D8319" wp14:editId="7D3E6D3A">
            <wp:extent cx="5760000" cy="27289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369"/>
                    <a:stretch/>
                  </pic:blipFill>
                  <pic:spPr bwMode="auto">
                    <a:xfrm>
                      <a:off x="0" y="0"/>
                      <a:ext cx="5760000" cy="2728996"/>
                    </a:xfrm>
                    <a:prstGeom prst="rect">
                      <a:avLst/>
                    </a:prstGeom>
                    <a:noFill/>
                    <a:ln>
                      <a:noFill/>
                    </a:ln>
                    <a:extLst>
                      <a:ext uri="{53640926-AAD7-44D8-BBD7-CCE9431645EC}">
                        <a14:shadowObscured xmlns:a14="http://schemas.microsoft.com/office/drawing/2010/main"/>
                      </a:ext>
                    </a:extLst>
                  </pic:spPr>
                </pic:pic>
              </a:graphicData>
            </a:graphic>
          </wp:inline>
        </w:drawing>
      </w:r>
    </w:p>
    <w:p w14:paraId="7BE5AA8E" w14:textId="35288E06" w:rsidR="00DF5EDB" w:rsidRPr="00734942" w:rsidRDefault="000B5631" w:rsidP="00DF5EDB">
      <w:r w:rsidRPr="00734942">
        <w:rPr>
          <w:noProof/>
        </w:rPr>
        <w:drawing>
          <wp:inline distT="0" distB="0" distL="0" distR="0" wp14:anchorId="2B095479" wp14:editId="37E54FC7">
            <wp:extent cx="5760000" cy="2624934"/>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7222"/>
                    <a:stretch/>
                  </pic:blipFill>
                  <pic:spPr bwMode="auto">
                    <a:xfrm>
                      <a:off x="0" y="0"/>
                      <a:ext cx="5760000" cy="2624934"/>
                    </a:xfrm>
                    <a:prstGeom prst="rect">
                      <a:avLst/>
                    </a:prstGeom>
                    <a:noFill/>
                    <a:ln>
                      <a:noFill/>
                    </a:ln>
                    <a:extLst>
                      <a:ext uri="{53640926-AAD7-44D8-BBD7-CCE9431645EC}">
                        <a14:shadowObscured xmlns:a14="http://schemas.microsoft.com/office/drawing/2010/main"/>
                      </a:ext>
                    </a:extLst>
                  </pic:spPr>
                </pic:pic>
              </a:graphicData>
            </a:graphic>
          </wp:inline>
        </w:drawing>
      </w:r>
    </w:p>
    <w:p w14:paraId="6FDD41A3" w14:textId="61E52A88" w:rsidR="00BF528F" w:rsidRPr="00734942" w:rsidRDefault="00390D7A" w:rsidP="00DF5EDB">
      <w:r w:rsidRPr="00734942">
        <w:rPr>
          <w:noProof/>
        </w:rPr>
        <w:drawing>
          <wp:inline distT="0" distB="0" distL="0" distR="0" wp14:anchorId="31393888" wp14:editId="2C6E4A47">
            <wp:extent cx="5759389" cy="2678052"/>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7126"/>
                    <a:stretch/>
                  </pic:blipFill>
                  <pic:spPr bwMode="auto">
                    <a:xfrm>
                      <a:off x="0" y="0"/>
                      <a:ext cx="5760000" cy="2678336"/>
                    </a:xfrm>
                    <a:prstGeom prst="rect">
                      <a:avLst/>
                    </a:prstGeom>
                    <a:noFill/>
                    <a:ln>
                      <a:noFill/>
                    </a:ln>
                    <a:extLst>
                      <a:ext uri="{53640926-AAD7-44D8-BBD7-CCE9431645EC}">
                        <a14:shadowObscured xmlns:a14="http://schemas.microsoft.com/office/drawing/2010/main"/>
                      </a:ext>
                    </a:extLst>
                  </pic:spPr>
                </pic:pic>
              </a:graphicData>
            </a:graphic>
          </wp:inline>
        </w:drawing>
      </w:r>
    </w:p>
    <w:p w14:paraId="6AC1FAA3" w14:textId="77777777" w:rsidR="00DF5EDB" w:rsidRPr="00734942" w:rsidRDefault="00DF5EDB" w:rsidP="004B2ACE">
      <w:pPr>
        <w:pStyle w:val="Heading3"/>
      </w:pPr>
      <w:bookmarkStart w:id="145" w:name="_Toc99539852"/>
      <w:r w:rsidRPr="00734942">
        <w:lastRenderedPageBreak/>
        <w:t>Sensitivity analysis on CD patients diagnosed after 1997</w:t>
      </w:r>
      <w:bookmarkEnd w:id="145"/>
    </w:p>
    <w:p w14:paraId="2EB937C7" w14:textId="77777777" w:rsidR="00DF5EDB" w:rsidRPr="00734942" w:rsidRDefault="00DF5EDB" w:rsidP="00DF5EDB">
      <w:pPr>
        <w:rPr>
          <w:rFonts w:cstheme="minorHAnsi"/>
        </w:rPr>
      </w:pPr>
      <w:r w:rsidRPr="00734942">
        <w:t xml:space="preserve">The vast majority of patients in the CPRD Gold dataset were diagnosed after 1997, so limiting the analysis to these patients did not make a big impact on sample size. For this sensitivity analysis, </w:t>
      </w:r>
      <w:r w:rsidRPr="00734942">
        <w:rPr>
          <w:rFonts w:cstheme="minorHAnsi"/>
        </w:rPr>
        <w:t>495 (3%) children, 2039 (4%) women, and 1591 (4%) men were removed from the respective development datasets. Although there were minor changes in variable selection and model performance measures, the new models did not perform substantially better or worse than the original models.</w:t>
      </w:r>
    </w:p>
    <w:p w14:paraId="129D8ABD" w14:textId="77777777" w:rsidR="00DF5EDB" w:rsidRPr="00734942" w:rsidRDefault="00DF5EDB" w:rsidP="004B2ACE">
      <w:pPr>
        <w:pStyle w:val="Heading4"/>
      </w:pPr>
      <w:r w:rsidRPr="00734942">
        <w:t>Children</w:t>
      </w:r>
    </w:p>
    <w:p w14:paraId="40E0260A" w14:textId="4F04CE33" w:rsidR="00DF5EDB" w:rsidRPr="00734942" w:rsidRDefault="00DF5EDB" w:rsidP="00DF5EDB">
      <w:r w:rsidRPr="00734942">
        <w:t xml:space="preserve">The same predictors </w:t>
      </w:r>
      <w:r w:rsidR="00663378" w:rsidRPr="00734942">
        <w:t>and two additional predictors, amenorrhoea and mouth ulcers (</w:t>
      </w:r>
      <w:r w:rsidR="00B07101" w:rsidRPr="00734942">
        <w:t xml:space="preserve">as </w:t>
      </w:r>
      <w:r w:rsidR="001E6620" w:rsidRPr="00734942">
        <w:t xml:space="preserve">count, 2 </w:t>
      </w:r>
      <w:r w:rsidR="00663378" w:rsidRPr="00734942">
        <w:t>years</w:t>
      </w:r>
      <w:r w:rsidR="00B07101" w:rsidRPr="00734942">
        <w:t xml:space="preserve"> prior to CD diagnosis</w:t>
      </w:r>
      <w:r w:rsidR="001E6620" w:rsidRPr="00734942">
        <w:t xml:space="preserve">), </w:t>
      </w:r>
      <w:r w:rsidRPr="00734942">
        <w:t xml:space="preserve">were included in the model. </w:t>
      </w:r>
      <w:r w:rsidR="0092154B" w:rsidRPr="00734942">
        <w:t>However, this did not seem to improve model performance</w:t>
      </w:r>
      <w:r w:rsidR="00ED7976">
        <w:t>:</w:t>
      </w:r>
      <w:r w:rsidR="0092154B" w:rsidRPr="00734942">
        <w:t xml:space="preserve"> all performance measures were similar</w:t>
      </w:r>
      <w:r w:rsidR="00362BA0" w:rsidRPr="00734942">
        <w:t xml:space="preserve"> between the new and original model</w:t>
      </w:r>
      <w:r w:rsidR="00092510" w:rsidRPr="00734942">
        <w:t xml:space="preserve"> (R2: 0.415, Brier score: 0.166, C statistic:</w:t>
      </w:r>
      <w:r w:rsidR="00243ADB" w:rsidRPr="00734942">
        <w:t>0.827, calibration intercept:</w:t>
      </w:r>
      <w:r w:rsidR="004528DE" w:rsidRPr="00734942">
        <w:t xml:space="preserve"> 0.113</w:t>
      </w:r>
      <w:r w:rsidR="00243ADB" w:rsidRPr="00734942">
        <w:t xml:space="preserve">, calibration slope: </w:t>
      </w:r>
      <w:r w:rsidR="004528DE" w:rsidRPr="00734942">
        <w:t>1.011</w:t>
      </w:r>
      <w:r w:rsidR="00243ADB" w:rsidRPr="00734942">
        <w:t>)</w:t>
      </w:r>
      <w:r w:rsidR="00362BA0" w:rsidRPr="00734942">
        <w:t>.</w:t>
      </w:r>
    </w:p>
    <w:p w14:paraId="72201C01" w14:textId="77777777" w:rsidR="00DF5EDB" w:rsidRPr="00734942" w:rsidRDefault="00DF5EDB" w:rsidP="004B2ACE">
      <w:pPr>
        <w:pStyle w:val="Heading4"/>
      </w:pPr>
      <w:r w:rsidRPr="00734942">
        <w:t>Women</w:t>
      </w:r>
    </w:p>
    <w:p w14:paraId="54DF526A" w14:textId="3BABD170" w:rsidR="00DF5EDB" w:rsidRPr="00734942" w:rsidRDefault="00DF5EDB" w:rsidP="00DF5EDB">
      <w:r w:rsidRPr="00734942">
        <w:t xml:space="preserve">In </w:t>
      </w:r>
      <w:r w:rsidR="00AF5A7B" w:rsidRPr="00734942">
        <w:t>the new model</w:t>
      </w:r>
      <w:r w:rsidRPr="00734942">
        <w:t>, inflammatory bowel disease</w:t>
      </w:r>
      <w:r w:rsidR="00AF5A7B" w:rsidRPr="00734942">
        <w:t>, psoriasis,</w:t>
      </w:r>
      <w:r w:rsidRPr="00734942">
        <w:t xml:space="preserve"> and neuropathy or ataxia were not included following the same </w:t>
      </w:r>
      <w:r w:rsidR="009F416F" w:rsidRPr="00734942">
        <w:t xml:space="preserve">model selection </w:t>
      </w:r>
      <w:r w:rsidRPr="00734942">
        <w:t xml:space="preserve">criteria as for the original model. The new model performed </w:t>
      </w:r>
      <w:r w:rsidR="00F90AB5" w:rsidRPr="00734942">
        <w:t>similar to the original model</w:t>
      </w:r>
      <w:r w:rsidR="004B38D6" w:rsidRPr="00734942">
        <w:t xml:space="preserve"> (R2: 0.246 Brier score: 0.</w:t>
      </w:r>
      <w:r w:rsidR="00264266" w:rsidRPr="00734942">
        <w:t>222</w:t>
      </w:r>
      <w:r w:rsidR="004B38D6" w:rsidRPr="00734942">
        <w:t>, C statistic:0.</w:t>
      </w:r>
      <w:r w:rsidR="00264266" w:rsidRPr="00734942">
        <w:t>763</w:t>
      </w:r>
      <w:r w:rsidR="004B38D6" w:rsidRPr="00734942">
        <w:t xml:space="preserve">, calibration intercept: </w:t>
      </w:r>
      <w:r w:rsidR="00264266" w:rsidRPr="00734942">
        <w:t>-</w:t>
      </w:r>
      <w:r w:rsidR="005F18A0" w:rsidRPr="00734942">
        <w:t>0.162</w:t>
      </w:r>
      <w:r w:rsidR="004B38D6" w:rsidRPr="00734942">
        <w:t>, calibration slope</w:t>
      </w:r>
      <w:r w:rsidR="005F18A0" w:rsidRPr="00734942">
        <w:t>: 0.814</w:t>
      </w:r>
      <w:r w:rsidR="004B38D6" w:rsidRPr="00734942">
        <w:t xml:space="preserve">). </w:t>
      </w:r>
    </w:p>
    <w:p w14:paraId="166996AF" w14:textId="77777777" w:rsidR="00DF5EDB" w:rsidRPr="00734942" w:rsidRDefault="00DF5EDB" w:rsidP="004B2ACE">
      <w:pPr>
        <w:pStyle w:val="Heading4"/>
      </w:pPr>
      <w:r w:rsidRPr="00734942">
        <w:t>Men</w:t>
      </w:r>
    </w:p>
    <w:p w14:paraId="6BC679CF" w14:textId="7A93A82B" w:rsidR="00DF5EDB" w:rsidRPr="00734942" w:rsidRDefault="00DF5EDB" w:rsidP="00DF5EDB">
      <w:r w:rsidRPr="00734942">
        <w:t xml:space="preserve">The results were similar for men. With the same model selection procedure, epilepsy </w:t>
      </w:r>
      <w:r w:rsidR="0070322E" w:rsidRPr="00734942">
        <w:t xml:space="preserve">was </w:t>
      </w:r>
      <w:r w:rsidRPr="00734942">
        <w:t>not included in the</w:t>
      </w:r>
      <w:r w:rsidR="0070322E" w:rsidRPr="00734942">
        <w:t xml:space="preserve"> new</w:t>
      </w:r>
      <w:r w:rsidRPr="00734942">
        <w:t xml:space="preserve"> model</w:t>
      </w:r>
      <w:r w:rsidR="0070322E" w:rsidRPr="00734942">
        <w:t>, whereas abnormal liver function was included which was not included in the original model</w:t>
      </w:r>
      <w:r w:rsidRPr="00734942">
        <w:t xml:space="preserve">. </w:t>
      </w:r>
      <w:r w:rsidR="00CE2A4C" w:rsidRPr="00734942">
        <w:t>However, model performance was similar to the original model (R2: 0.</w:t>
      </w:r>
      <w:r w:rsidR="00C47DA0" w:rsidRPr="00734942">
        <w:t>282,</w:t>
      </w:r>
      <w:r w:rsidR="00CE2A4C" w:rsidRPr="00734942">
        <w:t xml:space="preserve"> Brier score: 0.</w:t>
      </w:r>
      <w:r w:rsidR="00C47DA0" w:rsidRPr="00734942">
        <w:t>124</w:t>
      </w:r>
      <w:r w:rsidR="00CE2A4C" w:rsidRPr="00734942">
        <w:t>, C statistic:0.</w:t>
      </w:r>
      <w:r w:rsidR="00C47DA0" w:rsidRPr="00734942">
        <w:t>797</w:t>
      </w:r>
      <w:r w:rsidR="00CE2A4C" w:rsidRPr="00734942">
        <w:t>, calibration intercept: -0.</w:t>
      </w:r>
      <w:r w:rsidR="00C47DA0" w:rsidRPr="00734942">
        <w:t>543</w:t>
      </w:r>
      <w:r w:rsidR="00CE2A4C" w:rsidRPr="00734942">
        <w:t>, calibration slope: 0.</w:t>
      </w:r>
      <w:r w:rsidR="00C47DA0" w:rsidRPr="00734942">
        <w:t>829</w:t>
      </w:r>
      <w:r w:rsidR="00CE2A4C" w:rsidRPr="00734942">
        <w:t>).</w:t>
      </w:r>
    </w:p>
    <w:p w14:paraId="189BE232" w14:textId="04F73919" w:rsidR="000614BD" w:rsidRPr="00734942" w:rsidRDefault="000614BD" w:rsidP="004B2ACE">
      <w:pPr>
        <w:pStyle w:val="Heading3"/>
      </w:pPr>
      <w:bookmarkStart w:id="146" w:name="_Toc99539853"/>
      <w:r w:rsidRPr="00734942">
        <w:t>Sensitivity analysis including ethnicity and deprivation as predictions</w:t>
      </w:r>
      <w:bookmarkEnd w:id="146"/>
    </w:p>
    <w:p w14:paraId="54AD54D2" w14:textId="32FC44B6" w:rsidR="000614BD" w:rsidRPr="00734942" w:rsidRDefault="00A429C7" w:rsidP="00DF5EDB">
      <w:r w:rsidRPr="00734942">
        <w:t xml:space="preserve">Information on </w:t>
      </w:r>
      <w:r w:rsidR="00132610" w:rsidRPr="00734942">
        <w:t>ethnicity and IMD2015 was only available for a third of the CPRD Gold cohort.</w:t>
      </w:r>
      <w:r w:rsidR="00585A1A" w:rsidRPr="00734942">
        <w:t xml:space="preserve"> </w:t>
      </w:r>
      <w:r w:rsidR="009B3A50" w:rsidRPr="00734942">
        <w:t xml:space="preserve">The linked dataset for children consisted of </w:t>
      </w:r>
      <w:r w:rsidR="00CD34DB" w:rsidRPr="00734942">
        <w:t>4,254 controls and 1,303 CD patients</w:t>
      </w:r>
      <w:r w:rsidR="009A10B2" w:rsidRPr="00734942">
        <w:t xml:space="preserve">, for women of </w:t>
      </w:r>
      <w:r w:rsidR="001E7664" w:rsidRPr="00734942">
        <w:t>13,093 controls and 4,824 CD patients, and for men 10,618 controls and 2,409 CD patients</w:t>
      </w:r>
      <w:r w:rsidR="009B3A50" w:rsidRPr="00734942">
        <w:t>.</w:t>
      </w:r>
      <w:r w:rsidR="00CD34DB" w:rsidRPr="00734942">
        <w:t xml:space="preserve"> </w:t>
      </w:r>
      <w:r w:rsidR="00A50102" w:rsidRPr="00734942">
        <w:t xml:space="preserve">CD prevalence was </w:t>
      </w:r>
      <w:r w:rsidR="00BB6300" w:rsidRPr="00734942">
        <w:t xml:space="preserve">higher in the linked datasets at </w:t>
      </w:r>
      <w:r w:rsidR="00B33E26" w:rsidRPr="00734942">
        <w:t>23.4%</w:t>
      </w:r>
      <w:r w:rsidR="009A4AF3" w:rsidRPr="00734942">
        <w:t>, 26.9%, and 18.5%</w:t>
      </w:r>
      <w:r w:rsidR="00B33E26" w:rsidRPr="00734942">
        <w:t xml:space="preserve"> </w:t>
      </w:r>
      <w:r w:rsidR="00E5718A" w:rsidRPr="00734942">
        <w:t>for children</w:t>
      </w:r>
      <w:r w:rsidR="009A4AF3" w:rsidRPr="00734942">
        <w:t xml:space="preserve">, women, and men, respectively, </w:t>
      </w:r>
      <w:r w:rsidR="00CD34DB" w:rsidRPr="00734942">
        <w:t xml:space="preserve">compared to </w:t>
      </w:r>
      <w:r w:rsidR="009B3A50" w:rsidRPr="00734942">
        <w:t>20%</w:t>
      </w:r>
      <w:r w:rsidR="009A4AF3" w:rsidRPr="00734942">
        <w:t>, 24.5%,</w:t>
      </w:r>
      <w:r w:rsidR="00BB6300" w:rsidRPr="00734942">
        <w:t xml:space="preserve"> </w:t>
      </w:r>
      <w:r w:rsidR="009A10B2" w:rsidRPr="00734942">
        <w:t xml:space="preserve">and </w:t>
      </w:r>
      <w:r w:rsidR="00BB6300" w:rsidRPr="00734942">
        <w:t>14.6%</w:t>
      </w:r>
      <w:r w:rsidR="009A4AF3" w:rsidRPr="00734942">
        <w:t xml:space="preserve"> </w:t>
      </w:r>
      <w:r w:rsidR="009B3A50" w:rsidRPr="00734942">
        <w:t>in the original dataset</w:t>
      </w:r>
      <w:r w:rsidR="009A10B2" w:rsidRPr="00734942">
        <w:t>s</w:t>
      </w:r>
      <w:r w:rsidR="0008124A" w:rsidRPr="00734942">
        <w:t xml:space="preserve">. </w:t>
      </w:r>
      <w:r w:rsidR="006722E9" w:rsidRPr="00734942">
        <w:t>Although ethnicity and</w:t>
      </w:r>
      <w:r w:rsidR="00B108C7" w:rsidRPr="00734942">
        <w:t xml:space="preserve"> IMD2015 quintiles were significantly associated with CD</w:t>
      </w:r>
      <w:r w:rsidR="00903CAC" w:rsidRPr="00734942">
        <w:t xml:space="preserve"> in all three samples</w:t>
      </w:r>
      <w:r w:rsidR="00B108C7" w:rsidRPr="00734942">
        <w:t>,</w:t>
      </w:r>
      <w:r w:rsidR="00293AEC" w:rsidRPr="00734942">
        <w:t xml:space="preserve"> the updated model did not perform substantially better</w:t>
      </w:r>
      <w:r w:rsidR="00A63671" w:rsidRPr="00734942">
        <w:t xml:space="preserve"> </w:t>
      </w:r>
      <w:r w:rsidR="00CE2F54" w:rsidRPr="00734942">
        <w:t>(</w:t>
      </w:r>
      <w:r w:rsidR="00FE4E9E">
        <w:t xml:space="preserve">Appendix 14 </w:t>
      </w:r>
      <w:r w:rsidR="00CE2F54" w:rsidRPr="00734942">
        <w:fldChar w:fldCharType="begin"/>
      </w:r>
      <w:r w:rsidR="00CE2F54" w:rsidRPr="00734942">
        <w:instrText xml:space="preserve"> REF _Ref85790594 \h </w:instrText>
      </w:r>
      <w:r w:rsidR="00CE2F54" w:rsidRPr="00734942">
        <w:fldChar w:fldCharType="separate"/>
      </w:r>
      <w:r w:rsidR="008B5583" w:rsidRPr="00734942">
        <w:t xml:space="preserve">Table </w:t>
      </w:r>
      <w:r w:rsidR="008B5583">
        <w:rPr>
          <w:noProof/>
        </w:rPr>
        <w:t>56</w:t>
      </w:r>
      <w:r w:rsidR="00CE2F54" w:rsidRPr="00734942">
        <w:fldChar w:fldCharType="end"/>
      </w:r>
      <w:r w:rsidR="00CE2F54" w:rsidRPr="00734942">
        <w:t>)</w:t>
      </w:r>
      <w:r w:rsidR="00E418EE" w:rsidRPr="00734942">
        <w:t>.</w:t>
      </w:r>
    </w:p>
    <w:p w14:paraId="1E238A95" w14:textId="226A4181" w:rsidR="000B27A4" w:rsidRPr="00734942" w:rsidRDefault="000B27A4" w:rsidP="000B27A4">
      <w:pPr>
        <w:pStyle w:val="Heading3"/>
      </w:pPr>
      <w:bookmarkStart w:id="147" w:name="_Toc99539854"/>
      <w:r w:rsidRPr="00734942">
        <w:t>ALSPAC</w:t>
      </w:r>
      <w:r w:rsidR="00773647" w:rsidRPr="00734942">
        <w:t xml:space="preserve"> </w:t>
      </w:r>
      <w:r w:rsidR="00872D35">
        <w:t>analysis</w:t>
      </w:r>
      <w:bookmarkEnd w:id="147"/>
    </w:p>
    <w:p w14:paraId="363C5941" w14:textId="6C00D993" w:rsidR="00377728" w:rsidRPr="00D10AC5" w:rsidRDefault="00823614" w:rsidP="00377728">
      <w:pPr>
        <w:rPr>
          <w:i/>
          <w:iCs/>
          <w:color w:val="44546A" w:themeColor="text2"/>
        </w:rPr>
      </w:pPr>
      <w:r>
        <w:fldChar w:fldCharType="begin"/>
      </w:r>
      <w:r>
        <w:instrText xml:space="preserve"> REF _Ref95137182 \h </w:instrText>
      </w:r>
      <w:r>
        <w:fldChar w:fldCharType="separate"/>
      </w:r>
      <w:r w:rsidR="008B5583" w:rsidRPr="00734942">
        <w:t xml:space="preserve">Table </w:t>
      </w:r>
      <w:r w:rsidR="008B5583">
        <w:rPr>
          <w:noProof/>
        </w:rPr>
        <w:t>7</w:t>
      </w:r>
      <w:r>
        <w:fldChar w:fldCharType="end"/>
      </w:r>
      <w:r>
        <w:t xml:space="preserve"> </w:t>
      </w:r>
      <w:r w:rsidR="00377728" w:rsidRPr="00734942">
        <w:t xml:space="preserve">describes the prevalence of candidate predictors in children with </w:t>
      </w:r>
      <w:r w:rsidR="00EF5ACD">
        <w:t>(n=46)</w:t>
      </w:r>
      <w:r w:rsidR="00377728" w:rsidRPr="00734942">
        <w:t xml:space="preserve"> and without CD</w:t>
      </w:r>
      <w:r w:rsidR="00EF5ACD">
        <w:t xml:space="preserve"> (n=5,071)</w:t>
      </w:r>
      <w:r w:rsidR="00377728" w:rsidRPr="00734942">
        <w:t>. A significantly higher proportion of children with CD were female (67% vs 33%) and mean age was similar between children with and without CD (7.5 years). There were no significant differences in the prevalence of any of the other candidate predictors between children with and without CD. The most prevalent predictors were male sex (52%), fatigue (23%), mood disorder (12%) and mouth ulcers (10%). With the exception of age, candidate predictors were missing for between 0.2% and 60% of children.</w:t>
      </w:r>
    </w:p>
    <w:p w14:paraId="1F6803BC" w14:textId="77777777" w:rsidR="008869D7" w:rsidRDefault="008869D7">
      <w:bookmarkStart w:id="148" w:name="_Ref85795323"/>
      <w:r>
        <w:br w:type="page"/>
      </w:r>
    </w:p>
    <w:p w14:paraId="4438E2C9" w14:textId="00F363A4" w:rsidR="00377728" w:rsidRPr="00734942" w:rsidRDefault="00377728" w:rsidP="005672CA">
      <w:pPr>
        <w:pStyle w:val="Caption"/>
      </w:pPr>
      <w:bookmarkStart w:id="149" w:name="_Ref95137182"/>
      <w:bookmarkStart w:id="150" w:name="_Ref95137178"/>
      <w:bookmarkStart w:id="151" w:name="_Toc99720718"/>
      <w:r w:rsidRPr="00734942">
        <w:lastRenderedPageBreak/>
        <w:t xml:space="preserve">Table </w:t>
      </w:r>
      <w:r>
        <w:fldChar w:fldCharType="begin"/>
      </w:r>
      <w:r>
        <w:instrText>SEQ Table \* ARABIC</w:instrText>
      </w:r>
      <w:r>
        <w:fldChar w:fldCharType="separate"/>
      </w:r>
      <w:r w:rsidR="008B5583">
        <w:rPr>
          <w:noProof/>
        </w:rPr>
        <w:t>7</w:t>
      </w:r>
      <w:r>
        <w:fldChar w:fldCharType="end"/>
      </w:r>
      <w:bookmarkEnd w:id="148"/>
      <w:bookmarkEnd w:id="149"/>
      <w:r w:rsidRPr="00734942">
        <w:t xml:space="preserve"> Cohort of children – prevalence of predictors</w:t>
      </w:r>
      <w:bookmarkEnd w:id="150"/>
      <w:bookmarkEnd w:id="151"/>
    </w:p>
    <w:p w14:paraId="5561207F" w14:textId="1F7F3537" w:rsidR="00377728" w:rsidRPr="00E51DBE" w:rsidRDefault="00785031" w:rsidP="00E51DBE">
      <w:pPr>
        <w:pStyle w:val="NoSpacing"/>
        <w:rPr>
          <w:sz w:val="20"/>
          <w:szCs w:val="20"/>
        </w:rPr>
      </w:pPr>
      <w:r w:rsidRPr="002A3EB2">
        <w:rPr>
          <w:sz w:val="20"/>
          <w:szCs w:val="20"/>
          <w:vertAlign w:val="superscript"/>
        </w:rPr>
        <w:t>a</w:t>
      </w:r>
      <w:r w:rsidR="002A3EB2">
        <w:rPr>
          <w:sz w:val="20"/>
          <w:szCs w:val="20"/>
        </w:rPr>
        <w:t xml:space="preserve">This may include zero. </w:t>
      </w:r>
      <w:r w:rsidR="002A3EB2">
        <w:rPr>
          <w:sz w:val="20"/>
          <w:szCs w:val="20"/>
          <w:vertAlign w:val="superscript"/>
        </w:rPr>
        <w:t>b</w:t>
      </w:r>
      <w:r w:rsidR="00377728" w:rsidRPr="002A3EB2">
        <w:rPr>
          <w:sz w:val="20"/>
          <w:szCs w:val="20"/>
        </w:rPr>
        <w:t>P</w:t>
      </w:r>
      <w:r w:rsidR="00377728" w:rsidRPr="00E51DBE">
        <w:rPr>
          <w:sz w:val="20"/>
          <w:szCs w:val="20"/>
        </w:rPr>
        <w:t xml:space="preserve"> values show the result of a Welch Two Sample t-test for continuous and Fisher’s exact test for categorical variables.</w:t>
      </w:r>
    </w:p>
    <w:tbl>
      <w:tblPr>
        <w:tblW w:w="8420" w:type="dxa"/>
        <w:tblLook w:val="04A0" w:firstRow="1" w:lastRow="0" w:firstColumn="1" w:lastColumn="0" w:noHBand="0" w:noVBand="1"/>
      </w:tblPr>
      <w:tblGrid>
        <w:gridCol w:w="2960"/>
        <w:gridCol w:w="2420"/>
        <w:gridCol w:w="1991"/>
        <w:gridCol w:w="1049"/>
      </w:tblGrid>
      <w:tr w:rsidR="00377728" w:rsidRPr="00166EFA" w14:paraId="584F8BA6" w14:textId="77777777" w:rsidTr="000526F1">
        <w:trPr>
          <w:trHeight w:val="615"/>
        </w:trPr>
        <w:tc>
          <w:tcPr>
            <w:tcW w:w="2960" w:type="dxa"/>
            <w:tcBorders>
              <w:top w:val="single" w:sz="12" w:space="0" w:color="auto"/>
              <w:left w:val="nil"/>
              <w:bottom w:val="single" w:sz="4" w:space="0" w:color="auto"/>
              <w:right w:val="nil"/>
            </w:tcBorders>
            <w:shd w:val="clear" w:color="auto" w:fill="auto"/>
            <w:noWrap/>
            <w:vAlign w:val="bottom"/>
            <w:hideMark/>
          </w:tcPr>
          <w:p w14:paraId="0A287C0F"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c>
          <w:tcPr>
            <w:tcW w:w="2420" w:type="dxa"/>
            <w:tcBorders>
              <w:top w:val="single" w:sz="12" w:space="0" w:color="auto"/>
              <w:left w:val="nil"/>
              <w:bottom w:val="single" w:sz="4" w:space="0" w:color="auto"/>
              <w:right w:val="nil"/>
            </w:tcBorders>
            <w:shd w:val="clear" w:color="auto" w:fill="auto"/>
            <w:vAlign w:val="bottom"/>
            <w:hideMark/>
          </w:tcPr>
          <w:p w14:paraId="4E2C0FB5" w14:textId="77777777" w:rsidR="00377728" w:rsidRPr="00166EFA" w:rsidRDefault="00377728" w:rsidP="006658D1">
            <w:pPr>
              <w:spacing w:after="0" w:line="240" w:lineRule="auto"/>
              <w:jc w:val="center"/>
              <w:rPr>
                <w:rFonts w:eastAsia="Times New Roman" w:cstheme="minorHAnsi"/>
                <w:b/>
                <w:bCs/>
                <w:color w:val="000000"/>
                <w:sz w:val="20"/>
                <w:szCs w:val="20"/>
              </w:rPr>
            </w:pPr>
            <w:r w:rsidRPr="00166EFA">
              <w:rPr>
                <w:rFonts w:eastAsia="Times New Roman" w:cstheme="minorHAnsi"/>
                <w:b/>
                <w:bCs/>
                <w:color w:val="000000"/>
                <w:sz w:val="20"/>
                <w:szCs w:val="20"/>
              </w:rPr>
              <w:t>No Coeliac Disease (n=5,071)</w:t>
            </w:r>
          </w:p>
        </w:tc>
        <w:tc>
          <w:tcPr>
            <w:tcW w:w="1991" w:type="dxa"/>
            <w:tcBorders>
              <w:top w:val="single" w:sz="12" w:space="0" w:color="auto"/>
              <w:left w:val="nil"/>
              <w:bottom w:val="single" w:sz="4" w:space="0" w:color="auto"/>
              <w:right w:val="nil"/>
            </w:tcBorders>
            <w:shd w:val="clear" w:color="auto" w:fill="auto"/>
            <w:vAlign w:val="bottom"/>
            <w:hideMark/>
          </w:tcPr>
          <w:p w14:paraId="0B637ECE" w14:textId="77777777" w:rsidR="00377728" w:rsidRPr="00166EFA" w:rsidRDefault="00377728" w:rsidP="006658D1">
            <w:pPr>
              <w:spacing w:after="0" w:line="240" w:lineRule="auto"/>
              <w:jc w:val="center"/>
              <w:rPr>
                <w:rFonts w:eastAsia="Times New Roman" w:cstheme="minorHAnsi"/>
                <w:b/>
                <w:bCs/>
                <w:color w:val="000000"/>
                <w:sz w:val="20"/>
                <w:szCs w:val="20"/>
              </w:rPr>
            </w:pPr>
            <w:r w:rsidRPr="00166EFA">
              <w:rPr>
                <w:rFonts w:eastAsia="Times New Roman" w:cstheme="minorHAnsi"/>
                <w:b/>
                <w:bCs/>
                <w:color w:val="000000"/>
                <w:sz w:val="20"/>
                <w:szCs w:val="20"/>
              </w:rPr>
              <w:t>Coeliac Disease (n=46)</w:t>
            </w:r>
          </w:p>
        </w:tc>
        <w:tc>
          <w:tcPr>
            <w:tcW w:w="1049" w:type="dxa"/>
            <w:tcBorders>
              <w:top w:val="single" w:sz="12" w:space="0" w:color="auto"/>
              <w:left w:val="nil"/>
              <w:bottom w:val="single" w:sz="4" w:space="0" w:color="auto"/>
              <w:right w:val="nil"/>
            </w:tcBorders>
            <w:shd w:val="clear" w:color="auto" w:fill="auto"/>
            <w:noWrap/>
            <w:vAlign w:val="bottom"/>
            <w:hideMark/>
          </w:tcPr>
          <w:p w14:paraId="03045578" w14:textId="730D773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p-value</w:t>
            </w:r>
            <w:r w:rsidR="00442B28">
              <w:rPr>
                <w:rFonts w:eastAsia="Times New Roman" w:cstheme="minorHAnsi"/>
                <w:b/>
                <w:bCs/>
                <w:color w:val="000000"/>
                <w:sz w:val="20"/>
                <w:szCs w:val="20"/>
                <w:vertAlign w:val="superscript"/>
              </w:rPr>
              <w:t>b</w:t>
            </w:r>
          </w:p>
        </w:tc>
      </w:tr>
      <w:tr w:rsidR="00377728" w:rsidRPr="00166EFA" w14:paraId="3E46BA54" w14:textId="77777777" w:rsidTr="000526F1">
        <w:trPr>
          <w:trHeight w:val="300"/>
        </w:trPr>
        <w:tc>
          <w:tcPr>
            <w:tcW w:w="2960" w:type="dxa"/>
            <w:tcBorders>
              <w:top w:val="nil"/>
              <w:left w:val="nil"/>
              <w:bottom w:val="nil"/>
              <w:right w:val="nil"/>
            </w:tcBorders>
            <w:shd w:val="clear" w:color="auto" w:fill="auto"/>
            <w:noWrap/>
            <w:vAlign w:val="bottom"/>
            <w:hideMark/>
          </w:tcPr>
          <w:p w14:paraId="7EAD3BD7"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Type 1 Diabetes, n(%)</w:t>
            </w:r>
          </w:p>
        </w:tc>
        <w:tc>
          <w:tcPr>
            <w:tcW w:w="2420" w:type="dxa"/>
            <w:tcBorders>
              <w:top w:val="nil"/>
              <w:left w:val="nil"/>
              <w:bottom w:val="nil"/>
              <w:right w:val="nil"/>
            </w:tcBorders>
            <w:shd w:val="clear" w:color="auto" w:fill="auto"/>
            <w:noWrap/>
            <w:vAlign w:val="bottom"/>
            <w:hideMark/>
          </w:tcPr>
          <w:p w14:paraId="56DDA476"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0FFB185D"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2EE264EE"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7D5835B6" w14:textId="77777777" w:rsidTr="000526F1">
        <w:trPr>
          <w:trHeight w:val="300"/>
        </w:trPr>
        <w:tc>
          <w:tcPr>
            <w:tcW w:w="2960" w:type="dxa"/>
            <w:tcBorders>
              <w:top w:val="nil"/>
              <w:left w:val="nil"/>
              <w:bottom w:val="nil"/>
              <w:right w:val="nil"/>
            </w:tcBorders>
            <w:shd w:val="clear" w:color="auto" w:fill="auto"/>
            <w:noWrap/>
            <w:vAlign w:val="bottom"/>
            <w:hideMark/>
          </w:tcPr>
          <w:p w14:paraId="3A670760"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1D92C61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2,665 (52.6%)</w:t>
            </w:r>
          </w:p>
        </w:tc>
        <w:tc>
          <w:tcPr>
            <w:tcW w:w="1991" w:type="dxa"/>
            <w:tcBorders>
              <w:top w:val="nil"/>
              <w:left w:val="nil"/>
              <w:bottom w:val="nil"/>
              <w:right w:val="nil"/>
            </w:tcBorders>
            <w:shd w:val="clear" w:color="auto" w:fill="auto"/>
            <w:noWrap/>
            <w:vAlign w:val="bottom"/>
            <w:hideMark/>
          </w:tcPr>
          <w:p w14:paraId="22C54C00"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30 (65.2%)</w:t>
            </w:r>
          </w:p>
        </w:tc>
        <w:tc>
          <w:tcPr>
            <w:tcW w:w="1049" w:type="dxa"/>
            <w:tcBorders>
              <w:top w:val="nil"/>
              <w:left w:val="nil"/>
              <w:bottom w:val="nil"/>
              <w:right w:val="nil"/>
            </w:tcBorders>
            <w:shd w:val="clear" w:color="auto" w:fill="auto"/>
            <w:noWrap/>
            <w:vAlign w:val="bottom"/>
            <w:hideMark/>
          </w:tcPr>
          <w:p w14:paraId="06015CF7"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0.119</w:t>
            </w:r>
          </w:p>
        </w:tc>
      </w:tr>
      <w:tr w:rsidR="00377728" w:rsidRPr="00166EFA" w14:paraId="62CC572A" w14:textId="77777777" w:rsidTr="000526F1">
        <w:trPr>
          <w:trHeight w:val="300"/>
        </w:trPr>
        <w:tc>
          <w:tcPr>
            <w:tcW w:w="2960" w:type="dxa"/>
            <w:tcBorders>
              <w:top w:val="nil"/>
              <w:left w:val="nil"/>
              <w:bottom w:val="nil"/>
              <w:right w:val="nil"/>
            </w:tcBorders>
            <w:shd w:val="clear" w:color="auto" w:fill="auto"/>
            <w:noWrap/>
            <w:vAlign w:val="bottom"/>
            <w:hideMark/>
          </w:tcPr>
          <w:p w14:paraId="3C1179FC"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05817D8F" w14:textId="66A37908" w:rsidR="00377728" w:rsidRPr="00166EFA" w:rsidRDefault="004C1077"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w:t>
            </w:r>
            <w:r w:rsidR="00A44705">
              <w:rPr>
                <w:rFonts w:eastAsia="Times New Roman" w:cstheme="minorHAnsi"/>
                <w:color w:val="000000"/>
                <w:sz w:val="20"/>
                <w:szCs w:val="20"/>
              </w:rPr>
              <w:t>5</w:t>
            </w:r>
            <w:r w:rsidR="00A44705" w:rsidRPr="00166EFA">
              <w:rPr>
                <w:rFonts w:eastAsia="Times New Roman" w:cstheme="minorHAnsi"/>
                <w:color w:val="000000"/>
                <w:sz w:val="20"/>
                <w:szCs w:val="20"/>
              </w:rPr>
              <w:t xml:space="preserve"> </w:t>
            </w:r>
            <w:r w:rsidR="00377728" w:rsidRPr="00166EFA">
              <w:rPr>
                <w:rFonts w:eastAsia="Times New Roman" w:cstheme="minorHAnsi"/>
                <w:color w:val="000000"/>
                <w:sz w:val="20"/>
                <w:szCs w:val="20"/>
              </w:rPr>
              <w:t>(</w:t>
            </w:r>
            <w:r>
              <w:rPr>
                <w:rFonts w:eastAsia="Times New Roman" w:cstheme="minorHAnsi"/>
                <w:color w:val="000000"/>
                <w:sz w:val="20"/>
                <w:szCs w:val="20"/>
              </w:rPr>
              <w:t>&lt;</w:t>
            </w:r>
            <w:r w:rsidR="00377728" w:rsidRPr="00166EFA">
              <w:rPr>
                <w:rFonts w:eastAsia="Times New Roman" w:cstheme="minorHAnsi"/>
                <w:color w:val="000000"/>
                <w:sz w:val="20"/>
                <w:szCs w:val="20"/>
              </w:rPr>
              <w:t>0.0</w:t>
            </w:r>
            <w:r>
              <w:rPr>
                <w:rFonts w:eastAsia="Times New Roman" w:cstheme="minorHAnsi"/>
                <w:color w:val="000000"/>
                <w:sz w:val="20"/>
                <w:szCs w:val="20"/>
              </w:rPr>
              <w:t>1</w:t>
            </w:r>
            <w:r w:rsidR="00377728" w:rsidRPr="00166EFA">
              <w:rPr>
                <w:rFonts w:eastAsia="Times New Roman" w:cstheme="minorHAnsi"/>
                <w:color w:val="000000"/>
                <w:sz w:val="20"/>
                <w:szCs w:val="20"/>
              </w:rPr>
              <w:t>%)</w:t>
            </w:r>
          </w:p>
        </w:tc>
        <w:tc>
          <w:tcPr>
            <w:tcW w:w="1991" w:type="dxa"/>
            <w:tcBorders>
              <w:top w:val="nil"/>
              <w:left w:val="nil"/>
              <w:bottom w:val="nil"/>
              <w:right w:val="nil"/>
            </w:tcBorders>
            <w:shd w:val="clear" w:color="auto" w:fill="auto"/>
            <w:noWrap/>
            <w:vAlign w:val="bottom"/>
            <w:hideMark/>
          </w:tcPr>
          <w:p w14:paraId="53BA9597" w14:textId="28671215" w:rsidR="00377728" w:rsidRPr="00166EFA" w:rsidRDefault="00827633"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p>
        </w:tc>
        <w:tc>
          <w:tcPr>
            <w:tcW w:w="1049" w:type="dxa"/>
            <w:tcBorders>
              <w:top w:val="nil"/>
              <w:left w:val="nil"/>
              <w:bottom w:val="nil"/>
              <w:right w:val="nil"/>
            </w:tcBorders>
            <w:shd w:val="clear" w:color="auto" w:fill="auto"/>
            <w:noWrap/>
            <w:vAlign w:val="bottom"/>
            <w:hideMark/>
          </w:tcPr>
          <w:p w14:paraId="38099600"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2494D0E4" w14:textId="77777777" w:rsidTr="000526F1">
        <w:trPr>
          <w:trHeight w:val="300"/>
        </w:trPr>
        <w:tc>
          <w:tcPr>
            <w:tcW w:w="2960" w:type="dxa"/>
            <w:tcBorders>
              <w:top w:val="nil"/>
              <w:left w:val="nil"/>
              <w:bottom w:val="nil"/>
              <w:right w:val="nil"/>
            </w:tcBorders>
            <w:shd w:val="clear" w:color="auto" w:fill="auto"/>
            <w:noWrap/>
            <w:vAlign w:val="bottom"/>
            <w:hideMark/>
          </w:tcPr>
          <w:p w14:paraId="5438C5F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210E86AB"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2,404 (47.4%)</w:t>
            </w:r>
          </w:p>
        </w:tc>
        <w:tc>
          <w:tcPr>
            <w:tcW w:w="1991" w:type="dxa"/>
            <w:tcBorders>
              <w:top w:val="nil"/>
              <w:left w:val="nil"/>
              <w:bottom w:val="nil"/>
              <w:right w:val="nil"/>
            </w:tcBorders>
            <w:shd w:val="clear" w:color="auto" w:fill="auto"/>
            <w:noWrap/>
            <w:vAlign w:val="bottom"/>
            <w:hideMark/>
          </w:tcPr>
          <w:p w14:paraId="455118F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16 (34.8%)</w:t>
            </w:r>
          </w:p>
        </w:tc>
        <w:tc>
          <w:tcPr>
            <w:tcW w:w="1049" w:type="dxa"/>
            <w:tcBorders>
              <w:top w:val="nil"/>
              <w:left w:val="nil"/>
              <w:bottom w:val="nil"/>
              <w:right w:val="nil"/>
            </w:tcBorders>
            <w:shd w:val="clear" w:color="auto" w:fill="auto"/>
            <w:noWrap/>
            <w:vAlign w:val="bottom"/>
            <w:hideMark/>
          </w:tcPr>
          <w:p w14:paraId="5337F3E7"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3FF4AFDB" w14:textId="77777777" w:rsidTr="000526F1">
        <w:trPr>
          <w:trHeight w:val="300"/>
        </w:trPr>
        <w:tc>
          <w:tcPr>
            <w:tcW w:w="2960" w:type="dxa"/>
            <w:tcBorders>
              <w:top w:val="nil"/>
              <w:left w:val="nil"/>
              <w:bottom w:val="nil"/>
              <w:right w:val="nil"/>
            </w:tcBorders>
            <w:shd w:val="clear" w:color="auto" w:fill="auto"/>
            <w:noWrap/>
            <w:vAlign w:val="bottom"/>
            <w:hideMark/>
          </w:tcPr>
          <w:p w14:paraId="7C1E8AD9"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Anaemia, n(%)</w:t>
            </w:r>
          </w:p>
        </w:tc>
        <w:tc>
          <w:tcPr>
            <w:tcW w:w="2420" w:type="dxa"/>
            <w:tcBorders>
              <w:top w:val="nil"/>
              <w:left w:val="nil"/>
              <w:bottom w:val="nil"/>
              <w:right w:val="nil"/>
            </w:tcBorders>
            <w:shd w:val="clear" w:color="auto" w:fill="auto"/>
            <w:noWrap/>
            <w:vAlign w:val="bottom"/>
            <w:hideMark/>
          </w:tcPr>
          <w:p w14:paraId="3AC1A6BC"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3226568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03D29041"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59817ED1" w14:textId="77777777" w:rsidTr="000526F1">
        <w:trPr>
          <w:trHeight w:val="300"/>
        </w:trPr>
        <w:tc>
          <w:tcPr>
            <w:tcW w:w="2960" w:type="dxa"/>
            <w:tcBorders>
              <w:top w:val="nil"/>
              <w:left w:val="nil"/>
              <w:bottom w:val="nil"/>
              <w:right w:val="nil"/>
            </w:tcBorders>
            <w:shd w:val="clear" w:color="auto" w:fill="auto"/>
            <w:noWrap/>
            <w:vAlign w:val="bottom"/>
            <w:hideMark/>
          </w:tcPr>
          <w:p w14:paraId="290B3EC6"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2F740015"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4,881 (96.3%)</w:t>
            </w:r>
          </w:p>
        </w:tc>
        <w:tc>
          <w:tcPr>
            <w:tcW w:w="1991" w:type="dxa"/>
            <w:tcBorders>
              <w:top w:val="nil"/>
              <w:left w:val="nil"/>
              <w:bottom w:val="nil"/>
              <w:right w:val="nil"/>
            </w:tcBorders>
            <w:shd w:val="clear" w:color="auto" w:fill="auto"/>
            <w:noWrap/>
            <w:vAlign w:val="bottom"/>
            <w:hideMark/>
          </w:tcPr>
          <w:p w14:paraId="1033EA6B"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43 (93.5%)</w:t>
            </w:r>
          </w:p>
        </w:tc>
        <w:tc>
          <w:tcPr>
            <w:tcW w:w="1049" w:type="dxa"/>
            <w:tcBorders>
              <w:top w:val="nil"/>
              <w:left w:val="nil"/>
              <w:bottom w:val="nil"/>
              <w:right w:val="nil"/>
            </w:tcBorders>
            <w:shd w:val="clear" w:color="auto" w:fill="auto"/>
            <w:noWrap/>
            <w:vAlign w:val="bottom"/>
            <w:hideMark/>
          </w:tcPr>
          <w:p w14:paraId="32B4B49B"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0.326</w:t>
            </w:r>
          </w:p>
        </w:tc>
      </w:tr>
      <w:tr w:rsidR="00377728" w:rsidRPr="00166EFA" w14:paraId="49D83ABA" w14:textId="77777777" w:rsidTr="000526F1">
        <w:trPr>
          <w:trHeight w:val="300"/>
        </w:trPr>
        <w:tc>
          <w:tcPr>
            <w:tcW w:w="2960" w:type="dxa"/>
            <w:tcBorders>
              <w:top w:val="nil"/>
              <w:left w:val="nil"/>
              <w:bottom w:val="nil"/>
              <w:right w:val="nil"/>
            </w:tcBorders>
            <w:shd w:val="clear" w:color="auto" w:fill="auto"/>
            <w:noWrap/>
            <w:vAlign w:val="bottom"/>
            <w:hideMark/>
          </w:tcPr>
          <w:p w14:paraId="57EAEFF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6B04C0F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150 (3.0%)</w:t>
            </w:r>
          </w:p>
        </w:tc>
        <w:tc>
          <w:tcPr>
            <w:tcW w:w="1991" w:type="dxa"/>
            <w:tcBorders>
              <w:top w:val="nil"/>
              <w:left w:val="nil"/>
              <w:bottom w:val="nil"/>
              <w:right w:val="nil"/>
            </w:tcBorders>
            <w:shd w:val="clear" w:color="auto" w:fill="auto"/>
            <w:noWrap/>
            <w:vAlign w:val="bottom"/>
            <w:hideMark/>
          </w:tcPr>
          <w:p w14:paraId="306C2664" w14:textId="152D71DE" w:rsidR="00377728" w:rsidRPr="00166EFA" w:rsidRDefault="00827633"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827633">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40098FA3"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14485620" w14:textId="77777777" w:rsidTr="000526F1">
        <w:trPr>
          <w:trHeight w:val="300"/>
        </w:trPr>
        <w:tc>
          <w:tcPr>
            <w:tcW w:w="2960" w:type="dxa"/>
            <w:tcBorders>
              <w:top w:val="nil"/>
              <w:left w:val="nil"/>
              <w:bottom w:val="nil"/>
              <w:right w:val="nil"/>
            </w:tcBorders>
            <w:shd w:val="clear" w:color="auto" w:fill="auto"/>
            <w:noWrap/>
            <w:vAlign w:val="bottom"/>
            <w:hideMark/>
          </w:tcPr>
          <w:p w14:paraId="0751DB9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6A6230E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40 (0.8%)</w:t>
            </w:r>
          </w:p>
        </w:tc>
        <w:tc>
          <w:tcPr>
            <w:tcW w:w="1991" w:type="dxa"/>
            <w:tcBorders>
              <w:top w:val="nil"/>
              <w:left w:val="nil"/>
              <w:bottom w:val="nil"/>
              <w:right w:val="nil"/>
            </w:tcBorders>
            <w:shd w:val="clear" w:color="auto" w:fill="auto"/>
            <w:noWrap/>
            <w:vAlign w:val="bottom"/>
            <w:hideMark/>
          </w:tcPr>
          <w:p w14:paraId="53FA1FB3" w14:textId="0B761B02" w:rsidR="00377728" w:rsidRPr="00166EFA" w:rsidRDefault="00827633"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827633">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3D9EE873"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408C85A2" w14:textId="77777777" w:rsidTr="000526F1">
        <w:trPr>
          <w:trHeight w:val="300"/>
        </w:trPr>
        <w:tc>
          <w:tcPr>
            <w:tcW w:w="2960" w:type="dxa"/>
            <w:tcBorders>
              <w:top w:val="nil"/>
              <w:left w:val="nil"/>
              <w:bottom w:val="nil"/>
              <w:right w:val="nil"/>
            </w:tcBorders>
            <w:shd w:val="clear" w:color="auto" w:fill="auto"/>
            <w:noWrap/>
            <w:vAlign w:val="bottom"/>
            <w:hideMark/>
          </w:tcPr>
          <w:p w14:paraId="361CD501"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Thyroid disorder, n(%)</w:t>
            </w:r>
          </w:p>
        </w:tc>
        <w:tc>
          <w:tcPr>
            <w:tcW w:w="2420" w:type="dxa"/>
            <w:tcBorders>
              <w:top w:val="nil"/>
              <w:left w:val="nil"/>
              <w:bottom w:val="nil"/>
              <w:right w:val="nil"/>
            </w:tcBorders>
            <w:shd w:val="clear" w:color="auto" w:fill="auto"/>
            <w:noWrap/>
            <w:vAlign w:val="bottom"/>
            <w:hideMark/>
          </w:tcPr>
          <w:p w14:paraId="0B2456DE"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0C252B6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08FF2DCB"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16EFE608" w14:textId="77777777" w:rsidTr="000526F1">
        <w:trPr>
          <w:trHeight w:val="300"/>
        </w:trPr>
        <w:tc>
          <w:tcPr>
            <w:tcW w:w="2960" w:type="dxa"/>
            <w:tcBorders>
              <w:top w:val="nil"/>
              <w:left w:val="nil"/>
              <w:bottom w:val="nil"/>
              <w:right w:val="nil"/>
            </w:tcBorders>
            <w:shd w:val="clear" w:color="auto" w:fill="auto"/>
            <w:noWrap/>
            <w:vAlign w:val="bottom"/>
            <w:hideMark/>
          </w:tcPr>
          <w:p w14:paraId="69EF7D3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23A4110F"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3,297 (65.0%)</w:t>
            </w:r>
          </w:p>
        </w:tc>
        <w:tc>
          <w:tcPr>
            <w:tcW w:w="1991" w:type="dxa"/>
            <w:tcBorders>
              <w:top w:val="nil"/>
              <w:left w:val="nil"/>
              <w:bottom w:val="nil"/>
              <w:right w:val="nil"/>
            </w:tcBorders>
            <w:shd w:val="clear" w:color="auto" w:fill="auto"/>
            <w:noWrap/>
            <w:vAlign w:val="bottom"/>
            <w:hideMark/>
          </w:tcPr>
          <w:p w14:paraId="682F3102"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30 (65.2%)</w:t>
            </w:r>
          </w:p>
        </w:tc>
        <w:tc>
          <w:tcPr>
            <w:tcW w:w="1049" w:type="dxa"/>
            <w:tcBorders>
              <w:top w:val="nil"/>
              <w:left w:val="nil"/>
              <w:bottom w:val="nil"/>
              <w:right w:val="nil"/>
            </w:tcBorders>
            <w:shd w:val="clear" w:color="auto" w:fill="auto"/>
            <w:noWrap/>
            <w:vAlign w:val="bottom"/>
            <w:hideMark/>
          </w:tcPr>
          <w:p w14:paraId="7577FB48"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1.000</w:t>
            </w:r>
          </w:p>
        </w:tc>
      </w:tr>
      <w:tr w:rsidR="00377728" w:rsidRPr="00166EFA" w14:paraId="3CBEC8AF" w14:textId="77777777" w:rsidTr="000526F1">
        <w:trPr>
          <w:trHeight w:val="300"/>
        </w:trPr>
        <w:tc>
          <w:tcPr>
            <w:tcW w:w="2960" w:type="dxa"/>
            <w:tcBorders>
              <w:top w:val="nil"/>
              <w:left w:val="nil"/>
              <w:bottom w:val="nil"/>
              <w:right w:val="nil"/>
            </w:tcBorders>
            <w:shd w:val="clear" w:color="auto" w:fill="auto"/>
            <w:noWrap/>
            <w:vAlign w:val="bottom"/>
            <w:hideMark/>
          </w:tcPr>
          <w:p w14:paraId="0C58718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38086A30"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37 (0.7%)</w:t>
            </w:r>
          </w:p>
        </w:tc>
        <w:tc>
          <w:tcPr>
            <w:tcW w:w="1991" w:type="dxa"/>
            <w:tcBorders>
              <w:top w:val="nil"/>
              <w:left w:val="nil"/>
              <w:bottom w:val="nil"/>
              <w:right w:val="nil"/>
            </w:tcBorders>
            <w:shd w:val="clear" w:color="auto" w:fill="auto"/>
            <w:noWrap/>
            <w:vAlign w:val="bottom"/>
            <w:hideMark/>
          </w:tcPr>
          <w:p w14:paraId="35DE8FFA" w14:textId="4CF6C889" w:rsidR="00377728" w:rsidRPr="00166EFA" w:rsidRDefault="00827633"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827633">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364629CF"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71C5685A" w14:textId="77777777" w:rsidTr="000526F1">
        <w:trPr>
          <w:trHeight w:val="300"/>
        </w:trPr>
        <w:tc>
          <w:tcPr>
            <w:tcW w:w="2960" w:type="dxa"/>
            <w:tcBorders>
              <w:top w:val="nil"/>
              <w:left w:val="nil"/>
              <w:bottom w:val="nil"/>
              <w:right w:val="nil"/>
            </w:tcBorders>
            <w:shd w:val="clear" w:color="auto" w:fill="auto"/>
            <w:noWrap/>
            <w:vAlign w:val="bottom"/>
            <w:hideMark/>
          </w:tcPr>
          <w:p w14:paraId="7E25BD4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08DB7FF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1,737 (34.3%)</w:t>
            </w:r>
          </w:p>
        </w:tc>
        <w:tc>
          <w:tcPr>
            <w:tcW w:w="1991" w:type="dxa"/>
            <w:tcBorders>
              <w:top w:val="nil"/>
              <w:left w:val="nil"/>
              <w:bottom w:val="nil"/>
              <w:right w:val="nil"/>
            </w:tcBorders>
            <w:shd w:val="clear" w:color="auto" w:fill="auto"/>
            <w:noWrap/>
            <w:vAlign w:val="bottom"/>
            <w:hideMark/>
          </w:tcPr>
          <w:p w14:paraId="67C84C7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16 (34.8%)</w:t>
            </w:r>
          </w:p>
        </w:tc>
        <w:tc>
          <w:tcPr>
            <w:tcW w:w="1049" w:type="dxa"/>
            <w:tcBorders>
              <w:top w:val="nil"/>
              <w:left w:val="nil"/>
              <w:bottom w:val="nil"/>
              <w:right w:val="nil"/>
            </w:tcBorders>
            <w:shd w:val="clear" w:color="auto" w:fill="auto"/>
            <w:noWrap/>
            <w:vAlign w:val="bottom"/>
            <w:hideMark/>
          </w:tcPr>
          <w:p w14:paraId="0A29699D"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30666C3E" w14:textId="77777777" w:rsidTr="000526F1">
        <w:trPr>
          <w:trHeight w:val="300"/>
        </w:trPr>
        <w:tc>
          <w:tcPr>
            <w:tcW w:w="2960" w:type="dxa"/>
            <w:tcBorders>
              <w:top w:val="nil"/>
              <w:left w:val="nil"/>
              <w:bottom w:val="nil"/>
              <w:right w:val="nil"/>
            </w:tcBorders>
            <w:shd w:val="clear" w:color="auto" w:fill="auto"/>
            <w:noWrap/>
            <w:vAlign w:val="bottom"/>
            <w:hideMark/>
          </w:tcPr>
          <w:p w14:paraId="3D412700"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GI symptom count, n(%)</w:t>
            </w:r>
          </w:p>
        </w:tc>
        <w:tc>
          <w:tcPr>
            <w:tcW w:w="2420" w:type="dxa"/>
            <w:tcBorders>
              <w:top w:val="nil"/>
              <w:left w:val="nil"/>
              <w:bottom w:val="nil"/>
              <w:right w:val="nil"/>
            </w:tcBorders>
            <w:shd w:val="clear" w:color="auto" w:fill="auto"/>
            <w:noWrap/>
            <w:vAlign w:val="bottom"/>
            <w:hideMark/>
          </w:tcPr>
          <w:p w14:paraId="078210D5"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23CC6916"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73E84330"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4CB6B729" w14:textId="77777777" w:rsidTr="000526F1">
        <w:trPr>
          <w:trHeight w:val="300"/>
        </w:trPr>
        <w:tc>
          <w:tcPr>
            <w:tcW w:w="2960" w:type="dxa"/>
            <w:tcBorders>
              <w:top w:val="nil"/>
              <w:left w:val="nil"/>
              <w:bottom w:val="nil"/>
              <w:right w:val="nil"/>
            </w:tcBorders>
            <w:shd w:val="clear" w:color="auto" w:fill="auto"/>
            <w:noWrap/>
            <w:vAlign w:val="bottom"/>
            <w:hideMark/>
          </w:tcPr>
          <w:p w14:paraId="64535E4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0</w:t>
            </w:r>
          </w:p>
        </w:tc>
        <w:tc>
          <w:tcPr>
            <w:tcW w:w="2420" w:type="dxa"/>
            <w:tcBorders>
              <w:top w:val="nil"/>
              <w:left w:val="nil"/>
              <w:bottom w:val="nil"/>
              <w:right w:val="nil"/>
            </w:tcBorders>
            <w:shd w:val="clear" w:color="auto" w:fill="auto"/>
            <w:noWrap/>
            <w:vAlign w:val="bottom"/>
            <w:hideMark/>
          </w:tcPr>
          <w:p w14:paraId="6D54251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3,840 (75.7%)</w:t>
            </w:r>
          </w:p>
        </w:tc>
        <w:tc>
          <w:tcPr>
            <w:tcW w:w="1991" w:type="dxa"/>
            <w:tcBorders>
              <w:top w:val="nil"/>
              <w:left w:val="nil"/>
              <w:bottom w:val="nil"/>
              <w:right w:val="nil"/>
            </w:tcBorders>
            <w:shd w:val="clear" w:color="auto" w:fill="auto"/>
            <w:noWrap/>
            <w:vAlign w:val="bottom"/>
            <w:hideMark/>
          </w:tcPr>
          <w:p w14:paraId="501F49F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40 (87.0%)</w:t>
            </w:r>
          </w:p>
        </w:tc>
        <w:tc>
          <w:tcPr>
            <w:tcW w:w="1049" w:type="dxa"/>
            <w:tcBorders>
              <w:top w:val="nil"/>
              <w:left w:val="nil"/>
              <w:bottom w:val="nil"/>
              <w:right w:val="nil"/>
            </w:tcBorders>
            <w:shd w:val="clear" w:color="auto" w:fill="auto"/>
            <w:noWrap/>
            <w:vAlign w:val="bottom"/>
            <w:hideMark/>
          </w:tcPr>
          <w:p w14:paraId="5B64FFD0"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0.225</w:t>
            </w:r>
          </w:p>
        </w:tc>
      </w:tr>
      <w:tr w:rsidR="00377728" w:rsidRPr="00166EFA" w14:paraId="59D7DCCC" w14:textId="77777777" w:rsidTr="000526F1">
        <w:trPr>
          <w:trHeight w:val="300"/>
        </w:trPr>
        <w:tc>
          <w:tcPr>
            <w:tcW w:w="2960" w:type="dxa"/>
            <w:tcBorders>
              <w:top w:val="nil"/>
              <w:left w:val="nil"/>
              <w:bottom w:val="nil"/>
              <w:right w:val="nil"/>
            </w:tcBorders>
            <w:shd w:val="clear" w:color="auto" w:fill="auto"/>
            <w:noWrap/>
            <w:vAlign w:val="bottom"/>
            <w:hideMark/>
          </w:tcPr>
          <w:p w14:paraId="189D8F9E"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w:t>
            </w:r>
          </w:p>
        </w:tc>
        <w:tc>
          <w:tcPr>
            <w:tcW w:w="2420" w:type="dxa"/>
            <w:tcBorders>
              <w:top w:val="nil"/>
              <w:left w:val="nil"/>
              <w:bottom w:val="nil"/>
              <w:right w:val="nil"/>
            </w:tcBorders>
            <w:shd w:val="clear" w:color="auto" w:fill="auto"/>
            <w:noWrap/>
            <w:vAlign w:val="bottom"/>
            <w:hideMark/>
          </w:tcPr>
          <w:p w14:paraId="6F9B4D3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207 (4.1%)</w:t>
            </w:r>
          </w:p>
        </w:tc>
        <w:tc>
          <w:tcPr>
            <w:tcW w:w="1991" w:type="dxa"/>
            <w:tcBorders>
              <w:top w:val="nil"/>
              <w:left w:val="nil"/>
              <w:bottom w:val="nil"/>
              <w:right w:val="nil"/>
            </w:tcBorders>
            <w:shd w:val="clear" w:color="auto" w:fill="auto"/>
            <w:noWrap/>
            <w:vAlign w:val="bottom"/>
            <w:hideMark/>
          </w:tcPr>
          <w:p w14:paraId="33EDB58F" w14:textId="3277FB13"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F1681E">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415AF78E"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792B4051" w14:textId="77777777" w:rsidTr="000526F1">
        <w:trPr>
          <w:trHeight w:val="300"/>
        </w:trPr>
        <w:tc>
          <w:tcPr>
            <w:tcW w:w="2960" w:type="dxa"/>
            <w:tcBorders>
              <w:top w:val="nil"/>
              <w:left w:val="nil"/>
              <w:bottom w:val="nil"/>
              <w:right w:val="nil"/>
            </w:tcBorders>
            <w:shd w:val="clear" w:color="auto" w:fill="auto"/>
            <w:noWrap/>
            <w:vAlign w:val="bottom"/>
            <w:hideMark/>
          </w:tcPr>
          <w:p w14:paraId="493E729F"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2-4</w:t>
            </w:r>
          </w:p>
        </w:tc>
        <w:tc>
          <w:tcPr>
            <w:tcW w:w="2420" w:type="dxa"/>
            <w:tcBorders>
              <w:top w:val="nil"/>
              <w:left w:val="nil"/>
              <w:bottom w:val="nil"/>
              <w:right w:val="nil"/>
            </w:tcBorders>
            <w:shd w:val="clear" w:color="auto" w:fill="auto"/>
            <w:noWrap/>
            <w:vAlign w:val="bottom"/>
            <w:hideMark/>
          </w:tcPr>
          <w:p w14:paraId="7BC028E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79 (1.6%)</w:t>
            </w:r>
          </w:p>
        </w:tc>
        <w:tc>
          <w:tcPr>
            <w:tcW w:w="1991" w:type="dxa"/>
            <w:tcBorders>
              <w:top w:val="nil"/>
              <w:left w:val="nil"/>
              <w:bottom w:val="nil"/>
              <w:right w:val="nil"/>
            </w:tcBorders>
            <w:shd w:val="clear" w:color="auto" w:fill="auto"/>
            <w:noWrap/>
            <w:vAlign w:val="bottom"/>
            <w:hideMark/>
          </w:tcPr>
          <w:p w14:paraId="15EE42BF" w14:textId="3FE7D06F"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p>
        </w:tc>
        <w:tc>
          <w:tcPr>
            <w:tcW w:w="1049" w:type="dxa"/>
            <w:tcBorders>
              <w:top w:val="nil"/>
              <w:left w:val="nil"/>
              <w:bottom w:val="nil"/>
              <w:right w:val="nil"/>
            </w:tcBorders>
            <w:shd w:val="clear" w:color="auto" w:fill="auto"/>
            <w:noWrap/>
            <w:vAlign w:val="bottom"/>
            <w:hideMark/>
          </w:tcPr>
          <w:p w14:paraId="7083539A"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2A87B7AD" w14:textId="77777777" w:rsidTr="000526F1">
        <w:trPr>
          <w:trHeight w:val="300"/>
        </w:trPr>
        <w:tc>
          <w:tcPr>
            <w:tcW w:w="2960" w:type="dxa"/>
            <w:tcBorders>
              <w:top w:val="nil"/>
              <w:left w:val="nil"/>
              <w:bottom w:val="nil"/>
              <w:right w:val="nil"/>
            </w:tcBorders>
            <w:shd w:val="clear" w:color="auto" w:fill="auto"/>
            <w:noWrap/>
            <w:vAlign w:val="bottom"/>
            <w:hideMark/>
          </w:tcPr>
          <w:p w14:paraId="0B4F498E"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7BC5963D"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945 (18.6%)</w:t>
            </w:r>
          </w:p>
        </w:tc>
        <w:tc>
          <w:tcPr>
            <w:tcW w:w="1991" w:type="dxa"/>
            <w:tcBorders>
              <w:top w:val="nil"/>
              <w:left w:val="nil"/>
              <w:bottom w:val="nil"/>
              <w:right w:val="nil"/>
            </w:tcBorders>
            <w:shd w:val="clear" w:color="auto" w:fill="auto"/>
            <w:noWrap/>
            <w:vAlign w:val="bottom"/>
            <w:hideMark/>
          </w:tcPr>
          <w:p w14:paraId="66219134" w14:textId="3B340592"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p>
        </w:tc>
        <w:tc>
          <w:tcPr>
            <w:tcW w:w="1049" w:type="dxa"/>
            <w:tcBorders>
              <w:top w:val="nil"/>
              <w:left w:val="nil"/>
              <w:bottom w:val="nil"/>
              <w:right w:val="nil"/>
            </w:tcBorders>
            <w:shd w:val="clear" w:color="auto" w:fill="auto"/>
            <w:noWrap/>
            <w:vAlign w:val="bottom"/>
            <w:hideMark/>
          </w:tcPr>
          <w:p w14:paraId="30CC5939"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007102F5" w14:textId="77777777" w:rsidTr="000526F1">
        <w:trPr>
          <w:trHeight w:val="300"/>
        </w:trPr>
        <w:tc>
          <w:tcPr>
            <w:tcW w:w="2960" w:type="dxa"/>
            <w:tcBorders>
              <w:top w:val="nil"/>
              <w:left w:val="nil"/>
              <w:bottom w:val="nil"/>
              <w:right w:val="nil"/>
            </w:tcBorders>
            <w:shd w:val="clear" w:color="auto" w:fill="auto"/>
            <w:noWrap/>
            <w:vAlign w:val="bottom"/>
            <w:hideMark/>
          </w:tcPr>
          <w:p w14:paraId="339E24C4"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Sex, n(%)</w:t>
            </w:r>
          </w:p>
        </w:tc>
        <w:tc>
          <w:tcPr>
            <w:tcW w:w="2420" w:type="dxa"/>
            <w:tcBorders>
              <w:top w:val="nil"/>
              <w:left w:val="nil"/>
              <w:bottom w:val="nil"/>
              <w:right w:val="nil"/>
            </w:tcBorders>
            <w:shd w:val="clear" w:color="auto" w:fill="auto"/>
            <w:noWrap/>
            <w:vAlign w:val="bottom"/>
            <w:hideMark/>
          </w:tcPr>
          <w:p w14:paraId="54F5408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5FB9664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669515C5"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2DC3165C" w14:textId="77777777" w:rsidTr="000526F1">
        <w:trPr>
          <w:trHeight w:val="300"/>
        </w:trPr>
        <w:tc>
          <w:tcPr>
            <w:tcW w:w="2960" w:type="dxa"/>
            <w:tcBorders>
              <w:top w:val="nil"/>
              <w:left w:val="nil"/>
              <w:bottom w:val="nil"/>
              <w:right w:val="nil"/>
            </w:tcBorders>
            <w:shd w:val="clear" w:color="auto" w:fill="auto"/>
            <w:noWrap/>
            <w:vAlign w:val="bottom"/>
            <w:hideMark/>
          </w:tcPr>
          <w:p w14:paraId="0A8B230F"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Female</w:t>
            </w:r>
          </w:p>
        </w:tc>
        <w:tc>
          <w:tcPr>
            <w:tcW w:w="2420" w:type="dxa"/>
            <w:tcBorders>
              <w:top w:val="nil"/>
              <w:left w:val="nil"/>
              <w:bottom w:val="nil"/>
              <w:right w:val="nil"/>
            </w:tcBorders>
            <w:shd w:val="clear" w:color="auto" w:fill="auto"/>
            <w:noWrap/>
            <w:vAlign w:val="bottom"/>
            <w:hideMark/>
          </w:tcPr>
          <w:p w14:paraId="16CCB6D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2,444 (48.2%)</w:t>
            </w:r>
          </w:p>
        </w:tc>
        <w:tc>
          <w:tcPr>
            <w:tcW w:w="1991" w:type="dxa"/>
            <w:tcBorders>
              <w:top w:val="nil"/>
              <w:left w:val="nil"/>
              <w:bottom w:val="nil"/>
              <w:right w:val="nil"/>
            </w:tcBorders>
            <w:shd w:val="clear" w:color="auto" w:fill="auto"/>
            <w:noWrap/>
            <w:vAlign w:val="bottom"/>
            <w:hideMark/>
          </w:tcPr>
          <w:p w14:paraId="468E300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31 (67.4%)</w:t>
            </w:r>
          </w:p>
        </w:tc>
        <w:tc>
          <w:tcPr>
            <w:tcW w:w="1049" w:type="dxa"/>
            <w:tcBorders>
              <w:top w:val="nil"/>
              <w:left w:val="nil"/>
              <w:bottom w:val="nil"/>
              <w:right w:val="nil"/>
            </w:tcBorders>
            <w:shd w:val="clear" w:color="auto" w:fill="auto"/>
            <w:noWrap/>
            <w:vAlign w:val="bottom"/>
            <w:hideMark/>
          </w:tcPr>
          <w:p w14:paraId="57D5524C"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0.027</w:t>
            </w:r>
          </w:p>
        </w:tc>
      </w:tr>
      <w:tr w:rsidR="00377728" w:rsidRPr="00166EFA" w14:paraId="7F0A50D9" w14:textId="77777777" w:rsidTr="000526F1">
        <w:trPr>
          <w:trHeight w:val="300"/>
        </w:trPr>
        <w:tc>
          <w:tcPr>
            <w:tcW w:w="2960" w:type="dxa"/>
            <w:tcBorders>
              <w:top w:val="nil"/>
              <w:left w:val="nil"/>
              <w:bottom w:val="nil"/>
              <w:right w:val="nil"/>
            </w:tcBorders>
            <w:shd w:val="clear" w:color="auto" w:fill="auto"/>
            <w:noWrap/>
            <w:vAlign w:val="bottom"/>
            <w:hideMark/>
          </w:tcPr>
          <w:p w14:paraId="303D9EB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Male</w:t>
            </w:r>
          </w:p>
        </w:tc>
        <w:tc>
          <w:tcPr>
            <w:tcW w:w="2420" w:type="dxa"/>
            <w:tcBorders>
              <w:top w:val="nil"/>
              <w:left w:val="nil"/>
              <w:bottom w:val="nil"/>
              <w:right w:val="nil"/>
            </w:tcBorders>
            <w:shd w:val="clear" w:color="auto" w:fill="auto"/>
            <w:noWrap/>
            <w:vAlign w:val="bottom"/>
            <w:hideMark/>
          </w:tcPr>
          <w:p w14:paraId="46FE9D6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2,618 (51.6%)</w:t>
            </w:r>
          </w:p>
        </w:tc>
        <w:tc>
          <w:tcPr>
            <w:tcW w:w="1991" w:type="dxa"/>
            <w:tcBorders>
              <w:top w:val="nil"/>
              <w:left w:val="nil"/>
              <w:bottom w:val="nil"/>
              <w:right w:val="nil"/>
            </w:tcBorders>
            <w:shd w:val="clear" w:color="auto" w:fill="auto"/>
            <w:noWrap/>
            <w:vAlign w:val="bottom"/>
            <w:hideMark/>
          </w:tcPr>
          <w:p w14:paraId="30E9913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15 (32.6%)</w:t>
            </w:r>
          </w:p>
        </w:tc>
        <w:tc>
          <w:tcPr>
            <w:tcW w:w="1049" w:type="dxa"/>
            <w:tcBorders>
              <w:top w:val="nil"/>
              <w:left w:val="nil"/>
              <w:bottom w:val="nil"/>
              <w:right w:val="nil"/>
            </w:tcBorders>
            <w:shd w:val="clear" w:color="auto" w:fill="auto"/>
            <w:noWrap/>
            <w:vAlign w:val="bottom"/>
            <w:hideMark/>
          </w:tcPr>
          <w:p w14:paraId="0B741305"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5BE5B23A" w14:textId="77777777" w:rsidTr="000526F1">
        <w:trPr>
          <w:trHeight w:val="300"/>
        </w:trPr>
        <w:tc>
          <w:tcPr>
            <w:tcW w:w="2960" w:type="dxa"/>
            <w:tcBorders>
              <w:top w:val="nil"/>
              <w:left w:val="nil"/>
              <w:bottom w:val="nil"/>
              <w:right w:val="nil"/>
            </w:tcBorders>
            <w:shd w:val="clear" w:color="auto" w:fill="auto"/>
            <w:noWrap/>
            <w:vAlign w:val="bottom"/>
            <w:hideMark/>
          </w:tcPr>
          <w:p w14:paraId="49CC9136"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47EBB28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9 (0.2%)</w:t>
            </w:r>
          </w:p>
        </w:tc>
        <w:tc>
          <w:tcPr>
            <w:tcW w:w="1991" w:type="dxa"/>
            <w:tcBorders>
              <w:top w:val="nil"/>
              <w:left w:val="nil"/>
              <w:bottom w:val="nil"/>
              <w:right w:val="nil"/>
            </w:tcBorders>
            <w:shd w:val="clear" w:color="auto" w:fill="auto"/>
            <w:noWrap/>
            <w:vAlign w:val="bottom"/>
            <w:hideMark/>
          </w:tcPr>
          <w:p w14:paraId="382D1D84" w14:textId="55C6844F"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F1681E">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35D23270"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39D9B5D3" w14:textId="77777777" w:rsidTr="000526F1">
        <w:trPr>
          <w:trHeight w:val="300"/>
        </w:trPr>
        <w:tc>
          <w:tcPr>
            <w:tcW w:w="2960" w:type="dxa"/>
            <w:tcBorders>
              <w:top w:val="nil"/>
              <w:left w:val="nil"/>
              <w:bottom w:val="nil"/>
              <w:right w:val="nil"/>
            </w:tcBorders>
            <w:shd w:val="clear" w:color="auto" w:fill="auto"/>
            <w:noWrap/>
            <w:vAlign w:val="bottom"/>
            <w:hideMark/>
          </w:tcPr>
          <w:p w14:paraId="15F3361C"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Fatigue, n(%)</w:t>
            </w:r>
          </w:p>
        </w:tc>
        <w:tc>
          <w:tcPr>
            <w:tcW w:w="2420" w:type="dxa"/>
            <w:tcBorders>
              <w:top w:val="nil"/>
              <w:left w:val="nil"/>
              <w:bottom w:val="nil"/>
              <w:right w:val="nil"/>
            </w:tcBorders>
            <w:shd w:val="clear" w:color="auto" w:fill="auto"/>
            <w:noWrap/>
            <w:vAlign w:val="bottom"/>
            <w:hideMark/>
          </w:tcPr>
          <w:p w14:paraId="2E6F9E40"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0B16BB12"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02134F66"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554D784D" w14:textId="77777777" w:rsidTr="000526F1">
        <w:trPr>
          <w:trHeight w:val="300"/>
        </w:trPr>
        <w:tc>
          <w:tcPr>
            <w:tcW w:w="2960" w:type="dxa"/>
            <w:tcBorders>
              <w:top w:val="nil"/>
              <w:left w:val="nil"/>
              <w:bottom w:val="nil"/>
              <w:right w:val="nil"/>
            </w:tcBorders>
            <w:shd w:val="clear" w:color="auto" w:fill="auto"/>
            <w:noWrap/>
            <w:vAlign w:val="bottom"/>
            <w:hideMark/>
          </w:tcPr>
          <w:p w14:paraId="70213B3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45E99C7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2,767 (54.6%)</w:t>
            </w:r>
          </w:p>
        </w:tc>
        <w:tc>
          <w:tcPr>
            <w:tcW w:w="1991" w:type="dxa"/>
            <w:tcBorders>
              <w:top w:val="nil"/>
              <w:left w:val="nil"/>
              <w:bottom w:val="nil"/>
              <w:right w:val="nil"/>
            </w:tcBorders>
            <w:shd w:val="clear" w:color="auto" w:fill="auto"/>
            <w:noWrap/>
            <w:vAlign w:val="bottom"/>
            <w:hideMark/>
          </w:tcPr>
          <w:p w14:paraId="2E24B296"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25 (54.3%)</w:t>
            </w:r>
          </w:p>
        </w:tc>
        <w:tc>
          <w:tcPr>
            <w:tcW w:w="1049" w:type="dxa"/>
            <w:tcBorders>
              <w:top w:val="nil"/>
              <w:left w:val="nil"/>
              <w:bottom w:val="nil"/>
              <w:right w:val="nil"/>
            </w:tcBorders>
            <w:shd w:val="clear" w:color="auto" w:fill="auto"/>
            <w:noWrap/>
            <w:vAlign w:val="bottom"/>
            <w:hideMark/>
          </w:tcPr>
          <w:p w14:paraId="50E3FC28"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0.960</w:t>
            </w:r>
          </w:p>
        </w:tc>
      </w:tr>
      <w:tr w:rsidR="00377728" w:rsidRPr="00166EFA" w14:paraId="3D8B2A11" w14:textId="77777777" w:rsidTr="000526F1">
        <w:trPr>
          <w:trHeight w:val="300"/>
        </w:trPr>
        <w:tc>
          <w:tcPr>
            <w:tcW w:w="2960" w:type="dxa"/>
            <w:tcBorders>
              <w:top w:val="nil"/>
              <w:left w:val="nil"/>
              <w:bottom w:val="nil"/>
              <w:right w:val="nil"/>
            </w:tcBorders>
            <w:shd w:val="clear" w:color="auto" w:fill="auto"/>
            <w:noWrap/>
            <w:vAlign w:val="bottom"/>
            <w:hideMark/>
          </w:tcPr>
          <w:p w14:paraId="180CFFC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45BD856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1,165 (23.0%)</w:t>
            </w:r>
          </w:p>
        </w:tc>
        <w:tc>
          <w:tcPr>
            <w:tcW w:w="1991" w:type="dxa"/>
            <w:tcBorders>
              <w:top w:val="nil"/>
              <w:left w:val="nil"/>
              <w:bottom w:val="nil"/>
              <w:right w:val="nil"/>
            </w:tcBorders>
            <w:shd w:val="clear" w:color="auto" w:fill="auto"/>
            <w:noWrap/>
            <w:vAlign w:val="bottom"/>
            <w:hideMark/>
          </w:tcPr>
          <w:p w14:paraId="12B2BF65"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10 (21.7%)</w:t>
            </w:r>
          </w:p>
        </w:tc>
        <w:tc>
          <w:tcPr>
            <w:tcW w:w="1049" w:type="dxa"/>
            <w:tcBorders>
              <w:top w:val="nil"/>
              <w:left w:val="nil"/>
              <w:bottom w:val="nil"/>
              <w:right w:val="nil"/>
            </w:tcBorders>
            <w:shd w:val="clear" w:color="auto" w:fill="auto"/>
            <w:noWrap/>
            <w:vAlign w:val="bottom"/>
            <w:hideMark/>
          </w:tcPr>
          <w:p w14:paraId="6E654168"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0C6A1E70" w14:textId="77777777" w:rsidTr="000526F1">
        <w:trPr>
          <w:trHeight w:val="300"/>
        </w:trPr>
        <w:tc>
          <w:tcPr>
            <w:tcW w:w="2960" w:type="dxa"/>
            <w:tcBorders>
              <w:top w:val="nil"/>
              <w:left w:val="nil"/>
              <w:bottom w:val="nil"/>
              <w:right w:val="nil"/>
            </w:tcBorders>
            <w:shd w:val="clear" w:color="auto" w:fill="auto"/>
            <w:noWrap/>
            <w:vAlign w:val="bottom"/>
            <w:hideMark/>
          </w:tcPr>
          <w:p w14:paraId="1ED9AE9C"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200C67BF"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1,139 (22.5%)</w:t>
            </w:r>
          </w:p>
        </w:tc>
        <w:tc>
          <w:tcPr>
            <w:tcW w:w="1991" w:type="dxa"/>
            <w:tcBorders>
              <w:top w:val="nil"/>
              <w:left w:val="nil"/>
              <w:bottom w:val="nil"/>
              <w:right w:val="nil"/>
            </w:tcBorders>
            <w:shd w:val="clear" w:color="auto" w:fill="auto"/>
            <w:noWrap/>
            <w:vAlign w:val="bottom"/>
            <w:hideMark/>
          </w:tcPr>
          <w:p w14:paraId="16F4D265"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11 (23.9%)</w:t>
            </w:r>
          </w:p>
        </w:tc>
        <w:tc>
          <w:tcPr>
            <w:tcW w:w="1049" w:type="dxa"/>
            <w:tcBorders>
              <w:top w:val="nil"/>
              <w:left w:val="nil"/>
              <w:bottom w:val="nil"/>
              <w:right w:val="nil"/>
            </w:tcBorders>
            <w:shd w:val="clear" w:color="auto" w:fill="auto"/>
            <w:noWrap/>
            <w:vAlign w:val="bottom"/>
            <w:hideMark/>
          </w:tcPr>
          <w:p w14:paraId="49383585"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6CE20877" w14:textId="77777777" w:rsidTr="000526F1">
        <w:trPr>
          <w:trHeight w:val="300"/>
        </w:trPr>
        <w:tc>
          <w:tcPr>
            <w:tcW w:w="2960" w:type="dxa"/>
            <w:tcBorders>
              <w:top w:val="nil"/>
              <w:left w:val="nil"/>
              <w:bottom w:val="nil"/>
              <w:right w:val="nil"/>
            </w:tcBorders>
            <w:shd w:val="clear" w:color="auto" w:fill="auto"/>
            <w:noWrap/>
            <w:vAlign w:val="bottom"/>
            <w:hideMark/>
          </w:tcPr>
          <w:p w14:paraId="5E1E7079"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Mouth ulcers, n(%)</w:t>
            </w:r>
          </w:p>
        </w:tc>
        <w:tc>
          <w:tcPr>
            <w:tcW w:w="2420" w:type="dxa"/>
            <w:tcBorders>
              <w:top w:val="nil"/>
              <w:left w:val="nil"/>
              <w:bottom w:val="nil"/>
              <w:right w:val="nil"/>
            </w:tcBorders>
            <w:shd w:val="clear" w:color="auto" w:fill="auto"/>
            <w:noWrap/>
            <w:vAlign w:val="bottom"/>
            <w:hideMark/>
          </w:tcPr>
          <w:p w14:paraId="50CDBE3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0007A2F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4003CD26"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592E2F59" w14:textId="77777777" w:rsidTr="000526F1">
        <w:trPr>
          <w:trHeight w:val="300"/>
        </w:trPr>
        <w:tc>
          <w:tcPr>
            <w:tcW w:w="2960" w:type="dxa"/>
            <w:tcBorders>
              <w:top w:val="nil"/>
              <w:left w:val="nil"/>
              <w:bottom w:val="nil"/>
              <w:right w:val="nil"/>
            </w:tcBorders>
            <w:shd w:val="clear" w:color="auto" w:fill="auto"/>
            <w:noWrap/>
            <w:vAlign w:val="bottom"/>
            <w:hideMark/>
          </w:tcPr>
          <w:p w14:paraId="366BA6A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5AE54462"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1,554 (30.6%)</w:t>
            </w:r>
          </w:p>
        </w:tc>
        <w:tc>
          <w:tcPr>
            <w:tcW w:w="1991" w:type="dxa"/>
            <w:tcBorders>
              <w:top w:val="nil"/>
              <w:left w:val="nil"/>
              <w:bottom w:val="nil"/>
              <w:right w:val="nil"/>
            </w:tcBorders>
            <w:shd w:val="clear" w:color="auto" w:fill="auto"/>
            <w:noWrap/>
            <w:vAlign w:val="bottom"/>
            <w:hideMark/>
          </w:tcPr>
          <w:p w14:paraId="287D5D2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16 (34.8%)</w:t>
            </w:r>
          </w:p>
        </w:tc>
        <w:tc>
          <w:tcPr>
            <w:tcW w:w="1049" w:type="dxa"/>
            <w:tcBorders>
              <w:top w:val="nil"/>
              <w:left w:val="nil"/>
              <w:bottom w:val="nil"/>
              <w:right w:val="nil"/>
            </w:tcBorders>
            <w:shd w:val="clear" w:color="auto" w:fill="auto"/>
            <w:noWrap/>
            <w:vAlign w:val="bottom"/>
            <w:hideMark/>
          </w:tcPr>
          <w:p w14:paraId="6C6AD304"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0.857</w:t>
            </w:r>
          </w:p>
        </w:tc>
      </w:tr>
      <w:tr w:rsidR="00377728" w:rsidRPr="00166EFA" w14:paraId="2A92D126" w14:textId="77777777" w:rsidTr="000526F1">
        <w:trPr>
          <w:trHeight w:val="300"/>
        </w:trPr>
        <w:tc>
          <w:tcPr>
            <w:tcW w:w="2960" w:type="dxa"/>
            <w:tcBorders>
              <w:top w:val="nil"/>
              <w:left w:val="nil"/>
              <w:bottom w:val="nil"/>
              <w:right w:val="nil"/>
            </w:tcBorders>
            <w:shd w:val="clear" w:color="auto" w:fill="auto"/>
            <w:noWrap/>
            <w:vAlign w:val="bottom"/>
            <w:hideMark/>
          </w:tcPr>
          <w:p w14:paraId="5BDB3C9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04AFCC0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497 (9.8%)</w:t>
            </w:r>
          </w:p>
        </w:tc>
        <w:tc>
          <w:tcPr>
            <w:tcW w:w="1991" w:type="dxa"/>
            <w:tcBorders>
              <w:top w:val="nil"/>
              <w:left w:val="nil"/>
              <w:bottom w:val="nil"/>
              <w:right w:val="nil"/>
            </w:tcBorders>
            <w:shd w:val="clear" w:color="auto" w:fill="auto"/>
            <w:noWrap/>
            <w:vAlign w:val="bottom"/>
            <w:hideMark/>
          </w:tcPr>
          <w:p w14:paraId="6733600A" w14:textId="3BCEB579"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p>
        </w:tc>
        <w:tc>
          <w:tcPr>
            <w:tcW w:w="1049" w:type="dxa"/>
            <w:tcBorders>
              <w:top w:val="nil"/>
              <w:left w:val="nil"/>
              <w:bottom w:val="nil"/>
              <w:right w:val="nil"/>
            </w:tcBorders>
            <w:shd w:val="clear" w:color="auto" w:fill="auto"/>
            <w:noWrap/>
            <w:vAlign w:val="bottom"/>
            <w:hideMark/>
          </w:tcPr>
          <w:p w14:paraId="38F8599E"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7465F752" w14:textId="77777777" w:rsidTr="000526F1">
        <w:trPr>
          <w:trHeight w:val="300"/>
        </w:trPr>
        <w:tc>
          <w:tcPr>
            <w:tcW w:w="2960" w:type="dxa"/>
            <w:tcBorders>
              <w:top w:val="nil"/>
              <w:left w:val="nil"/>
              <w:bottom w:val="nil"/>
              <w:right w:val="nil"/>
            </w:tcBorders>
            <w:shd w:val="clear" w:color="auto" w:fill="auto"/>
            <w:noWrap/>
            <w:vAlign w:val="bottom"/>
            <w:hideMark/>
          </w:tcPr>
          <w:p w14:paraId="5D6E74F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718A49F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3,020 (59.6%)</w:t>
            </w:r>
          </w:p>
        </w:tc>
        <w:tc>
          <w:tcPr>
            <w:tcW w:w="1991" w:type="dxa"/>
            <w:tcBorders>
              <w:top w:val="nil"/>
              <w:left w:val="nil"/>
              <w:bottom w:val="nil"/>
              <w:right w:val="nil"/>
            </w:tcBorders>
            <w:shd w:val="clear" w:color="auto" w:fill="auto"/>
            <w:noWrap/>
            <w:vAlign w:val="bottom"/>
            <w:hideMark/>
          </w:tcPr>
          <w:p w14:paraId="6143D2C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26 (56.5%)</w:t>
            </w:r>
          </w:p>
        </w:tc>
        <w:tc>
          <w:tcPr>
            <w:tcW w:w="1049" w:type="dxa"/>
            <w:tcBorders>
              <w:top w:val="nil"/>
              <w:left w:val="nil"/>
              <w:bottom w:val="nil"/>
              <w:right w:val="nil"/>
            </w:tcBorders>
            <w:shd w:val="clear" w:color="auto" w:fill="auto"/>
            <w:noWrap/>
            <w:vAlign w:val="bottom"/>
            <w:hideMark/>
          </w:tcPr>
          <w:p w14:paraId="01FA24E4"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63FA4032" w14:textId="77777777" w:rsidTr="000526F1">
        <w:trPr>
          <w:trHeight w:val="300"/>
        </w:trPr>
        <w:tc>
          <w:tcPr>
            <w:tcW w:w="2960" w:type="dxa"/>
            <w:tcBorders>
              <w:top w:val="nil"/>
              <w:left w:val="nil"/>
              <w:bottom w:val="nil"/>
              <w:right w:val="nil"/>
            </w:tcBorders>
            <w:shd w:val="clear" w:color="auto" w:fill="auto"/>
            <w:noWrap/>
            <w:vAlign w:val="bottom"/>
            <w:hideMark/>
          </w:tcPr>
          <w:p w14:paraId="06CE0359"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GI symptoms, n(%)</w:t>
            </w:r>
          </w:p>
        </w:tc>
        <w:tc>
          <w:tcPr>
            <w:tcW w:w="2420" w:type="dxa"/>
            <w:tcBorders>
              <w:top w:val="nil"/>
              <w:left w:val="nil"/>
              <w:bottom w:val="nil"/>
              <w:right w:val="nil"/>
            </w:tcBorders>
            <w:shd w:val="clear" w:color="auto" w:fill="auto"/>
            <w:noWrap/>
            <w:vAlign w:val="bottom"/>
            <w:hideMark/>
          </w:tcPr>
          <w:p w14:paraId="28632FCC"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002D5D0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6755DC88"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723FFCE4" w14:textId="77777777" w:rsidTr="000526F1">
        <w:trPr>
          <w:trHeight w:val="300"/>
        </w:trPr>
        <w:tc>
          <w:tcPr>
            <w:tcW w:w="2960" w:type="dxa"/>
            <w:tcBorders>
              <w:top w:val="nil"/>
              <w:left w:val="nil"/>
              <w:bottom w:val="nil"/>
              <w:right w:val="nil"/>
            </w:tcBorders>
            <w:shd w:val="clear" w:color="auto" w:fill="auto"/>
            <w:noWrap/>
            <w:vAlign w:val="bottom"/>
            <w:hideMark/>
          </w:tcPr>
          <w:p w14:paraId="127DB0E2"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7AF7851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3,840 (75.7%)</w:t>
            </w:r>
          </w:p>
        </w:tc>
        <w:tc>
          <w:tcPr>
            <w:tcW w:w="1991" w:type="dxa"/>
            <w:tcBorders>
              <w:top w:val="nil"/>
              <w:left w:val="nil"/>
              <w:bottom w:val="nil"/>
              <w:right w:val="nil"/>
            </w:tcBorders>
            <w:shd w:val="clear" w:color="auto" w:fill="auto"/>
            <w:noWrap/>
            <w:vAlign w:val="bottom"/>
            <w:hideMark/>
          </w:tcPr>
          <w:p w14:paraId="04B9F65D"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40 (87.0%)</w:t>
            </w:r>
          </w:p>
        </w:tc>
        <w:tc>
          <w:tcPr>
            <w:tcW w:w="1049" w:type="dxa"/>
            <w:tcBorders>
              <w:top w:val="nil"/>
              <w:left w:val="nil"/>
              <w:bottom w:val="nil"/>
              <w:right w:val="nil"/>
            </w:tcBorders>
            <w:shd w:val="clear" w:color="auto" w:fill="auto"/>
            <w:noWrap/>
            <w:vAlign w:val="bottom"/>
            <w:hideMark/>
          </w:tcPr>
          <w:p w14:paraId="6D2CFF03"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0.235</w:t>
            </w:r>
          </w:p>
        </w:tc>
      </w:tr>
      <w:tr w:rsidR="00377728" w:rsidRPr="00166EFA" w14:paraId="08F1231A" w14:textId="77777777" w:rsidTr="000526F1">
        <w:trPr>
          <w:trHeight w:val="300"/>
        </w:trPr>
        <w:tc>
          <w:tcPr>
            <w:tcW w:w="2960" w:type="dxa"/>
            <w:tcBorders>
              <w:top w:val="nil"/>
              <w:left w:val="nil"/>
              <w:bottom w:val="nil"/>
              <w:right w:val="nil"/>
            </w:tcBorders>
            <w:shd w:val="clear" w:color="auto" w:fill="auto"/>
            <w:noWrap/>
            <w:vAlign w:val="bottom"/>
            <w:hideMark/>
          </w:tcPr>
          <w:p w14:paraId="1BD598C3"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6C5233E6"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306 (6.0%)</w:t>
            </w:r>
          </w:p>
        </w:tc>
        <w:tc>
          <w:tcPr>
            <w:tcW w:w="1991" w:type="dxa"/>
            <w:tcBorders>
              <w:top w:val="nil"/>
              <w:left w:val="nil"/>
              <w:bottom w:val="nil"/>
              <w:right w:val="nil"/>
            </w:tcBorders>
            <w:shd w:val="clear" w:color="auto" w:fill="auto"/>
            <w:noWrap/>
            <w:vAlign w:val="bottom"/>
            <w:hideMark/>
          </w:tcPr>
          <w:p w14:paraId="289DEE33" w14:textId="0414B695"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F1681E">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4DC7E6E1"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0D2529C7" w14:textId="77777777" w:rsidTr="000526F1">
        <w:trPr>
          <w:trHeight w:val="300"/>
        </w:trPr>
        <w:tc>
          <w:tcPr>
            <w:tcW w:w="2960" w:type="dxa"/>
            <w:tcBorders>
              <w:top w:val="nil"/>
              <w:left w:val="nil"/>
              <w:bottom w:val="nil"/>
              <w:right w:val="nil"/>
            </w:tcBorders>
            <w:shd w:val="clear" w:color="auto" w:fill="auto"/>
            <w:noWrap/>
            <w:vAlign w:val="bottom"/>
            <w:hideMark/>
          </w:tcPr>
          <w:p w14:paraId="25DC5C5C"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11D00CF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925 (18.2%)</w:t>
            </w:r>
          </w:p>
        </w:tc>
        <w:tc>
          <w:tcPr>
            <w:tcW w:w="1991" w:type="dxa"/>
            <w:tcBorders>
              <w:top w:val="nil"/>
              <w:left w:val="nil"/>
              <w:bottom w:val="nil"/>
              <w:right w:val="nil"/>
            </w:tcBorders>
            <w:shd w:val="clear" w:color="auto" w:fill="auto"/>
            <w:noWrap/>
            <w:vAlign w:val="bottom"/>
            <w:hideMark/>
          </w:tcPr>
          <w:p w14:paraId="758D3305" w14:textId="29AD1A84"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r w:rsidR="00442B28" w:rsidRPr="00166EFA" w:rsidDel="00F1681E">
              <w:rPr>
                <w:rFonts w:eastAsia="Times New Roman" w:cstheme="minorHAnsi"/>
                <w:color w:val="000000"/>
                <w:sz w:val="20"/>
                <w:szCs w:val="20"/>
              </w:rPr>
              <w:t xml:space="preserve"> </w:t>
            </w:r>
          </w:p>
        </w:tc>
        <w:tc>
          <w:tcPr>
            <w:tcW w:w="1049" w:type="dxa"/>
            <w:tcBorders>
              <w:top w:val="nil"/>
              <w:left w:val="nil"/>
              <w:bottom w:val="nil"/>
              <w:right w:val="nil"/>
            </w:tcBorders>
            <w:shd w:val="clear" w:color="auto" w:fill="auto"/>
            <w:noWrap/>
            <w:vAlign w:val="bottom"/>
            <w:hideMark/>
          </w:tcPr>
          <w:p w14:paraId="44EB2CDE"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379C97A4" w14:textId="77777777" w:rsidTr="000526F1">
        <w:trPr>
          <w:trHeight w:val="300"/>
        </w:trPr>
        <w:tc>
          <w:tcPr>
            <w:tcW w:w="2960" w:type="dxa"/>
            <w:tcBorders>
              <w:top w:val="nil"/>
              <w:left w:val="nil"/>
              <w:bottom w:val="nil"/>
              <w:right w:val="nil"/>
            </w:tcBorders>
            <w:shd w:val="clear" w:color="auto" w:fill="auto"/>
            <w:noWrap/>
            <w:vAlign w:val="bottom"/>
            <w:hideMark/>
          </w:tcPr>
          <w:p w14:paraId="65C064B3"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Mood disorders, n(%)</w:t>
            </w:r>
          </w:p>
        </w:tc>
        <w:tc>
          <w:tcPr>
            <w:tcW w:w="2420" w:type="dxa"/>
            <w:tcBorders>
              <w:top w:val="nil"/>
              <w:left w:val="nil"/>
              <w:bottom w:val="nil"/>
              <w:right w:val="nil"/>
            </w:tcBorders>
            <w:shd w:val="clear" w:color="auto" w:fill="auto"/>
            <w:noWrap/>
            <w:vAlign w:val="bottom"/>
            <w:hideMark/>
          </w:tcPr>
          <w:p w14:paraId="20E403B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666F516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5792D906"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4B259C3B" w14:textId="77777777" w:rsidTr="000526F1">
        <w:trPr>
          <w:trHeight w:val="300"/>
        </w:trPr>
        <w:tc>
          <w:tcPr>
            <w:tcW w:w="2960" w:type="dxa"/>
            <w:tcBorders>
              <w:top w:val="nil"/>
              <w:left w:val="nil"/>
              <w:bottom w:val="nil"/>
              <w:right w:val="nil"/>
            </w:tcBorders>
            <w:shd w:val="clear" w:color="auto" w:fill="auto"/>
            <w:noWrap/>
            <w:vAlign w:val="bottom"/>
            <w:hideMark/>
          </w:tcPr>
          <w:p w14:paraId="0D724DF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Absent</w:t>
            </w:r>
          </w:p>
        </w:tc>
        <w:tc>
          <w:tcPr>
            <w:tcW w:w="2420" w:type="dxa"/>
            <w:tcBorders>
              <w:top w:val="nil"/>
              <w:left w:val="nil"/>
              <w:bottom w:val="nil"/>
              <w:right w:val="nil"/>
            </w:tcBorders>
            <w:shd w:val="clear" w:color="auto" w:fill="auto"/>
            <w:noWrap/>
            <w:vAlign w:val="bottom"/>
            <w:hideMark/>
          </w:tcPr>
          <w:p w14:paraId="7525B8F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3,573 (70.5%)</w:t>
            </w:r>
          </w:p>
        </w:tc>
        <w:tc>
          <w:tcPr>
            <w:tcW w:w="1991" w:type="dxa"/>
            <w:tcBorders>
              <w:top w:val="nil"/>
              <w:left w:val="nil"/>
              <w:bottom w:val="nil"/>
              <w:right w:val="nil"/>
            </w:tcBorders>
            <w:shd w:val="clear" w:color="auto" w:fill="auto"/>
            <w:noWrap/>
            <w:vAlign w:val="bottom"/>
            <w:hideMark/>
          </w:tcPr>
          <w:p w14:paraId="433603CB"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38 (82.6%)</w:t>
            </w:r>
          </w:p>
        </w:tc>
        <w:tc>
          <w:tcPr>
            <w:tcW w:w="1049" w:type="dxa"/>
            <w:tcBorders>
              <w:top w:val="nil"/>
              <w:left w:val="nil"/>
              <w:bottom w:val="nil"/>
              <w:right w:val="nil"/>
            </w:tcBorders>
            <w:shd w:val="clear" w:color="auto" w:fill="auto"/>
            <w:noWrap/>
            <w:vAlign w:val="bottom"/>
            <w:hideMark/>
          </w:tcPr>
          <w:p w14:paraId="0A3C6CC6"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0.229</w:t>
            </w:r>
          </w:p>
        </w:tc>
      </w:tr>
      <w:tr w:rsidR="00377728" w:rsidRPr="00166EFA" w14:paraId="32621442" w14:textId="77777777" w:rsidTr="000526F1">
        <w:trPr>
          <w:trHeight w:val="300"/>
        </w:trPr>
        <w:tc>
          <w:tcPr>
            <w:tcW w:w="2960" w:type="dxa"/>
            <w:tcBorders>
              <w:top w:val="nil"/>
              <w:left w:val="nil"/>
              <w:bottom w:val="nil"/>
              <w:right w:val="nil"/>
            </w:tcBorders>
            <w:shd w:val="clear" w:color="auto" w:fill="auto"/>
            <w:noWrap/>
            <w:vAlign w:val="bottom"/>
            <w:hideMark/>
          </w:tcPr>
          <w:p w14:paraId="7CE75507"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Present</w:t>
            </w:r>
          </w:p>
        </w:tc>
        <w:tc>
          <w:tcPr>
            <w:tcW w:w="2420" w:type="dxa"/>
            <w:tcBorders>
              <w:top w:val="nil"/>
              <w:left w:val="nil"/>
              <w:bottom w:val="nil"/>
              <w:right w:val="nil"/>
            </w:tcBorders>
            <w:shd w:val="clear" w:color="auto" w:fill="auto"/>
            <w:noWrap/>
            <w:vAlign w:val="bottom"/>
            <w:hideMark/>
          </w:tcPr>
          <w:p w14:paraId="51B5E65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608 (12.0%)</w:t>
            </w:r>
          </w:p>
        </w:tc>
        <w:tc>
          <w:tcPr>
            <w:tcW w:w="1991" w:type="dxa"/>
            <w:tcBorders>
              <w:top w:val="nil"/>
              <w:left w:val="nil"/>
              <w:bottom w:val="nil"/>
              <w:right w:val="nil"/>
            </w:tcBorders>
            <w:shd w:val="clear" w:color="auto" w:fill="auto"/>
            <w:noWrap/>
            <w:vAlign w:val="bottom"/>
            <w:hideMark/>
          </w:tcPr>
          <w:p w14:paraId="4A51F6DD" w14:textId="70DF101E" w:rsidR="00377728" w:rsidRPr="00166EFA" w:rsidRDefault="00F1681E" w:rsidP="006658D1">
            <w:pPr>
              <w:spacing w:after="0" w:line="240" w:lineRule="auto"/>
              <w:jc w:val="right"/>
              <w:rPr>
                <w:rFonts w:eastAsia="Times New Roman" w:cstheme="minorHAnsi"/>
                <w:color w:val="000000"/>
                <w:sz w:val="20"/>
                <w:szCs w:val="20"/>
              </w:rPr>
            </w:pPr>
            <w:r>
              <w:rPr>
                <w:rFonts w:eastAsia="Times New Roman" w:cstheme="minorHAnsi"/>
                <w:color w:val="000000"/>
                <w:sz w:val="20"/>
                <w:szCs w:val="20"/>
              </w:rPr>
              <w:t>&lt;5 (&lt;10.9%)</w:t>
            </w:r>
            <w:r w:rsidR="00442B28">
              <w:rPr>
                <w:rFonts w:eastAsia="Times New Roman" w:cstheme="minorHAnsi"/>
                <w:color w:val="000000"/>
                <w:sz w:val="20"/>
                <w:szCs w:val="20"/>
                <w:vertAlign w:val="superscript"/>
              </w:rPr>
              <w:t>a</w:t>
            </w:r>
          </w:p>
        </w:tc>
        <w:tc>
          <w:tcPr>
            <w:tcW w:w="1049" w:type="dxa"/>
            <w:tcBorders>
              <w:top w:val="nil"/>
              <w:left w:val="nil"/>
              <w:bottom w:val="nil"/>
              <w:right w:val="nil"/>
            </w:tcBorders>
            <w:shd w:val="clear" w:color="auto" w:fill="auto"/>
            <w:noWrap/>
            <w:vAlign w:val="bottom"/>
            <w:hideMark/>
          </w:tcPr>
          <w:p w14:paraId="457847AA"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1CCEFD74" w14:textId="77777777" w:rsidTr="000526F1">
        <w:trPr>
          <w:trHeight w:val="300"/>
        </w:trPr>
        <w:tc>
          <w:tcPr>
            <w:tcW w:w="2960" w:type="dxa"/>
            <w:tcBorders>
              <w:top w:val="nil"/>
              <w:left w:val="nil"/>
              <w:bottom w:val="nil"/>
              <w:right w:val="nil"/>
            </w:tcBorders>
            <w:shd w:val="clear" w:color="auto" w:fill="auto"/>
            <w:noWrap/>
            <w:vAlign w:val="bottom"/>
            <w:hideMark/>
          </w:tcPr>
          <w:p w14:paraId="77AFF719"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Missing</w:t>
            </w:r>
          </w:p>
        </w:tc>
        <w:tc>
          <w:tcPr>
            <w:tcW w:w="2420" w:type="dxa"/>
            <w:tcBorders>
              <w:top w:val="nil"/>
              <w:left w:val="nil"/>
              <w:bottom w:val="nil"/>
              <w:right w:val="nil"/>
            </w:tcBorders>
            <w:shd w:val="clear" w:color="auto" w:fill="auto"/>
            <w:noWrap/>
            <w:vAlign w:val="bottom"/>
            <w:hideMark/>
          </w:tcPr>
          <w:p w14:paraId="34A77318"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890 (17.6%)</w:t>
            </w:r>
          </w:p>
        </w:tc>
        <w:tc>
          <w:tcPr>
            <w:tcW w:w="1991" w:type="dxa"/>
            <w:tcBorders>
              <w:top w:val="nil"/>
              <w:left w:val="nil"/>
              <w:bottom w:val="nil"/>
              <w:right w:val="nil"/>
            </w:tcBorders>
            <w:shd w:val="clear" w:color="auto" w:fill="auto"/>
            <w:noWrap/>
            <w:vAlign w:val="bottom"/>
            <w:hideMark/>
          </w:tcPr>
          <w:p w14:paraId="16F720AF"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5 (10.9%)</w:t>
            </w:r>
          </w:p>
        </w:tc>
        <w:tc>
          <w:tcPr>
            <w:tcW w:w="1049" w:type="dxa"/>
            <w:tcBorders>
              <w:top w:val="nil"/>
              <w:left w:val="nil"/>
              <w:bottom w:val="nil"/>
              <w:right w:val="nil"/>
            </w:tcBorders>
            <w:shd w:val="clear" w:color="auto" w:fill="auto"/>
            <w:noWrap/>
            <w:vAlign w:val="bottom"/>
            <w:hideMark/>
          </w:tcPr>
          <w:p w14:paraId="21AD9F8F"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5D26C4AA" w14:textId="77777777" w:rsidTr="000526F1">
        <w:trPr>
          <w:trHeight w:val="300"/>
        </w:trPr>
        <w:tc>
          <w:tcPr>
            <w:tcW w:w="2960" w:type="dxa"/>
            <w:tcBorders>
              <w:top w:val="nil"/>
              <w:left w:val="nil"/>
              <w:bottom w:val="nil"/>
              <w:right w:val="nil"/>
            </w:tcBorders>
            <w:shd w:val="clear" w:color="auto" w:fill="auto"/>
            <w:noWrap/>
            <w:vAlign w:val="bottom"/>
            <w:hideMark/>
          </w:tcPr>
          <w:p w14:paraId="4BDE1013" w14:textId="77777777" w:rsidR="00377728" w:rsidRPr="00166EFA" w:rsidRDefault="00377728" w:rsidP="006658D1">
            <w:pPr>
              <w:spacing w:after="0" w:line="240" w:lineRule="auto"/>
              <w:rPr>
                <w:rFonts w:eastAsia="Times New Roman" w:cstheme="minorHAnsi"/>
                <w:b/>
                <w:bCs/>
                <w:color w:val="000000"/>
                <w:sz w:val="20"/>
                <w:szCs w:val="20"/>
              </w:rPr>
            </w:pPr>
            <w:r w:rsidRPr="00166EFA">
              <w:rPr>
                <w:rFonts w:eastAsia="Times New Roman" w:cstheme="minorHAnsi"/>
                <w:b/>
                <w:bCs/>
                <w:color w:val="000000"/>
                <w:sz w:val="20"/>
                <w:szCs w:val="20"/>
              </w:rPr>
              <w:t>Age, mean(sd)</w:t>
            </w:r>
          </w:p>
        </w:tc>
        <w:tc>
          <w:tcPr>
            <w:tcW w:w="2420" w:type="dxa"/>
            <w:tcBorders>
              <w:top w:val="nil"/>
              <w:left w:val="nil"/>
              <w:bottom w:val="nil"/>
              <w:right w:val="nil"/>
            </w:tcBorders>
            <w:shd w:val="clear" w:color="auto" w:fill="auto"/>
            <w:noWrap/>
            <w:vAlign w:val="bottom"/>
            <w:hideMark/>
          </w:tcPr>
          <w:p w14:paraId="211B86F1"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991" w:type="dxa"/>
            <w:tcBorders>
              <w:top w:val="nil"/>
              <w:left w:val="nil"/>
              <w:bottom w:val="nil"/>
              <w:right w:val="nil"/>
            </w:tcBorders>
            <w:shd w:val="clear" w:color="auto" w:fill="auto"/>
            <w:noWrap/>
            <w:vAlign w:val="bottom"/>
            <w:hideMark/>
          </w:tcPr>
          <w:p w14:paraId="38147D7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1049" w:type="dxa"/>
            <w:tcBorders>
              <w:top w:val="nil"/>
              <w:left w:val="nil"/>
              <w:bottom w:val="nil"/>
              <w:right w:val="nil"/>
            </w:tcBorders>
            <w:shd w:val="clear" w:color="auto" w:fill="auto"/>
            <w:noWrap/>
            <w:vAlign w:val="bottom"/>
            <w:hideMark/>
          </w:tcPr>
          <w:p w14:paraId="051DA3EF"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 </w:t>
            </w:r>
          </w:p>
        </w:tc>
      </w:tr>
      <w:tr w:rsidR="00377728" w:rsidRPr="00166EFA" w14:paraId="41089299" w14:textId="77777777" w:rsidTr="000526F1">
        <w:trPr>
          <w:trHeight w:val="315"/>
        </w:trPr>
        <w:tc>
          <w:tcPr>
            <w:tcW w:w="2960" w:type="dxa"/>
            <w:tcBorders>
              <w:top w:val="nil"/>
              <w:left w:val="nil"/>
              <w:bottom w:val="single" w:sz="12" w:space="0" w:color="auto"/>
              <w:right w:val="nil"/>
            </w:tcBorders>
            <w:shd w:val="clear" w:color="auto" w:fill="auto"/>
            <w:noWrap/>
            <w:vAlign w:val="bottom"/>
            <w:hideMark/>
          </w:tcPr>
          <w:p w14:paraId="33539A7B"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 </w:t>
            </w:r>
          </w:p>
        </w:tc>
        <w:tc>
          <w:tcPr>
            <w:tcW w:w="2420" w:type="dxa"/>
            <w:tcBorders>
              <w:top w:val="nil"/>
              <w:left w:val="nil"/>
              <w:bottom w:val="single" w:sz="12" w:space="0" w:color="auto"/>
              <w:right w:val="nil"/>
            </w:tcBorders>
            <w:shd w:val="clear" w:color="auto" w:fill="auto"/>
            <w:noWrap/>
            <w:vAlign w:val="bottom"/>
            <w:hideMark/>
          </w:tcPr>
          <w:p w14:paraId="295A29AA"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7.49 (0.19)</w:t>
            </w:r>
          </w:p>
        </w:tc>
        <w:tc>
          <w:tcPr>
            <w:tcW w:w="1991" w:type="dxa"/>
            <w:tcBorders>
              <w:top w:val="nil"/>
              <w:left w:val="nil"/>
              <w:bottom w:val="single" w:sz="12" w:space="0" w:color="auto"/>
              <w:right w:val="nil"/>
            </w:tcBorders>
            <w:shd w:val="clear" w:color="auto" w:fill="auto"/>
            <w:noWrap/>
            <w:vAlign w:val="bottom"/>
            <w:hideMark/>
          </w:tcPr>
          <w:p w14:paraId="02FD3574" w14:textId="77777777" w:rsidR="00377728" w:rsidRPr="00166EFA" w:rsidRDefault="00377728" w:rsidP="006658D1">
            <w:pPr>
              <w:spacing w:after="0" w:line="240" w:lineRule="auto"/>
              <w:jc w:val="right"/>
              <w:rPr>
                <w:rFonts w:eastAsia="Times New Roman" w:cstheme="minorHAnsi"/>
                <w:color w:val="000000"/>
                <w:sz w:val="20"/>
                <w:szCs w:val="20"/>
              </w:rPr>
            </w:pPr>
            <w:r w:rsidRPr="00166EFA">
              <w:rPr>
                <w:rFonts w:eastAsia="Times New Roman" w:cstheme="minorHAnsi"/>
                <w:color w:val="000000"/>
                <w:sz w:val="20"/>
                <w:szCs w:val="20"/>
              </w:rPr>
              <w:t>7.45 (0.12)</w:t>
            </w:r>
          </w:p>
        </w:tc>
        <w:tc>
          <w:tcPr>
            <w:tcW w:w="1049" w:type="dxa"/>
            <w:tcBorders>
              <w:top w:val="nil"/>
              <w:left w:val="nil"/>
              <w:bottom w:val="single" w:sz="12" w:space="0" w:color="auto"/>
              <w:right w:val="nil"/>
            </w:tcBorders>
            <w:shd w:val="clear" w:color="auto" w:fill="auto"/>
            <w:noWrap/>
            <w:vAlign w:val="bottom"/>
            <w:hideMark/>
          </w:tcPr>
          <w:p w14:paraId="46F85CAF" w14:textId="77777777" w:rsidR="00377728" w:rsidRPr="00166EFA" w:rsidRDefault="00377728" w:rsidP="006658D1">
            <w:pPr>
              <w:spacing w:after="0" w:line="240" w:lineRule="auto"/>
              <w:rPr>
                <w:rFonts w:eastAsia="Times New Roman" w:cstheme="minorHAnsi"/>
                <w:color w:val="000000"/>
                <w:sz w:val="20"/>
                <w:szCs w:val="20"/>
              </w:rPr>
            </w:pPr>
            <w:r w:rsidRPr="00166EFA">
              <w:rPr>
                <w:rFonts w:eastAsia="Times New Roman" w:cstheme="minorHAnsi"/>
                <w:color w:val="000000"/>
                <w:sz w:val="20"/>
                <w:szCs w:val="20"/>
              </w:rPr>
              <w:t>0.030</w:t>
            </w:r>
          </w:p>
        </w:tc>
      </w:tr>
    </w:tbl>
    <w:p w14:paraId="00ECCD14" w14:textId="77777777" w:rsidR="00377728" w:rsidRPr="00734942" w:rsidRDefault="00377728" w:rsidP="00377728"/>
    <w:p w14:paraId="17843569" w14:textId="793EB6F8" w:rsidR="00377728" w:rsidRPr="00734942" w:rsidRDefault="00377728" w:rsidP="00377728">
      <w:r w:rsidRPr="00734942">
        <w:lastRenderedPageBreak/>
        <w:t>For children with complete data for the outcome and each candidate predictor, univariable associations indicated that males were less likely to have CD than females (coef. -0.78, 95% CI = -1.39 to -0.17);</w:t>
      </w:r>
      <w:r w:rsidR="00360D9B">
        <w:t xml:space="preserve"> Appendix 15</w:t>
      </w:r>
      <w:r w:rsidRPr="00734942">
        <w:t xml:space="preserve"> </w:t>
      </w:r>
      <w:r w:rsidRPr="00734942">
        <w:fldChar w:fldCharType="begin"/>
      </w:r>
      <w:r w:rsidRPr="00734942">
        <w:instrText xml:space="preserve"> REF _Ref85795411 \h </w:instrText>
      </w:r>
      <w:r w:rsidRPr="00734942">
        <w:fldChar w:fldCharType="separate"/>
      </w:r>
      <w:r w:rsidR="008B5583" w:rsidRPr="00734942">
        <w:t xml:space="preserve">Table </w:t>
      </w:r>
      <w:r w:rsidR="008B5583">
        <w:rPr>
          <w:noProof/>
        </w:rPr>
        <w:t>57</w:t>
      </w:r>
      <w:r w:rsidRPr="00734942">
        <w:fldChar w:fldCharType="end"/>
      </w:r>
      <w:r w:rsidRPr="00734942">
        <w:t xml:space="preserve"> and </w:t>
      </w:r>
      <w:r w:rsidRPr="00734942">
        <w:fldChar w:fldCharType="begin"/>
      </w:r>
      <w:r w:rsidRPr="00734942">
        <w:instrText xml:space="preserve"> REF _Ref85795458 \h </w:instrText>
      </w:r>
      <w:r w:rsidRPr="00734942">
        <w:fldChar w:fldCharType="separate"/>
      </w:r>
      <w:r w:rsidR="008B5583" w:rsidRPr="00734942">
        <w:t xml:space="preserve">Figure </w:t>
      </w:r>
      <w:r w:rsidR="008B5583">
        <w:rPr>
          <w:noProof/>
        </w:rPr>
        <w:t>3</w:t>
      </w:r>
      <w:r w:rsidRPr="00734942">
        <w:fldChar w:fldCharType="end"/>
      </w:r>
      <w:r w:rsidRPr="00734942">
        <w:t>). Children with type 1 diabetes, anaemia, a thyroid disorder and 2-4 GI symptoms were more likely to have CD and children, however 95% CIs contain zero. None of the remaining candidate predictors showed evidence of association with an increased likelihood of CD.</w:t>
      </w:r>
    </w:p>
    <w:p w14:paraId="54D9D1CF" w14:textId="69086380" w:rsidR="00E03A9C" w:rsidRPr="00734942" w:rsidRDefault="00E03A9C" w:rsidP="00377728">
      <w:r w:rsidRPr="00734942">
        <w:t>Male sex was the only predictor that showed evidence of an association with CD in the ALSPAC dataset, indicating that male children were less likely to be diagnosed with CD. This finding is consistent with the association between male sex and CD in the CPRD data. For the predictors age, mood disorder, fatigue, mouth ulcers, GI symptoms and GI symptom count of 1 the direction of effects estimated in the ALSPAC cohort contradicts the associations identified in the CPRD data and as such inclusion in the model is likely to result in inaccurate risk predictions. Low counts of children with type 1 diabetes and thyroid disorder precluded multiple imputation of these predictors and due to the large proportion of missing data (34% and 47% respectively) inclusion in the model would almost halve the sample size. A prediction model consisting of the remaining predictors (anaemia, 2-4 GI symptoms and male sex) would not be clinically useful, as such the decision was taken not to fit a prediction model in this dataset.</w:t>
      </w:r>
    </w:p>
    <w:p w14:paraId="5335A599" w14:textId="6B388853" w:rsidR="00377728" w:rsidRPr="00734942" w:rsidRDefault="00377728" w:rsidP="00353425">
      <w:pPr>
        <w:spacing w:after="0" w:line="240" w:lineRule="auto"/>
      </w:pPr>
      <w:r w:rsidRPr="00734942">
        <w:rPr>
          <w:noProof/>
        </w:rPr>
        <w:drawing>
          <wp:inline distT="0" distB="0" distL="0" distR="0" wp14:anchorId="4C1ECCFD" wp14:editId="354C7E62">
            <wp:extent cx="3621124" cy="2631882"/>
            <wp:effectExtent l="0" t="0" r="0" b="0"/>
            <wp:docPr id="14" name="Picture 3">
              <a:extLst xmlns:a="http://schemas.openxmlformats.org/drawingml/2006/main">
                <a:ext uri="{FF2B5EF4-FFF2-40B4-BE49-F238E27FC236}">
                  <a16:creationId xmlns:a16="http://schemas.microsoft.com/office/drawing/2014/main" id="{F2433660-D730-4F79-A73F-A744725C73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2433660-D730-4F79-A73F-A744725C73A9}"/>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5631" cy="2635158"/>
                    </a:xfrm>
                    <a:prstGeom prst="rect">
                      <a:avLst/>
                    </a:prstGeom>
                    <a:noFill/>
                  </pic:spPr>
                </pic:pic>
              </a:graphicData>
            </a:graphic>
          </wp:inline>
        </w:drawing>
      </w:r>
    </w:p>
    <w:p w14:paraId="4841DE67" w14:textId="65652E6D" w:rsidR="008869D7" w:rsidRPr="00734942" w:rsidRDefault="008869D7" w:rsidP="008869D7">
      <w:pPr>
        <w:pStyle w:val="Caption"/>
      </w:pPr>
      <w:bookmarkStart w:id="152" w:name="_Ref85795458"/>
      <w:bookmarkStart w:id="153" w:name="_Toc99720784"/>
      <w:r w:rsidRPr="00734942">
        <w:t xml:space="preserve">Figure </w:t>
      </w:r>
      <w:r>
        <w:fldChar w:fldCharType="begin"/>
      </w:r>
      <w:r>
        <w:instrText>SEQ Figure \* ARABIC</w:instrText>
      </w:r>
      <w:r>
        <w:fldChar w:fldCharType="separate"/>
      </w:r>
      <w:r w:rsidR="008B5583">
        <w:rPr>
          <w:noProof/>
        </w:rPr>
        <w:t>3</w:t>
      </w:r>
      <w:r>
        <w:fldChar w:fldCharType="end"/>
      </w:r>
      <w:bookmarkEnd w:id="152"/>
      <w:r w:rsidRPr="00734942">
        <w:t xml:space="preserve"> Coefficients and 95% CIs from complete-case univariable analysis of candidate predictors and CD</w:t>
      </w:r>
      <w:bookmarkEnd w:id="153"/>
    </w:p>
    <w:p w14:paraId="383BE9EB" w14:textId="61712FE5" w:rsidR="00DF5EDB" w:rsidRPr="00734942" w:rsidRDefault="00DF5EDB" w:rsidP="00DF5EDB">
      <w:r w:rsidRPr="00734942">
        <w:br w:type="page"/>
      </w:r>
    </w:p>
    <w:p w14:paraId="03060335" w14:textId="55D0D3D1" w:rsidR="0056595B" w:rsidRPr="00734942" w:rsidRDefault="0056595B" w:rsidP="0056595B">
      <w:pPr>
        <w:pStyle w:val="Heading1"/>
      </w:pPr>
      <w:bookmarkStart w:id="154" w:name="_Toc99539855"/>
      <w:r w:rsidRPr="00734942">
        <w:lastRenderedPageBreak/>
        <w:t>Chapter 5: Accuracy of diagnostic tests for coeliac disease</w:t>
      </w:r>
      <w:bookmarkEnd w:id="154"/>
    </w:p>
    <w:p w14:paraId="18B5B537" w14:textId="03C3FFEA" w:rsidR="0056595B" w:rsidRPr="00734942" w:rsidRDefault="0056595B" w:rsidP="0056595B">
      <w:r w:rsidRPr="00734942">
        <w:t xml:space="preserve">We conducted a systematic review of the accuracy of serological tests for </w:t>
      </w:r>
      <w:r w:rsidR="00551E93">
        <w:t>CD</w:t>
      </w:r>
      <w:r w:rsidRPr="00734942">
        <w:t>. The review was registered with the international prospective register of systematic reviews (PROSPERO) - registration number CRD4201911550. The review followed recommendations from the Centre for Reviews and Dissemination,</w:t>
      </w:r>
      <w:r w:rsidRPr="00734942">
        <w:fldChar w:fldCharType="begin"/>
      </w:r>
      <w:r w:rsidR="00735CC0">
        <w:instrText xml:space="preserve"> ADDIN EN.CITE &lt;EndNote&gt;&lt;Cite&gt;&lt;Author&gt;Centre for Reviews and Dissemination (CRD)&lt;/Author&gt;&lt;Year&gt;2009&lt;/Year&gt;&lt;RecNum&gt;27&lt;/RecNum&gt;&lt;DisplayText&gt;&lt;style face="superscript"&gt;22&lt;/style&gt;&lt;/DisplayText&gt;&lt;record&gt;&lt;rec-number&gt;27&lt;/rec-number&gt;&lt;foreign-keys&gt;&lt;key app="EN" db-id="tdwrx9xd1z9eepeevr355w2k959rv0f5zaax" timestamp="1632756069"&gt;27&lt;/key&gt;&lt;/foreign-keys&gt;&lt;ref-type name="Journal Article"&gt;17&lt;/ref-type&gt;&lt;contributors&gt;&lt;authors&gt;&lt;author&gt;Centre for Reviews and Dissemination (CRD), &lt;/author&gt;&lt;/authors&gt;&lt;/contributors&gt;&lt;titles&gt;&lt;title&gt;Systematic Reviews. CRD’s guidance for undertaking reviews in health care&lt;/title&gt;&lt;secondary-title&gt;University of York&lt;/secondary-title&gt;&lt;/titles&gt;&lt;periodical&gt;&lt;full-title&gt;University of York&lt;/full-title&gt;&lt;/periodical&gt;&lt;dates&gt;&lt;year&gt;2009&lt;/year&gt;&lt;/dates&gt;&lt;urls&gt;&lt;/urls&gt;&lt;/record&gt;&lt;/Cite&gt;&lt;/EndNote&gt;</w:instrText>
      </w:r>
      <w:r w:rsidRPr="00734942">
        <w:fldChar w:fldCharType="separate"/>
      </w:r>
      <w:r w:rsidR="00735CC0" w:rsidRPr="00735CC0">
        <w:rPr>
          <w:noProof/>
          <w:vertAlign w:val="superscript"/>
        </w:rPr>
        <w:t>22</w:t>
      </w:r>
      <w:r w:rsidRPr="00734942">
        <w:fldChar w:fldCharType="end"/>
      </w:r>
      <w:r w:rsidRPr="00734942">
        <w:t xml:space="preserve"> the Cochrane Handbook for Systematic Reviews of Diagnostic Test Accuracy,</w:t>
      </w:r>
      <w:r w:rsidRPr="00734942">
        <w:fldChar w:fldCharType="begin"/>
      </w:r>
      <w:r w:rsidR="00735CC0">
        <w:instrText xml:space="preserve"> ADDIN EN.CITE &lt;EndNote&gt;&lt;Cite&gt;&lt;Author&gt;Deeks&lt;/Author&gt;&lt;Year&gt;2013&lt;/Year&gt;&lt;RecNum&gt;28&lt;/RecNum&gt;&lt;DisplayText&gt;&lt;style face="superscript"&gt;23&lt;/style&gt;&lt;/DisplayText&gt;&lt;record&gt;&lt;rec-number&gt;28&lt;/rec-number&gt;&lt;foreign-keys&gt;&lt;key app="EN" db-id="tdwrx9xd1z9eepeevr355w2k959rv0f5zaax" timestamp="1632756069"&gt;28&lt;/key&gt;&lt;/foreign-keys&gt;&lt;ref-type name="Journal Article"&gt;17&lt;/ref-type&gt;&lt;contributors&gt;&lt;authors&gt;&lt;author&gt;Deeks, J.J.&lt;/author&gt;&lt;author&gt;Bossuyt, P.M.&lt;/author&gt;&lt;author&gt;Gatsonis, C.&lt;/author&gt;&lt;/authors&gt;&lt;/contributors&gt;&lt;titles&gt;&lt;title&gt;Cochrane Handbook for Systematic Reviews of Diagnostic Test Accuracy Version 1.0.0.&lt;/title&gt;&lt;secondary-title&gt;The Cochrane Collaboration&lt;/secondary-title&gt;&lt;/titles&gt;&lt;periodical&gt;&lt;full-title&gt;The Cochrane Collaboration&lt;/full-title&gt;&lt;/periodical&gt;&lt;dates&gt;&lt;year&gt;2013&lt;/year&gt;&lt;/dates&gt;&lt;urls&gt;&lt;related-urls&gt;&lt;url&gt;https://methods.cochrane.org/sdt/handbook-dta-reviews&lt;/url&gt;&lt;/related-urls&gt;&lt;/urls&gt;&lt;/record&gt;&lt;/Cite&gt;&lt;/EndNote&gt;</w:instrText>
      </w:r>
      <w:r w:rsidRPr="00734942">
        <w:fldChar w:fldCharType="separate"/>
      </w:r>
      <w:r w:rsidR="00735CC0" w:rsidRPr="00735CC0">
        <w:rPr>
          <w:noProof/>
          <w:vertAlign w:val="superscript"/>
        </w:rPr>
        <w:t>23</w:t>
      </w:r>
      <w:r w:rsidRPr="00734942">
        <w:fldChar w:fldCharType="end"/>
      </w:r>
      <w:r w:rsidRPr="00734942">
        <w:t xml:space="preserve"> and is reported according to the PRISMA DTA (Diagnostic Test Accuracy) statement.</w:t>
      </w:r>
      <w:r w:rsidRPr="00734942">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 </w:instrText>
      </w:r>
      <w:r w:rsidR="00735CC0">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24</w:t>
      </w:r>
      <w:r w:rsidRPr="00734942">
        <w:fldChar w:fldCharType="end"/>
      </w:r>
    </w:p>
    <w:p w14:paraId="0DF5B1DD" w14:textId="77777777" w:rsidR="0056595B" w:rsidRPr="00734942" w:rsidRDefault="0056595B" w:rsidP="0056595B">
      <w:pPr>
        <w:pStyle w:val="Heading2"/>
      </w:pPr>
      <w:bookmarkStart w:id="155" w:name="_Toc99539856"/>
      <w:r w:rsidRPr="00734942">
        <w:t>Systematic review methods</w:t>
      </w:r>
      <w:bookmarkEnd w:id="155"/>
    </w:p>
    <w:p w14:paraId="25B51C37" w14:textId="77777777" w:rsidR="0056595B" w:rsidRPr="00734942" w:rsidRDefault="0056595B" w:rsidP="0056595B">
      <w:pPr>
        <w:pStyle w:val="Heading3"/>
      </w:pPr>
      <w:bookmarkStart w:id="156" w:name="_Toc99539857"/>
      <w:r w:rsidRPr="00734942">
        <w:t>Eligibility criteria</w:t>
      </w:r>
      <w:bookmarkEnd w:id="156"/>
    </w:p>
    <w:p w14:paraId="300834E9" w14:textId="6915F733" w:rsidR="0056595B" w:rsidRPr="00734942" w:rsidRDefault="0056595B" w:rsidP="0056595B">
      <w:r w:rsidRPr="00734942">
        <w:t>Inclusion criteria were defined during protocol development and piloted on a subset of 500 articles at title and abstract screening to ensure that they could be applied objectively. We included studies that met the following criteria:</w:t>
      </w:r>
    </w:p>
    <w:p w14:paraId="45E29AB2" w14:textId="4D777071" w:rsidR="0056595B" w:rsidRPr="00734942" w:rsidRDefault="0056595B" w:rsidP="0056595B">
      <w:r w:rsidRPr="00734942">
        <w:rPr>
          <w:b/>
          <w:bCs/>
        </w:rPr>
        <w:t>Study design:</w:t>
      </w:r>
      <w:r w:rsidRPr="00734942">
        <w:t xml:space="preserve"> Diagnostic cohort studies (also known as “one gate design”) were included. Diagnostic case-control studies (also known as “two-gate” designs) that enrol a group of people with known </w:t>
      </w:r>
      <w:r w:rsidR="00551E93">
        <w:t>CD</w:t>
      </w:r>
      <w:r w:rsidRPr="00734942">
        <w:t xml:space="preserve"> and a group without </w:t>
      </w:r>
      <w:r w:rsidR="00551E93">
        <w:t>CD</w:t>
      </w:r>
      <w:r w:rsidRPr="00734942">
        <w:t xml:space="preserve"> were excluded as this type of design has been associated with inflated estimates of accuracy. We anticipated a substantial evidence base from cohort studies and so restricted to this more methodologically robust design.</w:t>
      </w:r>
      <w:r w:rsidRPr="00734942">
        <w:fldChar w:fldCharType="begin"/>
      </w:r>
      <w:r w:rsidR="00735CC0">
        <w:instrText xml:space="preserve"> ADDIN EN.CITE &lt;EndNote&gt;&lt;Cite&gt;&lt;Author&gt;Whiting&lt;/Author&gt;&lt;Year&gt;2013&lt;/Year&gt;&lt;RecNum&gt;323&lt;/RecNum&gt;&lt;DisplayText&gt;&lt;style face="superscript"&gt;68&lt;/style&gt;&lt;/DisplayText&gt;&lt;record&gt;&lt;rec-number&gt;323&lt;/rec-number&gt;&lt;foreign-keys&gt;&lt;key app="EN" db-id="tdwrx9xd1z9eepeevr355w2k959rv0f5zaax" timestamp="1632756299"&gt;323&lt;/key&gt;&lt;/foreign-keys&gt;&lt;ref-type name="Journal Article"&gt;17&lt;/ref-type&gt;&lt;contributors&gt;&lt;authors&gt;&lt;author&gt;Whiting, P. F.&lt;/author&gt;&lt;author&gt;Rutjes, A. W.&lt;/author&gt;&lt;author&gt;Westwood, M. E.&lt;/author&gt;&lt;author&gt;Mallett, S.&lt;/author&gt;&lt;author&gt;Quadas- Steering Group&lt;/author&gt;&lt;/authors&gt;&lt;/contributors&gt;&lt;auth-address&gt;Kleijnen Systematic Reviews Ltd, Unit 6, Escrick Business Park, Riccall Road, Escrick, York YO19 6FD, United Kingdom. penny@systematic-reviews.com&lt;/auth-address&gt;&lt;titles&gt;&lt;title&gt;A systematic review classifies sources of bias and variation in diagnostic test accuracy studies&lt;/title&gt;&lt;secondary-title&gt;J Clin Epidemiol&lt;/secondary-title&gt;&lt;/titles&gt;&lt;periodical&gt;&lt;full-title&gt;J Clin Epidemiol&lt;/full-title&gt;&lt;/periodical&gt;&lt;pages&gt;1093-104&lt;/pages&gt;&lt;volume&gt;66&lt;/volume&gt;&lt;number&gt;10&lt;/number&gt;&lt;edition&gt;2013/08/21&lt;/edition&gt;&lt;keywords&gt;&lt;keyword&gt;*Bias&lt;/keyword&gt;&lt;keyword&gt;Diagnostic Tests, Routine/*standards&lt;/keyword&gt;&lt;keyword&gt;Humans&lt;/keyword&gt;&lt;keyword&gt;*Review Literature as Topic&lt;/keyword&gt;&lt;keyword&gt;Sensitivity and Specificity&lt;/keyword&gt;&lt;keyword&gt;Bias&lt;/keyword&gt;&lt;keyword&gt;Sensitivity&lt;/keyword&gt;&lt;keyword&gt;Specificity&lt;/keyword&gt;&lt;keyword&gt;Systematic review&lt;/keyword&gt;&lt;keyword&gt;Test accuracy&lt;/keyword&gt;&lt;keyword&gt;Variation&lt;/keyword&gt;&lt;/keywords&gt;&lt;dates&gt;&lt;year&gt;2013&lt;/year&gt;&lt;pub-dates&gt;&lt;date&gt;Oct&lt;/date&gt;&lt;/pub-dates&gt;&lt;/dates&gt;&lt;isbn&gt;1878-5921 (Electronic)&amp;#xD;0895-4356 (Linking)&lt;/isbn&gt;&lt;accession-num&gt;23958378&lt;/accession-num&gt;&lt;urls&gt;&lt;related-urls&gt;&lt;url&gt;https://www.ncbi.nlm.nih.gov/pubmed/23958378&lt;/url&gt;&lt;/related-urls&gt;&lt;/urls&gt;&lt;electronic-resource-num&gt;10.1016/j.jclinepi.2013.05.014&lt;/electronic-resource-num&gt;&lt;/record&gt;&lt;/Cite&gt;&lt;/EndNote&gt;</w:instrText>
      </w:r>
      <w:r w:rsidRPr="00734942">
        <w:fldChar w:fldCharType="separate"/>
      </w:r>
      <w:r w:rsidR="00735CC0" w:rsidRPr="00735CC0">
        <w:rPr>
          <w:noProof/>
          <w:vertAlign w:val="superscript"/>
        </w:rPr>
        <w:t>68</w:t>
      </w:r>
      <w:r w:rsidRPr="00734942">
        <w:fldChar w:fldCharType="end"/>
      </w:r>
    </w:p>
    <w:p w14:paraId="21558684" w14:textId="77777777" w:rsidR="0056595B" w:rsidRPr="00734942" w:rsidRDefault="0056595B" w:rsidP="0056595B">
      <w:r w:rsidRPr="00734942">
        <w:rPr>
          <w:b/>
          <w:bCs/>
        </w:rPr>
        <w:t>Participants:</w:t>
      </w:r>
      <w:r w:rsidRPr="00734942">
        <w:t xml:space="preserve"> People presenting with symptoms of CD (e.g. diarrhoea, abdominal pain, fatigue) were included. After piloting our inclusion criteria, we decided to exclude studies in healthy individuals (i.e. screening) or those restricted to single risk groups(e.g. people with diabetes), to ensure that the review was conducted in a clinically relevant population who would be eligible to be tested for CD.</w:t>
      </w:r>
    </w:p>
    <w:p w14:paraId="69164659" w14:textId="33222673" w:rsidR="0056595B" w:rsidRPr="00734942" w:rsidRDefault="0056595B" w:rsidP="0056595B">
      <w:r w:rsidRPr="00734942">
        <w:rPr>
          <w:b/>
          <w:bCs/>
        </w:rPr>
        <w:t>Index test:</w:t>
      </w:r>
      <w:r w:rsidRPr="00734942">
        <w:t xml:space="preserve"> Any of the following serological tests for CD were eligible: IgA tTG, IgG tTG, IgA EMA, IgG EMA, IgA DGP, IgG DGP and IgA anti-actin antibodies (AAA). Combined serological tests, such as IgA/IgG tTG (which detect the presence of IgA tTG or IgG tTG in a serum sample) or IgA tTG followed by IgA EMA were also eligible for inclusion. Anti-gliadin antibodies were not considered in this review as they are not recommended for use in the diagnosis of CD by NICE as their accuracy has been shown to be poor.</w:t>
      </w:r>
      <w:r w:rsidRPr="00734942">
        <w:rPr>
          <w:noProof/>
        </w:rPr>
        <w:fldChar w:fldCharType="begin"/>
      </w:r>
      <w:r w:rsidR="008B12F5">
        <w:rPr>
          <w:noProof/>
        </w:rPr>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Pr="00734942">
        <w:rPr>
          <w:noProof/>
        </w:rPr>
        <w:fldChar w:fldCharType="separate"/>
      </w:r>
      <w:r w:rsidR="008B12F5" w:rsidRPr="008B12F5">
        <w:rPr>
          <w:noProof/>
          <w:vertAlign w:val="superscript"/>
        </w:rPr>
        <w:t>9</w:t>
      </w:r>
      <w:r w:rsidRPr="00734942">
        <w:rPr>
          <w:noProof/>
        </w:rPr>
        <w:fldChar w:fldCharType="end"/>
      </w:r>
      <w:r w:rsidRPr="00734942">
        <w:t xml:space="preserve"> Point-of-care or rapid serological tests were excluded as a systematic review of their accuracy had recently been published.</w:t>
      </w:r>
      <w:r w:rsidRPr="00734942">
        <w:fldChar w:fldCharType="begin">
          <w:fldData xml:space="preserve">PEVuZE5vdGU+PENpdGU+PEF1dGhvcj5TaW5naDwvQXV0aG9yPjxZZWFyPjIwMTk8L1llYXI+PFJl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=
</w:fldData>
        </w:fldChar>
      </w:r>
      <w:r w:rsidR="00735CC0">
        <w:instrText xml:space="preserve"> ADDIN EN.CITE </w:instrText>
      </w:r>
      <w:r w:rsidR="00735CC0">
        <w:fldChar w:fldCharType="begin">
          <w:fldData xml:space="preserve">PEVuZE5vdGU+PENpdGU+PEF1dGhvcj5TaW5naDwvQXV0aG9yPjxZZWFyPjIwMTk8L1llYXI+PFJl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=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69</w:t>
      </w:r>
      <w:r w:rsidRPr="00734942">
        <w:fldChar w:fldCharType="end"/>
      </w:r>
    </w:p>
    <w:p w14:paraId="1695C0B7" w14:textId="624D62D9" w:rsidR="0056595B" w:rsidRPr="00734942" w:rsidRDefault="0056595B" w:rsidP="0056595B">
      <w:r w:rsidRPr="00734942">
        <w:rPr>
          <w:b/>
          <w:bCs/>
        </w:rPr>
        <w:t>Reference standard:</w:t>
      </w:r>
      <w:r w:rsidRPr="00734942">
        <w:t xml:space="preserve"> Studies had to use duodenal biopsy to confirm the diagnosis of </w:t>
      </w:r>
      <w:r w:rsidR="00551E93">
        <w:t>CD</w:t>
      </w:r>
      <w:r w:rsidRPr="00734942">
        <w:t>; at least some seronegative patients had to have received biopsy for the study to be included. Studies in which serology formed part of the reference standard were excluded as this could lead to overestimation of test accuracy.</w:t>
      </w:r>
    </w:p>
    <w:p w14:paraId="0A0EF40A" w14:textId="77777777" w:rsidR="0056595B" w:rsidRPr="00734942" w:rsidRDefault="0056595B" w:rsidP="0056595B">
      <w:pPr>
        <w:pStyle w:val="Heading3"/>
      </w:pPr>
      <w:bookmarkStart w:id="157" w:name="_Toc99539858"/>
      <w:r w:rsidRPr="00734942">
        <w:t>Search strategy</w:t>
      </w:r>
      <w:bookmarkEnd w:id="157"/>
    </w:p>
    <w:p w14:paraId="7AB4E903" w14:textId="77777777" w:rsidR="0056595B" w:rsidRPr="00734942" w:rsidRDefault="0056595B" w:rsidP="0056595B">
      <w:r w:rsidRPr="00734942">
        <w:t>The following databases were searched from January 1990 until August 2020 for published studies and relevant reviews:</w:t>
      </w:r>
    </w:p>
    <w:p w14:paraId="095C1FF0" w14:textId="77777777" w:rsidR="0056595B" w:rsidRPr="00734942" w:rsidRDefault="0056595B" w:rsidP="0056595B">
      <w:pPr>
        <w:pStyle w:val="ListParagraph"/>
        <w:numPr>
          <w:ilvl w:val="0"/>
          <w:numId w:val="6"/>
        </w:numPr>
      </w:pPr>
      <w:r w:rsidRPr="00734942">
        <w:t>MEDLINE</w:t>
      </w:r>
    </w:p>
    <w:p w14:paraId="2E41F9CE" w14:textId="77777777" w:rsidR="0056595B" w:rsidRPr="00734942" w:rsidRDefault="0056595B" w:rsidP="0056595B">
      <w:pPr>
        <w:pStyle w:val="ListParagraph"/>
        <w:numPr>
          <w:ilvl w:val="0"/>
          <w:numId w:val="6"/>
        </w:numPr>
      </w:pPr>
      <w:r w:rsidRPr="00734942">
        <w:t>Embase</w:t>
      </w:r>
    </w:p>
    <w:p w14:paraId="34190F7B" w14:textId="77777777" w:rsidR="0056595B" w:rsidRPr="00734942" w:rsidRDefault="0056595B" w:rsidP="0056595B">
      <w:pPr>
        <w:pStyle w:val="ListParagraph"/>
        <w:numPr>
          <w:ilvl w:val="0"/>
          <w:numId w:val="6"/>
        </w:numPr>
      </w:pPr>
      <w:r w:rsidRPr="00734942">
        <w:t>Cochrane Library</w:t>
      </w:r>
    </w:p>
    <w:p w14:paraId="4073ABA3" w14:textId="77777777" w:rsidR="0056595B" w:rsidRPr="00734942" w:rsidRDefault="0056595B" w:rsidP="0056595B">
      <w:pPr>
        <w:pStyle w:val="ListParagraph"/>
        <w:numPr>
          <w:ilvl w:val="0"/>
          <w:numId w:val="6"/>
        </w:numPr>
      </w:pPr>
      <w:r w:rsidRPr="00734942">
        <w:t xml:space="preserve">Web of Science </w:t>
      </w:r>
    </w:p>
    <w:p w14:paraId="308C70C5" w14:textId="77777777" w:rsidR="0056595B" w:rsidRPr="00734942" w:rsidRDefault="0056595B" w:rsidP="0056595B">
      <w:pPr>
        <w:pStyle w:val="ListParagraph"/>
        <w:numPr>
          <w:ilvl w:val="0"/>
          <w:numId w:val="6"/>
        </w:numPr>
      </w:pPr>
      <w:r w:rsidRPr="00734942">
        <w:t>KSR Evidence</w:t>
      </w:r>
    </w:p>
    <w:p w14:paraId="16CF0644" w14:textId="77777777" w:rsidR="0056595B" w:rsidRPr="00734942" w:rsidRDefault="0056595B" w:rsidP="0056595B">
      <w:r w:rsidRPr="00734942">
        <w:t>To identify completed and ongoing trials, we searched the following trial registries from January 1990 to August 2020:</w:t>
      </w:r>
    </w:p>
    <w:p w14:paraId="1F302A3C" w14:textId="77777777" w:rsidR="0056595B" w:rsidRPr="00734942" w:rsidRDefault="0056595B" w:rsidP="0056595B">
      <w:pPr>
        <w:pStyle w:val="ListParagraph"/>
        <w:numPr>
          <w:ilvl w:val="0"/>
          <w:numId w:val="6"/>
        </w:numPr>
      </w:pPr>
      <w:r w:rsidRPr="00734942">
        <w:t xml:space="preserve">WHO International Clinical Trials Registry </w:t>
      </w:r>
    </w:p>
    <w:p w14:paraId="15D0F6DF" w14:textId="77777777" w:rsidR="0056595B" w:rsidRPr="00734942" w:rsidRDefault="0056595B" w:rsidP="0056595B">
      <w:pPr>
        <w:pStyle w:val="ListParagraph"/>
        <w:numPr>
          <w:ilvl w:val="0"/>
          <w:numId w:val="6"/>
        </w:numPr>
      </w:pPr>
      <w:r w:rsidRPr="00734942">
        <w:t>NIH Clinical Trials database</w:t>
      </w:r>
    </w:p>
    <w:p w14:paraId="0C9B8FE6" w14:textId="104C6009" w:rsidR="0056595B" w:rsidRPr="00734942" w:rsidRDefault="0056595B" w:rsidP="0056595B">
      <w:r w:rsidRPr="00734942">
        <w:lastRenderedPageBreak/>
        <w:t>Internet searches were carried out using terms such as “Celiac”, “Coeliac” and Serological tests”. Reference lists of relevant systematic reviews identified during the literature search were used as a source of potentially relevant studies.</w:t>
      </w:r>
    </w:p>
    <w:p w14:paraId="46EC1796" w14:textId="196FFD16" w:rsidR="0056595B" w:rsidRPr="00734942" w:rsidRDefault="0056595B" w:rsidP="0056595B">
      <w:r w:rsidRPr="00734942">
        <w:t xml:space="preserve">No language or publication restrictions were applied. Date restrictions were applied to limit searches to 1990 onwards. This is the time at which serological tests for </w:t>
      </w:r>
      <w:r w:rsidR="00551E93">
        <w:t>CD</w:t>
      </w:r>
      <w:r w:rsidRPr="00734942">
        <w:t xml:space="preserve"> first became available.</w:t>
      </w:r>
      <w:r w:rsidRPr="00734942">
        <w:fldChar w:fldCharType="begin"/>
      </w:r>
      <w:r w:rsidR="00735CC0">
        <w:instrText xml:space="preserve"> ADDIN EN.CITE &lt;EndNote&gt;&lt;Cite&gt;&lt;Author&gt;Holmes&lt;/Author&gt;&lt;Year&gt;2018&lt;/Year&gt;&lt;RecNum&gt;337&lt;/RecNum&gt;&lt;DisplayText&gt;&lt;style face="superscript"&gt;70&lt;/style&gt;&lt;/DisplayText&gt;&lt;record&gt;&lt;rec-number&gt;63&lt;/rec-number&gt;&lt;foreign-keys&gt;&lt;key app="EN" db-id="vw9swrvf2sx0areepv9xw9pu9srzpt5zrv0p" timestamp="1636117921"&gt;63&lt;/key&gt;&lt;/foreign-keys&gt;&lt;ref-type name="Journal Article"&gt;17&lt;/ref-type&gt;&lt;contributors&gt;&lt;authors&gt;&lt;author&gt;Holmes, G.&lt;/author&gt;&lt;author&gt;Ciacci, C.&lt;/author&gt;&lt;/authors&gt;&lt;/contributors&gt;&lt;auth-address&gt;Royal Derby Hospital, Derby, UK.&amp;#xD;Coeliac Center at Department of Medicine and Surgery, Scuola Medica Salernitana, University of Salerno, Salerno, Italy.&lt;/auth-address&gt;&lt;titles&gt;&lt;title&gt;The serological diagnosis of coeliac disease - a step forward&lt;/title&gt;&lt;secondary-title&gt;Gastroenterol Hepatol Bed Bench&lt;/secondary-title&gt;&lt;/titles&gt;&lt;periodical&gt;&lt;full-title&gt;Gastroenterol Hepatol Bed Bench&lt;/full-title&gt;&lt;/periodical&gt;&lt;pages&gt;209-215&lt;/pages&gt;&lt;volume&gt;11&lt;/volume&gt;&lt;number&gt;3&lt;/number&gt;&lt;edition&gt;2018/07/18&lt;/edition&gt;&lt;keywords&gt;&lt;keyword&gt;Celiac disease&lt;/keyword&gt;&lt;keyword&gt;Diagnosis&lt;/keyword&gt;&lt;keyword&gt;Serology&lt;/keyword&gt;&lt;keyword&gt;Tissue transglutaminase&lt;/keyword&gt;&lt;/keywords&gt;&lt;dates&gt;&lt;year&gt;2018&lt;/year&gt;&lt;pub-dates&gt;&lt;date&gt;Summer&lt;/date&gt;&lt;/pub-dates&gt;&lt;/dates&gt;&lt;isbn&gt;2008-2258 (Print)&amp;#xD;2008-2258 (Linking)&lt;/isbn&gt;&lt;accession-num&gt;30013744&lt;/accession-num&gt;&lt;urls&gt;&lt;related-urls&gt;&lt;url&gt;https://www.ncbi.nlm.nih.gov/pubmed/30013744&lt;/url&gt;&lt;/related-urls&gt;&lt;/urls&gt;&lt;custom2&gt;PMC6040038&lt;/custom2&gt;&lt;/record&gt;&lt;/Cite&gt;&lt;/EndNote&gt;</w:instrText>
      </w:r>
      <w:r w:rsidRPr="00734942">
        <w:fldChar w:fldCharType="separate"/>
      </w:r>
      <w:r w:rsidR="00735CC0" w:rsidRPr="00735CC0">
        <w:rPr>
          <w:noProof/>
          <w:vertAlign w:val="superscript"/>
        </w:rPr>
        <w:t>70</w:t>
      </w:r>
      <w:r w:rsidRPr="00734942">
        <w:fldChar w:fldCharType="end"/>
      </w:r>
    </w:p>
    <w:p w14:paraId="5BB4768F" w14:textId="33FAE1E2" w:rsidR="0056595B" w:rsidRPr="00734942" w:rsidRDefault="0056595B" w:rsidP="0056595B">
      <w:r w:rsidRPr="00734942">
        <w:t xml:space="preserve">We combined terms for “antibodies” with terms for “coeliac disease”. Search strategies were adapted for each database searched. Full details of the search strategies are available in </w:t>
      </w:r>
      <w:r w:rsidR="00EB625B">
        <w:fldChar w:fldCharType="begin"/>
      </w:r>
      <w:r w:rsidR="00EB625B">
        <w:instrText xml:space="preserve"> REF _Ref95137279 \h </w:instrText>
      </w:r>
      <w:r w:rsidR="00EB625B">
        <w:fldChar w:fldCharType="separate"/>
      </w:r>
      <w:r w:rsidR="008B5583" w:rsidRPr="00734942">
        <w:t xml:space="preserve">Appendix </w:t>
      </w:r>
      <w:r w:rsidR="008B5583">
        <w:t>16</w:t>
      </w:r>
      <w:r w:rsidR="00EB625B">
        <w:fldChar w:fldCharType="end"/>
      </w:r>
      <w:r w:rsidR="00EB625B">
        <w:t xml:space="preserve">. </w:t>
      </w:r>
      <w:r w:rsidRPr="00734942">
        <w:t>Results of the searches were downloaded and saved to an Endnote X9 library.</w:t>
      </w:r>
    </w:p>
    <w:p w14:paraId="35352052" w14:textId="77777777" w:rsidR="0056595B" w:rsidRPr="00734942" w:rsidRDefault="0056595B" w:rsidP="0056595B">
      <w:pPr>
        <w:pStyle w:val="Heading3"/>
      </w:pPr>
      <w:bookmarkStart w:id="158" w:name="_Toc99539859"/>
      <w:r w:rsidRPr="00734942">
        <w:t>Study selection</w:t>
      </w:r>
      <w:bookmarkEnd w:id="158"/>
    </w:p>
    <w:p w14:paraId="5225B17F" w14:textId="1E23C504" w:rsidR="0056595B" w:rsidRPr="00734942" w:rsidRDefault="0056595B" w:rsidP="0056595B">
      <w:r w:rsidRPr="00734942">
        <w:t>Titles and abstracts were uploaded to the Rayyan systematic review software platform,</w:t>
      </w:r>
      <w:r w:rsidRPr="00734942">
        <w:rPr>
          <w:noProof/>
        </w:rPr>
        <w:t xml:space="preserve"> </w:t>
      </w:r>
      <w:r w:rsidRPr="00734942">
        <w:rPr>
          <w:noProof/>
        </w:rPr>
        <w:fldChar w:fldCharType="begin"/>
      </w:r>
      <w:r w:rsidR="00735CC0">
        <w:rPr>
          <w:noProof/>
        </w:rPr>
        <w:instrText xml:space="preserve"> ADDIN EN.CITE &lt;EndNote&gt;&lt;Cite&gt;&lt;Author&gt;Ouzzani&lt;/Author&gt;&lt;Year&gt;2016&lt;/Year&gt;&lt;RecNum&gt;457&lt;/RecNum&gt;&lt;DisplayText&gt;&lt;style face="superscript"&gt;71&lt;/style&gt;&lt;/DisplayText&gt;&lt;record&gt;&lt;rec-number&gt;457&lt;/rec-number&gt;&lt;foreign-keys&gt;&lt;key app="EN" db-id="tdwrx9xd1z9eepeevr355w2k959rv0f5zaax" timestamp="1636542651"&gt;457&lt;/key&gt;&lt;/foreign-keys&gt;&lt;ref-type name="Journal Article"&gt;17&lt;/ref-type&gt;&lt;contributors&gt;&lt;authors&gt;&lt;author&gt;Ouzzani, M.&lt;/author&gt;&lt;author&gt;Hammady, H.&lt;/author&gt;&lt;author&gt;Fedorowicz, Z.&lt;/author&gt;&lt;author&gt;Elmagarmid, A.&lt;/author&gt;&lt;/authors&gt;&lt;/contributors&gt;&lt;auth-address&gt;Qatar Computing Research Institute, HBKU, Doha, Qatar. mouzzani@qf.org.qa.&amp;#xD;Qatar Computing Research Institute, HBKU, Doha, Qatar.&amp;#xD;Cochrane Bahrain, Awali, Bahrain.&lt;/auth-address&gt;&lt;titles&gt;&lt;title&gt;Rayyan-a web and mobile app for systematic reviews&lt;/title&gt;&lt;secondary-title&gt;Syst Rev&lt;/secondary-title&gt;&lt;/titles&gt;&lt;periodical&gt;&lt;full-title&gt;Syst Rev&lt;/full-title&gt;&lt;/periodical&gt;&lt;pages&gt;210&lt;/pages&gt;&lt;volume&gt;5&lt;/volume&gt;&lt;number&gt;1&lt;/number&gt;&lt;edition&gt;2016/12/07&lt;/edition&gt;&lt;keywords&gt;&lt;keyword&gt;Feedback&lt;/keyword&gt;&lt;keyword&gt;Humans&lt;/keyword&gt;&lt;keyword&gt;*Internet&lt;/keyword&gt;&lt;keyword&gt;*Mobile Applications/standards&lt;/keyword&gt;&lt;keyword&gt;Randomized Controlled Trials as Topic&lt;/keyword&gt;&lt;keyword&gt;*Research Design&lt;/keyword&gt;&lt;keyword&gt;*Review Literature as Topic&lt;/keyword&gt;&lt;keyword&gt;Time Factors&lt;/keyword&gt;&lt;keyword&gt;*Automation&lt;/keyword&gt;&lt;keyword&gt;*Evidence-based medicine&lt;/keyword&gt;&lt;keyword&gt;*Systematic reviews&lt;/keyword&gt;&lt;/keywords&gt;&lt;dates&gt;&lt;year&gt;2016&lt;/year&gt;&lt;pub-dates&gt;&lt;date&gt;Dec 5&lt;/date&gt;&lt;/pub-dates&gt;&lt;/dates&gt;&lt;isbn&gt;2046-4053 (Electronic)&amp;#xD;2046-4053 (Linking)&lt;/isbn&gt;&lt;accession-num&gt;27919275&lt;/accession-num&gt;&lt;urls&gt;&lt;related-urls&gt;&lt;url&gt;https://www.ncbi.nlm.nih.gov/pubmed/27919275&lt;/url&gt;&lt;/related-urls&gt;&lt;/urls&gt;&lt;custom2&gt;PMC5139140&lt;/custom2&gt;&lt;electronic-resource-num&gt;10.1186/s13643-016-0384-4&lt;/electronic-resource-num&gt;&lt;/record&gt;&lt;/Cite&gt;&lt;/EndNote&gt;</w:instrText>
      </w:r>
      <w:r w:rsidRPr="00734942">
        <w:rPr>
          <w:noProof/>
        </w:rPr>
        <w:fldChar w:fldCharType="separate"/>
      </w:r>
      <w:r w:rsidR="00735CC0" w:rsidRPr="00735CC0">
        <w:rPr>
          <w:noProof/>
          <w:vertAlign w:val="superscript"/>
        </w:rPr>
        <w:t>71</w:t>
      </w:r>
      <w:r w:rsidRPr="00734942">
        <w:rPr>
          <w:noProof/>
        </w:rPr>
        <w:fldChar w:fldCharType="end"/>
      </w:r>
      <w:r w:rsidRPr="00734942">
        <w:rPr>
          <w:noProof/>
        </w:rPr>
        <w:t xml:space="preserve"> </w:t>
      </w:r>
      <w:r w:rsidRPr="00734942">
        <w:t>and screened independently by two reviewers. Any discrepancies were discussed; where disagreement remained, articles were considered to be potentially relevant. Articles considered potentially relevant were obtained as full text articles and assessed by one reviewer and checked by a second reviewer against the review inclusion criteria using a Microsoft Access form designed specifically for this review. Any discrepancies between reviewers were resolved through discussion or referral to a third reviewer.</w:t>
      </w:r>
    </w:p>
    <w:p w14:paraId="0B172876" w14:textId="77777777" w:rsidR="0056595B" w:rsidRPr="00734942" w:rsidRDefault="0056595B" w:rsidP="0056595B">
      <w:pPr>
        <w:pStyle w:val="Heading3"/>
      </w:pPr>
      <w:bookmarkStart w:id="159" w:name="_Toc99539860"/>
      <w:r w:rsidRPr="00734942">
        <w:t>Data collection process</w:t>
      </w:r>
      <w:bookmarkEnd w:id="159"/>
    </w:p>
    <w:p w14:paraId="1277E9BF" w14:textId="68504BA4" w:rsidR="0056595B" w:rsidRPr="00734942" w:rsidRDefault="0056595B" w:rsidP="0056595B">
      <w:r w:rsidRPr="00734942">
        <w:t>Standardised data extraction forms were developed using Microsoft Access. These were piloted on a small sample of papers and adapted as necessary before use. Data extraction was performed by one reviewer and checked by a second. Disagreements were resolved through discussion or referral to a third reviewer where necessary.</w:t>
      </w:r>
    </w:p>
    <w:p w14:paraId="1D4F04AD" w14:textId="3A76E87A" w:rsidR="0056595B" w:rsidRPr="00734942" w:rsidRDefault="0056595B" w:rsidP="0056595B">
      <w:r w:rsidRPr="00734942">
        <w:t>We extracted data on the following from each included study:</w:t>
      </w:r>
    </w:p>
    <w:p w14:paraId="7B7334D7" w14:textId="77777777" w:rsidR="0056595B" w:rsidRPr="00734942" w:rsidRDefault="0056595B" w:rsidP="0056595B">
      <w:pPr>
        <w:pStyle w:val="ListParagraph"/>
        <w:numPr>
          <w:ilvl w:val="0"/>
          <w:numId w:val="7"/>
        </w:numPr>
      </w:pPr>
      <w:r w:rsidRPr="00734942">
        <w:t>Participant characteristics: adults/children, reason for biopsy, number of participants</w:t>
      </w:r>
    </w:p>
    <w:p w14:paraId="0DBF0DB3" w14:textId="77777777" w:rsidR="0056595B" w:rsidRPr="00734942" w:rsidRDefault="0056595B" w:rsidP="0056595B">
      <w:pPr>
        <w:pStyle w:val="ListParagraph"/>
        <w:numPr>
          <w:ilvl w:val="0"/>
          <w:numId w:val="7"/>
        </w:numPr>
      </w:pPr>
      <w:r w:rsidRPr="00734942">
        <w:t>Serological tests: test(s) evaluated, threshold(s) for positivity</w:t>
      </w:r>
    </w:p>
    <w:p w14:paraId="757D4D96" w14:textId="28C46872" w:rsidR="0056595B" w:rsidRPr="00734942" w:rsidRDefault="0056595B" w:rsidP="0056595B">
      <w:pPr>
        <w:pStyle w:val="ListParagraph"/>
        <w:numPr>
          <w:ilvl w:val="0"/>
          <w:numId w:val="7"/>
        </w:numPr>
      </w:pPr>
      <w:r w:rsidRPr="00734942">
        <w:t xml:space="preserve">Biopsy procedures: Definition of </w:t>
      </w:r>
      <w:r w:rsidR="00551E93">
        <w:t>CD</w:t>
      </w:r>
      <w:r w:rsidRPr="00734942">
        <w:t xml:space="preserve"> (biopsy threshold), proportion biopsied</w:t>
      </w:r>
    </w:p>
    <w:p w14:paraId="63167138" w14:textId="0D080A44" w:rsidR="0056595B" w:rsidRPr="00734942" w:rsidRDefault="0056595B" w:rsidP="0056595B">
      <w:r w:rsidRPr="00734942">
        <w:t xml:space="preserve">Results data were extracted as 2x2 tables of test results (number of true positives, false negatives, false positives and true negatives) for each index test against the biopsy reference standard. </w:t>
      </w:r>
      <w:r w:rsidR="004709C2">
        <w:t>Where reported, 2x2 tables for testing strategies involving combinations of serological tests were also extracted.</w:t>
      </w:r>
      <w:r w:rsidR="00427E06">
        <w:t xml:space="preserve"> </w:t>
      </w:r>
      <w:r w:rsidRPr="00734942">
        <w:t>Where 2x2 data were reported at multiple thresholds within a study, data relating to the manufacturer or author pre-specified cut-off were extracted. Two-by-two data were extracted at biopsy cut-off Marsh Grade 3a if available, otherwise any reported biopsy threshold was accepted.</w:t>
      </w:r>
      <w:r w:rsidR="00263A65">
        <w:t xml:space="preserve"> </w:t>
      </w:r>
    </w:p>
    <w:p w14:paraId="6F0269C0" w14:textId="77777777" w:rsidR="0056595B" w:rsidRPr="00734942" w:rsidRDefault="0056595B" w:rsidP="0056595B">
      <w:pPr>
        <w:pStyle w:val="Heading3"/>
      </w:pPr>
      <w:bookmarkStart w:id="160" w:name="_Toc99539861"/>
      <w:r w:rsidRPr="00734942">
        <w:t>Risk of bias</w:t>
      </w:r>
      <w:bookmarkEnd w:id="160"/>
    </w:p>
    <w:p w14:paraId="4A9FE6FB" w14:textId="357269AD" w:rsidR="0056595B" w:rsidRPr="00734942" w:rsidRDefault="0056595B" w:rsidP="0056595B">
      <w:r w:rsidRPr="00734942">
        <w:t xml:space="preserve">Studies were assessed for methodological quality using the QUADAS-2 tool. This assesses the risk of bias and concerns regarding applicability across the following four domains: patient selection, index test, reference standard and flow and timing. For this review, we omitted the assessment of applicability as the research question was defined such that any study meeting the inclusion criteria was applicable to the research question. We tailored the signalling questions to our review – the exact signalling questions used are reported in Supplementary </w:t>
      </w:r>
      <w:r w:rsidR="001473C2">
        <w:t>Table S9</w:t>
      </w:r>
      <w:r w:rsidRPr="00263A65">
        <w:t>. For comparative accuracy studies we added additional signalling questions</w:t>
      </w:r>
      <w:r w:rsidRPr="004152AE">
        <w:t xml:space="preserve"> based on a draft version of the QUADAS-C tool which was under d</w:t>
      </w:r>
      <w:r w:rsidRPr="00A27B5E">
        <w:t>evelopment at</w:t>
      </w:r>
      <w:r w:rsidRPr="00734942">
        <w:t xml:space="preserve"> the time of our review to assess the comparative nature of the studies.</w:t>
      </w:r>
      <w:r w:rsidR="00683DB4">
        <w:fldChar w:fldCharType="begin">
          <w:fldData xml:space="preserve">PEVuZE5vdGU+PENpdGU+PEF1dGhvcj5ZYW5nPC9BdXRob3I+PFllYXI+MjAyMTwvWWVhcj48UmVj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</w:fldData>
        </w:fldChar>
      </w:r>
      <w:r w:rsidR="00735CC0">
        <w:instrText xml:space="preserve"> ADDIN EN.CITE </w:instrText>
      </w:r>
      <w:r w:rsidR="00735CC0">
        <w:fldChar w:fldCharType="begin">
          <w:fldData xml:space="preserve">PEVuZE5vdGU+PENpdGU+PEF1dGhvcj5ZYW5nPC9BdXRob3I+PFllYXI+MjAyMTwvWWVhcj48UmVj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</w:fldData>
        </w:fldChar>
      </w:r>
      <w:r w:rsidR="00735CC0">
        <w:instrText xml:space="preserve"> ADDIN EN.CITE.DATA </w:instrText>
      </w:r>
      <w:r w:rsidR="00735CC0">
        <w:fldChar w:fldCharType="end"/>
      </w:r>
      <w:r w:rsidR="00683DB4">
        <w:fldChar w:fldCharType="separate"/>
      </w:r>
      <w:r w:rsidR="00735CC0" w:rsidRPr="00735CC0">
        <w:rPr>
          <w:noProof/>
          <w:vertAlign w:val="superscript"/>
        </w:rPr>
        <w:t>72</w:t>
      </w:r>
      <w:r w:rsidR="00683DB4">
        <w:fldChar w:fldCharType="end"/>
      </w:r>
      <w:r w:rsidRPr="00734942">
        <w:t xml:space="preserve"> These are also summarised in </w:t>
      </w:r>
      <w:r w:rsidR="00106800" w:rsidRPr="00734942">
        <w:t xml:space="preserve">Supplementary </w:t>
      </w:r>
      <w:r w:rsidR="00106800">
        <w:t>Table S9</w:t>
      </w:r>
      <w:r w:rsidRPr="00734942">
        <w:t>.</w:t>
      </w:r>
    </w:p>
    <w:p w14:paraId="736D0B50" w14:textId="240BA841" w:rsidR="0056595B" w:rsidRPr="00734942" w:rsidRDefault="0056595B" w:rsidP="0056595B">
      <w:r w:rsidRPr="00734942">
        <w:lastRenderedPageBreak/>
        <w:t>Each risk of bias domain was judged as “high”, “low” or “unclear” risk of bias. If at least one of the domains was rated as “high”, the study was considered at high risk of bias; if all domains were judged as “low” the study was considered at low risk of bias; otherwise, the study was considered as “unclear” risk of bias.</w:t>
      </w:r>
    </w:p>
    <w:p w14:paraId="3957FDFD" w14:textId="77777777" w:rsidR="0056595B" w:rsidRPr="00734942" w:rsidRDefault="0056595B" w:rsidP="0056595B">
      <w:r w:rsidRPr="00734942">
        <w:t>When a study reported accuracy data for two or more tests, the ‘index test’ and ‘flow and timing’ domains were assessed separately for each test. When a study reported accuracy data for adults and children separately, all domains were assessed separately for each patient group.</w:t>
      </w:r>
    </w:p>
    <w:p w14:paraId="7FB7AB8C" w14:textId="77777777" w:rsidR="0056595B" w:rsidRPr="00734942" w:rsidRDefault="0056595B" w:rsidP="0056595B">
      <w:pPr>
        <w:pStyle w:val="Heading3"/>
      </w:pPr>
      <w:bookmarkStart w:id="161" w:name="_Toc99539862"/>
      <w:r w:rsidRPr="00734942">
        <w:t>Synthesis of results</w:t>
      </w:r>
      <w:bookmarkEnd w:id="161"/>
    </w:p>
    <w:p w14:paraId="443D157E" w14:textId="62EDF3A9" w:rsidR="0056595B" w:rsidRPr="00734942" w:rsidRDefault="0056595B" w:rsidP="0056595B">
      <w:r w:rsidRPr="00734942">
        <w:t xml:space="preserve">We grouped studies according to age group (adults &gt;16 years; children </w:t>
      </w:r>
      <w:r w:rsidRPr="00734942">
        <w:rPr>
          <w:rFonts w:cstheme="minorHAnsi"/>
        </w:rPr>
        <w:t>≤</w:t>
      </w:r>
      <w:r w:rsidRPr="00734942">
        <w:t>16 years; mixed [adults and children] and age unspecified) and stratified all analyses by age group and serological test, or test combination. Meta-analyses were performed in Stata version 16.0 using the metandi command.</w:t>
      </w:r>
      <w:r w:rsidR="00A95D5D">
        <w:fldChar w:fldCharType="begin"/>
      </w:r>
      <w:r w:rsidR="00735CC0">
        <w:instrText xml:space="preserve"> ADDIN EN.CITE &lt;EndNote&gt;&lt;Cite&gt;&lt;Author&gt;StataCorp&lt;/Author&gt;&lt;Year&gt;2019&lt;/Year&gt;&lt;RecNum&gt;458&lt;/RecNum&gt;&lt;DisplayText&gt;&lt;style face="superscript"&gt;73&lt;/style&gt;&lt;/DisplayText&gt;&lt;record&gt;&lt;rec-number&gt;458&lt;/rec-number&gt;&lt;foreign-keys&gt;&lt;key app="EN" db-id="tdwrx9xd1z9eepeevr355w2k959rv0f5zaax" timestamp="1636542651"&gt;458&lt;/key&gt;&lt;/foreign-keys&gt;&lt;ref-type name="Report"&gt;27&lt;/ref-type&gt;&lt;contributors&gt;&lt;authors&gt;&lt;author&gt;StataCorp&lt;/author&gt;&lt;/authors&gt;&lt;/contributors&gt;&lt;titles&gt;&lt;title&gt;Stata Statistical Software: Release 16&lt;/title&gt;&lt;/titles&gt;&lt;dates&gt;&lt;year&gt;2019&lt;/year&gt;&lt;/dates&gt;&lt;pub-location&gt;College Station, TX&lt;/pub-location&gt;&lt;publisher&gt;StataCorp LLC&lt;/publisher&gt;&lt;urls&gt;&lt;/urls&gt;&lt;/record&gt;&lt;/Cite&gt;&lt;Cite&gt;&lt;Author&gt;StataCorp&lt;/Author&gt;&lt;Year&gt;2019&lt;/Year&gt;&lt;RecNum&gt;458&lt;/RecNum&gt;&lt;record&gt;&lt;rec-number&gt;458&lt;/rec-number&gt;&lt;foreign-keys&gt;&lt;key app="EN" db-id="tdwrx9xd1z9eepeevr355w2k959rv0f5zaax" timestamp="1636542651"&gt;458&lt;/key&gt;&lt;/foreign-keys&gt;&lt;ref-type name="Report"&gt;27&lt;/ref-type&gt;&lt;contributors&gt;&lt;authors&gt;&lt;author&gt;StataCorp&lt;/author&gt;&lt;/authors&gt;&lt;/contributors&gt;&lt;titles&gt;&lt;title&gt;Stata Statistical Software: Release 16&lt;/title&gt;&lt;/titles&gt;&lt;dates&gt;&lt;year&gt;2019&lt;/year&gt;&lt;/dates&gt;&lt;pub-location&gt;College Station, TX&lt;/pub-location&gt;&lt;publisher&gt;StataCorp LLC&lt;/publisher&gt;&lt;urls&gt;&lt;/urls&gt;&lt;/record&gt;&lt;/Cite&gt;&lt;/EndNote&gt;</w:instrText>
      </w:r>
      <w:r w:rsidR="00A95D5D">
        <w:fldChar w:fldCharType="separate"/>
      </w:r>
      <w:r w:rsidR="00735CC0" w:rsidRPr="00735CC0">
        <w:rPr>
          <w:noProof/>
          <w:vertAlign w:val="superscript"/>
        </w:rPr>
        <w:t>73</w:t>
      </w:r>
      <w:r w:rsidR="00A95D5D">
        <w:fldChar w:fldCharType="end"/>
      </w:r>
    </w:p>
    <w:p w14:paraId="766E5185" w14:textId="77777777" w:rsidR="0056595B" w:rsidRPr="00734942" w:rsidRDefault="0056595B" w:rsidP="0056595B">
      <w:pPr>
        <w:pStyle w:val="Heading4"/>
      </w:pPr>
      <w:r w:rsidRPr="00734942">
        <w:t>Primary analyses</w:t>
      </w:r>
    </w:p>
    <w:p w14:paraId="013A57DA" w14:textId="1366F71B" w:rsidR="0056595B" w:rsidRPr="00734942" w:rsidRDefault="0056595B" w:rsidP="0056595B">
      <w:r w:rsidRPr="00734942">
        <w:t xml:space="preserve">For data sets that </w:t>
      </w:r>
      <w:r w:rsidRPr="002211F5">
        <w:t>included at least four studies, a bivariate random effects meta-analysis of sensitivity and specificity was performed,</w:t>
      </w:r>
      <w:r w:rsidR="00EA1C17">
        <w:fldChar w:fldCharType="begin"/>
      </w:r>
      <w:r w:rsidR="00735CC0">
        <w:instrText xml:space="preserve"> ADDIN EN.CITE &lt;EndNote&gt;&lt;Cite&gt;&lt;Author&gt;Reitsma&lt;/Author&gt;&lt;Year&gt;2005&lt;/Year&gt;&lt;RecNum&gt;34&lt;/RecNum&gt;&lt;DisplayText&gt;&lt;style face="superscript"&gt;30&lt;/style&gt;&lt;/DisplayText&gt;&lt;record&gt;&lt;rec-number&gt;34&lt;/rec-number&gt;&lt;foreign-keys&gt;&lt;key app="EN" db-id="tdwrx9xd1z9eepeevr355w2k959rv0f5zaax" timestamp="1632756070"&gt;34&lt;/key&gt;&lt;/foreign-keys&gt;&lt;ref-type name="Journal Article"&gt;17&lt;/ref-type&gt;&lt;contributors&gt;&lt;authors&gt;&lt;author&gt;Reitsma, J. B.&lt;/author&gt;&lt;author&gt;Glas, A. S.&lt;/author&gt;&lt;author&gt;Rutjes, A. W.&lt;/author&gt;&lt;author&gt;Scholten, R. J.&lt;/author&gt;&lt;author&gt;Bossuyt, P. M.&lt;/author&gt;&lt;author&gt;Zwinderman, A. H.&lt;/author&gt;&lt;/authors&gt;&lt;/contributors&gt;&lt;auth-address&gt;Department of Clinical Epidemiology and Biostatistics, Academic Medical Center, University of Amsterdam, PO Box 22700, 1100 DE Amsterdam, The Netherlands. j.reitsma@amc.uva.nl&lt;/auth-address&gt;&lt;titles&gt;&lt;title&gt;Bivariate analysis of sensitivity and specificity produces informative summary measures in diagnostic reviews&lt;/title&gt;&lt;secondary-title&gt;J Clin Epidemiol&lt;/secondary-title&gt;&lt;/titles&gt;&lt;periodical&gt;&lt;full-title&gt;J Clin Epidemiol&lt;/full-title&gt;&lt;/periodical&gt;&lt;pages&gt;982-90&lt;/pages&gt;&lt;volume&gt;58&lt;/volume&gt;&lt;number&gt;10&lt;/number&gt;&lt;edition&gt;2005/09/20&lt;/edition&gt;&lt;keywords&gt;&lt;keyword&gt;Data Interpretation, Statistical&lt;/keyword&gt;&lt;keyword&gt;*Diagnostic Techniques and Procedures&lt;/keyword&gt;&lt;keyword&gt;Humans&lt;/keyword&gt;&lt;keyword&gt;*Meta-Analysis as Topic&lt;/keyword&gt;&lt;keyword&gt;Outcome Assessment, Health Care/methods&lt;/keyword&gt;&lt;keyword&gt;ROC Curve&lt;/keyword&gt;&lt;keyword&gt;Review Literature as Topic&lt;/keyword&gt;&lt;keyword&gt;Sensitivity and Specificity&lt;/keyword&gt;&lt;/keywords&gt;&lt;dates&gt;&lt;year&gt;2005&lt;/year&gt;&lt;pub-dates&gt;&lt;date&gt;Oct&lt;/date&gt;&lt;/pub-dates&gt;&lt;/dates&gt;&lt;isbn&gt;0895-4356 (Print)&amp;#xD;0895-4356 (Linking)&lt;/isbn&gt;&lt;accession-num&gt;16168343&lt;/accession-num&gt;&lt;urls&gt;&lt;related-urls&gt;&lt;url&gt;https://www.ncbi.nlm.nih.gov/pubmed/16168343&lt;/url&gt;&lt;/related-urls&gt;&lt;/urls&gt;&lt;electronic-resource-num&gt;10.1016/j.jclinepi.2005.02.022&lt;/electronic-resource-num&gt;&lt;/record&gt;&lt;/Cite&gt;&lt;/EndNote&gt;</w:instrText>
      </w:r>
      <w:r w:rsidR="00EA1C17">
        <w:fldChar w:fldCharType="separate"/>
      </w:r>
      <w:r w:rsidR="00735CC0" w:rsidRPr="00735CC0">
        <w:rPr>
          <w:noProof/>
          <w:vertAlign w:val="superscript"/>
        </w:rPr>
        <w:t>30</w:t>
      </w:r>
      <w:r w:rsidR="00EA1C17">
        <w:fldChar w:fldCharType="end"/>
      </w:r>
      <w:r w:rsidRPr="002211F5">
        <w:t xml:space="preserve"> assuming binomial likelihoods for the number of true positive and true negative test results.</w:t>
      </w:r>
      <w:r w:rsidR="00EA1C17">
        <w:fldChar w:fldCharType="begin"/>
      </w:r>
      <w:r w:rsidR="00735CC0">
        <w:instrText xml:space="preserve"> ADDIN EN.CITE &lt;EndNote&gt;&lt;Cite&gt;&lt;Author&gt;Chu&lt;/Author&gt;&lt;Year&gt;2006&lt;/Year&gt;&lt;RecNum&gt;35&lt;/RecNum&gt;&lt;DisplayText&gt;&lt;style face="superscript"&gt;31&lt;/style&gt;&lt;/DisplayText&gt;&lt;record&gt;&lt;rec-number&gt;35&lt;/rec-number&gt;&lt;foreign-keys&gt;&lt;key app="EN" db-id="tdwrx9xd1z9eepeevr355w2k959rv0f5zaax" timestamp="1632756070"&gt;35&lt;/key&gt;&lt;/foreign-keys&gt;&lt;ref-type name="Journal Article"&gt;17&lt;/ref-type&gt;&lt;contributors&gt;&lt;authors&gt;&lt;author&gt;Chu, H.&lt;/author&gt;&lt;author&gt;Cole, S. R.&lt;/author&gt;&lt;/authors&gt;&lt;/contributors&gt;&lt;titles&gt;&lt;title&gt;Bivariate meta-analysis of sensitivity and specificity with sparse data: a generalized linear mixed model approach&lt;/title&gt;&lt;secondary-title&gt;J Clin Epidemiol&lt;/secondary-title&gt;&lt;/titles&gt;&lt;periodical&gt;&lt;full-title&gt;J Clin Epidemiol&lt;/full-title&gt;&lt;/periodical&gt;&lt;pages&gt;1331-2; author reply 1332-3&lt;/pages&gt;&lt;volume&gt;59&lt;/volume&gt;&lt;number&gt;12&lt;/number&gt;&lt;edition&gt;2006/11/14&lt;/edition&gt;&lt;keywords&gt;&lt;keyword&gt;Data Interpretation, Statistical&lt;/keyword&gt;&lt;keyword&gt;*Diagnostic Techniques and Procedures&lt;/keyword&gt;&lt;keyword&gt;Humans&lt;/keyword&gt;&lt;keyword&gt;*Meta-Analysis as Topic&lt;/keyword&gt;&lt;keyword&gt;Sensitivity and Specificity&lt;/keyword&gt;&lt;/keywords&gt;&lt;dates&gt;&lt;year&gt;2006&lt;/year&gt;&lt;pub-dates&gt;&lt;date&gt;Dec&lt;/date&gt;&lt;/pub-dates&gt;&lt;/dates&gt;&lt;isbn&gt;0895-4356 (Print)&amp;#xD;0895-4356 (Linking)&lt;/isbn&gt;&lt;accession-num&gt;17098577&lt;/accession-num&gt;&lt;urls&gt;&lt;related-urls&gt;&lt;url&gt;https://www.ncbi.nlm.nih.gov/pubmed/17098577&lt;/url&gt;&lt;/related-urls&gt;&lt;/urls&gt;&lt;electronic-resource-num&gt;10.1016/j.jclinepi.2006.06.011&lt;/electronic-resource-num&gt;&lt;/record&gt;&lt;/Cite&gt;&lt;/EndNote&gt;</w:instrText>
      </w:r>
      <w:r w:rsidR="00EA1C17">
        <w:fldChar w:fldCharType="separate"/>
      </w:r>
      <w:r w:rsidR="00735CC0" w:rsidRPr="00735CC0">
        <w:rPr>
          <w:noProof/>
          <w:vertAlign w:val="superscript"/>
        </w:rPr>
        <w:t>31</w:t>
      </w:r>
      <w:r w:rsidR="00EA1C17">
        <w:fldChar w:fldCharType="end"/>
      </w:r>
      <w:r w:rsidRPr="002211F5">
        <w:t xml:space="preserve"> When</w:t>
      </w:r>
      <w:r w:rsidRPr="00734942">
        <w:t xml:space="preserve"> there were fewer than four studies in a data set, univariate fixed effect meta-analyses of sensitivity and specificity was performed. Where only a single study was available, the sensitivity and specificity reported in that study are presented.</w:t>
      </w:r>
    </w:p>
    <w:p w14:paraId="3648F57A" w14:textId="77777777" w:rsidR="0056595B" w:rsidRPr="00734942" w:rsidRDefault="0056595B" w:rsidP="0056595B">
      <w:r w:rsidRPr="00734942">
        <w:t>Where the extracted data on a test related to a range of thresholds, we report results from two separate meta-analyses. First, we fitted the bivariate model to studies reporting at the most commonly reported threshold only. From these models, we report summary estimates of sensitivity and specificity at that threshold. Second, we fitted the bivariate model to the full data set. From these models, we present the summary receiver operating characteristic (ROC) curve, which represents the trade-off between sensitivity and specificity across thresholds.</w:t>
      </w:r>
    </w:p>
    <w:p w14:paraId="27FE1467" w14:textId="77777777" w:rsidR="0056595B" w:rsidRPr="00734942" w:rsidRDefault="0056595B" w:rsidP="0056595B">
      <w:r w:rsidRPr="00734942">
        <w:t>The sensitivity and specificity reported in each study were plotted in ROC space, with colour coding allowing for comparisons between different thresholds to be made. Summary estimates of sensitivity and specificity with 95% confidence intervals at the most commonly reported threshold and summary ROC curves across all reported thresholds are presented.</w:t>
      </w:r>
    </w:p>
    <w:p w14:paraId="59617282" w14:textId="35470451" w:rsidR="0056595B" w:rsidRPr="00734942" w:rsidRDefault="0056595B" w:rsidP="0056595B">
      <w:r w:rsidRPr="00734942">
        <w:t xml:space="preserve">Summary positive predictive values were calculated from estimates of sensitivity and specificity, for a hypothetical prevalence of 1%, the estimated prevalence of </w:t>
      </w:r>
      <w:r w:rsidR="00551E93">
        <w:t>CD</w:t>
      </w:r>
      <w:r w:rsidRPr="00734942">
        <w:t xml:space="preserve"> in the UK population. We then used a hypothetical population of 10,000 people tested for CD, for a pre-test probability of 1% to produce a test consequence graphic based on natural frequencies.</w:t>
      </w:r>
      <w:r w:rsidR="00EA1C17">
        <w:fldChar w:fldCharType="begin"/>
      </w:r>
      <w:r w:rsidR="00735CC0">
        <w:instrText xml:space="preserve"> ADDIN EN.CITE &lt;EndNote&gt;&lt;Cite&gt;&lt;Author&gt;Whiting&lt;/Author&gt;&lt;Year&gt;2018&lt;/Year&gt;&lt;RecNum&gt;440&lt;/RecNum&gt;&lt;DisplayText&gt;&lt;style face="superscript"&gt;74&lt;/style&gt;&lt;/DisplayText&gt;&lt;record&gt;&lt;rec-number&gt;440&lt;/rec-number&gt;&lt;foreign-keys&gt;&lt;key app="EN" db-id="tdwrx9xd1z9eepeevr355w2k959rv0f5zaax" timestamp="1635762392"&gt;440&lt;/key&gt;&lt;/foreign-keys&gt;&lt;ref-type name="Journal Article"&gt;17&lt;/ref-type&gt;&lt;contributors&gt;&lt;authors&gt;&lt;author&gt;Whiting, Penny&lt;/author&gt;&lt;author&gt;Davenport, Clare&lt;/author&gt;&lt;/authors&gt;&lt;/contributors&gt;&lt;titles&gt;&lt;title&gt;Understanding test accuracy research: a test consequence graphic&lt;/title&gt;&lt;secondary-title&gt;Diagnostic and prognostic research&lt;/secondary-title&gt;&lt;alt-title&gt;Diagn Progn Res&lt;/alt-title&gt;&lt;/titles&gt;&lt;periodical&gt;&lt;full-title&gt;Diagnostic and prognostic research&lt;/full-title&gt;&lt;abbr-1&gt;Diagn Progn Res&lt;/abbr-1&gt;&lt;/periodical&gt;&lt;alt-periodical&gt;&lt;full-title&gt;Diagnostic and prognostic research&lt;/full-title&gt;&lt;abbr-1&gt;Diagn Progn Res&lt;/abbr-1&gt;&lt;/alt-periodical&gt;&lt;pages&gt;2-2&lt;/pages&gt;&lt;volume&gt;2&lt;/volume&gt;&lt;keywords&gt;&lt;keyword&gt;Diagnosis&lt;/keyword&gt;&lt;keyword&gt;Graphical display&lt;/keyword&gt;&lt;keyword&gt;Natural frequencies&lt;/keyword&gt;&lt;/keywords&gt;&lt;dates&gt;&lt;year&gt;2018&lt;/year&gt;&lt;/dates&gt;&lt;publisher&gt;BioMed Central&lt;/publisher&gt;&lt;isbn&gt;2397-7523&lt;/isbn&gt;&lt;accession-num&gt;31093552&lt;/accession-num&gt;&lt;urls&gt;&lt;related-urls&gt;&lt;url&gt;https://pubmed.ncbi.nlm.nih.gov/31093552&lt;/url&gt;&lt;url&gt;https://www.ncbi.nlm.nih.gov/pmc/articles/PMC6460548/&lt;/url&gt;&lt;/related-urls&gt;&lt;/urls&gt;&lt;electronic-resource-num&gt;10.1186/s41512-017-0023-0&lt;/electronic-resource-num&gt;&lt;remote-database-name&gt;PubMed&lt;/remote-database-name&gt;&lt;language&gt;eng&lt;/language&gt;&lt;/record&gt;&lt;/Cite&gt;&lt;/EndNote&gt;</w:instrText>
      </w:r>
      <w:r w:rsidR="00EA1C17">
        <w:fldChar w:fldCharType="separate"/>
      </w:r>
      <w:r w:rsidR="00735CC0" w:rsidRPr="00735CC0">
        <w:rPr>
          <w:noProof/>
          <w:vertAlign w:val="superscript"/>
        </w:rPr>
        <w:t>74</w:t>
      </w:r>
      <w:r w:rsidR="00EA1C17">
        <w:fldChar w:fldCharType="end"/>
      </w:r>
      <w:r w:rsidR="00AA72D6" w:rsidRPr="00734942" w:rsidDel="00AA72D6">
        <w:t xml:space="preserve"> </w:t>
      </w:r>
      <w:r w:rsidRPr="00734942">
        <w:t>Values were estimated based on summary sensitivity and specificity from the meta-analyses restricted to the most commonly reported threshold for the most commonly evaluated tests.</w:t>
      </w:r>
    </w:p>
    <w:p w14:paraId="0A72BCD2" w14:textId="77777777" w:rsidR="0056595B" w:rsidRPr="00734942" w:rsidRDefault="0056595B" w:rsidP="0056595B">
      <w:pPr>
        <w:pStyle w:val="Heading4"/>
      </w:pPr>
      <w:r w:rsidRPr="00734942">
        <w:t>Direct comparisons and test combinations</w:t>
      </w:r>
    </w:p>
    <w:p w14:paraId="6EC284BA" w14:textId="4DEA3B92" w:rsidR="0056595B" w:rsidRPr="00734942" w:rsidRDefault="0056595B" w:rsidP="0056595B">
      <w:r w:rsidRPr="00734942">
        <w:t>To investigate direct comparisons between tests we performed additional analyses restricted to studies that reported accuracy estimates for multiple tests based on the same participants (comparative accuracy studies). These studies used the following design (</w:t>
      </w:r>
      <w:r w:rsidRPr="00734942">
        <w:fldChar w:fldCharType="begin"/>
      </w:r>
      <w:r w:rsidRPr="00734942">
        <w:instrText xml:space="preserve"> REF _Ref85447546 \h </w:instrText>
      </w:r>
      <w:r w:rsidRPr="00734942">
        <w:fldChar w:fldCharType="separate"/>
      </w:r>
      <w:r w:rsidR="008B5583" w:rsidRPr="00734942">
        <w:t xml:space="preserve">Figure </w:t>
      </w:r>
      <w:r w:rsidR="008B5583">
        <w:rPr>
          <w:noProof/>
        </w:rPr>
        <w:t>4</w:t>
      </w:r>
      <w:r w:rsidRPr="00734942">
        <w:fldChar w:fldCharType="end"/>
      </w:r>
      <w:r w:rsidRPr="00734942">
        <w:t>):</w:t>
      </w:r>
    </w:p>
    <w:p w14:paraId="376AB581" w14:textId="77777777" w:rsidR="0056595B" w:rsidRPr="00734942" w:rsidRDefault="0056595B" w:rsidP="0056595B">
      <w:r w:rsidRPr="00734942" w:rsidDel="00881CBF">
        <w:t xml:space="preserve"> </w:t>
      </w:r>
    </w:p>
    <w:p w14:paraId="13C1D8ED" w14:textId="3094CDC6" w:rsidR="0056595B" w:rsidRPr="00734942" w:rsidRDefault="0056595B" w:rsidP="005672CA">
      <w:pPr>
        <w:pStyle w:val="Caption"/>
      </w:pPr>
      <w:bookmarkStart w:id="162" w:name="_Ref85447546"/>
      <w:bookmarkStart w:id="163" w:name="_Toc99720785"/>
      <w:r w:rsidRPr="00734942">
        <w:lastRenderedPageBreak/>
        <w:t xml:space="preserve">Figure </w:t>
      </w:r>
      <w:r>
        <w:fldChar w:fldCharType="begin"/>
      </w:r>
      <w:r>
        <w:instrText>SEQ Figure \* ARABIC</w:instrText>
      </w:r>
      <w:r>
        <w:fldChar w:fldCharType="separate"/>
      </w:r>
      <w:r w:rsidR="008B5583">
        <w:rPr>
          <w:noProof/>
        </w:rPr>
        <w:t>4</w:t>
      </w:r>
      <w:r>
        <w:fldChar w:fldCharType="end"/>
      </w:r>
      <w:bookmarkEnd w:id="162"/>
      <w:r w:rsidRPr="00734942">
        <w:t xml:space="preserve"> Comparative accuracy study design</w:t>
      </w:r>
      <w:bookmarkEnd w:id="163"/>
    </w:p>
    <w:p w14:paraId="0EABC562" w14:textId="77777777" w:rsidR="0056595B" w:rsidRPr="00734942" w:rsidRDefault="0056595B" w:rsidP="0056595B">
      <w:r w:rsidRPr="00734942">
        <w:rPr>
          <w:noProof/>
        </w:rPr>
        <w:drawing>
          <wp:inline distT="0" distB="0" distL="0" distR="0" wp14:anchorId="654F72EC" wp14:editId="33F8B894">
            <wp:extent cx="3316605" cy="2432685"/>
            <wp:effectExtent l="0" t="0" r="0" b="5715"/>
            <wp:docPr id="30" name="Picture 3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16605" cy="2432685"/>
                    </a:xfrm>
                    <a:prstGeom prst="rect">
                      <a:avLst/>
                    </a:prstGeom>
                    <a:noFill/>
                  </pic:spPr>
                </pic:pic>
              </a:graphicData>
            </a:graphic>
          </wp:inline>
        </w:drawing>
      </w:r>
    </w:p>
    <w:p w14:paraId="6EBFE670" w14:textId="3CF68703" w:rsidR="0056595B" w:rsidRPr="00734942" w:rsidRDefault="0056595B" w:rsidP="0056595B">
      <w:r w:rsidRPr="00734942">
        <w:t>As all patients undergo both index tests and the reference standard, these studies provide more reliable estimates of the comparative accuracy of different tests.</w:t>
      </w:r>
      <w:r w:rsidRPr="00734942">
        <w:fldChar w:fldCharType="begin">
          <w:fldData xml:space="preserve">PEVuZE5vdGU+PENpdGU+PEF1dGhvcj5ZdWFuPC9BdXRob3I+PFllYXI+MjAxNzwvWWVhcj48UmVj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</w:fldData>
        </w:fldChar>
      </w:r>
      <w:r w:rsidR="00735CC0">
        <w:instrText xml:space="preserve"> ADDIN EN.CITE </w:instrText>
      </w:r>
      <w:r w:rsidR="00735CC0">
        <w:fldChar w:fldCharType="begin">
          <w:fldData xml:space="preserve">PEVuZE5vdGU+PENpdGU+PEF1dGhvcj5ZdWFuPC9BdXRob3I+PFllYXI+MjAxNzwvWWVhcj48UmVj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75</w:t>
      </w:r>
      <w:r w:rsidRPr="00734942">
        <w:fldChar w:fldCharType="end"/>
      </w:r>
      <w:r w:rsidRPr="00734942">
        <w:t xml:space="preserve"> For the two most commonly assessed tests, IgA tTG and IgA EMA, we estimated the relative sensitivity and specificity within each study, measures of the comparative accuracy of these two tests. Relative sensitivity is the ratio of two sensitivities, e.g. if relative sensitivity is 1 then the sensitivity of the two tests is the same (similarly for specificity). We report the observed range of these measures across the set of studies that evaluated both of these tests in the same group of patients.</w:t>
      </w:r>
    </w:p>
    <w:p w14:paraId="52F84C79" w14:textId="714CEA3A" w:rsidR="0056595B" w:rsidRPr="00734942" w:rsidRDefault="0056595B" w:rsidP="0056595B">
      <w:r w:rsidRPr="00734942">
        <w:t xml:space="preserve">A subset of these studies also reported accuracy data for the combined accuracy of IgA-tTG and IgA-EMA. These provided estimates of the accuracy of considering an individual to be positive for CD if “both tests were positive” (vs negative otherwise) or of considering an individual to be positive for CD if “either test was positive” (vs negative only if both tests were negative). </w:t>
      </w:r>
      <w:r w:rsidRPr="00263A65">
        <w:t xml:space="preserve">We tabulated estimates of sensitivity and specificity of these testing </w:t>
      </w:r>
      <w:r w:rsidR="00B374F9" w:rsidRPr="00263A65">
        <w:t>strategies but</w:t>
      </w:r>
      <w:r w:rsidRPr="00263A65">
        <w:t xml:space="preserve"> did not pool across these studies using meta-analysis due to variation in diagnostic thresholds used for each test.</w:t>
      </w:r>
      <w:r w:rsidRPr="00734942">
        <w:t xml:space="preserve"> </w:t>
      </w:r>
    </w:p>
    <w:p w14:paraId="1A9AAC7B" w14:textId="0AE937AA" w:rsidR="0056595B" w:rsidRPr="00734942" w:rsidRDefault="0056595B" w:rsidP="0056595B">
      <w:r w:rsidRPr="00734942">
        <w:t>To allow comparisons across the test</w:t>
      </w:r>
      <w:r w:rsidR="007C45AD">
        <w:t>ing strategies</w:t>
      </w:r>
      <w:r w:rsidRPr="00734942">
        <w:t xml:space="preserve"> that were under consideration for inclusion in the economic model (Chapter </w:t>
      </w:r>
      <w:r w:rsidR="00594667">
        <w:t>8</w:t>
      </w:r>
      <w:r w:rsidRPr="00734942">
        <w:t xml:space="preserve">), we </w:t>
      </w:r>
      <w:r w:rsidR="000943C3">
        <w:t xml:space="preserve">performed additional </w:t>
      </w:r>
      <w:r w:rsidRPr="00734942">
        <w:t>analys</w:t>
      </w:r>
      <w:r w:rsidR="000943C3">
        <w:t>e</w:t>
      </w:r>
      <w:r w:rsidRPr="00734942">
        <w:t xml:space="preserve">s </w:t>
      </w:r>
      <w:r w:rsidR="000943C3">
        <w:t>of the accur</w:t>
      </w:r>
      <w:r w:rsidR="007C45AD">
        <w:t>acy of IgA-tTG in isolation and of IgA-EMA in isolation, based on th</w:t>
      </w:r>
      <w:r w:rsidR="0045070C">
        <w:t>is</w:t>
      </w:r>
      <w:r w:rsidR="007C45AD">
        <w:t xml:space="preserve"> </w:t>
      </w:r>
      <w:r w:rsidR="00DA1E21">
        <w:t xml:space="preserve">same </w:t>
      </w:r>
      <w:r w:rsidR="007C45AD">
        <w:t>subset of</w:t>
      </w:r>
      <w:r w:rsidRPr="00734942">
        <w:t xml:space="preserve"> comparative accuracy studies</w:t>
      </w:r>
      <w:r w:rsidR="00DA1E21">
        <w:t>.</w:t>
      </w:r>
      <w:r w:rsidRPr="00734942">
        <w:t xml:space="preserve"> </w:t>
      </w:r>
      <w:r w:rsidR="00DA1E21">
        <w:t xml:space="preserve">This allowed us to make </w:t>
      </w:r>
      <w:r w:rsidRPr="00734942">
        <w:t xml:space="preserve">direct comparisons between </w:t>
      </w:r>
      <w:r w:rsidR="00B448E8">
        <w:t xml:space="preserve">the </w:t>
      </w:r>
      <w:r w:rsidR="001903FF">
        <w:t>accuracy of</w:t>
      </w:r>
      <w:r w:rsidR="00B448E8">
        <w:t xml:space="preserve"> singular tests and combined testing strategies</w:t>
      </w:r>
      <w:r w:rsidRPr="00734942">
        <w:t xml:space="preserve">. We then restricted to the most commonly reported threshold. These estimates of accuracy were selected for inclusion in the economic model (Chapter </w:t>
      </w:r>
      <w:r w:rsidR="00594667">
        <w:t>8</w:t>
      </w:r>
      <w:r w:rsidRPr="00734942">
        <w:t>).</w:t>
      </w:r>
    </w:p>
    <w:p w14:paraId="3AD79B17" w14:textId="77777777" w:rsidR="0056595B" w:rsidRPr="00734942" w:rsidRDefault="0056595B" w:rsidP="0056595B">
      <w:pPr>
        <w:pStyle w:val="Heading4"/>
      </w:pPr>
      <w:r w:rsidRPr="00734942">
        <w:t>Sensitivity analyses</w:t>
      </w:r>
    </w:p>
    <w:p w14:paraId="7C6581DE" w14:textId="14DF2606" w:rsidR="0056595B" w:rsidRPr="00734942" w:rsidRDefault="0056595B" w:rsidP="0056595B">
      <w:r w:rsidRPr="00734942">
        <w:t>We used sensitivity analyses to investigate whether estimates of accuracy varied according to study quality, patient spectrum and potential for partial verification bias. We restricted analyses to the following subsets of studies to investigate the impact of these variables:</w:t>
      </w:r>
    </w:p>
    <w:p w14:paraId="5D340A8C" w14:textId="77777777" w:rsidR="0056595B" w:rsidRPr="00734942" w:rsidRDefault="0056595B" w:rsidP="0056595B">
      <w:pPr>
        <w:pStyle w:val="ListParagraph"/>
        <w:numPr>
          <w:ilvl w:val="0"/>
          <w:numId w:val="19"/>
        </w:numPr>
      </w:pPr>
      <w:r w:rsidRPr="00734942">
        <w:t>Studies judged at low risk of bias overall based on the QUADAS-2 assessment</w:t>
      </w:r>
    </w:p>
    <w:p w14:paraId="30858217" w14:textId="7A65223B" w:rsidR="0056595B" w:rsidRPr="00734942" w:rsidRDefault="0056595B" w:rsidP="0056595B">
      <w:pPr>
        <w:pStyle w:val="ListParagraph"/>
        <w:numPr>
          <w:ilvl w:val="0"/>
          <w:numId w:val="19"/>
        </w:numPr>
      </w:pPr>
      <w:r w:rsidRPr="00734942">
        <w:t>Studies that only included symptomatic patients</w:t>
      </w:r>
    </w:p>
    <w:p w14:paraId="0CDC6F0C" w14:textId="01B64C0C" w:rsidR="0056595B" w:rsidRPr="00734942" w:rsidRDefault="0056595B" w:rsidP="0056595B">
      <w:pPr>
        <w:pStyle w:val="ListParagraph"/>
        <w:numPr>
          <w:ilvl w:val="0"/>
          <w:numId w:val="19"/>
        </w:numPr>
      </w:pPr>
      <w:r w:rsidRPr="00734942">
        <w:t xml:space="preserve">Studies in which all patients received a biopsy to confirm whether or not they had </w:t>
      </w:r>
      <w:r w:rsidR="00551E93">
        <w:t>CD</w:t>
      </w:r>
      <w:r w:rsidRPr="00734942">
        <w:t>.</w:t>
      </w:r>
    </w:p>
    <w:p w14:paraId="7F9CC5CB" w14:textId="77777777" w:rsidR="0056595B" w:rsidRPr="00734942" w:rsidRDefault="0056595B" w:rsidP="0056595B">
      <w:pPr>
        <w:pStyle w:val="Heading3"/>
      </w:pPr>
      <w:bookmarkStart w:id="164" w:name="_Toc99539863"/>
      <w:r w:rsidRPr="00734942">
        <w:t>Deviations from the protocol</w:t>
      </w:r>
      <w:bookmarkEnd w:id="164"/>
    </w:p>
    <w:p w14:paraId="3C5D03EB" w14:textId="7953428A" w:rsidR="0056595B" w:rsidRPr="00734942" w:rsidRDefault="0056595B" w:rsidP="0056595B">
      <w:pPr>
        <w:pStyle w:val="ListParagraph"/>
        <w:numPr>
          <w:ilvl w:val="0"/>
          <w:numId w:val="20"/>
        </w:numPr>
        <w:spacing w:line="256" w:lineRule="auto"/>
      </w:pPr>
      <w:r w:rsidRPr="00734942">
        <w:t xml:space="preserve">In the protocol, we described our target population as “adults or children at risk of </w:t>
      </w:r>
      <w:r w:rsidR="00866797">
        <w:t>CD</w:t>
      </w:r>
      <w:r w:rsidRPr="00734942">
        <w:t xml:space="preserve">”. After piloting our inclusion criteria at title and abstract screening, we chose to exclude studies in healthy </w:t>
      </w:r>
      <w:r w:rsidRPr="00734942">
        <w:lastRenderedPageBreak/>
        <w:t>populations (i.e. screening) or single risk groups only, as described in the Eligibility criteria -&gt; Study design section of this report.</w:t>
      </w:r>
    </w:p>
    <w:p w14:paraId="576C1BEC" w14:textId="5167773B" w:rsidR="0056595B" w:rsidRPr="00734942" w:rsidRDefault="0056595B" w:rsidP="0056595B">
      <w:pPr>
        <w:pStyle w:val="ListParagraph"/>
        <w:numPr>
          <w:ilvl w:val="0"/>
          <w:numId w:val="20"/>
        </w:numPr>
        <w:spacing w:line="256" w:lineRule="auto"/>
      </w:pPr>
      <w:r w:rsidRPr="00734942">
        <w:t xml:space="preserve">We described the intervention as “any serological test for </w:t>
      </w:r>
      <w:r w:rsidR="00866797">
        <w:t>CD</w:t>
      </w:r>
      <w:r w:rsidRPr="00734942">
        <w:t xml:space="preserve">”, including HLA-DQ typing. We decided not to include anti-gliadin antibodies (AGA) as they are not recommended for use in the diagnosis of </w:t>
      </w:r>
      <w:r w:rsidR="00866797">
        <w:t>CD</w:t>
      </w:r>
      <w:r w:rsidRPr="00734942">
        <w:t xml:space="preserve"> by NICE.</w:t>
      </w:r>
      <w:r w:rsidRPr="00734942">
        <w:fldChar w:fldCharType="begin"/>
      </w:r>
      <w:r w:rsidR="0042161A">
        <w:instrText xml:space="preserve"> ADDIN EN.CITE &lt;EndNote&gt;&lt;Cite&gt;&lt;Author&gt;National Institute for Health and Care Excellence (NICE)&lt;/Author&gt;&lt;Year&gt;2015&lt;/Year&gt;&lt;RecNum&gt;456&lt;/RecNum&gt;&lt;DisplayText&gt;&lt;style face="superscript"&gt;9&lt;/style&gt;&lt;/DisplayText&gt;&lt;record&gt;&lt;rec-number&gt;456&lt;/rec-number&gt;&lt;foreign-keys&gt;&lt;key app="EN" db-id="tdwrx9xd1z9eepeevr355w2k959rv0f5zaax" timestamp="1636542651"&gt;456&lt;/key&gt;&lt;/foreign-keys&gt;&lt;ref-type name="Journal Article"&gt;17&lt;/ref-type&gt;&lt;contributors&gt;&lt;authors&gt;&lt;author&gt;National Institute for Health and Care Excellence (NICE),&lt;/author&gt;&lt;/authors&gt;&lt;/contributors&gt;&lt;titles&gt;&lt;title&gt;Coeliac disease: recognition, assessment and management (NG20)&lt;/title&gt;&lt;secondary-title&gt;National Institute for Health and Care Excellence (NICE)&lt;/secondary-title&gt;&lt;/titles&gt;&lt;periodical&gt;&lt;full-title&gt;National Institute for Health and Care Excellence (NICE)&lt;/full-title&gt;&lt;/periodical&gt;&lt;dates&gt;&lt;year&gt;2015&lt;/year&gt;&lt;/dates&gt;&lt;urls&gt;&lt;related-urls&gt;&lt;url&gt;https://www.nice.org.uk/guidance/ng20&lt;/url&gt;&lt;/related-urls&gt;&lt;/urls&gt;&lt;/record&gt;&lt;/Cite&gt;&lt;/EndNote&gt;</w:instrText>
      </w:r>
      <w:r w:rsidRPr="00734942">
        <w:fldChar w:fldCharType="separate"/>
      </w:r>
      <w:r w:rsidR="0042161A" w:rsidRPr="0042161A">
        <w:rPr>
          <w:noProof/>
          <w:vertAlign w:val="superscript"/>
        </w:rPr>
        <w:t>9</w:t>
      </w:r>
      <w:r w:rsidRPr="00734942">
        <w:fldChar w:fldCharType="end"/>
      </w:r>
      <w:r w:rsidRPr="00734942">
        <w:t xml:space="preserve"> We did not include HLA-DQ typing in this chapter as this is covered in a separate review (C</w:t>
      </w:r>
      <w:r w:rsidRPr="00263A65">
        <w:t xml:space="preserve">hapter </w:t>
      </w:r>
      <w:r w:rsidR="00263A65" w:rsidRPr="00263A65">
        <w:t>6</w:t>
      </w:r>
      <w:r w:rsidRPr="00263A65">
        <w:t>). We</w:t>
      </w:r>
      <w:r w:rsidRPr="00734942">
        <w:t xml:space="preserve"> did not include point-of-care or rapid serological tests as a systematic review of their accuracy has recently been published.</w:t>
      </w:r>
      <w:r w:rsidRPr="00734942">
        <w:fldChar w:fldCharType="begin">
          <w:fldData xml:space="preserve">PEVuZE5vdGU+PENpdGU+PEF1dGhvcj5TaW5naDwvQXV0aG9yPjxZZWFyPjIwMTk8L1llYXI+PFJl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=
</w:fldData>
        </w:fldChar>
      </w:r>
      <w:r w:rsidR="00735CC0">
        <w:instrText xml:space="preserve"> ADDIN EN.CITE </w:instrText>
      </w:r>
      <w:r w:rsidR="00735CC0">
        <w:fldChar w:fldCharType="begin">
          <w:fldData xml:space="preserve">PEVuZE5vdGU+PENpdGU+PEF1dGhvcj5TaW5naDwvQXV0aG9yPjxZZWFyPjIwMTk8L1llYXI+PFJl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=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69</w:t>
      </w:r>
      <w:r w:rsidRPr="00734942">
        <w:fldChar w:fldCharType="end"/>
      </w:r>
    </w:p>
    <w:p w14:paraId="6978067F" w14:textId="77777777" w:rsidR="0056595B" w:rsidRPr="00734942" w:rsidRDefault="0056595B" w:rsidP="0056595B">
      <w:pPr>
        <w:pStyle w:val="ListParagraph"/>
        <w:numPr>
          <w:ilvl w:val="0"/>
          <w:numId w:val="20"/>
        </w:numPr>
        <w:spacing w:line="256" w:lineRule="auto"/>
      </w:pPr>
      <w:r w:rsidRPr="00734942">
        <w:t>We described our comparator as “any reported reference standard”. After piloting our exclusion criteria at title and abstract screening, we decided to exclude studies where serology formed part or all of the reference standard as this would lead to over-inflation of test accuracy estimates.</w:t>
      </w:r>
    </w:p>
    <w:p w14:paraId="3C9E2734" w14:textId="77777777" w:rsidR="0056595B" w:rsidRPr="00734942" w:rsidRDefault="0056595B" w:rsidP="0056595B">
      <w:r w:rsidRPr="00734942">
        <w:t>In the strategy for data synthesis, we said “If a test is reported at a single threshold for test positivity across studies, summary operating points will be used to measure the test’s accuracy. If a test is reported at differing thresholds across studies, SROC curves showing the trade-off between sensitivity and specificity at the various thresholds will be produced”. In the review, we produced both summaries of the evidence for completeness: an SROC curve across all reported thresholds and summary sensitivity/specificity at the most commonly reported threshold.</w:t>
      </w:r>
    </w:p>
    <w:p w14:paraId="1A52D367" w14:textId="77777777" w:rsidR="0056595B" w:rsidRPr="00734942" w:rsidRDefault="0056595B" w:rsidP="0056595B">
      <w:pPr>
        <w:pStyle w:val="Heading2"/>
      </w:pPr>
      <w:bookmarkStart w:id="165" w:name="_Toc99539864"/>
      <w:r w:rsidRPr="00734942">
        <w:t>Results of assessment of diagnostic accuracy of serological tests</w:t>
      </w:r>
      <w:bookmarkEnd w:id="165"/>
    </w:p>
    <w:p w14:paraId="7684E444" w14:textId="40C50D0B" w:rsidR="0056595B" w:rsidRPr="00734942" w:rsidRDefault="0056595B" w:rsidP="0056595B">
      <w:r w:rsidRPr="00734942">
        <w:t>The electronic searched identified 15,170 articles. After removing duplicates, 7,956 unique reports remained. Following title and abstract screening of these 7,956 reports, 398 reports were considered potentially relevant and full-text reports were requested (</w:t>
      </w:r>
      <w:r w:rsidR="007C6BAB">
        <w:t xml:space="preserve">Appendix 17 </w:t>
      </w:r>
      <w:r w:rsidRPr="00734942">
        <w:rPr>
          <w:highlight w:val="yellow"/>
        </w:rPr>
        <w:fldChar w:fldCharType="begin"/>
      </w:r>
      <w:r w:rsidRPr="00734942">
        <w:instrText xml:space="preserve"> REF _Ref84000285 \h </w:instrText>
      </w:r>
      <w:r w:rsidRPr="00734942">
        <w:rPr>
          <w:highlight w:val="yellow"/>
        </w:rPr>
      </w:r>
      <w:r w:rsidRPr="00734942">
        <w:rPr>
          <w:highlight w:val="yellow"/>
        </w:rPr>
        <w:fldChar w:fldCharType="separate"/>
      </w:r>
      <w:r w:rsidR="008B5583" w:rsidRPr="00734942">
        <w:t xml:space="preserve">Figure </w:t>
      </w:r>
      <w:r w:rsidR="008B5583">
        <w:rPr>
          <w:noProof/>
        </w:rPr>
        <w:t>56</w:t>
      </w:r>
      <w:r w:rsidRPr="00734942">
        <w:rPr>
          <w:highlight w:val="yellow"/>
        </w:rPr>
        <w:fldChar w:fldCharType="end"/>
      </w:r>
      <w:r w:rsidRPr="00734942">
        <w:t>). We were unable to obtain full-texts for four studies and translation was not possible for a further five studies – this left 389 reports which were assessed for inclusion. We included 113 studies (3351 participants) reported in 131 unique publications, with a total of 203 sets of 2x2 data reported in these studies.</w:t>
      </w:r>
    </w:p>
    <w:p w14:paraId="6335FA57" w14:textId="77777777" w:rsidR="0056595B" w:rsidRPr="00734942" w:rsidRDefault="0056595B" w:rsidP="0056595B">
      <w:r w:rsidRPr="00734942">
        <w:br w:type="page"/>
      </w:r>
    </w:p>
    <w:p w14:paraId="0C69A97C" w14:textId="77777777" w:rsidR="0056595B" w:rsidRPr="00734942" w:rsidRDefault="0056595B" w:rsidP="0056595B">
      <w:pPr>
        <w:pStyle w:val="Heading3"/>
      </w:pPr>
      <w:bookmarkStart w:id="166" w:name="_Toc99539865"/>
      <w:r w:rsidRPr="00734942">
        <w:lastRenderedPageBreak/>
        <w:t>Study characteristics</w:t>
      </w:r>
      <w:bookmarkEnd w:id="166"/>
    </w:p>
    <w:p w14:paraId="4C97B4B7" w14:textId="0BF57D42" w:rsidR="0056595B" w:rsidRPr="00734942" w:rsidRDefault="0056595B" w:rsidP="0056595B">
      <w:r w:rsidRPr="00734942">
        <w:t>Included studies were published between 1990 and 2019. Studies were conducted in the UK (n=19), Italy (n=13), Argentina (n=10), Spain (n=9), Sweden (n=8), USA (n=8), Canada (n=6), India (n=4), Pakistan (n=4), Iran (n=4), Ireland (n=3), the Netherlands (n=3), New Zealand (n=2), Germany (n=2), Brazil (n=2), Israel (n=2) with single studies from Slovakia, Turkey, Denmark, France, Finland, Australia, Czech Republic, Oman, Switzerland, Austria, Egypt, Poland, Lebanon, and Serbia. Twenty-nine studies were conducted in adults, 48 in children and 33 in a mixed population of adults and children. Those that did not specify the age of included participants were assumed to have included a mixed population. A further three studies reported accuracy data separately for adults and children; these were treated as if they were two separate studies and data were extracted separately for adults and children. Where reported, the mean age of adults was 43.6 years (standard deviation (SD): 13.9 years, range: 13 to 94 years) and of children was 6.3 years (SD: 4.4 years, range: 2 months to 19 years). On average 66% of adults and 52% of children were female. Fifty-six studies were prospective and 57 were retrospective in design</w:t>
      </w:r>
      <w:r w:rsidR="00211F78">
        <w:t xml:space="preserve"> (</w:t>
      </w:r>
      <w:r w:rsidR="00545910">
        <w:t>S</w:t>
      </w:r>
      <w:r w:rsidR="00211F78">
        <w:t xml:space="preserve">upplementary </w:t>
      </w:r>
      <w:r w:rsidR="00E46857">
        <w:t>Table S10</w:t>
      </w:r>
      <w:r w:rsidR="00211F78">
        <w:t>)</w:t>
      </w:r>
      <w:r w:rsidR="00545910">
        <w:t>.</w:t>
      </w:r>
    </w:p>
    <w:p w14:paraId="72FCB2EF" w14:textId="77777777" w:rsidR="0056595B" w:rsidRPr="00734942" w:rsidRDefault="0056595B" w:rsidP="0056595B">
      <w:pPr>
        <w:pStyle w:val="Heading3"/>
      </w:pPr>
      <w:bookmarkStart w:id="167" w:name="_Toc99539866"/>
      <w:r w:rsidRPr="00734942">
        <w:t>Risk of bias</w:t>
      </w:r>
      <w:bookmarkEnd w:id="167"/>
    </w:p>
    <w:p w14:paraId="63696E96" w14:textId="202DA950" w:rsidR="0056595B" w:rsidRPr="00734942" w:rsidRDefault="0056595B" w:rsidP="0056595B">
      <w:bookmarkStart w:id="168" w:name="_Toc65244982"/>
      <w:bookmarkStart w:id="169" w:name="_Toc65245015"/>
      <w:r w:rsidRPr="00734942">
        <w:t>One hundred and thirty-seven sets of 2x2 data were judged to be at high risk of bias, 22 were at low risk of bias and 44 were at unclear risk of bias (</w:t>
      </w:r>
      <w:r w:rsidR="00DF799A">
        <w:t xml:space="preserve">Appendix 18 </w:t>
      </w:r>
      <w:r w:rsidRPr="00734942">
        <w:fldChar w:fldCharType="begin"/>
      </w:r>
      <w:r w:rsidRPr="00734942">
        <w:instrText xml:space="preserve"> REF _Ref84000129 \h </w:instrText>
      </w:r>
      <w:r w:rsidRPr="00734942">
        <w:fldChar w:fldCharType="separate"/>
      </w:r>
      <w:r w:rsidR="008B5583" w:rsidRPr="00734942">
        <w:t xml:space="preserve">Figure </w:t>
      </w:r>
      <w:r w:rsidR="008B5583">
        <w:rPr>
          <w:noProof/>
        </w:rPr>
        <w:t>57</w:t>
      </w:r>
      <w:r w:rsidRPr="00734942">
        <w:fldChar w:fldCharType="end"/>
      </w:r>
      <w:r w:rsidRPr="00734942">
        <w:t>,</w:t>
      </w:r>
      <w:r w:rsidR="00E46857">
        <w:t xml:space="preserve"> Supplementary</w:t>
      </w:r>
      <w:r w:rsidR="00545910">
        <w:t xml:space="preserve"> </w:t>
      </w:r>
      <w:r w:rsidR="00E46857">
        <w:t>Table S1</w:t>
      </w:r>
      <w:r w:rsidR="00232CE6">
        <w:t>1</w:t>
      </w:r>
      <w:r w:rsidRPr="00734942">
        <w:t>).</w:t>
      </w:r>
    </w:p>
    <w:p w14:paraId="5EC462C2" w14:textId="2698833F" w:rsidR="0056595B" w:rsidRPr="00734942" w:rsidRDefault="0056595B" w:rsidP="0056595B">
      <w:r w:rsidRPr="00734942">
        <w:t xml:space="preserve">The main reason for sets of 2x2 data being judged at high risk of bias was because biopsy results were interpreted with knowledge of (or not explicitly blinded to) serology results – this was the case for 118 sets of 2x2 data. In 28 sets of 2x2 data there was potential for partial verification bias as not all patients, particularly those with a negative test result, underwent biopsy to verify their true disease status. A further 23 sets of 2x2 data were judged as high risk of bias due to concerns about patient selection, for example through inappropriate study exclusions or patients not adhering to a </w:t>
      </w:r>
      <w:r w:rsidR="00345E39">
        <w:t>gluten-free diet</w:t>
      </w:r>
      <w:r w:rsidRPr="00734942">
        <w:t xml:space="preserve"> prior to testing, and 12 due to concerns about the index test (e.g. threshold not pre-specified).</w:t>
      </w:r>
    </w:p>
    <w:p w14:paraId="566F7362" w14:textId="0BF6290E" w:rsidR="0056595B" w:rsidRPr="00734942" w:rsidRDefault="0056595B" w:rsidP="0056595B">
      <w:r w:rsidRPr="00734942">
        <w:t xml:space="preserve">Twenty-four sets of 2x2 data were judged to be at unclear risk of bias due to missing information on patient selection (e.g. study exclusion criteria), 23 where details of serological testing (e.g. threshold for test positivity) were not reported and 40 where information on flow and timing (e.g. interval between serology and biopsy, or whether patients maintained a </w:t>
      </w:r>
      <w:r w:rsidR="00345E39">
        <w:t>gluten-free diet</w:t>
      </w:r>
      <w:r w:rsidRPr="00734942">
        <w:t xml:space="preserve"> between tests) was not reported. The prevalence of CD varied greatly between studies, ranging from 1.8 to 92.6%.</w:t>
      </w:r>
      <w:bookmarkEnd w:id="168"/>
      <w:bookmarkEnd w:id="169"/>
    </w:p>
    <w:p w14:paraId="0CAA6546" w14:textId="77777777" w:rsidR="0056595B" w:rsidRPr="00734942" w:rsidRDefault="0056595B" w:rsidP="0056595B">
      <w:pPr>
        <w:pStyle w:val="Heading3"/>
      </w:pPr>
      <w:bookmarkStart w:id="170" w:name="_Toc99539867"/>
      <w:r w:rsidRPr="00734942">
        <w:t>Accuracy of serological tests for diagnosing coeliac disease</w:t>
      </w:r>
      <w:bookmarkEnd w:id="170"/>
    </w:p>
    <w:p w14:paraId="7FFBECC4" w14:textId="77777777" w:rsidR="0056595B" w:rsidRPr="00734942" w:rsidRDefault="0056595B" w:rsidP="0056595B">
      <w:pPr>
        <w:pStyle w:val="Heading4"/>
      </w:pPr>
      <w:r w:rsidRPr="00734942">
        <w:t>All thresholds</w:t>
      </w:r>
    </w:p>
    <w:p w14:paraId="7EB72033" w14:textId="4B28BEB5" w:rsidR="0056595B" w:rsidRPr="00734942" w:rsidRDefault="0056595B" w:rsidP="0056595B">
      <w:r w:rsidRPr="00734942">
        <w:t xml:space="preserve">The raw 2x2 data extracted from each study, together with details on test and test positivity threshold are summarised in Supplementary </w:t>
      </w:r>
      <w:r w:rsidR="008831FC">
        <w:t>Table S10</w:t>
      </w:r>
      <w:r w:rsidRPr="00734942">
        <w:t xml:space="preserve">. The ranges in estimates of sensitivity, specificity and positive and negative predictive values are summarised in </w:t>
      </w:r>
      <w:r w:rsidRPr="00734942">
        <w:fldChar w:fldCharType="begin"/>
      </w:r>
      <w:r w:rsidRPr="00734942">
        <w:instrText xml:space="preserve"> REF _Ref83999489 \h </w:instrText>
      </w:r>
      <w:r w:rsidRPr="00734942">
        <w:fldChar w:fldCharType="separate"/>
      </w:r>
      <w:r w:rsidR="008B5583" w:rsidRPr="00734942">
        <w:t xml:space="preserve">Table </w:t>
      </w:r>
      <w:r w:rsidR="008B5583">
        <w:rPr>
          <w:noProof/>
        </w:rPr>
        <w:t>8</w:t>
      </w:r>
      <w:r w:rsidRPr="00734942">
        <w:fldChar w:fldCharType="end"/>
      </w:r>
      <w:r w:rsidRPr="00734942">
        <w:t xml:space="preserve">. The most commonly evaluated test was IgA tTG which was evaluated in </w:t>
      </w:r>
      <w:r w:rsidR="00ED455C">
        <w:t>27</w:t>
      </w:r>
      <w:r w:rsidRPr="00734942">
        <w:t xml:space="preserve"> studies in adults</w:t>
      </w:r>
      <w:r w:rsidR="00523B32">
        <w:t xml:space="preserve"> </w:t>
      </w:r>
      <w:r w:rsidR="002E2D30">
        <w:fldChar w:fldCharType="begin">
          <w:fldData xml:space="preserve">bml0ZWQgU3RhdGVzPC9wdWItbG9jYXRpb24+PHB1Ymxpc2hlcj5MaXBwaW5jb3R0IFdpbGxpYW1z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</w:fldData>
        </w:fldChar>
      </w:r>
      <w:r w:rsidR="00735CC0">
        <w:instrText xml:space="preserve"> ADDIN EN.CITE </w:instrText>
      </w:r>
      <w:r w:rsidR="00735CC0">
        <w:fldChar w:fldCharType="begin">
          <w:fldData xml:space="preserve">PEVuZE5vdGU+PENpdGU+PEF1dGhvcj5BYnJhbXM8L0F1dGhvcj48WWVhcj4yMDA2PC9ZZWFyPjxS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==
</w:fldData>
        </w:fldChar>
      </w:r>
      <w:r w:rsidR="00735CC0">
        <w:instrText xml:space="preserve"> ADDIN EN.CITE.DATA </w:instrText>
      </w:r>
      <w:r w:rsidR="00735CC0">
        <w:fldChar w:fldCharType="end"/>
      </w:r>
      <w:r w:rsidR="00735CC0">
        <w:fldChar w:fldCharType="begin">
          <w:fldData xml:space="preserve">LXR5cGUgbmFtZT0iSm91cm5hbCBBcnRpY2xlIj4xNzwvcmVmLXR5cGU+PGNvbnRyaWJ1dG9ycz48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==
</w:fldData>
        </w:fldChar>
      </w:r>
      <w:r w:rsidR="00735CC0">
        <w:instrText xml:space="preserve"> ADDIN EN.CITE.DATA </w:instrText>
      </w:r>
      <w:r w:rsidR="00735CC0">
        <w:fldChar w:fldCharType="end"/>
      </w:r>
      <w:r w:rsidR="00735CC0">
        <w:fldChar w:fldCharType="begin">
          <w:fldData xml:space="preserve">bml0ZWQgU3RhdGVzPC9wdWItbG9jYXRpb24+PHB1Ymxpc2hlcj5MaXBwaW5jb3R0IFdpbGxpYW1z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</w:fldData>
        </w:fldChar>
      </w:r>
      <w:r w:rsidR="00735CC0">
        <w:instrText xml:space="preserve"> ADDIN EN.CITE.DATA </w:instrText>
      </w:r>
      <w:r w:rsidR="00735CC0">
        <w:fldChar w:fldCharType="end"/>
      </w:r>
      <w:r w:rsidR="002E2D30">
        <w:fldChar w:fldCharType="separate"/>
      </w:r>
      <w:r w:rsidR="00735CC0" w:rsidRPr="00735CC0">
        <w:rPr>
          <w:noProof/>
          <w:vertAlign w:val="superscript"/>
        </w:rPr>
        <w:t>76-114</w:t>
      </w:r>
      <w:r w:rsidR="002E2D30">
        <w:fldChar w:fldCharType="end"/>
      </w:r>
      <w:r w:rsidRPr="00734942">
        <w:t xml:space="preserve"> and 37 studies in children.</w:t>
      </w:r>
      <w:r w:rsidR="00D45C46">
        <w:rPr>
          <w:rFonts w:cstheme="minorHAnsi"/>
          <w:noProof/>
          <w:sz w:val="18"/>
          <w:szCs w:val="18"/>
        </w:rPr>
        <w:fldChar w:fldCharType="begin">
          <w:fldData xml:space="preserve">PC9rZXl3b3JkPjxrZXl3b3JkPmF0cm9waHk8L2tleXdvcmQ+PGtleXdvcmQ+bWFyc2g8L2tleXdv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</w:fldData>
        </w:fldChar>
      </w:r>
      <w:r w:rsidR="00735CC0">
        <w:rPr>
          <w:rFonts w:cstheme="minorHAnsi"/>
          <w:noProof/>
          <w:sz w:val="18"/>
          <w:szCs w:val="18"/>
        </w:rPr>
        <w:instrText xml:space="preserve"> ADDIN EN.CITE </w:instrText>
      </w:r>
      <w:r w:rsidR="00735CC0">
        <w:rPr>
          <w:rFonts w:cstheme="minorHAnsi"/>
          <w:noProof/>
          <w:sz w:val="18"/>
          <w:szCs w:val="18"/>
        </w:rPr>
        <w:fldChar w:fldCharType="begin">
          <w:fldData xml:space="preserve">PEVuZE5vdGU+PENpdGU+PEF1dGhvcj5QcmV0dG88L0F1dGhvcj48WWVhcj4yMDE5PC9ZZWFyPjxS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==
</w:fldData>
        </w:fldChar>
      </w:r>
      <w:r w:rsidR="00735CC0">
        <w:rPr>
          <w:rFonts w:cstheme="minorHAnsi"/>
          <w:noProof/>
          <w:sz w:val="18"/>
          <w:szCs w:val="18"/>
        </w:rPr>
        <w:instrText xml:space="preserve"> ADDIN EN.CITE.DATA </w:instrText>
      </w:r>
      <w:r w:rsidR="00735CC0">
        <w:rPr>
          <w:rFonts w:cstheme="minorHAnsi"/>
          <w:noProof/>
          <w:sz w:val="18"/>
          <w:szCs w:val="18"/>
        </w:rPr>
      </w:r>
      <w:r w:rsidR="00735CC0">
        <w:rPr>
          <w:rFonts w:cstheme="minorHAnsi"/>
          <w:noProof/>
          <w:sz w:val="18"/>
          <w:szCs w:val="18"/>
        </w:rPr>
        <w:fldChar w:fldCharType="end"/>
      </w:r>
      <w:r w:rsidR="00735CC0">
        <w:rPr>
          <w:rFonts w:cstheme="minorHAnsi"/>
          <w:noProof/>
          <w:sz w:val="18"/>
          <w:szCs w:val="18"/>
        </w:rPr>
        <w:fldChar w:fldCharType="begin">
          <w:fldData xml:space="preserve">ejllZXBlZXZyMzU1dzJrOTU5cnYwZjV6YWF4IiB0aW1lc3RhbXA9IjE2MzY1NDI2NTEiPjQ3NDwv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==
</w:fldData>
        </w:fldChar>
      </w:r>
      <w:r w:rsidR="00735CC0">
        <w:rPr>
          <w:rFonts w:cstheme="minorHAnsi"/>
          <w:noProof/>
          <w:sz w:val="18"/>
          <w:szCs w:val="18"/>
        </w:rPr>
        <w:instrText xml:space="preserve"> ADDIN EN.CITE.DATA </w:instrText>
      </w:r>
      <w:r w:rsidR="00735CC0">
        <w:rPr>
          <w:rFonts w:cstheme="minorHAnsi"/>
          <w:noProof/>
          <w:sz w:val="18"/>
          <w:szCs w:val="18"/>
        </w:rPr>
      </w:r>
      <w:r w:rsidR="00735CC0">
        <w:rPr>
          <w:rFonts w:cstheme="minorHAnsi"/>
          <w:noProof/>
          <w:sz w:val="18"/>
          <w:szCs w:val="18"/>
        </w:rPr>
        <w:fldChar w:fldCharType="end"/>
      </w:r>
      <w:r w:rsidR="00735CC0">
        <w:rPr>
          <w:rFonts w:cstheme="minorHAnsi"/>
          <w:noProof/>
          <w:sz w:val="18"/>
          <w:szCs w:val="18"/>
        </w:rPr>
        <w:fldChar w:fldCharType="begin">
          <w:fldData xml:space="preserve">PC9rZXl3b3JkPjxrZXl3b3JkPmF0cm9waHk8L2tleXdvcmQ+PGtleXdvcmQ+bWFyc2g8L2tleXdv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</w:fldData>
        </w:fldChar>
      </w:r>
      <w:r w:rsidR="00735CC0">
        <w:rPr>
          <w:rFonts w:cstheme="minorHAnsi"/>
          <w:noProof/>
          <w:sz w:val="18"/>
          <w:szCs w:val="18"/>
        </w:rPr>
        <w:instrText xml:space="preserve"> ADDIN EN.CITE.DATA </w:instrText>
      </w:r>
      <w:r w:rsidR="00735CC0">
        <w:rPr>
          <w:rFonts w:cstheme="minorHAnsi"/>
          <w:noProof/>
          <w:sz w:val="18"/>
          <w:szCs w:val="18"/>
        </w:rPr>
      </w:r>
      <w:r w:rsidR="00735CC0">
        <w:rPr>
          <w:rFonts w:cstheme="minorHAnsi"/>
          <w:noProof/>
          <w:sz w:val="18"/>
          <w:szCs w:val="18"/>
        </w:rPr>
        <w:fldChar w:fldCharType="end"/>
      </w:r>
      <w:r w:rsidR="00D45C46">
        <w:rPr>
          <w:rFonts w:cstheme="minorHAnsi"/>
          <w:noProof/>
          <w:sz w:val="18"/>
          <w:szCs w:val="18"/>
        </w:rPr>
      </w:r>
      <w:r w:rsidR="00D45C46">
        <w:rPr>
          <w:rFonts w:cstheme="minorHAnsi"/>
          <w:noProof/>
          <w:sz w:val="18"/>
          <w:szCs w:val="18"/>
        </w:rPr>
        <w:fldChar w:fldCharType="separate"/>
      </w:r>
      <w:r w:rsidR="00735CC0" w:rsidRPr="00735CC0">
        <w:rPr>
          <w:rFonts w:cstheme="minorHAnsi"/>
          <w:noProof/>
          <w:sz w:val="18"/>
          <w:szCs w:val="18"/>
          <w:vertAlign w:val="superscript"/>
        </w:rPr>
        <w:t>115-151</w:t>
      </w:r>
      <w:r w:rsidR="00D45C46">
        <w:rPr>
          <w:rFonts w:cstheme="minorHAnsi"/>
          <w:noProof/>
          <w:sz w:val="18"/>
          <w:szCs w:val="18"/>
        </w:rPr>
        <w:fldChar w:fldCharType="end"/>
      </w:r>
      <w:r w:rsidRPr="00734942">
        <w:rPr>
          <w:color w:val="FF0000"/>
        </w:rPr>
        <w:t xml:space="preserve"> </w:t>
      </w:r>
      <w:r w:rsidRPr="00734942">
        <w:t xml:space="preserve">The next most frequently evaluated test was IgA EMA which was evaluated in </w:t>
      </w:r>
      <w:r w:rsidR="00ED455C">
        <w:t>19</w:t>
      </w:r>
      <w:r w:rsidRPr="00734942">
        <w:t xml:space="preserve"> studies in adults</w:t>
      </w:r>
      <w:r w:rsidR="007869E9">
        <w:t xml:space="preserve"> </w:t>
      </w:r>
      <w:r w:rsidR="002E2D30">
        <w:fldChar w:fldCharType="begin">
          <w:fldData xml:space="preserve">bmFtZT48bGFuZ3VhZ2U+RW5nbGlzaDwvbGFuZ3VhZ2U+PC9yZWNvcmQ+PC9DaXRlPjxDaXRlPjxB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</w:fldData>
        </w:fldChar>
      </w:r>
      <w:r w:rsidR="00735CC0">
        <w:instrText xml:space="preserve"> ADDIN EN.CITE </w:instrText>
      </w:r>
      <w:r w:rsidR="00735CC0">
        <w:fldChar w:fldCharType="begin">
          <w:fldData xml:space="preserve">PEVuZE5vdGU+PENpdGU+PEF1dGhvcj5Cb3dyb248L0F1dGhvcj48WWVhcj4yMDAwPC9ZZWFyPjxS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==
</w:fldData>
        </w:fldChar>
      </w:r>
      <w:r w:rsidR="00735CC0">
        <w:instrText xml:space="preserve"> ADDIN EN.CITE.DATA </w:instrText>
      </w:r>
      <w:r w:rsidR="00735CC0">
        <w:fldChar w:fldCharType="end"/>
      </w:r>
      <w:r w:rsidR="00735CC0">
        <w:fldChar w:fldCharType="begin">
          <w:fldData xml:space="preserve">bmFtZT48bGFuZ3VhZ2U+RW5nbGlzaDwvbGFuZ3VhZ2U+PC9yZWNvcmQ+PC9DaXRlPjxDaXRlPjxB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</w:fldData>
        </w:fldChar>
      </w:r>
      <w:r w:rsidR="00735CC0">
        <w:instrText xml:space="preserve"> ADDIN EN.CITE.DATA </w:instrText>
      </w:r>
      <w:r w:rsidR="00735CC0">
        <w:fldChar w:fldCharType="end"/>
      </w:r>
      <w:r w:rsidR="002E2D30">
        <w:fldChar w:fldCharType="separate"/>
      </w:r>
      <w:r w:rsidR="00735CC0" w:rsidRPr="00735CC0">
        <w:rPr>
          <w:noProof/>
          <w:vertAlign w:val="superscript"/>
        </w:rPr>
        <w:t>81, 83, 87, 88, 90, 93, 97, 100, 107, 108, 110-112, 152-164</w:t>
      </w:r>
      <w:r w:rsidR="002E2D30">
        <w:fldChar w:fldCharType="end"/>
      </w:r>
      <w:r w:rsidR="0019645C" w:rsidRPr="00734942">
        <w:rPr>
          <w:color w:val="FF0000"/>
        </w:rPr>
        <w:t xml:space="preserve"> </w:t>
      </w:r>
      <w:r w:rsidRPr="00734942">
        <w:t xml:space="preserve">and </w:t>
      </w:r>
      <w:r w:rsidR="00ED455C">
        <w:t>28</w:t>
      </w:r>
      <w:r w:rsidRPr="00734942">
        <w:t xml:space="preserve"> studies in children.</w:t>
      </w:r>
      <w:r w:rsidR="002E2D30">
        <w:fldChar w:fldCharType="begin">
          <w:fldData xml:space="preserve">Y28geSBzZWd1aW1pZW50byBkZSBsYSBlbmZlcm1lZGFkIGNlbGlhY2E8L3RlcnRpYXJ5LXRpdGxl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</w:fldData>
        </w:fldChar>
      </w:r>
      <w:r w:rsidR="00735CC0">
        <w:instrText xml:space="preserve"> ADDIN EN.CITE </w:instrText>
      </w:r>
      <w:r w:rsidR="00735CC0">
        <w:fldChar w:fldCharType="begin">
          <w:fldData xml:space="preserve">PEVuZE5vdGU+PENpdGU+PEF1dGhvcj5BYmRvbGxhaGk8L0F1dGhvcj48WWVhcj4yMDExPC9ZZWFy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==
</w:fldData>
        </w:fldChar>
      </w:r>
      <w:r w:rsidR="00735CC0">
        <w:instrText xml:space="preserve"> ADDIN EN.CITE.DATA </w:instrText>
      </w:r>
      <w:r w:rsidR="00735CC0">
        <w:fldChar w:fldCharType="end"/>
      </w:r>
      <w:r w:rsidR="00735CC0">
        <w:fldChar w:fldCharType="begin">
          <w:fldData xml:space="preserve">dmV4YXRwdnQiIHRpbWVzdGFtcD0iMTU4MTM1MDQ4MyI+NTI2Nzwva2V5PjwvZm9yZWlnbi1rZXlz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==
</w:fldData>
        </w:fldChar>
      </w:r>
      <w:r w:rsidR="00735CC0">
        <w:instrText xml:space="preserve"> ADDIN EN.CITE.DATA </w:instrText>
      </w:r>
      <w:r w:rsidR="00735CC0">
        <w:fldChar w:fldCharType="end"/>
      </w:r>
      <w:r w:rsidR="00735CC0">
        <w:fldChar w:fldCharType="begin">
          <w:fldData xml:space="preserve">Y28geSBzZWd1aW1pZW50byBkZSBsYSBlbmZlcm1lZGFkIGNlbGlhY2E8L3RlcnRpYXJ5LXRpdGxl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</w:fldData>
        </w:fldChar>
      </w:r>
      <w:r w:rsidR="00735CC0">
        <w:instrText xml:space="preserve"> ADDIN EN.CITE.DATA </w:instrText>
      </w:r>
      <w:r w:rsidR="00735CC0">
        <w:fldChar w:fldCharType="end"/>
      </w:r>
      <w:r w:rsidR="002E2D30">
        <w:fldChar w:fldCharType="separate"/>
      </w:r>
      <w:r w:rsidR="00735CC0" w:rsidRPr="00735CC0">
        <w:rPr>
          <w:noProof/>
          <w:vertAlign w:val="superscript"/>
        </w:rPr>
        <w:t>82, 97, 108, 115, 117, 118, 121-123, 131-133, 140, 144, 145, 147, 151, 152, 155-157, 165-177</w:t>
      </w:r>
      <w:r w:rsidR="002E2D30">
        <w:fldChar w:fldCharType="end"/>
      </w:r>
    </w:p>
    <w:p w14:paraId="525B2E40" w14:textId="17A6F427" w:rsidR="0056595B" w:rsidRPr="00734942" w:rsidRDefault="0056595B" w:rsidP="0056595B">
      <w:pPr>
        <w:rPr>
          <w:color w:val="000000" w:themeColor="text1"/>
        </w:rPr>
      </w:pPr>
      <w:r w:rsidRPr="00734942">
        <w:t xml:space="preserve">Study estimates of sensitivity and specificity at the most commonly reported thresholds are shown in ROC space in </w:t>
      </w:r>
      <w:r w:rsidR="00482E16">
        <w:fldChar w:fldCharType="begin"/>
      </w:r>
      <w:r w:rsidR="00482E16">
        <w:instrText xml:space="preserve"> REF _Ref87439896 \h </w:instrText>
      </w:r>
      <w:r w:rsidR="00482E16">
        <w:fldChar w:fldCharType="separate"/>
      </w:r>
      <w:r w:rsidR="008B5583" w:rsidRPr="00734942">
        <w:t xml:space="preserve">Figure </w:t>
      </w:r>
      <w:r w:rsidR="008B5583">
        <w:rPr>
          <w:noProof/>
        </w:rPr>
        <w:t>5</w:t>
      </w:r>
      <w:r w:rsidR="00482E16">
        <w:fldChar w:fldCharType="end"/>
      </w:r>
      <w:r w:rsidRPr="00734942">
        <w:t xml:space="preserve"> and </w:t>
      </w:r>
      <w:fldSimple w:instr="REF _Ref84003468  \* MERGEFORMAT">
        <w:r w:rsidR="008B5583" w:rsidRPr="00734942">
          <w:t xml:space="preserve">Figure </w:t>
        </w:r>
        <w:r w:rsidR="008B5583">
          <w:rPr>
            <w:noProof/>
          </w:rPr>
          <w:t>6</w:t>
        </w:r>
      </w:fldSimple>
      <w:r w:rsidRPr="00734942">
        <w:t>. These plots also show summary ROC curves, which are based on all</w:t>
      </w:r>
      <w:r w:rsidR="001F254A">
        <w:t xml:space="preserve"> </w:t>
      </w:r>
      <w:r w:rsidRPr="00734942">
        <w:t xml:space="preserve">data (i.e. including studies reporting at other thresholds). </w:t>
      </w:r>
      <w:r w:rsidRPr="00734942">
        <w:rPr>
          <w:color w:val="000000" w:themeColor="text1"/>
        </w:rPr>
        <w:t>There was substantial variation in estimates of accuracy across included studies, particularly for IgA tTG and IgA EMA, the most commonly evaluated tests. This made it difficult to draw conclusions regarding the accuracy of these tests. Due to the range in thresholds used to define a positive test result, it was not appropriate to produce pooled estimates of sensitivity and specificity based on all studies.</w:t>
      </w:r>
    </w:p>
    <w:p w14:paraId="0F0A327B" w14:textId="77777777" w:rsidR="0056595B" w:rsidRPr="00734942" w:rsidRDefault="0056595B" w:rsidP="0056595B">
      <w:pPr>
        <w:rPr>
          <w:i/>
          <w:iCs/>
          <w:color w:val="44546A" w:themeColor="text2"/>
          <w:sz w:val="18"/>
          <w:szCs w:val="18"/>
        </w:rPr>
      </w:pPr>
      <w:r w:rsidRPr="00734942">
        <w:br w:type="page"/>
      </w:r>
    </w:p>
    <w:p w14:paraId="153F5B5F" w14:textId="19CDD1BB" w:rsidR="0056595B" w:rsidRPr="00734942" w:rsidRDefault="0056595B" w:rsidP="005672CA">
      <w:pPr>
        <w:pStyle w:val="Caption"/>
      </w:pPr>
      <w:bookmarkStart w:id="171" w:name="_Ref83999489"/>
      <w:bookmarkStart w:id="172" w:name="_Ref83999467"/>
      <w:bookmarkStart w:id="173" w:name="_Toc99720719"/>
      <w:r w:rsidRPr="00734942">
        <w:lastRenderedPageBreak/>
        <w:t xml:space="preserve">Table </w:t>
      </w:r>
      <w:r w:rsidRPr="00734942">
        <w:fldChar w:fldCharType="begin"/>
      </w:r>
      <w:r w:rsidRPr="00734942">
        <w:instrText>SEQ Table \* ARABIC</w:instrText>
      </w:r>
      <w:r w:rsidRPr="00734942">
        <w:fldChar w:fldCharType="separate"/>
      </w:r>
      <w:r w:rsidR="008B5583">
        <w:rPr>
          <w:noProof/>
        </w:rPr>
        <w:t>8</w:t>
      </w:r>
      <w:r w:rsidRPr="00734942">
        <w:fldChar w:fldCharType="end"/>
      </w:r>
      <w:bookmarkEnd w:id="171"/>
      <w:r w:rsidRPr="00734942">
        <w:t xml:space="preserve"> Study estimates of test accuracy, stratified by age group and test</w:t>
      </w:r>
      <w:bookmarkEnd w:id="172"/>
      <w:bookmarkEnd w:id="173"/>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840"/>
        <w:gridCol w:w="1428"/>
        <w:gridCol w:w="1559"/>
        <w:gridCol w:w="1985"/>
        <w:gridCol w:w="1984"/>
      </w:tblGrid>
      <w:tr w:rsidR="0056595B" w:rsidRPr="00734942" w14:paraId="4F02AB75" w14:textId="77777777" w:rsidTr="00067143">
        <w:trPr>
          <w:tblHeader/>
        </w:trPr>
        <w:tc>
          <w:tcPr>
            <w:tcW w:w="1843" w:type="dxa"/>
            <w:tcBorders>
              <w:top w:val="single" w:sz="4" w:space="0" w:color="auto"/>
              <w:bottom w:val="single" w:sz="4" w:space="0" w:color="auto"/>
            </w:tcBorders>
          </w:tcPr>
          <w:p w14:paraId="3AA11850" w14:textId="77777777" w:rsidR="0056595B" w:rsidRPr="00734942" w:rsidRDefault="0056595B" w:rsidP="00067143">
            <w:pPr>
              <w:rPr>
                <w:b/>
                <w:sz w:val="20"/>
                <w:szCs w:val="20"/>
              </w:rPr>
            </w:pPr>
            <w:r w:rsidRPr="00734942">
              <w:rPr>
                <w:b/>
                <w:sz w:val="20"/>
                <w:szCs w:val="20"/>
              </w:rPr>
              <w:t>Serological test</w:t>
            </w:r>
          </w:p>
        </w:tc>
        <w:tc>
          <w:tcPr>
            <w:tcW w:w="840" w:type="dxa"/>
            <w:tcBorders>
              <w:top w:val="single" w:sz="4" w:space="0" w:color="auto"/>
              <w:bottom w:val="single" w:sz="4" w:space="0" w:color="auto"/>
            </w:tcBorders>
          </w:tcPr>
          <w:p w14:paraId="512E95DE" w14:textId="77777777" w:rsidR="0056595B" w:rsidRPr="00734942" w:rsidRDefault="0056595B" w:rsidP="00067143">
            <w:pPr>
              <w:rPr>
                <w:b/>
                <w:sz w:val="20"/>
                <w:szCs w:val="20"/>
              </w:rPr>
            </w:pPr>
            <w:r w:rsidRPr="00734942">
              <w:rPr>
                <w:b/>
                <w:sz w:val="20"/>
                <w:szCs w:val="20"/>
              </w:rPr>
              <w:t>Studies</w:t>
            </w:r>
          </w:p>
        </w:tc>
        <w:tc>
          <w:tcPr>
            <w:tcW w:w="1428" w:type="dxa"/>
            <w:tcBorders>
              <w:top w:val="single" w:sz="4" w:space="0" w:color="auto"/>
              <w:bottom w:val="single" w:sz="4" w:space="0" w:color="auto"/>
            </w:tcBorders>
          </w:tcPr>
          <w:p w14:paraId="03385991" w14:textId="77777777" w:rsidR="0056595B" w:rsidRPr="00734942" w:rsidRDefault="0056595B" w:rsidP="00067143">
            <w:pPr>
              <w:rPr>
                <w:b/>
                <w:sz w:val="20"/>
                <w:szCs w:val="20"/>
              </w:rPr>
            </w:pPr>
            <w:r w:rsidRPr="00734942">
              <w:rPr>
                <w:b/>
                <w:sz w:val="20"/>
                <w:szCs w:val="20"/>
              </w:rPr>
              <w:t>Participants (CD)</w:t>
            </w:r>
          </w:p>
        </w:tc>
        <w:tc>
          <w:tcPr>
            <w:tcW w:w="1559" w:type="dxa"/>
            <w:tcBorders>
              <w:top w:val="single" w:sz="4" w:space="0" w:color="auto"/>
              <w:bottom w:val="single" w:sz="4" w:space="0" w:color="auto"/>
            </w:tcBorders>
          </w:tcPr>
          <w:p w14:paraId="23D0C314" w14:textId="77777777" w:rsidR="0056595B" w:rsidRPr="00734942" w:rsidRDefault="0056595B" w:rsidP="00067143">
            <w:pPr>
              <w:rPr>
                <w:b/>
                <w:sz w:val="20"/>
                <w:szCs w:val="20"/>
              </w:rPr>
            </w:pPr>
            <w:r w:rsidRPr="00734942">
              <w:rPr>
                <w:b/>
                <w:sz w:val="20"/>
                <w:szCs w:val="20"/>
              </w:rPr>
              <w:t>Threshold</w:t>
            </w:r>
          </w:p>
        </w:tc>
        <w:tc>
          <w:tcPr>
            <w:tcW w:w="1985" w:type="dxa"/>
            <w:tcBorders>
              <w:top w:val="single" w:sz="4" w:space="0" w:color="auto"/>
              <w:bottom w:val="single" w:sz="4" w:space="0" w:color="auto"/>
            </w:tcBorders>
          </w:tcPr>
          <w:p w14:paraId="1AD8A0F9" w14:textId="77777777" w:rsidR="0056595B" w:rsidRPr="00734942" w:rsidRDefault="0056595B" w:rsidP="00067143">
            <w:pPr>
              <w:rPr>
                <w:b/>
                <w:sz w:val="20"/>
                <w:szCs w:val="20"/>
              </w:rPr>
            </w:pPr>
            <w:r w:rsidRPr="00734942">
              <w:rPr>
                <w:b/>
                <w:sz w:val="20"/>
                <w:szCs w:val="20"/>
              </w:rPr>
              <w:t>Sensitivity (range), %</w:t>
            </w:r>
          </w:p>
        </w:tc>
        <w:tc>
          <w:tcPr>
            <w:tcW w:w="1984" w:type="dxa"/>
            <w:tcBorders>
              <w:top w:val="single" w:sz="4" w:space="0" w:color="auto"/>
              <w:bottom w:val="single" w:sz="4" w:space="0" w:color="auto"/>
            </w:tcBorders>
          </w:tcPr>
          <w:p w14:paraId="03A43E9C" w14:textId="77777777" w:rsidR="0056595B" w:rsidRPr="00734942" w:rsidRDefault="0056595B" w:rsidP="00067143">
            <w:pPr>
              <w:rPr>
                <w:b/>
                <w:sz w:val="20"/>
                <w:szCs w:val="20"/>
              </w:rPr>
            </w:pPr>
            <w:r w:rsidRPr="00734942">
              <w:rPr>
                <w:b/>
                <w:sz w:val="20"/>
                <w:szCs w:val="20"/>
              </w:rPr>
              <w:t>Specificity (range), %</w:t>
            </w:r>
          </w:p>
        </w:tc>
      </w:tr>
      <w:tr w:rsidR="0056595B" w:rsidRPr="00734942" w14:paraId="0E558814" w14:textId="77777777" w:rsidTr="00067143">
        <w:trPr>
          <w:trHeight w:val="2494"/>
        </w:trPr>
        <w:tc>
          <w:tcPr>
            <w:tcW w:w="1843" w:type="dxa"/>
            <w:tcBorders>
              <w:top w:val="single" w:sz="4" w:space="0" w:color="auto"/>
              <w:bottom w:val="single" w:sz="4" w:space="0" w:color="auto"/>
            </w:tcBorders>
          </w:tcPr>
          <w:p w14:paraId="3478779A" w14:textId="77777777" w:rsidR="0056595B" w:rsidRPr="00734942" w:rsidRDefault="0056595B" w:rsidP="00067143">
            <w:pPr>
              <w:rPr>
                <w:b/>
                <w:sz w:val="20"/>
                <w:szCs w:val="20"/>
              </w:rPr>
            </w:pPr>
            <w:r w:rsidRPr="00734942">
              <w:rPr>
                <w:b/>
                <w:sz w:val="20"/>
                <w:szCs w:val="20"/>
              </w:rPr>
              <w:t>Adults</w:t>
            </w:r>
          </w:p>
          <w:p w14:paraId="0C912F75" w14:textId="77777777" w:rsidR="0056595B" w:rsidRPr="00734942" w:rsidRDefault="0056595B" w:rsidP="00067143">
            <w:pPr>
              <w:ind w:firstLine="170"/>
              <w:rPr>
                <w:sz w:val="20"/>
                <w:szCs w:val="20"/>
              </w:rPr>
            </w:pPr>
            <w:r w:rsidRPr="00734942">
              <w:rPr>
                <w:sz w:val="20"/>
                <w:szCs w:val="20"/>
              </w:rPr>
              <w:t>IgA tTG</w:t>
            </w:r>
          </w:p>
          <w:p w14:paraId="38D64D2F" w14:textId="77777777" w:rsidR="0056595B" w:rsidRPr="00734942" w:rsidRDefault="0056595B" w:rsidP="00067143">
            <w:pPr>
              <w:ind w:firstLine="170"/>
              <w:rPr>
                <w:sz w:val="20"/>
                <w:szCs w:val="20"/>
              </w:rPr>
            </w:pPr>
            <w:r w:rsidRPr="00734942">
              <w:rPr>
                <w:sz w:val="20"/>
                <w:szCs w:val="20"/>
              </w:rPr>
              <w:t>IgG tTG</w:t>
            </w:r>
          </w:p>
          <w:p w14:paraId="105BC7F6" w14:textId="77777777" w:rsidR="0056595B" w:rsidRPr="00734942" w:rsidRDefault="0056595B" w:rsidP="00067143">
            <w:pPr>
              <w:ind w:firstLine="170"/>
              <w:rPr>
                <w:sz w:val="20"/>
                <w:szCs w:val="20"/>
              </w:rPr>
            </w:pPr>
            <w:r w:rsidRPr="00734942">
              <w:rPr>
                <w:sz w:val="20"/>
                <w:szCs w:val="20"/>
              </w:rPr>
              <w:t>IgA EMA</w:t>
            </w:r>
          </w:p>
          <w:p w14:paraId="2C12F193" w14:textId="77777777" w:rsidR="0056595B" w:rsidRPr="000526F1" w:rsidRDefault="0056595B" w:rsidP="00067143">
            <w:pPr>
              <w:ind w:firstLine="170"/>
              <w:rPr>
                <w:sz w:val="20"/>
                <w:szCs w:val="20"/>
                <w:lang w:val="it-IT"/>
              </w:rPr>
            </w:pPr>
            <w:r w:rsidRPr="000526F1">
              <w:rPr>
                <w:sz w:val="20"/>
                <w:szCs w:val="20"/>
                <w:lang w:val="it-IT"/>
              </w:rPr>
              <w:t>IgG EMA</w:t>
            </w:r>
          </w:p>
          <w:p w14:paraId="6DCA59A2" w14:textId="77777777" w:rsidR="0056595B" w:rsidRPr="000526F1" w:rsidRDefault="0056595B" w:rsidP="00067143">
            <w:pPr>
              <w:ind w:firstLine="170"/>
              <w:rPr>
                <w:sz w:val="20"/>
                <w:szCs w:val="20"/>
                <w:lang w:val="it-IT"/>
              </w:rPr>
            </w:pPr>
            <w:r w:rsidRPr="000526F1">
              <w:rPr>
                <w:sz w:val="20"/>
                <w:szCs w:val="20"/>
                <w:lang w:val="it-IT"/>
              </w:rPr>
              <w:t>IgA DGP</w:t>
            </w:r>
          </w:p>
          <w:p w14:paraId="06DD95C4" w14:textId="77777777" w:rsidR="0056595B" w:rsidRPr="000526F1" w:rsidRDefault="0056595B" w:rsidP="00067143">
            <w:pPr>
              <w:ind w:firstLine="170"/>
              <w:rPr>
                <w:sz w:val="20"/>
                <w:szCs w:val="20"/>
                <w:lang w:val="it-IT"/>
              </w:rPr>
            </w:pPr>
            <w:r w:rsidRPr="000526F1">
              <w:rPr>
                <w:sz w:val="20"/>
                <w:szCs w:val="20"/>
                <w:lang w:val="it-IT"/>
              </w:rPr>
              <w:t>IgG DGP</w:t>
            </w:r>
          </w:p>
          <w:p w14:paraId="7DC721B1" w14:textId="77777777" w:rsidR="0056595B" w:rsidRPr="000526F1" w:rsidRDefault="0056595B" w:rsidP="00067143">
            <w:pPr>
              <w:ind w:firstLine="170"/>
              <w:rPr>
                <w:sz w:val="20"/>
                <w:szCs w:val="20"/>
                <w:lang w:val="it-IT"/>
              </w:rPr>
            </w:pPr>
            <w:r w:rsidRPr="000526F1">
              <w:rPr>
                <w:sz w:val="20"/>
                <w:szCs w:val="20"/>
                <w:lang w:val="it-IT"/>
              </w:rPr>
              <w:t>IgA/IgG DGP</w:t>
            </w:r>
          </w:p>
          <w:p w14:paraId="5B648AEB" w14:textId="77777777" w:rsidR="0056595B" w:rsidRPr="000526F1" w:rsidRDefault="0056595B" w:rsidP="00067143">
            <w:pPr>
              <w:ind w:firstLine="170"/>
              <w:rPr>
                <w:sz w:val="20"/>
                <w:szCs w:val="20"/>
                <w:lang w:val="it-IT"/>
              </w:rPr>
            </w:pPr>
            <w:r w:rsidRPr="000526F1">
              <w:rPr>
                <w:sz w:val="20"/>
                <w:szCs w:val="20"/>
                <w:lang w:val="it-IT"/>
              </w:rPr>
              <w:t>IgA/IgG tTG/DGP</w:t>
            </w:r>
          </w:p>
          <w:p w14:paraId="3B3250E2" w14:textId="77777777" w:rsidR="0056595B" w:rsidRPr="009F631F" w:rsidRDefault="0056595B" w:rsidP="00067143">
            <w:pPr>
              <w:ind w:firstLine="170"/>
              <w:rPr>
                <w:b/>
                <w:sz w:val="20"/>
                <w:szCs w:val="20"/>
              </w:rPr>
            </w:pPr>
            <w:r w:rsidRPr="009F631F">
              <w:rPr>
                <w:sz w:val="20"/>
                <w:szCs w:val="20"/>
              </w:rPr>
              <w:t>IgA AAA</w:t>
            </w:r>
          </w:p>
        </w:tc>
        <w:tc>
          <w:tcPr>
            <w:tcW w:w="840" w:type="dxa"/>
            <w:tcBorders>
              <w:top w:val="single" w:sz="4" w:space="0" w:color="auto"/>
              <w:bottom w:val="single" w:sz="4" w:space="0" w:color="auto"/>
            </w:tcBorders>
          </w:tcPr>
          <w:p w14:paraId="1455BD14" w14:textId="77777777" w:rsidR="0056595B" w:rsidRPr="009F631F" w:rsidRDefault="0056595B" w:rsidP="00067143">
            <w:pPr>
              <w:rPr>
                <w:rFonts w:cstheme="minorHAnsi"/>
                <w:sz w:val="20"/>
                <w:szCs w:val="20"/>
              </w:rPr>
            </w:pPr>
          </w:p>
          <w:p w14:paraId="38436CFA" w14:textId="77777777" w:rsidR="0056595B" w:rsidRPr="00734942" w:rsidRDefault="0056595B" w:rsidP="00067143">
            <w:pPr>
              <w:rPr>
                <w:rFonts w:cstheme="minorHAnsi"/>
                <w:sz w:val="20"/>
                <w:szCs w:val="20"/>
              </w:rPr>
            </w:pPr>
            <w:r w:rsidRPr="00734942">
              <w:rPr>
                <w:rFonts w:cstheme="minorHAnsi"/>
                <w:sz w:val="20"/>
                <w:szCs w:val="20"/>
              </w:rPr>
              <w:t>27</w:t>
            </w:r>
          </w:p>
          <w:p w14:paraId="0DB87BF4" w14:textId="77777777" w:rsidR="0056595B" w:rsidRPr="00734942" w:rsidRDefault="0056595B" w:rsidP="00067143">
            <w:pPr>
              <w:rPr>
                <w:rFonts w:cstheme="minorHAnsi"/>
                <w:sz w:val="20"/>
                <w:szCs w:val="20"/>
              </w:rPr>
            </w:pPr>
            <w:r w:rsidRPr="00734942">
              <w:rPr>
                <w:rFonts w:cstheme="minorHAnsi"/>
                <w:sz w:val="20"/>
                <w:szCs w:val="20"/>
              </w:rPr>
              <w:t>1</w:t>
            </w:r>
          </w:p>
          <w:p w14:paraId="7977FDE7" w14:textId="77777777" w:rsidR="0056595B" w:rsidRPr="00734942" w:rsidRDefault="0056595B" w:rsidP="00067143">
            <w:pPr>
              <w:rPr>
                <w:rFonts w:cstheme="minorHAnsi"/>
                <w:sz w:val="20"/>
                <w:szCs w:val="20"/>
              </w:rPr>
            </w:pPr>
            <w:r w:rsidRPr="00734942">
              <w:rPr>
                <w:rFonts w:cstheme="minorHAnsi"/>
                <w:sz w:val="20"/>
                <w:szCs w:val="20"/>
              </w:rPr>
              <w:t>19</w:t>
            </w:r>
          </w:p>
          <w:p w14:paraId="0B5484F3" w14:textId="77777777" w:rsidR="0056595B" w:rsidRPr="00734942" w:rsidRDefault="0056595B" w:rsidP="00067143">
            <w:pPr>
              <w:rPr>
                <w:rFonts w:cstheme="minorHAnsi"/>
                <w:sz w:val="20"/>
                <w:szCs w:val="20"/>
              </w:rPr>
            </w:pPr>
            <w:r w:rsidRPr="00734942">
              <w:rPr>
                <w:rFonts w:cstheme="minorHAnsi"/>
                <w:sz w:val="20"/>
                <w:szCs w:val="20"/>
              </w:rPr>
              <w:t>1</w:t>
            </w:r>
          </w:p>
          <w:p w14:paraId="447D25D5" w14:textId="77777777" w:rsidR="0056595B" w:rsidRPr="00734942" w:rsidRDefault="0056595B" w:rsidP="00067143">
            <w:pPr>
              <w:rPr>
                <w:rFonts w:cstheme="minorHAnsi"/>
                <w:sz w:val="20"/>
                <w:szCs w:val="20"/>
              </w:rPr>
            </w:pPr>
            <w:r w:rsidRPr="00734942">
              <w:rPr>
                <w:rFonts w:cstheme="minorHAnsi"/>
                <w:sz w:val="20"/>
                <w:szCs w:val="20"/>
              </w:rPr>
              <w:t>3</w:t>
            </w:r>
          </w:p>
          <w:p w14:paraId="10214821" w14:textId="77777777" w:rsidR="0056595B" w:rsidRPr="00734942" w:rsidRDefault="0056595B" w:rsidP="00067143">
            <w:pPr>
              <w:rPr>
                <w:rFonts w:cstheme="minorHAnsi"/>
                <w:sz w:val="20"/>
                <w:szCs w:val="20"/>
              </w:rPr>
            </w:pPr>
            <w:r w:rsidRPr="00734942">
              <w:rPr>
                <w:rFonts w:cstheme="minorHAnsi"/>
                <w:sz w:val="20"/>
                <w:szCs w:val="20"/>
              </w:rPr>
              <w:t>4</w:t>
            </w:r>
          </w:p>
          <w:p w14:paraId="67D8D51B" w14:textId="77777777" w:rsidR="0056595B" w:rsidRPr="00734942" w:rsidRDefault="0056595B" w:rsidP="00067143">
            <w:pPr>
              <w:rPr>
                <w:rFonts w:cstheme="minorHAnsi"/>
                <w:sz w:val="20"/>
                <w:szCs w:val="20"/>
              </w:rPr>
            </w:pPr>
            <w:r w:rsidRPr="00734942">
              <w:rPr>
                <w:rFonts w:cstheme="minorHAnsi"/>
                <w:sz w:val="20"/>
                <w:szCs w:val="20"/>
              </w:rPr>
              <w:t>4</w:t>
            </w:r>
          </w:p>
          <w:p w14:paraId="047452B7" w14:textId="77777777" w:rsidR="0056595B" w:rsidRPr="00734942" w:rsidRDefault="0056595B" w:rsidP="00067143">
            <w:pPr>
              <w:rPr>
                <w:rFonts w:cstheme="minorHAnsi"/>
                <w:sz w:val="20"/>
                <w:szCs w:val="20"/>
              </w:rPr>
            </w:pPr>
            <w:r w:rsidRPr="00734942">
              <w:rPr>
                <w:rFonts w:cstheme="minorHAnsi"/>
                <w:sz w:val="20"/>
                <w:szCs w:val="20"/>
              </w:rPr>
              <w:t>3</w:t>
            </w:r>
          </w:p>
          <w:p w14:paraId="7D95EB27" w14:textId="77777777" w:rsidR="0056595B" w:rsidRPr="00734942" w:rsidRDefault="0056595B" w:rsidP="00067143">
            <w:pPr>
              <w:rPr>
                <w:rFonts w:cstheme="minorHAnsi"/>
                <w:sz w:val="20"/>
                <w:szCs w:val="20"/>
              </w:rPr>
            </w:pPr>
            <w:r w:rsidRPr="00734942">
              <w:rPr>
                <w:rFonts w:cstheme="minorHAnsi"/>
                <w:sz w:val="20"/>
                <w:szCs w:val="20"/>
              </w:rPr>
              <w:t>2</w:t>
            </w:r>
          </w:p>
        </w:tc>
        <w:tc>
          <w:tcPr>
            <w:tcW w:w="1428" w:type="dxa"/>
            <w:tcBorders>
              <w:top w:val="single" w:sz="4" w:space="0" w:color="auto"/>
              <w:bottom w:val="single" w:sz="4" w:space="0" w:color="auto"/>
            </w:tcBorders>
          </w:tcPr>
          <w:p w14:paraId="7B6B2B9A" w14:textId="77777777" w:rsidR="0056595B" w:rsidRPr="00734942" w:rsidRDefault="0056595B" w:rsidP="00067143">
            <w:pPr>
              <w:rPr>
                <w:rFonts w:cstheme="minorHAnsi"/>
                <w:sz w:val="20"/>
                <w:szCs w:val="20"/>
              </w:rPr>
            </w:pPr>
          </w:p>
          <w:p w14:paraId="5974BDA3" w14:textId="77777777" w:rsidR="0056595B" w:rsidRPr="00734942" w:rsidRDefault="0056595B" w:rsidP="00067143">
            <w:pPr>
              <w:rPr>
                <w:rFonts w:cstheme="minorHAnsi"/>
                <w:sz w:val="20"/>
                <w:szCs w:val="20"/>
              </w:rPr>
            </w:pPr>
            <w:r w:rsidRPr="00734942">
              <w:rPr>
                <w:rFonts w:cstheme="minorHAnsi"/>
                <w:sz w:val="20"/>
                <w:szCs w:val="20"/>
              </w:rPr>
              <w:t>11355 (2566)</w:t>
            </w:r>
          </w:p>
          <w:p w14:paraId="6E9BF871" w14:textId="77777777" w:rsidR="0056595B" w:rsidRPr="00734942" w:rsidRDefault="0056595B" w:rsidP="00067143">
            <w:pPr>
              <w:rPr>
                <w:rFonts w:cstheme="minorHAnsi"/>
                <w:sz w:val="20"/>
                <w:szCs w:val="20"/>
              </w:rPr>
            </w:pPr>
            <w:r w:rsidRPr="00734942">
              <w:rPr>
                <w:rFonts w:cstheme="minorHAnsi"/>
                <w:sz w:val="20"/>
                <w:szCs w:val="20"/>
              </w:rPr>
              <w:t>65 (14)</w:t>
            </w:r>
          </w:p>
          <w:p w14:paraId="70970C45" w14:textId="77777777" w:rsidR="0056595B" w:rsidRPr="00734942" w:rsidRDefault="0056595B" w:rsidP="00067143">
            <w:pPr>
              <w:rPr>
                <w:rFonts w:cstheme="minorHAnsi"/>
                <w:sz w:val="20"/>
                <w:szCs w:val="20"/>
              </w:rPr>
            </w:pPr>
            <w:r w:rsidRPr="00734942">
              <w:rPr>
                <w:rFonts w:cstheme="minorHAnsi"/>
                <w:sz w:val="20"/>
                <w:szCs w:val="20"/>
              </w:rPr>
              <w:t>7122 (1028)</w:t>
            </w:r>
          </w:p>
          <w:p w14:paraId="6DBEB1C5" w14:textId="77777777" w:rsidR="0056595B" w:rsidRPr="00734942" w:rsidRDefault="0056595B" w:rsidP="00067143">
            <w:pPr>
              <w:rPr>
                <w:rFonts w:cstheme="minorHAnsi"/>
                <w:sz w:val="20"/>
                <w:szCs w:val="20"/>
              </w:rPr>
            </w:pPr>
            <w:r w:rsidRPr="00734942">
              <w:rPr>
                <w:rFonts w:cstheme="minorHAnsi"/>
                <w:sz w:val="20"/>
                <w:szCs w:val="20"/>
              </w:rPr>
              <w:t>96 (28)</w:t>
            </w:r>
          </w:p>
          <w:p w14:paraId="47B6B266" w14:textId="77777777" w:rsidR="0056595B" w:rsidRPr="00734942" w:rsidRDefault="0056595B" w:rsidP="00067143">
            <w:pPr>
              <w:rPr>
                <w:rFonts w:cstheme="minorHAnsi"/>
                <w:sz w:val="20"/>
                <w:szCs w:val="20"/>
              </w:rPr>
            </w:pPr>
            <w:r w:rsidRPr="00734942">
              <w:rPr>
                <w:rFonts w:cstheme="minorHAnsi"/>
                <w:sz w:val="20"/>
                <w:szCs w:val="20"/>
              </w:rPr>
              <w:t>885 (154)</w:t>
            </w:r>
          </w:p>
          <w:p w14:paraId="46E6D92F" w14:textId="77777777" w:rsidR="0056595B" w:rsidRPr="00734942" w:rsidRDefault="0056595B" w:rsidP="00067143">
            <w:pPr>
              <w:rPr>
                <w:rFonts w:cstheme="minorHAnsi"/>
                <w:sz w:val="20"/>
                <w:szCs w:val="20"/>
              </w:rPr>
            </w:pPr>
            <w:r w:rsidRPr="00734942">
              <w:rPr>
                <w:rFonts w:cstheme="minorHAnsi"/>
                <w:sz w:val="20"/>
                <w:szCs w:val="20"/>
              </w:rPr>
              <w:t>1046 (217)</w:t>
            </w:r>
          </w:p>
          <w:p w14:paraId="2126A9A8" w14:textId="77777777" w:rsidR="0056595B" w:rsidRPr="00734942" w:rsidRDefault="0056595B" w:rsidP="00067143">
            <w:pPr>
              <w:rPr>
                <w:rFonts w:cstheme="minorHAnsi"/>
                <w:sz w:val="20"/>
                <w:szCs w:val="20"/>
              </w:rPr>
            </w:pPr>
            <w:r w:rsidRPr="00734942">
              <w:rPr>
                <w:rFonts w:cstheme="minorHAnsi"/>
                <w:sz w:val="20"/>
                <w:szCs w:val="20"/>
              </w:rPr>
              <w:t>1161 (280)</w:t>
            </w:r>
          </w:p>
          <w:p w14:paraId="634753BE" w14:textId="77777777" w:rsidR="0056595B" w:rsidRPr="00734942" w:rsidRDefault="0056595B" w:rsidP="00067143">
            <w:pPr>
              <w:rPr>
                <w:rFonts w:cstheme="minorHAnsi"/>
                <w:sz w:val="20"/>
                <w:szCs w:val="20"/>
              </w:rPr>
            </w:pPr>
            <w:r w:rsidRPr="00734942">
              <w:rPr>
                <w:rFonts w:cstheme="minorHAnsi"/>
                <w:sz w:val="20"/>
                <w:szCs w:val="20"/>
              </w:rPr>
              <w:t>1849 (173)</w:t>
            </w:r>
          </w:p>
          <w:p w14:paraId="42648554" w14:textId="77777777" w:rsidR="0056595B" w:rsidRPr="00734942" w:rsidRDefault="0056595B" w:rsidP="00067143">
            <w:pPr>
              <w:rPr>
                <w:rFonts w:cstheme="minorHAnsi"/>
                <w:sz w:val="20"/>
                <w:szCs w:val="20"/>
              </w:rPr>
            </w:pPr>
            <w:r w:rsidRPr="00734942">
              <w:rPr>
                <w:rFonts w:cstheme="minorHAnsi"/>
                <w:sz w:val="20"/>
                <w:szCs w:val="20"/>
              </w:rPr>
              <w:t>820 (140)</w:t>
            </w:r>
          </w:p>
        </w:tc>
        <w:tc>
          <w:tcPr>
            <w:tcW w:w="1559" w:type="dxa"/>
            <w:tcBorders>
              <w:top w:val="single" w:sz="4" w:space="0" w:color="auto"/>
              <w:bottom w:val="single" w:sz="4" w:space="0" w:color="auto"/>
            </w:tcBorders>
          </w:tcPr>
          <w:p w14:paraId="255BB12C" w14:textId="77777777" w:rsidR="0056595B" w:rsidRPr="00A65A5D" w:rsidRDefault="0056595B" w:rsidP="00067143">
            <w:pPr>
              <w:rPr>
                <w:rFonts w:cstheme="minorHAnsi"/>
                <w:sz w:val="20"/>
                <w:szCs w:val="20"/>
                <w:lang w:val="nl-NL"/>
              </w:rPr>
            </w:pPr>
          </w:p>
          <w:p w14:paraId="49A8ADAA" w14:textId="77777777" w:rsidR="0056595B" w:rsidRPr="00A65A5D" w:rsidRDefault="0056595B" w:rsidP="00067143">
            <w:pPr>
              <w:rPr>
                <w:rFonts w:cstheme="minorHAnsi"/>
                <w:sz w:val="20"/>
                <w:szCs w:val="20"/>
                <w:lang w:val="nl-NL"/>
              </w:rPr>
            </w:pPr>
            <w:r w:rsidRPr="00A65A5D">
              <w:rPr>
                <w:rFonts w:cstheme="minorHAnsi"/>
                <w:sz w:val="20"/>
                <w:szCs w:val="20"/>
                <w:lang w:val="nl-NL"/>
              </w:rPr>
              <w:t>5 – 25 U/mL</w:t>
            </w:r>
          </w:p>
          <w:p w14:paraId="671B33F0" w14:textId="77777777" w:rsidR="0056595B" w:rsidRPr="00A65A5D" w:rsidRDefault="0056595B" w:rsidP="00067143">
            <w:pPr>
              <w:rPr>
                <w:rFonts w:cstheme="minorHAnsi"/>
                <w:sz w:val="20"/>
                <w:szCs w:val="20"/>
                <w:lang w:val="nl-NL"/>
              </w:rPr>
            </w:pPr>
            <w:r w:rsidRPr="00A65A5D">
              <w:rPr>
                <w:rFonts w:cstheme="minorHAnsi"/>
                <w:sz w:val="20"/>
                <w:szCs w:val="20"/>
                <w:lang w:val="nl-NL"/>
              </w:rPr>
              <w:t>10 U/mL</w:t>
            </w:r>
          </w:p>
          <w:p w14:paraId="19A46E95" w14:textId="77777777" w:rsidR="0056595B" w:rsidRPr="00A65A5D" w:rsidRDefault="0056595B" w:rsidP="00067143">
            <w:pPr>
              <w:rPr>
                <w:rFonts w:cstheme="minorHAnsi"/>
                <w:sz w:val="20"/>
                <w:szCs w:val="20"/>
                <w:lang w:val="nl-NL"/>
              </w:rPr>
            </w:pPr>
            <w:r w:rsidRPr="00A65A5D">
              <w:rPr>
                <w:rFonts w:cstheme="minorHAnsi"/>
                <w:sz w:val="20"/>
                <w:szCs w:val="20"/>
                <w:lang w:val="nl-NL"/>
              </w:rPr>
              <w:t>1:5 – 1:20</w:t>
            </w:r>
          </w:p>
          <w:p w14:paraId="54330F49" w14:textId="77777777" w:rsidR="0056595B" w:rsidRPr="00A65A5D" w:rsidRDefault="0056595B" w:rsidP="00067143">
            <w:pPr>
              <w:rPr>
                <w:rFonts w:cstheme="minorHAnsi"/>
                <w:sz w:val="20"/>
                <w:szCs w:val="20"/>
                <w:lang w:val="nl-NL"/>
              </w:rPr>
            </w:pPr>
            <w:r w:rsidRPr="00A65A5D">
              <w:rPr>
                <w:rFonts w:cstheme="minorHAnsi"/>
                <w:sz w:val="20"/>
                <w:szCs w:val="20"/>
                <w:lang w:val="nl-NL"/>
              </w:rPr>
              <w:t>1:20</w:t>
            </w:r>
          </w:p>
          <w:p w14:paraId="45DE5676" w14:textId="77777777" w:rsidR="0056595B" w:rsidRPr="00A65A5D" w:rsidRDefault="0056595B" w:rsidP="00067143">
            <w:pPr>
              <w:rPr>
                <w:rFonts w:cstheme="minorHAnsi"/>
                <w:sz w:val="20"/>
                <w:szCs w:val="20"/>
                <w:lang w:val="nl-NL"/>
              </w:rPr>
            </w:pPr>
            <w:r w:rsidRPr="00A65A5D">
              <w:rPr>
                <w:rFonts w:cstheme="minorHAnsi"/>
                <w:sz w:val="20"/>
                <w:szCs w:val="20"/>
                <w:lang w:val="nl-NL"/>
              </w:rPr>
              <w:t>10 – 20 U/mL</w:t>
            </w:r>
          </w:p>
          <w:p w14:paraId="7DA7B8C4" w14:textId="77777777" w:rsidR="0056595B" w:rsidRPr="00A65A5D" w:rsidRDefault="0056595B" w:rsidP="00067143">
            <w:pPr>
              <w:rPr>
                <w:rFonts w:cstheme="minorHAnsi"/>
                <w:sz w:val="20"/>
                <w:szCs w:val="20"/>
                <w:lang w:val="nl-NL"/>
              </w:rPr>
            </w:pPr>
            <w:r w:rsidRPr="00A65A5D">
              <w:rPr>
                <w:rFonts w:cstheme="minorHAnsi"/>
                <w:sz w:val="20"/>
                <w:szCs w:val="20"/>
                <w:lang w:val="nl-NL"/>
              </w:rPr>
              <w:t>10 – 20 U/mL</w:t>
            </w:r>
          </w:p>
          <w:p w14:paraId="2668377B" w14:textId="77777777" w:rsidR="0056595B" w:rsidRPr="00734942" w:rsidRDefault="0056595B" w:rsidP="00067143">
            <w:pPr>
              <w:rPr>
                <w:rFonts w:cstheme="minorHAnsi"/>
                <w:sz w:val="20"/>
                <w:szCs w:val="20"/>
              </w:rPr>
            </w:pPr>
            <w:r w:rsidRPr="00734942">
              <w:rPr>
                <w:rFonts w:cstheme="minorHAnsi"/>
                <w:sz w:val="20"/>
                <w:szCs w:val="20"/>
              </w:rPr>
              <w:t>20 U/mL</w:t>
            </w:r>
          </w:p>
          <w:p w14:paraId="07254254" w14:textId="77777777" w:rsidR="0056595B" w:rsidRPr="00734942" w:rsidRDefault="0056595B" w:rsidP="00067143">
            <w:pPr>
              <w:rPr>
                <w:rFonts w:cstheme="minorHAnsi"/>
                <w:sz w:val="20"/>
                <w:szCs w:val="20"/>
              </w:rPr>
            </w:pPr>
            <w:r w:rsidRPr="00734942">
              <w:rPr>
                <w:rFonts w:cstheme="minorHAnsi"/>
                <w:sz w:val="20"/>
                <w:szCs w:val="20"/>
              </w:rPr>
              <w:t>20 U/mL</w:t>
            </w:r>
          </w:p>
          <w:p w14:paraId="3B6E3F6C" w14:textId="77777777" w:rsidR="0056595B" w:rsidRPr="00734942" w:rsidRDefault="0056595B" w:rsidP="00067143">
            <w:pPr>
              <w:rPr>
                <w:rFonts w:cstheme="minorHAnsi"/>
                <w:sz w:val="20"/>
                <w:szCs w:val="20"/>
              </w:rPr>
            </w:pPr>
            <w:r w:rsidRPr="00734942">
              <w:rPr>
                <w:rFonts w:cstheme="minorHAnsi"/>
                <w:sz w:val="20"/>
                <w:szCs w:val="20"/>
              </w:rPr>
              <w:t>25 U/mL</w:t>
            </w:r>
          </w:p>
        </w:tc>
        <w:tc>
          <w:tcPr>
            <w:tcW w:w="1985" w:type="dxa"/>
            <w:tcBorders>
              <w:top w:val="single" w:sz="4" w:space="0" w:color="auto"/>
              <w:bottom w:val="single" w:sz="4" w:space="0" w:color="auto"/>
            </w:tcBorders>
          </w:tcPr>
          <w:p w14:paraId="0F83E0D6" w14:textId="77777777" w:rsidR="0056595B" w:rsidRPr="00734942" w:rsidRDefault="0056595B" w:rsidP="00067143">
            <w:pPr>
              <w:rPr>
                <w:rFonts w:cstheme="minorHAnsi"/>
                <w:sz w:val="20"/>
                <w:szCs w:val="20"/>
              </w:rPr>
            </w:pPr>
          </w:p>
          <w:p w14:paraId="515539F9" w14:textId="77777777" w:rsidR="0056595B" w:rsidRPr="00734942" w:rsidRDefault="0056595B" w:rsidP="00067143">
            <w:pPr>
              <w:rPr>
                <w:rFonts w:cstheme="minorHAnsi"/>
                <w:sz w:val="20"/>
                <w:szCs w:val="20"/>
              </w:rPr>
            </w:pPr>
            <w:r w:rsidRPr="00734942">
              <w:rPr>
                <w:rFonts w:cstheme="minorHAnsi"/>
                <w:sz w:val="20"/>
                <w:szCs w:val="20"/>
              </w:rPr>
              <w:t>35 – 100</w:t>
            </w:r>
          </w:p>
          <w:p w14:paraId="4D9DE331" w14:textId="77777777" w:rsidR="0056595B" w:rsidRPr="00734942" w:rsidRDefault="0056595B" w:rsidP="00067143">
            <w:pPr>
              <w:rPr>
                <w:rFonts w:cstheme="minorHAnsi"/>
                <w:sz w:val="20"/>
                <w:szCs w:val="20"/>
              </w:rPr>
            </w:pPr>
            <w:r w:rsidRPr="00734942">
              <w:rPr>
                <w:rFonts w:cstheme="minorHAnsi"/>
                <w:sz w:val="20"/>
                <w:szCs w:val="20"/>
              </w:rPr>
              <w:t>71</w:t>
            </w:r>
          </w:p>
          <w:p w14:paraId="3D21B18F" w14:textId="77777777" w:rsidR="0056595B" w:rsidRPr="00734942" w:rsidRDefault="0056595B" w:rsidP="00067143">
            <w:pPr>
              <w:rPr>
                <w:rFonts w:cstheme="minorHAnsi"/>
                <w:sz w:val="20"/>
                <w:szCs w:val="20"/>
              </w:rPr>
            </w:pPr>
            <w:r w:rsidRPr="00734942">
              <w:rPr>
                <w:rFonts w:cstheme="minorHAnsi"/>
                <w:sz w:val="20"/>
                <w:szCs w:val="20"/>
              </w:rPr>
              <w:t>61 – 100</w:t>
            </w:r>
          </w:p>
          <w:p w14:paraId="50A57DDC" w14:textId="77777777" w:rsidR="0056595B" w:rsidRPr="00734942" w:rsidRDefault="0056595B" w:rsidP="00067143">
            <w:pPr>
              <w:rPr>
                <w:rFonts w:cstheme="minorHAnsi"/>
                <w:sz w:val="20"/>
                <w:szCs w:val="20"/>
              </w:rPr>
            </w:pPr>
            <w:r w:rsidRPr="00734942">
              <w:rPr>
                <w:rFonts w:cstheme="minorHAnsi"/>
                <w:sz w:val="20"/>
                <w:szCs w:val="20"/>
              </w:rPr>
              <w:t>39</w:t>
            </w:r>
          </w:p>
          <w:p w14:paraId="77DA42A0" w14:textId="77777777" w:rsidR="0056595B" w:rsidRPr="00734942" w:rsidRDefault="0056595B" w:rsidP="00067143">
            <w:pPr>
              <w:rPr>
                <w:rFonts w:cstheme="minorHAnsi"/>
                <w:sz w:val="20"/>
                <w:szCs w:val="20"/>
              </w:rPr>
            </w:pPr>
            <w:r w:rsidRPr="00734942">
              <w:rPr>
                <w:rFonts w:cstheme="minorHAnsi"/>
                <w:sz w:val="20"/>
                <w:szCs w:val="20"/>
              </w:rPr>
              <w:t>86 – 98</w:t>
            </w:r>
          </w:p>
          <w:p w14:paraId="0B3AEEF0" w14:textId="77777777" w:rsidR="0056595B" w:rsidRPr="00734942" w:rsidRDefault="0056595B" w:rsidP="00067143">
            <w:pPr>
              <w:rPr>
                <w:rFonts w:cstheme="minorHAnsi"/>
                <w:sz w:val="20"/>
                <w:szCs w:val="20"/>
              </w:rPr>
            </w:pPr>
            <w:r w:rsidRPr="00734942">
              <w:rPr>
                <w:rFonts w:cstheme="minorHAnsi"/>
                <w:sz w:val="20"/>
                <w:szCs w:val="20"/>
              </w:rPr>
              <w:t>90 – 97</w:t>
            </w:r>
          </w:p>
          <w:p w14:paraId="6EED1592" w14:textId="77777777" w:rsidR="0056595B" w:rsidRPr="00734942" w:rsidRDefault="0056595B" w:rsidP="00067143">
            <w:pPr>
              <w:rPr>
                <w:rFonts w:cstheme="minorHAnsi"/>
                <w:sz w:val="20"/>
                <w:szCs w:val="20"/>
              </w:rPr>
            </w:pPr>
            <w:r w:rsidRPr="00734942">
              <w:rPr>
                <w:rFonts w:cstheme="minorHAnsi"/>
                <w:sz w:val="20"/>
                <w:szCs w:val="20"/>
              </w:rPr>
              <w:t>86 – 98</w:t>
            </w:r>
          </w:p>
          <w:p w14:paraId="18617E93" w14:textId="77777777" w:rsidR="0056595B" w:rsidRPr="00734942" w:rsidRDefault="0056595B" w:rsidP="00067143">
            <w:pPr>
              <w:rPr>
                <w:rFonts w:cstheme="minorHAnsi"/>
                <w:sz w:val="20"/>
                <w:szCs w:val="20"/>
              </w:rPr>
            </w:pPr>
            <w:r w:rsidRPr="00734942">
              <w:rPr>
                <w:rFonts w:cstheme="minorHAnsi"/>
                <w:sz w:val="20"/>
                <w:szCs w:val="20"/>
              </w:rPr>
              <w:t>72 – 96</w:t>
            </w:r>
          </w:p>
          <w:p w14:paraId="6F417CAE" w14:textId="77777777" w:rsidR="0056595B" w:rsidRPr="00734942" w:rsidRDefault="0056595B" w:rsidP="00067143">
            <w:pPr>
              <w:rPr>
                <w:rFonts w:cstheme="minorHAnsi"/>
                <w:sz w:val="20"/>
                <w:szCs w:val="20"/>
              </w:rPr>
            </w:pPr>
            <w:r w:rsidRPr="00734942">
              <w:rPr>
                <w:rFonts w:cstheme="minorHAnsi"/>
                <w:sz w:val="20"/>
                <w:szCs w:val="20"/>
              </w:rPr>
              <w:t>80, 86</w:t>
            </w:r>
          </w:p>
        </w:tc>
        <w:tc>
          <w:tcPr>
            <w:tcW w:w="1984" w:type="dxa"/>
            <w:tcBorders>
              <w:top w:val="single" w:sz="4" w:space="0" w:color="auto"/>
              <w:bottom w:val="single" w:sz="4" w:space="0" w:color="auto"/>
            </w:tcBorders>
          </w:tcPr>
          <w:p w14:paraId="3E5910A7" w14:textId="77777777" w:rsidR="0056595B" w:rsidRPr="00734942" w:rsidRDefault="0056595B" w:rsidP="00067143">
            <w:pPr>
              <w:rPr>
                <w:rFonts w:cstheme="minorHAnsi"/>
                <w:sz w:val="20"/>
                <w:szCs w:val="20"/>
              </w:rPr>
            </w:pPr>
          </w:p>
          <w:p w14:paraId="79E0B0CE" w14:textId="77777777" w:rsidR="0056595B" w:rsidRPr="00734942" w:rsidRDefault="0056595B" w:rsidP="00067143">
            <w:pPr>
              <w:rPr>
                <w:rFonts w:cstheme="minorHAnsi"/>
                <w:sz w:val="20"/>
                <w:szCs w:val="20"/>
              </w:rPr>
            </w:pPr>
            <w:r w:rsidRPr="00734942">
              <w:rPr>
                <w:rFonts w:cstheme="minorHAnsi"/>
                <w:sz w:val="20"/>
                <w:szCs w:val="20"/>
              </w:rPr>
              <w:t>0 – 100</w:t>
            </w:r>
          </w:p>
          <w:p w14:paraId="3BEBBC62" w14:textId="77777777" w:rsidR="0056595B" w:rsidRPr="00734942" w:rsidRDefault="0056595B" w:rsidP="00067143">
            <w:pPr>
              <w:rPr>
                <w:rFonts w:cstheme="minorHAnsi"/>
                <w:sz w:val="20"/>
                <w:szCs w:val="20"/>
              </w:rPr>
            </w:pPr>
            <w:r w:rsidRPr="00734942">
              <w:rPr>
                <w:rFonts w:cstheme="minorHAnsi"/>
                <w:sz w:val="20"/>
                <w:szCs w:val="20"/>
              </w:rPr>
              <w:t>96</w:t>
            </w:r>
          </w:p>
          <w:p w14:paraId="5DA6C4A8" w14:textId="77777777" w:rsidR="0056595B" w:rsidRPr="00734942" w:rsidRDefault="0056595B" w:rsidP="00067143">
            <w:pPr>
              <w:rPr>
                <w:rFonts w:cstheme="minorHAnsi"/>
                <w:sz w:val="20"/>
                <w:szCs w:val="20"/>
              </w:rPr>
            </w:pPr>
            <w:r w:rsidRPr="00734942">
              <w:rPr>
                <w:rFonts w:cstheme="minorHAnsi"/>
                <w:sz w:val="20"/>
                <w:szCs w:val="20"/>
              </w:rPr>
              <w:t>88 – 100</w:t>
            </w:r>
          </w:p>
          <w:p w14:paraId="61D33EB1" w14:textId="77777777" w:rsidR="0056595B" w:rsidRPr="00734942" w:rsidRDefault="0056595B" w:rsidP="00067143">
            <w:pPr>
              <w:rPr>
                <w:rFonts w:cstheme="minorHAnsi"/>
                <w:sz w:val="20"/>
                <w:szCs w:val="20"/>
              </w:rPr>
            </w:pPr>
            <w:r w:rsidRPr="00734942">
              <w:rPr>
                <w:rFonts w:cstheme="minorHAnsi"/>
                <w:sz w:val="20"/>
                <w:szCs w:val="20"/>
              </w:rPr>
              <w:t>99</w:t>
            </w:r>
          </w:p>
          <w:p w14:paraId="0018E818" w14:textId="77777777" w:rsidR="0056595B" w:rsidRPr="00734942" w:rsidRDefault="0056595B" w:rsidP="00067143">
            <w:pPr>
              <w:rPr>
                <w:rFonts w:cstheme="minorHAnsi"/>
                <w:sz w:val="20"/>
                <w:szCs w:val="20"/>
              </w:rPr>
            </w:pPr>
            <w:r w:rsidRPr="00734942">
              <w:rPr>
                <w:rFonts w:cstheme="minorHAnsi"/>
                <w:sz w:val="20"/>
                <w:szCs w:val="20"/>
              </w:rPr>
              <w:t>92 – 96</w:t>
            </w:r>
          </w:p>
          <w:p w14:paraId="568C8163" w14:textId="77777777" w:rsidR="0056595B" w:rsidRPr="00734942" w:rsidRDefault="0056595B" w:rsidP="00067143">
            <w:pPr>
              <w:rPr>
                <w:rFonts w:cstheme="minorHAnsi"/>
                <w:sz w:val="20"/>
                <w:szCs w:val="20"/>
              </w:rPr>
            </w:pPr>
            <w:r w:rsidRPr="00734942">
              <w:rPr>
                <w:rFonts w:cstheme="minorHAnsi"/>
                <w:sz w:val="20"/>
                <w:szCs w:val="20"/>
              </w:rPr>
              <w:t>99 – 100.0</w:t>
            </w:r>
          </w:p>
          <w:p w14:paraId="674C944C" w14:textId="77777777" w:rsidR="0056595B" w:rsidRPr="00734942" w:rsidRDefault="0056595B" w:rsidP="00067143">
            <w:pPr>
              <w:rPr>
                <w:rFonts w:cstheme="minorHAnsi"/>
                <w:sz w:val="20"/>
                <w:szCs w:val="20"/>
              </w:rPr>
            </w:pPr>
            <w:r w:rsidRPr="00734942">
              <w:rPr>
                <w:rFonts w:cstheme="minorHAnsi"/>
                <w:sz w:val="20"/>
                <w:szCs w:val="20"/>
              </w:rPr>
              <w:t>96 – 98.8</w:t>
            </w:r>
          </w:p>
          <w:p w14:paraId="7FE20D35" w14:textId="77777777" w:rsidR="0056595B" w:rsidRPr="00734942" w:rsidRDefault="0056595B" w:rsidP="00067143">
            <w:pPr>
              <w:rPr>
                <w:rFonts w:cstheme="minorHAnsi"/>
                <w:sz w:val="20"/>
                <w:szCs w:val="20"/>
              </w:rPr>
            </w:pPr>
            <w:r w:rsidRPr="00734942">
              <w:rPr>
                <w:rFonts w:cstheme="minorHAnsi"/>
                <w:sz w:val="20"/>
                <w:szCs w:val="20"/>
              </w:rPr>
              <w:t>80 – 97.4</w:t>
            </w:r>
          </w:p>
          <w:p w14:paraId="1E21B626" w14:textId="77777777" w:rsidR="0056595B" w:rsidRPr="00734942" w:rsidRDefault="0056595B" w:rsidP="00067143">
            <w:pPr>
              <w:rPr>
                <w:rFonts w:cstheme="minorHAnsi"/>
                <w:sz w:val="20"/>
                <w:szCs w:val="20"/>
              </w:rPr>
            </w:pPr>
            <w:r w:rsidRPr="00734942">
              <w:rPr>
                <w:rFonts w:cstheme="minorHAnsi"/>
                <w:sz w:val="20"/>
                <w:szCs w:val="20"/>
              </w:rPr>
              <w:t>92, 95.1</w:t>
            </w:r>
          </w:p>
        </w:tc>
      </w:tr>
      <w:tr w:rsidR="0056595B" w:rsidRPr="00734942" w14:paraId="786E0A81" w14:textId="77777777" w:rsidTr="00067143">
        <w:trPr>
          <w:trHeight w:val="2517"/>
        </w:trPr>
        <w:tc>
          <w:tcPr>
            <w:tcW w:w="1843" w:type="dxa"/>
            <w:tcBorders>
              <w:top w:val="single" w:sz="4" w:space="0" w:color="auto"/>
              <w:bottom w:val="single" w:sz="4" w:space="0" w:color="auto"/>
            </w:tcBorders>
          </w:tcPr>
          <w:p w14:paraId="02522A8E" w14:textId="77777777" w:rsidR="0056595B" w:rsidRPr="00734942" w:rsidRDefault="0056595B" w:rsidP="00067143">
            <w:pPr>
              <w:rPr>
                <w:b/>
                <w:sz w:val="20"/>
                <w:szCs w:val="20"/>
              </w:rPr>
            </w:pPr>
            <w:r w:rsidRPr="00734942">
              <w:rPr>
                <w:b/>
                <w:sz w:val="20"/>
                <w:szCs w:val="20"/>
              </w:rPr>
              <w:t>Children</w:t>
            </w:r>
          </w:p>
          <w:p w14:paraId="25374169" w14:textId="77777777" w:rsidR="0056595B" w:rsidRPr="00734942" w:rsidRDefault="0056595B" w:rsidP="00067143">
            <w:pPr>
              <w:ind w:firstLine="170"/>
              <w:rPr>
                <w:sz w:val="20"/>
                <w:szCs w:val="20"/>
              </w:rPr>
            </w:pPr>
            <w:r w:rsidRPr="00734942">
              <w:rPr>
                <w:sz w:val="20"/>
                <w:szCs w:val="20"/>
              </w:rPr>
              <w:t>IgA tTG</w:t>
            </w:r>
          </w:p>
          <w:p w14:paraId="53D518FC" w14:textId="77777777" w:rsidR="0056595B" w:rsidRPr="00734942" w:rsidRDefault="0056595B" w:rsidP="00067143">
            <w:pPr>
              <w:ind w:firstLine="170"/>
              <w:rPr>
                <w:sz w:val="20"/>
                <w:szCs w:val="20"/>
              </w:rPr>
            </w:pPr>
            <w:r w:rsidRPr="00734942">
              <w:rPr>
                <w:sz w:val="20"/>
                <w:szCs w:val="20"/>
              </w:rPr>
              <w:t>IgG tTG</w:t>
            </w:r>
          </w:p>
          <w:p w14:paraId="312C6319" w14:textId="77777777" w:rsidR="0056595B" w:rsidRPr="00734942" w:rsidRDefault="0056595B" w:rsidP="00067143">
            <w:pPr>
              <w:ind w:firstLine="170"/>
              <w:rPr>
                <w:sz w:val="20"/>
                <w:szCs w:val="20"/>
              </w:rPr>
            </w:pPr>
            <w:r w:rsidRPr="00734942">
              <w:rPr>
                <w:sz w:val="20"/>
                <w:szCs w:val="20"/>
              </w:rPr>
              <w:t>IgA/IgG tTG</w:t>
            </w:r>
          </w:p>
          <w:p w14:paraId="0EE290F9" w14:textId="77777777" w:rsidR="0056595B" w:rsidRPr="00541948" w:rsidRDefault="0056595B" w:rsidP="00067143">
            <w:pPr>
              <w:ind w:firstLine="170"/>
              <w:rPr>
                <w:sz w:val="20"/>
                <w:szCs w:val="20"/>
                <w:lang w:val="pt-BR"/>
              </w:rPr>
            </w:pPr>
            <w:r w:rsidRPr="00541948">
              <w:rPr>
                <w:sz w:val="20"/>
                <w:szCs w:val="20"/>
                <w:lang w:val="pt-BR"/>
              </w:rPr>
              <w:t>IgA EMA</w:t>
            </w:r>
          </w:p>
          <w:p w14:paraId="24E06099" w14:textId="77777777" w:rsidR="0056595B" w:rsidRPr="00541948" w:rsidRDefault="0056595B" w:rsidP="00067143">
            <w:pPr>
              <w:ind w:firstLine="170"/>
              <w:rPr>
                <w:sz w:val="20"/>
                <w:szCs w:val="20"/>
                <w:lang w:val="pt-BR"/>
              </w:rPr>
            </w:pPr>
            <w:r w:rsidRPr="00541948">
              <w:rPr>
                <w:sz w:val="20"/>
                <w:szCs w:val="20"/>
                <w:lang w:val="pt-BR"/>
              </w:rPr>
              <w:t>IgA/IgG EMA</w:t>
            </w:r>
          </w:p>
          <w:p w14:paraId="4EE693A4" w14:textId="77777777" w:rsidR="0056595B" w:rsidRPr="00541948" w:rsidRDefault="0056595B" w:rsidP="00067143">
            <w:pPr>
              <w:ind w:firstLine="170"/>
              <w:rPr>
                <w:sz w:val="20"/>
                <w:szCs w:val="20"/>
                <w:lang w:val="pt-BR"/>
              </w:rPr>
            </w:pPr>
            <w:r w:rsidRPr="00541948">
              <w:rPr>
                <w:sz w:val="20"/>
                <w:szCs w:val="20"/>
                <w:lang w:val="pt-BR"/>
              </w:rPr>
              <w:t>IgA DGP</w:t>
            </w:r>
          </w:p>
          <w:p w14:paraId="7EBACE0B" w14:textId="77777777" w:rsidR="0056595B" w:rsidRPr="00541948" w:rsidRDefault="0056595B" w:rsidP="00067143">
            <w:pPr>
              <w:ind w:firstLine="170"/>
              <w:rPr>
                <w:sz w:val="20"/>
                <w:szCs w:val="20"/>
                <w:lang w:val="pt-BR"/>
              </w:rPr>
            </w:pPr>
            <w:r w:rsidRPr="00541948">
              <w:rPr>
                <w:sz w:val="20"/>
                <w:szCs w:val="20"/>
                <w:lang w:val="pt-BR"/>
              </w:rPr>
              <w:t>IgG DGP</w:t>
            </w:r>
          </w:p>
          <w:p w14:paraId="5F7F8989" w14:textId="77777777" w:rsidR="0056595B" w:rsidRPr="00541948" w:rsidRDefault="0056595B" w:rsidP="00067143">
            <w:pPr>
              <w:ind w:firstLine="170"/>
              <w:rPr>
                <w:sz w:val="20"/>
                <w:szCs w:val="20"/>
                <w:lang w:val="pt-BR"/>
              </w:rPr>
            </w:pPr>
            <w:r w:rsidRPr="00541948">
              <w:rPr>
                <w:sz w:val="20"/>
                <w:szCs w:val="20"/>
                <w:lang w:val="pt-BR"/>
              </w:rPr>
              <w:t>IgA/IgG DGP</w:t>
            </w:r>
          </w:p>
          <w:p w14:paraId="3ACC2B41" w14:textId="77777777" w:rsidR="0056595B" w:rsidRPr="00541948" w:rsidRDefault="0056595B" w:rsidP="00067143">
            <w:pPr>
              <w:ind w:firstLine="170"/>
              <w:rPr>
                <w:sz w:val="20"/>
                <w:szCs w:val="20"/>
                <w:lang w:val="pt-BR"/>
              </w:rPr>
            </w:pPr>
            <w:r w:rsidRPr="00541948">
              <w:rPr>
                <w:sz w:val="20"/>
                <w:szCs w:val="20"/>
                <w:lang w:val="pt-BR"/>
              </w:rPr>
              <w:t>IgA/IgG tTG/DGP</w:t>
            </w:r>
          </w:p>
        </w:tc>
        <w:tc>
          <w:tcPr>
            <w:tcW w:w="840" w:type="dxa"/>
            <w:tcBorders>
              <w:top w:val="single" w:sz="4" w:space="0" w:color="auto"/>
              <w:bottom w:val="single" w:sz="4" w:space="0" w:color="auto"/>
            </w:tcBorders>
          </w:tcPr>
          <w:p w14:paraId="45A43853" w14:textId="77777777" w:rsidR="0056595B" w:rsidRPr="00541948" w:rsidRDefault="0056595B" w:rsidP="00067143">
            <w:pPr>
              <w:rPr>
                <w:rFonts w:cstheme="minorHAnsi"/>
                <w:sz w:val="20"/>
                <w:szCs w:val="20"/>
                <w:lang w:val="pt-BR"/>
              </w:rPr>
            </w:pPr>
          </w:p>
          <w:p w14:paraId="4811AE94" w14:textId="77777777" w:rsidR="0056595B" w:rsidRPr="00734942" w:rsidRDefault="0056595B" w:rsidP="00067143">
            <w:pPr>
              <w:rPr>
                <w:rFonts w:cstheme="minorHAnsi"/>
                <w:sz w:val="20"/>
                <w:szCs w:val="20"/>
              </w:rPr>
            </w:pPr>
            <w:r w:rsidRPr="00734942">
              <w:rPr>
                <w:rFonts w:cstheme="minorHAnsi"/>
                <w:sz w:val="20"/>
                <w:szCs w:val="20"/>
              </w:rPr>
              <w:t>37</w:t>
            </w:r>
          </w:p>
          <w:p w14:paraId="69634937" w14:textId="77777777" w:rsidR="0056595B" w:rsidRPr="00734942" w:rsidRDefault="0056595B" w:rsidP="00067143">
            <w:pPr>
              <w:rPr>
                <w:rFonts w:cstheme="minorHAnsi"/>
                <w:sz w:val="20"/>
                <w:szCs w:val="20"/>
              </w:rPr>
            </w:pPr>
            <w:r w:rsidRPr="00734942">
              <w:rPr>
                <w:rFonts w:cstheme="minorHAnsi"/>
                <w:sz w:val="20"/>
                <w:szCs w:val="20"/>
              </w:rPr>
              <w:t>5</w:t>
            </w:r>
          </w:p>
          <w:p w14:paraId="20FCC0F0" w14:textId="77777777" w:rsidR="0056595B" w:rsidRPr="00734942" w:rsidRDefault="0056595B" w:rsidP="00067143">
            <w:pPr>
              <w:rPr>
                <w:rFonts w:cstheme="minorHAnsi"/>
                <w:sz w:val="20"/>
                <w:szCs w:val="20"/>
              </w:rPr>
            </w:pPr>
            <w:r w:rsidRPr="00734942">
              <w:rPr>
                <w:rFonts w:cstheme="minorHAnsi"/>
                <w:sz w:val="20"/>
                <w:szCs w:val="20"/>
              </w:rPr>
              <w:t>2</w:t>
            </w:r>
          </w:p>
          <w:p w14:paraId="1B8277A1" w14:textId="77777777" w:rsidR="0056595B" w:rsidRPr="00734942" w:rsidRDefault="0056595B" w:rsidP="00067143">
            <w:pPr>
              <w:rPr>
                <w:rFonts w:cstheme="minorHAnsi"/>
                <w:sz w:val="20"/>
                <w:szCs w:val="20"/>
              </w:rPr>
            </w:pPr>
            <w:r w:rsidRPr="00734942">
              <w:rPr>
                <w:rFonts w:cstheme="minorHAnsi"/>
                <w:sz w:val="20"/>
                <w:szCs w:val="20"/>
              </w:rPr>
              <w:t>28</w:t>
            </w:r>
          </w:p>
          <w:p w14:paraId="7734170E" w14:textId="77777777" w:rsidR="0056595B" w:rsidRPr="00734942" w:rsidRDefault="0056595B" w:rsidP="00067143">
            <w:pPr>
              <w:rPr>
                <w:rFonts w:cstheme="minorHAnsi"/>
                <w:sz w:val="20"/>
                <w:szCs w:val="20"/>
              </w:rPr>
            </w:pPr>
            <w:r w:rsidRPr="00734942">
              <w:rPr>
                <w:rFonts w:cstheme="minorHAnsi"/>
                <w:sz w:val="20"/>
                <w:szCs w:val="20"/>
              </w:rPr>
              <w:t>2</w:t>
            </w:r>
          </w:p>
          <w:p w14:paraId="24655D70" w14:textId="77777777" w:rsidR="0056595B" w:rsidRPr="00734942" w:rsidRDefault="0056595B" w:rsidP="00067143">
            <w:pPr>
              <w:rPr>
                <w:rFonts w:cstheme="minorHAnsi"/>
                <w:sz w:val="20"/>
                <w:szCs w:val="20"/>
              </w:rPr>
            </w:pPr>
            <w:r w:rsidRPr="00734942">
              <w:rPr>
                <w:rFonts w:cstheme="minorHAnsi"/>
                <w:sz w:val="20"/>
                <w:szCs w:val="20"/>
              </w:rPr>
              <w:t>1</w:t>
            </w:r>
          </w:p>
          <w:p w14:paraId="5FBE5426" w14:textId="77777777" w:rsidR="0056595B" w:rsidRPr="00734942" w:rsidRDefault="0056595B" w:rsidP="00067143">
            <w:pPr>
              <w:rPr>
                <w:rFonts w:cstheme="minorHAnsi"/>
                <w:sz w:val="20"/>
                <w:szCs w:val="20"/>
              </w:rPr>
            </w:pPr>
            <w:r w:rsidRPr="00734942">
              <w:rPr>
                <w:rFonts w:cstheme="minorHAnsi"/>
                <w:sz w:val="20"/>
                <w:szCs w:val="20"/>
              </w:rPr>
              <w:t>3</w:t>
            </w:r>
          </w:p>
          <w:p w14:paraId="23AF1411" w14:textId="77777777" w:rsidR="0056595B" w:rsidRPr="00734942" w:rsidRDefault="0056595B" w:rsidP="00067143">
            <w:pPr>
              <w:rPr>
                <w:rFonts w:cstheme="minorHAnsi"/>
                <w:sz w:val="20"/>
                <w:szCs w:val="20"/>
              </w:rPr>
            </w:pPr>
            <w:r w:rsidRPr="00734942">
              <w:rPr>
                <w:rFonts w:cstheme="minorHAnsi"/>
                <w:sz w:val="20"/>
                <w:szCs w:val="20"/>
              </w:rPr>
              <w:t>6</w:t>
            </w:r>
          </w:p>
          <w:p w14:paraId="0EA196FD" w14:textId="77777777" w:rsidR="0056595B" w:rsidRPr="00734942" w:rsidRDefault="0056595B" w:rsidP="00067143">
            <w:pPr>
              <w:rPr>
                <w:rFonts w:cstheme="minorHAnsi"/>
                <w:sz w:val="20"/>
                <w:szCs w:val="20"/>
              </w:rPr>
            </w:pPr>
            <w:r w:rsidRPr="00734942">
              <w:rPr>
                <w:rFonts w:cstheme="minorHAnsi"/>
                <w:sz w:val="20"/>
                <w:szCs w:val="20"/>
              </w:rPr>
              <w:t>4</w:t>
            </w:r>
          </w:p>
        </w:tc>
        <w:tc>
          <w:tcPr>
            <w:tcW w:w="1428" w:type="dxa"/>
            <w:tcBorders>
              <w:top w:val="single" w:sz="4" w:space="0" w:color="auto"/>
              <w:bottom w:val="single" w:sz="4" w:space="0" w:color="auto"/>
            </w:tcBorders>
          </w:tcPr>
          <w:p w14:paraId="682A0DF9" w14:textId="77777777" w:rsidR="0056595B" w:rsidRPr="00734942" w:rsidRDefault="0056595B" w:rsidP="00067143">
            <w:pPr>
              <w:rPr>
                <w:rFonts w:cstheme="minorHAnsi"/>
                <w:sz w:val="20"/>
                <w:szCs w:val="20"/>
              </w:rPr>
            </w:pPr>
          </w:p>
          <w:p w14:paraId="3066EDCA" w14:textId="77777777" w:rsidR="0056595B" w:rsidRPr="00734942" w:rsidRDefault="0056595B" w:rsidP="00067143">
            <w:pPr>
              <w:rPr>
                <w:rFonts w:cstheme="minorHAnsi"/>
                <w:sz w:val="20"/>
                <w:szCs w:val="20"/>
              </w:rPr>
            </w:pPr>
            <w:r w:rsidRPr="00734942">
              <w:rPr>
                <w:rFonts w:cstheme="minorHAnsi"/>
                <w:sz w:val="20"/>
                <w:szCs w:val="20"/>
              </w:rPr>
              <w:t>7944 (4164)</w:t>
            </w:r>
          </w:p>
          <w:p w14:paraId="77BD1A2C" w14:textId="77777777" w:rsidR="0056595B" w:rsidRPr="00734942" w:rsidRDefault="0056595B" w:rsidP="00067143">
            <w:pPr>
              <w:rPr>
                <w:rFonts w:cstheme="minorHAnsi"/>
                <w:sz w:val="20"/>
                <w:szCs w:val="20"/>
              </w:rPr>
            </w:pPr>
            <w:r w:rsidRPr="00734942">
              <w:rPr>
                <w:rFonts w:cstheme="minorHAnsi"/>
                <w:sz w:val="20"/>
                <w:szCs w:val="20"/>
              </w:rPr>
              <w:t>599 (278)</w:t>
            </w:r>
          </w:p>
          <w:p w14:paraId="2CA2083D" w14:textId="77777777" w:rsidR="0056595B" w:rsidRPr="00734942" w:rsidRDefault="0056595B" w:rsidP="00067143">
            <w:pPr>
              <w:rPr>
                <w:rFonts w:cstheme="minorHAnsi"/>
                <w:sz w:val="20"/>
                <w:szCs w:val="20"/>
              </w:rPr>
            </w:pPr>
            <w:r w:rsidRPr="00734942">
              <w:rPr>
                <w:rFonts w:cstheme="minorHAnsi"/>
                <w:sz w:val="20"/>
                <w:szCs w:val="20"/>
              </w:rPr>
              <w:t>742 (282)</w:t>
            </w:r>
          </w:p>
          <w:p w14:paraId="5F22E88C" w14:textId="77777777" w:rsidR="0056595B" w:rsidRPr="00734942" w:rsidRDefault="0056595B" w:rsidP="00067143">
            <w:pPr>
              <w:rPr>
                <w:rFonts w:cstheme="minorHAnsi"/>
                <w:sz w:val="20"/>
                <w:szCs w:val="20"/>
              </w:rPr>
            </w:pPr>
            <w:r w:rsidRPr="00734942">
              <w:rPr>
                <w:rFonts w:cstheme="minorHAnsi"/>
                <w:sz w:val="20"/>
                <w:szCs w:val="20"/>
              </w:rPr>
              <w:t>4974 (2472)</w:t>
            </w:r>
          </w:p>
          <w:p w14:paraId="59401B46" w14:textId="77777777" w:rsidR="0056595B" w:rsidRPr="00734942" w:rsidRDefault="0056595B" w:rsidP="00067143">
            <w:pPr>
              <w:rPr>
                <w:rFonts w:cstheme="minorHAnsi"/>
                <w:sz w:val="20"/>
                <w:szCs w:val="20"/>
              </w:rPr>
            </w:pPr>
            <w:r w:rsidRPr="00734942">
              <w:rPr>
                <w:rFonts w:cstheme="minorHAnsi"/>
                <w:sz w:val="20"/>
                <w:szCs w:val="20"/>
              </w:rPr>
              <w:t>173 (131)</w:t>
            </w:r>
          </w:p>
          <w:p w14:paraId="0B633329" w14:textId="77777777" w:rsidR="0056595B" w:rsidRPr="00734942" w:rsidRDefault="0056595B" w:rsidP="00067143">
            <w:pPr>
              <w:rPr>
                <w:rFonts w:cstheme="minorHAnsi"/>
                <w:sz w:val="20"/>
                <w:szCs w:val="20"/>
              </w:rPr>
            </w:pPr>
            <w:r w:rsidRPr="00734942">
              <w:rPr>
                <w:rFonts w:cstheme="minorHAnsi"/>
                <w:sz w:val="20"/>
                <w:szCs w:val="20"/>
              </w:rPr>
              <w:t>212 (109)</w:t>
            </w:r>
          </w:p>
          <w:p w14:paraId="77AE607E" w14:textId="77777777" w:rsidR="0056595B" w:rsidRPr="00734942" w:rsidRDefault="0056595B" w:rsidP="00067143">
            <w:pPr>
              <w:rPr>
                <w:rFonts w:cstheme="minorHAnsi"/>
                <w:sz w:val="20"/>
                <w:szCs w:val="20"/>
              </w:rPr>
            </w:pPr>
            <w:r w:rsidRPr="00734942">
              <w:rPr>
                <w:rFonts w:cstheme="minorHAnsi"/>
                <w:sz w:val="20"/>
                <w:szCs w:val="20"/>
              </w:rPr>
              <w:t>1135 (669)</w:t>
            </w:r>
          </w:p>
          <w:p w14:paraId="77B8AF3E" w14:textId="77777777" w:rsidR="0056595B" w:rsidRPr="00734942" w:rsidRDefault="0056595B" w:rsidP="00067143">
            <w:pPr>
              <w:rPr>
                <w:rFonts w:cstheme="minorHAnsi"/>
                <w:sz w:val="20"/>
                <w:szCs w:val="20"/>
              </w:rPr>
            </w:pPr>
            <w:r w:rsidRPr="00734942">
              <w:rPr>
                <w:rFonts w:cstheme="minorHAnsi"/>
                <w:sz w:val="20"/>
                <w:szCs w:val="20"/>
              </w:rPr>
              <w:t>941 (464)</w:t>
            </w:r>
          </w:p>
          <w:p w14:paraId="0327C5E7" w14:textId="77777777" w:rsidR="0056595B" w:rsidRPr="00734942" w:rsidRDefault="0056595B" w:rsidP="00067143">
            <w:pPr>
              <w:rPr>
                <w:rFonts w:cstheme="minorHAnsi"/>
                <w:sz w:val="20"/>
                <w:szCs w:val="20"/>
              </w:rPr>
            </w:pPr>
            <w:r w:rsidRPr="00734942">
              <w:rPr>
                <w:rFonts w:cstheme="minorHAnsi"/>
                <w:sz w:val="20"/>
                <w:szCs w:val="20"/>
              </w:rPr>
              <w:t>986 (415)</w:t>
            </w:r>
          </w:p>
        </w:tc>
        <w:tc>
          <w:tcPr>
            <w:tcW w:w="1559" w:type="dxa"/>
            <w:tcBorders>
              <w:top w:val="single" w:sz="4" w:space="0" w:color="auto"/>
              <w:bottom w:val="single" w:sz="4" w:space="0" w:color="auto"/>
            </w:tcBorders>
          </w:tcPr>
          <w:p w14:paraId="27DFE372" w14:textId="77777777" w:rsidR="0056595B" w:rsidRPr="008672E6" w:rsidRDefault="0056595B" w:rsidP="00067143">
            <w:pPr>
              <w:rPr>
                <w:rFonts w:cstheme="minorHAnsi"/>
                <w:sz w:val="20"/>
                <w:szCs w:val="20"/>
                <w:lang w:val="nl-NL"/>
              </w:rPr>
            </w:pPr>
          </w:p>
          <w:p w14:paraId="53254C8E" w14:textId="77777777" w:rsidR="0056595B" w:rsidRPr="008672E6" w:rsidRDefault="0056595B" w:rsidP="00067143">
            <w:pPr>
              <w:rPr>
                <w:rFonts w:cstheme="minorHAnsi"/>
                <w:sz w:val="20"/>
                <w:szCs w:val="20"/>
                <w:lang w:val="nl-NL"/>
              </w:rPr>
            </w:pPr>
            <w:r w:rsidRPr="008672E6">
              <w:rPr>
                <w:rFonts w:cstheme="minorHAnsi"/>
                <w:sz w:val="20"/>
                <w:szCs w:val="20"/>
                <w:lang w:val="nl-NL"/>
              </w:rPr>
              <w:t>3 – 100 U/mL</w:t>
            </w:r>
          </w:p>
          <w:p w14:paraId="58F6C0A5" w14:textId="77777777" w:rsidR="0056595B" w:rsidRPr="008672E6" w:rsidRDefault="0056595B" w:rsidP="00067143">
            <w:pPr>
              <w:rPr>
                <w:rFonts w:cstheme="minorHAnsi"/>
                <w:sz w:val="20"/>
                <w:szCs w:val="20"/>
                <w:lang w:val="nl-NL"/>
              </w:rPr>
            </w:pPr>
            <w:r w:rsidRPr="008672E6">
              <w:rPr>
                <w:rFonts w:cstheme="minorHAnsi"/>
                <w:sz w:val="20"/>
                <w:szCs w:val="20"/>
                <w:lang w:val="nl-NL"/>
              </w:rPr>
              <w:t>3, 7 U/mL</w:t>
            </w:r>
          </w:p>
          <w:p w14:paraId="0D496AB6" w14:textId="77777777" w:rsidR="0056595B" w:rsidRPr="008672E6" w:rsidRDefault="0056595B" w:rsidP="00067143">
            <w:pPr>
              <w:rPr>
                <w:rFonts w:cstheme="minorHAnsi"/>
                <w:sz w:val="20"/>
                <w:szCs w:val="20"/>
                <w:lang w:val="nl-NL"/>
              </w:rPr>
            </w:pPr>
            <w:r w:rsidRPr="008672E6">
              <w:rPr>
                <w:rFonts w:cstheme="minorHAnsi"/>
                <w:sz w:val="20"/>
                <w:szCs w:val="20"/>
                <w:lang w:val="nl-NL"/>
              </w:rPr>
              <w:t>6, 45.1 U/mL</w:t>
            </w:r>
          </w:p>
          <w:p w14:paraId="548F89C1" w14:textId="77777777" w:rsidR="0056595B" w:rsidRPr="008672E6" w:rsidRDefault="0056595B" w:rsidP="00067143">
            <w:pPr>
              <w:rPr>
                <w:rFonts w:cstheme="minorHAnsi"/>
                <w:sz w:val="20"/>
                <w:szCs w:val="20"/>
                <w:lang w:val="nl-NL"/>
              </w:rPr>
            </w:pPr>
            <w:r w:rsidRPr="008672E6">
              <w:rPr>
                <w:rFonts w:cstheme="minorHAnsi"/>
                <w:sz w:val="20"/>
                <w:szCs w:val="20"/>
                <w:lang w:val="nl-NL"/>
              </w:rPr>
              <w:t>1:5 – 1:40</w:t>
            </w:r>
          </w:p>
          <w:p w14:paraId="21A48F73" w14:textId="77777777" w:rsidR="0056595B" w:rsidRPr="008672E6" w:rsidRDefault="0056595B" w:rsidP="00067143">
            <w:pPr>
              <w:rPr>
                <w:rFonts w:cstheme="minorHAnsi"/>
                <w:sz w:val="20"/>
                <w:szCs w:val="20"/>
                <w:lang w:val="nl-NL"/>
              </w:rPr>
            </w:pPr>
            <w:r w:rsidRPr="008672E6">
              <w:rPr>
                <w:rFonts w:cstheme="minorHAnsi"/>
                <w:sz w:val="20"/>
                <w:szCs w:val="20"/>
                <w:lang w:val="nl-NL"/>
              </w:rPr>
              <w:t>1:2.5, 1:5</w:t>
            </w:r>
          </w:p>
          <w:p w14:paraId="411FFC8E" w14:textId="77777777" w:rsidR="0056595B" w:rsidRPr="008672E6" w:rsidRDefault="0056595B" w:rsidP="00067143">
            <w:pPr>
              <w:rPr>
                <w:rFonts w:cstheme="minorHAnsi"/>
                <w:sz w:val="20"/>
                <w:szCs w:val="20"/>
                <w:lang w:val="nl-NL"/>
              </w:rPr>
            </w:pPr>
            <w:r w:rsidRPr="008672E6">
              <w:rPr>
                <w:rFonts w:cstheme="minorHAnsi"/>
                <w:sz w:val="20"/>
                <w:szCs w:val="20"/>
                <w:lang w:val="nl-NL"/>
              </w:rPr>
              <w:t>20 U/mL</w:t>
            </w:r>
          </w:p>
          <w:p w14:paraId="03289BE5" w14:textId="77777777" w:rsidR="0056595B" w:rsidRPr="00734942" w:rsidRDefault="0056595B" w:rsidP="00067143">
            <w:pPr>
              <w:rPr>
                <w:rFonts w:cstheme="minorHAnsi"/>
                <w:sz w:val="20"/>
                <w:szCs w:val="20"/>
              </w:rPr>
            </w:pPr>
            <w:r w:rsidRPr="00734942">
              <w:rPr>
                <w:rFonts w:cstheme="minorHAnsi"/>
                <w:sz w:val="20"/>
                <w:szCs w:val="20"/>
              </w:rPr>
              <w:t>10 – 25 U/mL</w:t>
            </w:r>
          </w:p>
          <w:p w14:paraId="47F15E88" w14:textId="77777777" w:rsidR="0056595B" w:rsidRPr="00734942" w:rsidRDefault="0056595B" w:rsidP="00067143">
            <w:pPr>
              <w:rPr>
                <w:rFonts w:cstheme="minorHAnsi"/>
                <w:sz w:val="20"/>
                <w:szCs w:val="20"/>
              </w:rPr>
            </w:pPr>
            <w:r w:rsidRPr="00734942">
              <w:rPr>
                <w:rFonts w:cstheme="minorHAnsi"/>
                <w:sz w:val="20"/>
                <w:szCs w:val="20"/>
              </w:rPr>
              <w:t>16 – 20 U/mL</w:t>
            </w:r>
          </w:p>
          <w:p w14:paraId="11C4660C" w14:textId="77777777" w:rsidR="0056595B" w:rsidRPr="00734942" w:rsidRDefault="0056595B" w:rsidP="00067143">
            <w:pPr>
              <w:rPr>
                <w:rFonts w:cstheme="minorHAnsi"/>
                <w:sz w:val="20"/>
                <w:szCs w:val="20"/>
              </w:rPr>
            </w:pPr>
            <w:r w:rsidRPr="00734942">
              <w:rPr>
                <w:rFonts w:cstheme="minorHAnsi"/>
                <w:sz w:val="20"/>
                <w:szCs w:val="20"/>
              </w:rPr>
              <w:t>3 – 32.7 U/mL</w:t>
            </w:r>
          </w:p>
        </w:tc>
        <w:tc>
          <w:tcPr>
            <w:tcW w:w="1985" w:type="dxa"/>
            <w:tcBorders>
              <w:top w:val="single" w:sz="4" w:space="0" w:color="auto"/>
              <w:bottom w:val="single" w:sz="4" w:space="0" w:color="auto"/>
            </w:tcBorders>
          </w:tcPr>
          <w:p w14:paraId="368B8E49" w14:textId="77777777" w:rsidR="0056595B" w:rsidRPr="00734942" w:rsidRDefault="0056595B" w:rsidP="00067143">
            <w:pPr>
              <w:rPr>
                <w:rFonts w:cstheme="minorHAnsi"/>
                <w:sz w:val="20"/>
                <w:szCs w:val="20"/>
              </w:rPr>
            </w:pPr>
          </w:p>
          <w:p w14:paraId="22DE5BA4" w14:textId="77777777" w:rsidR="0056595B" w:rsidRPr="00734942" w:rsidRDefault="0056595B" w:rsidP="00067143">
            <w:pPr>
              <w:rPr>
                <w:rFonts w:cstheme="minorHAnsi"/>
                <w:sz w:val="20"/>
                <w:szCs w:val="20"/>
              </w:rPr>
            </w:pPr>
            <w:r w:rsidRPr="00734942">
              <w:rPr>
                <w:rFonts w:cstheme="minorHAnsi"/>
                <w:sz w:val="20"/>
                <w:szCs w:val="20"/>
              </w:rPr>
              <w:t>29 – 100</w:t>
            </w:r>
          </w:p>
          <w:p w14:paraId="476E633E" w14:textId="77777777" w:rsidR="0056595B" w:rsidRPr="00734942" w:rsidRDefault="0056595B" w:rsidP="00067143">
            <w:pPr>
              <w:rPr>
                <w:rFonts w:cstheme="minorHAnsi"/>
                <w:sz w:val="20"/>
                <w:szCs w:val="20"/>
              </w:rPr>
            </w:pPr>
            <w:r w:rsidRPr="00734942">
              <w:rPr>
                <w:rFonts w:cstheme="minorHAnsi"/>
                <w:sz w:val="20"/>
                <w:szCs w:val="20"/>
              </w:rPr>
              <w:t>31 – 97</w:t>
            </w:r>
          </w:p>
          <w:p w14:paraId="70E211FE" w14:textId="77777777" w:rsidR="0056595B" w:rsidRPr="00734942" w:rsidRDefault="0056595B" w:rsidP="00067143">
            <w:pPr>
              <w:rPr>
                <w:rFonts w:cstheme="minorHAnsi"/>
                <w:sz w:val="20"/>
                <w:szCs w:val="20"/>
              </w:rPr>
            </w:pPr>
            <w:r w:rsidRPr="00734942">
              <w:rPr>
                <w:rFonts w:cstheme="minorHAnsi"/>
                <w:sz w:val="20"/>
                <w:szCs w:val="20"/>
              </w:rPr>
              <w:t>94, 96</w:t>
            </w:r>
          </w:p>
          <w:p w14:paraId="2BD940A0" w14:textId="77777777" w:rsidR="0056595B" w:rsidRPr="00734942" w:rsidRDefault="0056595B" w:rsidP="00067143">
            <w:pPr>
              <w:rPr>
                <w:rFonts w:cstheme="minorHAnsi"/>
                <w:sz w:val="20"/>
                <w:szCs w:val="20"/>
              </w:rPr>
            </w:pPr>
            <w:r w:rsidRPr="00734942">
              <w:rPr>
                <w:rFonts w:cstheme="minorHAnsi"/>
                <w:sz w:val="20"/>
                <w:szCs w:val="20"/>
              </w:rPr>
              <w:t>40 – 100</w:t>
            </w:r>
          </w:p>
          <w:p w14:paraId="4890FDA3" w14:textId="77777777" w:rsidR="0056595B" w:rsidRPr="00734942" w:rsidRDefault="0056595B" w:rsidP="00067143">
            <w:pPr>
              <w:rPr>
                <w:rFonts w:cstheme="minorHAnsi"/>
                <w:sz w:val="20"/>
                <w:szCs w:val="20"/>
              </w:rPr>
            </w:pPr>
            <w:r w:rsidRPr="00734942">
              <w:rPr>
                <w:rFonts w:cstheme="minorHAnsi"/>
                <w:sz w:val="20"/>
                <w:szCs w:val="20"/>
              </w:rPr>
              <w:t>95, 96</w:t>
            </w:r>
          </w:p>
          <w:p w14:paraId="7D5F22F0" w14:textId="77777777" w:rsidR="0056595B" w:rsidRPr="00734942" w:rsidRDefault="0056595B" w:rsidP="00067143">
            <w:pPr>
              <w:rPr>
                <w:rFonts w:cstheme="minorHAnsi"/>
                <w:sz w:val="20"/>
                <w:szCs w:val="20"/>
              </w:rPr>
            </w:pPr>
            <w:r w:rsidRPr="00734942">
              <w:rPr>
                <w:rFonts w:cstheme="minorHAnsi"/>
                <w:sz w:val="20"/>
                <w:szCs w:val="20"/>
              </w:rPr>
              <w:t>85</w:t>
            </w:r>
          </w:p>
          <w:p w14:paraId="45CC5164" w14:textId="77777777" w:rsidR="0056595B" w:rsidRPr="00734942" w:rsidRDefault="0056595B" w:rsidP="00067143">
            <w:pPr>
              <w:rPr>
                <w:rFonts w:cstheme="minorHAnsi"/>
                <w:sz w:val="20"/>
                <w:szCs w:val="20"/>
              </w:rPr>
            </w:pPr>
            <w:r w:rsidRPr="00734942">
              <w:rPr>
                <w:rFonts w:cstheme="minorHAnsi"/>
                <w:sz w:val="20"/>
                <w:szCs w:val="20"/>
              </w:rPr>
              <w:t>77 – 92</w:t>
            </w:r>
          </w:p>
          <w:p w14:paraId="4A5B3B13" w14:textId="77777777" w:rsidR="0056595B" w:rsidRPr="00734942" w:rsidRDefault="0056595B" w:rsidP="00067143">
            <w:pPr>
              <w:rPr>
                <w:rFonts w:cstheme="minorHAnsi"/>
                <w:sz w:val="20"/>
                <w:szCs w:val="20"/>
              </w:rPr>
            </w:pPr>
            <w:r w:rsidRPr="00734942">
              <w:rPr>
                <w:rFonts w:cstheme="minorHAnsi"/>
                <w:sz w:val="20"/>
                <w:szCs w:val="20"/>
              </w:rPr>
              <w:t>88 – 100</w:t>
            </w:r>
          </w:p>
          <w:p w14:paraId="28F62843" w14:textId="77777777" w:rsidR="0056595B" w:rsidRPr="00734942" w:rsidRDefault="0056595B" w:rsidP="00067143">
            <w:pPr>
              <w:rPr>
                <w:rFonts w:cstheme="minorHAnsi"/>
                <w:sz w:val="20"/>
                <w:szCs w:val="20"/>
              </w:rPr>
            </w:pPr>
            <w:r w:rsidRPr="00734942">
              <w:rPr>
                <w:rFonts w:cstheme="minorHAnsi"/>
                <w:sz w:val="20"/>
                <w:szCs w:val="20"/>
              </w:rPr>
              <w:t>88 – 98</w:t>
            </w:r>
          </w:p>
        </w:tc>
        <w:tc>
          <w:tcPr>
            <w:tcW w:w="1984" w:type="dxa"/>
            <w:tcBorders>
              <w:top w:val="single" w:sz="4" w:space="0" w:color="auto"/>
              <w:bottom w:val="single" w:sz="4" w:space="0" w:color="auto"/>
            </w:tcBorders>
          </w:tcPr>
          <w:p w14:paraId="06735C73" w14:textId="77777777" w:rsidR="0056595B" w:rsidRPr="00734942" w:rsidRDefault="0056595B" w:rsidP="00067143">
            <w:pPr>
              <w:rPr>
                <w:rFonts w:cstheme="minorHAnsi"/>
                <w:sz w:val="20"/>
                <w:szCs w:val="20"/>
              </w:rPr>
            </w:pPr>
          </w:p>
          <w:p w14:paraId="12AE4D8B" w14:textId="77777777" w:rsidR="0056595B" w:rsidRPr="00734942" w:rsidRDefault="0056595B" w:rsidP="00067143">
            <w:pPr>
              <w:rPr>
                <w:rFonts w:cstheme="minorHAnsi"/>
                <w:sz w:val="20"/>
                <w:szCs w:val="20"/>
              </w:rPr>
            </w:pPr>
            <w:r w:rsidRPr="00734942">
              <w:rPr>
                <w:rFonts w:cstheme="minorHAnsi"/>
                <w:sz w:val="20"/>
                <w:szCs w:val="20"/>
              </w:rPr>
              <w:t>8 – 100</w:t>
            </w:r>
          </w:p>
          <w:p w14:paraId="43E195F4" w14:textId="77777777" w:rsidR="0056595B" w:rsidRPr="00734942" w:rsidRDefault="0056595B" w:rsidP="00067143">
            <w:pPr>
              <w:rPr>
                <w:rFonts w:cstheme="minorHAnsi"/>
                <w:sz w:val="20"/>
                <w:szCs w:val="20"/>
              </w:rPr>
            </w:pPr>
            <w:r w:rsidRPr="00734942">
              <w:rPr>
                <w:rFonts w:cstheme="minorHAnsi"/>
                <w:sz w:val="20"/>
                <w:szCs w:val="20"/>
              </w:rPr>
              <w:t>71 – 100</w:t>
            </w:r>
          </w:p>
          <w:p w14:paraId="40427DEB" w14:textId="77777777" w:rsidR="0056595B" w:rsidRPr="00734942" w:rsidRDefault="0056595B" w:rsidP="00067143">
            <w:pPr>
              <w:rPr>
                <w:rFonts w:cstheme="minorHAnsi"/>
                <w:sz w:val="20"/>
                <w:szCs w:val="20"/>
              </w:rPr>
            </w:pPr>
            <w:r w:rsidRPr="00734942">
              <w:rPr>
                <w:rFonts w:cstheme="minorHAnsi"/>
                <w:sz w:val="20"/>
                <w:szCs w:val="20"/>
              </w:rPr>
              <w:t>86, 99</w:t>
            </w:r>
          </w:p>
          <w:p w14:paraId="51E576C3" w14:textId="77777777" w:rsidR="0056595B" w:rsidRPr="00734942" w:rsidRDefault="0056595B" w:rsidP="00067143">
            <w:pPr>
              <w:rPr>
                <w:rFonts w:cstheme="minorHAnsi"/>
                <w:sz w:val="20"/>
                <w:szCs w:val="20"/>
              </w:rPr>
            </w:pPr>
            <w:r w:rsidRPr="00734942">
              <w:rPr>
                <w:rFonts w:cstheme="minorHAnsi"/>
                <w:sz w:val="20"/>
                <w:szCs w:val="20"/>
              </w:rPr>
              <w:t>29 – 100</w:t>
            </w:r>
          </w:p>
          <w:p w14:paraId="6B0A013C" w14:textId="77777777" w:rsidR="0056595B" w:rsidRPr="00734942" w:rsidRDefault="0056595B" w:rsidP="00067143">
            <w:pPr>
              <w:rPr>
                <w:rFonts w:cstheme="minorHAnsi"/>
                <w:sz w:val="20"/>
                <w:szCs w:val="20"/>
              </w:rPr>
            </w:pPr>
            <w:r w:rsidRPr="00734942">
              <w:rPr>
                <w:rFonts w:cstheme="minorHAnsi"/>
                <w:sz w:val="20"/>
                <w:szCs w:val="20"/>
              </w:rPr>
              <w:t>74, 91</w:t>
            </w:r>
          </w:p>
          <w:p w14:paraId="79DE584C" w14:textId="77777777" w:rsidR="0056595B" w:rsidRPr="00734942" w:rsidRDefault="0056595B" w:rsidP="00067143">
            <w:pPr>
              <w:rPr>
                <w:rFonts w:cstheme="minorHAnsi"/>
                <w:sz w:val="20"/>
                <w:szCs w:val="20"/>
              </w:rPr>
            </w:pPr>
            <w:r w:rsidRPr="00734942">
              <w:rPr>
                <w:rFonts w:cstheme="minorHAnsi"/>
                <w:sz w:val="20"/>
                <w:szCs w:val="20"/>
              </w:rPr>
              <w:t>88</w:t>
            </w:r>
          </w:p>
          <w:p w14:paraId="61EE6567" w14:textId="77777777" w:rsidR="0056595B" w:rsidRPr="00734942" w:rsidRDefault="0056595B" w:rsidP="00067143">
            <w:pPr>
              <w:rPr>
                <w:rFonts w:cstheme="minorHAnsi"/>
                <w:sz w:val="20"/>
                <w:szCs w:val="20"/>
              </w:rPr>
            </w:pPr>
            <w:r w:rsidRPr="00734942">
              <w:rPr>
                <w:rFonts w:cstheme="minorHAnsi"/>
                <w:sz w:val="20"/>
                <w:szCs w:val="20"/>
              </w:rPr>
              <w:t>84 – 94</w:t>
            </w:r>
          </w:p>
          <w:p w14:paraId="11B4FBC2" w14:textId="77777777" w:rsidR="0056595B" w:rsidRPr="00734942" w:rsidRDefault="0056595B" w:rsidP="00067143">
            <w:pPr>
              <w:rPr>
                <w:rFonts w:cstheme="minorHAnsi"/>
                <w:sz w:val="20"/>
                <w:szCs w:val="20"/>
              </w:rPr>
            </w:pPr>
            <w:r w:rsidRPr="00734942">
              <w:rPr>
                <w:rFonts w:cstheme="minorHAnsi"/>
                <w:sz w:val="20"/>
                <w:szCs w:val="20"/>
              </w:rPr>
              <w:t>22 – 96</w:t>
            </w:r>
          </w:p>
          <w:p w14:paraId="672B050F" w14:textId="77777777" w:rsidR="0056595B" w:rsidRPr="00734942" w:rsidRDefault="0056595B" w:rsidP="00067143">
            <w:pPr>
              <w:rPr>
                <w:rFonts w:cstheme="minorHAnsi"/>
                <w:sz w:val="20"/>
                <w:szCs w:val="20"/>
              </w:rPr>
            </w:pPr>
            <w:r w:rsidRPr="00734942">
              <w:rPr>
                <w:rFonts w:cstheme="minorHAnsi"/>
                <w:sz w:val="20"/>
                <w:szCs w:val="20"/>
              </w:rPr>
              <w:t>61 – 99</w:t>
            </w:r>
          </w:p>
        </w:tc>
      </w:tr>
      <w:tr w:rsidR="0056595B" w:rsidRPr="00734942" w14:paraId="7F872580" w14:textId="77777777" w:rsidTr="00067143">
        <w:trPr>
          <w:trHeight w:val="2262"/>
        </w:trPr>
        <w:tc>
          <w:tcPr>
            <w:tcW w:w="1843" w:type="dxa"/>
            <w:tcBorders>
              <w:top w:val="single" w:sz="4" w:space="0" w:color="auto"/>
              <w:bottom w:val="single" w:sz="4" w:space="0" w:color="auto"/>
            </w:tcBorders>
          </w:tcPr>
          <w:p w14:paraId="3095F2F2" w14:textId="77777777" w:rsidR="0056595B" w:rsidRPr="00734942" w:rsidRDefault="0056595B" w:rsidP="00067143">
            <w:pPr>
              <w:rPr>
                <w:b/>
                <w:sz w:val="20"/>
                <w:szCs w:val="20"/>
              </w:rPr>
            </w:pPr>
            <w:r w:rsidRPr="00734942">
              <w:rPr>
                <w:b/>
                <w:sz w:val="20"/>
                <w:szCs w:val="20"/>
              </w:rPr>
              <w:t>Mixed or unspecified</w:t>
            </w:r>
          </w:p>
          <w:p w14:paraId="0395FFF7" w14:textId="77777777" w:rsidR="0056595B" w:rsidRPr="00734942" w:rsidRDefault="0056595B" w:rsidP="00067143">
            <w:pPr>
              <w:ind w:left="167"/>
              <w:rPr>
                <w:sz w:val="20"/>
                <w:szCs w:val="20"/>
              </w:rPr>
            </w:pPr>
            <w:r w:rsidRPr="00734942">
              <w:rPr>
                <w:sz w:val="20"/>
                <w:szCs w:val="20"/>
              </w:rPr>
              <w:t>IgA tTG</w:t>
            </w:r>
          </w:p>
          <w:p w14:paraId="2C89563D" w14:textId="77777777" w:rsidR="0056595B" w:rsidRPr="00734942" w:rsidRDefault="0056595B" w:rsidP="00067143">
            <w:pPr>
              <w:ind w:left="167"/>
              <w:rPr>
                <w:sz w:val="20"/>
                <w:szCs w:val="20"/>
              </w:rPr>
            </w:pPr>
            <w:r w:rsidRPr="00734942">
              <w:rPr>
                <w:sz w:val="20"/>
                <w:szCs w:val="20"/>
              </w:rPr>
              <w:t>IgG tTG</w:t>
            </w:r>
          </w:p>
          <w:p w14:paraId="2BBE1BC8" w14:textId="77777777" w:rsidR="0056595B" w:rsidRPr="00541948" w:rsidRDefault="0056595B" w:rsidP="00067143">
            <w:pPr>
              <w:ind w:left="167"/>
              <w:rPr>
                <w:sz w:val="20"/>
                <w:szCs w:val="20"/>
                <w:lang w:val="pt-BR"/>
              </w:rPr>
            </w:pPr>
            <w:r w:rsidRPr="00541948">
              <w:rPr>
                <w:sz w:val="20"/>
                <w:szCs w:val="20"/>
                <w:lang w:val="pt-BR"/>
              </w:rPr>
              <w:t>IgA/IgG tTG</w:t>
            </w:r>
          </w:p>
          <w:p w14:paraId="373C9548" w14:textId="77777777" w:rsidR="0056595B" w:rsidRPr="00541948" w:rsidRDefault="0056595B" w:rsidP="00067143">
            <w:pPr>
              <w:ind w:left="167"/>
              <w:rPr>
                <w:sz w:val="20"/>
                <w:szCs w:val="20"/>
                <w:lang w:val="pt-BR"/>
              </w:rPr>
            </w:pPr>
            <w:r w:rsidRPr="00541948">
              <w:rPr>
                <w:sz w:val="20"/>
                <w:szCs w:val="20"/>
                <w:lang w:val="pt-BR"/>
              </w:rPr>
              <w:t>IgA EMA</w:t>
            </w:r>
            <w:r w:rsidRPr="00541948">
              <w:rPr>
                <w:sz w:val="20"/>
                <w:szCs w:val="20"/>
                <w:lang w:val="pt-BR"/>
              </w:rPr>
              <w:br/>
              <w:t>IgA DGP</w:t>
            </w:r>
          </w:p>
          <w:p w14:paraId="2A37CBE4" w14:textId="77777777" w:rsidR="0056595B" w:rsidRPr="00541948" w:rsidRDefault="0056595B" w:rsidP="00067143">
            <w:pPr>
              <w:ind w:left="167"/>
              <w:rPr>
                <w:sz w:val="20"/>
                <w:szCs w:val="20"/>
                <w:lang w:val="pt-BR"/>
              </w:rPr>
            </w:pPr>
            <w:r w:rsidRPr="00541948">
              <w:rPr>
                <w:sz w:val="20"/>
                <w:szCs w:val="20"/>
                <w:lang w:val="pt-BR"/>
              </w:rPr>
              <w:t>IgG DGP</w:t>
            </w:r>
          </w:p>
          <w:p w14:paraId="3995B069" w14:textId="77777777" w:rsidR="0056595B" w:rsidRPr="00541948" w:rsidRDefault="0056595B" w:rsidP="00067143">
            <w:pPr>
              <w:ind w:left="167"/>
              <w:rPr>
                <w:sz w:val="20"/>
                <w:szCs w:val="20"/>
                <w:lang w:val="pt-BR"/>
              </w:rPr>
            </w:pPr>
            <w:r w:rsidRPr="00541948">
              <w:rPr>
                <w:sz w:val="20"/>
                <w:szCs w:val="20"/>
                <w:lang w:val="pt-BR"/>
              </w:rPr>
              <w:t>IgA/IgG DGP</w:t>
            </w:r>
          </w:p>
          <w:p w14:paraId="3E9D8A08" w14:textId="77777777" w:rsidR="0056595B" w:rsidRPr="00541948" w:rsidRDefault="0056595B" w:rsidP="00067143">
            <w:pPr>
              <w:ind w:left="167"/>
              <w:rPr>
                <w:sz w:val="20"/>
                <w:szCs w:val="20"/>
                <w:lang w:val="pt-BR"/>
              </w:rPr>
            </w:pPr>
            <w:r w:rsidRPr="00541948">
              <w:rPr>
                <w:sz w:val="20"/>
                <w:szCs w:val="20"/>
                <w:lang w:val="pt-BR"/>
              </w:rPr>
              <w:t>IgA AAA</w:t>
            </w:r>
          </w:p>
        </w:tc>
        <w:tc>
          <w:tcPr>
            <w:tcW w:w="840" w:type="dxa"/>
            <w:tcBorders>
              <w:top w:val="single" w:sz="4" w:space="0" w:color="auto"/>
              <w:bottom w:val="single" w:sz="4" w:space="0" w:color="auto"/>
            </w:tcBorders>
          </w:tcPr>
          <w:p w14:paraId="3CC51F3C" w14:textId="77777777" w:rsidR="0056595B" w:rsidRPr="00541948" w:rsidRDefault="0056595B" w:rsidP="00067143">
            <w:pPr>
              <w:rPr>
                <w:rFonts w:cstheme="minorHAnsi"/>
                <w:sz w:val="20"/>
                <w:szCs w:val="20"/>
                <w:lang w:val="pt-BR"/>
              </w:rPr>
            </w:pPr>
          </w:p>
          <w:p w14:paraId="714C21D4" w14:textId="77777777" w:rsidR="0056595B" w:rsidRPr="00734942" w:rsidRDefault="0056595B" w:rsidP="00067143">
            <w:pPr>
              <w:rPr>
                <w:rFonts w:cstheme="minorHAnsi"/>
                <w:sz w:val="20"/>
                <w:szCs w:val="20"/>
              </w:rPr>
            </w:pPr>
            <w:r w:rsidRPr="00734942">
              <w:rPr>
                <w:rFonts w:cstheme="minorHAnsi"/>
                <w:sz w:val="20"/>
                <w:szCs w:val="20"/>
              </w:rPr>
              <w:t>25</w:t>
            </w:r>
          </w:p>
          <w:p w14:paraId="10BAA47A" w14:textId="77777777" w:rsidR="0056595B" w:rsidRPr="00734942" w:rsidRDefault="0056595B" w:rsidP="00067143">
            <w:pPr>
              <w:rPr>
                <w:rFonts w:cstheme="minorHAnsi"/>
                <w:sz w:val="20"/>
                <w:szCs w:val="20"/>
              </w:rPr>
            </w:pPr>
            <w:r w:rsidRPr="00734942">
              <w:rPr>
                <w:rFonts w:cstheme="minorHAnsi"/>
                <w:sz w:val="20"/>
                <w:szCs w:val="20"/>
              </w:rPr>
              <w:t>2</w:t>
            </w:r>
          </w:p>
          <w:p w14:paraId="63448382" w14:textId="77777777" w:rsidR="0056595B" w:rsidRPr="00734942" w:rsidRDefault="0056595B" w:rsidP="00067143">
            <w:pPr>
              <w:rPr>
                <w:rFonts w:cstheme="minorHAnsi"/>
                <w:sz w:val="20"/>
                <w:szCs w:val="20"/>
              </w:rPr>
            </w:pPr>
            <w:r w:rsidRPr="00734942">
              <w:rPr>
                <w:rFonts w:cstheme="minorHAnsi"/>
                <w:sz w:val="20"/>
                <w:szCs w:val="20"/>
              </w:rPr>
              <w:t>1</w:t>
            </w:r>
          </w:p>
          <w:p w14:paraId="5675EBFD" w14:textId="77777777" w:rsidR="0056595B" w:rsidRPr="00734942" w:rsidRDefault="0056595B" w:rsidP="00067143">
            <w:pPr>
              <w:rPr>
                <w:rFonts w:cstheme="minorHAnsi"/>
                <w:sz w:val="20"/>
                <w:szCs w:val="20"/>
              </w:rPr>
            </w:pPr>
            <w:r w:rsidRPr="00734942">
              <w:rPr>
                <w:rFonts w:cstheme="minorHAnsi"/>
                <w:sz w:val="20"/>
                <w:szCs w:val="20"/>
              </w:rPr>
              <w:t>15</w:t>
            </w:r>
          </w:p>
          <w:p w14:paraId="04EB39FB" w14:textId="77777777" w:rsidR="0056595B" w:rsidRPr="00734942" w:rsidRDefault="0056595B" w:rsidP="00067143">
            <w:pPr>
              <w:rPr>
                <w:rFonts w:cstheme="minorHAnsi"/>
                <w:sz w:val="20"/>
                <w:szCs w:val="20"/>
              </w:rPr>
            </w:pPr>
            <w:r w:rsidRPr="00734942">
              <w:rPr>
                <w:rFonts w:cstheme="minorHAnsi"/>
                <w:sz w:val="20"/>
                <w:szCs w:val="20"/>
              </w:rPr>
              <w:t>2</w:t>
            </w:r>
          </w:p>
          <w:p w14:paraId="4F1C0955" w14:textId="77777777" w:rsidR="0056595B" w:rsidRPr="00734942" w:rsidRDefault="0056595B" w:rsidP="00067143">
            <w:pPr>
              <w:rPr>
                <w:rFonts w:cstheme="minorHAnsi"/>
                <w:sz w:val="20"/>
                <w:szCs w:val="20"/>
              </w:rPr>
            </w:pPr>
            <w:r w:rsidRPr="00734942">
              <w:rPr>
                <w:rFonts w:cstheme="minorHAnsi"/>
                <w:sz w:val="20"/>
                <w:szCs w:val="20"/>
              </w:rPr>
              <w:t>2</w:t>
            </w:r>
          </w:p>
          <w:p w14:paraId="019ECFBC" w14:textId="77777777" w:rsidR="0056595B" w:rsidRPr="00734942" w:rsidRDefault="0056595B" w:rsidP="00067143">
            <w:pPr>
              <w:rPr>
                <w:rFonts w:cstheme="minorHAnsi"/>
                <w:sz w:val="20"/>
                <w:szCs w:val="20"/>
              </w:rPr>
            </w:pPr>
            <w:r w:rsidRPr="00734942">
              <w:rPr>
                <w:rFonts w:cstheme="minorHAnsi"/>
                <w:sz w:val="20"/>
                <w:szCs w:val="20"/>
              </w:rPr>
              <w:t>3</w:t>
            </w:r>
          </w:p>
          <w:p w14:paraId="44940835" w14:textId="77777777" w:rsidR="0056595B" w:rsidRPr="00734942" w:rsidRDefault="0056595B" w:rsidP="00067143">
            <w:pPr>
              <w:rPr>
                <w:rFonts w:cstheme="minorHAnsi"/>
                <w:sz w:val="20"/>
                <w:szCs w:val="20"/>
              </w:rPr>
            </w:pPr>
            <w:r w:rsidRPr="00734942">
              <w:rPr>
                <w:rFonts w:cstheme="minorHAnsi"/>
                <w:sz w:val="20"/>
                <w:szCs w:val="20"/>
              </w:rPr>
              <w:t>1</w:t>
            </w:r>
          </w:p>
        </w:tc>
        <w:tc>
          <w:tcPr>
            <w:tcW w:w="1428" w:type="dxa"/>
            <w:tcBorders>
              <w:top w:val="single" w:sz="4" w:space="0" w:color="auto"/>
              <w:bottom w:val="single" w:sz="4" w:space="0" w:color="auto"/>
            </w:tcBorders>
          </w:tcPr>
          <w:p w14:paraId="7E0BB9D6" w14:textId="77777777" w:rsidR="0056595B" w:rsidRPr="00734942" w:rsidRDefault="0056595B" w:rsidP="00067143">
            <w:pPr>
              <w:rPr>
                <w:rFonts w:cstheme="minorHAnsi"/>
                <w:sz w:val="20"/>
                <w:szCs w:val="20"/>
              </w:rPr>
            </w:pPr>
          </w:p>
          <w:p w14:paraId="22E53138" w14:textId="77777777" w:rsidR="0056595B" w:rsidRPr="00734942" w:rsidRDefault="0056595B" w:rsidP="00067143">
            <w:pPr>
              <w:rPr>
                <w:rFonts w:cstheme="minorHAnsi"/>
                <w:sz w:val="20"/>
                <w:szCs w:val="20"/>
              </w:rPr>
            </w:pPr>
            <w:r w:rsidRPr="00734942">
              <w:rPr>
                <w:rFonts w:cstheme="minorHAnsi"/>
                <w:sz w:val="20"/>
                <w:szCs w:val="20"/>
              </w:rPr>
              <w:t>4564 (1414)</w:t>
            </w:r>
          </w:p>
          <w:p w14:paraId="4D9DE92A" w14:textId="77777777" w:rsidR="0056595B" w:rsidRPr="00734942" w:rsidRDefault="0056595B" w:rsidP="00067143">
            <w:pPr>
              <w:rPr>
                <w:rFonts w:cstheme="minorHAnsi"/>
                <w:sz w:val="20"/>
                <w:szCs w:val="20"/>
              </w:rPr>
            </w:pPr>
            <w:r w:rsidRPr="00734942">
              <w:rPr>
                <w:rFonts w:cstheme="minorHAnsi"/>
                <w:sz w:val="20"/>
                <w:szCs w:val="20"/>
              </w:rPr>
              <w:t>432 (122)</w:t>
            </w:r>
          </w:p>
          <w:p w14:paraId="3E06D676" w14:textId="77777777" w:rsidR="0056595B" w:rsidRPr="00734942" w:rsidRDefault="0056595B" w:rsidP="00067143">
            <w:pPr>
              <w:rPr>
                <w:rFonts w:cstheme="minorHAnsi"/>
                <w:sz w:val="20"/>
                <w:szCs w:val="20"/>
              </w:rPr>
            </w:pPr>
            <w:r w:rsidRPr="00734942">
              <w:rPr>
                <w:rFonts w:cstheme="minorHAnsi"/>
                <w:sz w:val="20"/>
                <w:szCs w:val="20"/>
              </w:rPr>
              <w:t>254 (26)</w:t>
            </w:r>
          </w:p>
          <w:p w14:paraId="275E3D6B" w14:textId="77777777" w:rsidR="0056595B" w:rsidRPr="00734942" w:rsidRDefault="0056595B" w:rsidP="00067143">
            <w:pPr>
              <w:rPr>
                <w:rFonts w:cstheme="minorHAnsi"/>
                <w:sz w:val="20"/>
                <w:szCs w:val="20"/>
              </w:rPr>
            </w:pPr>
            <w:r w:rsidRPr="00734942">
              <w:rPr>
                <w:rFonts w:cstheme="minorHAnsi"/>
                <w:sz w:val="20"/>
                <w:szCs w:val="20"/>
              </w:rPr>
              <w:t>2884 (843)</w:t>
            </w:r>
          </w:p>
          <w:p w14:paraId="6566EF76" w14:textId="77777777" w:rsidR="0056595B" w:rsidRPr="00734942" w:rsidRDefault="0056595B" w:rsidP="00067143">
            <w:pPr>
              <w:rPr>
                <w:rFonts w:cstheme="minorHAnsi"/>
                <w:sz w:val="20"/>
                <w:szCs w:val="20"/>
              </w:rPr>
            </w:pPr>
            <w:r w:rsidRPr="00734942">
              <w:rPr>
                <w:rFonts w:cstheme="minorHAnsi"/>
                <w:sz w:val="20"/>
                <w:szCs w:val="20"/>
              </w:rPr>
              <w:t>561 (58)</w:t>
            </w:r>
          </w:p>
          <w:p w14:paraId="38FD678C" w14:textId="77777777" w:rsidR="0056595B" w:rsidRPr="00734942" w:rsidRDefault="0056595B" w:rsidP="00067143">
            <w:pPr>
              <w:rPr>
                <w:rFonts w:cstheme="minorHAnsi"/>
                <w:sz w:val="20"/>
                <w:szCs w:val="20"/>
              </w:rPr>
            </w:pPr>
            <w:r w:rsidRPr="00734942">
              <w:rPr>
                <w:rFonts w:cstheme="minorHAnsi"/>
                <w:sz w:val="20"/>
                <w:szCs w:val="20"/>
              </w:rPr>
              <w:t>562 (56)</w:t>
            </w:r>
          </w:p>
          <w:p w14:paraId="6C7A2BFD" w14:textId="77777777" w:rsidR="0056595B" w:rsidRPr="00734942" w:rsidRDefault="0056595B" w:rsidP="00067143">
            <w:pPr>
              <w:rPr>
                <w:rFonts w:cstheme="minorHAnsi"/>
                <w:sz w:val="20"/>
                <w:szCs w:val="20"/>
              </w:rPr>
            </w:pPr>
            <w:r w:rsidRPr="00734942">
              <w:rPr>
                <w:rFonts w:cstheme="minorHAnsi"/>
                <w:sz w:val="20"/>
                <w:szCs w:val="20"/>
              </w:rPr>
              <w:t>480 (48)</w:t>
            </w:r>
          </w:p>
          <w:p w14:paraId="25F689B7" w14:textId="77777777" w:rsidR="0056595B" w:rsidRPr="00734942" w:rsidRDefault="0056595B" w:rsidP="00067143">
            <w:pPr>
              <w:rPr>
                <w:rFonts w:cstheme="minorHAnsi"/>
                <w:sz w:val="20"/>
                <w:szCs w:val="20"/>
              </w:rPr>
            </w:pPr>
            <w:r w:rsidRPr="00734942">
              <w:rPr>
                <w:rFonts w:cstheme="minorHAnsi"/>
                <w:sz w:val="20"/>
                <w:szCs w:val="20"/>
              </w:rPr>
              <w:t>391 (10)</w:t>
            </w:r>
          </w:p>
        </w:tc>
        <w:tc>
          <w:tcPr>
            <w:tcW w:w="1559" w:type="dxa"/>
            <w:tcBorders>
              <w:top w:val="single" w:sz="4" w:space="0" w:color="auto"/>
              <w:bottom w:val="single" w:sz="4" w:space="0" w:color="auto"/>
            </w:tcBorders>
          </w:tcPr>
          <w:p w14:paraId="7E0DEE3E" w14:textId="77777777" w:rsidR="0056595B" w:rsidRPr="008672E6" w:rsidRDefault="0056595B" w:rsidP="00067143">
            <w:pPr>
              <w:rPr>
                <w:rFonts w:cstheme="minorHAnsi"/>
                <w:sz w:val="20"/>
                <w:szCs w:val="20"/>
                <w:lang w:val="nl-NL"/>
              </w:rPr>
            </w:pPr>
          </w:p>
          <w:p w14:paraId="7779CCA3" w14:textId="77777777" w:rsidR="0056595B" w:rsidRPr="008672E6" w:rsidRDefault="0056595B" w:rsidP="00067143">
            <w:pPr>
              <w:rPr>
                <w:rFonts w:cstheme="minorHAnsi"/>
                <w:sz w:val="20"/>
                <w:szCs w:val="20"/>
                <w:lang w:val="nl-NL"/>
              </w:rPr>
            </w:pPr>
            <w:r w:rsidRPr="008672E6">
              <w:rPr>
                <w:rFonts w:cstheme="minorHAnsi"/>
                <w:sz w:val="20"/>
                <w:szCs w:val="20"/>
                <w:lang w:val="nl-NL"/>
              </w:rPr>
              <w:t>2 – 89.5 U/mL</w:t>
            </w:r>
          </w:p>
          <w:p w14:paraId="16AC7CD5" w14:textId="77777777" w:rsidR="0056595B" w:rsidRPr="008672E6" w:rsidRDefault="0056595B" w:rsidP="00067143">
            <w:pPr>
              <w:rPr>
                <w:rFonts w:cstheme="minorHAnsi"/>
                <w:sz w:val="20"/>
                <w:szCs w:val="20"/>
                <w:lang w:val="nl-NL"/>
              </w:rPr>
            </w:pPr>
            <w:r w:rsidRPr="008672E6">
              <w:rPr>
                <w:rFonts w:cstheme="minorHAnsi"/>
                <w:sz w:val="20"/>
                <w:szCs w:val="20"/>
                <w:lang w:val="nl-NL"/>
              </w:rPr>
              <w:t>10, 18.9 U/mL</w:t>
            </w:r>
          </w:p>
          <w:p w14:paraId="723DB558" w14:textId="77777777" w:rsidR="0056595B" w:rsidRPr="008672E6" w:rsidRDefault="0056595B" w:rsidP="00067143">
            <w:pPr>
              <w:rPr>
                <w:rFonts w:cstheme="minorHAnsi"/>
                <w:sz w:val="20"/>
                <w:szCs w:val="20"/>
                <w:lang w:val="nl-NL"/>
              </w:rPr>
            </w:pPr>
            <w:r w:rsidRPr="008672E6">
              <w:rPr>
                <w:rFonts w:cstheme="minorHAnsi"/>
                <w:sz w:val="20"/>
                <w:szCs w:val="20"/>
                <w:lang w:val="nl-NL"/>
              </w:rPr>
              <w:t>7.8 U/mL</w:t>
            </w:r>
          </w:p>
          <w:p w14:paraId="4462D320" w14:textId="77777777" w:rsidR="0056595B" w:rsidRPr="008672E6" w:rsidRDefault="0056595B" w:rsidP="00067143">
            <w:pPr>
              <w:rPr>
                <w:rFonts w:cstheme="minorHAnsi"/>
                <w:sz w:val="20"/>
                <w:szCs w:val="20"/>
                <w:lang w:val="nl-NL"/>
              </w:rPr>
            </w:pPr>
            <w:r w:rsidRPr="008672E6">
              <w:rPr>
                <w:rFonts w:cstheme="minorHAnsi"/>
                <w:sz w:val="20"/>
                <w:szCs w:val="20"/>
                <w:lang w:val="nl-NL"/>
              </w:rPr>
              <w:t>1:2.5 – 1:10</w:t>
            </w:r>
          </w:p>
          <w:p w14:paraId="1E4A4AAB" w14:textId="77777777" w:rsidR="0056595B" w:rsidRPr="008672E6" w:rsidRDefault="0056595B" w:rsidP="00067143">
            <w:pPr>
              <w:rPr>
                <w:rFonts w:cstheme="minorHAnsi"/>
                <w:sz w:val="20"/>
                <w:szCs w:val="20"/>
                <w:lang w:val="nl-NL"/>
              </w:rPr>
            </w:pPr>
            <w:r w:rsidRPr="008672E6">
              <w:rPr>
                <w:rFonts w:cstheme="minorHAnsi"/>
                <w:sz w:val="20"/>
                <w:szCs w:val="20"/>
                <w:lang w:val="nl-NL"/>
              </w:rPr>
              <w:t>19.9 U/mL</w:t>
            </w:r>
          </w:p>
          <w:p w14:paraId="231F4602" w14:textId="77777777" w:rsidR="0056595B" w:rsidRPr="00734942" w:rsidRDefault="0056595B" w:rsidP="00067143">
            <w:pPr>
              <w:rPr>
                <w:rFonts w:cstheme="minorHAnsi"/>
                <w:sz w:val="20"/>
                <w:szCs w:val="20"/>
              </w:rPr>
            </w:pPr>
            <w:r w:rsidRPr="00734942">
              <w:rPr>
                <w:rFonts w:cstheme="minorHAnsi"/>
                <w:sz w:val="20"/>
                <w:szCs w:val="20"/>
              </w:rPr>
              <w:t>19.9 U/mL</w:t>
            </w:r>
          </w:p>
          <w:p w14:paraId="01CD83F0" w14:textId="77777777" w:rsidR="0056595B" w:rsidRPr="00734942" w:rsidRDefault="0056595B" w:rsidP="00067143">
            <w:pPr>
              <w:rPr>
                <w:rFonts w:cstheme="minorHAnsi"/>
                <w:sz w:val="20"/>
                <w:szCs w:val="20"/>
              </w:rPr>
            </w:pPr>
            <w:r w:rsidRPr="00734942">
              <w:rPr>
                <w:rFonts w:cstheme="minorHAnsi"/>
                <w:sz w:val="20"/>
                <w:szCs w:val="20"/>
              </w:rPr>
              <w:t>NR</w:t>
            </w:r>
          </w:p>
          <w:p w14:paraId="444B2D0F" w14:textId="77777777" w:rsidR="0056595B" w:rsidRPr="00734942" w:rsidRDefault="0056595B" w:rsidP="00067143">
            <w:pPr>
              <w:rPr>
                <w:rFonts w:cstheme="minorHAnsi"/>
                <w:sz w:val="20"/>
                <w:szCs w:val="20"/>
              </w:rPr>
            </w:pPr>
            <w:r w:rsidRPr="00734942">
              <w:rPr>
                <w:rFonts w:cstheme="minorHAnsi"/>
                <w:sz w:val="20"/>
                <w:szCs w:val="20"/>
              </w:rPr>
              <w:t>NR</w:t>
            </w:r>
          </w:p>
        </w:tc>
        <w:tc>
          <w:tcPr>
            <w:tcW w:w="1985" w:type="dxa"/>
            <w:tcBorders>
              <w:top w:val="single" w:sz="4" w:space="0" w:color="auto"/>
              <w:bottom w:val="single" w:sz="4" w:space="0" w:color="auto"/>
            </w:tcBorders>
          </w:tcPr>
          <w:p w14:paraId="130C6C00" w14:textId="77777777" w:rsidR="0056595B" w:rsidRPr="00734942" w:rsidRDefault="0056595B" w:rsidP="00067143">
            <w:pPr>
              <w:rPr>
                <w:rFonts w:cstheme="minorHAnsi"/>
                <w:sz w:val="20"/>
                <w:szCs w:val="20"/>
              </w:rPr>
            </w:pPr>
          </w:p>
          <w:p w14:paraId="5E97F46B" w14:textId="77777777" w:rsidR="0056595B" w:rsidRPr="00734942" w:rsidRDefault="0056595B" w:rsidP="00067143">
            <w:pPr>
              <w:rPr>
                <w:rFonts w:cstheme="minorHAnsi"/>
                <w:sz w:val="20"/>
                <w:szCs w:val="20"/>
              </w:rPr>
            </w:pPr>
            <w:r w:rsidRPr="00734942">
              <w:rPr>
                <w:rFonts w:cstheme="minorHAnsi"/>
                <w:sz w:val="20"/>
                <w:szCs w:val="20"/>
              </w:rPr>
              <w:t>38 – 100</w:t>
            </w:r>
          </w:p>
          <w:p w14:paraId="0688A476" w14:textId="77777777" w:rsidR="0056595B" w:rsidRPr="00734942" w:rsidRDefault="0056595B" w:rsidP="00067143">
            <w:pPr>
              <w:rPr>
                <w:rFonts w:cstheme="minorHAnsi"/>
                <w:sz w:val="20"/>
                <w:szCs w:val="20"/>
              </w:rPr>
            </w:pPr>
            <w:r w:rsidRPr="00734942">
              <w:rPr>
                <w:rFonts w:cstheme="minorHAnsi"/>
                <w:sz w:val="20"/>
                <w:szCs w:val="20"/>
              </w:rPr>
              <w:t>41, 85</w:t>
            </w:r>
          </w:p>
          <w:p w14:paraId="4319F272" w14:textId="77777777" w:rsidR="0056595B" w:rsidRPr="00734942" w:rsidRDefault="0056595B" w:rsidP="00067143">
            <w:pPr>
              <w:rPr>
                <w:rFonts w:cstheme="minorHAnsi"/>
                <w:sz w:val="20"/>
                <w:szCs w:val="20"/>
              </w:rPr>
            </w:pPr>
            <w:r w:rsidRPr="00734942">
              <w:rPr>
                <w:rFonts w:cstheme="minorHAnsi"/>
                <w:sz w:val="20"/>
                <w:szCs w:val="20"/>
              </w:rPr>
              <w:t>92</w:t>
            </w:r>
          </w:p>
          <w:p w14:paraId="5576E65D" w14:textId="77777777" w:rsidR="0056595B" w:rsidRPr="00734942" w:rsidRDefault="0056595B" w:rsidP="00067143">
            <w:pPr>
              <w:rPr>
                <w:rFonts w:cstheme="minorHAnsi"/>
                <w:sz w:val="20"/>
                <w:szCs w:val="20"/>
              </w:rPr>
            </w:pPr>
            <w:r w:rsidRPr="00734942">
              <w:rPr>
                <w:rFonts w:cstheme="minorHAnsi"/>
                <w:sz w:val="20"/>
                <w:szCs w:val="20"/>
              </w:rPr>
              <w:t>68 – 100</w:t>
            </w:r>
          </w:p>
          <w:p w14:paraId="4D706DA7" w14:textId="77777777" w:rsidR="0056595B" w:rsidRPr="00734942" w:rsidRDefault="0056595B" w:rsidP="00067143">
            <w:pPr>
              <w:rPr>
                <w:rFonts w:cstheme="minorHAnsi"/>
                <w:sz w:val="20"/>
                <w:szCs w:val="20"/>
              </w:rPr>
            </w:pPr>
            <w:r w:rsidRPr="00734942">
              <w:rPr>
                <w:rFonts w:cstheme="minorHAnsi"/>
                <w:sz w:val="20"/>
                <w:szCs w:val="20"/>
              </w:rPr>
              <w:t>77, 90</w:t>
            </w:r>
          </w:p>
          <w:p w14:paraId="6D2B80C6" w14:textId="77777777" w:rsidR="0056595B" w:rsidRPr="00734942" w:rsidRDefault="0056595B" w:rsidP="00067143">
            <w:pPr>
              <w:rPr>
                <w:rFonts w:cstheme="minorHAnsi"/>
                <w:sz w:val="20"/>
                <w:szCs w:val="20"/>
              </w:rPr>
            </w:pPr>
            <w:r w:rsidRPr="00734942">
              <w:rPr>
                <w:rFonts w:cstheme="minorHAnsi"/>
                <w:sz w:val="20"/>
                <w:szCs w:val="20"/>
              </w:rPr>
              <w:t>76, 80</w:t>
            </w:r>
          </w:p>
          <w:p w14:paraId="38F8155B" w14:textId="77777777" w:rsidR="0056595B" w:rsidRPr="00734942" w:rsidRDefault="0056595B" w:rsidP="00067143">
            <w:pPr>
              <w:rPr>
                <w:rFonts w:cstheme="minorHAnsi"/>
                <w:sz w:val="20"/>
                <w:szCs w:val="20"/>
              </w:rPr>
            </w:pPr>
            <w:r w:rsidRPr="00734942">
              <w:rPr>
                <w:rFonts w:cstheme="minorHAnsi"/>
                <w:sz w:val="20"/>
                <w:szCs w:val="20"/>
              </w:rPr>
              <w:t>71 – 86</w:t>
            </w:r>
          </w:p>
          <w:p w14:paraId="20580D6A" w14:textId="77777777" w:rsidR="0056595B" w:rsidRPr="00734942" w:rsidRDefault="0056595B" w:rsidP="00067143">
            <w:pPr>
              <w:rPr>
                <w:rFonts w:cstheme="minorHAnsi"/>
                <w:sz w:val="20"/>
                <w:szCs w:val="20"/>
              </w:rPr>
            </w:pPr>
            <w:r w:rsidRPr="00734942">
              <w:rPr>
                <w:rFonts w:cstheme="minorHAnsi"/>
                <w:sz w:val="20"/>
                <w:szCs w:val="20"/>
              </w:rPr>
              <w:t>50</w:t>
            </w:r>
          </w:p>
        </w:tc>
        <w:tc>
          <w:tcPr>
            <w:tcW w:w="1984" w:type="dxa"/>
            <w:tcBorders>
              <w:top w:val="single" w:sz="4" w:space="0" w:color="auto"/>
              <w:bottom w:val="single" w:sz="4" w:space="0" w:color="auto"/>
            </w:tcBorders>
          </w:tcPr>
          <w:p w14:paraId="6D076EAD" w14:textId="77777777" w:rsidR="0056595B" w:rsidRPr="00734942" w:rsidRDefault="0056595B" w:rsidP="00067143">
            <w:pPr>
              <w:rPr>
                <w:rFonts w:cstheme="minorHAnsi"/>
                <w:sz w:val="20"/>
                <w:szCs w:val="20"/>
              </w:rPr>
            </w:pPr>
          </w:p>
          <w:p w14:paraId="512DD483" w14:textId="77777777" w:rsidR="0056595B" w:rsidRPr="00734942" w:rsidRDefault="0056595B" w:rsidP="00067143">
            <w:pPr>
              <w:rPr>
                <w:rFonts w:cstheme="minorHAnsi"/>
                <w:sz w:val="20"/>
                <w:szCs w:val="20"/>
              </w:rPr>
            </w:pPr>
            <w:r w:rsidRPr="00734942">
              <w:rPr>
                <w:rFonts w:cstheme="minorHAnsi"/>
                <w:sz w:val="20"/>
                <w:szCs w:val="20"/>
              </w:rPr>
              <w:t>9.5 – 100</w:t>
            </w:r>
          </w:p>
          <w:p w14:paraId="663E948E" w14:textId="77777777" w:rsidR="0056595B" w:rsidRPr="00734942" w:rsidRDefault="0056595B" w:rsidP="00067143">
            <w:pPr>
              <w:rPr>
                <w:rFonts w:cstheme="minorHAnsi"/>
                <w:sz w:val="20"/>
                <w:szCs w:val="20"/>
              </w:rPr>
            </w:pPr>
            <w:r w:rsidRPr="00734942">
              <w:rPr>
                <w:rFonts w:cstheme="minorHAnsi"/>
                <w:sz w:val="20"/>
                <w:szCs w:val="20"/>
              </w:rPr>
              <w:t>78.0, 89</w:t>
            </w:r>
          </w:p>
          <w:p w14:paraId="09D60C2B" w14:textId="77777777" w:rsidR="0056595B" w:rsidRPr="00734942" w:rsidRDefault="0056595B" w:rsidP="00067143">
            <w:pPr>
              <w:rPr>
                <w:rFonts w:cstheme="minorHAnsi"/>
                <w:sz w:val="20"/>
                <w:szCs w:val="20"/>
              </w:rPr>
            </w:pPr>
            <w:r w:rsidRPr="00734942">
              <w:rPr>
                <w:rFonts w:cstheme="minorHAnsi"/>
                <w:sz w:val="20"/>
                <w:szCs w:val="20"/>
              </w:rPr>
              <w:t>82.9</w:t>
            </w:r>
          </w:p>
          <w:p w14:paraId="739D7568" w14:textId="77777777" w:rsidR="0056595B" w:rsidRPr="00734942" w:rsidRDefault="0056595B" w:rsidP="00067143">
            <w:pPr>
              <w:rPr>
                <w:rFonts w:cstheme="minorHAnsi"/>
                <w:sz w:val="20"/>
                <w:szCs w:val="20"/>
              </w:rPr>
            </w:pPr>
            <w:r w:rsidRPr="00734942">
              <w:rPr>
                <w:rFonts w:cstheme="minorHAnsi"/>
                <w:sz w:val="20"/>
                <w:szCs w:val="20"/>
              </w:rPr>
              <w:t>38.9 – 100</w:t>
            </w:r>
          </w:p>
          <w:p w14:paraId="7AAE01ED" w14:textId="77777777" w:rsidR="0056595B" w:rsidRPr="00734942" w:rsidRDefault="0056595B" w:rsidP="00067143">
            <w:pPr>
              <w:rPr>
                <w:rFonts w:cstheme="minorHAnsi"/>
                <w:sz w:val="20"/>
                <w:szCs w:val="20"/>
              </w:rPr>
            </w:pPr>
            <w:r w:rsidRPr="00734942">
              <w:rPr>
                <w:rFonts w:cstheme="minorHAnsi"/>
                <w:sz w:val="20"/>
                <w:szCs w:val="20"/>
              </w:rPr>
              <w:t>93.4, 97</w:t>
            </w:r>
          </w:p>
          <w:p w14:paraId="008CD7B7" w14:textId="77777777" w:rsidR="0056595B" w:rsidRPr="00734942" w:rsidRDefault="0056595B" w:rsidP="00067143">
            <w:pPr>
              <w:rPr>
                <w:rFonts w:cstheme="minorHAnsi"/>
                <w:sz w:val="20"/>
                <w:szCs w:val="20"/>
              </w:rPr>
            </w:pPr>
            <w:r w:rsidRPr="00734942">
              <w:rPr>
                <w:rFonts w:cstheme="minorHAnsi"/>
                <w:sz w:val="20"/>
                <w:szCs w:val="20"/>
              </w:rPr>
              <w:t>92.0, 99</w:t>
            </w:r>
          </w:p>
          <w:p w14:paraId="363C2946" w14:textId="77777777" w:rsidR="0056595B" w:rsidRPr="00734942" w:rsidRDefault="0056595B" w:rsidP="00067143">
            <w:pPr>
              <w:rPr>
                <w:rFonts w:cstheme="minorHAnsi"/>
                <w:sz w:val="20"/>
                <w:szCs w:val="20"/>
              </w:rPr>
            </w:pPr>
            <w:r w:rsidRPr="00734942">
              <w:rPr>
                <w:rFonts w:cstheme="minorHAnsi"/>
                <w:sz w:val="20"/>
                <w:szCs w:val="20"/>
              </w:rPr>
              <w:t>92.9 – 99</w:t>
            </w:r>
          </w:p>
          <w:p w14:paraId="3D083933" w14:textId="77777777" w:rsidR="0056595B" w:rsidRPr="00734942" w:rsidRDefault="0056595B" w:rsidP="00067143">
            <w:pPr>
              <w:rPr>
                <w:rFonts w:cstheme="minorHAnsi"/>
                <w:sz w:val="20"/>
                <w:szCs w:val="20"/>
              </w:rPr>
            </w:pPr>
            <w:r w:rsidRPr="00734942">
              <w:rPr>
                <w:rFonts w:cstheme="minorHAnsi"/>
                <w:sz w:val="20"/>
                <w:szCs w:val="20"/>
              </w:rPr>
              <w:t>91.3</w:t>
            </w:r>
          </w:p>
        </w:tc>
      </w:tr>
    </w:tbl>
    <w:p w14:paraId="7EB6A6BE" w14:textId="77777777" w:rsidR="0056595B" w:rsidRPr="00734942" w:rsidRDefault="0056595B" w:rsidP="0056595B">
      <w:pPr>
        <w:ind w:right="1767"/>
        <w:rPr>
          <w:sz w:val="20"/>
        </w:rPr>
      </w:pPr>
      <w:r w:rsidRPr="00734942">
        <w:rPr>
          <w:sz w:val="20"/>
        </w:rPr>
        <w:t>CD, coeliac disease; IgA, immunoglobulin A; IgG, immunoglobulin G; tTG, anti-tissue transglutaminase; EMA, endomysial antibodies; DGP, deamidated gliadin peptide; AAA, anti-actin antibodies; NR, not reported</w:t>
      </w:r>
    </w:p>
    <w:p w14:paraId="4027C1FB" w14:textId="77777777" w:rsidR="0056595B" w:rsidRPr="00734942" w:rsidRDefault="0056595B" w:rsidP="0056595B">
      <w:pPr>
        <w:pStyle w:val="Heading4"/>
      </w:pPr>
      <w:r w:rsidRPr="00734942">
        <w:t>Accuracy of tests at the most commonly reported thresholds</w:t>
      </w:r>
    </w:p>
    <w:p w14:paraId="504996DF" w14:textId="5CEED14E" w:rsidR="0056595B" w:rsidRPr="00734942" w:rsidRDefault="00644460" w:rsidP="0056595B">
      <w:r>
        <w:rPr>
          <w:highlight w:val="yellow"/>
        </w:rPr>
        <w:fldChar w:fldCharType="begin"/>
      </w:r>
      <w:r>
        <w:instrText xml:space="preserve"> REF _Ref84000798 \h </w:instrText>
      </w:r>
      <w:r>
        <w:rPr>
          <w:highlight w:val="yellow"/>
        </w:rPr>
      </w:r>
      <w:r>
        <w:rPr>
          <w:highlight w:val="yellow"/>
        </w:rPr>
        <w:fldChar w:fldCharType="separate"/>
      </w:r>
      <w:r w:rsidR="008B5583" w:rsidRPr="00734942">
        <w:t xml:space="preserve">Table </w:t>
      </w:r>
      <w:r w:rsidR="008B5583">
        <w:rPr>
          <w:noProof/>
        </w:rPr>
        <w:t>9</w:t>
      </w:r>
      <w:r>
        <w:rPr>
          <w:highlight w:val="yellow"/>
        </w:rPr>
        <w:fldChar w:fldCharType="end"/>
      </w:r>
      <w:r>
        <w:t xml:space="preserve"> </w:t>
      </w:r>
      <w:r w:rsidR="0056595B" w:rsidRPr="00734942">
        <w:t xml:space="preserve">shows pooled estimates of the accuracy of each serological tests evaluated at the most commonly reported threshold. </w:t>
      </w:r>
      <w:r w:rsidR="0056595B" w:rsidRPr="00734942">
        <w:rPr>
          <w:color w:val="000000" w:themeColor="text1"/>
        </w:rPr>
        <w:t>S</w:t>
      </w:r>
      <w:r w:rsidR="0056595B" w:rsidRPr="00734942">
        <w:t xml:space="preserve">ummary estimates restricted to the most common threshold are also shown in </w:t>
      </w:r>
      <w:r w:rsidR="00482E16">
        <w:fldChar w:fldCharType="begin"/>
      </w:r>
      <w:r w:rsidR="00482E16">
        <w:instrText xml:space="preserve"> REF _Ref87439896 \h </w:instrText>
      </w:r>
      <w:r w:rsidR="00482E16">
        <w:fldChar w:fldCharType="separate"/>
      </w:r>
      <w:r w:rsidR="008B5583" w:rsidRPr="00734942">
        <w:t xml:space="preserve">Figure </w:t>
      </w:r>
      <w:r w:rsidR="008B5583">
        <w:rPr>
          <w:noProof/>
        </w:rPr>
        <w:t>5</w:t>
      </w:r>
      <w:r w:rsidR="00482E16">
        <w:fldChar w:fldCharType="end"/>
      </w:r>
      <w:r w:rsidR="0056595B" w:rsidRPr="00734942">
        <w:t xml:space="preserve"> and </w:t>
      </w:r>
      <w:fldSimple w:instr="REF _Ref84003468  \* MERGEFORMAT">
        <w:r w:rsidR="008B5583" w:rsidRPr="00734942">
          <w:t xml:space="preserve">Figure </w:t>
        </w:r>
        <w:r w:rsidR="008B5583">
          <w:rPr>
            <w:noProof/>
          </w:rPr>
          <w:t>6</w:t>
        </w:r>
      </w:fldSimple>
      <w:r w:rsidR="0056595B" w:rsidRPr="00734942">
        <w:t>.</w:t>
      </w:r>
    </w:p>
    <w:p w14:paraId="322DB6F0" w14:textId="4EDE444B" w:rsidR="0056595B" w:rsidRPr="00734942" w:rsidRDefault="0056595B" w:rsidP="0056595B">
      <w:r w:rsidRPr="00734942">
        <w:t>Although tTG was evaluated in 27 studies in adults, only five studies reported at a common threshold of 15U/mL.</w:t>
      </w:r>
      <w:r w:rsidR="0072782B">
        <w:fldChar w:fldCharType="begin">
          <w:fldData xml:space="preserve">PEVuZE5vdGU+PENpdGU+PEF1dGhvcj5Ib3BwZXI8L0F1dGhvcj48WWVhcj4yMDA4PC9ZZWFyPjxS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</w:fldData>
        </w:fldChar>
      </w:r>
      <w:r w:rsidR="00735CC0">
        <w:instrText xml:space="preserve"> ADDIN EN.CITE </w:instrText>
      </w:r>
      <w:r w:rsidR="00735CC0">
        <w:fldChar w:fldCharType="begin">
          <w:fldData xml:space="preserve">PEVuZE5vdGU+PENpdGU+PEF1dGhvcj5Ib3BwZXI8L0F1dGhvcj48WWVhcj4yMDA4PC9ZZWFyPjxS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</w:fldData>
        </w:fldChar>
      </w:r>
      <w:r w:rsidR="00735CC0">
        <w:instrText xml:space="preserve"> ADDIN EN.CITE.DATA </w:instrText>
      </w:r>
      <w:r w:rsidR="00735CC0">
        <w:fldChar w:fldCharType="end"/>
      </w:r>
      <w:r w:rsidR="0072782B">
        <w:fldChar w:fldCharType="separate"/>
      </w:r>
      <w:r w:rsidR="00735CC0" w:rsidRPr="00735CC0">
        <w:rPr>
          <w:noProof/>
          <w:vertAlign w:val="superscript"/>
        </w:rPr>
        <w:t>90, 100, 110, 178, 179</w:t>
      </w:r>
      <w:r w:rsidR="0072782B">
        <w:fldChar w:fldCharType="end"/>
      </w:r>
      <w:r w:rsidR="00ED5F52">
        <w:t xml:space="preserve"> </w:t>
      </w:r>
      <w:r w:rsidRPr="00734942">
        <w:t>At this threshold, IgA tTG had a summary sensitivity of 90.7% (95% confidence interval 87.3 to 93.2%) and summary specificity of 87.4% (95% CI 84.4 to 90.0%) for CD in adults (</w:t>
      </w:r>
      <w:r w:rsidRPr="00734942">
        <w:fldChar w:fldCharType="begin"/>
      </w:r>
      <w:r w:rsidRPr="00734942">
        <w:instrText>REF _Ref84000798</w:instrText>
      </w:r>
      <w:r w:rsidRPr="00734942">
        <w:fldChar w:fldCharType="separate"/>
      </w:r>
      <w:r w:rsidR="008B5583" w:rsidRPr="00734942">
        <w:t xml:space="preserve">Table </w:t>
      </w:r>
      <w:r w:rsidR="008B5583">
        <w:rPr>
          <w:noProof/>
        </w:rPr>
        <w:t>9</w:t>
      </w:r>
      <w:r w:rsidRPr="00734942">
        <w:fldChar w:fldCharType="end"/>
      </w:r>
      <w:r w:rsidRPr="00734942">
        <w:t>). Only five of the 19 studies of IgA EMA in adults reported accuracy data at a common threshold of 1:5.</w:t>
      </w:r>
      <w:r w:rsidR="0072782B">
        <w:fldChar w:fldCharType="begin">
          <w:fldData xml:space="preserve">PEVuZE5vdGU+PENpdGU+PEF1dGhvcj5EYWhsZTwvQXV0aG9yPjxZZWFyPjIwMTA8L1llYXI+PFJl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</w:fldData>
        </w:fldChar>
      </w:r>
      <w:r w:rsidR="00735CC0">
        <w:instrText xml:space="preserve"> ADDIN EN.CITE </w:instrText>
      </w:r>
      <w:r w:rsidR="00735CC0">
        <w:fldChar w:fldCharType="begin">
          <w:fldData xml:space="preserve">PEVuZE5vdGU+PENpdGU+PEF1dGhvcj5EYWhsZTwvQXV0aG9yPjxZZWFyPjIwMTA8L1llYXI+PFJl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</w:fldData>
        </w:fldChar>
      </w:r>
      <w:r w:rsidR="00735CC0">
        <w:instrText xml:space="preserve"> ADDIN EN.CITE.DATA </w:instrText>
      </w:r>
      <w:r w:rsidR="00735CC0">
        <w:fldChar w:fldCharType="end"/>
      </w:r>
      <w:r w:rsidR="0072782B">
        <w:fldChar w:fldCharType="separate"/>
      </w:r>
      <w:r w:rsidR="00735CC0" w:rsidRPr="00735CC0">
        <w:rPr>
          <w:noProof/>
          <w:vertAlign w:val="superscript"/>
        </w:rPr>
        <w:t>83, 93, 107, 111, 112</w:t>
      </w:r>
      <w:r w:rsidR="0072782B">
        <w:fldChar w:fldCharType="end"/>
      </w:r>
      <w:r w:rsidRPr="00734942">
        <w:t xml:space="preserve"> These studies reported that EMA was highly specific with a summary specificity of 99.6% (95% CI 92.3 to 100%) in adults, but summary sensitivity was lower at 88.0% (95% CI 75.2 to 94.7%). IgA and IgG DGP also showed very good sensitivity with summary estimates for IgA, IgG and IgA/IgG DGP all over 90% but these were evaluated in four or fewer studies.</w:t>
      </w:r>
      <w:r w:rsidR="00E930AA">
        <w:fldChar w:fldCharType="begin">
          <w:fldData xml:space="preserve">PEVuZE5vdGU+PENpdGU+PEF1dGhvcj5KYXJtaTwvQXV0aG9yPjxZZWFyPjIwMTA8L1llYXI+PFJl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</w:fldData>
        </w:fldChar>
      </w:r>
      <w:r w:rsidR="00735CC0">
        <w:instrText xml:space="preserve"> ADDIN EN.CITE </w:instrText>
      </w:r>
      <w:r w:rsidR="00735CC0">
        <w:fldChar w:fldCharType="begin">
          <w:fldData xml:space="preserve">PEVuZE5vdGU+PENpdGU+PEF1dGhvcj5KYXJtaTwvQXV0aG9yPjxZZWFyPjIwMTA8L1llYXI+PFJl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</w:fldData>
        </w:fldChar>
      </w:r>
      <w:r w:rsidR="00735CC0">
        <w:instrText xml:space="preserve"> ADDIN EN.CITE.DATA </w:instrText>
      </w:r>
      <w:r w:rsidR="00735CC0">
        <w:fldChar w:fldCharType="end"/>
      </w:r>
      <w:r w:rsidR="00E930AA">
        <w:fldChar w:fldCharType="separate"/>
      </w:r>
      <w:r w:rsidR="00735CC0" w:rsidRPr="00735CC0">
        <w:rPr>
          <w:noProof/>
          <w:vertAlign w:val="superscript"/>
        </w:rPr>
        <w:t>91, 101, 109</w:t>
      </w:r>
      <w:r w:rsidR="00E930AA">
        <w:fldChar w:fldCharType="end"/>
      </w:r>
      <w:r w:rsidRPr="00734942">
        <w:t xml:space="preserve"> Specificity for these tests was also high with all estimates above 95%.</w:t>
      </w:r>
    </w:p>
    <w:p w14:paraId="1ECFEB6F" w14:textId="6FB34F5B" w:rsidR="0056595B" w:rsidRPr="00734942" w:rsidRDefault="0056595B" w:rsidP="0056595B">
      <w:r w:rsidRPr="00734942">
        <w:t>Six of the 37 studies in children reported data at a common threshold of 20 U/mL</w:t>
      </w:r>
      <w:r w:rsidR="002C1905">
        <w:t>.</w:t>
      </w:r>
      <w:r w:rsidR="00E930AA">
        <w:fldChar w:fldCharType="begin">
          <w:fldData xml:space="preserve">PEVuZE5vdGU+PENpdGU+PEF1dGhvcj5CYXJrZXI8L0F1dGhvcj48WWVhcj4yMDA1PC9ZZWFyPjxS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</w:fldData>
        </w:fldChar>
      </w:r>
      <w:r w:rsidR="00735CC0">
        <w:instrText xml:space="preserve"> ADDIN EN.CITE </w:instrText>
      </w:r>
      <w:r w:rsidR="00735CC0">
        <w:fldChar w:fldCharType="begin">
          <w:fldData xml:space="preserve">PEVuZE5vdGU+PENpdGU+PEF1dGhvcj5CYXJrZXI8L0F1dGhvcj48WWVhcj4yMDA1PC9ZZWFyPjxS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</w:fldData>
        </w:fldChar>
      </w:r>
      <w:r w:rsidR="00735CC0">
        <w:instrText xml:space="preserve"> ADDIN EN.CITE.DATA </w:instrText>
      </w:r>
      <w:r w:rsidR="00735CC0">
        <w:fldChar w:fldCharType="end"/>
      </w:r>
      <w:r w:rsidR="00E930AA">
        <w:fldChar w:fldCharType="separate"/>
      </w:r>
      <w:r w:rsidR="00735CC0" w:rsidRPr="00735CC0">
        <w:rPr>
          <w:noProof/>
          <w:vertAlign w:val="superscript"/>
        </w:rPr>
        <w:t>121, 134, 136, 140, 141, 146</w:t>
      </w:r>
      <w:r w:rsidR="00E930AA">
        <w:fldChar w:fldCharType="end"/>
      </w:r>
      <w:r w:rsidRPr="00734942">
        <w:t xml:space="preserve"> These found that IgA tTG was very sensitive with a summary sensitivity of 97.7% (95% CI 91.0 to 99.4%) but </w:t>
      </w:r>
      <w:r w:rsidRPr="00734942">
        <w:lastRenderedPageBreak/>
        <w:t xml:space="preserve">summary specificity was lower at 70.2% (95% CI 39.3 to 89.6%). </w:t>
      </w:r>
      <w:r w:rsidR="00E930AA">
        <w:t>Six</w:t>
      </w:r>
      <w:r w:rsidRPr="00734942">
        <w:t xml:space="preserve"> of the 28 studies of EMA in children reported data at a threshold of 1:10.</w:t>
      </w:r>
      <w:r w:rsidR="00E930AA">
        <w:fldChar w:fldCharType="begin">
          <w:fldData xml:space="preserve">PEVuZE5vdGU+PENpdGU+PEF1dGhvcj5CaGF0bmFnYXI8L0F1dGhvcj48WWVhcj4yMDA1PC9ZZWFy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</w:fldData>
        </w:fldChar>
      </w:r>
      <w:r w:rsidR="00735CC0">
        <w:instrText xml:space="preserve"> ADDIN EN.CITE </w:instrText>
      </w:r>
      <w:r w:rsidR="00735CC0">
        <w:fldChar w:fldCharType="begin">
          <w:fldData xml:space="preserve">PEVuZE5vdGU+PENpdGU+PEF1dGhvcj5CaGF0bmFnYXI8L0F1dGhvcj48WWVhcj4yMDA1PC9ZZWFy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</w:fldData>
        </w:fldChar>
      </w:r>
      <w:r w:rsidR="00735CC0">
        <w:instrText xml:space="preserve"> ADDIN EN.CITE.DATA </w:instrText>
      </w:r>
      <w:r w:rsidR="00735CC0">
        <w:fldChar w:fldCharType="end"/>
      </w:r>
      <w:r w:rsidR="00E930AA">
        <w:fldChar w:fldCharType="separate"/>
      </w:r>
      <w:r w:rsidR="00735CC0" w:rsidRPr="00735CC0">
        <w:rPr>
          <w:noProof/>
          <w:vertAlign w:val="superscript"/>
        </w:rPr>
        <w:t>121, 135, 140, 144, 165, 177</w:t>
      </w:r>
      <w:r w:rsidR="00E930AA">
        <w:fldChar w:fldCharType="end"/>
      </w:r>
      <w:r w:rsidRPr="00734942">
        <w:t xml:space="preserve"> Summary sensitivity was 94.5% (88.9 to 97.3%) and summary specificity was 93.8% (95% CI 85.2 to 97.5%). IgA/IgG DGP was also evaluated at a common threshold of 20U/mL in five studies and showed good sensitivity (summary estimate 96.4%, 95% CI 91.7, 98.5%), but poorer specificity (summary estimate 77.4%, 95% CI</w:t>
      </w:r>
      <w:r w:rsidR="00CC7C9C">
        <w:t xml:space="preserve"> </w:t>
      </w:r>
      <w:r w:rsidRPr="00734942">
        <w:t>44, 93.7%).</w:t>
      </w:r>
      <w:r w:rsidR="007E45F7">
        <w:fldChar w:fldCharType="begin">
          <w:fldData xml:space="preserve">PEVuZE5vdGU+PENpdGU+PEF1dGhvcj5BYmVyZzwvQXV0aG9yPjxZZWFyPjIwMDk8L1llYXI+PFJl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</w:fldData>
        </w:fldChar>
      </w:r>
      <w:r w:rsidR="00735CC0">
        <w:instrText xml:space="preserve"> ADDIN EN.CITE </w:instrText>
      </w:r>
      <w:r w:rsidR="00735CC0">
        <w:fldChar w:fldCharType="begin">
          <w:fldData xml:space="preserve">PEVuZE5vdGU+PENpdGU+PEF1dGhvcj5BYmVyZzwvQXV0aG9yPjxZZWFyPjIwMDk8L1llYXI+PFJl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</w:fldData>
        </w:fldChar>
      </w:r>
      <w:r w:rsidR="00735CC0">
        <w:instrText xml:space="preserve"> ADDIN EN.CITE.DATA </w:instrText>
      </w:r>
      <w:r w:rsidR="00735CC0">
        <w:fldChar w:fldCharType="end"/>
      </w:r>
      <w:r w:rsidR="007E45F7">
        <w:fldChar w:fldCharType="separate"/>
      </w:r>
      <w:r w:rsidR="00735CC0" w:rsidRPr="00735CC0">
        <w:rPr>
          <w:noProof/>
          <w:vertAlign w:val="superscript"/>
        </w:rPr>
        <w:t>124, 128, 136, 138, 145, 150</w:t>
      </w:r>
      <w:r w:rsidR="007E45F7">
        <w:fldChar w:fldCharType="end"/>
      </w:r>
    </w:p>
    <w:p w14:paraId="5694899E" w14:textId="65E00526" w:rsidR="0056595B" w:rsidRPr="00734942" w:rsidRDefault="0056595B" w:rsidP="005672CA">
      <w:pPr>
        <w:pStyle w:val="Caption"/>
      </w:pPr>
      <w:bookmarkStart w:id="174" w:name="_Ref84000798"/>
      <w:bookmarkStart w:id="175" w:name="_Ref84000783"/>
      <w:bookmarkStart w:id="176" w:name="_Toc99720720"/>
      <w:r w:rsidRPr="00734942">
        <w:t xml:space="preserve">Table </w:t>
      </w:r>
      <w:r w:rsidRPr="00734942">
        <w:fldChar w:fldCharType="begin"/>
      </w:r>
      <w:r w:rsidRPr="00734942">
        <w:instrText>SEQ Table \* ARABIC</w:instrText>
      </w:r>
      <w:r w:rsidRPr="00734942">
        <w:fldChar w:fldCharType="separate"/>
      </w:r>
      <w:r w:rsidR="008B5583">
        <w:rPr>
          <w:noProof/>
        </w:rPr>
        <w:t>9</w:t>
      </w:r>
      <w:r w:rsidRPr="00734942">
        <w:fldChar w:fldCharType="end"/>
      </w:r>
      <w:bookmarkEnd w:id="174"/>
      <w:r w:rsidRPr="00734942">
        <w:t xml:space="preserve"> Summary estimates of sensitivity and specificity, restricted to the most commonly reported threshold only</w:t>
      </w:r>
      <w:bookmarkEnd w:id="175"/>
      <w:bookmarkEnd w:id="176"/>
    </w:p>
    <w:p w14:paraId="1B705502" w14:textId="26D1C31C" w:rsidR="0056595B" w:rsidRPr="00734942" w:rsidRDefault="0056595B" w:rsidP="0056595B">
      <w:pPr>
        <w:pStyle w:val="NoSpacing"/>
        <w:rPr>
          <w:sz w:val="18"/>
          <w:szCs w:val="18"/>
          <w:lang w:val="en-GB"/>
        </w:rPr>
      </w:pPr>
    </w:p>
    <w:tbl>
      <w:tblPr>
        <w:tblStyle w:val="TableGrid"/>
        <w:tblW w:w="8483"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2"/>
        <w:gridCol w:w="837"/>
        <w:gridCol w:w="1251"/>
        <w:gridCol w:w="1135"/>
        <w:gridCol w:w="1617"/>
        <w:gridCol w:w="1701"/>
      </w:tblGrid>
      <w:tr w:rsidR="00B2058E" w:rsidRPr="00734942" w14:paraId="7FC024A5" w14:textId="77777777" w:rsidTr="00B2058E">
        <w:trPr>
          <w:tblHeader/>
        </w:trPr>
        <w:tc>
          <w:tcPr>
            <w:tcW w:w="1942" w:type="dxa"/>
            <w:tcBorders>
              <w:top w:val="single" w:sz="4" w:space="0" w:color="auto"/>
              <w:bottom w:val="single" w:sz="4" w:space="0" w:color="auto"/>
            </w:tcBorders>
          </w:tcPr>
          <w:p w14:paraId="3F79E2B4" w14:textId="77777777" w:rsidR="00B2058E" w:rsidRPr="00734942" w:rsidRDefault="00B2058E" w:rsidP="00067143">
            <w:pPr>
              <w:rPr>
                <w:b/>
                <w:sz w:val="20"/>
                <w:szCs w:val="20"/>
              </w:rPr>
            </w:pPr>
            <w:r w:rsidRPr="00734942">
              <w:rPr>
                <w:b/>
                <w:sz w:val="20"/>
                <w:szCs w:val="20"/>
              </w:rPr>
              <w:t>Serological test</w:t>
            </w:r>
          </w:p>
        </w:tc>
        <w:tc>
          <w:tcPr>
            <w:tcW w:w="837" w:type="dxa"/>
            <w:tcBorders>
              <w:top w:val="single" w:sz="4" w:space="0" w:color="auto"/>
              <w:bottom w:val="single" w:sz="4" w:space="0" w:color="auto"/>
            </w:tcBorders>
          </w:tcPr>
          <w:p w14:paraId="41FAD6FA" w14:textId="77777777" w:rsidR="00B2058E" w:rsidRPr="00734942" w:rsidRDefault="00B2058E" w:rsidP="00067143">
            <w:pPr>
              <w:rPr>
                <w:b/>
                <w:sz w:val="20"/>
                <w:szCs w:val="20"/>
              </w:rPr>
            </w:pPr>
            <w:r w:rsidRPr="00734942">
              <w:rPr>
                <w:b/>
                <w:sz w:val="20"/>
                <w:szCs w:val="20"/>
              </w:rPr>
              <w:t>Studies</w:t>
            </w:r>
          </w:p>
        </w:tc>
        <w:tc>
          <w:tcPr>
            <w:tcW w:w="1251" w:type="dxa"/>
            <w:tcBorders>
              <w:top w:val="single" w:sz="4" w:space="0" w:color="auto"/>
              <w:bottom w:val="single" w:sz="4" w:space="0" w:color="auto"/>
            </w:tcBorders>
          </w:tcPr>
          <w:p w14:paraId="4F160884" w14:textId="77777777" w:rsidR="00B2058E" w:rsidRPr="00734942" w:rsidRDefault="00B2058E" w:rsidP="00067143">
            <w:pPr>
              <w:rPr>
                <w:b/>
                <w:sz w:val="20"/>
                <w:szCs w:val="20"/>
              </w:rPr>
            </w:pPr>
            <w:r w:rsidRPr="00734942">
              <w:rPr>
                <w:b/>
                <w:sz w:val="20"/>
                <w:szCs w:val="20"/>
              </w:rPr>
              <w:t>Participants (CD)</w:t>
            </w:r>
          </w:p>
        </w:tc>
        <w:tc>
          <w:tcPr>
            <w:tcW w:w="1135" w:type="dxa"/>
            <w:tcBorders>
              <w:top w:val="single" w:sz="4" w:space="0" w:color="auto"/>
              <w:bottom w:val="single" w:sz="4" w:space="0" w:color="auto"/>
            </w:tcBorders>
          </w:tcPr>
          <w:p w14:paraId="1B5185AC" w14:textId="77777777" w:rsidR="00B2058E" w:rsidRPr="00734942" w:rsidRDefault="00B2058E" w:rsidP="00067143">
            <w:pPr>
              <w:rPr>
                <w:b/>
                <w:sz w:val="20"/>
                <w:szCs w:val="20"/>
              </w:rPr>
            </w:pPr>
            <w:r w:rsidRPr="00734942">
              <w:rPr>
                <w:b/>
                <w:sz w:val="20"/>
                <w:szCs w:val="20"/>
              </w:rPr>
              <w:t>Threshold</w:t>
            </w:r>
          </w:p>
        </w:tc>
        <w:tc>
          <w:tcPr>
            <w:tcW w:w="1617" w:type="dxa"/>
            <w:tcBorders>
              <w:top w:val="single" w:sz="4" w:space="0" w:color="auto"/>
              <w:bottom w:val="single" w:sz="4" w:space="0" w:color="auto"/>
            </w:tcBorders>
          </w:tcPr>
          <w:p w14:paraId="2181E988" w14:textId="77777777" w:rsidR="00B2058E" w:rsidRPr="00734942" w:rsidRDefault="00B2058E" w:rsidP="00067143">
            <w:pPr>
              <w:rPr>
                <w:b/>
                <w:sz w:val="20"/>
                <w:szCs w:val="20"/>
              </w:rPr>
            </w:pPr>
            <w:r w:rsidRPr="00734942">
              <w:rPr>
                <w:b/>
                <w:sz w:val="20"/>
                <w:szCs w:val="20"/>
              </w:rPr>
              <w:t xml:space="preserve">Sensitivity </w:t>
            </w:r>
          </w:p>
          <w:p w14:paraId="0FE8DC47" w14:textId="77777777" w:rsidR="00B2058E" w:rsidRPr="00734942" w:rsidRDefault="00B2058E" w:rsidP="00067143">
            <w:pPr>
              <w:rPr>
                <w:b/>
                <w:sz w:val="20"/>
                <w:szCs w:val="20"/>
              </w:rPr>
            </w:pPr>
            <w:r w:rsidRPr="00734942">
              <w:rPr>
                <w:b/>
                <w:sz w:val="20"/>
                <w:szCs w:val="20"/>
              </w:rPr>
              <w:t>(95% CI), %</w:t>
            </w:r>
          </w:p>
        </w:tc>
        <w:tc>
          <w:tcPr>
            <w:tcW w:w="1701" w:type="dxa"/>
            <w:tcBorders>
              <w:top w:val="single" w:sz="4" w:space="0" w:color="auto"/>
              <w:bottom w:val="single" w:sz="4" w:space="0" w:color="auto"/>
            </w:tcBorders>
          </w:tcPr>
          <w:p w14:paraId="73574969" w14:textId="77777777" w:rsidR="00B2058E" w:rsidRPr="00734942" w:rsidRDefault="00B2058E" w:rsidP="00067143">
            <w:pPr>
              <w:rPr>
                <w:b/>
                <w:sz w:val="20"/>
                <w:szCs w:val="20"/>
              </w:rPr>
            </w:pPr>
            <w:r w:rsidRPr="00734942">
              <w:rPr>
                <w:b/>
                <w:sz w:val="20"/>
                <w:szCs w:val="20"/>
              </w:rPr>
              <w:t xml:space="preserve">Specificity </w:t>
            </w:r>
          </w:p>
          <w:p w14:paraId="76A83521" w14:textId="77777777" w:rsidR="00B2058E" w:rsidRPr="00734942" w:rsidRDefault="00B2058E" w:rsidP="00067143">
            <w:pPr>
              <w:rPr>
                <w:b/>
                <w:sz w:val="20"/>
                <w:szCs w:val="20"/>
              </w:rPr>
            </w:pPr>
            <w:r w:rsidRPr="00734942">
              <w:rPr>
                <w:b/>
                <w:sz w:val="20"/>
                <w:szCs w:val="20"/>
              </w:rPr>
              <w:t>(95% CI), %</w:t>
            </w:r>
          </w:p>
        </w:tc>
      </w:tr>
      <w:tr w:rsidR="00B2058E" w:rsidRPr="00734942" w14:paraId="2CB5F615" w14:textId="77777777" w:rsidTr="00B2058E">
        <w:trPr>
          <w:trHeight w:val="1990"/>
        </w:trPr>
        <w:tc>
          <w:tcPr>
            <w:tcW w:w="1942" w:type="dxa"/>
            <w:tcBorders>
              <w:top w:val="single" w:sz="4" w:space="0" w:color="auto"/>
              <w:bottom w:val="single" w:sz="4" w:space="0" w:color="auto"/>
            </w:tcBorders>
          </w:tcPr>
          <w:p w14:paraId="094AD929" w14:textId="77777777" w:rsidR="00B2058E" w:rsidRPr="00541948" w:rsidRDefault="00B2058E" w:rsidP="00067143">
            <w:pPr>
              <w:rPr>
                <w:b/>
                <w:sz w:val="20"/>
                <w:szCs w:val="20"/>
                <w:lang w:val="pt-BR"/>
              </w:rPr>
            </w:pPr>
            <w:r w:rsidRPr="00541948">
              <w:rPr>
                <w:b/>
                <w:sz w:val="20"/>
                <w:szCs w:val="20"/>
                <w:lang w:val="pt-BR"/>
              </w:rPr>
              <w:t>Adults</w:t>
            </w:r>
          </w:p>
          <w:p w14:paraId="1779C041" w14:textId="77777777" w:rsidR="00B2058E" w:rsidRPr="00541948" w:rsidRDefault="00B2058E" w:rsidP="00067143">
            <w:pPr>
              <w:ind w:firstLine="170"/>
              <w:rPr>
                <w:sz w:val="20"/>
                <w:szCs w:val="20"/>
                <w:lang w:val="pt-BR"/>
              </w:rPr>
            </w:pPr>
            <w:r w:rsidRPr="00541948">
              <w:rPr>
                <w:sz w:val="20"/>
                <w:szCs w:val="20"/>
                <w:lang w:val="pt-BR"/>
              </w:rPr>
              <w:t>IgA tTG</w:t>
            </w:r>
          </w:p>
          <w:p w14:paraId="34D14698" w14:textId="77777777" w:rsidR="00B2058E" w:rsidRPr="00541948" w:rsidRDefault="00B2058E" w:rsidP="00067143">
            <w:pPr>
              <w:ind w:firstLine="170"/>
              <w:rPr>
                <w:sz w:val="20"/>
                <w:szCs w:val="20"/>
                <w:lang w:val="pt-BR"/>
              </w:rPr>
            </w:pPr>
            <w:r w:rsidRPr="00541948">
              <w:rPr>
                <w:sz w:val="20"/>
                <w:szCs w:val="20"/>
                <w:lang w:val="pt-BR"/>
              </w:rPr>
              <w:t>IgA EMA</w:t>
            </w:r>
          </w:p>
          <w:p w14:paraId="5B8E0BE9" w14:textId="4D9A6860" w:rsidR="00B2058E" w:rsidRPr="00541948" w:rsidRDefault="00B2058E" w:rsidP="00067143">
            <w:pPr>
              <w:ind w:firstLine="170"/>
              <w:rPr>
                <w:sz w:val="20"/>
                <w:szCs w:val="20"/>
                <w:lang w:val="pt-BR"/>
              </w:rPr>
            </w:pPr>
            <w:r w:rsidRPr="00541948">
              <w:rPr>
                <w:sz w:val="20"/>
                <w:szCs w:val="20"/>
                <w:lang w:val="pt-BR"/>
              </w:rPr>
              <w:t>IgA DGP</w:t>
            </w:r>
            <w:r w:rsidR="00DF2153" w:rsidRPr="00DF2153">
              <w:rPr>
                <w:sz w:val="20"/>
                <w:szCs w:val="20"/>
                <w:vertAlign w:val="superscript"/>
                <w:lang w:val="pt-BR"/>
              </w:rPr>
              <w:t>a</w:t>
            </w:r>
          </w:p>
          <w:p w14:paraId="736BC98D" w14:textId="7129764A" w:rsidR="00B2058E" w:rsidRPr="00541948" w:rsidRDefault="00B2058E" w:rsidP="00067143">
            <w:pPr>
              <w:ind w:firstLine="170"/>
              <w:rPr>
                <w:sz w:val="20"/>
                <w:szCs w:val="20"/>
                <w:lang w:val="pt-BR"/>
              </w:rPr>
            </w:pPr>
            <w:r w:rsidRPr="00541948">
              <w:rPr>
                <w:sz w:val="20"/>
                <w:szCs w:val="20"/>
                <w:lang w:val="pt-BR"/>
              </w:rPr>
              <w:t>IgG DGP</w:t>
            </w:r>
            <w:r w:rsidR="00DF2153" w:rsidRPr="00DF2153">
              <w:rPr>
                <w:sz w:val="20"/>
                <w:szCs w:val="20"/>
                <w:vertAlign w:val="superscript"/>
                <w:lang w:val="pt-BR"/>
              </w:rPr>
              <w:t>a</w:t>
            </w:r>
          </w:p>
          <w:p w14:paraId="0920133F" w14:textId="77777777" w:rsidR="00B2058E" w:rsidRPr="00541948" w:rsidRDefault="00B2058E" w:rsidP="00067143">
            <w:pPr>
              <w:ind w:firstLine="170"/>
              <w:rPr>
                <w:sz w:val="20"/>
                <w:szCs w:val="20"/>
                <w:lang w:val="pt-BR"/>
              </w:rPr>
            </w:pPr>
            <w:r w:rsidRPr="00541948">
              <w:rPr>
                <w:sz w:val="20"/>
                <w:szCs w:val="20"/>
                <w:lang w:val="pt-BR"/>
              </w:rPr>
              <w:t>IgA/IgG DGP</w:t>
            </w:r>
          </w:p>
          <w:p w14:paraId="2E8F1674" w14:textId="36C30C2F" w:rsidR="00B2058E" w:rsidRPr="00541948" w:rsidRDefault="00B2058E" w:rsidP="00067143">
            <w:pPr>
              <w:ind w:firstLine="170"/>
              <w:rPr>
                <w:sz w:val="20"/>
                <w:szCs w:val="20"/>
                <w:lang w:val="pt-BR"/>
              </w:rPr>
            </w:pPr>
            <w:r w:rsidRPr="00541948">
              <w:rPr>
                <w:sz w:val="20"/>
                <w:szCs w:val="20"/>
                <w:lang w:val="pt-BR"/>
              </w:rPr>
              <w:t>IgA/IgG tTG/DGP</w:t>
            </w:r>
            <w:r w:rsidR="00DF2153" w:rsidRPr="00DF2153">
              <w:rPr>
                <w:sz w:val="20"/>
                <w:szCs w:val="20"/>
                <w:vertAlign w:val="superscript"/>
                <w:lang w:val="pt-BR"/>
              </w:rPr>
              <w:t>a</w:t>
            </w:r>
          </w:p>
          <w:p w14:paraId="425D2D51" w14:textId="41861C04" w:rsidR="00B2058E" w:rsidRPr="00CC7C9C" w:rsidRDefault="00B2058E" w:rsidP="00067143">
            <w:pPr>
              <w:ind w:firstLine="170"/>
              <w:rPr>
                <w:sz w:val="20"/>
                <w:szCs w:val="20"/>
                <w:lang w:val="pt-BR"/>
              </w:rPr>
            </w:pPr>
            <w:r w:rsidRPr="00CC7C9C">
              <w:rPr>
                <w:sz w:val="20"/>
                <w:szCs w:val="20"/>
                <w:lang w:val="pt-BR"/>
              </w:rPr>
              <w:t>IgA AAA</w:t>
            </w:r>
            <w:r w:rsidR="00DF2153" w:rsidRPr="00DF2153">
              <w:rPr>
                <w:sz w:val="20"/>
                <w:szCs w:val="20"/>
                <w:vertAlign w:val="superscript"/>
                <w:lang w:val="pt-BR"/>
              </w:rPr>
              <w:t>a</w:t>
            </w:r>
          </w:p>
        </w:tc>
        <w:tc>
          <w:tcPr>
            <w:tcW w:w="837" w:type="dxa"/>
            <w:tcBorders>
              <w:top w:val="single" w:sz="4" w:space="0" w:color="auto"/>
              <w:bottom w:val="single" w:sz="4" w:space="0" w:color="auto"/>
            </w:tcBorders>
          </w:tcPr>
          <w:p w14:paraId="0BA059B7" w14:textId="77777777" w:rsidR="00B2058E" w:rsidRPr="00CC7C9C" w:rsidRDefault="00B2058E" w:rsidP="00067143">
            <w:pPr>
              <w:rPr>
                <w:rFonts w:cstheme="minorHAnsi"/>
                <w:sz w:val="20"/>
                <w:szCs w:val="20"/>
                <w:lang w:val="pt-BR"/>
              </w:rPr>
            </w:pPr>
          </w:p>
          <w:p w14:paraId="219E7A6E" w14:textId="77777777" w:rsidR="00B2058E" w:rsidRPr="00734942" w:rsidRDefault="00B2058E" w:rsidP="00067143">
            <w:pPr>
              <w:rPr>
                <w:rFonts w:cstheme="minorHAnsi"/>
                <w:sz w:val="20"/>
                <w:szCs w:val="20"/>
              </w:rPr>
            </w:pPr>
            <w:r w:rsidRPr="00734942">
              <w:rPr>
                <w:rFonts w:cstheme="minorHAnsi"/>
                <w:sz w:val="20"/>
                <w:szCs w:val="20"/>
              </w:rPr>
              <w:t>5</w:t>
            </w:r>
          </w:p>
          <w:p w14:paraId="57CB833C" w14:textId="77777777" w:rsidR="00B2058E" w:rsidRPr="00734942" w:rsidRDefault="00B2058E" w:rsidP="00067143">
            <w:pPr>
              <w:rPr>
                <w:rFonts w:cstheme="minorHAnsi"/>
                <w:sz w:val="20"/>
                <w:szCs w:val="20"/>
              </w:rPr>
            </w:pPr>
            <w:r w:rsidRPr="00734942">
              <w:rPr>
                <w:rFonts w:cstheme="minorHAnsi"/>
                <w:sz w:val="20"/>
                <w:szCs w:val="20"/>
              </w:rPr>
              <w:t>5</w:t>
            </w:r>
          </w:p>
          <w:p w14:paraId="35767442" w14:textId="77777777" w:rsidR="00B2058E" w:rsidRPr="00734942" w:rsidRDefault="00B2058E" w:rsidP="00067143">
            <w:pPr>
              <w:rPr>
                <w:rFonts w:cstheme="minorHAnsi"/>
                <w:sz w:val="20"/>
                <w:szCs w:val="20"/>
              </w:rPr>
            </w:pPr>
            <w:r w:rsidRPr="00734942">
              <w:rPr>
                <w:rFonts w:cstheme="minorHAnsi"/>
                <w:sz w:val="20"/>
                <w:szCs w:val="20"/>
              </w:rPr>
              <w:t>2</w:t>
            </w:r>
          </w:p>
          <w:p w14:paraId="1C56CB31" w14:textId="77777777" w:rsidR="00B2058E" w:rsidRPr="00734942" w:rsidRDefault="00B2058E" w:rsidP="00067143">
            <w:pPr>
              <w:rPr>
                <w:rFonts w:cstheme="minorHAnsi"/>
                <w:sz w:val="20"/>
                <w:szCs w:val="20"/>
              </w:rPr>
            </w:pPr>
            <w:r w:rsidRPr="00734942">
              <w:rPr>
                <w:rFonts w:cstheme="minorHAnsi"/>
                <w:sz w:val="20"/>
                <w:szCs w:val="20"/>
              </w:rPr>
              <w:t>3</w:t>
            </w:r>
          </w:p>
          <w:p w14:paraId="48BDC7A7" w14:textId="77777777" w:rsidR="00B2058E" w:rsidRPr="00734942" w:rsidRDefault="00B2058E" w:rsidP="00067143">
            <w:pPr>
              <w:rPr>
                <w:rFonts w:cstheme="minorHAnsi"/>
                <w:sz w:val="20"/>
                <w:szCs w:val="20"/>
              </w:rPr>
            </w:pPr>
            <w:r w:rsidRPr="00734942">
              <w:rPr>
                <w:rFonts w:cstheme="minorHAnsi"/>
                <w:sz w:val="20"/>
                <w:szCs w:val="20"/>
              </w:rPr>
              <w:t>4</w:t>
            </w:r>
          </w:p>
          <w:p w14:paraId="33A13BFE" w14:textId="77777777" w:rsidR="00B2058E" w:rsidRPr="00734942" w:rsidRDefault="00B2058E" w:rsidP="00067143">
            <w:pPr>
              <w:rPr>
                <w:rFonts w:cstheme="minorHAnsi"/>
                <w:sz w:val="20"/>
                <w:szCs w:val="20"/>
              </w:rPr>
            </w:pPr>
            <w:r w:rsidRPr="00734942">
              <w:rPr>
                <w:rFonts w:cstheme="minorHAnsi"/>
                <w:sz w:val="20"/>
                <w:szCs w:val="20"/>
              </w:rPr>
              <w:t>2</w:t>
            </w:r>
          </w:p>
          <w:p w14:paraId="4B874F72" w14:textId="77777777" w:rsidR="00B2058E" w:rsidRPr="00734942" w:rsidRDefault="00B2058E" w:rsidP="00067143">
            <w:pPr>
              <w:rPr>
                <w:rFonts w:cstheme="minorHAnsi"/>
                <w:sz w:val="20"/>
                <w:szCs w:val="20"/>
              </w:rPr>
            </w:pPr>
            <w:r w:rsidRPr="00734942">
              <w:rPr>
                <w:rFonts w:cstheme="minorHAnsi"/>
                <w:sz w:val="20"/>
                <w:szCs w:val="20"/>
              </w:rPr>
              <w:t>2</w:t>
            </w:r>
          </w:p>
        </w:tc>
        <w:tc>
          <w:tcPr>
            <w:tcW w:w="1251" w:type="dxa"/>
            <w:tcBorders>
              <w:top w:val="single" w:sz="4" w:space="0" w:color="auto"/>
              <w:bottom w:val="single" w:sz="4" w:space="0" w:color="auto"/>
            </w:tcBorders>
          </w:tcPr>
          <w:p w14:paraId="20FFAFE4" w14:textId="77777777" w:rsidR="00B2058E" w:rsidRPr="00734942" w:rsidRDefault="00B2058E" w:rsidP="00067143">
            <w:pPr>
              <w:rPr>
                <w:rFonts w:cstheme="minorHAnsi"/>
                <w:sz w:val="20"/>
                <w:szCs w:val="20"/>
              </w:rPr>
            </w:pPr>
          </w:p>
          <w:p w14:paraId="0C0B91C0" w14:textId="77777777" w:rsidR="00B2058E" w:rsidRPr="00734942" w:rsidRDefault="00B2058E" w:rsidP="00067143">
            <w:pPr>
              <w:rPr>
                <w:rFonts w:cstheme="minorHAnsi"/>
                <w:sz w:val="20"/>
                <w:szCs w:val="20"/>
              </w:rPr>
            </w:pPr>
            <w:r w:rsidRPr="00734942">
              <w:rPr>
                <w:rFonts w:cstheme="minorHAnsi"/>
                <w:sz w:val="20"/>
                <w:szCs w:val="20"/>
              </w:rPr>
              <w:t>4310 (454)</w:t>
            </w:r>
          </w:p>
          <w:p w14:paraId="32E33703" w14:textId="77777777" w:rsidR="00B2058E" w:rsidRPr="00734942" w:rsidRDefault="00B2058E" w:rsidP="00067143">
            <w:pPr>
              <w:rPr>
                <w:rFonts w:cstheme="minorHAnsi"/>
                <w:sz w:val="20"/>
                <w:szCs w:val="20"/>
              </w:rPr>
            </w:pPr>
            <w:r w:rsidRPr="00734942">
              <w:rPr>
                <w:rFonts w:cstheme="minorHAnsi"/>
                <w:sz w:val="20"/>
                <w:szCs w:val="20"/>
              </w:rPr>
              <w:t>927 (446)</w:t>
            </w:r>
          </w:p>
          <w:p w14:paraId="51C233C6" w14:textId="77777777" w:rsidR="00B2058E" w:rsidRPr="00734942" w:rsidRDefault="00B2058E" w:rsidP="00067143">
            <w:pPr>
              <w:rPr>
                <w:rFonts w:cstheme="minorHAnsi"/>
                <w:sz w:val="20"/>
                <w:szCs w:val="20"/>
              </w:rPr>
            </w:pPr>
            <w:r w:rsidRPr="00734942">
              <w:rPr>
                <w:rFonts w:cstheme="minorHAnsi"/>
                <w:sz w:val="20"/>
                <w:szCs w:val="20"/>
              </w:rPr>
              <w:t>820 (140)</w:t>
            </w:r>
          </w:p>
          <w:p w14:paraId="224909EC" w14:textId="77777777" w:rsidR="00B2058E" w:rsidRPr="00734942" w:rsidRDefault="00B2058E" w:rsidP="00067143">
            <w:pPr>
              <w:rPr>
                <w:rFonts w:cstheme="minorHAnsi"/>
                <w:sz w:val="20"/>
                <w:szCs w:val="20"/>
              </w:rPr>
            </w:pPr>
            <w:r w:rsidRPr="00734942">
              <w:rPr>
                <w:rFonts w:cstheme="minorHAnsi"/>
                <w:sz w:val="20"/>
                <w:szCs w:val="20"/>
              </w:rPr>
              <w:t>981 (203)</w:t>
            </w:r>
          </w:p>
          <w:p w14:paraId="670E7827" w14:textId="77777777" w:rsidR="00B2058E" w:rsidRPr="00734942" w:rsidRDefault="00B2058E" w:rsidP="00067143">
            <w:pPr>
              <w:rPr>
                <w:rFonts w:cstheme="minorHAnsi"/>
                <w:sz w:val="20"/>
                <w:szCs w:val="20"/>
              </w:rPr>
            </w:pPr>
            <w:r w:rsidRPr="00734942">
              <w:rPr>
                <w:rFonts w:cstheme="minorHAnsi"/>
                <w:sz w:val="20"/>
                <w:szCs w:val="20"/>
              </w:rPr>
              <w:t>1161 (280)</w:t>
            </w:r>
          </w:p>
          <w:p w14:paraId="31244CB5" w14:textId="77777777" w:rsidR="00B2058E" w:rsidRPr="00734942" w:rsidRDefault="00B2058E" w:rsidP="00067143">
            <w:pPr>
              <w:rPr>
                <w:rFonts w:cstheme="minorHAnsi"/>
                <w:sz w:val="20"/>
                <w:szCs w:val="20"/>
              </w:rPr>
            </w:pPr>
            <w:r w:rsidRPr="00734942">
              <w:rPr>
                <w:rFonts w:cstheme="minorHAnsi"/>
                <w:sz w:val="20"/>
                <w:szCs w:val="20"/>
              </w:rPr>
              <w:t>851 (155)</w:t>
            </w:r>
          </w:p>
          <w:p w14:paraId="589F7BBE" w14:textId="77777777" w:rsidR="00B2058E" w:rsidRPr="00734942" w:rsidRDefault="00B2058E" w:rsidP="00067143">
            <w:pPr>
              <w:rPr>
                <w:rFonts w:cstheme="minorHAnsi"/>
                <w:sz w:val="20"/>
                <w:szCs w:val="20"/>
              </w:rPr>
            </w:pPr>
            <w:r w:rsidRPr="00734942">
              <w:rPr>
                <w:rFonts w:cstheme="minorHAnsi"/>
                <w:sz w:val="20"/>
                <w:szCs w:val="20"/>
              </w:rPr>
              <w:t>820 (140)</w:t>
            </w:r>
          </w:p>
        </w:tc>
        <w:tc>
          <w:tcPr>
            <w:tcW w:w="1135" w:type="dxa"/>
            <w:tcBorders>
              <w:top w:val="single" w:sz="4" w:space="0" w:color="auto"/>
              <w:bottom w:val="single" w:sz="4" w:space="0" w:color="auto"/>
            </w:tcBorders>
          </w:tcPr>
          <w:p w14:paraId="795B0681" w14:textId="77777777" w:rsidR="00B2058E" w:rsidRPr="008672E6" w:rsidRDefault="00B2058E" w:rsidP="00067143">
            <w:pPr>
              <w:rPr>
                <w:rFonts w:cstheme="minorHAnsi"/>
                <w:sz w:val="20"/>
                <w:szCs w:val="20"/>
                <w:lang w:val="nl-NL"/>
              </w:rPr>
            </w:pPr>
          </w:p>
          <w:p w14:paraId="341584F1" w14:textId="77777777" w:rsidR="00B2058E" w:rsidRPr="008672E6" w:rsidRDefault="00B2058E" w:rsidP="00067143">
            <w:pPr>
              <w:rPr>
                <w:rFonts w:cstheme="minorHAnsi"/>
                <w:sz w:val="20"/>
                <w:szCs w:val="20"/>
                <w:lang w:val="nl-NL"/>
              </w:rPr>
            </w:pPr>
            <w:r w:rsidRPr="008672E6">
              <w:rPr>
                <w:rFonts w:cstheme="minorHAnsi"/>
                <w:sz w:val="20"/>
                <w:szCs w:val="20"/>
                <w:lang w:val="nl-NL"/>
              </w:rPr>
              <w:t>15 U/mL</w:t>
            </w:r>
          </w:p>
          <w:p w14:paraId="3899D19E" w14:textId="77777777" w:rsidR="00B2058E" w:rsidRPr="008672E6" w:rsidRDefault="00B2058E" w:rsidP="00067143">
            <w:pPr>
              <w:rPr>
                <w:rFonts w:cstheme="minorHAnsi"/>
                <w:sz w:val="20"/>
                <w:szCs w:val="20"/>
                <w:lang w:val="nl-NL"/>
              </w:rPr>
            </w:pPr>
            <w:r w:rsidRPr="008672E6">
              <w:rPr>
                <w:rFonts w:cstheme="minorHAnsi"/>
                <w:sz w:val="20"/>
                <w:szCs w:val="20"/>
                <w:lang w:val="nl-NL"/>
              </w:rPr>
              <w:t>1:5</w:t>
            </w:r>
          </w:p>
          <w:p w14:paraId="000B597E" w14:textId="77777777" w:rsidR="00B2058E" w:rsidRPr="008672E6" w:rsidRDefault="00B2058E" w:rsidP="00067143">
            <w:pPr>
              <w:rPr>
                <w:rFonts w:cstheme="minorHAnsi"/>
                <w:sz w:val="20"/>
                <w:szCs w:val="20"/>
                <w:lang w:val="nl-NL"/>
              </w:rPr>
            </w:pPr>
            <w:r w:rsidRPr="008672E6">
              <w:rPr>
                <w:rFonts w:cstheme="minorHAnsi"/>
                <w:sz w:val="20"/>
                <w:szCs w:val="20"/>
                <w:lang w:val="nl-NL"/>
              </w:rPr>
              <w:t>20 U/mL</w:t>
            </w:r>
          </w:p>
          <w:p w14:paraId="4E74E800" w14:textId="77777777" w:rsidR="00B2058E" w:rsidRPr="008672E6" w:rsidRDefault="00B2058E" w:rsidP="00067143">
            <w:pPr>
              <w:rPr>
                <w:rFonts w:cstheme="minorHAnsi"/>
                <w:sz w:val="20"/>
                <w:szCs w:val="20"/>
                <w:lang w:val="nl-NL"/>
              </w:rPr>
            </w:pPr>
            <w:r w:rsidRPr="008672E6">
              <w:rPr>
                <w:rFonts w:cstheme="minorHAnsi"/>
                <w:sz w:val="20"/>
                <w:szCs w:val="20"/>
                <w:lang w:val="nl-NL"/>
              </w:rPr>
              <w:t>20 U/mL</w:t>
            </w:r>
          </w:p>
          <w:p w14:paraId="75F52ECD" w14:textId="77777777" w:rsidR="00B2058E" w:rsidRPr="008672E6" w:rsidRDefault="00B2058E" w:rsidP="00067143">
            <w:pPr>
              <w:rPr>
                <w:rFonts w:cstheme="minorHAnsi"/>
                <w:sz w:val="20"/>
                <w:szCs w:val="20"/>
                <w:lang w:val="nl-NL"/>
              </w:rPr>
            </w:pPr>
            <w:r w:rsidRPr="008672E6">
              <w:rPr>
                <w:rFonts w:cstheme="minorHAnsi"/>
                <w:sz w:val="20"/>
                <w:szCs w:val="20"/>
                <w:lang w:val="nl-NL"/>
              </w:rPr>
              <w:t>20 U/mL</w:t>
            </w:r>
          </w:p>
          <w:p w14:paraId="5A115E0A" w14:textId="77777777" w:rsidR="00B2058E" w:rsidRPr="00734942" w:rsidRDefault="00B2058E" w:rsidP="00067143">
            <w:pPr>
              <w:rPr>
                <w:rFonts w:cstheme="minorHAnsi"/>
                <w:sz w:val="20"/>
                <w:szCs w:val="20"/>
              </w:rPr>
            </w:pPr>
            <w:r w:rsidRPr="00734942">
              <w:rPr>
                <w:rFonts w:cstheme="minorHAnsi"/>
                <w:sz w:val="20"/>
                <w:szCs w:val="20"/>
              </w:rPr>
              <w:t>20 U/mL</w:t>
            </w:r>
          </w:p>
          <w:p w14:paraId="6751914D" w14:textId="77777777" w:rsidR="00B2058E" w:rsidRPr="00734942" w:rsidRDefault="00B2058E" w:rsidP="00067143">
            <w:pPr>
              <w:rPr>
                <w:rFonts w:cstheme="minorHAnsi"/>
                <w:sz w:val="20"/>
                <w:szCs w:val="20"/>
              </w:rPr>
            </w:pPr>
            <w:r w:rsidRPr="00734942">
              <w:rPr>
                <w:rFonts w:cstheme="minorHAnsi"/>
                <w:sz w:val="20"/>
                <w:szCs w:val="20"/>
              </w:rPr>
              <w:t>25 U/mL</w:t>
            </w:r>
          </w:p>
        </w:tc>
        <w:tc>
          <w:tcPr>
            <w:tcW w:w="1617" w:type="dxa"/>
            <w:tcBorders>
              <w:top w:val="single" w:sz="4" w:space="0" w:color="auto"/>
              <w:bottom w:val="single" w:sz="4" w:space="0" w:color="auto"/>
            </w:tcBorders>
          </w:tcPr>
          <w:p w14:paraId="3F4037DA" w14:textId="77777777" w:rsidR="00B2058E" w:rsidRPr="00734942" w:rsidRDefault="00B2058E" w:rsidP="00067143">
            <w:pPr>
              <w:rPr>
                <w:rFonts w:cstheme="minorHAnsi"/>
                <w:sz w:val="20"/>
                <w:szCs w:val="20"/>
              </w:rPr>
            </w:pPr>
          </w:p>
          <w:p w14:paraId="1DAB69DC" w14:textId="77777777" w:rsidR="00B2058E" w:rsidRPr="00734942" w:rsidRDefault="00B2058E" w:rsidP="00067143">
            <w:pPr>
              <w:rPr>
                <w:rFonts w:cstheme="minorHAnsi"/>
                <w:sz w:val="20"/>
                <w:szCs w:val="20"/>
              </w:rPr>
            </w:pPr>
            <w:r w:rsidRPr="00734942">
              <w:rPr>
                <w:rFonts w:cstheme="minorHAnsi"/>
                <w:sz w:val="20"/>
                <w:szCs w:val="20"/>
              </w:rPr>
              <w:t>90.7 (87.3, 93.2)</w:t>
            </w:r>
          </w:p>
          <w:p w14:paraId="5408D139" w14:textId="77777777" w:rsidR="00B2058E" w:rsidRPr="00734942" w:rsidRDefault="00B2058E" w:rsidP="00067143">
            <w:pPr>
              <w:rPr>
                <w:rFonts w:cstheme="minorHAnsi"/>
                <w:sz w:val="20"/>
                <w:szCs w:val="20"/>
              </w:rPr>
            </w:pPr>
            <w:r w:rsidRPr="00734942">
              <w:rPr>
                <w:rFonts w:cstheme="minorHAnsi"/>
                <w:sz w:val="20"/>
                <w:szCs w:val="20"/>
              </w:rPr>
              <w:t>88.0 (75.2, 94.7)</w:t>
            </w:r>
          </w:p>
          <w:p w14:paraId="714F494D" w14:textId="77777777" w:rsidR="00B2058E" w:rsidRPr="00734942" w:rsidRDefault="00B2058E" w:rsidP="00067143">
            <w:pPr>
              <w:rPr>
                <w:rFonts w:cstheme="minorHAnsi"/>
                <w:sz w:val="20"/>
                <w:szCs w:val="20"/>
              </w:rPr>
            </w:pPr>
            <w:r w:rsidRPr="00734942">
              <w:rPr>
                <w:rFonts w:cstheme="minorHAnsi"/>
                <w:sz w:val="20"/>
                <w:szCs w:val="20"/>
              </w:rPr>
              <w:t>96.4 (91.7, 98.5)</w:t>
            </w:r>
          </w:p>
          <w:p w14:paraId="09BC07C3" w14:textId="77777777" w:rsidR="00B2058E" w:rsidRPr="00734942" w:rsidRDefault="00B2058E" w:rsidP="00067143">
            <w:pPr>
              <w:rPr>
                <w:rFonts w:cstheme="minorHAnsi"/>
                <w:sz w:val="20"/>
                <w:szCs w:val="20"/>
              </w:rPr>
            </w:pPr>
            <w:r w:rsidRPr="00734942">
              <w:rPr>
                <w:rFonts w:cstheme="minorHAnsi"/>
                <w:sz w:val="20"/>
                <w:szCs w:val="20"/>
              </w:rPr>
              <w:t>93.6 (88.6, 96.5)</w:t>
            </w:r>
          </w:p>
          <w:p w14:paraId="0D826FD3" w14:textId="77777777" w:rsidR="00B2058E" w:rsidRPr="00734942" w:rsidRDefault="00B2058E" w:rsidP="00067143">
            <w:pPr>
              <w:rPr>
                <w:rFonts w:cstheme="minorHAnsi"/>
                <w:sz w:val="20"/>
                <w:szCs w:val="20"/>
              </w:rPr>
            </w:pPr>
            <w:r w:rsidRPr="00734942">
              <w:rPr>
                <w:rFonts w:cstheme="minorHAnsi"/>
                <w:sz w:val="20"/>
                <w:szCs w:val="20"/>
              </w:rPr>
              <w:t>91.5 (84.7, 95.4)</w:t>
            </w:r>
          </w:p>
          <w:p w14:paraId="6008BD07" w14:textId="77777777" w:rsidR="00B2058E" w:rsidRPr="00734942" w:rsidRDefault="00B2058E" w:rsidP="00067143">
            <w:pPr>
              <w:rPr>
                <w:rFonts w:cstheme="minorHAnsi"/>
                <w:sz w:val="20"/>
                <w:szCs w:val="20"/>
              </w:rPr>
            </w:pPr>
            <w:r w:rsidRPr="00734942">
              <w:rPr>
                <w:rFonts w:cstheme="minorHAnsi"/>
                <w:sz w:val="20"/>
                <w:szCs w:val="20"/>
              </w:rPr>
              <w:t>93.5 (88.4, 96.5)</w:t>
            </w:r>
          </w:p>
          <w:p w14:paraId="4A48AB68" w14:textId="77777777" w:rsidR="00B2058E" w:rsidRPr="00734942" w:rsidRDefault="00B2058E" w:rsidP="00067143">
            <w:pPr>
              <w:rPr>
                <w:rFonts w:cstheme="minorHAnsi"/>
                <w:sz w:val="20"/>
                <w:szCs w:val="20"/>
              </w:rPr>
            </w:pPr>
            <w:r w:rsidRPr="00734942">
              <w:rPr>
                <w:rFonts w:cstheme="minorHAnsi"/>
                <w:sz w:val="20"/>
                <w:szCs w:val="20"/>
              </w:rPr>
              <w:t>82.9 (75.7, 88.2)</w:t>
            </w:r>
          </w:p>
        </w:tc>
        <w:tc>
          <w:tcPr>
            <w:tcW w:w="1701" w:type="dxa"/>
            <w:tcBorders>
              <w:top w:val="single" w:sz="4" w:space="0" w:color="auto"/>
              <w:bottom w:val="single" w:sz="4" w:space="0" w:color="auto"/>
            </w:tcBorders>
          </w:tcPr>
          <w:p w14:paraId="60E483E7" w14:textId="77777777" w:rsidR="00B2058E" w:rsidRPr="00734942" w:rsidRDefault="00B2058E" w:rsidP="00067143">
            <w:pPr>
              <w:rPr>
                <w:rFonts w:cstheme="minorHAnsi"/>
                <w:sz w:val="20"/>
                <w:szCs w:val="20"/>
              </w:rPr>
            </w:pPr>
          </w:p>
          <w:p w14:paraId="39A52DEE" w14:textId="77777777" w:rsidR="00B2058E" w:rsidRPr="00734942" w:rsidRDefault="00B2058E" w:rsidP="00067143">
            <w:pPr>
              <w:rPr>
                <w:rFonts w:cstheme="minorHAnsi"/>
                <w:sz w:val="20"/>
                <w:szCs w:val="20"/>
              </w:rPr>
            </w:pPr>
            <w:r w:rsidRPr="00734942">
              <w:rPr>
                <w:rFonts w:cstheme="minorHAnsi"/>
                <w:sz w:val="20"/>
                <w:szCs w:val="20"/>
              </w:rPr>
              <w:t>87.4 (84.4, 90.0)</w:t>
            </w:r>
          </w:p>
          <w:p w14:paraId="10DFC45A" w14:textId="77777777" w:rsidR="00B2058E" w:rsidRPr="00734942" w:rsidRDefault="00B2058E" w:rsidP="00067143">
            <w:pPr>
              <w:rPr>
                <w:rFonts w:cstheme="minorHAnsi"/>
                <w:sz w:val="20"/>
                <w:szCs w:val="20"/>
              </w:rPr>
            </w:pPr>
            <w:r w:rsidRPr="00734942">
              <w:rPr>
                <w:rFonts w:cstheme="minorHAnsi"/>
                <w:sz w:val="20"/>
                <w:szCs w:val="20"/>
              </w:rPr>
              <w:t>99.6 (92.3, 100.0)</w:t>
            </w:r>
          </w:p>
          <w:p w14:paraId="737C6FB5" w14:textId="77777777" w:rsidR="00B2058E" w:rsidRPr="00734942" w:rsidRDefault="00B2058E" w:rsidP="00067143">
            <w:pPr>
              <w:rPr>
                <w:rFonts w:cstheme="minorHAnsi"/>
                <w:sz w:val="20"/>
                <w:szCs w:val="20"/>
              </w:rPr>
            </w:pPr>
            <w:r w:rsidRPr="00734942">
              <w:rPr>
                <w:rFonts w:cstheme="minorHAnsi"/>
                <w:sz w:val="20"/>
                <w:szCs w:val="20"/>
              </w:rPr>
              <w:t>95.4 (93.6, 96.8)</w:t>
            </w:r>
          </w:p>
          <w:p w14:paraId="07D669BE" w14:textId="77777777" w:rsidR="00B2058E" w:rsidRPr="00734942" w:rsidRDefault="00B2058E" w:rsidP="00067143">
            <w:pPr>
              <w:rPr>
                <w:rFonts w:cstheme="minorHAnsi"/>
                <w:sz w:val="20"/>
                <w:szCs w:val="20"/>
              </w:rPr>
            </w:pPr>
            <w:r w:rsidRPr="00734942">
              <w:rPr>
                <w:rFonts w:cstheme="minorHAnsi"/>
                <w:sz w:val="20"/>
                <w:szCs w:val="20"/>
              </w:rPr>
              <w:t>99.4 (98.5, 99.7)</w:t>
            </w:r>
          </w:p>
          <w:p w14:paraId="47A36295" w14:textId="77777777" w:rsidR="00B2058E" w:rsidRPr="00734942" w:rsidRDefault="00B2058E" w:rsidP="00067143">
            <w:pPr>
              <w:rPr>
                <w:rFonts w:cstheme="minorHAnsi"/>
                <w:sz w:val="20"/>
                <w:szCs w:val="20"/>
              </w:rPr>
            </w:pPr>
            <w:r w:rsidRPr="00734942">
              <w:rPr>
                <w:rFonts w:cstheme="minorHAnsi"/>
                <w:sz w:val="20"/>
                <w:szCs w:val="20"/>
              </w:rPr>
              <w:t>96.7 (95.3, 97.7)</w:t>
            </w:r>
          </w:p>
          <w:p w14:paraId="6209CFAF" w14:textId="77777777" w:rsidR="00B2058E" w:rsidRPr="00734942" w:rsidRDefault="00B2058E" w:rsidP="00067143">
            <w:pPr>
              <w:rPr>
                <w:rFonts w:cstheme="minorHAnsi"/>
                <w:sz w:val="20"/>
                <w:szCs w:val="20"/>
              </w:rPr>
            </w:pPr>
            <w:r w:rsidRPr="00734942">
              <w:rPr>
                <w:rFonts w:cstheme="minorHAnsi"/>
                <w:sz w:val="20"/>
                <w:szCs w:val="20"/>
              </w:rPr>
              <w:t>86.3 (79.7, 91.0)</w:t>
            </w:r>
          </w:p>
          <w:p w14:paraId="2D715972" w14:textId="77777777" w:rsidR="00B2058E" w:rsidRPr="00734942" w:rsidRDefault="00B2058E" w:rsidP="00067143">
            <w:pPr>
              <w:rPr>
                <w:rFonts w:cstheme="minorHAnsi"/>
                <w:sz w:val="20"/>
                <w:szCs w:val="20"/>
              </w:rPr>
            </w:pPr>
            <w:r w:rsidRPr="00734942">
              <w:rPr>
                <w:rFonts w:cstheme="minorHAnsi"/>
                <w:sz w:val="20"/>
                <w:szCs w:val="20"/>
              </w:rPr>
              <w:t>92.5 (90.3, 94.3)</w:t>
            </w:r>
          </w:p>
        </w:tc>
      </w:tr>
      <w:tr w:rsidR="00B2058E" w:rsidRPr="00734942" w14:paraId="0E852004" w14:textId="77777777" w:rsidTr="00B2058E">
        <w:trPr>
          <w:trHeight w:val="1281"/>
        </w:trPr>
        <w:tc>
          <w:tcPr>
            <w:tcW w:w="1942" w:type="dxa"/>
            <w:tcBorders>
              <w:top w:val="single" w:sz="4" w:space="0" w:color="auto"/>
            </w:tcBorders>
          </w:tcPr>
          <w:p w14:paraId="5BAE4C9C" w14:textId="77777777" w:rsidR="00B2058E" w:rsidRPr="00734942" w:rsidRDefault="00B2058E" w:rsidP="00067143">
            <w:pPr>
              <w:rPr>
                <w:b/>
                <w:sz w:val="20"/>
                <w:szCs w:val="20"/>
              </w:rPr>
            </w:pPr>
            <w:r w:rsidRPr="00734942">
              <w:rPr>
                <w:b/>
                <w:sz w:val="20"/>
                <w:szCs w:val="20"/>
              </w:rPr>
              <w:t>Children</w:t>
            </w:r>
          </w:p>
          <w:p w14:paraId="48BDD35D" w14:textId="77777777" w:rsidR="00B2058E" w:rsidRPr="00734942" w:rsidRDefault="00B2058E" w:rsidP="00067143">
            <w:pPr>
              <w:ind w:firstLine="170"/>
              <w:rPr>
                <w:sz w:val="20"/>
                <w:szCs w:val="20"/>
              </w:rPr>
            </w:pPr>
            <w:r w:rsidRPr="00734942">
              <w:rPr>
                <w:sz w:val="20"/>
                <w:szCs w:val="20"/>
              </w:rPr>
              <w:t>IgA tTG</w:t>
            </w:r>
          </w:p>
          <w:p w14:paraId="356276B2" w14:textId="77777777" w:rsidR="00B2058E" w:rsidRPr="00734942" w:rsidRDefault="00B2058E" w:rsidP="00067143">
            <w:pPr>
              <w:ind w:firstLine="170"/>
              <w:rPr>
                <w:sz w:val="20"/>
                <w:szCs w:val="20"/>
              </w:rPr>
            </w:pPr>
            <w:r w:rsidRPr="00734942">
              <w:rPr>
                <w:sz w:val="20"/>
                <w:szCs w:val="20"/>
              </w:rPr>
              <w:t>IgA EMA</w:t>
            </w:r>
          </w:p>
          <w:p w14:paraId="1D705153" w14:textId="77777777" w:rsidR="00B2058E" w:rsidRPr="00734942" w:rsidRDefault="00B2058E" w:rsidP="00067143">
            <w:pPr>
              <w:ind w:firstLine="170"/>
              <w:rPr>
                <w:sz w:val="20"/>
                <w:szCs w:val="20"/>
              </w:rPr>
            </w:pPr>
            <w:r w:rsidRPr="00734942">
              <w:rPr>
                <w:sz w:val="20"/>
                <w:szCs w:val="20"/>
              </w:rPr>
              <w:t>IgA/IgG DGP</w:t>
            </w:r>
          </w:p>
          <w:p w14:paraId="78EC9BA4" w14:textId="375CF134" w:rsidR="00B2058E" w:rsidRPr="00734942" w:rsidRDefault="00B2058E" w:rsidP="00067143">
            <w:pPr>
              <w:ind w:firstLine="170"/>
              <w:rPr>
                <w:sz w:val="20"/>
                <w:szCs w:val="20"/>
              </w:rPr>
            </w:pPr>
            <w:r w:rsidRPr="00734942">
              <w:rPr>
                <w:sz w:val="20"/>
                <w:szCs w:val="20"/>
              </w:rPr>
              <w:t>IgA/IgG tTG/DGP</w:t>
            </w:r>
            <w:r w:rsidR="0001617F" w:rsidRPr="00721F73">
              <w:rPr>
                <w:sz w:val="20"/>
                <w:szCs w:val="20"/>
                <w:vertAlign w:val="superscript"/>
              </w:rPr>
              <w:t>a</w:t>
            </w:r>
          </w:p>
        </w:tc>
        <w:tc>
          <w:tcPr>
            <w:tcW w:w="837" w:type="dxa"/>
            <w:tcBorders>
              <w:top w:val="single" w:sz="4" w:space="0" w:color="auto"/>
            </w:tcBorders>
          </w:tcPr>
          <w:p w14:paraId="281BCF27" w14:textId="77777777" w:rsidR="00B2058E" w:rsidRPr="00734942" w:rsidRDefault="00B2058E" w:rsidP="00067143">
            <w:pPr>
              <w:rPr>
                <w:rFonts w:cstheme="minorHAnsi"/>
                <w:sz w:val="20"/>
                <w:szCs w:val="20"/>
              </w:rPr>
            </w:pPr>
          </w:p>
          <w:p w14:paraId="4DE6C649" w14:textId="77777777" w:rsidR="00B2058E" w:rsidRPr="00734942" w:rsidRDefault="00B2058E" w:rsidP="00067143">
            <w:pPr>
              <w:rPr>
                <w:rFonts w:cstheme="minorHAnsi"/>
                <w:sz w:val="20"/>
                <w:szCs w:val="20"/>
              </w:rPr>
            </w:pPr>
            <w:r w:rsidRPr="00734942">
              <w:rPr>
                <w:rFonts w:cstheme="minorHAnsi"/>
                <w:sz w:val="20"/>
                <w:szCs w:val="20"/>
              </w:rPr>
              <w:t>6</w:t>
            </w:r>
          </w:p>
          <w:p w14:paraId="2951C46C" w14:textId="77777777" w:rsidR="00B2058E" w:rsidRPr="00734942" w:rsidRDefault="00B2058E" w:rsidP="00067143">
            <w:pPr>
              <w:rPr>
                <w:rFonts w:cstheme="minorHAnsi"/>
                <w:sz w:val="20"/>
                <w:szCs w:val="20"/>
              </w:rPr>
            </w:pPr>
            <w:r w:rsidRPr="00734942">
              <w:rPr>
                <w:rFonts w:cstheme="minorHAnsi"/>
                <w:sz w:val="20"/>
                <w:szCs w:val="20"/>
              </w:rPr>
              <w:t>5</w:t>
            </w:r>
          </w:p>
          <w:p w14:paraId="40E93E46" w14:textId="77777777" w:rsidR="00B2058E" w:rsidRPr="00734942" w:rsidRDefault="00B2058E" w:rsidP="00067143">
            <w:pPr>
              <w:rPr>
                <w:rFonts w:cstheme="minorHAnsi"/>
                <w:sz w:val="20"/>
                <w:szCs w:val="20"/>
              </w:rPr>
            </w:pPr>
            <w:r w:rsidRPr="00734942">
              <w:rPr>
                <w:rFonts w:cstheme="minorHAnsi"/>
                <w:sz w:val="20"/>
                <w:szCs w:val="20"/>
              </w:rPr>
              <w:t>5</w:t>
            </w:r>
          </w:p>
          <w:p w14:paraId="4F06D181" w14:textId="77777777" w:rsidR="00B2058E" w:rsidRPr="00734942" w:rsidRDefault="00B2058E" w:rsidP="00067143">
            <w:pPr>
              <w:rPr>
                <w:rFonts w:cstheme="minorHAnsi"/>
                <w:sz w:val="20"/>
                <w:szCs w:val="20"/>
              </w:rPr>
            </w:pPr>
            <w:r w:rsidRPr="00734942">
              <w:rPr>
                <w:rFonts w:cstheme="minorHAnsi"/>
                <w:sz w:val="20"/>
                <w:szCs w:val="20"/>
              </w:rPr>
              <w:t>2</w:t>
            </w:r>
          </w:p>
        </w:tc>
        <w:tc>
          <w:tcPr>
            <w:tcW w:w="1251" w:type="dxa"/>
            <w:tcBorders>
              <w:top w:val="single" w:sz="4" w:space="0" w:color="auto"/>
            </w:tcBorders>
          </w:tcPr>
          <w:p w14:paraId="53A0260B" w14:textId="77777777" w:rsidR="00B2058E" w:rsidRPr="00734942" w:rsidRDefault="00B2058E" w:rsidP="00067143">
            <w:pPr>
              <w:rPr>
                <w:rFonts w:cstheme="minorHAnsi"/>
                <w:sz w:val="20"/>
                <w:szCs w:val="20"/>
              </w:rPr>
            </w:pPr>
          </w:p>
          <w:p w14:paraId="41E04837" w14:textId="77777777" w:rsidR="00B2058E" w:rsidRPr="00734942" w:rsidRDefault="00B2058E" w:rsidP="00067143">
            <w:pPr>
              <w:rPr>
                <w:rFonts w:cstheme="minorHAnsi"/>
                <w:sz w:val="20"/>
                <w:szCs w:val="20"/>
              </w:rPr>
            </w:pPr>
            <w:r w:rsidRPr="00734942">
              <w:rPr>
                <w:rFonts w:cstheme="minorHAnsi"/>
                <w:sz w:val="20"/>
                <w:szCs w:val="20"/>
              </w:rPr>
              <w:t>2232 (1051)</w:t>
            </w:r>
          </w:p>
          <w:p w14:paraId="543F461D" w14:textId="77777777" w:rsidR="00B2058E" w:rsidRPr="00734942" w:rsidRDefault="00B2058E" w:rsidP="00067143">
            <w:pPr>
              <w:rPr>
                <w:rFonts w:cstheme="minorHAnsi"/>
                <w:sz w:val="20"/>
                <w:szCs w:val="20"/>
              </w:rPr>
            </w:pPr>
            <w:r w:rsidRPr="00734942">
              <w:rPr>
                <w:rFonts w:cstheme="minorHAnsi"/>
                <w:sz w:val="20"/>
                <w:szCs w:val="20"/>
              </w:rPr>
              <w:t>1257 (685)</w:t>
            </w:r>
          </w:p>
          <w:p w14:paraId="1A71A21A" w14:textId="77777777" w:rsidR="00B2058E" w:rsidRPr="00734942" w:rsidRDefault="00B2058E" w:rsidP="00067143">
            <w:pPr>
              <w:rPr>
                <w:rFonts w:cstheme="minorHAnsi"/>
                <w:sz w:val="20"/>
                <w:szCs w:val="20"/>
              </w:rPr>
            </w:pPr>
            <w:r w:rsidRPr="00734942">
              <w:rPr>
                <w:rFonts w:cstheme="minorHAnsi"/>
                <w:sz w:val="20"/>
                <w:szCs w:val="20"/>
              </w:rPr>
              <w:t>533 (276)</w:t>
            </w:r>
          </w:p>
          <w:p w14:paraId="14647193" w14:textId="77777777" w:rsidR="00B2058E" w:rsidRPr="00734942" w:rsidRDefault="00B2058E" w:rsidP="00067143">
            <w:pPr>
              <w:rPr>
                <w:rFonts w:cstheme="minorHAnsi"/>
                <w:sz w:val="20"/>
                <w:szCs w:val="20"/>
              </w:rPr>
            </w:pPr>
            <w:r w:rsidRPr="00734942">
              <w:rPr>
                <w:rFonts w:cstheme="minorHAnsi"/>
                <w:sz w:val="20"/>
                <w:szCs w:val="20"/>
              </w:rPr>
              <w:t>244 (133)</w:t>
            </w:r>
          </w:p>
        </w:tc>
        <w:tc>
          <w:tcPr>
            <w:tcW w:w="1135" w:type="dxa"/>
            <w:tcBorders>
              <w:top w:val="single" w:sz="4" w:space="0" w:color="auto"/>
            </w:tcBorders>
          </w:tcPr>
          <w:p w14:paraId="6C65DBBB" w14:textId="77777777" w:rsidR="00B2058E" w:rsidRPr="00734942" w:rsidRDefault="00B2058E" w:rsidP="00067143">
            <w:pPr>
              <w:rPr>
                <w:rFonts w:cstheme="minorHAnsi"/>
                <w:sz w:val="20"/>
                <w:szCs w:val="20"/>
              </w:rPr>
            </w:pPr>
          </w:p>
          <w:p w14:paraId="1AAB9224" w14:textId="77777777" w:rsidR="00B2058E" w:rsidRPr="00734942" w:rsidRDefault="00B2058E" w:rsidP="00067143">
            <w:pPr>
              <w:rPr>
                <w:rFonts w:cstheme="minorHAnsi"/>
                <w:sz w:val="20"/>
                <w:szCs w:val="20"/>
              </w:rPr>
            </w:pPr>
            <w:r w:rsidRPr="00734942">
              <w:rPr>
                <w:rFonts w:cstheme="minorHAnsi"/>
                <w:sz w:val="20"/>
                <w:szCs w:val="20"/>
              </w:rPr>
              <w:t>20 U/mL</w:t>
            </w:r>
          </w:p>
          <w:p w14:paraId="431236A3" w14:textId="77777777" w:rsidR="00B2058E" w:rsidRPr="00734942" w:rsidRDefault="00B2058E" w:rsidP="00067143">
            <w:pPr>
              <w:rPr>
                <w:rFonts w:cstheme="minorHAnsi"/>
                <w:sz w:val="20"/>
                <w:szCs w:val="20"/>
              </w:rPr>
            </w:pPr>
            <w:r w:rsidRPr="00734942">
              <w:rPr>
                <w:rFonts w:cstheme="minorHAnsi"/>
                <w:sz w:val="20"/>
                <w:szCs w:val="20"/>
              </w:rPr>
              <w:t>1:10</w:t>
            </w:r>
          </w:p>
          <w:p w14:paraId="2CC6D09A" w14:textId="77777777" w:rsidR="00B2058E" w:rsidRPr="00734942" w:rsidRDefault="00B2058E" w:rsidP="00067143">
            <w:pPr>
              <w:rPr>
                <w:rFonts w:cstheme="minorHAnsi"/>
                <w:sz w:val="20"/>
                <w:szCs w:val="20"/>
              </w:rPr>
            </w:pPr>
            <w:r w:rsidRPr="00734942">
              <w:rPr>
                <w:rFonts w:cstheme="minorHAnsi"/>
                <w:sz w:val="20"/>
                <w:szCs w:val="20"/>
              </w:rPr>
              <w:t>20 U/mL</w:t>
            </w:r>
          </w:p>
          <w:p w14:paraId="623D5F10" w14:textId="77777777" w:rsidR="00B2058E" w:rsidRPr="00734942" w:rsidRDefault="00B2058E" w:rsidP="00067143">
            <w:pPr>
              <w:rPr>
                <w:rFonts w:cstheme="minorHAnsi"/>
                <w:sz w:val="20"/>
                <w:szCs w:val="20"/>
              </w:rPr>
            </w:pPr>
            <w:r w:rsidRPr="00734942">
              <w:rPr>
                <w:rFonts w:cstheme="minorHAnsi"/>
                <w:sz w:val="20"/>
                <w:szCs w:val="20"/>
              </w:rPr>
              <w:t>20 U/mL</w:t>
            </w:r>
          </w:p>
        </w:tc>
        <w:tc>
          <w:tcPr>
            <w:tcW w:w="1617" w:type="dxa"/>
            <w:tcBorders>
              <w:top w:val="single" w:sz="4" w:space="0" w:color="auto"/>
            </w:tcBorders>
          </w:tcPr>
          <w:p w14:paraId="6774CEB7" w14:textId="77777777" w:rsidR="00B2058E" w:rsidRPr="00734942" w:rsidRDefault="00B2058E" w:rsidP="00067143">
            <w:pPr>
              <w:rPr>
                <w:rFonts w:cstheme="minorHAnsi"/>
                <w:sz w:val="20"/>
                <w:szCs w:val="20"/>
              </w:rPr>
            </w:pPr>
          </w:p>
          <w:p w14:paraId="072B1D86" w14:textId="77777777" w:rsidR="00B2058E" w:rsidRPr="00734942" w:rsidRDefault="00B2058E" w:rsidP="00067143">
            <w:pPr>
              <w:rPr>
                <w:rFonts w:cstheme="minorHAnsi"/>
                <w:sz w:val="20"/>
                <w:szCs w:val="20"/>
              </w:rPr>
            </w:pPr>
            <w:r w:rsidRPr="00734942">
              <w:rPr>
                <w:rFonts w:cstheme="minorHAnsi"/>
                <w:sz w:val="20"/>
                <w:szCs w:val="20"/>
              </w:rPr>
              <w:t>97.7 (91.0, 99.4)</w:t>
            </w:r>
          </w:p>
          <w:p w14:paraId="1C184565" w14:textId="77777777" w:rsidR="00B2058E" w:rsidRPr="00734942" w:rsidRDefault="00B2058E" w:rsidP="00067143">
            <w:pPr>
              <w:rPr>
                <w:rFonts w:cstheme="minorHAnsi"/>
                <w:sz w:val="20"/>
                <w:szCs w:val="20"/>
              </w:rPr>
            </w:pPr>
            <w:r w:rsidRPr="00734942">
              <w:rPr>
                <w:rFonts w:cstheme="minorHAnsi"/>
                <w:sz w:val="20"/>
                <w:szCs w:val="20"/>
              </w:rPr>
              <w:t>94.5 (88.9, 97.3)</w:t>
            </w:r>
          </w:p>
          <w:p w14:paraId="6A2AF181" w14:textId="77777777" w:rsidR="00B2058E" w:rsidRPr="00734942" w:rsidRDefault="00B2058E" w:rsidP="00067143">
            <w:pPr>
              <w:rPr>
                <w:rFonts w:cstheme="minorHAnsi"/>
                <w:sz w:val="20"/>
                <w:szCs w:val="20"/>
              </w:rPr>
            </w:pPr>
            <w:r w:rsidRPr="00734942">
              <w:rPr>
                <w:rFonts w:cstheme="minorHAnsi"/>
                <w:sz w:val="20"/>
                <w:szCs w:val="20"/>
              </w:rPr>
              <w:t>96.4 (91.7, 98.5)</w:t>
            </w:r>
          </w:p>
          <w:p w14:paraId="0C7FDC73" w14:textId="77777777" w:rsidR="00B2058E" w:rsidRPr="00734942" w:rsidRDefault="00B2058E" w:rsidP="00067143">
            <w:pPr>
              <w:rPr>
                <w:rFonts w:cstheme="minorHAnsi"/>
                <w:sz w:val="20"/>
                <w:szCs w:val="20"/>
              </w:rPr>
            </w:pPr>
            <w:r w:rsidRPr="00734942">
              <w:rPr>
                <w:rFonts w:cstheme="minorHAnsi"/>
                <w:sz w:val="20"/>
                <w:szCs w:val="20"/>
              </w:rPr>
              <w:t>95.6 (83.9, 98.9)</w:t>
            </w:r>
          </w:p>
        </w:tc>
        <w:tc>
          <w:tcPr>
            <w:tcW w:w="1701" w:type="dxa"/>
            <w:tcBorders>
              <w:top w:val="single" w:sz="4" w:space="0" w:color="auto"/>
            </w:tcBorders>
          </w:tcPr>
          <w:p w14:paraId="2038E18D" w14:textId="77777777" w:rsidR="00B2058E" w:rsidRPr="00734942" w:rsidRDefault="00B2058E" w:rsidP="00067143">
            <w:pPr>
              <w:rPr>
                <w:rFonts w:cstheme="minorHAnsi"/>
                <w:sz w:val="20"/>
                <w:szCs w:val="20"/>
              </w:rPr>
            </w:pPr>
          </w:p>
          <w:p w14:paraId="4131936C" w14:textId="77777777" w:rsidR="00B2058E" w:rsidRPr="00734942" w:rsidRDefault="00B2058E" w:rsidP="00067143">
            <w:pPr>
              <w:rPr>
                <w:rFonts w:cstheme="minorHAnsi"/>
                <w:sz w:val="20"/>
                <w:szCs w:val="20"/>
              </w:rPr>
            </w:pPr>
            <w:r w:rsidRPr="00734942">
              <w:rPr>
                <w:rFonts w:cstheme="minorHAnsi"/>
                <w:sz w:val="20"/>
                <w:szCs w:val="20"/>
              </w:rPr>
              <w:t>70.2 (39.3, 89.6)</w:t>
            </w:r>
          </w:p>
          <w:p w14:paraId="25F16EBA" w14:textId="77777777" w:rsidR="00B2058E" w:rsidRPr="00734942" w:rsidRDefault="00B2058E" w:rsidP="00067143">
            <w:pPr>
              <w:rPr>
                <w:rFonts w:cstheme="minorHAnsi"/>
                <w:sz w:val="20"/>
                <w:szCs w:val="20"/>
              </w:rPr>
            </w:pPr>
            <w:r w:rsidRPr="00734942">
              <w:rPr>
                <w:rFonts w:cstheme="minorHAnsi"/>
                <w:sz w:val="20"/>
                <w:szCs w:val="20"/>
              </w:rPr>
              <w:t>93.8 (85.2, 97.5)</w:t>
            </w:r>
          </w:p>
          <w:p w14:paraId="3A319CE7" w14:textId="77777777" w:rsidR="00B2058E" w:rsidRPr="00734942" w:rsidRDefault="00B2058E" w:rsidP="00067143">
            <w:pPr>
              <w:rPr>
                <w:rFonts w:cstheme="minorHAnsi"/>
                <w:sz w:val="20"/>
                <w:szCs w:val="20"/>
              </w:rPr>
            </w:pPr>
            <w:r w:rsidRPr="00734942">
              <w:rPr>
                <w:rFonts w:cstheme="minorHAnsi"/>
                <w:sz w:val="20"/>
                <w:szCs w:val="20"/>
              </w:rPr>
              <w:t>77.4 (44.0, 93.7)</w:t>
            </w:r>
          </w:p>
          <w:p w14:paraId="1C5D20C3" w14:textId="77777777" w:rsidR="00B2058E" w:rsidRPr="00734942" w:rsidRDefault="00B2058E" w:rsidP="00067143">
            <w:pPr>
              <w:rPr>
                <w:rFonts w:cstheme="minorHAnsi"/>
                <w:sz w:val="20"/>
                <w:szCs w:val="20"/>
              </w:rPr>
            </w:pPr>
            <w:r w:rsidRPr="00734942">
              <w:rPr>
                <w:rFonts w:cstheme="minorHAnsi"/>
                <w:sz w:val="20"/>
                <w:szCs w:val="20"/>
              </w:rPr>
              <w:t>62.2 (52.8, 70.7)</w:t>
            </w:r>
          </w:p>
        </w:tc>
      </w:tr>
    </w:tbl>
    <w:p w14:paraId="2429F566" w14:textId="03F73BFE" w:rsidR="0056595B" w:rsidRPr="00734942" w:rsidRDefault="00DF2153" w:rsidP="0056595B">
      <w:pPr>
        <w:spacing w:after="0"/>
        <w:ind w:right="493"/>
        <w:rPr>
          <w:sz w:val="18"/>
          <w:szCs w:val="20"/>
        </w:rPr>
      </w:pPr>
      <w:r w:rsidRPr="00DF2153">
        <w:rPr>
          <w:sz w:val="20"/>
          <w:szCs w:val="20"/>
          <w:vertAlign w:val="superscript"/>
          <w:lang w:val="pt-BR"/>
        </w:rPr>
        <w:t>a</w:t>
      </w:r>
      <w:r w:rsidR="0056595B" w:rsidRPr="00734942">
        <w:rPr>
          <w:sz w:val="18"/>
          <w:szCs w:val="20"/>
        </w:rPr>
        <w:t>Univariate fixed effect meta-analysis</w:t>
      </w:r>
    </w:p>
    <w:p w14:paraId="78B80984" w14:textId="77777777" w:rsidR="0056595B" w:rsidRPr="00734942" w:rsidRDefault="0056595B" w:rsidP="0056595B">
      <w:pPr>
        <w:spacing w:after="0"/>
        <w:ind w:right="493"/>
        <w:rPr>
          <w:sz w:val="18"/>
          <w:szCs w:val="20"/>
        </w:rPr>
      </w:pPr>
      <w:r w:rsidRPr="00734942">
        <w:rPr>
          <w:sz w:val="18"/>
          <w:szCs w:val="20"/>
        </w:rPr>
        <w:t>CD, coeliac disease; CI, confidence interval; IgA, immunoglobulin A; IgG, immunoglobulin G; tTG, anti-tissue transglutaminase; EMA, endomysial antibodies; DGP, deamidated gliadin peptide; AAA, anti-actin antibodies</w:t>
      </w:r>
    </w:p>
    <w:p w14:paraId="47520763" w14:textId="77777777" w:rsidR="0056595B" w:rsidRPr="00734942" w:rsidRDefault="0056595B" w:rsidP="0056595B"/>
    <w:p w14:paraId="30F23350" w14:textId="77777777" w:rsidR="0056595B" w:rsidRPr="00734942" w:rsidRDefault="0056595B" w:rsidP="0056595B">
      <w:r w:rsidRPr="00734942">
        <w:br w:type="page"/>
      </w:r>
    </w:p>
    <w:p w14:paraId="56A74F70" w14:textId="77777777" w:rsidR="0056595B" w:rsidRPr="00734942" w:rsidRDefault="0056595B" w:rsidP="0056595B">
      <w:pPr>
        <w:ind w:right="1058"/>
        <w:rPr>
          <w:sz w:val="20"/>
        </w:rPr>
        <w:sectPr w:rsidR="0056595B" w:rsidRPr="00734942" w:rsidSect="00C804E1">
          <w:footerReference w:type="default" r:id="rId23"/>
          <w:footnotePr>
            <w:numRestart w:val="eachSect"/>
          </w:footnotePr>
          <w:pgSz w:w="11906" w:h="16838"/>
          <w:pgMar w:top="1440" w:right="993" w:bottom="1440" w:left="1276" w:header="708" w:footer="708" w:gutter="0"/>
          <w:cols w:space="708"/>
          <w:docGrid w:linePitch="360"/>
        </w:sectPr>
      </w:pPr>
    </w:p>
    <w:p w14:paraId="05AB11FB" w14:textId="075BA656" w:rsidR="0056595B" w:rsidRPr="00734942" w:rsidRDefault="003D3410" w:rsidP="003D3410">
      <w:pPr>
        <w:spacing w:after="0" w:line="240" w:lineRule="auto"/>
      </w:pPr>
      <w:r>
        <w:rPr>
          <w:noProof/>
        </w:rPr>
        <w:lastRenderedPageBreak/>
        <w:drawing>
          <wp:inline distT="0" distB="0" distL="0" distR="0" wp14:anchorId="30AC038A" wp14:editId="5B622E40">
            <wp:extent cx="4860000" cy="5097178"/>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0000" cy="5097178"/>
                    </a:xfrm>
                    <a:prstGeom prst="rect">
                      <a:avLst/>
                    </a:prstGeom>
                    <a:noFill/>
                  </pic:spPr>
                </pic:pic>
              </a:graphicData>
            </a:graphic>
          </wp:inline>
        </w:drawing>
      </w:r>
    </w:p>
    <w:p w14:paraId="06C83A81" w14:textId="7316F687" w:rsidR="00AE0BB9" w:rsidRDefault="00AE0BB9" w:rsidP="003D3410">
      <w:r w:rsidRPr="00AE0BB9">
        <w:t xml:space="preserve"> </w:t>
      </w:r>
      <w:r w:rsidR="003D3410">
        <w:rPr>
          <w:noProof/>
        </w:rPr>
        <w:drawing>
          <wp:inline distT="0" distB="0" distL="0" distR="0" wp14:anchorId="0761E2B4" wp14:editId="1FEDC471">
            <wp:extent cx="4860000" cy="271095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0000" cy="2710952"/>
                    </a:xfrm>
                    <a:prstGeom prst="rect">
                      <a:avLst/>
                    </a:prstGeom>
                    <a:noFill/>
                  </pic:spPr>
                </pic:pic>
              </a:graphicData>
            </a:graphic>
          </wp:inline>
        </w:drawing>
      </w:r>
    </w:p>
    <w:p w14:paraId="5F835C36" w14:textId="4788C0B5" w:rsidR="00AE0BB9" w:rsidRPr="00734942" w:rsidRDefault="00AE0BB9" w:rsidP="00AE0BB9">
      <w:pPr>
        <w:pStyle w:val="Caption"/>
      </w:pPr>
      <w:bookmarkStart w:id="177" w:name="_Ref87439896"/>
      <w:bookmarkStart w:id="178" w:name="_Toc99720786"/>
      <w:r w:rsidRPr="00734942">
        <w:t xml:space="preserve">Figure </w:t>
      </w:r>
      <w:r>
        <w:fldChar w:fldCharType="begin"/>
      </w:r>
      <w:r>
        <w:instrText>SEQ Figure \* ARABIC</w:instrText>
      </w:r>
      <w:r>
        <w:fldChar w:fldCharType="separate"/>
      </w:r>
      <w:r w:rsidR="008B5583">
        <w:rPr>
          <w:noProof/>
        </w:rPr>
        <w:t>5</w:t>
      </w:r>
      <w:r>
        <w:fldChar w:fldCharType="end"/>
      </w:r>
      <w:bookmarkEnd w:id="177"/>
      <w:r w:rsidRPr="00734942">
        <w:t xml:space="preserve"> Study estimates of test sensitivity and specificity in adults plotted in receiver operating characteristic (ROC) space</w:t>
      </w:r>
      <w:bookmarkEnd w:id="178"/>
    </w:p>
    <w:p w14:paraId="4D7578BB" w14:textId="77777777" w:rsidR="00AE0BB9" w:rsidRPr="00AE0BB9" w:rsidRDefault="00AE0BB9" w:rsidP="00AE0BB9">
      <w:pPr>
        <w:pStyle w:val="NoSpacing"/>
        <w:rPr>
          <w:b/>
          <w:bCs/>
          <w:sz w:val="20"/>
          <w:szCs w:val="20"/>
          <w:lang w:val="en-GB"/>
        </w:rPr>
      </w:pPr>
      <w:r w:rsidRPr="00AE0BB9">
        <w:rPr>
          <w:sz w:val="20"/>
          <w:szCs w:val="20"/>
          <w:lang w:val="en-GB"/>
        </w:rPr>
        <w:t>Summary ROC curves are estimated from a meta-analysis of all data, across thresholds. Summary point estimates are estimated from a meta-analysis of data reporting at the most commonly reported threshold only.</w:t>
      </w:r>
    </w:p>
    <w:p w14:paraId="0EDD8B13" w14:textId="2EA5741A" w:rsidR="0056595B" w:rsidRPr="00734942" w:rsidRDefault="00DE38A9" w:rsidP="002C2904">
      <w:pPr>
        <w:spacing w:after="0"/>
      </w:pPr>
      <w:r>
        <w:rPr>
          <w:noProof/>
        </w:rPr>
        <w:lastRenderedPageBreak/>
        <w:drawing>
          <wp:inline distT="0" distB="0" distL="0" distR="0" wp14:anchorId="75242FA7" wp14:editId="7A175857">
            <wp:extent cx="4860000" cy="5230000"/>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0000" cy="5230000"/>
                    </a:xfrm>
                    <a:prstGeom prst="rect">
                      <a:avLst/>
                    </a:prstGeom>
                    <a:noFill/>
                  </pic:spPr>
                </pic:pic>
              </a:graphicData>
            </a:graphic>
          </wp:inline>
        </w:drawing>
      </w:r>
    </w:p>
    <w:p w14:paraId="64CD7BB8" w14:textId="5CE844BE" w:rsidR="0056595B" w:rsidRPr="00734942" w:rsidRDefault="002C2904" w:rsidP="002C2904">
      <w:pPr>
        <w:spacing w:after="0"/>
      </w:pPr>
      <w:r>
        <w:rPr>
          <w:noProof/>
        </w:rPr>
        <w:drawing>
          <wp:inline distT="0" distB="0" distL="0" distR="0" wp14:anchorId="4152149C" wp14:editId="6B95E92D">
            <wp:extent cx="4860000" cy="2647143"/>
            <wp:effectExtent l="0" t="0" r="0" b="12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60000" cy="2647143"/>
                    </a:xfrm>
                    <a:prstGeom prst="rect">
                      <a:avLst/>
                    </a:prstGeom>
                    <a:noFill/>
                  </pic:spPr>
                </pic:pic>
              </a:graphicData>
            </a:graphic>
          </wp:inline>
        </w:drawing>
      </w:r>
    </w:p>
    <w:p w14:paraId="5B70C9C2" w14:textId="707912EB" w:rsidR="00AE0BB9" w:rsidRPr="00734942" w:rsidRDefault="00AE0BB9" w:rsidP="00AE0BB9">
      <w:pPr>
        <w:pStyle w:val="Caption"/>
      </w:pPr>
      <w:bookmarkStart w:id="179" w:name="_Ref84003468"/>
      <w:bookmarkStart w:id="180" w:name="_Toc99720787"/>
      <w:r w:rsidRPr="00734942">
        <w:t xml:space="preserve">Figure </w:t>
      </w:r>
      <w:r>
        <w:fldChar w:fldCharType="begin"/>
      </w:r>
      <w:r>
        <w:instrText>SEQ Figure \* ARABIC</w:instrText>
      </w:r>
      <w:r>
        <w:fldChar w:fldCharType="separate"/>
      </w:r>
      <w:r w:rsidR="008B5583">
        <w:rPr>
          <w:noProof/>
        </w:rPr>
        <w:t>6</w:t>
      </w:r>
      <w:r>
        <w:fldChar w:fldCharType="end"/>
      </w:r>
      <w:bookmarkEnd w:id="179"/>
      <w:r w:rsidRPr="00734942">
        <w:t xml:space="preserve"> Study estimates of test sensitivity and specificity in children plotted in receiver operating characteristic (ROC) space</w:t>
      </w:r>
      <w:bookmarkEnd w:id="180"/>
    </w:p>
    <w:p w14:paraId="3A102EDD" w14:textId="122F1C88" w:rsidR="0056595B" w:rsidRPr="00734942" w:rsidRDefault="00AE0BB9" w:rsidP="002C2904">
      <w:pPr>
        <w:pStyle w:val="NoSpacing"/>
        <w:rPr>
          <w:rFonts w:asciiTheme="majorHAnsi" w:eastAsiaTheme="majorEastAsia" w:hAnsiTheme="majorHAnsi" w:cstheme="majorBidi"/>
          <w:color w:val="1F3763" w:themeColor="accent1" w:themeShade="7F"/>
          <w:sz w:val="24"/>
          <w:szCs w:val="24"/>
        </w:rPr>
      </w:pPr>
      <w:r w:rsidRPr="00AE0BB9">
        <w:rPr>
          <w:sz w:val="20"/>
          <w:szCs w:val="20"/>
          <w:lang w:val="en-GB"/>
        </w:rPr>
        <w:t>Summary ROC curves are estimated from a meta-analysis of all data, across thresholds. Summary point estimates are estimated from a meta-analysis of data reporting at the most commonly reported threshold only.</w:t>
      </w:r>
      <w:r w:rsidR="0056595B" w:rsidRPr="00734942">
        <w:br w:type="page"/>
      </w:r>
    </w:p>
    <w:p w14:paraId="6EA39C43" w14:textId="77777777" w:rsidR="0056595B" w:rsidRPr="00734942" w:rsidRDefault="0056595B" w:rsidP="0056595B">
      <w:pPr>
        <w:pStyle w:val="Heading3"/>
      </w:pPr>
      <w:bookmarkStart w:id="181" w:name="_Toc99539868"/>
      <w:r w:rsidRPr="00734942">
        <w:lastRenderedPageBreak/>
        <w:t>Direct comparisons and test combinations</w:t>
      </w:r>
      <w:bookmarkEnd w:id="181"/>
    </w:p>
    <w:p w14:paraId="15AEBB91" w14:textId="49420206" w:rsidR="0056595B" w:rsidRPr="00734942" w:rsidRDefault="00C94AE6" w:rsidP="0056595B">
      <w:r>
        <w:t>Comparative accuracy studies provided little evidence of differences in accuracy between tests</w:t>
      </w:r>
      <w:r w:rsidRPr="00734942">
        <w:t xml:space="preserve"> </w:t>
      </w:r>
      <w:r w:rsidR="0056595B" w:rsidRPr="00734942">
        <w:t>(</w:t>
      </w:r>
      <w:r w:rsidR="0056595B" w:rsidRPr="00734942">
        <w:fldChar w:fldCharType="begin"/>
      </w:r>
      <w:r w:rsidR="0056595B" w:rsidRPr="00734942">
        <w:instrText xml:space="preserve"> REF _Ref85448662 \h  \* MERGEFORMAT </w:instrText>
      </w:r>
      <w:r w:rsidR="0056595B" w:rsidRPr="00734942">
        <w:fldChar w:fldCharType="separate"/>
      </w:r>
      <w:r w:rsidR="008B5583" w:rsidRPr="00734942">
        <w:t xml:space="preserve">Table </w:t>
      </w:r>
      <w:r w:rsidR="008B5583">
        <w:rPr>
          <w:noProof/>
        </w:rPr>
        <w:t>10</w:t>
      </w:r>
      <w:r w:rsidR="0056595B" w:rsidRPr="00734942">
        <w:fldChar w:fldCharType="end"/>
      </w:r>
      <w:r w:rsidR="0056595B" w:rsidRPr="00734942">
        <w:t xml:space="preserve">). Fourteen studies in adults and sixteen studies in children provided direct comparison of IgA tTG and IgA EMA. There was a suggestion that IgA EMA was more specific than IgA tTG in adults with similar estimates of sensitivity; estimates in children were similar for both tests. However, studies reported results at different thresholds therefore formal statistical comparison was not </w:t>
      </w:r>
      <w:r w:rsidR="003E5462">
        <w:t>appropriate</w:t>
      </w:r>
      <w:r w:rsidR="0056595B" w:rsidRPr="00734942">
        <w:t>.</w:t>
      </w:r>
    </w:p>
    <w:p w14:paraId="6B5E5BA7" w14:textId="370AECCD" w:rsidR="0056595B" w:rsidRPr="00734942" w:rsidRDefault="0056595B" w:rsidP="0056595B">
      <w:r w:rsidRPr="00734942">
        <w:t>Other test pairs were only compared directly in three or four studies. IgG DGP an IgA/IgG DGP appeared slightly more sensitive and specific than IgA tTG, however, this difference was much smaller than indirect comparisons suggested</w:t>
      </w:r>
      <w:r w:rsidR="00546FF9">
        <w:t xml:space="preserve"> (</w:t>
      </w:r>
      <w:r w:rsidR="00EF1E80">
        <w:fldChar w:fldCharType="begin"/>
      </w:r>
      <w:r w:rsidR="00EF1E80">
        <w:instrText xml:space="preserve"> REF _Ref85448662 \h </w:instrText>
      </w:r>
      <w:r w:rsidR="00EF1E80">
        <w:fldChar w:fldCharType="separate"/>
      </w:r>
      <w:r w:rsidR="008B5583" w:rsidRPr="00734942">
        <w:t xml:space="preserve">Table </w:t>
      </w:r>
      <w:r w:rsidR="008B5583">
        <w:rPr>
          <w:noProof/>
        </w:rPr>
        <w:t>10</w:t>
      </w:r>
      <w:r w:rsidR="00EF1E80">
        <w:fldChar w:fldCharType="end"/>
      </w:r>
      <w:r w:rsidR="00546FF9">
        <w:rPr>
          <w:noProof/>
        </w:rPr>
        <w:t xml:space="preserve">). </w:t>
      </w:r>
      <w:r w:rsidRPr="00734942">
        <w:t xml:space="preserve">This suggests that studies </w:t>
      </w:r>
      <w:r w:rsidR="00C64D5B">
        <w:t xml:space="preserve">providing a direct comparison between DGP and other serological tests </w:t>
      </w:r>
      <w:r w:rsidRPr="00734942">
        <w:t>may be subject to bias</w:t>
      </w:r>
      <w:r w:rsidR="00C64D5B">
        <w:t xml:space="preserve">, resulting in </w:t>
      </w:r>
      <w:r w:rsidRPr="00734942">
        <w:t>overestimat</w:t>
      </w:r>
      <w:r w:rsidR="00C64D5B">
        <w:t>ed</w:t>
      </w:r>
      <w:r w:rsidRPr="00734942">
        <w:t xml:space="preserve"> accuracy for all tests evaluated in these studies.</w:t>
      </w:r>
    </w:p>
    <w:p w14:paraId="1DEEF56E" w14:textId="2F2F98FC" w:rsidR="0056595B" w:rsidRPr="00734942" w:rsidRDefault="0056595B" w:rsidP="005672CA">
      <w:pPr>
        <w:pStyle w:val="Caption"/>
      </w:pPr>
      <w:bookmarkStart w:id="182" w:name="_Ref85448662"/>
      <w:bookmarkStart w:id="183" w:name="_Ref86655035"/>
      <w:bookmarkStart w:id="184" w:name="_Toc99720721"/>
      <w:r w:rsidRPr="00734942">
        <w:t xml:space="preserve">Table </w:t>
      </w:r>
      <w:r w:rsidRPr="00734942">
        <w:fldChar w:fldCharType="begin"/>
      </w:r>
      <w:r w:rsidRPr="00734942">
        <w:instrText>SEQ Table \* ARABIC</w:instrText>
      </w:r>
      <w:r w:rsidRPr="00734942">
        <w:fldChar w:fldCharType="separate"/>
      </w:r>
      <w:r w:rsidR="008B5583">
        <w:rPr>
          <w:noProof/>
        </w:rPr>
        <w:t>10</w:t>
      </w:r>
      <w:r w:rsidRPr="00734942">
        <w:fldChar w:fldCharType="end"/>
      </w:r>
      <w:bookmarkEnd w:id="182"/>
      <w:r w:rsidRPr="00734942">
        <w:t xml:space="preserve"> Study estimates of sensitivity and specificity, restricted to comparative studies only</w:t>
      </w:r>
      <w:bookmarkEnd w:id="183"/>
      <w:bookmarkEnd w:id="184"/>
    </w:p>
    <w:tbl>
      <w:tblPr>
        <w:tblStyle w:val="TableGrid"/>
        <w:tblW w:w="1030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825"/>
        <w:gridCol w:w="1207"/>
        <w:gridCol w:w="1370"/>
        <w:gridCol w:w="1125"/>
        <w:gridCol w:w="1124"/>
        <w:gridCol w:w="1061"/>
        <w:gridCol w:w="1178"/>
      </w:tblGrid>
      <w:tr w:rsidR="0056595B" w:rsidRPr="00734942" w14:paraId="3C8D6B71" w14:textId="77777777" w:rsidTr="00A902B0">
        <w:trPr>
          <w:trHeight w:val="70"/>
        </w:trPr>
        <w:tc>
          <w:tcPr>
            <w:tcW w:w="2410" w:type="dxa"/>
            <w:tcBorders>
              <w:bottom w:val="single" w:sz="4" w:space="0" w:color="auto"/>
            </w:tcBorders>
          </w:tcPr>
          <w:p w14:paraId="734A35D4" w14:textId="77777777" w:rsidR="0056595B" w:rsidRPr="00734942" w:rsidRDefault="0056595B" w:rsidP="00067143">
            <w:pPr>
              <w:rPr>
                <w:b/>
                <w:sz w:val="20"/>
              </w:rPr>
            </w:pPr>
            <w:r w:rsidRPr="00734942">
              <w:rPr>
                <w:b/>
                <w:sz w:val="20"/>
              </w:rPr>
              <w:t>Serological test</w:t>
            </w:r>
          </w:p>
        </w:tc>
        <w:tc>
          <w:tcPr>
            <w:tcW w:w="825" w:type="dxa"/>
            <w:tcBorders>
              <w:bottom w:val="single" w:sz="4" w:space="0" w:color="auto"/>
            </w:tcBorders>
          </w:tcPr>
          <w:p w14:paraId="0100010D" w14:textId="77777777" w:rsidR="0056595B" w:rsidRPr="00734942" w:rsidRDefault="0056595B" w:rsidP="00067143">
            <w:pPr>
              <w:rPr>
                <w:b/>
                <w:sz w:val="20"/>
              </w:rPr>
            </w:pPr>
            <w:r w:rsidRPr="00734942">
              <w:rPr>
                <w:b/>
                <w:sz w:val="20"/>
              </w:rPr>
              <w:t>Studies</w:t>
            </w:r>
          </w:p>
        </w:tc>
        <w:tc>
          <w:tcPr>
            <w:tcW w:w="1207" w:type="dxa"/>
            <w:tcBorders>
              <w:bottom w:val="single" w:sz="4" w:space="0" w:color="auto"/>
            </w:tcBorders>
          </w:tcPr>
          <w:p w14:paraId="78350D16" w14:textId="77777777" w:rsidR="0056595B" w:rsidRPr="00734942" w:rsidRDefault="0056595B" w:rsidP="00067143">
            <w:pPr>
              <w:rPr>
                <w:b/>
                <w:sz w:val="20"/>
              </w:rPr>
            </w:pPr>
            <w:r w:rsidRPr="00734942">
              <w:rPr>
                <w:b/>
                <w:sz w:val="20"/>
              </w:rPr>
              <w:t>Total Participants (Total with CD)</w:t>
            </w:r>
          </w:p>
        </w:tc>
        <w:tc>
          <w:tcPr>
            <w:tcW w:w="1370" w:type="dxa"/>
            <w:tcBorders>
              <w:bottom w:val="single" w:sz="4" w:space="0" w:color="auto"/>
            </w:tcBorders>
          </w:tcPr>
          <w:p w14:paraId="2643FC22" w14:textId="77777777" w:rsidR="0056595B" w:rsidRPr="00734942" w:rsidRDefault="0056595B" w:rsidP="00067143">
            <w:pPr>
              <w:rPr>
                <w:b/>
                <w:sz w:val="20"/>
              </w:rPr>
            </w:pPr>
            <w:r w:rsidRPr="00734942">
              <w:rPr>
                <w:b/>
                <w:sz w:val="20"/>
              </w:rPr>
              <w:t>Threshold (range)</w:t>
            </w:r>
          </w:p>
        </w:tc>
        <w:tc>
          <w:tcPr>
            <w:tcW w:w="1125" w:type="dxa"/>
            <w:tcBorders>
              <w:bottom w:val="single" w:sz="4" w:space="0" w:color="auto"/>
            </w:tcBorders>
          </w:tcPr>
          <w:p w14:paraId="192C5C07" w14:textId="77777777" w:rsidR="0056595B" w:rsidRPr="00734942" w:rsidRDefault="0056595B" w:rsidP="00067143">
            <w:pPr>
              <w:rPr>
                <w:b/>
                <w:sz w:val="20"/>
              </w:rPr>
            </w:pPr>
            <w:r w:rsidRPr="00734942">
              <w:rPr>
                <w:b/>
                <w:sz w:val="20"/>
              </w:rPr>
              <w:t>Sensitivity (range), %</w:t>
            </w:r>
          </w:p>
        </w:tc>
        <w:tc>
          <w:tcPr>
            <w:tcW w:w="1124" w:type="dxa"/>
            <w:tcBorders>
              <w:bottom w:val="single" w:sz="4" w:space="0" w:color="auto"/>
            </w:tcBorders>
          </w:tcPr>
          <w:p w14:paraId="55D32A72" w14:textId="77777777" w:rsidR="0056595B" w:rsidRPr="00734942" w:rsidRDefault="0056595B" w:rsidP="00067143">
            <w:pPr>
              <w:rPr>
                <w:b/>
                <w:sz w:val="20"/>
              </w:rPr>
            </w:pPr>
            <w:r w:rsidRPr="00734942">
              <w:rPr>
                <w:b/>
                <w:sz w:val="20"/>
              </w:rPr>
              <w:t>Relative sensitivity (range), %</w:t>
            </w:r>
          </w:p>
        </w:tc>
        <w:tc>
          <w:tcPr>
            <w:tcW w:w="1061" w:type="dxa"/>
            <w:tcBorders>
              <w:bottom w:val="single" w:sz="4" w:space="0" w:color="auto"/>
            </w:tcBorders>
          </w:tcPr>
          <w:p w14:paraId="21103035" w14:textId="77777777" w:rsidR="0056595B" w:rsidRPr="00734942" w:rsidRDefault="0056595B" w:rsidP="00067143">
            <w:pPr>
              <w:rPr>
                <w:b/>
                <w:sz w:val="20"/>
              </w:rPr>
            </w:pPr>
            <w:r w:rsidRPr="00734942">
              <w:rPr>
                <w:b/>
                <w:sz w:val="20"/>
              </w:rPr>
              <w:t>Specificity (range), %</w:t>
            </w:r>
          </w:p>
        </w:tc>
        <w:tc>
          <w:tcPr>
            <w:tcW w:w="1178" w:type="dxa"/>
            <w:tcBorders>
              <w:bottom w:val="single" w:sz="4" w:space="0" w:color="auto"/>
            </w:tcBorders>
          </w:tcPr>
          <w:p w14:paraId="05161E19" w14:textId="77777777" w:rsidR="0056595B" w:rsidRPr="00734942" w:rsidRDefault="0056595B" w:rsidP="00067143">
            <w:pPr>
              <w:rPr>
                <w:b/>
                <w:sz w:val="20"/>
              </w:rPr>
            </w:pPr>
            <w:r w:rsidRPr="00734942">
              <w:rPr>
                <w:b/>
                <w:sz w:val="20"/>
              </w:rPr>
              <w:t>Relative specificity (range), %</w:t>
            </w:r>
          </w:p>
        </w:tc>
      </w:tr>
      <w:tr w:rsidR="0056595B" w:rsidRPr="00734942" w14:paraId="41E8D834" w14:textId="77777777" w:rsidTr="00A902B0">
        <w:trPr>
          <w:trHeight w:val="4033"/>
        </w:trPr>
        <w:tc>
          <w:tcPr>
            <w:tcW w:w="2410" w:type="dxa"/>
            <w:tcBorders>
              <w:top w:val="single" w:sz="4" w:space="0" w:color="auto"/>
              <w:bottom w:val="single" w:sz="4" w:space="0" w:color="auto"/>
            </w:tcBorders>
          </w:tcPr>
          <w:p w14:paraId="185F9709" w14:textId="77777777" w:rsidR="0056595B" w:rsidRPr="00541948" w:rsidRDefault="0056595B" w:rsidP="00067143">
            <w:pPr>
              <w:rPr>
                <w:b/>
                <w:sz w:val="20"/>
                <w:lang w:val="pt-BR"/>
              </w:rPr>
            </w:pPr>
            <w:r w:rsidRPr="00541948">
              <w:rPr>
                <w:b/>
                <w:sz w:val="20"/>
                <w:lang w:val="pt-BR"/>
              </w:rPr>
              <w:t>Adults</w:t>
            </w:r>
          </w:p>
          <w:p w14:paraId="2631E49A" w14:textId="77777777" w:rsidR="0056595B" w:rsidRPr="00541948" w:rsidRDefault="0056595B" w:rsidP="00067143">
            <w:pPr>
              <w:ind w:left="173"/>
              <w:rPr>
                <w:sz w:val="20"/>
                <w:lang w:val="pt-BR"/>
              </w:rPr>
            </w:pPr>
            <w:r w:rsidRPr="00541948">
              <w:rPr>
                <w:sz w:val="20"/>
                <w:lang w:val="pt-BR"/>
              </w:rPr>
              <w:t>IgA tTG vs. IgA EMA</w:t>
            </w:r>
          </w:p>
          <w:p w14:paraId="631BA17D" w14:textId="77777777" w:rsidR="0056595B" w:rsidRPr="00541948" w:rsidRDefault="0056595B" w:rsidP="00067143">
            <w:pPr>
              <w:ind w:left="315"/>
              <w:rPr>
                <w:sz w:val="20"/>
                <w:lang w:val="pt-BR"/>
              </w:rPr>
            </w:pPr>
            <w:r w:rsidRPr="00541948">
              <w:rPr>
                <w:sz w:val="20"/>
                <w:lang w:val="pt-BR"/>
              </w:rPr>
              <w:t>IgA tTG</w:t>
            </w:r>
          </w:p>
          <w:p w14:paraId="360F256F" w14:textId="77777777" w:rsidR="0056595B" w:rsidRPr="00541948" w:rsidRDefault="0056595B" w:rsidP="00067143">
            <w:pPr>
              <w:ind w:left="315"/>
              <w:rPr>
                <w:sz w:val="20"/>
                <w:lang w:val="pt-BR"/>
              </w:rPr>
            </w:pPr>
            <w:r w:rsidRPr="00541948">
              <w:rPr>
                <w:sz w:val="20"/>
                <w:lang w:val="pt-BR"/>
              </w:rPr>
              <w:t>IgA EMA</w:t>
            </w:r>
          </w:p>
          <w:p w14:paraId="7E1BD1D0" w14:textId="77777777" w:rsidR="0056595B" w:rsidRPr="00541948" w:rsidRDefault="0056595B" w:rsidP="00067143">
            <w:pPr>
              <w:rPr>
                <w:lang w:val="pt-BR"/>
              </w:rPr>
            </w:pPr>
          </w:p>
          <w:p w14:paraId="0C4D0523" w14:textId="77777777" w:rsidR="0056595B" w:rsidRPr="00541948" w:rsidRDefault="0056595B" w:rsidP="00067143">
            <w:pPr>
              <w:ind w:left="177"/>
              <w:rPr>
                <w:sz w:val="20"/>
                <w:lang w:val="pt-BR"/>
              </w:rPr>
            </w:pPr>
            <w:r w:rsidRPr="00541948">
              <w:rPr>
                <w:sz w:val="20"/>
                <w:lang w:val="pt-BR"/>
              </w:rPr>
              <w:t>IgA tTG vs. IgA DGP</w:t>
            </w:r>
          </w:p>
          <w:p w14:paraId="01CACAD6" w14:textId="77777777" w:rsidR="0056595B" w:rsidRPr="00541948" w:rsidRDefault="0056595B" w:rsidP="00067143">
            <w:pPr>
              <w:ind w:left="319"/>
              <w:rPr>
                <w:sz w:val="20"/>
                <w:lang w:val="pt-BR"/>
              </w:rPr>
            </w:pPr>
            <w:r w:rsidRPr="00541948">
              <w:rPr>
                <w:sz w:val="20"/>
                <w:lang w:val="pt-BR"/>
              </w:rPr>
              <w:t>IgA tTG</w:t>
            </w:r>
          </w:p>
          <w:p w14:paraId="5BD43348" w14:textId="77777777" w:rsidR="0056595B" w:rsidRPr="00541948" w:rsidRDefault="0056595B" w:rsidP="00067143">
            <w:pPr>
              <w:ind w:left="319"/>
              <w:rPr>
                <w:sz w:val="20"/>
                <w:lang w:val="pt-BR"/>
              </w:rPr>
            </w:pPr>
            <w:r w:rsidRPr="00541948">
              <w:rPr>
                <w:sz w:val="20"/>
                <w:lang w:val="pt-BR"/>
              </w:rPr>
              <w:t>IgA DGP</w:t>
            </w:r>
          </w:p>
          <w:p w14:paraId="76C02C32" w14:textId="77777777" w:rsidR="0056595B" w:rsidRPr="00541948" w:rsidRDefault="0056595B" w:rsidP="00067143">
            <w:pPr>
              <w:ind w:left="173"/>
              <w:rPr>
                <w:sz w:val="20"/>
                <w:lang w:val="pt-BR"/>
              </w:rPr>
            </w:pPr>
          </w:p>
          <w:p w14:paraId="456C5F3E" w14:textId="77777777" w:rsidR="0056595B" w:rsidRPr="00541948" w:rsidRDefault="0056595B" w:rsidP="00067143">
            <w:pPr>
              <w:ind w:left="173"/>
              <w:rPr>
                <w:sz w:val="20"/>
                <w:lang w:val="pt-BR"/>
              </w:rPr>
            </w:pPr>
            <w:r w:rsidRPr="00541948">
              <w:rPr>
                <w:sz w:val="20"/>
                <w:lang w:val="pt-BR"/>
              </w:rPr>
              <w:t>IgA tTG vs. IgG DGP</w:t>
            </w:r>
          </w:p>
          <w:p w14:paraId="698EA8B5" w14:textId="77777777" w:rsidR="0056595B" w:rsidRPr="00541948" w:rsidRDefault="0056595B" w:rsidP="00067143">
            <w:pPr>
              <w:ind w:left="315"/>
              <w:rPr>
                <w:sz w:val="20"/>
                <w:lang w:val="pt-BR"/>
              </w:rPr>
            </w:pPr>
            <w:r w:rsidRPr="00541948">
              <w:rPr>
                <w:sz w:val="20"/>
                <w:lang w:val="pt-BR"/>
              </w:rPr>
              <w:t>IgA tTG</w:t>
            </w:r>
          </w:p>
          <w:p w14:paraId="20EB2A22" w14:textId="77777777" w:rsidR="0056595B" w:rsidRPr="00541948" w:rsidRDefault="0056595B" w:rsidP="00067143">
            <w:pPr>
              <w:ind w:left="315"/>
              <w:rPr>
                <w:sz w:val="20"/>
                <w:lang w:val="pt-BR"/>
              </w:rPr>
            </w:pPr>
            <w:r w:rsidRPr="00541948">
              <w:rPr>
                <w:sz w:val="20"/>
                <w:lang w:val="pt-BR"/>
              </w:rPr>
              <w:t>IgG DGP</w:t>
            </w:r>
          </w:p>
          <w:p w14:paraId="78BC0FEC" w14:textId="77777777" w:rsidR="0056595B" w:rsidRPr="00541948" w:rsidRDefault="0056595B" w:rsidP="00067143">
            <w:pPr>
              <w:rPr>
                <w:sz w:val="20"/>
                <w:lang w:val="pt-BR"/>
              </w:rPr>
            </w:pPr>
          </w:p>
          <w:p w14:paraId="61BBCC11" w14:textId="77777777" w:rsidR="0056595B" w:rsidRPr="00541948" w:rsidRDefault="0056595B" w:rsidP="00067143">
            <w:pPr>
              <w:ind w:left="173"/>
              <w:rPr>
                <w:sz w:val="20"/>
                <w:lang w:val="pt-BR"/>
              </w:rPr>
            </w:pPr>
            <w:r w:rsidRPr="00541948">
              <w:rPr>
                <w:sz w:val="20"/>
                <w:lang w:val="pt-BR"/>
              </w:rPr>
              <w:t>IgA tTG vs. IgA/IgG DGP</w:t>
            </w:r>
          </w:p>
          <w:p w14:paraId="7C908169" w14:textId="77777777" w:rsidR="0056595B" w:rsidRPr="00541948" w:rsidRDefault="0056595B" w:rsidP="00067143">
            <w:pPr>
              <w:ind w:left="315"/>
              <w:rPr>
                <w:sz w:val="20"/>
                <w:lang w:val="pt-BR"/>
              </w:rPr>
            </w:pPr>
            <w:r w:rsidRPr="00541948">
              <w:rPr>
                <w:sz w:val="20"/>
                <w:lang w:val="pt-BR"/>
              </w:rPr>
              <w:t>IgA tTG</w:t>
            </w:r>
          </w:p>
          <w:p w14:paraId="4EC1A629" w14:textId="77777777" w:rsidR="0056595B" w:rsidRPr="00541948" w:rsidRDefault="0056595B" w:rsidP="00067143">
            <w:pPr>
              <w:ind w:left="315"/>
              <w:rPr>
                <w:lang w:val="pt-BR"/>
              </w:rPr>
            </w:pPr>
            <w:r w:rsidRPr="00541948">
              <w:rPr>
                <w:sz w:val="20"/>
                <w:lang w:val="pt-BR"/>
              </w:rPr>
              <w:t>IgA/IgG DGP</w:t>
            </w:r>
          </w:p>
        </w:tc>
        <w:tc>
          <w:tcPr>
            <w:tcW w:w="825" w:type="dxa"/>
            <w:tcBorders>
              <w:top w:val="single" w:sz="4" w:space="0" w:color="auto"/>
              <w:bottom w:val="single" w:sz="4" w:space="0" w:color="auto"/>
            </w:tcBorders>
          </w:tcPr>
          <w:p w14:paraId="76104709" w14:textId="77777777" w:rsidR="0056595B" w:rsidRPr="00541948" w:rsidRDefault="0056595B" w:rsidP="00067143">
            <w:pPr>
              <w:rPr>
                <w:rFonts w:cstheme="minorHAnsi"/>
                <w:sz w:val="20"/>
                <w:szCs w:val="20"/>
                <w:lang w:val="pt-BR"/>
              </w:rPr>
            </w:pPr>
          </w:p>
          <w:p w14:paraId="698223CC" w14:textId="77777777" w:rsidR="0056595B" w:rsidRPr="00734942" w:rsidRDefault="0056595B" w:rsidP="00067143">
            <w:pPr>
              <w:rPr>
                <w:rFonts w:cstheme="minorHAnsi"/>
                <w:sz w:val="20"/>
                <w:szCs w:val="20"/>
              </w:rPr>
            </w:pPr>
            <w:r w:rsidRPr="00734942">
              <w:rPr>
                <w:rFonts w:cstheme="minorHAnsi"/>
                <w:sz w:val="20"/>
                <w:szCs w:val="20"/>
              </w:rPr>
              <w:t>14</w:t>
            </w:r>
          </w:p>
          <w:p w14:paraId="40A428F1" w14:textId="77777777" w:rsidR="0056595B" w:rsidRPr="00734942" w:rsidRDefault="0056595B" w:rsidP="00067143">
            <w:pPr>
              <w:rPr>
                <w:rFonts w:cstheme="minorHAnsi"/>
                <w:sz w:val="20"/>
                <w:szCs w:val="20"/>
              </w:rPr>
            </w:pPr>
          </w:p>
          <w:p w14:paraId="74C38B9A" w14:textId="77777777" w:rsidR="0056595B" w:rsidRPr="00734942" w:rsidRDefault="0056595B" w:rsidP="00067143">
            <w:pPr>
              <w:rPr>
                <w:rFonts w:cstheme="minorHAnsi"/>
                <w:sz w:val="20"/>
                <w:szCs w:val="20"/>
              </w:rPr>
            </w:pPr>
          </w:p>
          <w:p w14:paraId="0CCF7BEC" w14:textId="77777777" w:rsidR="0056595B" w:rsidRPr="00734942" w:rsidRDefault="0056595B" w:rsidP="00067143">
            <w:pPr>
              <w:rPr>
                <w:rFonts w:cstheme="minorHAnsi"/>
                <w:sz w:val="20"/>
                <w:szCs w:val="20"/>
              </w:rPr>
            </w:pPr>
          </w:p>
          <w:p w14:paraId="0ED1D2A5" w14:textId="77777777" w:rsidR="0056595B" w:rsidRPr="00734942" w:rsidRDefault="0056595B" w:rsidP="00067143">
            <w:pPr>
              <w:rPr>
                <w:rFonts w:cstheme="minorHAnsi"/>
                <w:sz w:val="20"/>
                <w:szCs w:val="20"/>
              </w:rPr>
            </w:pPr>
            <w:r w:rsidRPr="00734942">
              <w:rPr>
                <w:rFonts w:cstheme="minorHAnsi"/>
                <w:sz w:val="20"/>
                <w:szCs w:val="20"/>
              </w:rPr>
              <w:t>3</w:t>
            </w:r>
          </w:p>
          <w:p w14:paraId="228AC97A" w14:textId="77777777" w:rsidR="0056595B" w:rsidRPr="00734942" w:rsidRDefault="0056595B" w:rsidP="00067143">
            <w:pPr>
              <w:rPr>
                <w:rFonts w:cstheme="minorHAnsi"/>
                <w:sz w:val="20"/>
                <w:szCs w:val="20"/>
              </w:rPr>
            </w:pPr>
          </w:p>
          <w:p w14:paraId="41601660" w14:textId="77777777" w:rsidR="0056595B" w:rsidRPr="00734942" w:rsidRDefault="0056595B" w:rsidP="00067143">
            <w:pPr>
              <w:rPr>
                <w:rFonts w:cstheme="minorHAnsi"/>
                <w:sz w:val="20"/>
                <w:szCs w:val="20"/>
              </w:rPr>
            </w:pPr>
          </w:p>
          <w:p w14:paraId="1E473E8A" w14:textId="77777777" w:rsidR="0056595B" w:rsidRPr="00734942" w:rsidRDefault="0056595B" w:rsidP="00067143">
            <w:pPr>
              <w:rPr>
                <w:rFonts w:cstheme="minorHAnsi"/>
                <w:sz w:val="20"/>
                <w:szCs w:val="20"/>
              </w:rPr>
            </w:pPr>
          </w:p>
          <w:p w14:paraId="2E36E98F" w14:textId="77777777" w:rsidR="0056595B" w:rsidRPr="00734942" w:rsidRDefault="0056595B" w:rsidP="00067143">
            <w:pPr>
              <w:rPr>
                <w:rFonts w:cstheme="minorHAnsi"/>
                <w:sz w:val="20"/>
                <w:szCs w:val="20"/>
              </w:rPr>
            </w:pPr>
            <w:r w:rsidRPr="00734942">
              <w:rPr>
                <w:rFonts w:cstheme="minorHAnsi"/>
                <w:sz w:val="20"/>
                <w:szCs w:val="20"/>
              </w:rPr>
              <w:t>4</w:t>
            </w:r>
          </w:p>
          <w:p w14:paraId="0BAAD9FC" w14:textId="77777777" w:rsidR="0056595B" w:rsidRPr="00734942" w:rsidRDefault="0056595B" w:rsidP="00067143">
            <w:pPr>
              <w:rPr>
                <w:rFonts w:cstheme="minorHAnsi"/>
                <w:sz w:val="20"/>
                <w:szCs w:val="20"/>
              </w:rPr>
            </w:pPr>
          </w:p>
          <w:p w14:paraId="34795384" w14:textId="77777777" w:rsidR="0056595B" w:rsidRPr="00734942" w:rsidRDefault="0056595B" w:rsidP="00067143">
            <w:pPr>
              <w:rPr>
                <w:rFonts w:cstheme="minorHAnsi"/>
                <w:sz w:val="20"/>
                <w:szCs w:val="20"/>
              </w:rPr>
            </w:pPr>
          </w:p>
          <w:p w14:paraId="2D85C6EC" w14:textId="77777777" w:rsidR="0056595B" w:rsidRPr="00734942" w:rsidRDefault="0056595B" w:rsidP="00067143">
            <w:pPr>
              <w:rPr>
                <w:rFonts w:cstheme="minorHAnsi"/>
                <w:sz w:val="20"/>
                <w:szCs w:val="20"/>
              </w:rPr>
            </w:pPr>
          </w:p>
          <w:p w14:paraId="002D08A8" w14:textId="77777777" w:rsidR="0056595B" w:rsidRPr="00734942" w:rsidRDefault="0056595B" w:rsidP="00067143">
            <w:pPr>
              <w:rPr>
                <w:rFonts w:cstheme="minorHAnsi"/>
                <w:sz w:val="20"/>
                <w:szCs w:val="20"/>
              </w:rPr>
            </w:pPr>
            <w:r w:rsidRPr="00734942">
              <w:rPr>
                <w:rFonts w:cstheme="minorHAnsi"/>
                <w:sz w:val="20"/>
                <w:szCs w:val="20"/>
              </w:rPr>
              <w:t>4</w:t>
            </w:r>
          </w:p>
        </w:tc>
        <w:tc>
          <w:tcPr>
            <w:tcW w:w="1207" w:type="dxa"/>
            <w:tcBorders>
              <w:top w:val="single" w:sz="4" w:space="0" w:color="auto"/>
              <w:bottom w:val="single" w:sz="4" w:space="0" w:color="auto"/>
            </w:tcBorders>
          </w:tcPr>
          <w:p w14:paraId="5AB1BBFE" w14:textId="77777777" w:rsidR="0056595B" w:rsidRPr="00734942" w:rsidRDefault="0056595B" w:rsidP="00067143">
            <w:pPr>
              <w:rPr>
                <w:rFonts w:cstheme="minorHAnsi"/>
                <w:sz w:val="20"/>
                <w:szCs w:val="20"/>
              </w:rPr>
            </w:pPr>
          </w:p>
          <w:p w14:paraId="6F85EA7F" w14:textId="77777777" w:rsidR="0056595B" w:rsidRPr="00734942" w:rsidRDefault="0056595B" w:rsidP="00067143">
            <w:pPr>
              <w:rPr>
                <w:rFonts w:cstheme="minorHAnsi"/>
                <w:sz w:val="20"/>
                <w:szCs w:val="20"/>
              </w:rPr>
            </w:pPr>
            <w:r w:rsidRPr="00734942">
              <w:rPr>
                <w:rFonts w:cstheme="minorHAnsi"/>
                <w:sz w:val="20"/>
                <w:szCs w:val="20"/>
              </w:rPr>
              <w:t>6575 (881)</w:t>
            </w:r>
          </w:p>
          <w:p w14:paraId="7F81EF96" w14:textId="77777777" w:rsidR="0056595B" w:rsidRPr="00734942" w:rsidRDefault="0056595B" w:rsidP="00067143">
            <w:pPr>
              <w:rPr>
                <w:rFonts w:cstheme="minorHAnsi"/>
                <w:sz w:val="20"/>
                <w:szCs w:val="20"/>
              </w:rPr>
            </w:pPr>
          </w:p>
          <w:p w14:paraId="36D14B99" w14:textId="77777777" w:rsidR="0056595B" w:rsidRPr="00734942" w:rsidRDefault="0056595B" w:rsidP="00067143">
            <w:pPr>
              <w:rPr>
                <w:rFonts w:cstheme="minorHAnsi"/>
                <w:sz w:val="20"/>
                <w:szCs w:val="20"/>
              </w:rPr>
            </w:pPr>
          </w:p>
          <w:p w14:paraId="164DFB09" w14:textId="77777777" w:rsidR="0056595B" w:rsidRPr="00734942" w:rsidRDefault="0056595B" w:rsidP="00067143">
            <w:pPr>
              <w:rPr>
                <w:rFonts w:cstheme="minorHAnsi"/>
                <w:sz w:val="20"/>
                <w:szCs w:val="20"/>
              </w:rPr>
            </w:pPr>
          </w:p>
          <w:p w14:paraId="48A44290" w14:textId="77777777" w:rsidR="0056595B" w:rsidRPr="00734942" w:rsidRDefault="0056595B" w:rsidP="00067143">
            <w:pPr>
              <w:rPr>
                <w:rFonts w:cstheme="minorHAnsi"/>
                <w:sz w:val="20"/>
                <w:szCs w:val="20"/>
              </w:rPr>
            </w:pPr>
            <w:r w:rsidRPr="00734942">
              <w:rPr>
                <w:rFonts w:cstheme="minorHAnsi"/>
                <w:sz w:val="20"/>
                <w:szCs w:val="20"/>
              </w:rPr>
              <w:t>885 (154)</w:t>
            </w:r>
          </w:p>
          <w:p w14:paraId="609A744A" w14:textId="77777777" w:rsidR="0056595B" w:rsidRPr="00734942" w:rsidRDefault="0056595B" w:rsidP="00067143">
            <w:pPr>
              <w:rPr>
                <w:rFonts w:cstheme="minorHAnsi"/>
                <w:sz w:val="20"/>
                <w:szCs w:val="20"/>
              </w:rPr>
            </w:pPr>
          </w:p>
          <w:p w14:paraId="206C1CE4" w14:textId="77777777" w:rsidR="0056595B" w:rsidRPr="00734942" w:rsidRDefault="0056595B" w:rsidP="00067143">
            <w:pPr>
              <w:rPr>
                <w:rFonts w:cstheme="minorHAnsi"/>
                <w:sz w:val="20"/>
                <w:szCs w:val="20"/>
              </w:rPr>
            </w:pPr>
          </w:p>
          <w:p w14:paraId="6E9D20C8" w14:textId="77777777" w:rsidR="0056595B" w:rsidRPr="00734942" w:rsidRDefault="0056595B" w:rsidP="00067143">
            <w:pPr>
              <w:rPr>
                <w:rFonts w:cstheme="minorHAnsi"/>
                <w:sz w:val="20"/>
                <w:szCs w:val="20"/>
              </w:rPr>
            </w:pPr>
          </w:p>
          <w:p w14:paraId="1CFF7D36" w14:textId="77777777" w:rsidR="0056595B" w:rsidRPr="00734942" w:rsidRDefault="0056595B" w:rsidP="00067143">
            <w:pPr>
              <w:rPr>
                <w:rFonts w:cstheme="minorHAnsi"/>
                <w:sz w:val="20"/>
                <w:szCs w:val="20"/>
              </w:rPr>
            </w:pPr>
            <w:r w:rsidRPr="00734942">
              <w:rPr>
                <w:rFonts w:cstheme="minorHAnsi"/>
                <w:sz w:val="20"/>
                <w:szCs w:val="20"/>
              </w:rPr>
              <w:t>1046 (217)</w:t>
            </w:r>
          </w:p>
          <w:p w14:paraId="10735178" w14:textId="77777777" w:rsidR="0056595B" w:rsidRPr="00734942" w:rsidRDefault="0056595B" w:rsidP="00067143">
            <w:pPr>
              <w:rPr>
                <w:rFonts w:cstheme="minorHAnsi"/>
                <w:sz w:val="20"/>
                <w:szCs w:val="20"/>
              </w:rPr>
            </w:pPr>
          </w:p>
          <w:p w14:paraId="33091BB2" w14:textId="77777777" w:rsidR="0056595B" w:rsidRPr="00734942" w:rsidRDefault="0056595B" w:rsidP="00067143">
            <w:pPr>
              <w:rPr>
                <w:rFonts w:cstheme="minorHAnsi"/>
                <w:sz w:val="20"/>
                <w:szCs w:val="20"/>
              </w:rPr>
            </w:pPr>
          </w:p>
          <w:p w14:paraId="7F7850DB" w14:textId="77777777" w:rsidR="0056595B" w:rsidRPr="00734942" w:rsidRDefault="0056595B" w:rsidP="00067143">
            <w:pPr>
              <w:rPr>
                <w:rFonts w:cstheme="minorHAnsi"/>
                <w:sz w:val="20"/>
                <w:szCs w:val="20"/>
              </w:rPr>
            </w:pPr>
          </w:p>
          <w:p w14:paraId="45C2CF8E" w14:textId="77777777" w:rsidR="0056595B" w:rsidRPr="00734942" w:rsidRDefault="0056595B" w:rsidP="00067143">
            <w:pPr>
              <w:rPr>
                <w:rFonts w:cstheme="minorHAnsi"/>
                <w:sz w:val="20"/>
                <w:szCs w:val="20"/>
              </w:rPr>
            </w:pPr>
            <w:r w:rsidRPr="00734942">
              <w:rPr>
                <w:rFonts w:cstheme="minorHAnsi"/>
                <w:sz w:val="20"/>
                <w:szCs w:val="20"/>
              </w:rPr>
              <w:t>1161 (280)</w:t>
            </w:r>
          </w:p>
        </w:tc>
        <w:tc>
          <w:tcPr>
            <w:tcW w:w="1370" w:type="dxa"/>
            <w:tcBorders>
              <w:top w:val="single" w:sz="4" w:space="0" w:color="auto"/>
              <w:bottom w:val="single" w:sz="4" w:space="0" w:color="auto"/>
            </w:tcBorders>
          </w:tcPr>
          <w:p w14:paraId="5DA146F0" w14:textId="77777777" w:rsidR="0056595B" w:rsidRPr="0051553F" w:rsidRDefault="0056595B" w:rsidP="00067143">
            <w:pPr>
              <w:rPr>
                <w:rFonts w:cstheme="minorHAnsi"/>
                <w:sz w:val="20"/>
                <w:szCs w:val="20"/>
                <w:lang w:val="nl-NL"/>
              </w:rPr>
            </w:pPr>
          </w:p>
          <w:p w14:paraId="0F2B428D" w14:textId="77777777" w:rsidR="0056595B" w:rsidRPr="0051553F" w:rsidRDefault="0056595B" w:rsidP="00067143">
            <w:pPr>
              <w:rPr>
                <w:rFonts w:cstheme="minorHAnsi"/>
                <w:sz w:val="20"/>
                <w:szCs w:val="20"/>
                <w:lang w:val="nl-NL"/>
              </w:rPr>
            </w:pPr>
          </w:p>
          <w:p w14:paraId="09A4DB24" w14:textId="77777777" w:rsidR="0056595B" w:rsidRPr="0051553F" w:rsidRDefault="0056595B" w:rsidP="00067143">
            <w:pPr>
              <w:rPr>
                <w:rFonts w:cstheme="minorHAnsi"/>
                <w:sz w:val="20"/>
                <w:szCs w:val="20"/>
                <w:lang w:val="nl-NL"/>
              </w:rPr>
            </w:pPr>
            <w:r w:rsidRPr="0051553F">
              <w:rPr>
                <w:rFonts w:cstheme="minorHAnsi"/>
                <w:sz w:val="20"/>
                <w:szCs w:val="20"/>
                <w:lang w:val="nl-NL"/>
              </w:rPr>
              <w:t>5 – 25 U/mL</w:t>
            </w:r>
          </w:p>
          <w:p w14:paraId="1477A53C" w14:textId="77777777" w:rsidR="0056595B" w:rsidRPr="0051553F" w:rsidRDefault="0056595B" w:rsidP="00067143">
            <w:pPr>
              <w:rPr>
                <w:rFonts w:cstheme="minorHAnsi"/>
                <w:sz w:val="20"/>
                <w:szCs w:val="20"/>
                <w:lang w:val="nl-NL"/>
              </w:rPr>
            </w:pPr>
            <w:r w:rsidRPr="0051553F">
              <w:rPr>
                <w:rFonts w:cstheme="minorHAnsi"/>
                <w:sz w:val="20"/>
                <w:szCs w:val="20"/>
                <w:lang w:val="nl-NL"/>
              </w:rPr>
              <w:t>1:5</w:t>
            </w:r>
          </w:p>
          <w:p w14:paraId="4D0AA844" w14:textId="77777777" w:rsidR="0056595B" w:rsidRPr="0051553F" w:rsidRDefault="0056595B" w:rsidP="00067143">
            <w:pPr>
              <w:rPr>
                <w:rFonts w:cstheme="minorHAnsi"/>
                <w:sz w:val="20"/>
                <w:szCs w:val="20"/>
                <w:lang w:val="nl-NL"/>
              </w:rPr>
            </w:pPr>
          </w:p>
          <w:p w14:paraId="2CE61EC2" w14:textId="77777777" w:rsidR="0056595B" w:rsidRPr="0051553F" w:rsidRDefault="0056595B" w:rsidP="00067143">
            <w:pPr>
              <w:rPr>
                <w:rFonts w:cstheme="minorHAnsi"/>
                <w:sz w:val="20"/>
                <w:szCs w:val="20"/>
                <w:lang w:val="nl-NL"/>
              </w:rPr>
            </w:pPr>
          </w:p>
          <w:p w14:paraId="1336BB17" w14:textId="77777777" w:rsidR="0056595B" w:rsidRPr="0051553F" w:rsidRDefault="0056595B" w:rsidP="00067143">
            <w:pPr>
              <w:rPr>
                <w:rFonts w:cstheme="minorHAnsi"/>
                <w:sz w:val="20"/>
                <w:szCs w:val="20"/>
                <w:lang w:val="nl-NL"/>
              </w:rPr>
            </w:pPr>
            <w:r w:rsidRPr="0051553F">
              <w:rPr>
                <w:rFonts w:cstheme="minorHAnsi"/>
                <w:sz w:val="20"/>
                <w:szCs w:val="20"/>
                <w:lang w:val="nl-NL"/>
              </w:rPr>
              <w:t>10 – 20 U/mL</w:t>
            </w:r>
          </w:p>
          <w:p w14:paraId="35B42731" w14:textId="77777777" w:rsidR="0056595B" w:rsidRPr="0051553F" w:rsidRDefault="0056595B" w:rsidP="00067143">
            <w:pPr>
              <w:rPr>
                <w:rFonts w:cstheme="minorHAnsi"/>
                <w:sz w:val="20"/>
                <w:szCs w:val="20"/>
                <w:lang w:val="nl-NL"/>
              </w:rPr>
            </w:pPr>
            <w:r w:rsidRPr="0051553F">
              <w:rPr>
                <w:rFonts w:cstheme="minorHAnsi"/>
                <w:sz w:val="20"/>
                <w:szCs w:val="20"/>
                <w:lang w:val="nl-NL"/>
              </w:rPr>
              <w:t>10 – 20 U/mL</w:t>
            </w:r>
          </w:p>
          <w:p w14:paraId="5B50415D" w14:textId="77777777" w:rsidR="0056595B" w:rsidRPr="0051553F" w:rsidRDefault="0056595B" w:rsidP="00067143">
            <w:pPr>
              <w:rPr>
                <w:rFonts w:cstheme="minorHAnsi"/>
                <w:sz w:val="20"/>
                <w:szCs w:val="20"/>
                <w:lang w:val="nl-NL"/>
              </w:rPr>
            </w:pPr>
          </w:p>
          <w:p w14:paraId="30E88053" w14:textId="77777777" w:rsidR="0056595B" w:rsidRPr="0051553F" w:rsidRDefault="0056595B" w:rsidP="00067143">
            <w:pPr>
              <w:rPr>
                <w:rFonts w:cstheme="minorHAnsi"/>
                <w:sz w:val="20"/>
                <w:szCs w:val="20"/>
                <w:lang w:val="nl-NL"/>
              </w:rPr>
            </w:pPr>
          </w:p>
          <w:p w14:paraId="628FCD70" w14:textId="77777777" w:rsidR="0056595B" w:rsidRPr="0051553F" w:rsidRDefault="0056595B" w:rsidP="00067143">
            <w:pPr>
              <w:rPr>
                <w:rFonts w:cstheme="minorHAnsi"/>
                <w:sz w:val="20"/>
                <w:szCs w:val="20"/>
                <w:lang w:val="nl-NL"/>
              </w:rPr>
            </w:pPr>
            <w:r w:rsidRPr="0051553F">
              <w:rPr>
                <w:rFonts w:cstheme="minorHAnsi"/>
                <w:sz w:val="20"/>
                <w:szCs w:val="20"/>
                <w:lang w:val="nl-NL"/>
              </w:rPr>
              <w:t>10 – 20 U/mL</w:t>
            </w:r>
          </w:p>
          <w:p w14:paraId="41C920FF" w14:textId="77777777" w:rsidR="0056595B" w:rsidRPr="00734942" w:rsidRDefault="0056595B" w:rsidP="00067143">
            <w:pPr>
              <w:rPr>
                <w:rFonts w:cstheme="minorHAnsi"/>
                <w:sz w:val="20"/>
                <w:szCs w:val="20"/>
              </w:rPr>
            </w:pPr>
            <w:r w:rsidRPr="00734942">
              <w:rPr>
                <w:rFonts w:cstheme="minorHAnsi"/>
                <w:sz w:val="20"/>
                <w:szCs w:val="20"/>
              </w:rPr>
              <w:t>10 – 20 U/mL</w:t>
            </w:r>
          </w:p>
          <w:p w14:paraId="5C03B246" w14:textId="77777777" w:rsidR="0056595B" w:rsidRPr="00734942" w:rsidRDefault="0056595B" w:rsidP="00067143">
            <w:pPr>
              <w:rPr>
                <w:rFonts w:cstheme="minorHAnsi"/>
                <w:sz w:val="20"/>
                <w:szCs w:val="20"/>
              </w:rPr>
            </w:pPr>
          </w:p>
          <w:p w14:paraId="14DB06E4" w14:textId="77777777" w:rsidR="0056595B" w:rsidRPr="00734942" w:rsidRDefault="0056595B" w:rsidP="00067143">
            <w:pPr>
              <w:rPr>
                <w:rFonts w:cstheme="minorHAnsi"/>
                <w:sz w:val="20"/>
                <w:szCs w:val="20"/>
              </w:rPr>
            </w:pPr>
          </w:p>
          <w:p w14:paraId="31A41C0A" w14:textId="77777777" w:rsidR="0056595B" w:rsidRPr="00734942" w:rsidRDefault="0056595B" w:rsidP="00067143">
            <w:pPr>
              <w:rPr>
                <w:rFonts w:cstheme="minorHAnsi"/>
                <w:sz w:val="20"/>
                <w:szCs w:val="20"/>
              </w:rPr>
            </w:pPr>
            <w:r w:rsidRPr="00734942">
              <w:rPr>
                <w:rFonts w:cstheme="minorHAnsi"/>
                <w:sz w:val="20"/>
                <w:szCs w:val="20"/>
              </w:rPr>
              <w:t>5 – 20 U/mL</w:t>
            </w:r>
          </w:p>
          <w:p w14:paraId="7FD482D9" w14:textId="77777777" w:rsidR="0056595B" w:rsidRPr="00734942" w:rsidRDefault="0056595B" w:rsidP="00067143">
            <w:pPr>
              <w:rPr>
                <w:rFonts w:cstheme="minorHAnsi"/>
                <w:sz w:val="20"/>
                <w:szCs w:val="20"/>
              </w:rPr>
            </w:pPr>
            <w:r w:rsidRPr="00734942">
              <w:rPr>
                <w:rFonts w:cstheme="minorHAnsi"/>
                <w:sz w:val="20"/>
                <w:szCs w:val="20"/>
              </w:rPr>
              <w:t>20 U/mL</w:t>
            </w:r>
          </w:p>
        </w:tc>
        <w:tc>
          <w:tcPr>
            <w:tcW w:w="1125" w:type="dxa"/>
            <w:tcBorders>
              <w:top w:val="single" w:sz="4" w:space="0" w:color="auto"/>
              <w:bottom w:val="single" w:sz="4" w:space="0" w:color="auto"/>
            </w:tcBorders>
          </w:tcPr>
          <w:p w14:paraId="16ACA928" w14:textId="77777777" w:rsidR="0056595B" w:rsidRPr="00734942" w:rsidRDefault="0056595B" w:rsidP="00067143">
            <w:pPr>
              <w:rPr>
                <w:rFonts w:cstheme="minorHAnsi"/>
                <w:sz w:val="20"/>
                <w:szCs w:val="20"/>
              </w:rPr>
            </w:pPr>
          </w:p>
          <w:p w14:paraId="78E233C7" w14:textId="77777777" w:rsidR="0056595B" w:rsidRPr="00734942" w:rsidRDefault="0056595B" w:rsidP="00067143">
            <w:pPr>
              <w:rPr>
                <w:rFonts w:cstheme="minorHAnsi"/>
                <w:sz w:val="20"/>
                <w:szCs w:val="20"/>
              </w:rPr>
            </w:pPr>
          </w:p>
          <w:p w14:paraId="18E947BD" w14:textId="77777777" w:rsidR="0056595B" w:rsidRPr="00734942" w:rsidRDefault="0056595B" w:rsidP="00067143">
            <w:pPr>
              <w:rPr>
                <w:rFonts w:cstheme="minorHAnsi"/>
                <w:sz w:val="20"/>
                <w:szCs w:val="20"/>
              </w:rPr>
            </w:pPr>
            <w:r w:rsidRPr="00734942">
              <w:rPr>
                <w:rFonts w:cstheme="minorHAnsi"/>
                <w:sz w:val="20"/>
                <w:szCs w:val="20"/>
              </w:rPr>
              <w:t>64 – 100</w:t>
            </w:r>
          </w:p>
          <w:p w14:paraId="4871ED9C" w14:textId="77777777" w:rsidR="0056595B" w:rsidRPr="00734942" w:rsidRDefault="0056595B" w:rsidP="00067143">
            <w:pPr>
              <w:rPr>
                <w:rFonts w:cstheme="minorHAnsi"/>
                <w:sz w:val="20"/>
                <w:szCs w:val="20"/>
              </w:rPr>
            </w:pPr>
            <w:r w:rsidRPr="00734942">
              <w:rPr>
                <w:rFonts w:cstheme="minorHAnsi"/>
                <w:sz w:val="20"/>
                <w:szCs w:val="20"/>
              </w:rPr>
              <w:t>61 – 100</w:t>
            </w:r>
          </w:p>
          <w:p w14:paraId="55B54C3E" w14:textId="77777777" w:rsidR="0056595B" w:rsidRPr="00734942" w:rsidRDefault="0056595B" w:rsidP="00067143">
            <w:pPr>
              <w:rPr>
                <w:rFonts w:cstheme="minorHAnsi"/>
                <w:i/>
                <w:sz w:val="20"/>
                <w:szCs w:val="20"/>
              </w:rPr>
            </w:pPr>
          </w:p>
          <w:p w14:paraId="273AC6CF" w14:textId="77777777" w:rsidR="0056595B" w:rsidRPr="00734942" w:rsidRDefault="0056595B" w:rsidP="00067143">
            <w:pPr>
              <w:rPr>
                <w:rFonts w:cstheme="minorHAnsi"/>
                <w:sz w:val="20"/>
                <w:szCs w:val="20"/>
              </w:rPr>
            </w:pPr>
          </w:p>
          <w:p w14:paraId="14E9B657" w14:textId="77777777" w:rsidR="0056595B" w:rsidRPr="00734942" w:rsidRDefault="0056595B" w:rsidP="00067143">
            <w:pPr>
              <w:rPr>
                <w:rFonts w:cstheme="minorHAnsi"/>
                <w:sz w:val="20"/>
                <w:szCs w:val="20"/>
              </w:rPr>
            </w:pPr>
            <w:r w:rsidRPr="00734942">
              <w:rPr>
                <w:rFonts w:cstheme="minorHAnsi"/>
                <w:sz w:val="20"/>
                <w:szCs w:val="20"/>
              </w:rPr>
              <w:t>64 – 95</w:t>
            </w:r>
          </w:p>
          <w:p w14:paraId="6504D17D" w14:textId="77777777" w:rsidR="0056595B" w:rsidRPr="00734942" w:rsidRDefault="0056595B" w:rsidP="00067143">
            <w:pPr>
              <w:rPr>
                <w:rFonts w:cstheme="minorHAnsi"/>
                <w:sz w:val="20"/>
                <w:szCs w:val="20"/>
              </w:rPr>
            </w:pPr>
            <w:r w:rsidRPr="00734942">
              <w:rPr>
                <w:rFonts w:cstheme="minorHAnsi"/>
                <w:sz w:val="20"/>
                <w:szCs w:val="20"/>
              </w:rPr>
              <w:t>86 – 98</w:t>
            </w:r>
          </w:p>
          <w:p w14:paraId="04E596DC" w14:textId="77777777" w:rsidR="0056595B" w:rsidRPr="00734942" w:rsidRDefault="0056595B" w:rsidP="00067143">
            <w:pPr>
              <w:rPr>
                <w:rFonts w:cstheme="minorHAnsi"/>
                <w:sz w:val="20"/>
                <w:szCs w:val="20"/>
              </w:rPr>
            </w:pPr>
          </w:p>
          <w:p w14:paraId="76D91F5B" w14:textId="77777777" w:rsidR="0056595B" w:rsidRPr="00734942" w:rsidRDefault="0056595B" w:rsidP="00067143">
            <w:pPr>
              <w:rPr>
                <w:rFonts w:cstheme="minorHAnsi"/>
                <w:sz w:val="20"/>
                <w:szCs w:val="20"/>
              </w:rPr>
            </w:pPr>
          </w:p>
          <w:p w14:paraId="0294D10F" w14:textId="77777777" w:rsidR="0056595B" w:rsidRPr="00734942" w:rsidRDefault="0056595B" w:rsidP="00067143">
            <w:pPr>
              <w:rPr>
                <w:rFonts w:cstheme="minorHAnsi"/>
                <w:sz w:val="20"/>
                <w:szCs w:val="20"/>
              </w:rPr>
            </w:pPr>
            <w:r w:rsidRPr="00734942">
              <w:rPr>
                <w:rFonts w:cstheme="minorHAnsi"/>
                <w:sz w:val="20"/>
                <w:szCs w:val="20"/>
              </w:rPr>
              <w:t>64 – 95</w:t>
            </w:r>
          </w:p>
          <w:p w14:paraId="2224EE9D" w14:textId="77777777" w:rsidR="0056595B" w:rsidRPr="00734942" w:rsidRDefault="0056595B" w:rsidP="00067143">
            <w:pPr>
              <w:rPr>
                <w:rFonts w:cstheme="minorHAnsi"/>
                <w:sz w:val="20"/>
                <w:szCs w:val="20"/>
              </w:rPr>
            </w:pPr>
            <w:r w:rsidRPr="00734942">
              <w:rPr>
                <w:rFonts w:cstheme="minorHAnsi"/>
                <w:sz w:val="20"/>
                <w:szCs w:val="20"/>
              </w:rPr>
              <w:t>90 – 96</w:t>
            </w:r>
          </w:p>
          <w:p w14:paraId="7DE2BF6C" w14:textId="77777777" w:rsidR="0056595B" w:rsidRPr="00734942" w:rsidRDefault="0056595B" w:rsidP="00067143">
            <w:pPr>
              <w:rPr>
                <w:rFonts w:cstheme="minorHAnsi"/>
                <w:sz w:val="20"/>
                <w:szCs w:val="20"/>
              </w:rPr>
            </w:pPr>
          </w:p>
          <w:p w14:paraId="7ED68086" w14:textId="77777777" w:rsidR="0056595B" w:rsidRPr="00734942" w:rsidRDefault="0056595B" w:rsidP="00067143">
            <w:pPr>
              <w:rPr>
                <w:rFonts w:cstheme="minorHAnsi"/>
                <w:sz w:val="20"/>
                <w:szCs w:val="20"/>
              </w:rPr>
            </w:pPr>
          </w:p>
          <w:p w14:paraId="060DA346" w14:textId="77777777" w:rsidR="0056595B" w:rsidRPr="00734942" w:rsidRDefault="0056595B" w:rsidP="00067143">
            <w:pPr>
              <w:rPr>
                <w:rFonts w:cstheme="minorHAnsi"/>
                <w:sz w:val="20"/>
                <w:szCs w:val="20"/>
              </w:rPr>
            </w:pPr>
            <w:r w:rsidRPr="00734942">
              <w:rPr>
                <w:rFonts w:cstheme="minorHAnsi"/>
                <w:sz w:val="20"/>
                <w:szCs w:val="20"/>
              </w:rPr>
              <w:t>76 – 95</w:t>
            </w:r>
          </w:p>
          <w:p w14:paraId="543D5B04" w14:textId="77777777" w:rsidR="0056595B" w:rsidRPr="00734942" w:rsidRDefault="0056595B" w:rsidP="00067143">
            <w:pPr>
              <w:rPr>
                <w:rFonts w:cstheme="minorHAnsi"/>
                <w:sz w:val="20"/>
                <w:szCs w:val="20"/>
              </w:rPr>
            </w:pPr>
            <w:r w:rsidRPr="00734942">
              <w:rPr>
                <w:rFonts w:cstheme="minorHAnsi"/>
                <w:sz w:val="20"/>
                <w:szCs w:val="20"/>
              </w:rPr>
              <w:t>86 – 98</w:t>
            </w:r>
          </w:p>
        </w:tc>
        <w:tc>
          <w:tcPr>
            <w:tcW w:w="1124" w:type="dxa"/>
            <w:tcBorders>
              <w:top w:val="single" w:sz="4" w:space="0" w:color="auto"/>
              <w:bottom w:val="single" w:sz="4" w:space="0" w:color="auto"/>
            </w:tcBorders>
          </w:tcPr>
          <w:p w14:paraId="50D99732" w14:textId="77777777" w:rsidR="0056595B" w:rsidRPr="00734942" w:rsidRDefault="0056595B" w:rsidP="00067143">
            <w:pPr>
              <w:rPr>
                <w:rFonts w:cstheme="minorHAnsi"/>
                <w:sz w:val="20"/>
                <w:szCs w:val="20"/>
              </w:rPr>
            </w:pPr>
          </w:p>
          <w:p w14:paraId="468A44D6" w14:textId="77777777" w:rsidR="0056595B" w:rsidRPr="00734942" w:rsidRDefault="0056595B" w:rsidP="00067143">
            <w:pPr>
              <w:rPr>
                <w:rFonts w:cstheme="minorHAnsi"/>
                <w:sz w:val="20"/>
                <w:szCs w:val="20"/>
              </w:rPr>
            </w:pPr>
          </w:p>
          <w:p w14:paraId="417FA041" w14:textId="77777777" w:rsidR="0056595B" w:rsidRPr="00734942" w:rsidRDefault="0056595B" w:rsidP="00067143">
            <w:pPr>
              <w:rPr>
                <w:rFonts w:cstheme="minorHAnsi"/>
                <w:sz w:val="20"/>
                <w:szCs w:val="20"/>
              </w:rPr>
            </w:pPr>
          </w:p>
          <w:p w14:paraId="5833C7A3" w14:textId="77777777" w:rsidR="0056595B" w:rsidRPr="00734942" w:rsidRDefault="0056595B" w:rsidP="00067143">
            <w:pPr>
              <w:rPr>
                <w:rFonts w:cstheme="minorHAnsi"/>
                <w:sz w:val="20"/>
                <w:szCs w:val="20"/>
              </w:rPr>
            </w:pPr>
            <w:r w:rsidRPr="00734942">
              <w:rPr>
                <w:rFonts w:cstheme="minorHAnsi"/>
                <w:sz w:val="20"/>
                <w:szCs w:val="20"/>
              </w:rPr>
              <w:t>0.81 – 1.22</w:t>
            </w:r>
          </w:p>
          <w:p w14:paraId="557E92E1" w14:textId="77777777" w:rsidR="0056595B" w:rsidRPr="00734942" w:rsidRDefault="0056595B" w:rsidP="00067143">
            <w:pPr>
              <w:rPr>
                <w:rFonts w:cstheme="minorHAnsi"/>
                <w:sz w:val="20"/>
                <w:szCs w:val="20"/>
              </w:rPr>
            </w:pPr>
          </w:p>
          <w:p w14:paraId="73D59355" w14:textId="77777777" w:rsidR="0056595B" w:rsidRPr="00734942" w:rsidRDefault="0056595B" w:rsidP="00067143">
            <w:pPr>
              <w:rPr>
                <w:rFonts w:cstheme="minorHAnsi"/>
                <w:sz w:val="20"/>
                <w:szCs w:val="20"/>
              </w:rPr>
            </w:pPr>
          </w:p>
          <w:p w14:paraId="63821CA9" w14:textId="77777777" w:rsidR="0056595B" w:rsidRPr="00734942" w:rsidRDefault="0056595B" w:rsidP="00067143">
            <w:pPr>
              <w:rPr>
                <w:rFonts w:cstheme="minorHAnsi"/>
                <w:sz w:val="20"/>
                <w:szCs w:val="20"/>
              </w:rPr>
            </w:pPr>
          </w:p>
          <w:p w14:paraId="1192781B" w14:textId="77777777" w:rsidR="0056595B" w:rsidRPr="00734942" w:rsidRDefault="0056595B" w:rsidP="00067143">
            <w:pPr>
              <w:rPr>
                <w:rFonts w:cstheme="minorHAnsi"/>
                <w:sz w:val="20"/>
                <w:szCs w:val="20"/>
              </w:rPr>
            </w:pPr>
            <w:r w:rsidRPr="00734942">
              <w:rPr>
                <w:rFonts w:cstheme="minorHAnsi"/>
                <w:sz w:val="20"/>
                <w:szCs w:val="20"/>
              </w:rPr>
              <w:t>1.04 – 1.33</w:t>
            </w:r>
          </w:p>
          <w:p w14:paraId="3B166F30" w14:textId="77777777" w:rsidR="0056595B" w:rsidRPr="00734942" w:rsidRDefault="0056595B" w:rsidP="00067143">
            <w:pPr>
              <w:rPr>
                <w:rFonts w:cstheme="minorHAnsi"/>
                <w:sz w:val="20"/>
                <w:szCs w:val="20"/>
              </w:rPr>
            </w:pPr>
          </w:p>
          <w:p w14:paraId="66B453EF" w14:textId="77777777" w:rsidR="0056595B" w:rsidRPr="00734942" w:rsidRDefault="0056595B" w:rsidP="00067143">
            <w:pPr>
              <w:rPr>
                <w:rFonts w:cstheme="minorHAnsi"/>
                <w:sz w:val="20"/>
                <w:szCs w:val="20"/>
              </w:rPr>
            </w:pPr>
          </w:p>
          <w:p w14:paraId="2F04ED50" w14:textId="77777777" w:rsidR="0056595B" w:rsidRPr="00734942" w:rsidRDefault="0056595B" w:rsidP="00067143">
            <w:pPr>
              <w:rPr>
                <w:rFonts w:cstheme="minorHAnsi"/>
                <w:sz w:val="20"/>
                <w:szCs w:val="20"/>
              </w:rPr>
            </w:pPr>
          </w:p>
          <w:p w14:paraId="6B10E8B5" w14:textId="77777777" w:rsidR="0056595B" w:rsidRPr="00734942" w:rsidRDefault="0056595B" w:rsidP="00067143">
            <w:pPr>
              <w:rPr>
                <w:rFonts w:cstheme="minorHAnsi"/>
                <w:sz w:val="20"/>
                <w:szCs w:val="20"/>
              </w:rPr>
            </w:pPr>
            <w:r w:rsidRPr="00734942">
              <w:rPr>
                <w:rFonts w:cstheme="minorHAnsi"/>
                <w:sz w:val="20"/>
                <w:szCs w:val="20"/>
              </w:rPr>
              <w:t>0.99 – 1.44</w:t>
            </w:r>
          </w:p>
          <w:p w14:paraId="02BC4F02" w14:textId="77777777" w:rsidR="0056595B" w:rsidRPr="00734942" w:rsidRDefault="0056595B" w:rsidP="00067143">
            <w:pPr>
              <w:rPr>
                <w:rFonts w:cstheme="minorHAnsi"/>
                <w:sz w:val="20"/>
                <w:szCs w:val="20"/>
              </w:rPr>
            </w:pPr>
          </w:p>
          <w:p w14:paraId="0D2FBEE5" w14:textId="77777777" w:rsidR="0056595B" w:rsidRPr="00734942" w:rsidRDefault="0056595B" w:rsidP="00067143">
            <w:pPr>
              <w:rPr>
                <w:rFonts w:cstheme="minorHAnsi"/>
                <w:sz w:val="20"/>
                <w:szCs w:val="20"/>
              </w:rPr>
            </w:pPr>
          </w:p>
          <w:p w14:paraId="7BBB0F63" w14:textId="77777777" w:rsidR="0056595B" w:rsidRPr="00734942" w:rsidRDefault="0056595B" w:rsidP="00067143">
            <w:pPr>
              <w:rPr>
                <w:rFonts w:cstheme="minorHAnsi"/>
                <w:sz w:val="20"/>
                <w:szCs w:val="20"/>
              </w:rPr>
            </w:pPr>
          </w:p>
          <w:p w14:paraId="524A42A3" w14:textId="77777777" w:rsidR="0056595B" w:rsidRPr="00734942" w:rsidRDefault="0056595B" w:rsidP="00067143">
            <w:pPr>
              <w:rPr>
                <w:rFonts w:cstheme="minorHAnsi"/>
                <w:sz w:val="20"/>
                <w:szCs w:val="20"/>
              </w:rPr>
            </w:pPr>
            <w:r w:rsidRPr="00734942">
              <w:rPr>
                <w:rFonts w:cstheme="minorHAnsi"/>
                <w:sz w:val="20"/>
                <w:szCs w:val="20"/>
              </w:rPr>
              <w:t>1.01 – 1.14</w:t>
            </w:r>
          </w:p>
        </w:tc>
        <w:tc>
          <w:tcPr>
            <w:tcW w:w="1061" w:type="dxa"/>
            <w:tcBorders>
              <w:top w:val="single" w:sz="4" w:space="0" w:color="auto"/>
              <w:bottom w:val="single" w:sz="4" w:space="0" w:color="auto"/>
            </w:tcBorders>
          </w:tcPr>
          <w:p w14:paraId="05EB57B0" w14:textId="77777777" w:rsidR="0056595B" w:rsidRPr="00734942" w:rsidRDefault="0056595B" w:rsidP="00067143">
            <w:pPr>
              <w:rPr>
                <w:rFonts w:cstheme="minorHAnsi"/>
                <w:sz w:val="20"/>
                <w:szCs w:val="20"/>
              </w:rPr>
            </w:pPr>
          </w:p>
          <w:p w14:paraId="308FA0B4" w14:textId="77777777" w:rsidR="0056595B" w:rsidRPr="00734942" w:rsidRDefault="0056595B" w:rsidP="00067143">
            <w:pPr>
              <w:rPr>
                <w:rFonts w:cstheme="minorHAnsi"/>
                <w:sz w:val="20"/>
                <w:szCs w:val="20"/>
              </w:rPr>
            </w:pPr>
          </w:p>
          <w:p w14:paraId="1114E1D9" w14:textId="77777777" w:rsidR="0056595B" w:rsidRPr="00734942" w:rsidRDefault="0056595B" w:rsidP="00067143">
            <w:pPr>
              <w:rPr>
                <w:rFonts w:cstheme="minorHAnsi"/>
                <w:sz w:val="20"/>
                <w:szCs w:val="20"/>
              </w:rPr>
            </w:pPr>
            <w:r w:rsidRPr="00734942">
              <w:rPr>
                <w:rFonts w:cstheme="minorHAnsi"/>
                <w:sz w:val="20"/>
                <w:szCs w:val="20"/>
              </w:rPr>
              <w:t>81 – 99</w:t>
            </w:r>
          </w:p>
          <w:p w14:paraId="69290E1B" w14:textId="77777777" w:rsidR="0056595B" w:rsidRPr="00734942" w:rsidRDefault="0056595B" w:rsidP="00067143">
            <w:pPr>
              <w:rPr>
                <w:rFonts w:cstheme="minorHAnsi"/>
                <w:sz w:val="20"/>
                <w:szCs w:val="20"/>
              </w:rPr>
            </w:pPr>
            <w:r w:rsidRPr="00734942">
              <w:rPr>
                <w:rFonts w:cstheme="minorHAnsi"/>
                <w:sz w:val="20"/>
                <w:szCs w:val="20"/>
              </w:rPr>
              <w:t>88 – 100</w:t>
            </w:r>
          </w:p>
          <w:p w14:paraId="670F1E90" w14:textId="77777777" w:rsidR="0056595B" w:rsidRPr="00734942" w:rsidRDefault="0056595B" w:rsidP="00067143">
            <w:pPr>
              <w:rPr>
                <w:rFonts w:cstheme="minorHAnsi"/>
                <w:sz w:val="20"/>
                <w:szCs w:val="20"/>
              </w:rPr>
            </w:pPr>
          </w:p>
          <w:p w14:paraId="4A1464B6" w14:textId="77777777" w:rsidR="0056595B" w:rsidRPr="00734942" w:rsidRDefault="0056595B" w:rsidP="00067143">
            <w:pPr>
              <w:rPr>
                <w:rFonts w:cstheme="minorHAnsi"/>
                <w:sz w:val="20"/>
                <w:szCs w:val="20"/>
              </w:rPr>
            </w:pPr>
          </w:p>
          <w:p w14:paraId="0B687143" w14:textId="77777777" w:rsidR="0056595B" w:rsidRPr="00734942" w:rsidRDefault="0056595B" w:rsidP="00067143">
            <w:pPr>
              <w:rPr>
                <w:rFonts w:cstheme="minorHAnsi"/>
                <w:sz w:val="20"/>
                <w:szCs w:val="20"/>
              </w:rPr>
            </w:pPr>
            <w:r w:rsidRPr="00734942">
              <w:rPr>
                <w:rFonts w:cstheme="minorHAnsi"/>
                <w:sz w:val="20"/>
                <w:szCs w:val="20"/>
              </w:rPr>
              <w:t>88 – 98</w:t>
            </w:r>
          </w:p>
          <w:p w14:paraId="40CDD455" w14:textId="77777777" w:rsidR="0056595B" w:rsidRPr="00734942" w:rsidRDefault="0056595B" w:rsidP="00067143">
            <w:pPr>
              <w:rPr>
                <w:rFonts w:cstheme="minorHAnsi"/>
                <w:sz w:val="20"/>
                <w:szCs w:val="20"/>
              </w:rPr>
            </w:pPr>
            <w:r w:rsidRPr="00734942">
              <w:rPr>
                <w:rFonts w:cstheme="minorHAnsi"/>
                <w:sz w:val="20"/>
                <w:szCs w:val="20"/>
              </w:rPr>
              <w:t>92 – 96</w:t>
            </w:r>
          </w:p>
          <w:p w14:paraId="3357952D" w14:textId="77777777" w:rsidR="0056595B" w:rsidRPr="00734942" w:rsidRDefault="0056595B" w:rsidP="00067143">
            <w:pPr>
              <w:rPr>
                <w:rFonts w:cstheme="minorHAnsi"/>
                <w:sz w:val="20"/>
                <w:szCs w:val="20"/>
              </w:rPr>
            </w:pPr>
          </w:p>
          <w:p w14:paraId="4202A016" w14:textId="77777777" w:rsidR="0056595B" w:rsidRPr="00734942" w:rsidRDefault="0056595B" w:rsidP="00067143">
            <w:pPr>
              <w:rPr>
                <w:rFonts w:cstheme="minorHAnsi"/>
                <w:sz w:val="20"/>
                <w:szCs w:val="20"/>
              </w:rPr>
            </w:pPr>
          </w:p>
          <w:p w14:paraId="79C4436E" w14:textId="77777777" w:rsidR="0056595B" w:rsidRPr="00734942" w:rsidRDefault="0056595B" w:rsidP="00067143">
            <w:pPr>
              <w:rPr>
                <w:rFonts w:cstheme="minorHAnsi"/>
                <w:sz w:val="20"/>
                <w:szCs w:val="20"/>
              </w:rPr>
            </w:pPr>
            <w:r w:rsidRPr="00734942">
              <w:rPr>
                <w:rFonts w:cstheme="minorHAnsi"/>
                <w:sz w:val="20"/>
                <w:szCs w:val="20"/>
              </w:rPr>
              <w:t>88 – 98</w:t>
            </w:r>
          </w:p>
          <w:p w14:paraId="795BD230" w14:textId="77777777" w:rsidR="0056595B" w:rsidRPr="00734942" w:rsidRDefault="0056595B" w:rsidP="00067143">
            <w:pPr>
              <w:rPr>
                <w:rFonts w:cstheme="minorHAnsi"/>
                <w:sz w:val="20"/>
                <w:szCs w:val="20"/>
              </w:rPr>
            </w:pPr>
            <w:r w:rsidRPr="00734942">
              <w:rPr>
                <w:rFonts w:cstheme="minorHAnsi"/>
                <w:sz w:val="20"/>
                <w:szCs w:val="20"/>
              </w:rPr>
              <w:t>99 – 100</w:t>
            </w:r>
          </w:p>
          <w:p w14:paraId="529B65C3" w14:textId="77777777" w:rsidR="0056595B" w:rsidRPr="00734942" w:rsidRDefault="0056595B" w:rsidP="00067143">
            <w:pPr>
              <w:rPr>
                <w:rFonts w:cstheme="minorHAnsi"/>
                <w:sz w:val="20"/>
                <w:szCs w:val="20"/>
              </w:rPr>
            </w:pPr>
          </w:p>
          <w:p w14:paraId="2E9BBA17" w14:textId="77777777" w:rsidR="0056595B" w:rsidRPr="00734942" w:rsidRDefault="0056595B" w:rsidP="00067143">
            <w:pPr>
              <w:rPr>
                <w:rFonts w:cstheme="minorHAnsi"/>
                <w:sz w:val="20"/>
                <w:szCs w:val="20"/>
              </w:rPr>
            </w:pPr>
          </w:p>
          <w:p w14:paraId="273ECC70" w14:textId="77777777" w:rsidR="0056595B" w:rsidRPr="00734942" w:rsidRDefault="0056595B" w:rsidP="00067143">
            <w:pPr>
              <w:rPr>
                <w:rFonts w:cstheme="minorHAnsi"/>
                <w:sz w:val="20"/>
                <w:szCs w:val="20"/>
              </w:rPr>
            </w:pPr>
            <w:r w:rsidRPr="00734942">
              <w:rPr>
                <w:rFonts w:cstheme="minorHAnsi"/>
                <w:sz w:val="20"/>
                <w:szCs w:val="20"/>
              </w:rPr>
              <w:t>95 – 99</w:t>
            </w:r>
          </w:p>
          <w:p w14:paraId="2F35B47D" w14:textId="77777777" w:rsidR="0056595B" w:rsidRPr="00734942" w:rsidRDefault="0056595B" w:rsidP="00067143">
            <w:pPr>
              <w:rPr>
                <w:rFonts w:cstheme="minorHAnsi"/>
                <w:sz w:val="20"/>
                <w:szCs w:val="20"/>
              </w:rPr>
            </w:pPr>
            <w:r w:rsidRPr="00734942">
              <w:rPr>
                <w:rFonts w:cstheme="minorHAnsi"/>
                <w:sz w:val="20"/>
                <w:szCs w:val="20"/>
              </w:rPr>
              <w:t>96 – 99</w:t>
            </w:r>
          </w:p>
        </w:tc>
        <w:tc>
          <w:tcPr>
            <w:tcW w:w="1178" w:type="dxa"/>
            <w:tcBorders>
              <w:top w:val="single" w:sz="4" w:space="0" w:color="auto"/>
              <w:bottom w:val="single" w:sz="4" w:space="0" w:color="auto"/>
            </w:tcBorders>
          </w:tcPr>
          <w:p w14:paraId="3A59E40C" w14:textId="77777777" w:rsidR="0056595B" w:rsidRPr="00734942" w:rsidRDefault="0056595B" w:rsidP="00067143">
            <w:pPr>
              <w:rPr>
                <w:rFonts w:cstheme="minorHAnsi"/>
                <w:sz w:val="20"/>
                <w:szCs w:val="20"/>
              </w:rPr>
            </w:pPr>
          </w:p>
          <w:p w14:paraId="258E6286" w14:textId="77777777" w:rsidR="0056595B" w:rsidRPr="00734942" w:rsidRDefault="0056595B" w:rsidP="00067143">
            <w:pPr>
              <w:rPr>
                <w:rFonts w:cstheme="minorHAnsi"/>
                <w:sz w:val="20"/>
                <w:szCs w:val="20"/>
              </w:rPr>
            </w:pPr>
          </w:p>
          <w:p w14:paraId="62667110" w14:textId="77777777" w:rsidR="0056595B" w:rsidRPr="00734942" w:rsidRDefault="0056595B" w:rsidP="00067143">
            <w:pPr>
              <w:rPr>
                <w:rFonts w:cstheme="minorHAnsi"/>
                <w:i/>
                <w:sz w:val="20"/>
                <w:szCs w:val="20"/>
              </w:rPr>
            </w:pPr>
          </w:p>
          <w:p w14:paraId="0F0C7078" w14:textId="77777777" w:rsidR="0056595B" w:rsidRPr="00734942" w:rsidRDefault="0056595B" w:rsidP="00067143">
            <w:pPr>
              <w:rPr>
                <w:rFonts w:cstheme="minorHAnsi"/>
                <w:sz w:val="20"/>
                <w:szCs w:val="20"/>
              </w:rPr>
            </w:pPr>
            <w:r w:rsidRPr="00734942">
              <w:rPr>
                <w:rFonts w:cstheme="minorHAnsi"/>
                <w:sz w:val="20"/>
                <w:szCs w:val="20"/>
              </w:rPr>
              <w:t>1.00 – 1.17</w:t>
            </w:r>
          </w:p>
          <w:p w14:paraId="6B437685" w14:textId="77777777" w:rsidR="0056595B" w:rsidRPr="00734942" w:rsidRDefault="0056595B" w:rsidP="00067143">
            <w:pPr>
              <w:rPr>
                <w:rFonts w:cstheme="minorHAnsi"/>
                <w:sz w:val="20"/>
                <w:szCs w:val="20"/>
              </w:rPr>
            </w:pPr>
          </w:p>
          <w:p w14:paraId="1626BEBC" w14:textId="77777777" w:rsidR="0056595B" w:rsidRPr="00734942" w:rsidRDefault="0056595B" w:rsidP="00067143">
            <w:pPr>
              <w:rPr>
                <w:rFonts w:cstheme="minorHAnsi"/>
                <w:sz w:val="20"/>
                <w:szCs w:val="20"/>
              </w:rPr>
            </w:pPr>
          </w:p>
          <w:p w14:paraId="676FF3DB" w14:textId="77777777" w:rsidR="0056595B" w:rsidRPr="00734942" w:rsidRDefault="0056595B" w:rsidP="00067143">
            <w:pPr>
              <w:rPr>
                <w:rFonts w:cstheme="minorHAnsi"/>
                <w:sz w:val="20"/>
                <w:szCs w:val="20"/>
              </w:rPr>
            </w:pPr>
          </w:p>
          <w:p w14:paraId="4CEB164A" w14:textId="77777777" w:rsidR="0056595B" w:rsidRPr="00734942" w:rsidRDefault="0056595B" w:rsidP="00067143">
            <w:pPr>
              <w:rPr>
                <w:rFonts w:cstheme="minorHAnsi"/>
                <w:sz w:val="20"/>
                <w:szCs w:val="20"/>
              </w:rPr>
            </w:pPr>
            <w:r w:rsidRPr="00734942">
              <w:rPr>
                <w:rFonts w:cstheme="minorHAnsi"/>
                <w:sz w:val="20"/>
                <w:szCs w:val="20"/>
              </w:rPr>
              <w:t>0.96 – 1.04</w:t>
            </w:r>
          </w:p>
          <w:p w14:paraId="71C2E6C7" w14:textId="77777777" w:rsidR="0056595B" w:rsidRPr="00734942" w:rsidRDefault="0056595B" w:rsidP="00067143">
            <w:pPr>
              <w:rPr>
                <w:rFonts w:cstheme="minorHAnsi"/>
                <w:sz w:val="20"/>
                <w:szCs w:val="20"/>
              </w:rPr>
            </w:pPr>
          </w:p>
          <w:p w14:paraId="5D1C4E96" w14:textId="77777777" w:rsidR="0056595B" w:rsidRPr="00734942" w:rsidRDefault="0056595B" w:rsidP="00067143">
            <w:pPr>
              <w:rPr>
                <w:rFonts w:cstheme="minorHAnsi"/>
                <w:sz w:val="20"/>
                <w:szCs w:val="20"/>
              </w:rPr>
            </w:pPr>
          </w:p>
          <w:p w14:paraId="21FFB8B8" w14:textId="77777777" w:rsidR="0056595B" w:rsidRPr="00734942" w:rsidRDefault="0056595B" w:rsidP="00067143">
            <w:pPr>
              <w:rPr>
                <w:rFonts w:cstheme="minorHAnsi"/>
                <w:sz w:val="20"/>
                <w:szCs w:val="20"/>
              </w:rPr>
            </w:pPr>
          </w:p>
          <w:p w14:paraId="6A5E37B8" w14:textId="77777777" w:rsidR="0056595B" w:rsidRPr="00734942" w:rsidRDefault="0056595B" w:rsidP="00067143">
            <w:pPr>
              <w:rPr>
                <w:rFonts w:cstheme="minorHAnsi"/>
                <w:sz w:val="20"/>
                <w:szCs w:val="20"/>
              </w:rPr>
            </w:pPr>
            <w:r w:rsidRPr="00734942">
              <w:rPr>
                <w:rFonts w:cstheme="minorHAnsi"/>
                <w:sz w:val="20"/>
                <w:szCs w:val="20"/>
              </w:rPr>
              <w:t>1.02 – 1.13</w:t>
            </w:r>
          </w:p>
          <w:p w14:paraId="3B8C759F" w14:textId="77777777" w:rsidR="0056595B" w:rsidRPr="00734942" w:rsidRDefault="0056595B" w:rsidP="00067143">
            <w:pPr>
              <w:rPr>
                <w:rFonts w:cstheme="minorHAnsi"/>
                <w:sz w:val="20"/>
                <w:szCs w:val="20"/>
              </w:rPr>
            </w:pPr>
          </w:p>
          <w:p w14:paraId="16891E32" w14:textId="77777777" w:rsidR="0056595B" w:rsidRPr="00734942" w:rsidRDefault="0056595B" w:rsidP="00067143">
            <w:pPr>
              <w:rPr>
                <w:rFonts w:cstheme="minorHAnsi"/>
                <w:sz w:val="20"/>
                <w:szCs w:val="20"/>
              </w:rPr>
            </w:pPr>
          </w:p>
          <w:p w14:paraId="255817F1" w14:textId="77777777" w:rsidR="0056595B" w:rsidRPr="00734942" w:rsidRDefault="0056595B" w:rsidP="00067143">
            <w:pPr>
              <w:rPr>
                <w:rFonts w:cstheme="minorHAnsi"/>
                <w:sz w:val="20"/>
                <w:szCs w:val="20"/>
              </w:rPr>
            </w:pPr>
          </w:p>
          <w:p w14:paraId="3F9B3FBC" w14:textId="77777777" w:rsidR="0056595B" w:rsidRPr="00734942" w:rsidRDefault="0056595B" w:rsidP="00067143">
            <w:pPr>
              <w:rPr>
                <w:rFonts w:cstheme="minorHAnsi"/>
                <w:sz w:val="20"/>
                <w:szCs w:val="20"/>
              </w:rPr>
            </w:pPr>
            <w:r w:rsidRPr="00734942">
              <w:rPr>
                <w:rFonts w:cstheme="minorHAnsi"/>
                <w:sz w:val="20"/>
                <w:szCs w:val="20"/>
              </w:rPr>
              <w:t>0.99 – 1.01</w:t>
            </w:r>
          </w:p>
        </w:tc>
      </w:tr>
      <w:tr w:rsidR="0056595B" w:rsidRPr="00734942" w14:paraId="5DD3E55F" w14:textId="77777777" w:rsidTr="00A902B0">
        <w:trPr>
          <w:trHeight w:val="1066"/>
        </w:trPr>
        <w:tc>
          <w:tcPr>
            <w:tcW w:w="2410" w:type="dxa"/>
            <w:tcBorders>
              <w:top w:val="single" w:sz="4" w:space="0" w:color="auto"/>
              <w:bottom w:val="single" w:sz="4" w:space="0" w:color="auto"/>
            </w:tcBorders>
          </w:tcPr>
          <w:p w14:paraId="1CBB129E" w14:textId="77777777" w:rsidR="0056595B" w:rsidRPr="00734942" w:rsidRDefault="0056595B" w:rsidP="00067143">
            <w:pPr>
              <w:rPr>
                <w:b/>
                <w:sz w:val="20"/>
              </w:rPr>
            </w:pPr>
            <w:r w:rsidRPr="00734942">
              <w:rPr>
                <w:b/>
                <w:sz w:val="20"/>
              </w:rPr>
              <w:t>Children</w:t>
            </w:r>
          </w:p>
          <w:p w14:paraId="4FC5F510" w14:textId="77777777" w:rsidR="0056595B" w:rsidRPr="00734942" w:rsidRDefault="0056595B" w:rsidP="00067143">
            <w:pPr>
              <w:ind w:left="173"/>
              <w:rPr>
                <w:sz w:val="20"/>
              </w:rPr>
            </w:pPr>
            <w:r w:rsidRPr="00734942">
              <w:rPr>
                <w:sz w:val="20"/>
              </w:rPr>
              <w:t>IgA tTG vs. IgA EMA</w:t>
            </w:r>
          </w:p>
          <w:p w14:paraId="78575375" w14:textId="77777777" w:rsidR="0056595B" w:rsidRPr="00734942" w:rsidRDefault="0056595B" w:rsidP="00067143">
            <w:pPr>
              <w:ind w:left="315"/>
              <w:rPr>
                <w:sz w:val="20"/>
              </w:rPr>
            </w:pPr>
            <w:r w:rsidRPr="00734942">
              <w:rPr>
                <w:sz w:val="20"/>
              </w:rPr>
              <w:t>IgA tTG</w:t>
            </w:r>
          </w:p>
          <w:p w14:paraId="492997E1" w14:textId="77777777" w:rsidR="0056595B" w:rsidRPr="00734942" w:rsidRDefault="0056595B" w:rsidP="00067143">
            <w:pPr>
              <w:tabs>
                <w:tab w:val="right" w:pos="2094"/>
              </w:tabs>
              <w:ind w:left="315"/>
              <w:rPr>
                <w:b/>
              </w:rPr>
            </w:pPr>
            <w:r w:rsidRPr="00734942">
              <w:rPr>
                <w:sz w:val="20"/>
              </w:rPr>
              <w:t>IgA EMA</w:t>
            </w:r>
            <w:r w:rsidRPr="00734942">
              <w:rPr>
                <w:sz w:val="20"/>
              </w:rPr>
              <w:tab/>
            </w:r>
          </w:p>
        </w:tc>
        <w:tc>
          <w:tcPr>
            <w:tcW w:w="825" w:type="dxa"/>
            <w:tcBorders>
              <w:top w:val="single" w:sz="4" w:space="0" w:color="auto"/>
              <w:bottom w:val="single" w:sz="4" w:space="0" w:color="auto"/>
            </w:tcBorders>
          </w:tcPr>
          <w:p w14:paraId="5BB46DA0" w14:textId="77777777" w:rsidR="0056595B" w:rsidRPr="00734942" w:rsidRDefault="0056595B" w:rsidP="00067143">
            <w:pPr>
              <w:rPr>
                <w:rFonts w:cstheme="minorHAnsi"/>
                <w:sz w:val="20"/>
                <w:szCs w:val="20"/>
              </w:rPr>
            </w:pPr>
          </w:p>
          <w:p w14:paraId="33DE79A1" w14:textId="77777777" w:rsidR="0056595B" w:rsidRPr="00734942" w:rsidRDefault="0056595B" w:rsidP="00067143">
            <w:pPr>
              <w:rPr>
                <w:rFonts w:cstheme="minorHAnsi"/>
                <w:sz w:val="20"/>
                <w:szCs w:val="20"/>
              </w:rPr>
            </w:pPr>
            <w:r w:rsidRPr="00734942">
              <w:rPr>
                <w:rFonts w:cstheme="minorHAnsi"/>
                <w:sz w:val="20"/>
                <w:szCs w:val="20"/>
              </w:rPr>
              <w:t>16</w:t>
            </w:r>
          </w:p>
        </w:tc>
        <w:tc>
          <w:tcPr>
            <w:tcW w:w="1207" w:type="dxa"/>
            <w:tcBorders>
              <w:top w:val="single" w:sz="4" w:space="0" w:color="auto"/>
              <w:bottom w:val="single" w:sz="4" w:space="0" w:color="auto"/>
            </w:tcBorders>
          </w:tcPr>
          <w:p w14:paraId="78ECDB8B" w14:textId="77777777" w:rsidR="0056595B" w:rsidRPr="00734942" w:rsidRDefault="0056595B" w:rsidP="00067143">
            <w:pPr>
              <w:rPr>
                <w:rFonts w:cstheme="minorHAnsi"/>
                <w:sz w:val="20"/>
                <w:szCs w:val="20"/>
              </w:rPr>
            </w:pPr>
          </w:p>
          <w:p w14:paraId="31AF5D55" w14:textId="77777777" w:rsidR="0056595B" w:rsidRPr="00734942" w:rsidRDefault="0056595B" w:rsidP="00067143">
            <w:pPr>
              <w:rPr>
                <w:rFonts w:cstheme="minorHAnsi"/>
                <w:sz w:val="20"/>
                <w:szCs w:val="20"/>
              </w:rPr>
            </w:pPr>
            <w:r w:rsidRPr="00734942">
              <w:rPr>
                <w:rFonts w:cstheme="minorHAnsi"/>
                <w:sz w:val="20"/>
                <w:szCs w:val="20"/>
              </w:rPr>
              <w:t>3021 (1746)</w:t>
            </w:r>
          </w:p>
        </w:tc>
        <w:tc>
          <w:tcPr>
            <w:tcW w:w="1370" w:type="dxa"/>
            <w:tcBorders>
              <w:top w:val="single" w:sz="4" w:space="0" w:color="auto"/>
              <w:bottom w:val="single" w:sz="4" w:space="0" w:color="auto"/>
            </w:tcBorders>
          </w:tcPr>
          <w:p w14:paraId="2F9C46D8" w14:textId="77777777" w:rsidR="0056595B" w:rsidRPr="00734942" w:rsidRDefault="0056595B" w:rsidP="00067143">
            <w:pPr>
              <w:rPr>
                <w:rFonts w:cstheme="minorHAnsi"/>
                <w:sz w:val="20"/>
                <w:szCs w:val="20"/>
              </w:rPr>
            </w:pPr>
          </w:p>
          <w:p w14:paraId="19569274" w14:textId="77777777" w:rsidR="0056595B" w:rsidRPr="00734942" w:rsidRDefault="0056595B" w:rsidP="00067143">
            <w:pPr>
              <w:rPr>
                <w:rFonts w:cstheme="minorHAnsi"/>
                <w:sz w:val="20"/>
                <w:szCs w:val="20"/>
              </w:rPr>
            </w:pPr>
          </w:p>
          <w:p w14:paraId="293D38A5" w14:textId="77777777" w:rsidR="0056595B" w:rsidRPr="00734942" w:rsidRDefault="0056595B" w:rsidP="00067143">
            <w:pPr>
              <w:rPr>
                <w:rFonts w:cstheme="minorHAnsi"/>
                <w:sz w:val="20"/>
                <w:szCs w:val="20"/>
              </w:rPr>
            </w:pPr>
            <w:r w:rsidRPr="00734942">
              <w:rPr>
                <w:rFonts w:cstheme="minorHAnsi"/>
                <w:sz w:val="20"/>
                <w:szCs w:val="20"/>
              </w:rPr>
              <w:t>5.5 – 21 U/mL</w:t>
            </w:r>
          </w:p>
          <w:p w14:paraId="2CB2D6E0" w14:textId="77777777" w:rsidR="0056595B" w:rsidRPr="00734942" w:rsidRDefault="0056595B" w:rsidP="00067143">
            <w:pPr>
              <w:rPr>
                <w:rFonts w:cstheme="minorHAnsi"/>
                <w:sz w:val="20"/>
                <w:szCs w:val="20"/>
              </w:rPr>
            </w:pPr>
            <w:r w:rsidRPr="00734942">
              <w:rPr>
                <w:rFonts w:cstheme="minorHAnsi"/>
                <w:sz w:val="20"/>
                <w:szCs w:val="20"/>
              </w:rPr>
              <w:t>1:5 – 1:10</w:t>
            </w:r>
          </w:p>
        </w:tc>
        <w:tc>
          <w:tcPr>
            <w:tcW w:w="1125" w:type="dxa"/>
            <w:tcBorders>
              <w:top w:val="single" w:sz="4" w:space="0" w:color="auto"/>
              <w:bottom w:val="single" w:sz="4" w:space="0" w:color="auto"/>
            </w:tcBorders>
          </w:tcPr>
          <w:p w14:paraId="63EA2D68" w14:textId="77777777" w:rsidR="0056595B" w:rsidRPr="00734942" w:rsidRDefault="0056595B" w:rsidP="00067143">
            <w:pPr>
              <w:rPr>
                <w:rFonts w:cstheme="minorHAnsi"/>
                <w:sz w:val="20"/>
                <w:szCs w:val="20"/>
              </w:rPr>
            </w:pPr>
          </w:p>
          <w:p w14:paraId="29DCED69" w14:textId="77777777" w:rsidR="0056595B" w:rsidRPr="00734942" w:rsidRDefault="0056595B" w:rsidP="00067143">
            <w:pPr>
              <w:rPr>
                <w:rFonts w:cstheme="minorHAnsi"/>
                <w:sz w:val="20"/>
                <w:szCs w:val="20"/>
              </w:rPr>
            </w:pPr>
          </w:p>
          <w:p w14:paraId="1B8CADF0" w14:textId="77777777" w:rsidR="0056595B" w:rsidRPr="00734942" w:rsidRDefault="0056595B" w:rsidP="00067143">
            <w:pPr>
              <w:rPr>
                <w:rFonts w:cstheme="minorHAnsi"/>
                <w:sz w:val="20"/>
                <w:szCs w:val="20"/>
              </w:rPr>
            </w:pPr>
            <w:r w:rsidRPr="00734942">
              <w:rPr>
                <w:rFonts w:cstheme="minorHAnsi"/>
                <w:sz w:val="20"/>
                <w:szCs w:val="20"/>
              </w:rPr>
              <w:t>29 – 99</w:t>
            </w:r>
          </w:p>
          <w:p w14:paraId="7EF98D07" w14:textId="77777777" w:rsidR="0056595B" w:rsidRPr="00734942" w:rsidRDefault="0056595B" w:rsidP="00067143">
            <w:pPr>
              <w:rPr>
                <w:rFonts w:cstheme="minorHAnsi"/>
                <w:sz w:val="20"/>
                <w:szCs w:val="20"/>
              </w:rPr>
            </w:pPr>
            <w:r w:rsidRPr="00734942">
              <w:rPr>
                <w:rFonts w:cstheme="minorHAnsi"/>
                <w:sz w:val="20"/>
                <w:szCs w:val="20"/>
              </w:rPr>
              <w:t>50 – 100</w:t>
            </w:r>
          </w:p>
        </w:tc>
        <w:tc>
          <w:tcPr>
            <w:tcW w:w="1124" w:type="dxa"/>
            <w:tcBorders>
              <w:top w:val="single" w:sz="4" w:space="0" w:color="auto"/>
              <w:bottom w:val="single" w:sz="4" w:space="0" w:color="auto"/>
            </w:tcBorders>
          </w:tcPr>
          <w:p w14:paraId="46A43244" w14:textId="77777777" w:rsidR="0056595B" w:rsidRPr="00734942" w:rsidRDefault="0056595B" w:rsidP="00067143">
            <w:pPr>
              <w:rPr>
                <w:rFonts w:cstheme="minorHAnsi"/>
                <w:sz w:val="20"/>
                <w:szCs w:val="20"/>
              </w:rPr>
            </w:pPr>
          </w:p>
          <w:p w14:paraId="242923C3" w14:textId="77777777" w:rsidR="0056595B" w:rsidRPr="00734942" w:rsidRDefault="0056595B" w:rsidP="00067143">
            <w:pPr>
              <w:rPr>
                <w:rFonts w:cstheme="minorHAnsi"/>
                <w:sz w:val="20"/>
                <w:szCs w:val="20"/>
              </w:rPr>
            </w:pPr>
          </w:p>
          <w:p w14:paraId="594DA723" w14:textId="77777777" w:rsidR="0056595B" w:rsidRPr="00734942" w:rsidRDefault="0056595B" w:rsidP="00067143">
            <w:pPr>
              <w:rPr>
                <w:rFonts w:cstheme="minorHAnsi"/>
                <w:sz w:val="20"/>
                <w:szCs w:val="20"/>
              </w:rPr>
            </w:pPr>
          </w:p>
          <w:p w14:paraId="1311C581" w14:textId="77777777" w:rsidR="0056595B" w:rsidRPr="00734942" w:rsidRDefault="0056595B" w:rsidP="00067143">
            <w:pPr>
              <w:rPr>
                <w:rFonts w:cstheme="minorHAnsi"/>
                <w:sz w:val="20"/>
                <w:szCs w:val="20"/>
              </w:rPr>
            </w:pPr>
            <w:r w:rsidRPr="00734942">
              <w:rPr>
                <w:rFonts w:cstheme="minorHAnsi"/>
                <w:sz w:val="20"/>
                <w:szCs w:val="20"/>
              </w:rPr>
              <w:t>0.91 – 2.25</w:t>
            </w:r>
          </w:p>
        </w:tc>
        <w:tc>
          <w:tcPr>
            <w:tcW w:w="1061" w:type="dxa"/>
            <w:tcBorders>
              <w:top w:val="single" w:sz="4" w:space="0" w:color="auto"/>
              <w:bottom w:val="single" w:sz="4" w:space="0" w:color="auto"/>
            </w:tcBorders>
          </w:tcPr>
          <w:p w14:paraId="2BD2ACE6" w14:textId="77777777" w:rsidR="0056595B" w:rsidRPr="00734942" w:rsidRDefault="0056595B" w:rsidP="00067143">
            <w:pPr>
              <w:rPr>
                <w:rFonts w:cstheme="minorHAnsi"/>
                <w:sz w:val="20"/>
                <w:szCs w:val="20"/>
              </w:rPr>
            </w:pPr>
          </w:p>
          <w:p w14:paraId="4C3FAE86" w14:textId="77777777" w:rsidR="0056595B" w:rsidRPr="00734942" w:rsidRDefault="0056595B" w:rsidP="00067143">
            <w:pPr>
              <w:rPr>
                <w:rFonts w:cstheme="minorHAnsi"/>
                <w:sz w:val="20"/>
                <w:szCs w:val="20"/>
              </w:rPr>
            </w:pPr>
          </w:p>
          <w:p w14:paraId="421722A5" w14:textId="77777777" w:rsidR="0056595B" w:rsidRPr="00734942" w:rsidRDefault="0056595B" w:rsidP="00067143">
            <w:pPr>
              <w:rPr>
                <w:rFonts w:cstheme="minorHAnsi"/>
                <w:sz w:val="20"/>
                <w:szCs w:val="20"/>
              </w:rPr>
            </w:pPr>
            <w:r w:rsidRPr="00734942">
              <w:rPr>
                <w:rFonts w:cstheme="minorHAnsi"/>
                <w:sz w:val="20"/>
                <w:szCs w:val="20"/>
              </w:rPr>
              <w:t>24 – 100</w:t>
            </w:r>
          </w:p>
          <w:p w14:paraId="0C98F73A" w14:textId="77777777" w:rsidR="0056595B" w:rsidRPr="00734942" w:rsidRDefault="0056595B" w:rsidP="00067143">
            <w:pPr>
              <w:rPr>
                <w:rFonts w:cstheme="minorHAnsi"/>
                <w:sz w:val="20"/>
                <w:szCs w:val="20"/>
              </w:rPr>
            </w:pPr>
            <w:r w:rsidRPr="00734942">
              <w:rPr>
                <w:rFonts w:cstheme="minorHAnsi"/>
                <w:sz w:val="20"/>
                <w:szCs w:val="20"/>
              </w:rPr>
              <w:t>29 – 100</w:t>
            </w:r>
          </w:p>
        </w:tc>
        <w:tc>
          <w:tcPr>
            <w:tcW w:w="1178" w:type="dxa"/>
            <w:tcBorders>
              <w:top w:val="single" w:sz="4" w:space="0" w:color="auto"/>
              <w:bottom w:val="single" w:sz="4" w:space="0" w:color="auto"/>
            </w:tcBorders>
          </w:tcPr>
          <w:p w14:paraId="63511308" w14:textId="77777777" w:rsidR="0056595B" w:rsidRPr="00734942" w:rsidRDefault="0056595B" w:rsidP="00067143">
            <w:pPr>
              <w:rPr>
                <w:rFonts w:cstheme="minorHAnsi"/>
                <w:sz w:val="20"/>
                <w:szCs w:val="20"/>
              </w:rPr>
            </w:pPr>
          </w:p>
          <w:p w14:paraId="38540521" w14:textId="77777777" w:rsidR="0056595B" w:rsidRPr="00734942" w:rsidRDefault="0056595B" w:rsidP="00067143">
            <w:pPr>
              <w:rPr>
                <w:rFonts w:cstheme="minorHAnsi"/>
                <w:sz w:val="20"/>
                <w:szCs w:val="20"/>
              </w:rPr>
            </w:pPr>
          </w:p>
          <w:p w14:paraId="0A559A0F" w14:textId="77777777" w:rsidR="0056595B" w:rsidRPr="00734942" w:rsidRDefault="0056595B" w:rsidP="00067143">
            <w:pPr>
              <w:rPr>
                <w:rFonts w:cstheme="minorHAnsi"/>
                <w:i/>
                <w:sz w:val="20"/>
                <w:szCs w:val="20"/>
              </w:rPr>
            </w:pPr>
          </w:p>
          <w:p w14:paraId="1103E77A" w14:textId="77777777" w:rsidR="0056595B" w:rsidRPr="00734942" w:rsidRDefault="0056595B" w:rsidP="00067143">
            <w:pPr>
              <w:rPr>
                <w:rFonts w:cstheme="minorHAnsi"/>
                <w:sz w:val="20"/>
                <w:szCs w:val="20"/>
              </w:rPr>
            </w:pPr>
            <w:r w:rsidRPr="00734942">
              <w:rPr>
                <w:rFonts w:cstheme="minorHAnsi"/>
                <w:sz w:val="20"/>
                <w:szCs w:val="20"/>
              </w:rPr>
              <w:t>0.76 – 1.25</w:t>
            </w:r>
          </w:p>
        </w:tc>
      </w:tr>
    </w:tbl>
    <w:p w14:paraId="2513543E" w14:textId="77777777" w:rsidR="0056595B" w:rsidRPr="00734942" w:rsidRDefault="0056595B" w:rsidP="0056595B">
      <w:pPr>
        <w:rPr>
          <w:sz w:val="20"/>
        </w:rPr>
      </w:pPr>
      <w:r w:rsidRPr="00734942">
        <w:rPr>
          <w:sz w:val="20"/>
        </w:rPr>
        <w:t>CD, coeliac disease; IgA, immunoglobulin A; IgG, immunoglobulin G; tTG, anti-tissue transglutaminase; EMA, endomysial antibodies; DGP, deamidated gliadin peptide</w:t>
      </w:r>
    </w:p>
    <w:p w14:paraId="3B3F860C" w14:textId="4BCFF719" w:rsidR="00AD0D93" w:rsidRPr="004D15C5" w:rsidRDefault="0056595B" w:rsidP="00AD0D93">
      <w:r w:rsidRPr="00734942">
        <w:t>A subset of the studies that provided a direct comparison of IgA tTG and IgA EMA also reported data that could be used to estimate the accuracy of these tests when used in combination. We identified six such studies in adults</w:t>
      </w:r>
      <w:r w:rsidR="00AC1628">
        <w:fldChar w:fldCharType="begin">
          <w:fldData xml:space="preserve">PEVuZE5vdGU+PENpdGU+PEF1dGhvcj5TYXllZDwvQXV0aG9yPjxZZWFyPjIwMTI8L1llYXI+PFJl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</w:fldData>
        </w:fldChar>
      </w:r>
      <w:r w:rsidR="00735CC0">
        <w:instrText xml:space="preserve"> ADDIN EN.CITE </w:instrText>
      </w:r>
      <w:r w:rsidR="00735CC0">
        <w:fldChar w:fldCharType="begin">
          <w:fldData xml:space="preserve">PEVuZE5vdGU+PENpdGU+PEF1dGhvcj5TYXllZDwvQXV0aG9yPjxZZWFyPjIwMTI8L1llYXI+PFJl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</w:fldData>
        </w:fldChar>
      </w:r>
      <w:r w:rsidR="00735CC0">
        <w:instrText xml:space="preserve"> ADDIN EN.CITE.DATA </w:instrText>
      </w:r>
      <w:r w:rsidR="00735CC0">
        <w:fldChar w:fldCharType="end"/>
      </w:r>
      <w:r w:rsidR="00AC1628">
        <w:fldChar w:fldCharType="separate"/>
      </w:r>
      <w:r w:rsidR="00735CC0" w:rsidRPr="00735CC0">
        <w:rPr>
          <w:noProof/>
          <w:vertAlign w:val="superscript"/>
        </w:rPr>
        <w:t>81, 82, 88, 90, 107, 108</w:t>
      </w:r>
      <w:r w:rsidR="00AC1628">
        <w:fldChar w:fldCharType="end"/>
      </w:r>
      <w:r w:rsidRPr="00734942" w:rsidDel="00095E74">
        <w:t xml:space="preserve"> </w:t>
      </w:r>
      <w:r w:rsidRPr="00734942">
        <w:t>and six studies in children.</w:t>
      </w:r>
      <w:r w:rsidR="00AC1628">
        <w:fldChar w:fldCharType="begin">
          <w:fldData xml:space="preserve">PEVuZE5vdGU+PENpdGU+PEF1dGhvcj5CaXNob3A8L0F1dGhvcj48WWVhcj4yMDE4PC9ZZWFyPjxS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</w:fldData>
        </w:fldChar>
      </w:r>
      <w:r w:rsidR="00735CC0">
        <w:instrText xml:space="preserve"> ADDIN EN.CITE </w:instrText>
      </w:r>
      <w:r w:rsidR="00735CC0">
        <w:fldChar w:fldCharType="begin">
          <w:fldData xml:space="preserve">PEVuZE5vdGU+PENpdGU+PEF1dGhvcj5CaXNob3A8L0F1dGhvcj48WWVhcj4yMDE4PC9ZZWFyPjxS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</w:fldData>
        </w:fldChar>
      </w:r>
      <w:r w:rsidR="00735CC0">
        <w:instrText xml:space="preserve"> ADDIN EN.CITE.DATA </w:instrText>
      </w:r>
      <w:r w:rsidR="00735CC0">
        <w:fldChar w:fldCharType="end"/>
      </w:r>
      <w:r w:rsidR="00AC1628">
        <w:fldChar w:fldCharType="separate"/>
      </w:r>
      <w:r w:rsidR="00735CC0" w:rsidRPr="00735CC0">
        <w:rPr>
          <w:noProof/>
          <w:vertAlign w:val="superscript"/>
        </w:rPr>
        <w:t>82, 108, 121, 123, 144, 145</w:t>
      </w:r>
      <w:r w:rsidR="00AC1628">
        <w:fldChar w:fldCharType="end"/>
      </w:r>
      <w:r w:rsidRPr="00734942">
        <w:t xml:space="preserve"> However, none of these reported accuracy estimates for the same thresholds. We therefore selected the studies that were judged at lowest risk of bias and that had the largest sample sizes. These were Hopper (n=2000)</w:t>
      </w:r>
      <w:r w:rsidR="002E2D30">
        <w:fldChar w:fldCharType="begin">
          <w:fldData xml:space="preserve">PEVuZE5vdGU+PENpdGU+PEF1dGhvcj5Ib3BwZXI8L0F1dGhvcj48WWVhcj4yMDA4PC9ZZWFyPjxS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</w:fldData>
        </w:fldChar>
      </w:r>
      <w:r w:rsidR="00735CC0">
        <w:instrText xml:space="preserve"> ADDIN EN.CITE </w:instrText>
      </w:r>
      <w:r w:rsidR="00735CC0">
        <w:fldChar w:fldCharType="begin">
          <w:fldData xml:space="preserve">PEVuZE5vdGU+PENpdGU+PEF1dGhvcj5Ib3BwZXI8L0F1dGhvcj48WWVhcj4yMDA4PC9ZZWFyPjxS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</w:fldData>
        </w:fldChar>
      </w:r>
      <w:r w:rsidR="00735CC0">
        <w:instrText xml:space="preserve"> ADDIN EN.CITE.DATA </w:instrText>
      </w:r>
      <w:r w:rsidR="00735CC0">
        <w:fldChar w:fldCharType="end"/>
      </w:r>
      <w:r w:rsidR="002E2D30">
        <w:fldChar w:fldCharType="separate"/>
      </w:r>
      <w:r w:rsidR="00735CC0" w:rsidRPr="00735CC0">
        <w:rPr>
          <w:noProof/>
          <w:vertAlign w:val="superscript"/>
        </w:rPr>
        <w:t>90</w:t>
      </w:r>
      <w:r w:rsidR="002E2D30">
        <w:fldChar w:fldCharType="end"/>
      </w:r>
      <w:r w:rsidRPr="00734942">
        <w:t xml:space="preserve"> in adults and Wolf (n=949)</w:t>
      </w:r>
      <w:r w:rsidR="00454636">
        <w:fldChar w:fldCharType="begin">
          <w:fldData xml:space="preserve">PEVuZE5vdGU+PENpdGU+PEF1dGhvcj5Xb2xmPC9BdXRob3I+PFllYXI+MjAxNzwvWWVhcj48UmVj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==
</w:fldData>
        </w:fldChar>
      </w:r>
      <w:r w:rsidR="00735CC0">
        <w:instrText xml:space="preserve"> ADDIN EN.CITE </w:instrText>
      </w:r>
      <w:r w:rsidR="00735CC0">
        <w:fldChar w:fldCharType="begin">
          <w:fldData xml:space="preserve">PEVuZE5vdGU+PENpdGU+PEF1dGhvcj5Xb2xmPC9BdXRob3I+PFllYXI+MjAxNzwvWWVhcj48UmVj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==
</w:fldData>
        </w:fldChar>
      </w:r>
      <w:r w:rsidR="00735CC0">
        <w:instrText xml:space="preserve"> ADDIN EN.CITE.DATA </w:instrText>
      </w:r>
      <w:r w:rsidR="00735CC0">
        <w:fldChar w:fldCharType="end"/>
      </w:r>
      <w:r w:rsidR="00454636">
        <w:fldChar w:fldCharType="separate"/>
      </w:r>
      <w:r w:rsidR="00735CC0" w:rsidRPr="00735CC0">
        <w:rPr>
          <w:noProof/>
          <w:vertAlign w:val="superscript"/>
        </w:rPr>
        <w:t>121</w:t>
      </w:r>
      <w:r w:rsidR="00454636">
        <w:fldChar w:fldCharType="end"/>
      </w:r>
      <w:r w:rsidRPr="000416B7">
        <w:t xml:space="preserve"> </w:t>
      </w:r>
      <w:r w:rsidRPr="00734942">
        <w:t xml:space="preserve">in children. Wolf was judged at low risk of bias for all domains; Hopper was at low risk of bias for all domains except the reference standard domain, </w:t>
      </w:r>
      <w:r w:rsidR="00A27B5E">
        <w:t>as it was unclear</w:t>
      </w:r>
      <w:r w:rsidRPr="00734942">
        <w:t xml:space="preserve"> whether the reference standard results were interpreted without knowledge of the index test results. We consider these studies to provide the most reliable comparative estimates of the accuracy for IgA tTG and IgA EMA, alone and in combination, in adults and in children. </w:t>
      </w:r>
      <w:r w:rsidR="00DF33E9">
        <w:fldChar w:fldCharType="begin"/>
      </w:r>
      <w:r w:rsidR="00DF33E9">
        <w:instrText xml:space="preserve"> REF _Ref87439675 \h </w:instrText>
      </w:r>
      <w:r w:rsidR="00DF33E9">
        <w:fldChar w:fldCharType="separate"/>
      </w:r>
      <w:r w:rsidR="008B5583">
        <w:t xml:space="preserve">Table </w:t>
      </w:r>
      <w:r w:rsidR="008B5583">
        <w:rPr>
          <w:noProof/>
        </w:rPr>
        <w:t>11</w:t>
      </w:r>
      <w:r w:rsidR="00DF33E9">
        <w:fldChar w:fldCharType="end"/>
      </w:r>
      <w:r w:rsidR="00DF33E9">
        <w:t xml:space="preserve"> </w:t>
      </w:r>
      <w:r w:rsidRPr="00734942">
        <w:lastRenderedPageBreak/>
        <w:t xml:space="preserve">summarises the accuracy data from these studies; </w:t>
      </w:r>
      <w:r w:rsidRPr="00734942">
        <w:rPr>
          <w:b/>
          <w:bCs/>
        </w:rPr>
        <w:t xml:space="preserve">these estimates of accuracy were selected for inclusion in the economic model (Chapter </w:t>
      </w:r>
      <w:r w:rsidR="00FC394A">
        <w:rPr>
          <w:b/>
          <w:bCs/>
        </w:rPr>
        <w:t>8</w:t>
      </w:r>
      <w:r w:rsidRPr="00734942">
        <w:rPr>
          <w:b/>
          <w:bCs/>
        </w:rPr>
        <w:t xml:space="preserve">). </w:t>
      </w:r>
      <w:r w:rsidRPr="00734942">
        <w:t>In both adults and children</w:t>
      </w:r>
      <w:r w:rsidR="000334EA">
        <w:t>, IgA</w:t>
      </w:r>
      <w:r w:rsidRPr="00734942">
        <w:t xml:space="preserve"> tTG had the highest sensitivity, although estimates in children were very similar, and EMA had the highest specificity. There was little improvement in either sensitivity or specificity when the tests were used in combination. </w:t>
      </w:r>
      <w:r w:rsidR="00AD0D93">
        <w:t>Despite thresholds being the same as those used in the meta-analyses for the individual tTG and EMA tests, there were minor differences between estimates from these studies and summary estimates when all studies that reported at the same thresholds were pooled (</w:t>
      </w:r>
      <w:r w:rsidR="00CF0366">
        <w:fldChar w:fldCharType="begin"/>
      </w:r>
      <w:r w:rsidR="00CF0366">
        <w:instrText xml:space="preserve"> REF _Ref84003350 \h </w:instrText>
      </w:r>
      <w:r w:rsidR="00CF0366">
        <w:fldChar w:fldCharType="separate"/>
      </w:r>
      <w:r w:rsidR="008B5583" w:rsidRPr="00734942">
        <w:t xml:space="preserve">Table </w:t>
      </w:r>
      <w:r w:rsidR="008B5583">
        <w:rPr>
          <w:noProof/>
        </w:rPr>
        <w:t>12</w:t>
      </w:r>
      <w:r w:rsidR="00CF0366">
        <w:fldChar w:fldCharType="end"/>
      </w:r>
      <w:r w:rsidR="00AD0D93">
        <w:t>).</w:t>
      </w:r>
    </w:p>
    <w:p w14:paraId="3B23345B" w14:textId="4DE542D1" w:rsidR="007A32C2" w:rsidRDefault="007A32C2" w:rsidP="007A32C2">
      <w:pPr>
        <w:pStyle w:val="Caption"/>
      </w:pPr>
      <w:bookmarkStart w:id="185" w:name="_Ref87439675"/>
      <w:bookmarkStart w:id="186" w:name="_Toc99720722"/>
      <w:r>
        <w:t xml:space="preserve">Table </w:t>
      </w:r>
      <w:r>
        <w:fldChar w:fldCharType="begin"/>
      </w:r>
      <w:r>
        <w:instrText>SEQ Table \* ARABIC</w:instrText>
      </w:r>
      <w:r>
        <w:fldChar w:fldCharType="separate"/>
      </w:r>
      <w:r w:rsidR="008B5583">
        <w:rPr>
          <w:noProof/>
        </w:rPr>
        <w:t>11</w:t>
      </w:r>
      <w:r>
        <w:fldChar w:fldCharType="end"/>
      </w:r>
      <w:bookmarkEnd w:id="185"/>
      <w:r>
        <w:t xml:space="preserve"> </w:t>
      </w:r>
      <w:r w:rsidRPr="004E03D6">
        <w:t>Estimates of accuracy for the two selected studies that provided information on the accuracy of the tests when used in combination</w:t>
      </w:r>
      <w:bookmarkEnd w:id="186"/>
    </w:p>
    <w:tbl>
      <w:tblPr>
        <w:tblStyle w:val="TableGrid"/>
        <w:tblW w:w="90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8"/>
        <w:gridCol w:w="1217"/>
        <w:gridCol w:w="670"/>
        <w:gridCol w:w="1563"/>
        <w:gridCol w:w="1196"/>
        <w:gridCol w:w="1572"/>
        <w:gridCol w:w="1691"/>
      </w:tblGrid>
      <w:tr w:rsidR="00E275E7" w:rsidRPr="00EA4C58" w14:paraId="46200285" w14:textId="77777777" w:rsidTr="007A32C2">
        <w:tc>
          <w:tcPr>
            <w:tcW w:w="1188" w:type="dxa"/>
            <w:tcBorders>
              <w:top w:val="single" w:sz="4" w:space="0" w:color="auto"/>
              <w:bottom w:val="single" w:sz="4" w:space="0" w:color="auto"/>
            </w:tcBorders>
            <w:vAlign w:val="bottom"/>
          </w:tcPr>
          <w:p w14:paraId="0DA6DA84" w14:textId="77777777" w:rsidR="00E47996" w:rsidRPr="00EA4C58" w:rsidRDefault="00E47996" w:rsidP="00F226BE">
            <w:pPr>
              <w:rPr>
                <w:b/>
                <w:sz w:val="20"/>
                <w:szCs w:val="20"/>
              </w:rPr>
            </w:pPr>
            <w:r w:rsidRPr="00EA4C58">
              <w:rPr>
                <w:rFonts w:ascii="Calibri" w:hAnsi="Calibri" w:cs="Calibri"/>
                <w:b/>
                <w:color w:val="000000"/>
                <w:sz w:val="20"/>
                <w:szCs w:val="20"/>
              </w:rPr>
              <w:t>Study</w:t>
            </w:r>
          </w:p>
        </w:tc>
        <w:tc>
          <w:tcPr>
            <w:tcW w:w="1217" w:type="dxa"/>
            <w:tcBorders>
              <w:top w:val="single" w:sz="4" w:space="0" w:color="auto"/>
              <w:bottom w:val="single" w:sz="4" w:space="0" w:color="auto"/>
            </w:tcBorders>
          </w:tcPr>
          <w:p w14:paraId="5519A303" w14:textId="77777777" w:rsidR="00E47996" w:rsidRPr="00EA4C58" w:rsidRDefault="00E47996" w:rsidP="00F226BE">
            <w:pPr>
              <w:rPr>
                <w:rFonts w:ascii="Calibri" w:hAnsi="Calibri" w:cs="Calibri"/>
                <w:b/>
                <w:color w:val="000000"/>
                <w:sz w:val="20"/>
                <w:szCs w:val="20"/>
              </w:rPr>
            </w:pPr>
            <w:r w:rsidRPr="00EA4C58">
              <w:rPr>
                <w:rFonts w:ascii="Calibri" w:hAnsi="Calibri" w:cs="Calibri"/>
                <w:b/>
                <w:color w:val="000000"/>
                <w:sz w:val="20"/>
                <w:szCs w:val="20"/>
              </w:rPr>
              <w:t>Population</w:t>
            </w:r>
          </w:p>
        </w:tc>
        <w:tc>
          <w:tcPr>
            <w:tcW w:w="670" w:type="dxa"/>
            <w:tcBorders>
              <w:top w:val="single" w:sz="4" w:space="0" w:color="auto"/>
              <w:bottom w:val="single" w:sz="4" w:space="0" w:color="auto"/>
            </w:tcBorders>
          </w:tcPr>
          <w:p w14:paraId="538F989C" w14:textId="5D03C799" w:rsidR="00E47996" w:rsidRPr="00EA4C58" w:rsidRDefault="00E47996" w:rsidP="00F226BE">
            <w:pPr>
              <w:rPr>
                <w:b/>
                <w:sz w:val="20"/>
                <w:szCs w:val="20"/>
              </w:rPr>
            </w:pPr>
            <w:r w:rsidRPr="00EA4C58">
              <w:rPr>
                <w:rFonts w:ascii="Calibri" w:hAnsi="Calibri" w:cs="Calibri"/>
                <w:b/>
                <w:color w:val="000000"/>
                <w:sz w:val="20"/>
                <w:szCs w:val="20"/>
              </w:rPr>
              <w:t>N</w:t>
            </w:r>
          </w:p>
        </w:tc>
        <w:tc>
          <w:tcPr>
            <w:tcW w:w="1563" w:type="dxa"/>
            <w:tcBorders>
              <w:top w:val="single" w:sz="4" w:space="0" w:color="auto"/>
              <w:bottom w:val="single" w:sz="4" w:space="0" w:color="auto"/>
            </w:tcBorders>
            <w:vAlign w:val="bottom"/>
          </w:tcPr>
          <w:p w14:paraId="46DE6F70" w14:textId="77777777" w:rsidR="00E47996" w:rsidRPr="00EA4C58" w:rsidRDefault="00E47996" w:rsidP="00F226BE">
            <w:pPr>
              <w:rPr>
                <w:b/>
                <w:sz w:val="20"/>
                <w:szCs w:val="20"/>
              </w:rPr>
            </w:pPr>
            <w:r w:rsidRPr="00EA4C58">
              <w:rPr>
                <w:rFonts w:ascii="Calibri" w:hAnsi="Calibri" w:cs="Calibri"/>
                <w:b/>
                <w:color w:val="000000"/>
                <w:sz w:val="20"/>
                <w:szCs w:val="20"/>
              </w:rPr>
              <w:t>Test</w:t>
            </w:r>
          </w:p>
        </w:tc>
        <w:tc>
          <w:tcPr>
            <w:tcW w:w="1196" w:type="dxa"/>
            <w:tcBorders>
              <w:top w:val="single" w:sz="4" w:space="0" w:color="auto"/>
              <w:bottom w:val="single" w:sz="4" w:space="0" w:color="auto"/>
            </w:tcBorders>
            <w:vAlign w:val="bottom"/>
          </w:tcPr>
          <w:p w14:paraId="5E660290" w14:textId="77777777" w:rsidR="00E47996" w:rsidRPr="00EA4C58" w:rsidRDefault="00E47996" w:rsidP="00F226BE">
            <w:pPr>
              <w:rPr>
                <w:b/>
                <w:sz w:val="20"/>
                <w:szCs w:val="20"/>
              </w:rPr>
            </w:pPr>
            <w:r w:rsidRPr="00EA4C58">
              <w:rPr>
                <w:rFonts w:ascii="Calibri" w:hAnsi="Calibri" w:cs="Calibri"/>
                <w:b/>
                <w:color w:val="000000"/>
                <w:sz w:val="20"/>
                <w:szCs w:val="20"/>
              </w:rPr>
              <w:t>Threshold</w:t>
            </w:r>
          </w:p>
        </w:tc>
        <w:tc>
          <w:tcPr>
            <w:tcW w:w="1572" w:type="dxa"/>
            <w:tcBorders>
              <w:top w:val="single" w:sz="4" w:space="0" w:color="auto"/>
              <w:bottom w:val="single" w:sz="4" w:space="0" w:color="auto"/>
            </w:tcBorders>
            <w:vAlign w:val="bottom"/>
          </w:tcPr>
          <w:p w14:paraId="0A7D3737" w14:textId="77777777" w:rsidR="00E47996" w:rsidRPr="00EA4C58" w:rsidRDefault="00E47996" w:rsidP="00F226BE">
            <w:pPr>
              <w:rPr>
                <w:b/>
                <w:sz w:val="20"/>
                <w:szCs w:val="20"/>
              </w:rPr>
            </w:pPr>
            <w:r w:rsidRPr="00EA4C58">
              <w:rPr>
                <w:rFonts w:ascii="Calibri" w:hAnsi="Calibri" w:cs="Calibri"/>
                <w:b/>
                <w:color w:val="000000"/>
                <w:sz w:val="20"/>
                <w:szCs w:val="20"/>
              </w:rPr>
              <w:t>Sensitivity (%)</w:t>
            </w:r>
          </w:p>
        </w:tc>
        <w:tc>
          <w:tcPr>
            <w:tcW w:w="1691" w:type="dxa"/>
            <w:tcBorders>
              <w:top w:val="single" w:sz="4" w:space="0" w:color="auto"/>
              <w:bottom w:val="single" w:sz="4" w:space="0" w:color="auto"/>
            </w:tcBorders>
            <w:vAlign w:val="bottom"/>
          </w:tcPr>
          <w:p w14:paraId="00BBF7D9" w14:textId="77777777" w:rsidR="00E47996" w:rsidRPr="00EA4C58" w:rsidRDefault="00E47996" w:rsidP="00F226BE">
            <w:pPr>
              <w:rPr>
                <w:b/>
                <w:sz w:val="20"/>
                <w:szCs w:val="20"/>
              </w:rPr>
            </w:pPr>
            <w:r w:rsidRPr="00EA4C58">
              <w:rPr>
                <w:rFonts w:ascii="Calibri" w:hAnsi="Calibri" w:cs="Calibri"/>
                <w:b/>
                <w:color w:val="000000"/>
                <w:sz w:val="20"/>
                <w:szCs w:val="20"/>
              </w:rPr>
              <w:t>Specificity (%)</w:t>
            </w:r>
          </w:p>
        </w:tc>
      </w:tr>
      <w:tr w:rsidR="00E275E7" w:rsidRPr="00EA4C58" w14:paraId="056DB6E6" w14:textId="77777777" w:rsidTr="007A32C2">
        <w:tc>
          <w:tcPr>
            <w:tcW w:w="1188" w:type="dxa"/>
            <w:vMerge w:val="restart"/>
            <w:tcBorders>
              <w:top w:val="single" w:sz="4" w:space="0" w:color="auto"/>
            </w:tcBorders>
          </w:tcPr>
          <w:p w14:paraId="550D751E" w14:textId="08143C98" w:rsidR="00E47996" w:rsidRPr="00EA4C58" w:rsidRDefault="00E47996" w:rsidP="00F226BE">
            <w:pPr>
              <w:rPr>
                <w:sz w:val="20"/>
                <w:szCs w:val="20"/>
              </w:rPr>
            </w:pPr>
            <w:r w:rsidRPr="00EA4C58">
              <w:rPr>
                <w:rFonts w:ascii="Calibri" w:hAnsi="Calibri" w:cs="Calibri"/>
                <w:color w:val="000000"/>
                <w:sz w:val="20"/>
                <w:szCs w:val="20"/>
              </w:rPr>
              <w:t>Hopper (2008)</w:t>
            </w:r>
            <w:r w:rsidR="00454636" w:rsidRPr="00EA4C58">
              <w:rPr>
                <w:rFonts w:ascii="Calibri" w:hAnsi="Calibri" w:cs="Calibri"/>
                <w:color w:val="000000"/>
                <w:sz w:val="20"/>
                <w:szCs w:val="20"/>
              </w:rPr>
              <w:fldChar w:fldCharType="begin">
                <w:fldData xml:space="preserve">PEVuZE5vdGU+PENpdGU+PEF1dGhvcj5Ib3BwZXI8L0F1dGhvcj48WWVhcj4yMDA4PC9ZZWFyPjxS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</w:fldData>
              </w:fldChar>
            </w:r>
            <w:r w:rsidR="00735CC0">
              <w:rPr>
                <w:rFonts w:ascii="Calibri" w:hAnsi="Calibri" w:cs="Calibri"/>
                <w:color w:val="000000"/>
                <w:sz w:val="20"/>
                <w:szCs w:val="20"/>
              </w:rPr>
              <w:instrText xml:space="preserve"> ADDIN EN.CITE </w:instrText>
            </w:r>
            <w:r w:rsidR="00735CC0">
              <w:rPr>
                <w:rFonts w:ascii="Calibri" w:hAnsi="Calibri" w:cs="Calibri"/>
                <w:color w:val="000000"/>
                <w:sz w:val="20"/>
                <w:szCs w:val="20"/>
              </w:rPr>
              <w:fldChar w:fldCharType="begin">
                <w:fldData xml:space="preserve">PEVuZE5vdGU+PENpdGU+PEF1dGhvcj5Ib3BwZXI8L0F1dGhvcj48WWVhcj4yMDA4PC9ZZWFyPjxS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</w:fldData>
              </w:fldChar>
            </w:r>
            <w:r w:rsidR="00735CC0">
              <w:rPr>
                <w:rFonts w:ascii="Calibri" w:hAnsi="Calibri" w:cs="Calibri"/>
                <w:color w:val="000000"/>
                <w:sz w:val="20"/>
                <w:szCs w:val="20"/>
              </w:rPr>
              <w:instrText xml:space="preserve"> ADDIN EN.CITE.DATA </w:instrText>
            </w:r>
            <w:r w:rsidR="00735CC0">
              <w:rPr>
                <w:rFonts w:ascii="Calibri" w:hAnsi="Calibri" w:cs="Calibri"/>
                <w:color w:val="000000"/>
                <w:sz w:val="20"/>
                <w:szCs w:val="20"/>
              </w:rPr>
            </w:r>
            <w:r w:rsidR="00735CC0">
              <w:rPr>
                <w:rFonts w:ascii="Calibri" w:hAnsi="Calibri" w:cs="Calibri"/>
                <w:color w:val="000000"/>
                <w:sz w:val="20"/>
                <w:szCs w:val="20"/>
              </w:rPr>
              <w:fldChar w:fldCharType="end"/>
            </w:r>
            <w:r w:rsidR="00454636" w:rsidRPr="00EA4C58">
              <w:rPr>
                <w:rFonts w:ascii="Calibri" w:hAnsi="Calibri" w:cs="Calibri"/>
                <w:color w:val="000000"/>
                <w:sz w:val="20"/>
                <w:szCs w:val="20"/>
              </w:rPr>
            </w:r>
            <w:r w:rsidR="00454636" w:rsidRPr="00EA4C58">
              <w:rPr>
                <w:rFonts w:ascii="Calibri" w:hAnsi="Calibri" w:cs="Calibri"/>
                <w:color w:val="000000"/>
                <w:sz w:val="20"/>
                <w:szCs w:val="20"/>
              </w:rPr>
              <w:fldChar w:fldCharType="separate"/>
            </w:r>
            <w:r w:rsidR="00735CC0" w:rsidRPr="00735CC0">
              <w:rPr>
                <w:rFonts w:ascii="Calibri" w:hAnsi="Calibri" w:cs="Calibri"/>
                <w:noProof/>
                <w:color w:val="000000"/>
                <w:sz w:val="20"/>
                <w:szCs w:val="20"/>
                <w:vertAlign w:val="superscript"/>
              </w:rPr>
              <w:t>90</w:t>
            </w:r>
            <w:r w:rsidR="00454636" w:rsidRPr="00EA4C58">
              <w:rPr>
                <w:rFonts w:ascii="Calibri" w:hAnsi="Calibri" w:cs="Calibri"/>
                <w:color w:val="000000"/>
                <w:sz w:val="20"/>
                <w:szCs w:val="20"/>
              </w:rPr>
              <w:fldChar w:fldCharType="end"/>
            </w:r>
          </w:p>
        </w:tc>
        <w:tc>
          <w:tcPr>
            <w:tcW w:w="1217" w:type="dxa"/>
            <w:vMerge w:val="restart"/>
            <w:tcBorders>
              <w:top w:val="single" w:sz="4" w:space="0" w:color="auto"/>
            </w:tcBorders>
          </w:tcPr>
          <w:p w14:paraId="0052EC2D" w14:textId="77777777" w:rsidR="00E47996" w:rsidRPr="00EA4C58" w:rsidRDefault="00E47996" w:rsidP="00F226BE">
            <w:pPr>
              <w:rPr>
                <w:rFonts w:ascii="Calibri" w:hAnsi="Calibri" w:cs="Calibri"/>
                <w:color w:val="000000"/>
                <w:sz w:val="20"/>
                <w:szCs w:val="20"/>
              </w:rPr>
            </w:pPr>
            <w:r w:rsidRPr="00EA4C58">
              <w:rPr>
                <w:rFonts w:ascii="Calibri" w:hAnsi="Calibri" w:cs="Calibri"/>
                <w:color w:val="000000"/>
                <w:sz w:val="20"/>
                <w:szCs w:val="20"/>
              </w:rPr>
              <w:t>Adults</w:t>
            </w:r>
          </w:p>
        </w:tc>
        <w:tc>
          <w:tcPr>
            <w:tcW w:w="670" w:type="dxa"/>
            <w:vMerge w:val="restart"/>
            <w:tcBorders>
              <w:top w:val="single" w:sz="4" w:space="0" w:color="auto"/>
            </w:tcBorders>
          </w:tcPr>
          <w:p w14:paraId="083B1986" w14:textId="77777777" w:rsidR="00E47996" w:rsidRPr="00EA4C58" w:rsidRDefault="00E47996" w:rsidP="00F226BE">
            <w:pPr>
              <w:jc w:val="right"/>
              <w:rPr>
                <w:sz w:val="20"/>
                <w:szCs w:val="20"/>
              </w:rPr>
            </w:pPr>
            <w:r w:rsidRPr="00EA4C58">
              <w:rPr>
                <w:rFonts w:ascii="Calibri" w:hAnsi="Calibri" w:cs="Calibri"/>
                <w:color w:val="000000"/>
                <w:sz w:val="20"/>
                <w:szCs w:val="20"/>
              </w:rPr>
              <w:t xml:space="preserve">2000 </w:t>
            </w:r>
          </w:p>
        </w:tc>
        <w:tc>
          <w:tcPr>
            <w:tcW w:w="1563" w:type="dxa"/>
            <w:tcBorders>
              <w:top w:val="single" w:sz="4" w:space="0" w:color="auto"/>
              <w:bottom w:val="single" w:sz="4" w:space="0" w:color="auto"/>
            </w:tcBorders>
            <w:vAlign w:val="bottom"/>
          </w:tcPr>
          <w:p w14:paraId="5E4ECC5F" w14:textId="77777777" w:rsidR="00E47996" w:rsidRPr="00EA4C58" w:rsidRDefault="00E47996" w:rsidP="00F226BE">
            <w:pPr>
              <w:rPr>
                <w:sz w:val="20"/>
                <w:szCs w:val="20"/>
              </w:rPr>
            </w:pPr>
            <w:r w:rsidRPr="00EA4C58">
              <w:rPr>
                <w:rFonts w:ascii="Calibri" w:hAnsi="Calibri" w:cs="Calibri"/>
                <w:color w:val="000000"/>
                <w:sz w:val="20"/>
                <w:szCs w:val="20"/>
              </w:rPr>
              <w:t>Both Positive</w:t>
            </w:r>
          </w:p>
        </w:tc>
        <w:tc>
          <w:tcPr>
            <w:tcW w:w="1196" w:type="dxa"/>
            <w:tcBorders>
              <w:top w:val="single" w:sz="4" w:space="0" w:color="auto"/>
              <w:bottom w:val="single" w:sz="4" w:space="0" w:color="auto"/>
            </w:tcBorders>
            <w:vAlign w:val="bottom"/>
          </w:tcPr>
          <w:p w14:paraId="1003448D" w14:textId="77777777" w:rsidR="00E47996" w:rsidRPr="00EA4C58" w:rsidRDefault="00E47996" w:rsidP="00F226BE">
            <w:pPr>
              <w:rPr>
                <w:sz w:val="20"/>
                <w:szCs w:val="20"/>
              </w:rPr>
            </w:pPr>
            <w:r w:rsidRPr="00EA4C58">
              <w:rPr>
                <w:sz w:val="20"/>
                <w:szCs w:val="20"/>
              </w:rPr>
              <w:t>NA</w:t>
            </w:r>
          </w:p>
        </w:tc>
        <w:tc>
          <w:tcPr>
            <w:tcW w:w="1572" w:type="dxa"/>
            <w:tcBorders>
              <w:top w:val="single" w:sz="4" w:space="0" w:color="auto"/>
              <w:bottom w:val="single" w:sz="4" w:space="0" w:color="auto"/>
            </w:tcBorders>
            <w:vAlign w:val="bottom"/>
          </w:tcPr>
          <w:p w14:paraId="68699CED" w14:textId="77777777" w:rsidR="00E47996" w:rsidRPr="00EA4C58" w:rsidRDefault="00E47996" w:rsidP="00F226BE">
            <w:pPr>
              <w:rPr>
                <w:sz w:val="20"/>
                <w:szCs w:val="20"/>
              </w:rPr>
            </w:pPr>
            <w:r w:rsidRPr="00EA4C58">
              <w:rPr>
                <w:rFonts w:ascii="Calibri" w:hAnsi="Calibri" w:cs="Calibri"/>
                <w:color w:val="000000"/>
                <w:sz w:val="20"/>
                <w:szCs w:val="20"/>
              </w:rPr>
              <w:t xml:space="preserve">86 (76, 92) </w:t>
            </w:r>
          </w:p>
        </w:tc>
        <w:tc>
          <w:tcPr>
            <w:tcW w:w="1691" w:type="dxa"/>
            <w:tcBorders>
              <w:top w:val="single" w:sz="4" w:space="0" w:color="auto"/>
              <w:bottom w:val="single" w:sz="4" w:space="0" w:color="auto"/>
            </w:tcBorders>
            <w:vAlign w:val="bottom"/>
          </w:tcPr>
          <w:p w14:paraId="36B629C8" w14:textId="77777777" w:rsidR="00E47996" w:rsidRPr="00EA4C58" w:rsidRDefault="00E47996" w:rsidP="00F226BE">
            <w:pPr>
              <w:rPr>
                <w:sz w:val="20"/>
                <w:szCs w:val="20"/>
              </w:rPr>
            </w:pPr>
            <w:r w:rsidRPr="00EA4C58">
              <w:rPr>
                <w:rFonts w:ascii="Calibri" w:hAnsi="Calibri" w:cs="Calibri"/>
                <w:color w:val="000000"/>
                <w:sz w:val="20"/>
                <w:szCs w:val="20"/>
              </w:rPr>
              <w:t>99 (98, 99)</w:t>
            </w:r>
          </w:p>
        </w:tc>
      </w:tr>
      <w:tr w:rsidR="00E275E7" w:rsidRPr="00EA4C58" w14:paraId="541E24E9" w14:textId="77777777" w:rsidTr="007A32C2">
        <w:tc>
          <w:tcPr>
            <w:tcW w:w="1188" w:type="dxa"/>
            <w:vMerge/>
            <w:vAlign w:val="bottom"/>
          </w:tcPr>
          <w:p w14:paraId="5D0E55D7" w14:textId="77777777" w:rsidR="00E47996" w:rsidRPr="00EA4C58" w:rsidRDefault="00E47996" w:rsidP="00F226BE">
            <w:pPr>
              <w:rPr>
                <w:sz w:val="20"/>
                <w:szCs w:val="20"/>
              </w:rPr>
            </w:pPr>
          </w:p>
        </w:tc>
        <w:tc>
          <w:tcPr>
            <w:tcW w:w="1217" w:type="dxa"/>
            <w:vMerge/>
          </w:tcPr>
          <w:p w14:paraId="0A001378" w14:textId="77777777" w:rsidR="00E47996" w:rsidRPr="00EA4C58" w:rsidRDefault="00E47996" w:rsidP="00F226BE">
            <w:pPr>
              <w:rPr>
                <w:sz w:val="20"/>
                <w:szCs w:val="20"/>
              </w:rPr>
            </w:pPr>
          </w:p>
        </w:tc>
        <w:tc>
          <w:tcPr>
            <w:tcW w:w="670" w:type="dxa"/>
            <w:vMerge/>
          </w:tcPr>
          <w:p w14:paraId="3FF78775" w14:textId="77777777" w:rsidR="00E47996" w:rsidRPr="00EA4C58" w:rsidRDefault="00E47996" w:rsidP="00F226BE">
            <w:pPr>
              <w:jc w:val="right"/>
              <w:rPr>
                <w:sz w:val="20"/>
                <w:szCs w:val="20"/>
              </w:rPr>
            </w:pPr>
          </w:p>
        </w:tc>
        <w:tc>
          <w:tcPr>
            <w:tcW w:w="1563" w:type="dxa"/>
            <w:tcBorders>
              <w:top w:val="single" w:sz="4" w:space="0" w:color="auto"/>
              <w:bottom w:val="single" w:sz="4" w:space="0" w:color="auto"/>
            </w:tcBorders>
            <w:vAlign w:val="bottom"/>
          </w:tcPr>
          <w:p w14:paraId="16147B6F" w14:textId="77777777" w:rsidR="00E47996" w:rsidRPr="00EA4C58" w:rsidRDefault="00E47996" w:rsidP="00F226BE">
            <w:pPr>
              <w:rPr>
                <w:sz w:val="20"/>
                <w:szCs w:val="20"/>
              </w:rPr>
            </w:pPr>
            <w:r w:rsidRPr="00EA4C58">
              <w:rPr>
                <w:rFonts w:ascii="Calibri" w:hAnsi="Calibri" w:cs="Calibri"/>
                <w:color w:val="000000"/>
                <w:sz w:val="20"/>
                <w:szCs w:val="20"/>
              </w:rPr>
              <w:t>Either positive</w:t>
            </w:r>
          </w:p>
        </w:tc>
        <w:tc>
          <w:tcPr>
            <w:tcW w:w="1196" w:type="dxa"/>
            <w:tcBorders>
              <w:top w:val="single" w:sz="4" w:space="0" w:color="auto"/>
              <w:bottom w:val="single" w:sz="4" w:space="0" w:color="auto"/>
            </w:tcBorders>
            <w:vAlign w:val="bottom"/>
          </w:tcPr>
          <w:p w14:paraId="2AD00254" w14:textId="77777777" w:rsidR="00E47996" w:rsidRPr="00EA4C58" w:rsidRDefault="00E47996" w:rsidP="00F226BE">
            <w:pPr>
              <w:rPr>
                <w:sz w:val="20"/>
                <w:szCs w:val="20"/>
              </w:rPr>
            </w:pPr>
            <w:r w:rsidRPr="00EA4C58">
              <w:rPr>
                <w:sz w:val="20"/>
                <w:szCs w:val="20"/>
              </w:rPr>
              <w:t>NA</w:t>
            </w:r>
          </w:p>
        </w:tc>
        <w:tc>
          <w:tcPr>
            <w:tcW w:w="1572" w:type="dxa"/>
            <w:tcBorders>
              <w:top w:val="single" w:sz="4" w:space="0" w:color="auto"/>
              <w:bottom w:val="single" w:sz="4" w:space="0" w:color="auto"/>
            </w:tcBorders>
            <w:vAlign w:val="bottom"/>
          </w:tcPr>
          <w:p w14:paraId="08F6226A" w14:textId="77777777" w:rsidR="00E47996" w:rsidRPr="00EA4C58" w:rsidRDefault="00E47996" w:rsidP="00F226BE">
            <w:pPr>
              <w:rPr>
                <w:sz w:val="20"/>
                <w:szCs w:val="20"/>
              </w:rPr>
            </w:pPr>
            <w:r w:rsidRPr="00EA4C58">
              <w:rPr>
                <w:rFonts w:ascii="Calibri" w:hAnsi="Calibri" w:cs="Calibri"/>
                <w:color w:val="000000"/>
                <w:sz w:val="20"/>
                <w:szCs w:val="20"/>
              </w:rPr>
              <w:t>92 (84, 96)</w:t>
            </w:r>
          </w:p>
        </w:tc>
        <w:tc>
          <w:tcPr>
            <w:tcW w:w="1691" w:type="dxa"/>
            <w:tcBorders>
              <w:top w:val="single" w:sz="4" w:space="0" w:color="auto"/>
              <w:bottom w:val="single" w:sz="4" w:space="0" w:color="auto"/>
            </w:tcBorders>
            <w:vAlign w:val="bottom"/>
          </w:tcPr>
          <w:p w14:paraId="65930470" w14:textId="77777777" w:rsidR="00E47996" w:rsidRPr="00EA4C58" w:rsidRDefault="00E47996" w:rsidP="00F226BE">
            <w:pPr>
              <w:rPr>
                <w:sz w:val="20"/>
                <w:szCs w:val="20"/>
              </w:rPr>
            </w:pPr>
            <w:r w:rsidRPr="00EA4C58">
              <w:rPr>
                <w:rFonts w:ascii="Calibri" w:hAnsi="Calibri" w:cs="Calibri"/>
                <w:color w:val="000000"/>
                <w:sz w:val="20"/>
                <w:szCs w:val="20"/>
              </w:rPr>
              <w:t>90 (89, 92)</w:t>
            </w:r>
          </w:p>
        </w:tc>
      </w:tr>
      <w:tr w:rsidR="00E275E7" w:rsidRPr="00EA4C58" w14:paraId="2B943083" w14:textId="77777777" w:rsidTr="007A32C2">
        <w:tc>
          <w:tcPr>
            <w:tcW w:w="1188" w:type="dxa"/>
            <w:vMerge/>
            <w:vAlign w:val="bottom"/>
          </w:tcPr>
          <w:p w14:paraId="237AF1E3" w14:textId="77777777" w:rsidR="00E47996" w:rsidRPr="00EA4C58" w:rsidRDefault="00E47996" w:rsidP="00F226BE">
            <w:pPr>
              <w:rPr>
                <w:sz w:val="20"/>
                <w:szCs w:val="20"/>
              </w:rPr>
            </w:pPr>
          </w:p>
        </w:tc>
        <w:tc>
          <w:tcPr>
            <w:tcW w:w="1217" w:type="dxa"/>
            <w:vMerge/>
          </w:tcPr>
          <w:p w14:paraId="3E9E52E1" w14:textId="77777777" w:rsidR="00E47996" w:rsidRPr="00EA4C58" w:rsidRDefault="00E47996" w:rsidP="00F226BE">
            <w:pPr>
              <w:rPr>
                <w:sz w:val="20"/>
                <w:szCs w:val="20"/>
              </w:rPr>
            </w:pPr>
          </w:p>
        </w:tc>
        <w:tc>
          <w:tcPr>
            <w:tcW w:w="670" w:type="dxa"/>
            <w:vMerge/>
          </w:tcPr>
          <w:p w14:paraId="5ADE4B2B" w14:textId="77777777" w:rsidR="00E47996" w:rsidRPr="00EA4C58" w:rsidRDefault="00E47996" w:rsidP="00F226BE">
            <w:pPr>
              <w:jc w:val="right"/>
              <w:rPr>
                <w:sz w:val="20"/>
                <w:szCs w:val="20"/>
              </w:rPr>
            </w:pPr>
          </w:p>
        </w:tc>
        <w:tc>
          <w:tcPr>
            <w:tcW w:w="1563" w:type="dxa"/>
            <w:tcBorders>
              <w:top w:val="single" w:sz="4" w:space="0" w:color="auto"/>
              <w:bottom w:val="single" w:sz="4" w:space="0" w:color="auto"/>
            </w:tcBorders>
            <w:vAlign w:val="bottom"/>
          </w:tcPr>
          <w:p w14:paraId="1CF68AC3" w14:textId="77777777" w:rsidR="00E47996" w:rsidRPr="00EA4C58" w:rsidRDefault="00E47996" w:rsidP="00F226BE">
            <w:pPr>
              <w:rPr>
                <w:sz w:val="20"/>
                <w:szCs w:val="20"/>
              </w:rPr>
            </w:pPr>
            <w:r w:rsidRPr="00EA4C58">
              <w:rPr>
                <w:rFonts w:ascii="Calibri" w:hAnsi="Calibri" w:cs="Calibri"/>
                <w:color w:val="000000"/>
                <w:sz w:val="20"/>
                <w:szCs w:val="20"/>
              </w:rPr>
              <w:t>tTG</w:t>
            </w:r>
          </w:p>
        </w:tc>
        <w:tc>
          <w:tcPr>
            <w:tcW w:w="1196" w:type="dxa"/>
            <w:tcBorders>
              <w:top w:val="single" w:sz="4" w:space="0" w:color="auto"/>
              <w:bottom w:val="single" w:sz="4" w:space="0" w:color="auto"/>
            </w:tcBorders>
            <w:vAlign w:val="center"/>
          </w:tcPr>
          <w:p w14:paraId="39362206" w14:textId="77777777" w:rsidR="00E47996" w:rsidRPr="00EA4C58" w:rsidRDefault="00E47996" w:rsidP="00F226BE">
            <w:pPr>
              <w:rPr>
                <w:sz w:val="20"/>
                <w:szCs w:val="20"/>
              </w:rPr>
            </w:pPr>
            <w:r w:rsidRPr="00EA4C58">
              <w:rPr>
                <w:rFonts w:ascii="Calibri" w:hAnsi="Calibri" w:cs="Calibri"/>
                <w:color w:val="000000"/>
                <w:sz w:val="20"/>
                <w:szCs w:val="20"/>
              </w:rPr>
              <w:t>15 U/mL</w:t>
            </w:r>
          </w:p>
        </w:tc>
        <w:tc>
          <w:tcPr>
            <w:tcW w:w="1572" w:type="dxa"/>
            <w:tcBorders>
              <w:top w:val="single" w:sz="4" w:space="0" w:color="auto"/>
              <w:bottom w:val="single" w:sz="4" w:space="0" w:color="auto"/>
            </w:tcBorders>
            <w:vAlign w:val="bottom"/>
          </w:tcPr>
          <w:p w14:paraId="6CC40915" w14:textId="77777777" w:rsidR="00E47996" w:rsidRPr="00EA4C58" w:rsidRDefault="00E47996" w:rsidP="00F226BE">
            <w:pPr>
              <w:rPr>
                <w:sz w:val="20"/>
                <w:szCs w:val="20"/>
              </w:rPr>
            </w:pPr>
            <w:r w:rsidRPr="00EA4C58">
              <w:rPr>
                <w:rFonts w:ascii="Calibri" w:hAnsi="Calibri" w:cs="Calibri"/>
                <w:color w:val="000000"/>
                <w:sz w:val="20"/>
                <w:szCs w:val="20"/>
              </w:rPr>
              <w:t xml:space="preserve">91 (82, 95) </w:t>
            </w:r>
          </w:p>
        </w:tc>
        <w:tc>
          <w:tcPr>
            <w:tcW w:w="1691" w:type="dxa"/>
            <w:tcBorders>
              <w:top w:val="single" w:sz="4" w:space="0" w:color="auto"/>
              <w:bottom w:val="single" w:sz="4" w:space="0" w:color="auto"/>
            </w:tcBorders>
            <w:vAlign w:val="bottom"/>
          </w:tcPr>
          <w:p w14:paraId="379D60B7" w14:textId="77777777" w:rsidR="00E47996" w:rsidRPr="00EA4C58" w:rsidRDefault="00E47996" w:rsidP="00F226BE">
            <w:pPr>
              <w:rPr>
                <w:sz w:val="20"/>
                <w:szCs w:val="20"/>
              </w:rPr>
            </w:pPr>
            <w:r w:rsidRPr="00EA4C58">
              <w:rPr>
                <w:rFonts w:ascii="Calibri" w:hAnsi="Calibri" w:cs="Calibri"/>
                <w:color w:val="000000"/>
                <w:sz w:val="20"/>
                <w:szCs w:val="20"/>
              </w:rPr>
              <w:t>91 (90, 92)</w:t>
            </w:r>
          </w:p>
        </w:tc>
      </w:tr>
      <w:tr w:rsidR="00E275E7" w:rsidRPr="00EA4C58" w14:paraId="3F14CF72" w14:textId="77777777" w:rsidTr="007A32C2">
        <w:tc>
          <w:tcPr>
            <w:tcW w:w="1188" w:type="dxa"/>
            <w:vMerge/>
            <w:tcBorders>
              <w:bottom w:val="single" w:sz="4" w:space="0" w:color="auto"/>
            </w:tcBorders>
            <w:vAlign w:val="bottom"/>
          </w:tcPr>
          <w:p w14:paraId="6F15D7DF" w14:textId="77777777" w:rsidR="00E47996" w:rsidRPr="00EA4C58" w:rsidRDefault="00E47996" w:rsidP="00F226BE">
            <w:pPr>
              <w:rPr>
                <w:sz w:val="20"/>
                <w:szCs w:val="20"/>
              </w:rPr>
            </w:pPr>
          </w:p>
        </w:tc>
        <w:tc>
          <w:tcPr>
            <w:tcW w:w="1217" w:type="dxa"/>
            <w:vMerge/>
            <w:tcBorders>
              <w:bottom w:val="single" w:sz="4" w:space="0" w:color="auto"/>
            </w:tcBorders>
          </w:tcPr>
          <w:p w14:paraId="34076E63" w14:textId="77777777" w:rsidR="00E47996" w:rsidRPr="00EA4C58" w:rsidRDefault="00E47996" w:rsidP="00F226BE">
            <w:pPr>
              <w:rPr>
                <w:sz w:val="20"/>
                <w:szCs w:val="20"/>
              </w:rPr>
            </w:pPr>
          </w:p>
        </w:tc>
        <w:tc>
          <w:tcPr>
            <w:tcW w:w="670" w:type="dxa"/>
            <w:vMerge/>
            <w:tcBorders>
              <w:bottom w:val="single" w:sz="4" w:space="0" w:color="auto"/>
            </w:tcBorders>
          </w:tcPr>
          <w:p w14:paraId="1C22A6DB" w14:textId="77777777" w:rsidR="00E47996" w:rsidRPr="00EA4C58" w:rsidRDefault="00E47996" w:rsidP="00F226BE">
            <w:pPr>
              <w:jc w:val="right"/>
              <w:rPr>
                <w:sz w:val="20"/>
                <w:szCs w:val="20"/>
              </w:rPr>
            </w:pPr>
          </w:p>
        </w:tc>
        <w:tc>
          <w:tcPr>
            <w:tcW w:w="1563" w:type="dxa"/>
            <w:tcBorders>
              <w:top w:val="single" w:sz="4" w:space="0" w:color="auto"/>
              <w:bottom w:val="single" w:sz="4" w:space="0" w:color="auto"/>
            </w:tcBorders>
            <w:vAlign w:val="bottom"/>
          </w:tcPr>
          <w:p w14:paraId="7867DFB2" w14:textId="77777777" w:rsidR="00E47996" w:rsidRPr="00EA4C58" w:rsidRDefault="00E47996" w:rsidP="00F226BE">
            <w:pPr>
              <w:rPr>
                <w:sz w:val="20"/>
                <w:szCs w:val="20"/>
              </w:rPr>
            </w:pPr>
            <w:r w:rsidRPr="00EA4C58">
              <w:rPr>
                <w:rFonts w:ascii="Calibri" w:hAnsi="Calibri" w:cs="Calibri"/>
                <w:color w:val="000000"/>
                <w:sz w:val="20"/>
                <w:szCs w:val="20"/>
              </w:rPr>
              <w:t>EMA</w:t>
            </w:r>
          </w:p>
        </w:tc>
        <w:tc>
          <w:tcPr>
            <w:tcW w:w="1196" w:type="dxa"/>
            <w:tcBorders>
              <w:top w:val="single" w:sz="4" w:space="0" w:color="auto"/>
              <w:bottom w:val="single" w:sz="4" w:space="0" w:color="auto"/>
            </w:tcBorders>
            <w:vAlign w:val="center"/>
          </w:tcPr>
          <w:p w14:paraId="43FD9C16" w14:textId="77777777" w:rsidR="00E47996" w:rsidRPr="00EA4C58" w:rsidRDefault="00E47996" w:rsidP="00F226BE">
            <w:pPr>
              <w:rPr>
                <w:sz w:val="20"/>
                <w:szCs w:val="20"/>
              </w:rPr>
            </w:pPr>
            <w:r w:rsidRPr="00EA4C58">
              <w:rPr>
                <w:rFonts w:ascii="Calibri" w:hAnsi="Calibri" w:cs="Calibri"/>
                <w:color w:val="000000"/>
                <w:sz w:val="20"/>
                <w:szCs w:val="20"/>
              </w:rPr>
              <w:t>01:04</w:t>
            </w:r>
          </w:p>
        </w:tc>
        <w:tc>
          <w:tcPr>
            <w:tcW w:w="1572" w:type="dxa"/>
            <w:tcBorders>
              <w:top w:val="single" w:sz="4" w:space="0" w:color="auto"/>
              <w:bottom w:val="single" w:sz="4" w:space="0" w:color="auto"/>
            </w:tcBorders>
            <w:vAlign w:val="bottom"/>
          </w:tcPr>
          <w:p w14:paraId="7359CB89" w14:textId="77777777" w:rsidR="00E47996" w:rsidRPr="00EA4C58" w:rsidRDefault="00E47996" w:rsidP="00F226BE">
            <w:pPr>
              <w:rPr>
                <w:sz w:val="20"/>
                <w:szCs w:val="20"/>
              </w:rPr>
            </w:pPr>
            <w:r w:rsidRPr="00EA4C58">
              <w:rPr>
                <w:rFonts w:ascii="Calibri" w:hAnsi="Calibri" w:cs="Calibri"/>
                <w:color w:val="000000"/>
                <w:sz w:val="20"/>
                <w:szCs w:val="20"/>
              </w:rPr>
              <w:t>87 (78, 93)</w:t>
            </w:r>
          </w:p>
        </w:tc>
        <w:tc>
          <w:tcPr>
            <w:tcW w:w="1691" w:type="dxa"/>
            <w:tcBorders>
              <w:top w:val="single" w:sz="4" w:space="0" w:color="auto"/>
              <w:bottom w:val="single" w:sz="4" w:space="0" w:color="auto"/>
            </w:tcBorders>
            <w:vAlign w:val="bottom"/>
          </w:tcPr>
          <w:p w14:paraId="56E234EA" w14:textId="77777777" w:rsidR="00E47996" w:rsidRPr="00EA4C58" w:rsidRDefault="00E47996" w:rsidP="00F226BE">
            <w:pPr>
              <w:rPr>
                <w:sz w:val="20"/>
                <w:szCs w:val="20"/>
              </w:rPr>
            </w:pPr>
            <w:r w:rsidRPr="00EA4C58">
              <w:rPr>
                <w:rFonts w:ascii="Calibri" w:hAnsi="Calibri" w:cs="Calibri"/>
                <w:color w:val="000000"/>
                <w:sz w:val="20"/>
                <w:szCs w:val="20"/>
              </w:rPr>
              <w:t>98 (97, 99)</w:t>
            </w:r>
          </w:p>
        </w:tc>
      </w:tr>
      <w:tr w:rsidR="00E275E7" w:rsidRPr="00EA4C58" w14:paraId="1C03013A" w14:textId="77777777" w:rsidTr="007A32C2">
        <w:trPr>
          <w:trHeight w:val="169"/>
        </w:trPr>
        <w:tc>
          <w:tcPr>
            <w:tcW w:w="1188" w:type="dxa"/>
            <w:vMerge w:val="restart"/>
            <w:tcBorders>
              <w:top w:val="single" w:sz="4" w:space="0" w:color="auto"/>
            </w:tcBorders>
          </w:tcPr>
          <w:p w14:paraId="1C672B79" w14:textId="18A545AE" w:rsidR="00E47996" w:rsidRPr="00EA4C58" w:rsidRDefault="00E47996" w:rsidP="00F226BE">
            <w:pPr>
              <w:rPr>
                <w:sz w:val="20"/>
                <w:szCs w:val="20"/>
              </w:rPr>
            </w:pPr>
            <w:r w:rsidRPr="00EA4C58">
              <w:rPr>
                <w:rFonts w:ascii="Calibri" w:hAnsi="Calibri" w:cs="Calibri"/>
                <w:color w:val="000000"/>
                <w:sz w:val="20"/>
                <w:szCs w:val="20"/>
              </w:rPr>
              <w:t>Wolf (2017)</w:t>
            </w:r>
            <w:r w:rsidR="00454636" w:rsidRPr="00EA4C58">
              <w:rPr>
                <w:rFonts w:ascii="Calibri" w:hAnsi="Calibri" w:cs="Calibri"/>
                <w:color w:val="000000"/>
                <w:sz w:val="20"/>
                <w:szCs w:val="20"/>
              </w:rPr>
              <w:fldChar w:fldCharType="begin">
                <w:fldData xml:space="preserve">PEVuZE5vdGU+PENpdGU+PEF1dGhvcj5Xb2xmPC9BdXRob3I+PFllYXI+MjAxNzwvWWVhcj48UmVj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==
</w:fldData>
              </w:fldChar>
            </w:r>
            <w:r w:rsidR="00735CC0">
              <w:rPr>
                <w:rFonts w:ascii="Calibri" w:hAnsi="Calibri" w:cs="Calibri"/>
                <w:color w:val="000000"/>
                <w:sz w:val="20"/>
                <w:szCs w:val="20"/>
              </w:rPr>
              <w:instrText xml:space="preserve"> ADDIN EN.CITE </w:instrText>
            </w:r>
            <w:r w:rsidR="00735CC0">
              <w:rPr>
                <w:rFonts w:ascii="Calibri" w:hAnsi="Calibri" w:cs="Calibri"/>
                <w:color w:val="000000"/>
                <w:sz w:val="20"/>
                <w:szCs w:val="20"/>
              </w:rPr>
              <w:fldChar w:fldCharType="begin">
                <w:fldData xml:space="preserve">PEVuZE5vdGU+PENpdGU+PEF1dGhvcj5Xb2xmPC9BdXRob3I+PFllYXI+MjAxNzwvWWVhcj48UmVj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==
</w:fldData>
              </w:fldChar>
            </w:r>
            <w:r w:rsidR="00735CC0">
              <w:rPr>
                <w:rFonts w:ascii="Calibri" w:hAnsi="Calibri" w:cs="Calibri"/>
                <w:color w:val="000000"/>
                <w:sz w:val="20"/>
                <w:szCs w:val="20"/>
              </w:rPr>
              <w:instrText xml:space="preserve"> ADDIN EN.CITE.DATA </w:instrText>
            </w:r>
            <w:r w:rsidR="00735CC0">
              <w:rPr>
                <w:rFonts w:ascii="Calibri" w:hAnsi="Calibri" w:cs="Calibri"/>
                <w:color w:val="000000"/>
                <w:sz w:val="20"/>
                <w:szCs w:val="20"/>
              </w:rPr>
            </w:r>
            <w:r w:rsidR="00735CC0">
              <w:rPr>
                <w:rFonts w:ascii="Calibri" w:hAnsi="Calibri" w:cs="Calibri"/>
                <w:color w:val="000000"/>
                <w:sz w:val="20"/>
                <w:szCs w:val="20"/>
              </w:rPr>
              <w:fldChar w:fldCharType="end"/>
            </w:r>
            <w:r w:rsidR="00454636" w:rsidRPr="00EA4C58">
              <w:rPr>
                <w:rFonts w:ascii="Calibri" w:hAnsi="Calibri" w:cs="Calibri"/>
                <w:color w:val="000000"/>
                <w:sz w:val="20"/>
                <w:szCs w:val="20"/>
              </w:rPr>
            </w:r>
            <w:r w:rsidR="00454636" w:rsidRPr="00EA4C58">
              <w:rPr>
                <w:rFonts w:ascii="Calibri" w:hAnsi="Calibri" w:cs="Calibri"/>
                <w:color w:val="000000"/>
                <w:sz w:val="20"/>
                <w:szCs w:val="20"/>
              </w:rPr>
              <w:fldChar w:fldCharType="separate"/>
            </w:r>
            <w:r w:rsidR="00735CC0" w:rsidRPr="00735CC0">
              <w:rPr>
                <w:rFonts w:ascii="Calibri" w:hAnsi="Calibri" w:cs="Calibri"/>
                <w:noProof/>
                <w:color w:val="000000"/>
                <w:sz w:val="20"/>
                <w:szCs w:val="20"/>
                <w:vertAlign w:val="superscript"/>
              </w:rPr>
              <w:t>121</w:t>
            </w:r>
            <w:r w:rsidR="00454636" w:rsidRPr="00EA4C58">
              <w:rPr>
                <w:rFonts w:ascii="Calibri" w:hAnsi="Calibri" w:cs="Calibri"/>
                <w:color w:val="000000"/>
                <w:sz w:val="20"/>
                <w:szCs w:val="20"/>
              </w:rPr>
              <w:fldChar w:fldCharType="end"/>
            </w:r>
          </w:p>
        </w:tc>
        <w:tc>
          <w:tcPr>
            <w:tcW w:w="1217" w:type="dxa"/>
            <w:vMerge w:val="restart"/>
            <w:tcBorders>
              <w:top w:val="single" w:sz="4" w:space="0" w:color="auto"/>
            </w:tcBorders>
          </w:tcPr>
          <w:p w14:paraId="3CFB7961" w14:textId="77777777" w:rsidR="00E47996" w:rsidRPr="00EA4C58" w:rsidRDefault="00E47996" w:rsidP="00F226BE">
            <w:pPr>
              <w:rPr>
                <w:rFonts w:ascii="Calibri" w:hAnsi="Calibri" w:cs="Calibri"/>
                <w:color w:val="000000"/>
                <w:sz w:val="20"/>
                <w:szCs w:val="20"/>
              </w:rPr>
            </w:pPr>
            <w:r w:rsidRPr="00EA4C58">
              <w:rPr>
                <w:rFonts w:ascii="Calibri" w:hAnsi="Calibri" w:cs="Calibri"/>
                <w:color w:val="000000"/>
                <w:sz w:val="20"/>
                <w:szCs w:val="20"/>
              </w:rPr>
              <w:t>Children</w:t>
            </w:r>
          </w:p>
        </w:tc>
        <w:tc>
          <w:tcPr>
            <w:tcW w:w="670" w:type="dxa"/>
            <w:vMerge w:val="restart"/>
            <w:tcBorders>
              <w:top w:val="single" w:sz="4" w:space="0" w:color="auto"/>
            </w:tcBorders>
          </w:tcPr>
          <w:p w14:paraId="166C4F77" w14:textId="77777777" w:rsidR="00E47996" w:rsidRPr="00EA4C58" w:rsidRDefault="00E47996" w:rsidP="00F226BE">
            <w:pPr>
              <w:jc w:val="right"/>
              <w:rPr>
                <w:sz w:val="20"/>
                <w:szCs w:val="20"/>
              </w:rPr>
            </w:pPr>
            <w:r w:rsidRPr="00EA4C58">
              <w:rPr>
                <w:rFonts w:ascii="Calibri" w:hAnsi="Calibri" w:cs="Calibri"/>
                <w:color w:val="000000"/>
                <w:sz w:val="20"/>
                <w:szCs w:val="20"/>
              </w:rPr>
              <w:t xml:space="preserve">873 </w:t>
            </w:r>
          </w:p>
        </w:tc>
        <w:tc>
          <w:tcPr>
            <w:tcW w:w="1563" w:type="dxa"/>
            <w:tcBorders>
              <w:top w:val="single" w:sz="4" w:space="0" w:color="auto"/>
              <w:bottom w:val="single" w:sz="4" w:space="0" w:color="auto"/>
            </w:tcBorders>
            <w:vAlign w:val="bottom"/>
          </w:tcPr>
          <w:p w14:paraId="543137CF" w14:textId="77777777" w:rsidR="00E47996" w:rsidRPr="00EA4C58" w:rsidRDefault="00E47996" w:rsidP="00F226BE">
            <w:pPr>
              <w:rPr>
                <w:sz w:val="20"/>
                <w:szCs w:val="20"/>
              </w:rPr>
            </w:pPr>
            <w:r w:rsidRPr="00EA4C58">
              <w:rPr>
                <w:rFonts w:ascii="Calibri" w:hAnsi="Calibri" w:cs="Calibri"/>
                <w:color w:val="000000"/>
                <w:sz w:val="20"/>
                <w:szCs w:val="20"/>
              </w:rPr>
              <w:t>Both Positive</w:t>
            </w:r>
          </w:p>
        </w:tc>
        <w:tc>
          <w:tcPr>
            <w:tcW w:w="1196" w:type="dxa"/>
            <w:tcBorders>
              <w:top w:val="single" w:sz="4" w:space="0" w:color="auto"/>
              <w:bottom w:val="single" w:sz="4" w:space="0" w:color="auto"/>
            </w:tcBorders>
            <w:vAlign w:val="bottom"/>
          </w:tcPr>
          <w:p w14:paraId="7F36E726" w14:textId="77777777" w:rsidR="00E47996" w:rsidRPr="00EA4C58" w:rsidRDefault="00E47996" w:rsidP="00F226BE">
            <w:pPr>
              <w:rPr>
                <w:sz w:val="20"/>
                <w:szCs w:val="20"/>
              </w:rPr>
            </w:pPr>
            <w:r w:rsidRPr="00EA4C58">
              <w:rPr>
                <w:sz w:val="20"/>
                <w:szCs w:val="20"/>
              </w:rPr>
              <w:t>NA</w:t>
            </w:r>
          </w:p>
        </w:tc>
        <w:tc>
          <w:tcPr>
            <w:tcW w:w="1572" w:type="dxa"/>
            <w:tcBorders>
              <w:top w:val="single" w:sz="4" w:space="0" w:color="auto"/>
              <w:bottom w:val="single" w:sz="4" w:space="0" w:color="auto"/>
            </w:tcBorders>
            <w:vAlign w:val="bottom"/>
          </w:tcPr>
          <w:p w14:paraId="784E8CAB" w14:textId="77777777" w:rsidR="00E47996" w:rsidRPr="00EA4C58" w:rsidRDefault="00E47996" w:rsidP="00F226BE">
            <w:pPr>
              <w:rPr>
                <w:sz w:val="20"/>
                <w:szCs w:val="20"/>
              </w:rPr>
            </w:pPr>
            <w:r w:rsidRPr="00EA4C58">
              <w:rPr>
                <w:rFonts w:ascii="Calibri" w:hAnsi="Calibri" w:cs="Calibri"/>
                <w:color w:val="000000"/>
                <w:sz w:val="20"/>
                <w:szCs w:val="20"/>
              </w:rPr>
              <w:t>95 (93, 97)</w:t>
            </w:r>
          </w:p>
        </w:tc>
        <w:tc>
          <w:tcPr>
            <w:tcW w:w="1691" w:type="dxa"/>
            <w:tcBorders>
              <w:top w:val="single" w:sz="4" w:space="0" w:color="auto"/>
              <w:bottom w:val="single" w:sz="4" w:space="0" w:color="auto"/>
            </w:tcBorders>
            <w:vAlign w:val="bottom"/>
          </w:tcPr>
          <w:p w14:paraId="787783AA" w14:textId="77777777" w:rsidR="00E47996" w:rsidRPr="00EA4C58" w:rsidRDefault="00E47996" w:rsidP="00F226BE">
            <w:pPr>
              <w:rPr>
                <w:sz w:val="20"/>
                <w:szCs w:val="20"/>
              </w:rPr>
            </w:pPr>
            <w:r w:rsidRPr="00EA4C58">
              <w:rPr>
                <w:rFonts w:ascii="Calibri" w:hAnsi="Calibri" w:cs="Calibri"/>
                <w:color w:val="000000"/>
                <w:sz w:val="20"/>
                <w:szCs w:val="20"/>
              </w:rPr>
              <w:t>95 (92, 97)</w:t>
            </w:r>
          </w:p>
        </w:tc>
      </w:tr>
      <w:tr w:rsidR="00E275E7" w:rsidRPr="00EA4C58" w14:paraId="0EEF9469" w14:textId="77777777" w:rsidTr="007A32C2">
        <w:tc>
          <w:tcPr>
            <w:tcW w:w="1188" w:type="dxa"/>
            <w:vMerge/>
            <w:vAlign w:val="bottom"/>
          </w:tcPr>
          <w:p w14:paraId="3A52DA46" w14:textId="77777777" w:rsidR="00E47996" w:rsidRPr="00EA4C58" w:rsidRDefault="00E47996" w:rsidP="00F226BE">
            <w:pPr>
              <w:rPr>
                <w:sz w:val="20"/>
                <w:szCs w:val="20"/>
              </w:rPr>
            </w:pPr>
          </w:p>
        </w:tc>
        <w:tc>
          <w:tcPr>
            <w:tcW w:w="1217" w:type="dxa"/>
            <w:vMerge/>
          </w:tcPr>
          <w:p w14:paraId="178C7EDB" w14:textId="77777777" w:rsidR="00E47996" w:rsidRPr="00EA4C58" w:rsidRDefault="00E47996" w:rsidP="00F226BE">
            <w:pPr>
              <w:rPr>
                <w:sz w:val="20"/>
                <w:szCs w:val="20"/>
              </w:rPr>
            </w:pPr>
          </w:p>
        </w:tc>
        <w:tc>
          <w:tcPr>
            <w:tcW w:w="670" w:type="dxa"/>
            <w:vMerge/>
            <w:vAlign w:val="bottom"/>
          </w:tcPr>
          <w:p w14:paraId="03EB5FB8" w14:textId="77777777" w:rsidR="00E47996" w:rsidRPr="00EA4C58" w:rsidRDefault="00E47996" w:rsidP="00F226BE">
            <w:pPr>
              <w:rPr>
                <w:sz w:val="20"/>
                <w:szCs w:val="20"/>
              </w:rPr>
            </w:pPr>
          </w:p>
        </w:tc>
        <w:tc>
          <w:tcPr>
            <w:tcW w:w="1563" w:type="dxa"/>
            <w:tcBorders>
              <w:top w:val="single" w:sz="4" w:space="0" w:color="auto"/>
              <w:bottom w:val="single" w:sz="4" w:space="0" w:color="auto"/>
            </w:tcBorders>
            <w:vAlign w:val="bottom"/>
          </w:tcPr>
          <w:p w14:paraId="77C3C63F" w14:textId="77777777" w:rsidR="00E47996" w:rsidRPr="00EA4C58" w:rsidRDefault="00E47996" w:rsidP="00F226BE">
            <w:pPr>
              <w:rPr>
                <w:sz w:val="20"/>
                <w:szCs w:val="20"/>
              </w:rPr>
            </w:pPr>
            <w:r w:rsidRPr="00EA4C58">
              <w:rPr>
                <w:rFonts w:ascii="Calibri" w:hAnsi="Calibri" w:cs="Calibri"/>
                <w:color w:val="000000"/>
                <w:sz w:val="20"/>
                <w:szCs w:val="20"/>
              </w:rPr>
              <w:t>Either positive</w:t>
            </w:r>
          </w:p>
        </w:tc>
        <w:tc>
          <w:tcPr>
            <w:tcW w:w="1196" w:type="dxa"/>
            <w:tcBorders>
              <w:top w:val="single" w:sz="4" w:space="0" w:color="auto"/>
              <w:bottom w:val="single" w:sz="4" w:space="0" w:color="auto"/>
            </w:tcBorders>
            <w:vAlign w:val="bottom"/>
          </w:tcPr>
          <w:p w14:paraId="2C9945C4" w14:textId="77777777" w:rsidR="00E47996" w:rsidRPr="00EA4C58" w:rsidRDefault="00E47996" w:rsidP="00F226BE">
            <w:pPr>
              <w:rPr>
                <w:sz w:val="20"/>
                <w:szCs w:val="20"/>
              </w:rPr>
            </w:pPr>
            <w:r w:rsidRPr="00EA4C58">
              <w:rPr>
                <w:sz w:val="20"/>
                <w:szCs w:val="20"/>
              </w:rPr>
              <w:t>NA</w:t>
            </w:r>
          </w:p>
        </w:tc>
        <w:tc>
          <w:tcPr>
            <w:tcW w:w="1572" w:type="dxa"/>
            <w:tcBorders>
              <w:top w:val="single" w:sz="4" w:space="0" w:color="auto"/>
              <w:bottom w:val="single" w:sz="4" w:space="0" w:color="auto"/>
            </w:tcBorders>
            <w:vAlign w:val="bottom"/>
          </w:tcPr>
          <w:p w14:paraId="0F1632D1" w14:textId="77777777" w:rsidR="00E47996" w:rsidRPr="00EA4C58" w:rsidRDefault="00E47996" w:rsidP="00F226BE">
            <w:pPr>
              <w:rPr>
                <w:sz w:val="20"/>
                <w:szCs w:val="20"/>
              </w:rPr>
            </w:pPr>
            <w:r w:rsidRPr="00EA4C58">
              <w:rPr>
                <w:rFonts w:ascii="Calibri" w:hAnsi="Calibri" w:cs="Calibri"/>
                <w:color w:val="000000"/>
                <w:sz w:val="20"/>
                <w:szCs w:val="20"/>
              </w:rPr>
              <w:t>97 (95, 98)</w:t>
            </w:r>
          </w:p>
        </w:tc>
        <w:tc>
          <w:tcPr>
            <w:tcW w:w="1691" w:type="dxa"/>
            <w:tcBorders>
              <w:top w:val="single" w:sz="4" w:space="0" w:color="auto"/>
              <w:bottom w:val="single" w:sz="4" w:space="0" w:color="auto"/>
            </w:tcBorders>
            <w:vAlign w:val="bottom"/>
          </w:tcPr>
          <w:p w14:paraId="61A841C2" w14:textId="77777777" w:rsidR="00E47996" w:rsidRPr="00EA4C58" w:rsidRDefault="00E47996" w:rsidP="00F226BE">
            <w:pPr>
              <w:rPr>
                <w:sz w:val="20"/>
                <w:szCs w:val="20"/>
              </w:rPr>
            </w:pPr>
            <w:r w:rsidRPr="00EA4C58">
              <w:rPr>
                <w:rFonts w:ascii="Calibri" w:hAnsi="Calibri" w:cs="Calibri"/>
                <w:color w:val="000000"/>
                <w:sz w:val="20"/>
                <w:szCs w:val="20"/>
              </w:rPr>
              <w:t>89 (86, 92)</w:t>
            </w:r>
          </w:p>
        </w:tc>
      </w:tr>
      <w:tr w:rsidR="00E275E7" w:rsidRPr="00EA4C58" w14:paraId="6CF72639" w14:textId="77777777" w:rsidTr="007A32C2">
        <w:tc>
          <w:tcPr>
            <w:tcW w:w="1188" w:type="dxa"/>
            <w:vMerge/>
            <w:vAlign w:val="bottom"/>
          </w:tcPr>
          <w:p w14:paraId="181D26F6" w14:textId="77777777" w:rsidR="00E47996" w:rsidRPr="00EA4C58" w:rsidRDefault="00E47996" w:rsidP="00F226BE">
            <w:pPr>
              <w:rPr>
                <w:sz w:val="20"/>
                <w:szCs w:val="20"/>
              </w:rPr>
            </w:pPr>
          </w:p>
        </w:tc>
        <w:tc>
          <w:tcPr>
            <w:tcW w:w="1217" w:type="dxa"/>
            <w:vMerge/>
          </w:tcPr>
          <w:p w14:paraId="316C624A" w14:textId="77777777" w:rsidR="00E47996" w:rsidRPr="00EA4C58" w:rsidRDefault="00E47996" w:rsidP="00F226BE">
            <w:pPr>
              <w:rPr>
                <w:sz w:val="20"/>
                <w:szCs w:val="20"/>
              </w:rPr>
            </w:pPr>
          </w:p>
        </w:tc>
        <w:tc>
          <w:tcPr>
            <w:tcW w:w="670" w:type="dxa"/>
            <w:vMerge/>
            <w:vAlign w:val="bottom"/>
          </w:tcPr>
          <w:p w14:paraId="26039032" w14:textId="77777777" w:rsidR="00E47996" w:rsidRPr="00EA4C58" w:rsidRDefault="00E47996" w:rsidP="00F226BE">
            <w:pPr>
              <w:rPr>
                <w:sz w:val="20"/>
                <w:szCs w:val="20"/>
              </w:rPr>
            </w:pPr>
          </w:p>
        </w:tc>
        <w:tc>
          <w:tcPr>
            <w:tcW w:w="1563" w:type="dxa"/>
            <w:tcBorders>
              <w:top w:val="single" w:sz="4" w:space="0" w:color="auto"/>
              <w:bottom w:val="single" w:sz="4" w:space="0" w:color="auto"/>
            </w:tcBorders>
            <w:vAlign w:val="bottom"/>
          </w:tcPr>
          <w:p w14:paraId="71BF836F" w14:textId="77777777" w:rsidR="00E47996" w:rsidRPr="00EA4C58" w:rsidRDefault="00E47996" w:rsidP="00F226BE">
            <w:pPr>
              <w:rPr>
                <w:sz w:val="20"/>
                <w:szCs w:val="20"/>
              </w:rPr>
            </w:pPr>
            <w:r w:rsidRPr="00EA4C58">
              <w:rPr>
                <w:rFonts w:ascii="Calibri" w:hAnsi="Calibri" w:cs="Calibri"/>
                <w:color w:val="000000"/>
                <w:sz w:val="20"/>
                <w:szCs w:val="20"/>
              </w:rPr>
              <w:t>tTG</w:t>
            </w:r>
          </w:p>
        </w:tc>
        <w:tc>
          <w:tcPr>
            <w:tcW w:w="1196" w:type="dxa"/>
            <w:tcBorders>
              <w:top w:val="single" w:sz="4" w:space="0" w:color="auto"/>
              <w:bottom w:val="single" w:sz="4" w:space="0" w:color="auto"/>
            </w:tcBorders>
            <w:vAlign w:val="center"/>
          </w:tcPr>
          <w:p w14:paraId="5B223F25" w14:textId="77777777" w:rsidR="00E47996" w:rsidRPr="00EA4C58" w:rsidRDefault="00E47996" w:rsidP="00F226BE">
            <w:pPr>
              <w:rPr>
                <w:sz w:val="20"/>
                <w:szCs w:val="20"/>
              </w:rPr>
            </w:pPr>
            <w:r w:rsidRPr="00EA4C58">
              <w:rPr>
                <w:rFonts w:ascii="Calibri" w:hAnsi="Calibri" w:cs="Calibri"/>
                <w:color w:val="000000"/>
                <w:sz w:val="20"/>
                <w:szCs w:val="20"/>
              </w:rPr>
              <w:t>20 U/mL</w:t>
            </w:r>
          </w:p>
        </w:tc>
        <w:tc>
          <w:tcPr>
            <w:tcW w:w="1572" w:type="dxa"/>
            <w:tcBorders>
              <w:top w:val="single" w:sz="4" w:space="0" w:color="auto"/>
              <w:bottom w:val="single" w:sz="4" w:space="0" w:color="auto"/>
            </w:tcBorders>
            <w:vAlign w:val="bottom"/>
          </w:tcPr>
          <w:p w14:paraId="4BDD582A" w14:textId="77777777" w:rsidR="00E47996" w:rsidRPr="00EA4C58" w:rsidRDefault="00E47996" w:rsidP="00F226BE">
            <w:pPr>
              <w:rPr>
                <w:sz w:val="20"/>
                <w:szCs w:val="20"/>
              </w:rPr>
            </w:pPr>
            <w:r w:rsidRPr="00EA4C58">
              <w:rPr>
                <w:rFonts w:ascii="Calibri" w:hAnsi="Calibri" w:cs="Calibri"/>
                <w:color w:val="000000"/>
                <w:sz w:val="20"/>
                <w:szCs w:val="20"/>
              </w:rPr>
              <w:t>97 (95, 98)</w:t>
            </w:r>
          </w:p>
        </w:tc>
        <w:tc>
          <w:tcPr>
            <w:tcW w:w="1691" w:type="dxa"/>
            <w:tcBorders>
              <w:top w:val="single" w:sz="4" w:space="0" w:color="auto"/>
              <w:bottom w:val="single" w:sz="4" w:space="0" w:color="auto"/>
            </w:tcBorders>
            <w:vAlign w:val="bottom"/>
          </w:tcPr>
          <w:p w14:paraId="058C286A" w14:textId="77777777" w:rsidR="00E47996" w:rsidRPr="00EA4C58" w:rsidRDefault="00E47996" w:rsidP="00F226BE">
            <w:pPr>
              <w:rPr>
                <w:sz w:val="20"/>
                <w:szCs w:val="20"/>
              </w:rPr>
            </w:pPr>
            <w:r w:rsidRPr="00EA4C58">
              <w:rPr>
                <w:rFonts w:ascii="Calibri" w:hAnsi="Calibri" w:cs="Calibri"/>
                <w:color w:val="000000"/>
                <w:sz w:val="20"/>
                <w:szCs w:val="20"/>
              </w:rPr>
              <w:t>89 (86, 92)</w:t>
            </w:r>
          </w:p>
        </w:tc>
      </w:tr>
      <w:tr w:rsidR="00E275E7" w:rsidRPr="00EA4C58" w14:paraId="53CC2BEB" w14:textId="77777777" w:rsidTr="007A32C2">
        <w:tc>
          <w:tcPr>
            <w:tcW w:w="1188" w:type="dxa"/>
            <w:vMerge/>
            <w:tcBorders>
              <w:bottom w:val="single" w:sz="4" w:space="0" w:color="auto"/>
            </w:tcBorders>
            <w:vAlign w:val="bottom"/>
          </w:tcPr>
          <w:p w14:paraId="60824FFE" w14:textId="77777777" w:rsidR="00E47996" w:rsidRPr="00EA4C58" w:rsidRDefault="00E47996" w:rsidP="00F226BE">
            <w:pPr>
              <w:rPr>
                <w:sz w:val="20"/>
                <w:szCs w:val="20"/>
              </w:rPr>
            </w:pPr>
          </w:p>
        </w:tc>
        <w:tc>
          <w:tcPr>
            <w:tcW w:w="1217" w:type="dxa"/>
            <w:vMerge/>
            <w:tcBorders>
              <w:bottom w:val="single" w:sz="4" w:space="0" w:color="auto"/>
            </w:tcBorders>
          </w:tcPr>
          <w:p w14:paraId="0243A3B6" w14:textId="77777777" w:rsidR="00E47996" w:rsidRPr="00EA4C58" w:rsidRDefault="00E47996" w:rsidP="00F226BE">
            <w:pPr>
              <w:rPr>
                <w:sz w:val="20"/>
                <w:szCs w:val="20"/>
              </w:rPr>
            </w:pPr>
          </w:p>
        </w:tc>
        <w:tc>
          <w:tcPr>
            <w:tcW w:w="670" w:type="dxa"/>
            <w:vMerge/>
            <w:tcBorders>
              <w:bottom w:val="single" w:sz="4" w:space="0" w:color="auto"/>
            </w:tcBorders>
            <w:vAlign w:val="bottom"/>
          </w:tcPr>
          <w:p w14:paraId="77EC27D3" w14:textId="77777777" w:rsidR="00E47996" w:rsidRPr="00EA4C58" w:rsidRDefault="00E47996" w:rsidP="00F226BE">
            <w:pPr>
              <w:rPr>
                <w:sz w:val="20"/>
                <w:szCs w:val="20"/>
              </w:rPr>
            </w:pPr>
          </w:p>
        </w:tc>
        <w:tc>
          <w:tcPr>
            <w:tcW w:w="1563" w:type="dxa"/>
            <w:tcBorders>
              <w:top w:val="single" w:sz="4" w:space="0" w:color="auto"/>
              <w:bottom w:val="single" w:sz="4" w:space="0" w:color="auto"/>
            </w:tcBorders>
            <w:vAlign w:val="bottom"/>
          </w:tcPr>
          <w:p w14:paraId="39C0B806" w14:textId="77777777" w:rsidR="00E47996" w:rsidRPr="00EA4C58" w:rsidRDefault="00E47996" w:rsidP="00F226BE">
            <w:pPr>
              <w:rPr>
                <w:sz w:val="20"/>
                <w:szCs w:val="20"/>
              </w:rPr>
            </w:pPr>
            <w:r w:rsidRPr="00EA4C58">
              <w:rPr>
                <w:rFonts w:ascii="Calibri" w:hAnsi="Calibri" w:cs="Calibri"/>
                <w:color w:val="000000"/>
                <w:sz w:val="20"/>
                <w:szCs w:val="20"/>
              </w:rPr>
              <w:t>EMA</w:t>
            </w:r>
          </w:p>
        </w:tc>
        <w:tc>
          <w:tcPr>
            <w:tcW w:w="1196" w:type="dxa"/>
            <w:tcBorders>
              <w:top w:val="single" w:sz="4" w:space="0" w:color="auto"/>
              <w:bottom w:val="single" w:sz="4" w:space="0" w:color="auto"/>
            </w:tcBorders>
            <w:vAlign w:val="center"/>
          </w:tcPr>
          <w:p w14:paraId="31609E04" w14:textId="77777777" w:rsidR="00E47996" w:rsidRPr="00EA4C58" w:rsidRDefault="00E47996" w:rsidP="00F226BE">
            <w:pPr>
              <w:rPr>
                <w:sz w:val="20"/>
                <w:szCs w:val="20"/>
              </w:rPr>
            </w:pPr>
            <w:r w:rsidRPr="00EA4C58">
              <w:rPr>
                <w:rFonts w:ascii="Calibri" w:hAnsi="Calibri" w:cs="Calibri"/>
                <w:color w:val="000000"/>
                <w:sz w:val="20"/>
                <w:szCs w:val="20"/>
              </w:rPr>
              <w:t>1:10</w:t>
            </w:r>
          </w:p>
        </w:tc>
        <w:tc>
          <w:tcPr>
            <w:tcW w:w="1572" w:type="dxa"/>
            <w:tcBorders>
              <w:top w:val="single" w:sz="4" w:space="0" w:color="auto"/>
              <w:bottom w:val="single" w:sz="4" w:space="0" w:color="auto"/>
            </w:tcBorders>
            <w:vAlign w:val="bottom"/>
          </w:tcPr>
          <w:p w14:paraId="629ABF24" w14:textId="77777777" w:rsidR="00E47996" w:rsidRPr="00EA4C58" w:rsidRDefault="00E47996" w:rsidP="00F226BE">
            <w:pPr>
              <w:rPr>
                <w:sz w:val="20"/>
                <w:szCs w:val="20"/>
              </w:rPr>
            </w:pPr>
            <w:r w:rsidRPr="00EA4C58">
              <w:rPr>
                <w:rFonts w:ascii="Calibri" w:hAnsi="Calibri" w:cs="Calibri"/>
                <w:color w:val="000000"/>
                <w:sz w:val="20"/>
                <w:szCs w:val="20"/>
              </w:rPr>
              <w:t>96 (94, 97)</w:t>
            </w:r>
          </w:p>
        </w:tc>
        <w:tc>
          <w:tcPr>
            <w:tcW w:w="1691" w:type="dxa"/>
            <w:tcBorders>
              <w:top w:val="single" w:sz="4" w:space="0" w:color="auto"/>
              <w:bottom w:val="single" w:sz="4" w:space="0" w:color="auto"/>
            </w:tcBorders>
            <w:vAlign w:val="bottom"/>
          </w:tcPr>
          <w:p w14:paraId="65A3B10D" w14:textId="77777777" w:rsidR="00E47996" w:rsidRPr="00EA4C58" w:rsidRDefault="00E47996" w:rsidP="00F226BE">
            <w:pPr>
              <w:rPr>
                <w:sz w:val="20"/>
                <w:szCs w:val="20"/>
              </w:rPr>
            </w:pPr>
            <w:r w:rsidRPr="00EA4C58">
              <w:rPr>
                <w:rFonts w:ascii="Calibri" w:hAnsi="Calibri" w:cs="Calibri"/>
                <w:color w:val="000000"/>
                <w:sz w:val="20"/>
                <w:szCs w:val="20"/>
              </w:rPr>
              <w:t>94 (91, 96)</w:t>
            </w:r>
          </w:p>
        </w:tc>
      </w:tr>
    </w:tbl>
    <w:p w14:paraId="75D4C53F" w14:textId="77777777" w:rsidR="00E47996" w:rsidRPr="004D15C5" w:rsidRDefault="00E47996" w:rsidP="00AD0D93"/>
    <w:p w14:paraId="7AE76AAA" w14:textId="77777777" w:rsidR="0056595B" w:rsidRPr="00734942" w:rsidRDefault="0056595B" w:rsidP="0056595B">
      <w:pPr>
        <w:pStyle w:val="Heading3"/>
      </w:pPr>
      <w:bookmarkStart w:id="187" w:name="_Toc99539869"/>
      <w:r w:rsidRPr="00734942">
        <w:t>Sensitivity analyses</w:t>
      </w:r>
      <w:bookmarkEnd w:id="187"/>
    </w:p>
    <w:p w14:paraId="1AF3FA50" w14:textId="799D1859" w:rsidR="0056595B" w:rsidRPr="00734942" w:rsidRDefault="0056595B" w:rsidP="00657753">
      <w:r w:rsidRPr="00734942">
        <w:fldChar w:fldCharType="begin"/>
      </w:r>
      <w:r w:rsidRPr="00734942">
        <w:instrText>REF _Ref84003350</w:instrText>
      </w:r>
      <w:r w:rsidR="00657753">
        <w:instrText xml:space="preserve"> \* MERGEFORMAT </w:instrText>
      </w:r>
      <w:r w:rsidRPr="00734942">
        <w:fldChar w:fldCharType="separate"/>
      </w:r>
      <w:r w:rsidR="008B5583" w:rsidRPr="00734942">
        <w:t xml:space="preserve">Table </w:t>
      </w:r>
      <w:r w:rsidR="008B5583">
        <w:rPr>
          <w:noProof/>
        </w:rPr>
        <w:t>12</w:t>
      </w:r>
      <w:r w:rsidRPr="00734942">
        <w:fldChar w:fldCharType="end"/>
      </w:r>
      <w:r w:rsidRPr="00734942">
        <w:t xml:space="preserve"> shows results from the sensitivity analyses; further details are reported in</w:t>
      </w:r>
      <w:r w:rsidR="00061F66">
        <w:t xml:space="preserve"> </w:t>
      </w:r>
      <w:r w:rsidR="001E278C">
        <w:fldChar w:fldCharType="begin"/>
      </w:r>
      <w:r w:rsidR="001E278C">
        <w:instrText xml:space="preserve"> REF _Ref95137736 \h </w:instrText>
      </w:r>
      <w:r w:rsidR="001E278C">
        <w:fldChar w:fldCharType="separate"/>
      </w:r>
      <w:r w:rsidR="008B5583" w:rsidRPr="00734942">
        <w:t xml:space="preserve">Appendix </w:t>
      </w:r>
      <w:r w:rsidR="008B5583">
        <w:t>19</w:t>
      </w:r>
      <w:r w:rsidR="001E278C">
        <w:fldChar w:fldCharType="end"/>
      </w:r>
      <w:r w:rsidR="00DA5714">
        <w:t xml:space="preserve"> (</w:t>
      </w:r>
      <w:r w:rsidR="00DA5714">
        <w:fldChar w:fldCharType="begin"/>
      </w:r>
      <w:r w:rsidR="00DA5714">
        <w:instrText xml:space="preserve"> REF _Ref95380294 \h </w:instrText>
      </w:r>
      <w:r w:rsidR="00DA5714">
        <w:fldChar w:fldCharType="separate"/>
      </w:r>
      <w:r w:rsidR="008B5583">
        <w:t xml:space="preserve">Figure </w:t>
      </w:r>
      <w:r w:rsidR="008B5583">
        <w:rPr>
          <w:noProof/>
        </w:rPr>
        <w:t>58</w:t>
      </w:r>
      <w:r w:rsidR="00DA5714">
        <w:fldChar w:fldCharType="end"/>
      </w:r>
      <w:r w:rsidR="00DA5714">
        <w:t>-</w:t>
      </w:r>
      <w:r w:rsidR="00DA5714">
        <w:fldChar w:fldCharType="begin"/>
      </w:r>
      <w:r w:rsidR="00DA5714">
        <w:instrText xml:space="preserve"> REF _Ref95380305 \h </w:instrText>
      </w:r>
      <w:r w:rsidR="00DA5714">
        <w:fldChar w:fldCharType="separate"/>
      </w:r>
      <w:r w:rsidR="008B5583">
        <w:t xml:space="preserve">Figure </w:t>
      </w:r>
      <w:r w:rsidR="008B5583">
        <w:rPr>
          <w:noProof/>
        </w:rPr>
        <w:t>61</w:t>
      </w:r>
      <w:r w:rsidR="00DA5714">
        <w:fldChar w:fldCharType="end"/>
      </w:r>
      <w:r w:rsidR="00DA5714">
        <w:t>)</w:t>
      </w:r>
      <w:r w:rsidRPr="00734942">
        <w:t xml:space="preserve">. Estimates of sensitivity and specificity in analyses restricted to studies of symptomatic patients; studies judged at low risk of bias overall on the QUADAS-2 assessment; and in which all patients received a biopsy to confirm whether or not they had </w:t>
      </w:r>
      <w:r w:rsidR="0008601A">
        <w:t>CD</w:t>
      </w:r>
      <w:r w:rsidRPr="00734942">
        <w:t xml:space="preserve"> were similar to those that included all studies. There were insufficient studies to allow comparisons when analyses were restricted to those that reported a common threshold.</w:t>
      </w:r>
    </w:p>
    <w:p w14:paraId="1CD6A0F6" w14:textId="063B465B" w:rsidR="0056595B" w:rsidRPr="00734942" w:rsidRDefault="0056595B" w:rsidP="005672CA">
      <w:pPr>
        <w:pStyle w:val="Caption"/>
      </w:pPr>
      <w:bookmarkStart w:id="188" w:name="_Ref84003350"/>
      <w:bookmarkStart w:id="189" w:name="_Toc99720723"/>
      <w:r w:rsidRPr="00734942">
        <w:t xml:space="preserve">Table </w:t>
      </w:r>
      <w:r w:rsidRPr="00734942">
        <w:fldChar w:fldCharType="begin"/>
      </w:r>
      <w:r w:rsidRPr="00734942">
        <w:instrText>SEQ Table \* ARABIC</w:instrText>
      </w:r>
      <w:r w:rsidRPr="00734942">
        <w:fldChar w:fldCharType="separate"/>
      </w:r>
      <w:r w:rsidR="008B5583">
        <w:rPr>
          <w:noProof/>
        </w:rPr>
        <w:t>12</w:t>
      </w:r>
      <w:r w:rsidRPr="00734942">
        <w:fldChar w:fldCharType="end"/>
      </w:r>
      <w:bookmarkEnd w:id="188"/>
      <w:r w:rsidRPr="00734942">
        <w:t xml:space="preserve"> Study estimates of sensitivity and specificity limited to specific subgroups, stratified by age group and test</w:t>
      </w:r>
      <w:bookmarkEnd w:id="189"/>
    </w:p>
    <w:tbl>
      <w:tblPr>
        <w:tblStyle w:val="TableGrid"/>
        <w:tblW w:w="9172"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5"/>
        <w:gridCol w:w="876"/>
        <w:gridCol w:w="1797"/>
        <w:gridCol w:w="1700"/>
        <w:gridCol w:w="1702"/>
        <w:gridCol w:w="998"/>
        <w:gridCol w:w="286"/>
        <w:gridCol w:w="238"/>
      </w:tblGrid>
      <w:tr w:rsidR="0056595B" w:rsidRPr="00734942" w14:paraId="5A4EA5E0" w14:textId="77777777" w:rsidTr="00AC7BE2">
        <w:trPr>
          <w:gridAfter w:val="1"/>
          <w:wAfter w:w="238" w:type="dxa"/>
          <w:trHeight w:val="77"/>
          <w:tblHeader/>
        </w:trPr>
        <w:tc>
          <w:tcPr>
            <w:tcW w:w="1575" w:type="dxa"/>
            <w:tcBorders>
              <w:bottom w:val="single" w:sz="4" w:space="0" w:color="auto"/>
            </w:tcBorders>
          </w:tcPr>
          <w:p w14:paraId="70E9C54C" w14:textId="77777777" w:rsidR="0056595B" w:rsidRPr="00734942" w:rsidRDefault="0056595B" w:rsidP="00067143">
            <w:pPr>
              <w:rPr>
                <w:b/>
                <w:sz w:val="20"/>
                <w:szCs w:val="20"/>
              </w:rPr>
            </w:pPr>
            <w:r w:rsidRPr="00734942">
              <w:rPr>
                <w:b/>
                <w:sz w:val="20"/>
                <w:szCs w:val="20"/>
              </w:rPr>
              <w:t>Serological test</w:t>
            </w:r>
          </w:p>
        </w:tc>
        <w:tc>
          <w:tcPr>
            <w:tcW w:w="876" w:type="dxa"/>
            <w:tcBorders>
              <w:bottom w:val="single" w:sz="4" w:space="0" w:color="auto"/>
            </w:tcBorders>
          </w:tcPr>
          <w:p w14:paraId="5342DCD5" w14:textId="77777777" w:rsidR="0056595B" w:rsidRPr="00734942" w:rsidRDefault="0056595B" w:rsidP="00067143">
            <w:pPr>
              <w:rPr>
                <w:b/>
                <w:sz w:val="20"/>
                <w:szCs w:val="20"/>
              </w:rPr>
            </w:pPr>
            <w:r w:rsidRPr="00734942">
              <w:rPr>
                <w:b/>
                <w:sz w:val="20"/>
                <w:szCs w:val="20"/>
              </w:rPr>
              <w:t>Studies, n</w:t>
            </w:r>
          </w:p>
        </w:tc>
        <w:tc>
          <w:tcPr>
            <w:tcW w:w="1799" w:type="dxa"/>
            <w:tcBorders>
              <w:bottom w:val="single" w:sz="4" w:space="0" w:color="auto"/>
            </w:tcBorders>
          </w:tcPr>
          <w:p w14:paraId="471ECAB2" w14:textId="77777777" w:rsidR="0056595B" w:rsidRPr="00734942" w:rsidRDefault="0056595B" w:rsidP="00067143">
            <w:pPr>
              <w:rPr>
                <w:b/>
                <w:sz w:val="20"/>
                <w:szCs w:val="20"/>
              </w:rPr>
            </w:pPr>
            <w:r w:rsidRPr="00734942">
              <w:rPr>
                <w:b/>
                <w:sz w:val="20"/>
                <w:szCs w:val="20"/>
              </w:rPr>
              <w:t>Total Participants (Total with CD), n</w:t>
            </w:r>
          </w:p>
        </w:tc>
        <w:tc>
          <w:tcPr>
            <w:tcW w:w="1702" w:type="dxa"/>
            <w:tcBorders>
              <w:bottom w:val="single" w:sz="4" w:space="0" w:color="auto"/>
            </w:tcBorders>
          </w:tcPr>
          <w:p w14:paraId="0352D70C" w14:textId="77777777" w:rsidR="0056595B" w:rsidRPr="00734942" w:rsidRDefault="0056595B" w:rsidP="00067143">
            <w:pPr>
              <w:rPr>
                <w:b/>
                <w:sz w:val="20"/>
                <w:szCs w:val="20"/>
              </w:rPr>
            </w:pPr>
            <w:r w:rsidRPr="00734942">
              <w:rPr>
                <w:b/>
                <w:sz w:val="20"/>
                <w:szCs w:val="20"/>
              </w:rPr>
              <w:t>Threshold (range)</w:t>
            </w:r>
          </w:p>
        </w:tc>
        <w:tc>
          <w:tcPr>
            <w:tcW w:w="1703" w:type="dxa"/>
            <w:tcBorders>
              <w:bottom w:val="single" w:sz="4" w:space="0" w:color="auto"/>
            </w:tcBorders>
          </w:tcPr>
          <w:p w14:paraId="1C10ACAC" w14:textId="77777777" w:rsidR="0056595B" w:rsidRPr="00734942" w:rsidRDefault="0056595B" w:rsidP="00067143">
            <w:pPr>
              <w:rPr>
                <w:b/>
                <w:sz w:val="20"/>
                <w:szCs w:val="20"/>
              </w:rPr>
            </w:pPr>
            <w:r w:rsidRPr="00734942">
              <w:rPr>
                <w:b/>
                <w:sz w:val="20"/>
                <w:szCs w:val="20"/>
              </w:rPr>
              <w:t>Sensitivity (range), %</w:t>
            </w:r>
          </w:p>
        </w:tc>
        <w:tc>
          <w:tcPr>
            <w:tcW w:w="1279" w:type="dxa"/>
            <w:gridSpan w:val="2"/>
            <w:tcBorders>
              <w:bottom w:val="single" w:sz="4" w:space="0" w:color="auto"/>
            </w:tcBorders>
          </w:tcPr>
          <w:p w14:paraId="46BCF6A3" w14:textId="77777777" w:rsidR="0056595B" w:rsidRPr="00734942" w:rsidRDefault="0056595B" w:rsidP="00067143">
            <w:pPr>
              <w:rPr>
                <w:b/>
                <w:sz w:val="20"/>
                <w:szCs w:val="20"/>
              </w:rPr>
            </w:pPr>
            <w:r w:rsidRPr="00734942">
              <w:rPr>
                <w:b/>
                <w:sz w:val="20"/>
                <w:szCs w:val="20"/>
              </w:rPr>
              <w:t>Specificity (range), %</w:t>
            </w:r>
          </w:p>
        </w:tc>
      </w:tr>
      <w:tr w:rsidR="0056595B" w:rsidRPr="00734942" w14:paraId="75E807A9" w14:textId="77777777" w:rsidTr="00067143">
        <w:trPr>
          <w:gridAfter w:val="1"/>
          <w:wAfter w:w="233" w:type="dxa"/>
          <w:trHeight w:val="77"/>
        </w:trPr>
        <w:tc>
          <w:tcPr>
            <w:tcW w:w="8939" w:type="dxa"/>
            <w:gridSpan w:val="7"/>
            <w:tcBorders>
              <w:top w:val="single" w:sz="4" w:space="0" w:color="auto"/>
              <w:bottom w:val="single" w:sz="4" w:space="0" w:color="auto"/>
            </w:tcBorders>
          </w:tcPr>
          <w:p w14:paraId="163E7A57" w14:textId="77777777" w:rsidR="0056595B" w:rsidRPr="00734942" w:rsidRDefault="0056595B" w:rsidP="00067143">
            <w:pPr>
              <w:rPr>
                <w:b/>
                <w:sz w:val="20"/>
                <w:szCs w:val="20"/>
              </w:rPr>
            </w:pPr>
            <w:r w:rsidRPr="00734942">
              <w:rPr>
                <w:b/>
                <w:sz w:val="20"/>
                <w:szCs w:val="20"/>
              </w:rPr>
              <w:t>Symptomatic patients only</w:t>
            </w:r>
          </w:p>
        </w:tc>
      </w:tr>
      <w:tr w:rsidR="0056595B" w:rsidRPr="00734942" w14:paraId="573C509B" w14:textId="77777777" w:rsidTr="00067143">
        <w:trPr>
          <w:gridAfter w:val="1"/>
          <w:wAfter w:w="238" w:type="dxa"/>
          <w:trHeight w:val="794"/>
        </w:trPr>
        <w:tc>
          <w:tcPr>
            <w:tcW w:w="1575" w:type="dxa"/>
            <w:tcBorders>
              <w:top w:val="single" w:sz="4" w:space="0" w:color="auto"/>
            </w:tcBorders>
          </w:tcPr>
          <w:p w14:paraId="617AD71A" w14:textId="77777777" w:rsidR="0056595B" w:rsidRPr="00541948" w:rsidRDefault="0056595B" w:rsidP="00067143">
            <w:pPr>
              <w:rPr>
                <w:b/>
                <w:sz w:val="20"/>
                <w:szCs w:val="20"/>
                <w:lang w:val="pt-BR"/>
              </w:rPr>
            </w:pPr>
            <w:r w:rsidRPr="00541948">
              <w:rPr>
                <w:b/>
                <w:sz w:val="20"/>
                <w:szCs w:val="20"/>
                <w:lang w:val="pt-BR"/>
              </w:rPr>
              <w:t>Adults</w:t>
            </w:r>
          </w:p>
          <w:p w14:paraId="409AF243" w14:textId="77777777" w:rsidR="0056595B" w:rsidRPr="00541948" w:rsidRDefault="0056595B" w:rsidP="00067143">
            <w:pPr>
              <w:ind w:left="177"/>
              <w:rPr>
                <w:sz w:val="20"/>
                <w:szCs w:val="20"/>
                <w:lang w:val="pt-BR"/>
              </w:rPr>
            </w:pPr>
            <w:r w:rsidRPr="00541948">
              <w:rPr>
                <w:sz w:val="20"/>
                <w:szCs w:val="20"/>
                <w:lang w:val="pt-BR"/>
              </w:rPr>
              <w:t>IgA tTG</w:t>
            </w:r>
          </w:p>
          <w:p w14:paraId="134CCACF" w14:textId="77777777" w:rsidR="0056595B" w:rsidRPr="00541948" w:rsidRDefault="0056595B" w:rsidP="00067143">
            <w:pPr>
              <w:ind w:left="177"/>
              <w:rPr>
                <w:sz w:val="20"/>
                <w:szCs w:val="20"/>
                <w:lang w:val="pt-BR"/>
              </w:rPr>
            </w:pPr>
            <w:r w:rsidRPr="00541948">
              <w:rPr>
                <w:sz w:val="20"/>
                <w:szCs w:val="20"/>
                <w:lang w:val="pt-BR"/>
              </w:rPr>
              <w:t>IgA EMA</w:t>
            </w:r>
          </w:p>
        </w:tc>
        <w:tc>
          <w:tcPr>
            <w:tcW w:w="876" w:type="dxa"/>
            <w:tcBorders>
              <w:top w:val="single" w:sz="4" w:space="0" w:color="auto"/>
            </w:tcBorders>
          </w:tcPr>
          <w:p w14:paraId="040D3235" w14:textId="77777777" w:rsidR="0056595B" w:rsidRPr="00541948" w:rsidRDefault="0056595B" w:rsidP="00067143">
            <w:pPr>
              <w:rPr>
                <w:sz w:val="20"/>
                <w:szCs w:val="20"/>
                <w:lang w:val="pt-BR"/>
              </w:rPr>
            </w:pPr>
          </w:p>
          <w:p w14:paraId="094BC7EA" w14:textId="77777777" w:rsidR="0056595B" w:rsidRPr="00734942" w:rsidRDefault="0056595B" w:rsidP="00067143">
            <w:pPr>
              <w:rPr>
                <w:sz w:val="20"/>
                <w:szCs w:val="20"/>
              </w:rPr>
            </w:pPr>
            <w:r w:rsidRPr="00734942">
              <w:rPr>
                <w:sz w:val="20"/>
                <w:szCs w:val="20"/>
              </w:rPr>
              <w:t>7</w:t>
            </w:r>
          </w:p>
          <w:p w14:paraId="3B411960" w14:textId="77777777" w:rsidR="0056595B" w:rsidRPr="00734942" w:rsidRDefault="0056595B" w:rsidP="00067143">
            <w:pPr>
              <w:rPr>
                <w:sz w:val="20"/>
                <w:szCs w:val="20"/>
              </w:rPr>
            </w:pPr>
            <w:r w:rsidRPr="00734942">
              <w:rPr>
                <w:sz w:val="20"/>
                <w:szCs w:val="20"/>
              </w:rPr>
              <w:t>8</w:t>
            </w:r>
          </w:p>
        </w:tc>
        <w:tc>
          <w:tcPr>
            <w:tcW w:w="1799" w:type="dxa"/>
            <w:tcBorders>
              <w:top w:val="single" w:sz="4" w:space="0" w:color="auto"/>
            </w:tcBorders>
          </w:tcPr>
          <w:p w14:paraId="4B7748A6" w14:textId="77777777" w:rsidR="0056595B" w:rsidRPr="00734942" w:rsidRDefault="0056595B" w:rsidP="00067143">
            <w:pPr>
              <w:rPr>
                <w:sz w:val="20"/>
                <w:szCs w:val="20"/>
              </w:rPr>
            </w:pPr>
          </w:p>
          <w:p w14:paraId="3A2ADACD" w14:textId="77777777" w:rsidR="0056595B" w:rsidRPr="00734942" w:rsidRDefault="0056595B" w:rsidP="00067143">
            <w:pPr>
              <w:rPr>
                <w:sz w:val="20"/>
                <w:szCs w:val="20"/>
              </w:rPr>
            </w:pPr>
            <w:r w:rsidRPr="00734942">
              <w:rPr>
                <w:sz w:val="20"/>
                <w:szCs w:val="20"/>
              </w:rPr>
              <w:t>4244 (325)</w:t>
            </w:r>
          </w:p>
          <w:p w14:paraId="1918C3CA" w14:textId="77777777" w:rsidR="0056595B" w:rsidRPr="00734942" w:rsidRDefault="0056595B" w:rsidP="00067143">
            <w:pPr>
              <w:rPr>
                <w:sz w:val="20"/>
                <w:szCs w:val="20"/>
              </w:rPr>
            </w:pPr>
            <w:r w:rsidRPr="00734942">
              <w:rPr>
                <w:sz w:val="20"/>
                <w:szCs w:val="20"/>
              </w:rPr>
              <w:t>3786 (327)</w:t>
            </w:r>
          </w:p>
        </w:tc>
        <w:tc>
          <w:tcPr>
            <w:tcW w:w="1702" w:type="dxa"/>
            <w:tcBorders>
              <w:top w:val="single" w:sz="4" w:space="0" w:color="auto"/>
            </w:tcBorders>
          </w:tcPr>
          <w:p w14:paraId="661BE3A3" w14:textId="77777777" w:rsidR="0056595B" w:rsidRPr="00734942" w:rsidRDefault="0056595B" w:rsidP="00067143">
            <w:pPr>
              <w:rPr>
                <w:sz w:val="20"/>
                <w:szCs w:val="20"/>
              </w:rPr>
            </w:pPr>
          </w:p>
          <w:p w14:paraId="56F8DA73" w14:textId="77777777" w:rsidR="0056595B" w:rsidRPr="00734942" w:rsidRDefault="0056595B" w:rsidP="00067143">
            <w:pPr>
              <w:rPr>
                <w:sz w:val="20"/>
                <w:szCs w:val="20"/>
              </w:rPr>
            </w:pPr>
            <w:r w:rsidRPr="00734942">
              <w:rPr>
                <w:sz w:val="20"/>
                <w:szCs w:val="20"/>
              </w:rPr>
              <w:t>5 – 20 U/mL</w:t>
            </w:r>
          </w:p>
          <w:p w14:paraId="23E15FBF" w14:textId="77777777" w:rsidR="0056595B" w:rsidRPr="00734942" w:rsidRDefault="0056595B" w:rsidP="00067143">
            <w:pPr>
              <w:rPr>
                <w:sz w:val="20"/>
                <w:szCs w:val="20"/>
              </w:rPr>
            </w:pPr>
            <w:r w:rsidRPr="00734942">
              <w:rPr>
                <w:sz w:val="20"/>
                <w:szCs w:val="20"/>
              </w:rPr>
              <w:t>1:5 – 1:20</w:t>
            </w:r>
          </w:p>
        </w:tc>
        <w:tc>
          <w:tcPr>
            <w:tcW w:w="1703" w:type="dxa"/>
            <w:tcBorders>
              <w:top w:val="single" w:sz="4" w:space="0" w:color="auto"/>
            </w:tcBorders>
          </w:tcPr>
          <w:p w14:paraId="1822E06E" w14:textId="77777777" w:rsidR="0056595B" w:rsidRPr="00734942" w:rsidRDefault="0056595B" w:rsidP="00067143">
            <w:pPr>
              <w:rPr>
                <w:sz w:val="20"/>
                <w:szCs w:val="20"/>
              </w:rPr>
            </w:pPr>
          </w:p>
          <w:p w14:paraId="0D089EBA" w14:textId="77777777" w:rsidR="0056595B" w:rsidRPr="00734942" w:rsidRDefault="0056595B" w:rsidP="00067143">
            <w:pPr>
              <w:rPr>
                <w:sz w:val="20"/>
                <w:szCs w:val="20"/>
              </w:rPr>
            </w:pPr>
            <w:r w:rsidRPr="00734942">
              <w:rPr>
                <w:sz w:val="20"/>
                <w:szCs w:val="20"/>
              </w:rPr>
              <w:t>64 – 100</w:t>
            </w:r>
          </w:p>
          <w:p w14:paraId="1EBDF2FB" w14:textId="77777777" w:rsidR="0056595B" w:rsidRPr="00734942" w:rsidRDefault="0056595B" w:rsidP="00067143">
            <w:pPr>
              <w:rPr>
                <w:sz w:val="20"/>
                <w:szCs w:val="20"/>
              </w:rPr>
            </w:pPr>
            <w:r w:rsidRPr="00734942">
              <w:rPr>
                <w:sz w:val="20"/>
                <w:szCs w:val="20"/>
              </w:rPr>
              <w:t>61 – 100</w:t>
            </w:r>
          </w:p>
        </w:tc>
        <w:tc>
          <w:tcPr>
            <w:tcW w:w="1279" w:type="dxa"/>
            <w:gridSpan w:val="2"/>
            <w:tcBorders>
              <w:top w:val="single" w:sz="4" w:space="0" w:color="auto"/>
            </w:tcBorders>
          </w:tcPr>
          <w:p w14:paraId="781F3D81" w14:textId="77777777" w:rsidR="0056595B" w:rsidRPr="00734942" w:rsidRDefault="0056595B" w:rsidP="00067143">
            <w:pPr>
              <w:rPr>
                <w:sz w:val="20"/>
                <w:szCs w:val="20"/>
              </w:rPr>
            </w:pPr>
          </w:p>
          <w:p w14:paraId="61877226" w14:textId="77777777" w:rsidR="0056595B" w:rsidRPr="00734942" w:rsidRDefault="0056595B" w:rsidP="00067143">
            <w:pPr>
              <w:rPr>
                <w:sz w:val="20"/>
                <w:szCs w:val="20"/>
              </w:rPr>
            </w:pPr>
            <w:r w:rsidRPr="00734942">
              <w:rPr>
                <w:sz w:val="20"/>
                <w:szCs w:val="20"/>
              </w:rPr>
              <w:t>88 – 98</w:t>
            </w:r>
          </w:p>
          <w:p w14:paraId="2433186A" w14:textId="77777777" w:rsidR="0056595B" w:rsidRPr="00734942" w:rsidRDefault="0056595B" w:rsidP="00067143">
            <w:pPr>
              <w:rPr>
                <w:sz w:val="20"/>
                <w:szCs w:val="20"/>
              </w:rPr>
            </w:pPr>
            <w:r w:rsidRPr="00734942">
              <w:rPr>
                <w:sz w:val="20"/>
                <w:szCs w:val="20"/>
              </w:rPr>
              <w:t>98 – 100</w:t>
            </w:r>
          </w:p>
        </w:tc>
      </w:tr>
      <w:tr w:rsidR="0056595B" w:rsidRPr="00734942" w14:paraId="6D563B2D" w14:textId="77777777" w:rsidTr="00067143">
        <w:trPr>
          <w:gridAfter w:val="1"/>
          <w:wAfter w:w="238" w:type="dxa"/>
          <w:trHeight w:val="794"/>
        </w:trPr>
        <w:tc>
          <w:tcPr>
            <w:tcW w:w="1575" w:type="dxa"/>
            <w:tcBorders>
              <w:bottom w:val="single" w:sz="4" w:space="0" w:color="auto"/>
            </w:tcBorders>
          </w:tcPr>
          <w:p w14:paraId="3FED29B1" w14:textId="77777777" w:rsidR="0056595B" w:rsidRPr="00734942" w:rsidRDefault="0056595B" w:rsidP="00067143">
            <w:pPr>
              <w:rPr>
                <w:b/>
                <w:sz w:val="20"/>
                <w:szCs w:val="20"/>
              </w:rPr>
            </w:pPr>
            <w:r w:rsidRPr="00734942">
              <w:rPr>
                <w:b/>
                <w:sz w:val="20"/>
                <w:szCs w:val="20"/>
              </w:rPr>
              <w:t>Children</w:t>
            </w:r>
          </w:p>
          <w:p w14:paraId="08654DE9" w14:textId="77777777" w:rsidR="0056595B" w:rsidRPr="00734942" w:rsidRDefault="0056595B" w:rsidP="00067143">
            <w:pPr>
              <w:ind w:left="177"/>
              <w:rPr>
                <w:sz w:val="20"/>
                <w:szCs w:val="20"/>
              </w:rPr>
            </w:pPr>
            <w:r w:rsidRPr="00734942">
              <w:rPr>
                <w:sz w:val="20"/>
                <w:szCs w:val="20"/>
              </w:rPr>
              <w:t>IgA tTG</w:t>
            </w:r>
          </w:p>
          <w:p w14:paraId="316A989F" w14:textId="77777777" w:rsidR="0056595B" w:rsidRPr="00734942" w:rsidRDefault="0056595B" w:rsidP="00067143">
            <w:pPr>
              <w:ind w:left="177"/>
              <w:rPr>
                <w:sz w:val="20"/>
                <w:szCs w:val="20"/>
              </w:rPr>
            </w:pPr>
            <w:r w:rsidRPr="00734942">
              <w:rPr>
                <w:sz w:val="20"/>
                <w:szCs w:val="20"/>
              </w:rPr>
              <w:t>IgA EMA</w:t>
            </w:r>
          </w:p>
        </w:tc>
        <w:tc>
          <w:tcPr>
            <w:tcW w:w="876" w:type="dxa"/>
            <w:tcBorders>
              <w:bottom w:val="single" w:sz="4" w:space="0" w:color="auto"/>
            </w:tcBorders>
          </w:tcPr>
          <w:p w14:paraId="616DCF58" w14:textId="77777777" w:rsidR="0056595B" w:rsidRPr="00734942" w:rsidRDefault="0056595B" w:rsidP="00067143">
            <w:pPr>
              <w:rPr>
                <w:sz w:val="20"/>
                <w:szCs w:val="20"/>
              </w:rPr>
            </w:pPr>
          </w:p>
          <w:p w14:paraId="4CB85D07" w14:textId="77777777" w:rsidR="0056595B" w:rsidRPr="00734942" w:rsidRDefault="0056595B" w:rsidP="00067143">
            <w:pPr>
              <w:rPr>
                <w:sz w:val="20"/>
                <w:szCs w:val="20"/>
              </w:rPr>
            </w:pPr>
            <w:r w:rsidRPr="00734942">
              <w:rPr>
                <w:sz w:val="20"/>
                <w:szCs w:val="20"/>
              </w:rPr>
              <w:t>8</w:t>
            </w:r>
          </w:p>
          <w:p w14:paraId="57D5AB43" w14:textId="77777777" w:rsidR="0056595B" w:rsidRPr="00734942" w:rsidRDefault="0056595B" w:rsidP="00067143">
            <w:pPr>
              <w:rPr>
                <w:sz w:val="20"/>
                <w:szCs w:val="20"/>
              </w:rPr>
            </w:pPr>
            <w:r w:rsidRPr="00734942">
              <w:rPr>
                <w:sz w:val="20"/>
                <w:szCs w:val="20"/>
              </w:rPr>
              <w:t>8</w:t>
            </w:r>
          </w:p>
        </w:tc>
        <w:tc>
          <w:tcPr>
            <w:tcW w:w="1799" w:type="dxa"/>
            <w:tcBorders>
              <w:bottom w:val="single" w:sz="4" w:space="0" w:color="auto"/>
            </w:tcBorders>
          </w:tcPr>
          <w:p w14:paraId="3B17FB63" w14:textId="77777777" w:rsidR="0056595B" w:rsidRPr="00734942" w:rsidRDefault="0056595B" w:rsidP="00067143">
            <w:pPr>
              <w:rPr>
                <w:sz w:val="20"/>
                <w:szCs w:val="20"/>
              </w:rPr>
            </w:pPr>
          </w:p>
          <w:p w14:paraId="2213DAD6" w14:textId="77777777" w:rsidR="0056595B" w:rsidRPr="00734942" w:rsidRDefault="0056595B" w:rsidP="00067143">
            <w:pPr>
              <w:rPr>
                <w:sz w:val="20"/>
                <w:szCs w:val="20"/>
              </w:rPr>
            </w:pPr>
            <w:r w:rsidRPr="00734942">
              <w:rPr>
                <w:sz w:val="20"/>
                <w:szCs w:val="20"/>
              </w:rPr>
              <w:t>1126 (615)</w:t>
            </w:r>
          </w:p>
          <w:p w14:paraId="6EBEFD5C" w14:textId="77777777" w:rsidR="0056595B" w:rsidRPr="00734942" w:rsidRDefault="0056595B" w:rsidP="00067143">
            <w:pPr>
              <w:rPr>
                <w:sz w:val="20"/>
                <w:szCs w:val="20"/>
              </w:rPr>
            </w:pPr>
            <w:r w:rsidRPr="00734942">
              <w:rPr>
                <w:sz w:val="20"/>
                <w:szCs w:val="20"/>
              </w:rPr>
              <w:t>1327 (753)</w:t>
            </w:r>
          </w:p>
        </w:tc>
        <w:tc>
          <w:tcPr>
            <w:tcW w:w="1702" w:type="dxa"/>
            <w:tcBorders>
              <w:bottom w:val="single" w:sz="4" w:space="0" w:color="auto"/>
            </w:tcBorders>
          </w:tcPr>
          <w:p w14:paraId="300AA66A" w14:textId="77777777" w:rsidR="0056595B" w:rsidRPr="00734942" w:rsidRDefault="0056595B" w:rsidP="00067143">
            <w:pPr>
              <w:rPr>
                <w:sz w:val="20"/>
                <w:szCs w:val="20"/>
              </w:rPr>
            </w:pPr>
          </w:p>
          <w:p w14:paraId="239EEAE1" w14:textId="77777777" w:rsidR="0056595B" w:rsidRPr="00734942" w:rsidRDefault="0056595B" w:rsidP="00067143">
            <w:pPr>
              <w:rPr>
                <w:sz w:val="20"/>
                <w:szCs w:val="20"/>
              </w:rPr>
            </w:pPr>
            <w:r w:rsidRPr="00734942">
              <w:rPr>
                <w:sz w:val="20"/>
                <w:szCs w:val="20"/>
              </w:rPr>
              <w:t>4 – 20 U/mL</w:t>
            </w:r>
          </w:p>
          <w:p w14:paraId="22A58053" w14:textId="77777777" w:rsidR="0056595B" w:rsidRPr="00734942" w:rsidRDefault="0056595B" w:rsidP="00067143">
            <w:pPr>
              <w:rPr>
                <w:sz w:val="20"/>
                <w:szCs w:val="20"/>
              </w:rPr>
            </w:pPr>
            <w:r w:rsidRPr="00734942">
              <w:rPr>
                <w:sz w:val="20"/>
                <w:szCs w:val="20"/>
              </w:rPr>
              <w:t>1:5 – 1:20</w:t>
            </w:r>
          </w:p>
        </w:tc>
        <w:tc>
          <w:tcPr>
            <w:tcW w:w="1703" w:type="dxa"/>
            <w:tcBorders>
              <w:bottom w:val="single" w:sz="4" w:space="0" w:color="auto"/>
            </w:tcBorders>
          </w:tcPr>
          <w:p w14:paraId="4238A7AD" w14:textId="77777777" w:rsidR="0056595B" w:rsidRPr="00734942" w:rsidRDefault="0056595B" w:rsidP="00067143">
            <w:pPr>
              <w:rPr>
                <w:sz w:val="20"/>
                <w:szCs w:val="20"/>
              </w:rPr>
            </w:pPr>
          </w:p>
          <w:p w14:paraId="1285622E" w14:textId="77777777" w:rsidR="0056595B" w:rsidRPr="00734942" w:rsidRDefault="0056595B" w:rsidP="00067143">
            <w:pPr>
              <w:rPr>
                <w:sz w:val="20"/>
                <w:szCs w:val="20"/>
              </w:rPr>
            </w:pPr>
            <w:r w:rsidRPr="00734942">
              <w:rPr>
                <w:sz w:val="20"/>
                <w:szCs w:val="20"/>
              </w:rPr>
              <w:t>40 – 100</w:t>
            </w:r>
          </w:p>
          <w:p w14:paraId="22143962" w14:textId="77777777" w:rsidR="0056595B" w:rsidRPr="00734942" w:rsidRDefault="0056595B" w:rsidP="00067143">
            <w:pPr>
              <w:rPr>
                <w:sz w:val="20"/>
                <w:szCs w:val="20"/>
              </w:rPr>
            </w:pPr>
            <w:r w:rsidRPr="00734942">
              <w:rPr>
                <w:sz w:val="20"/>
                <w:szCs w:val="20"/>
              </w:rPr>
              <w:t>40 – 98</w:t>
            </w:r>
          </w:p>
        </w:tc>
        <w:tc>
          <w:tcPr>
            <w:tcW w:w="1279" w:type="dxa"/>
            <w:gridSpan w:val="2"/>
            <w:tcBorders>
              <w:bottom w:val="single" w:sz="4" w:space="0" w:color="auto"/>
            </w:tcBorders>
          </w:tcPr>
          <w:p w14:paraId="7CEA20B1" w14:textId="77777777" w:rsidR="0056595B" w:rsidRPr="00734942" w:rsidRDefault="0056595B" w:rsidP="00067143">
            <w:pPr>
              <w:rPr>
                <w:sz w:val="20"/>
                <w:szCs w:val="20"/>
              </w:rPr>
            </w:pPr>
          </w:p>
          <w:p w14:paraId="3CF51A11" w14:textId="77777777" w:rsidR="0056595B" w:rsidRPr="00734942" w:rsidRDefault="0056595B" w:rsidP="00067143">
            <w:pPr>
              <w:rPr>
                <w:sz w:val="20"/>
                <w:szCs w:val="20"/>
              </w:rPr>
            </w:pPr>
            <w:r w:rsidRPr="00734942">
              <w:rPr>
                <w:sz w:val="20"/>
                <w:szCs w:val="20"/>
              </w:rPr>
              <w:t>8 – 100</w:t>
            </w:r>
          </w:p>
          <w:p w14:paraId="21F5CA15" w14:textId="77777777" w:rsidR="0056595B" w:rsidRPr="00734942" w:rsidRDefault="0056595B" w:rsidP="00067143">
            <w:pPr>
              <w:rPr>
                <w:sz w:val="20"/>
                <w:szCs w:val="20"/>
              </w:rPr>
            </w:pPr>
            <w:r w:rsidRPr="00734942">
              <w:rPr>
                <w:sz w:val="20"/>
                <w:szCs w:val="20"/>
              </w:rPr>
              <w:t>43 – 100</w:t>
            </w:r>
          </w:p>
        </w:tc>
      </w:tr>
      <w:tr w:rsidR="0056595B" w:rsidRPr="00734942" w14:paraId="66974E09" w14:textId="77777777" w:rsidTr="00067143">
        <w:trPr>
          <w:gridAfter w:val="2"/>
          <w:wAfter w:w="519" w:type="dxa"/>
          <w:trHeight w:val="137"/>
        </w:trPr>
        <w:tc>
          <w:tcPr>
            <w:tcW w:w="8653" w:type="dxa"/>
            <w:gridSpan w:val="6"/>
            <w:tcBorders>
              <w:top w:val="single" w:sz="4" w:space="0" w:color="auto"/>
              <w:bottom w:val="single" w:sz="4" w:space="0" w:color="auto"/>
            </w:tcBorders>
          </w:tcPr>
          <w:p w14:paraId="20292C5A" w14:textId="77777777" w:rsidR="0056595B" w:rsidRPr="00734942" w:rsidRDefault="0056595B" w:rsidP="00067143">
            <w:pPr>
              <w:rPr>
                <w:b/>
                <w:sz w:val="20"/>
                <w:szCs w:val="20"/>
              </w:rPr>
            </w:pPr>
            <w:r w:rsidRPr="00734942">
              <w:rPr>
                <w:b/>
                <w:sz w:val="20"/>
                <w:szCs w:val="20"/>
              </w:rPr>
              <w:t>All patients underwent biopsy</w:t>
            </w:r>
          </w:p>
        </w:tc>
      </w:tr>
      <w:tr w:rsidR="0056595B" w:rsidRPr="00734942" w14:paraId="33F8310B" w14:textId="77777777" w:rsidTr="00067143">
        <w:trPr>
          <w:gridAfter w:val="1"/>
          <w:wAfter w:w="238" w:type="dxa"/>
          <w:trHeight w:val="794"/>
        </w:trPr>
        <w:tc>
          <w:tcPr>
            <w:tcW w:w="1575" w:type="dxa"/>
            <w:tcBorders>
              <w:top w:val="single" w:sz="4" w:space="0" w:color="auto"/>
            </w:tcBorders>
          </w:tcPr>
          <w:p w14:paraId="5599AB33" w14:textId="77777777" w:rsidR="0056595B" w:rsidRPr="00541948" w:rsidRDefault="0056595B" w:rsidP="00067143">
            <w:pPr>
              <w:rPr>
                <w:b/>
                <w:sz w:val="20"/>
                <w:szCs w:val="20"/>
                <w:lang w:val="pt-BR"/>
              </w:rPr>
            </w:pPr>
            <w:r w:rsidRPr="00541948">
              <w:rPr>
                <w:b/>
                <w:sz w:val="20"/>
                <w:szCs w:val="20"/>
                <w:lang w:val="pt-BR"/>
              </w:rPr>
              <w:t>Adults</w:t>
            </w:r>
          </w:p>
          <w:p w14:paraId="0349AE01" w14:textId="77777777" w:rsidR="0056595B" w:rsidRPr="00541948" w:rsidRDefault="0056595B" w:rsidP="00067143">
            <w:pPr>
              <w:ind w:left="177"/>
              <w:rPr>
                <w:sz w:val="20"/>
                <w:szCs w:val="20"/>
                <w:lang w:val="pt-BR"/>
              </w:rPr>
            </w:pPr>
            <w:r w:rsidRPr="00541948">
              <w:rPr>
                <w:sz w:val="20"/>
                <w:szCs w:val="20"/>
                <w:lang w:val="pt-BR"/>
              </w:rPr>
              <w:t>IgA tTG</w:t>
            </w:r>
          </w:p>
          <w:p w14:paraId="3CA5141C" w14:textId="77777777" w:rsidR="0056595B" w:rsidRPr="00541948" w:rsidRDefault="0056595B" w:rsidP="00067143">
            <w:pPr>
              <w:ind w:left="177"/>
              <w:rPr>
                <w:sz w:val="20"/>
                <w:szCs w:val="20"/>
                <w:lang w:val="pt-BR"/>
              </w:rPr>
            </w:pPr>
            <w:r w:rsidRPr="00541948">
              <w:rPr>
                <w:sz w:val="20"/>
                <w:szCs w:val="20"/>
                <w:lang w:val="pt-BR"/>
              </w:rPr>
              <w:t>IgA EMA</w:t>
            </w:r>
          </w:p>
        </w:tc>
        <w:tc>
          <w:tcPr>
            <w:tcW w:w="876" w:type="dxa"/>
            <w:tcBorders>
              <w:top w:val="single" w:sz="4" w:space="0" w:color="auto"/>
            </w:tcBorders>
          </w:tcPr>
          <w:p w14:paraId="24015569" w14:textId="77777777" w:rsidR="0056595B" w:rsidRPr="00541948" w:rsidRDefault="0056595B" w:rsidP="00067143">
            <w:pPr>
              <w:rPr>
                <w:sz w:val="20"/>
                <w:szCs w:val="20"/>
                <w:lang w:val="pt-BR"/>
              </w:rPr>
            </w:pPr>
          </w:p>
          <w:p w14:paraId="62366274" w14:textId="77777777" w:rsidR="0056595B" w:rsidRPr="00734942" w:rsidRDefault="0056595B" w:rsidP="00067143">
            <w:pPr>
              <w:rPr>
                <w:sz w:val="20"/>
                <w:szCs w:val="20"/>
              </w:rPr>
            </w:pPr>
            <w:r w:rsidRPr="00734942">
              <w:rPr>
                <w:sz w:val="20"/>
                <w:szCs w:val="20"/>
              </w:rPr>
              <w:t>26</w:t>
            </w:r>
          </w:p>
          <w:p w14:paraId="5B6BD6A7" w14:textId="77777777" w:rsidR="0056595B" w:rsidRPr="00734942" w:rsidRDefault="0056595B" w:rsidP="00067143">
            <w:pPr>
              <w:rPr>
                <w:sz w:val="20"/>
                <w:szCs w:val="20"/>
              </w:rPr>
            </w:pPr>
            <w:r w:rsidRPr="00734942">
              <w:rPr>
                <w:sz w:val="20"/>
                <w:szCs w:val="20"/>
              </w:rPr>
              <w:t>18</w:t>
            </w:r>
          </w:p>
        </w:tc>
        <w:tc>
          <w:tcPr>
            <w:tcW w:w="1799" w:type="dxa"/>
            <w:tcBorders>
              <w:top w:val="single" w:sz="4" w:space="0" w:color="auto"/>
            </w:tcBorders>
          </w:tcPr>
          <w:p w14:paraId="5316AEB1" w14:textId="77777777" w:rsidR="0056595B" w:rsidRPr="00734942" w:rsidRDefault="0056595B" w:rsidP="00067143">
            <w:pPr>
              <w:rPr>
                <w:sz w:val="20"/>
                <w:szCs w:val="20"/>
              </w:rPr>
            </w:pPr>
          </w:p>
          <w:p w14:paraId="283896F7" w14:textId="77777777" w:rsidR="0056595B" w:rsidRPr="00734942" w:rsidRDefault="0056595B" w:rsidP="00067143">
            <w:pPr>
              <w:rPr>
                <w:sz w:val="20"/>
                <w:szCs w:val="20"/>
              </w:rPr>
            </w:pPr>
            <w:r w:rsidRPr="00734942">
              <w:rPr>
                <w:sz w:val="20"/>
                <w:szCs w:val="20"/>
              </w:rPr>
              <w:t>11183 (2444)</w:t>
            </w:r>
          </w:p>
          <w:p w14:paraId="1E045354" w14:textId="77777777" w:rsidR="0056595B" w:rsidRPr="00734942" w:rsidRDefault="0056595B" w:rsidP="00067143">
            <w:pPr>
              <w:rPr>
                <w:sz w:val="20"/>
                <w:szCs w:val="20"/>
              </w:rPr>
            </w:pPr>
            <w:r w:rsidRPr="00734942">
              <w:rPr>
                <w:sz w:val="20"/>
                <w:szCs w:val="20"/>
              </w:rPr>
              <w:t>7010 (1021)</w:t>
            </w:r>
          </w:p>
        </w:tc>
        <w:tc>
          <w:tcPr>
            <w:tcW w:w="1702" w:type="dxa"/>
            <w:tcBorders>
              <w:top w:val="single" w:sz="4" w:space="0" w:color="auto"/>
            </w:tcBorders>
          </w:tcPr>
          <w:p w14:paraId="26FD8FF0" w14:textId="77777777" w:rsidR="0056595B" w:rsidRPr="00734942" w:rsidRDefault="0056595B" w:rsidP="00067143">
            <w:pPr>
              <w:rPr>
                <w:sz w:val="20"/>
                <w:szCs w:val="20"/>
              </w:rPr>
            </w:pPr>
          </w:p>
          <w:p w14:paraId="6887BC88" w14:textId="77777777" w:rsidR="0056595B" w:rsidRPr="00734942" w:rsidRDefault="0056595B" w:rsidP="00067143">
            <w:pPr>
              <w:rPr>
                <w:sz w:val="20"/>
                <w:szCs w:val="20"/>
              </w:rPr>
            </w:pPr>
            <w:r w:rsidRPr="00734942">
              <w:rPr>
                <w:sz w:val="20"/>
                <w:szCs w:val="20"/>
              </w:rPr>
              <w:t>5 – 25 U/mL</w:t>
            </w:r>
          </w:p>
          <w:p w14:paraId="3A589F26" w14:textId="77777777" w:rsidR="0056595B" w:rsidRPr="00734942" w:rsidRDefault="0056595B" w:rsidP="00067143">
            <w:pPr>
              <w:rPr>
                <w:sz w:val="20"/>
                <w:szCs w:val="20"/>
              </w:rPr>
            </w:pPr>
            <w:r w:rsidRPr="00734942">
              <w:rPr>
                <w:sz w:val="20"/>
                <w:szCs w:val="20"/>
              </w:rPr>
              <w:t>1:5 – 1:20</w:t>
            </w:r>
          </w:p>
        </w:tc>
        <w:tc>
          <w:tcPr>
            <w:tcW w:w="1703" w:type="dxa"/>
            <w:tcBorders>
              <w:top w:val="single" w:sz="4" w:space="0" w:color="auto"/>
            </w:tcBorders>
          </w:tcPr>
          <w:p w14:paraId="74DE444D" w14:textId="77777777" w:rsidR="0056595B" w:rsidRPr="00734942" w:rsidRDefault="0056595B" w:rsidP="00067143">
            <w:pPr>
              <w:rPr>
                <w:sz w:val="20"/>
                <w:szCs w:val="20"/>
              </w:rPr>
            </w:pPr>
          </w:p>
          <w:p w14:paraId="0DEF3377" w14:textId="77777777" w:rsidR="0056595B" w:rsidRPr="00734942" w:rsidRDefault="0056595B" w:rsidP="00067143">
            <w:pPr>
              <w:rPr>
                <w:sz w:val="20"/>
                <w:szCs w:val="20"/>
              </w:rPr>
            </w:pPr>
            <w:r w:rsidRPr="00734942">
              <w:rPr>
                <w:sz w:val="20"/>
                <w:szCs w:val="20"/>
              </w:rPr>
              <w:t>64 – 100</w:t>
            </w:r>
          </w:p>
          <w:p w14:paraId="2C960884" w14:textId="77777777" w:rsidR="0056595B" w:rsidRPr="00734942" w:rsidRDefault="0056595B" w:rsidP="00067143">
            <w:pPr>
              <w:rPr>
                <w:sz w:val="20"/>
                <w:szCs w:val="20"/>
              </w:rPr>
            </w:pPr>
            <w:r w:rsidRPr="00734942">
              <w:rPr>
                <w:sz w:val="20"/>
                <w:szCs w:val="20"/>
              </w:rPr>
              <w:t>61 – 100</w:t>
            </w:r>
          </w:p>
        </w:tc>
        <w:tc>
          <w:tcPr>
            <w:tcW w:w="1279" w:type="dxa"/>
            <w:gridSpan w:val="2"/>
            <w:tcBorders>
              <w:top w:val="single" w:sz="4" w:space="0" w:color="auto"/>
            </w:tcBorders>
          </w:tcPr>
          <w:p w14:paraId="12D170D8" w14:textId="77777777" w:rsidR="0056595B" w:rsidRPr="00734942" w:rsidRDefault="0056595B" w:rsidP="00067143">
            <w:pPr>
              <w:rPr>
                <w:sz w:val="20"/>
                <w:szCs w:val="20"/>
              </w:rPr>
            </w:pPr>
          </w:p>
          <w:p w14:paraId="07E2CD7D" w14:textId="77777777" w:rsidR="0056595B" w:rsidRPr="00734942" w:rsidRDefault="0056595B" w:rsidP="00067143">
            <w:pPr>
              <w:rPr>
                <w:sz w:val="20"/>
                <w:szCs w:val="20"/>
              </w:rPr>
            </w:pPr>
            <w:r w:rsidRPr="00734942">
              <w:rPr>
                <w:sz w:val="20"/>
                <w:szCs w:val="20"/>
              </w:rPr>
              <w:t>0 – 100</w:t>
            </w:r>
          </w:p>
          <w:p w14:paraId="22F1DEAC" w14:textId="77777777" w:rsidR="0056595B" w:rsidRPr="00734942" w:rsidRDefault="0056595B" w:rsidP="00067143">
            <w:pPr>
              <w:rPr>
                <w:sz w:val="20"/>
                <w:szCs w:val="20"/>
              </w:rPr>
            </w:pPr>
            <w:r w:rsidRPr="00734942">
              <w:rPr>
                <w:sz w:val="20"/>
                <w:szCs w:val="20"/>
              </w:rPr>
              <w:t>88 – 100</w:t>
            </w:r>
          </w:p>
        </w:tc>
      </w:tr>
      <w:tr w:rsidR="0056595B" w:rsidRPr="00734942" w14:paraId="09E7D922" w14:textId="77777777" w:rsidTr="00067143">
        <w:trPr>
          <w:gridAfter w:val="1"/>
          <w:wAfter w:w="238" w:type="dxa"/>
          <w:trHeight w:val="794"/>
        </w:trPr>
        <w:tc>
          <w:tcPr>
            <w:tcW w:w="1575" w:type="dxa"/>
            <w:tcBorders>
              <w:bottom w:val="single" w:sz="4" w:space="0" w:color="auto"/>
            </w:tcBorders>
          </w:tcPr>
          <w:p w14:paraId="537E548D" w14:textId="77777777" w:rsidR="0056595B" w:rsidRPr="00734942" w:rsidRDefault="0056595B" w:rsidP="00067143">
            <w:pPr>
              <w:rPr>
                <w:b/>
                <w:sz w:val="20"/>
                <w:szCs w:val="20"/>
              </w:rPr>
            </w:pPr>
            <w:r w:rsidRPr="00734942">
              <w:rPr>
                <w:b/>
                <w:sz w:val="20"/>
                <w:szCs w:val="20"/>
              </w:rPr>
              <w:t>Children</w:t>
            </w:r>
          </w:p>
          <w:p w14:paraId="307E9218" w14:textId="77777777" w:rsidR="0056595B" w:rsidRPr="00734942" w:rsidRDefault="0056595B" w:rsidP="00067143">
            <w:pPr>
              <w:ind w:left="177"/>
              <w:rPr>
                <w:sz w:val="20"/>
                <w:szCs w:val="20"/>
              </w:rPr>
            </w:pPr>
            <w:r w:rsidRPr="00734942">
              <w:rPr>
                <w:sz w:val="20"/>
                <w:szCs w:val="20"/>
              </w:rPr>
              <w:t>IgA tTG</w:t>
            </w:r>
          </w:p>
          <w:p w14:paraId="02B779A4" w14:textId="77777777" w:rsidR="0056595B" w:rsidRPr="00734942" w:rsidRDefault="0056595B" w:rsidP="00067143">
            <w:pPr>
              <w:ind w:left="177"/>
              <w:rPr>
                <w:sz w:val="20"/>
                <w:szCs w:val="20"/>
              </w:rPr>
            </w:pPr>
            <w:r w:rsidRPr="00734942">
              <w:rPr>
                <w:sz w:val="20"/>
                <w:szCs w:val="20"/>
              </w:rPr>
              <w:t>IgA EMA</w:t>
            </w:r>
          </w:p>
        </w:tc>
        <w:tc>
          <w:tcPr>
            <w:tcW w:w="876" w:type="dxa"/>
            <w:tcBorders>
              <w:bottom w:val="single" w:sz="4" w:space="0" w:color="auto"/>
            </w:tcBorders>
          </w:tcPr>
          <w:p w14:paraId="53C230AA" w14:textId="77777777" w:rsidR="0056595B" w:rsidRPr="00734942" w:rsidRDefault="0056595B" w:rsidP="00067143">
            <w:pPr>
              <w:rPr>
                <w:sz w:val="20"/>
                <w:szCs w:val="20"/>
              </w:rPr>
            </w:pPr>
          </w:p>
          <w:p w14:paraId="5BD1CA6B" w14:textId="77777777" w:rsidR="0056595B" w:rsidRPr="00734942" w:rsidRDefault="0056595B" w:rsidP="00067143">
            <w:pPr>
              <w:rPr>
                <w:sz w:val="20"/>
                <w:szCs w:val="20"/>
              </w:rPr>
            </w:pPr>
            <w:r w:rsidRPr="00734942">
              <w:rPr>
                <w:sz w:val="20"/>
                <w:szCs w:val="20"/>
              </w:rPr>
              <w:t>31</w:t>
            </w:r>
          </w:p>
          <w:p w14:paraId="1A4F417E" w14:textId="77777777" w:rsidR="0056595B" w:rsidRPr="00734942" w:rsidRDefault="0056595B" w:rsidP="00067143">
            <w:pPr>
              <w:rPr>
                <w:sz w:val="20"/>
                <w:szCs w:val="20"/>
              </w:rPr>
            </w:pPr>
            <w:r w:rsidRPr="00734942">
              <w:rPr>
                <w:sz w:val="20"/>
                <w:szCs w:val="20"/>
              </w:rPr>
              <w:t>22</w:t>
            </w:r>
          </w:p>
        </w:tc>
        <w:tc>
          <w:tcPr>
            <w:tcW w:w="1799" w:type="dxa"/>
            <w:tcBorders>
              <w:bottom w:val="single" w:sz="4" w:space="0" w:color="auto"/>
            </w:tcBorders>
          </w:tcPr>
          <w:p w14:paraId="6D903159" w14:textId="77777777" w:rsidR="0056595B" w:rsidRPr="00734942" w:rsidRDefault="0056595B" w:rsidP="00067143">
            <w:pPr>
              <w:rPr>
                <w:sz w:val="20"/>
                <w:szCs w:val="20"/>
              </w:rPr>
            </w:pPr>
          </w:p>
          <w:p w14:paraId="4FC21479" w14:textId="77777777" w:rsidR="0056595B" w:rsidRPr="00734942" w:rsidRDefault="0056595B" w:rsidP="00067143">
            <w:pPr>
              <w:rPr>
                <w:sz w:val="20"/>
                <w:szCs w:val="20"/>
              </w:rPr>
            </w:pPr>
            <w:r w:rsidRPr="00734942">
              <w:rPr>
                <w:sz w:val="20"/>
                <w:szCs w:val="20"/>
              </w:rPr>
              <w:t>5824 (3330)</w:t>
            </w:r>
          </w:p>
          <w:p w14:paraId="63984A95" w14:textId="77777777" w:rsidR="0056595B" w:rsidRPr="00734942" w:rsidRDefault="0056595B" w:rsidP="00067143">
            <w:pPr>
              <w:rPr>
                <w:sz w:val="20"/>
                <w:szCs w:val="20"/>
              </w:rPr>
            </w:pPr>
            <w:r w:rsidRPr="00734942">
              <w:rPr>
                <w:sz w:val="20"/>
                <w:szCs w:val="20"/>
              </w:rPr>
              <w:t>3685 (2015)</w:t>
            </w:r>
          </w:p>
        </w:tc>
        <w:tc>
          <w:tcPr>
            <w:tcW w:w="1702" w:type="dxa"/>
            <w:tcBorders>
              <w:bottom w:val="single" w:sz="4" w:space="0" w:color="auto"/>
            </w:tcBorders>
          </w:tcPr>
          <w:p w14:paraId="64723428" w14:textId="77777777" w:rsidR="0056595B" w:rsidRPr="00734942" w:rsidRDefault="0056595B" w:rsidP="00067143">
            <w:pPr>
              <w:rPr>
                <w:sz w:val="20"/>
                <w:szCs w:val="20"/>
              </w:rPr>
            </w:pPr>
          </w:p>
          <w:p w14:paraId="0C47D04E" w14:textId="77777777" w:rsidR="0056595B" w:rsidRPr="00734942" w:rsidRDefault="0056595B" w:rsidP="00067143">
            <w:pPr>
              <w:rPr>
                <w:sz w:val="20"/>
                <w:szCs w:val="20"/>
              </w:rPr>
            </w:pPr>
            <w:r w:rsidRPr="00734942">
              <w:rPr>
                <w:sz w:val="20"/>
                <w:szCs w:val="20"/>
              </w:rPr>
              <w:t>3 – 100 U/mL</w:t>
            </w:r>
          </w:p>
          <w:p w14:paraId="3A0EF7C9" w14:textId="77777777" w:rsidR="0056595B" w:rsidRPr="00734942" w:rsidRDefault="0056595B" w:rsidP="00067143">
            <w:pPr>
              <w:rPr>
                <w:sz w:val="20"/>
                <w:szCs w:val="20"/>
              </w:rPr>
            </w:pPr>
            <w:r w:rsidRPr="00734942">
              <w:rPr>
                <w:sz w:val="20"/>
                <w:szCs w:val="20"/>
              </w:rPr>
              <w:t>1:5 – 1:40</w:t>
            </w:r>
          </w:p>
        </w:tc>
        <w:tc>
          <w:tcPr>
            <w:tcW w:w="1703" w:type="dxa"/>
            <w:tcBorders>
              <w:bottom w:val="single" w:sz="4" w:space="0" w:color="auto"/>
            </w:tcBorders>
          </w:tcPr>
          <w:p w14:paraId="6B449D61" w14:textId="77777777" w:rsidR="0056595B" w:rsidRPr="00734942" w:rsidRDefault="0056595B" w:rsidP="00067143">
            <w:pPr>
              <w:rPr>
                <w:sz w:val="20"/>
                <w:szCs w:val="20"/>
              </w:rPr>
            </w:pPr>
          </w:p>
          <w:p w14:paraId="42567764" w14:textId="77777777" w:rsidR="0056595B" w:rsidRPr="00734942" w:rsidRDefault="0056595B" w:rsidP="00067143">
            <w:pPr>
              <w:rPr>
                <w:sz w:val="20"/>
                <w:szCs w:val="20"/>
              </w:rPr>
            </w:pPr>
            <w:r w:rsidRPr="00734942">
              <w:rPr>
                <w:sz w:val="20"/>
                <w:szCs w:val="20"/>
              </w:rPr>
              <w:t>29 – 100</w:t>
            </w:r>
          </w:p>
          <w:p w14:paraId="0A2F1990" w14:textId="77777777" w:rsidR="0056595B" w:rsidRPr="00734942" w:rsidRDefault="0056595B" w:rsidP="00067143">
            <w:pPr>
              <w:rPr>
                <w:sz w:val="20"/>
                <w:szCs w:val="20"/>
              </w:rPr>
            </w:pPr>
            <w:r w:rsidRPr="00734942">
              <w:rPr>
                <w:sz w:val="20"/>
                <w:szCs w:val="20"/>
              </w:rPr>
              <w:t>46 – 100</w:t>
            </w:r>
          </w:p>
        </w:tc>
        <w:tc>
          <w:tcPr>
            <w:tcW w:w="1279" w:type="dxa"/>
            <w:gridSpan w:val="2"/>
            <w:tcBorders>
              <w:bottom w:val="single" w:sz="4" w:space="0" w:color="auto"/>
            </w:tcBorders>
          </w:tcPr>
          <w:p w14:paraId="4BF461CF" w14:textId="77777777" w:rsidR="0056595B" w:rsidRPr="00734942" w:rsidRDefault="0056595B" w:rsidP="00067143">
            <w:pPr>
              <w:rPr>
                <w:sz w:val="20"/>
                <w:szCs w:val="20"/>
              </w:rPr>
            </w:pPr>
          </w:p>
          <w:p w14:paraId="79591A63" w14:textId="77777777" w:rsidR="0056595B" w:rsidRPr="00734942" w:rsidRDefault="0056595B" w:rsidP="00067143">
            <w:pPr>
              <w:rPr>
                <w:sz w:val="20"/>
                <w:szCs w:val="20"/>
              </w:rPr>
            </w:pPr>
            <w:r w:rsidRPr="00734942">
              <w:rPr>
                <w:sz w:val="20"/>
                <w:szCs w:val="20"/>
              </w:rPr>
              <w:t>24 – 100</w:t>
            </w:r>
          </w:p>
          <w:p w14:paraId="6A564026" w14:textId="77777777" w:rsidR="0056595B" w:rsidRPr="00734942" w:rsidRDefault="0056595B" w:rsidP="00067143">
            <w:pPr>
              <w:rPr>
                <w:sz w:val="20"/>
                <w:szCs w:val="20"/>
              </w:rPr>
            </w:pPr>
            <w:r w:rsidRPr="00734942">
              <w:rPr>
                <w:sz w:val="20"/>
                <w:szCs w:val="20"/>
              </w:rPr>
              <w:t>29 – 100</w:t>
            </w:r>
          </w:p>
        </w:tc>
      </w:tr>
      <w:tr w:rsidR="0056595B" w:rsidRPr="00734942" w14:paraId="70C9B6BE" w14:textId="77777777" w:rsidTr="00067143">
        <w:trPr>
          <w:gridAfter w:val="2"/>
          <w:wAfter w:w="519" w:type="dxa"/>
          <w:trHeight w:val="84"/>
        </w:trPr>
        <w:tc>
          <w:tcPr>
            <w:tcW w:w="8653" w:type="dxa"/>
            <w:gridSpan w:val="6"/>
            <w:tcBorders>
              <w:top w:val="single" w:sz="4" w:space="0" w:color="auto"/>
              <w:bottom w:val="single" w:sz="4" w:space="0" w:color="auto"/>
            </w:tcBorders>
          </w:tcPr>
          <w:p w14:paraId="1E81B356" w14:textId="77777777" w:rsidR="0056595B" w:rsidRPr="00734942" w:rsidRDefault="0056595B" w:rsidP="00067143">
            <w:pPr>
              <w:rPr>
                <w:b/>
                <w:sz w:val="20"/>
                <w:szCs w:val="20"/>
              </w:rPr>
            </w:pPr>
            <w:r w:rsidRPr="00734942">
              <w:rPr>
                <w:b/>
                <w:sz w:val="20"/>
                <w:szCs w:val="20"/>
              </w:rPr>
              <w:t>Low risk of bias</w:t>
            </w:r>
          </w:p>
        </w:tc>
      </w:tr>
      <w:tr w:rsidR="0056595B" w:rsidRPr="00734942" w14:paraId="7049F3FE" w14:textId="77777777" w:rsidTr="00067143">
        <w:trPr>
          <w:trHeight w:val="794"/>
        </w:trPr>
        <w:tc>
          <w:tcPr>
            <w:tcW w:w="1575" w:type="dxa"/>
            <w:tcBorders>
              <w:top w:val="single" w:sz="4" w:space="0" w:color="auto"/>
            </w:tcBorders>
          </w:tcPr>
          <w:p w14:paraId="05748253" w14:textId="77777777" w:rsidR="0056595B" w:rsidRPr="00541948" w:rsidRDefault="0056595B" w:rsidP="00067143">
            <w:pPr>
              <w:rPr>
                <w:b/>
                <w:sz w:val="20"/>
                <w:szCs w:val="20"/>
                <w:lang w:val="pt-BR"/>
              </w:rPr>
            </w:pPr>
            <w:r w:rsidRPr="00541948">
              <w:rPr>
                <w:b/>
                <w:sz w:val="20"/>
                <w:szCs w:val="20"/>
                <w:lang w:val="pt-BR"/>
              </w:rPr>
              <w:t>Adults</w:t>
            </w:r>
          </w:p>
          <w:p w14:paraId="61B861D3" w14:textId="77777777" w:rsidR="0056595B" w:rsidRPr="00541948" w:rsidRDefault="0056595B" w:rsidP="00067143">
            <w:pPr>
              <w:ind w:left="173"/>
              <w:rPr>
                <w:sz w:val="20"/>
                <w:szCs w:val="20"/>
                <w:lang w:val="pt-BR"/>
              </w:rPr>
            </w:pPr>
            <w:r w:rsidRPr="00541948">
              <w:rPr>
                <w:sz w:val="20"/>
                <w:szCs w:val="20"/>
                <w:lang w:val="pt-BR"/>
              </w:rPr>
              <w:t>IgA tTG</w:t>
            </w:r>
          </w:p>
          <w:p w14:paraId="798DB3EA" w14:textId="77777777" w:rsidR="0056595B" w:rsidRPr="00541948" w:rsidRDefault="0056595B" w:rsidP="00067143">
            <w:pPr>
              <w:tabs>
                <w:tab w:val="right" w:pos="2048"/>
              </w:tabs>
              <w:ind w:left="173"/>
              <w:rPr>
                <w:sz w:val="20"/>
                <w:szCs w:val="20"/>
                <w:lang w:val="pt-BR"/>
              </w:rPr>
            </w:pPr>
            <w:r w:rsidRPr="00541948">
              <w:rPr>
                <w:sz w:val="20"/>
                <w:szCs w:val="20"/>
                <w:lang w:val="pt-BR"/>
              </w:rPr>
              <w:t>IgA EMA</w:t>
            </w:r>
            <w:r w:rsidRPr="00541948">
              <w:rPr>
                <w:sz w:val="20"/>
                <w:szCs w:val="20"/>
                <w:lang w:val="pt-BR"/>
              </w:rPr>
              <w:tab/>
            </w:r>
          </w:p>
        </w:tc>
        <w:tc>
          <w:tcPr>
            <w:tcW w:w="876" w:type="dxa"/>
            <w:tcBorders>
              <w:top w:val="single" w:sz="4" w:space="0" w:color="auto"/>
            </w:tcBorders>
          </w:tcPr>
          <w:p w14:paraId="4C3C1729" w14:textId="77777777" w:rsidR="0056595B" w:rsidRPr="00541948" w:rsidRDefault="0056595B" w:rsidP="00067143">
            <w:pPr>
              <w:rPr>
                <w:sz w:val="20"/>
                <w:szCs w:val="20"/>
                <w:lang w:val="pt-BR"/>
              </w:rPr>
            </w:pPr>
          </w:p>
          <w:p w14:paraId="3851632D" w14:textId="77777777" w:rsidR="0056595B" w:rsidRPr="00734942" w:rsidRDefault="0056595B" w:rsidP="00067143">
            <w:pPr>
              <w:rPr>
                <w:sz w:val="20"/>
                <w:szCs w:val="20"/>
              </w:rPr>
            </w:pPr>
            <w:r w:rsidRPr="00734942">
              <w:rPr>
                <w:sz w:val="20"/>
                <w:szCs w:val="20"/>
              </w:rPr>
              <w:t>5</w:t>
            </w:r>
          </w:p>
          <w:p w14:paraId="255682AD" w14:textId="77777777" w:rsidR="0056595B" w:rsidRPr="00734942" w:rsidRDefault="0056595B" w:rsidP="00067143">
            <w:pPr>
              <w:rPr>
                <w:sz w:val="20"/>
                <w:szCs w:val="20"/>
              </w:rPr>
            </w:pPr>
            <w:r w:rsidRPr="00734942">
              <w:rPr>
                <w:sz w:val="20"/>
                <w:szCs w:val="20"/>
              </w:rPr>
              <w:t>2</w:t>
            </w:r>
          </w:p>
        </w:tc>
        <w:tc>
          <w:tcPr>
            <w:tcW w:w="1799" w:type="dxa"/>
            <w:tcBorders>
              <w:top w:val="single" w:sz="4" w:space="0" w:color="auto"/>
            </w:tcBorders>
          </w:tcPr>
          <w:p w14:paraId="02DFEBB6" w14:textId="77777777" w:rsidR="0056595B" w:rsidRPr="00734942" w:rsidRDefault="0056595B" w:rsidP="00067143">
            <w:pPr>
              <w:rPr>
                <w:sz w:val="20"/>
                <w:szCs w:val="20"/>
              </w:rPr>
            </w:pPr>
          </w:p>
          <w:p w14:paraId="636255D2" w14:textId="77777777" w:rsidR="0056595B" w:rsidRPr="00734942" w:rsidRDefault="0056595B" w:rsidP="00067143">
            <w:pPr>
              <w:rPr>
                <w:sz w:val="20"/>
                <w:szCs w:val="20"/>
              </w:rPr>
            </w:pPr>
            <w:r w:rsidRPr="00734942">
              <w:rPr>
                <w:sz w:val="20"/>
                <w:szCs w:val="20"/>
              </w:rPr>
              <w:t>1577 (426)</w:t>
            </w:r>
          </w:p>
          <w:p w14:paraId="4E8335AD" w14:textId="77777777" w:rsidR="0056595B" w:rsidRPr="00734942" w:rsidRDefault="0056595B" w:rsidP="00067143">
            <w:pPr>
              <w:rPr>
                <w:sz w:val="20"/>
                <w:szCs w:val="20"/>
              </w:rPr>
            </w:pPr>
            <w:r w:rsidRPr="00734942">
              <w:rPr>
                <w:sz w:val="20"/>
                <w:szCs w:val="20"/>
              </w:rPr>
              <w:t>268 (103)</w:t>
            </w:r>
          </w:p>
        </w:tc>
        <w:tc>
          <w:tcPr>
            <w:tcW w:w="1702" w:type="dxa"/>
            <w:tcBorders>
              <w:top w:val="single" w:sz="4" w:space="0" w:color="auto"/>
            </w:tcBorders>
          </w:tcPr>
          <w:p w14:paraId="1AAF1D45" w14:textId="77777777" w:rsidR="0056595B" w:rsidRPr="00734942" w:rsidRDefault="0056595B" w:rsidP="00067143">
            <w:pPr>
              <w:rPr>
                <w:sz w:val="20"/>
                <w:szCs w:val="20"/>
              </w:rPr>
            </w:pPr>
          </w:p>
          <w:p w14:paraId="4B02975D" w14:textId="77777777" w:rsidR="0056595B" w:rsidRPr="00734942" w:rsidRDefault="0056595B" w:rsidP="00067143">
            <w:pPr>
              <w:rPr>
                <w:sz w:val="20"/>
                <w:szCs w:val="20"/>
              </w:rPr>
            </w:pPr>
            <w:r w:rsidRPr="00734942">
              <w:rPr>
                <w:sz w:val="20"/>
                <w:szCs w:val="20"/>
              </w:rPr>
              <w:t>5 – 20 U/mL</w:t>
            </w:r>
          </w:p>
          <w:p w14:paraId="3D75A693" w14:textId="77777777" w:rsidR="0056595B" w:rsidRPr="00734942" w:rsidRDefault="0056595B" w:rsidP="00067143">
            <w:pPr>
              <w:rPr>
                <w:sz w:val="20"/>
                <w:szCs w:val="20"/>
              </w:rPr>
            </w:pPr>
            <w:r w:rsidRPr="00734942">
              <w:rPr>
                <w:sz w:val="20"/>
                <w:szCs w:val="20"/>
              </w:rPr>
              <w:t>1:5, 1:20</w:t>
            </w:r>
          </w:p>
        </w:tc>
        <w:tc>
          <w:tcPr>
            <w:tcW w:w="1703" w:type="dxa"/>
            <w:tcBorders>
              <w:top w:val="single" w:sz="4" w:space="0" w:color="auto"/>
            </w:tcBorders>
          </w:tcPr>
          <w:p w14:paraId="65841C6F" w14:textId="77777777" w:rsidR="0056595B" w:rsidRPr="00734942" w:rsidRDefault="0056595B" w:rsidP="00067143">
            <w:pPr>
              <w:rPr>
                <w:sz w:val="20"/>
                <w:szCs w:val="20"/>
              </w:rPr>
            </w:pPr>
          </w:p>
          <w:p w14:paraId="1843AFA9" w14:textId="77777777" w:rsidR="0056595B" w:rsidRPr="00734942" w:rsidRDefault="0056595B" w:rsidP="00067143">
            <w:pPr>
              <w:rPr>
                <w:sz w:val="20"/>
                <w:szCs w:val="20"/>
              </w:rPr>
            </w:pPr>
            <w:r w:rsidRPr="00734942">
              <w:rPr>
                <w:sz w:val="20"/>
                <w:szCs w:val="20"/>
              </w:rPr>
              <w:t>76 – 100</w:t>
            </w:r>
          </w:p>
          <w:p w14:paraId="77B697FE" w14:textId="77777777" w:rsidR="0056595B" w:rsidRPr="00734942" w:rsidRDefault="0056595B" w:rsidP="00067143">
            <w:pPr>
              <w:rPr>
                <w:sz w:val="20"/>
                <w:szCs w:val="20"/>
              </w:rPr>
            </w:pPr>
            <w:r w:rsidRPr="00734942">
              <w:rPr>
                <w:sz w:val="20"/>
                <w:szCs w:val="20"/>
              </w:rPr>
              <w:t>61, 89</w:t>
            </w:r>
          </w:p>
        </w:tc>
        <w:tc>
          <w:tcPr>
            <w:tcW w:w="1279" w:type="dxa"/>
            <w:gridSpan w:val="2"/>
            <w:tcBorders>
              <w:top w:val="single" w:sz="4" w:space="0" w:color="auto"/>
            </w:tcBorders>
          </w:tcPr>
          <w:p w14:paraId="32F1F4EB" w14:textId="77777777" w:rsidR="0056595B" w:rsidRPr="00734942" w:rsidRDefault="0056595B" w:rsidP="00067143">
            <w:pPr>
              <w:rPr>
                <w:sz w:val="20"/>
                <w:szCs w:val="20"/>
              </w:rPr>
            </w:pPr>
          </w:p>
          <w:p w14:paraId="074DA8C7" w14:textId="77777777" w:rsidR="0056595B" w:rsidRPr="00734942" w:rsidRDefault="0056595B" w:rsidP="00067143">
            <w:pPr>
              <w:rPr>
                <w:sz w:val="20"/>
                <w:szCs w:val="20"/>
              </w:rPr>
            </w:pPr>
            <w:r w:rsidRPr="00734942">
              <w:rPr>
                <w:sz w:val="20"/>
                <w:szCs w:val="20"/>
              </w:rPr>
              <w:t>88 – 98</w:t>
            </w:r>
          </w:p>
          <w:p w14:paraId="49507FC2" w14:textId="77777777" w:rsidR="0056595B" w:rsidRPr="00734942" w:rsidRDefault="0056595B" w:rsidP="00067143">
            <w:pPr>
              <w:rPr>
                <w:sz w:val="20"/>
                <w:szCs w:val="20"/>
              </w:rPr>
            </w:pPr>
            <w:r w:rsidRPr="00734942">
              <w:rPr>
                <w:sz w:val="20"/>
                <w:szCs w:val="20"/>
              </w:rPr>
              <w:t>100, 100</w:t>
            </w:r>
          </w:p>
        </w:tc>
        <w:tc>
          <w:tcPr>
            <w:tcW w:w="238" w:type="dxa"/>
            <w:tcBorders>
              <w:top w:val="single" w:sz="4" w:space="0" w:color="auto"/>
            </w:tcBorders>
          </w:tcPr>
          <w:p w14:paraId="3042086C" w14:textId="77777777" w:rsidR="0056595B" w:rsidRPr="00734942" w:rsidRDefault="0056595B" w:rsidP="00067143">
            <w:pPr>
              <w:rPr>
                <w:sz w:val="20"/>
                <w:szCs w:val="20"/>
              </w:rPr>
            </w:pPr>
          </w:p>
        </w:tc>
      </w:tr>
      <w:tr w:rsidR="0056595B" w:rsidRPr="00734942" w14:paraId="520B170D" w14:textId="77777777" w:rsidTr="00067143">
        <w:trPr>
          <w:trHeight w:val="794"/>
        </w:trPr>
        <w:tc>
          <w:tcPr>
            <w:tcW w:w="1575" w:type="dxa"/>
          </w:tcPr>
          <w:p w14:paraId="60225287" w14:textId="77777777" w:rsidR="0056595B" w:rsidRPr="00734942" w:rsidRDefault="0056595B" w:rsidP="00067143">
            <w:pPr>
              <w:rPr>
                <w:b/>
                <w:sz w:val="20"/>
                <w:szCs w:val="20"/>
              </w:rPr>
            </w:pPr>
            <w:r w:rsidRPr="00734942">
              <w:rPr>
                <w:b/>
                <w:sz w:val="20"/>
                <w:szCs w:val="20"/>
              </w:rPr>
              <w:lastRenderedPageBreak/>
              <w:t>Children</w:t>
            </w:r>
          </w:p>
          <w:p w14:paraId="1FC4FD9B" w14:textId="77777777" w:rsidR="0056595B" w:rsidRPr="00734942" w:rsidRDefault="0056595B" w:rsidP="00067143">
            <w:pPr>
              <w:ind w:left="173"/>
              <w:rPr>
                <w:sz w:val="20"/>
                <w:szCs w:val="20"/>
              </w:rPr>
            </w:pPr>
            <w:r w:rsidRPr="00734942">
              <w:rPr>
                <w:sz w:val="20"/>
                <w:szCs w:val="20"/>
              </w:rPr>
              <w:t>IgA tTG</w:t>
            </w:r>
          </w:p>
          <w:p w14:paraId="6341E0BF" w14:textId="77777777" w:rsidR="0056595B" w:rsidRPr="00734942" w:rsidRDefault="0056595B" w:rsidP="00067143">
            <w:pPr>
              <w:ind w:left="173"/>
              <w:rPr>
                <w:sz w:val="20"/>
                <w:szCs w:val="20"/>
              </w:rPr>
            </w:pPr>
            <w:r w:rsidRPr="00734942">
              <w:rPr>
                <w:sz w:val="20"/>
                <w:szCs w:val="20"/>
              </w:rPr>
              <w:t>IgA EMA</w:t>
            </w:r>
          </w:p>
        </w:tc>
        <w:tc>
          <w:tcPr>
            <w:tcW w:w="876" w:type="dxa"/>
          </w:tcPr>
          <w:p w14:paraId="7157FD7D" w14:textId="77777777" w:rsidR="0056595B" w:rsidRPr="00734942" w:rsidRDefault="0056595B" w:rsidP="00067143">
            <w:pPr>
              <w:rPr>
                <w:sz w:val="20"/>
                <w:szCs w:val="20"/>
              </w:rPr>
            </w:pPr>
          </w:p>
          <w:p w14:paraId="57A49926" w14:textId="77777777" w:rsidR="0056595B" w:rsidRPr="00734942" w:rsidRDefault="0056595B" w:rsidP="00067143">
            <w:pPr>
              <w:rPr>
                <w:sz w:val="20"/>
                <w:szCs w:val="20"/>
              </w:rPr>
            </w:pPr>
            <w:r w:rsidRPr="00734942">
              <w:rPr>
                <w:sz w:val="20"/>
                <w:szCs w:val="20"/>
              </w:rPr>
              <w:t>4</w:t>
            </w:r>
          </w:p>
          <w:p w14:paraId="609420A4" w14:textId="77777777" w:rsidR="0056595B" w:rsidRPr="00734942" w:rsidRDefault="0056595B" w:rsidP="00067143">
            <w:pPr>
              <w:rPr>
                <w:sz w:val="20"/>
                <w:szCs w:val="20"/>
              </w:rPr>
            </w:pPr>
            <w:r w:rsidRPr="00734942">
              <w:rPr>
                <w:sz w:val="20"/>
                <w:szCs w:val="20"/>
              </w:rPr>
              <w:t>1</w:t>
            </w:r>
          </w:p>
        </w:tc>
        <w:tc>
          <w:tcPr>
            <w:tcW w:w="1799" w:type="dxa"/>
          </w:tcPr>
          <w:p w14:paraId="2DB52B9D" w14:textId="77777777" w:rsidR="0056595B" w:rsidRPr="00734942" w:rsidRDefault="0056595B" w:rsidP="00067143">
            <w:pPr>
              <w:rPr>
                <w:sz w:val="20"/>
                <w:szCs w:val="20"/>
              </w:rPr>
            </w:pPr>
          </w:p>
          <w:p w14:paraId="1A56FF6D" w14:textId="77777777" w:rsidR="0056595B" w:rsidRPr="00734942" w:rsidRDefault="0056595B" w:rsidP="00067143">
            <w:pPr>
              <w:rPr>
                <w:sz w:val="20"/>
                <w:szCs w:val="20"/>
              </w:rPr>
            </w:pPr>
            <w:r w:rsidRPr="00734942">
              <w:rPr>
                <w:sz w:val="20"/>
                <w:szCs w:val="20"/>
              </w:rPr>
              <w:t>1319 (823)</w:t>
            </w:r>
          </w:p>
          <w:p w14:paraId="1691C6D3" w14:textId="77777777" w:rsidR="0056595B" w:rsidRPr="00734942" w:rsidRDefault="0056595B" w:rsidP="00067143">
            <w:pPr>
              <w:rPr>
                <w:sz w:val="20"/>
                <w:szCs w:val="20"/>
              </w:rPr>
            </w:pPr>
            <w:r w:rsidRPr="00734942">
              <w:rPr>
                <w:sz w:val="20"/>
                <w:szCs w:val="20"/>
              </w:rPr>
              <w:t>873 (528)</w:t>
            </w:r>
          </w:p>
        </w:tc>
        <w:tc>
          <w:tcPr>
            <w:tcW w:w="1702" w:type="dxa"/>
          </w:tcPr>
          <w:p w14:paraId="71855867" w14:textId="77777777" w:rsidR="0056595B" w:rsidRPr="00734942" w:rsidRDefault="0056595B" w:rsidP="00067143">
            <w:pPr>
              <w:rPr>
                <w:sz w:val="20"/>
                <w:szCs w:val="20"/>
              </w:rPr>
            </w:pPr>
          </w:p>
          <w:p w14:paraId="239D59C3" w14:textId="77777777" w:rsidR="0056595B" w:rsidRPr="00734942" w:rsidRDefault="0056595B" w:rsidP="00067143">
            <w:pPr>
              <w:rPr>
                <w:sz w:val="20"/>
                <w:szCs w:val="20"/>
              </w:rPr>
            </w:pPr>
            <w:r w:rsidRPr="00734942">
              <w:rPr>
                <w:sz w:val="20"/>
                <w:szCs w:val="20"/>
              </w:rPr>
              <w:t>20 – 21 U/mL</w:t>
            </w:r>
          </w:p>
          <w:p w14:paraId="66894882" w14:textId="77777777" w:rsidR="0056595B" w:rsidRPr="00734942" w:rsidRDefault="0056595B" w:rsidP="00067143">
            <w:pPr>
              <w:rPr>
                <w:sz w:val="20"/>
                <w:szCs w:val="20"/>
              </w:rPr>
            </w:pPr>
            <w:r w:rsidRPr="00734942">
              <w:rPr>
                <w:sz w:val="20"/>
                <w:szCs w:val="20"/>
              </w:rPr>
              <w:t>1:10</w:t>
            </w:r>
          </w:p>
        </w:tc>
        <w:tc>
          <w:tcPr>
            <w:tcW w:w="1703" w:type="dxa"/>
          </w:tcPr>
          <w:p w14:paraId="3BAF85AF" w14:textId="77777777" w:rsidR="0056595B" w:rsidRPr="00734942" w:rsidRDefault="0056595B" w:rsidP="00067143">
            <w:pPr>
              <w:rPr>
                <w:sz w:val="20"/>
                <w:szCs w:val="20"/>
              </w:rPr>
            </w:pPr>
          </w:p>
          <w:p w14:paraId="57A857F9" w14:textId="77777777" w:rsidR="0056595B" w:rsidRPr="00734942" w:rsidRDefault="0056595B" w:rsidP="00067143">
            <w:pPr>
              <w:rPr>
                <w:sz w:val="20"/>
                <w:szCs w:val="20"/>
              </w:rPr>
            </w:pPr>
            <w:r w:rsidRPr="00734942">
              <w:rPr>
                <w:sz w:val="20"/>
                <w:szCs w:val="20"/>
              </w:rPr>
              <w:t>95 – 100</w:t>
            </w:r>
          </w:p>
          <w:p w14:paraId="7043DDA5" w14:textId="77777777" w:rsidR="0056595B" w:rsidRPr="00734942" w:rsidRDefault="0056595B" w:rsidP="00067143">
            <w:pPr>
              <w:rPr>
                <w:sz w:val="20"/>
                <w:szCs w:val="20"/>
              </w:rPr>
            </w:pPr>
            <w:r w:rsidRPr="00734942">
              <w:rPr>
                <w:sz w:val="20"/>
                <w:szCs w:val="20"/>
              </w:rPr>
              <w:t>95</w:t>
            </w:r>
          </w:p>
        </w:tc>
        <w:tc>
          <w:tcPr>
            <w:tcW w:w="1279" w:type="dxa"/>
            <w:gridSpan w:val="2"/>
          </w:tcPr>
          <w:p w14:paraId="769AFC3F" w14:textId="77777777" w:rsidR="0056595B" w:rsidRPr="00734942" w:rsidRDefault="0056595B" w:rsidP="00067143">
            <w:pPr>
              <w:rPr>
                <w:sz w:val="20"/>
                <w:szCs w:val="20"/>
              </w:rPr>
            </w:pPr>
          </w:p>
          <w:p w14:paraId="32CC0016" w14:textId="77777777" w:rsidR="0056595B" w:rsidRPr="00734942" w:rsidRDefault="0056595B" w:rsidP="00067143">
            <w:pPr>
              <w:rPr>
                <w:sz w:val="20"/>
                <w:szCs w:val="20"/>
              </w:rPr>
            </w:pPr>
            <w:r w:rsidRPr="00734942">
              <w:rPr>
                <w:sz w:val="20"/>
                <w:szCs w:val="20"/>
              </w:rPr>
              <w:t>24 – 99</w:t>
            </w:r>
          </w:p>
          <w:p w14:paraId="572C27EE" w14:textId="77777777" w:rsidR="0056595B" w:rsidRPr="00734942" w:rsidRDefault="0056595B" w:rsidP="00067143">
            <w:pPr>
              <w:rPr>
                <w:sz w:val="20"/>
                <w:szCs w:val="20"/>
              </w:rPr>
            </w:pPr>
            <w:r w:rsidRPr="00734942">
              <w:rPr>
                <w:sz w:val="20"/>
                <w:szCs w:val="20"/>
              </w:rPr>
              <w:t>94</w:t>
            </w:r>
          </w:p>
        </w:tc>
        <w:tc>
          <w:tcPr>
            <w:tcW w:w="238" w:type="dxa"/>
          </w:tcPr>
          <w:p w14:paraId="5404AA6E" w14:textId="77777777" w:rsidR="0056595B" w:rsidRPr="00734942" w:rsidRDefault="0056595B" w:rsidP="00067143">
            <w:pPr>
              <w:rPr>
                <w:sz w:val="20"/>
                <w:szCs w:val="20"/>
              </w:rPr>
            </w:pPr>
          </w:p>
        </w:tc>
      </w:tr>
    </w:tbl>
    <w:p w14:paraId="0E802671" w14:textId="77777777" w:rsidR="0056595B" w:rsidRPr="00734942" w:rsidRDefault="0056595B" w:rsidP="0056595B">
      <w:pPr>
        <w:rPr>
          <w:sz w:val="20"/>
        </w:rPr>
      </w:pPr>
      <w:r w:rsidRPr="00734942">
        <w:rPr>
          <w:sz w:val="20"/>
        </w:rPr>
        <w:t>CD, coeliac disease; IgA, immunoglobulin A; tTG, anti-tissue transglutaminase; EMA, endomysial antibodies; PPV, positive predictive value; NPV, negative predictive value</w:t>
      </w:r>
    </w:p>
    <w:p w14:paraId="0382EF51" w14:textId="77777777" w:rsidR="00C64D5B" w:rsidRDefault="00C64D5B">
      <w:pPr>
        <w:rPr>
          <w:rFonts w:asciiTheme="majorHAnsi" w:eastAsiaTheme="majorEastAsia" w:hAnsiTheme="majorHAnsi" w:cstheme="majorBidi"/>
          <w:color w:val="2F5496" w:themeColor="accent1" w:themeShade="BF"/>
          <w:sz w:val="32"/>
          <w:szCs w:val="32"/>
        </w:rPr>
      </w:pPr>
      <w:r>
        <w:br w:type="page"/>
      </w:r>
    </w:p>
    <w:p w14:paraId="75809776" w14:textId="77777777" w:rsidR="00E9000D" w:rsidRPr="00734942" w:rsidRDefault="00E9000D" w:rsidP="00E9000D">
      <w:pPr>
        <w:pStyle w:val="Heading1"/>
      </w:pPr>
      <w:bookmarkStart w:id="190" w:name="_Toc99539870"/>
      <w:bookmarkStart w:id="191" w:name="_Hlk86245493"/>
      <w:r w:rsidRPr="00734942">
        <w:lastRenderedPageBreak/>
        <w:t xml:space="preserve">Chapter </w:t>
      </w:r>
      <w:r w:rsidR="001E4000" w:rsidRPr="00734942">
        <w:t>6</w:t>
      </w:r>
      <w:r w:rsidRPr="00734942">
        <w:t>: Accuracy of genetic tests for coeliac disease</w:t>
      </w:r>
      <w:bookmarkEnd w:id="190"/>
    </w:p>
    <w:bookmarkEnd w:id="191"/>
    <w:p w14:paraId="613F8054" w14:textId="5ADA93A8" w:rsidR="00DD6A02" w:rsidRPr="00734942" w:rsidRDefault="00DD6A02" w:rsidP="00DD6A02">
      <w:r w:rsidRPr="00734942">
        <w:t xml:space="preserve">We conducted a systematic review of the accuracy of genetic tests for </w:t>
      </w:r>
      <w:r w:rsidR="00E90330">
        <w:t>CD</w:t>
      </w:r>
      <w:r w:rsidRPr="00734942">
        <w:t xml:space="preserve">. We had originally planned to include this as part of the review of the accuracy of serological </w:t>
      </w:r>
      <w:r w:rsidR="001761E7" w:rsidRPr="00734942">
        <w:t>tests but</w:t>
      </w:r>
      <w:r w:rsidRPr="00734942">
        <w:t xml:space="preserve"> </w:t>
      </w:r>
      <w:r w:rsidR="0006461E">
        <w:t>decided that these tests were sufficiently different from serological tests that a separate review would be appropriate.</w:t>
      </w:r>
      <w:r w:rsidRPr="00734942">
        <w:t xml:space="preserve"> The review followed recommendations from the Centre for Reviews and Dissemination,</w:t>
      </w:r>
      <w:r w:rsidRPr="00734942">
        <w:fldChar w:fldCharType="begin"/>
      </w:r>
      <w:r w:rsidR="00735CC0">
        <w:instrText xml:space="preserve"> ADDIN EN.CITE &lt;EndNote&gt;&lt;Cite&gt;&lt;Author&gt;Centre for Reviews and Dissemination (CRD)&lt;/Author&gt;&lt;Year&gt;2009&lt;/Year&gt;&lt;RecNum&gt;27&lt;/RecNum&gt;&lt;DisplayText&gt;&lt;style face="superscript"&gt;22&lt;/style&gt;&lt;/DisplayText&gt;&lt;record&gt;&lt;rec-number&gt;27&lt;/rec-number&gt;&lt;foreign-keys&gt;&lt;key app="EN" db-id="tdwrx9xd1z9eepeevr355w2k959rv0f5zaax" timestamp="1632756069"&gt;27&lt;/key&gt;&lt;/foreign-keys&gt;&lt;ref-type name="Journal Article"&gt;17&lt;/ref-type&gt;&lt;contributors&gt;&lt;authors&gt;&lt;author&gt;Centre for Reviews and Dissemination (CRD), &lt;/author&gt;&lt;/authors&gt;&lt;/contributors&gt;&lt;titles&gt;&lt;title&gt;Systematic Reviews. CRD’s guidance for undertaking reviews in health care&lt;/title&gt;&lt;secondary-title&gt;University of York&lt;/secondary-title&gt;&lt;/titles&gt;&lt;periodical&gt;&lt;full-title&gt;University of York&lt;/full-title&gt;&lt;/periodical&gt;&lt;dates&gt;&lt;year&gt;2009&lt;/year&gt;&lt;/dates&gt;&lt;urls&gt;&lt;/urls&gt;&lt;/record&gt;&lt;/Cite&gt;&lt;/EndNote&gt;</w:instrText>
      </w:r>
      <w:r w:rsidRPr="00734942">
        <w:fldChar w:fldCharType="separate"/>
      </w:r>
      <w:r w:rsidR="00735CC0" w:rsidRPr="00735CC0">
        <w:rPr>
          <w:noProof/>
          <w:vertAlign w:val="superscript"/>
        </w:rPr>
        <w:t>22</w:t>
      </w:r>
      <w:r w:rsidRPr="00734942">
        <w:fldChar w:fldCharType="end"/>
      </w:r>
      <w:r w:rsidRPr="00734942">
        <w:t xml:space="preserve"> the Cochrane Handbook for Systematic Reviews of Diagnostic Test Accuracy,</w:t>
      </w:r>
      <w:r w:rsidRPr="00734942">
        <w:fldChar w:fldCharType="begin"/>
      </w:r>
      <w:r w:rsidR="00735CC0">
        <w:instrText xml:space="preserve"> ADDIN EN.CITE &lt;EndNote&gt;&lt;Cite&gt;&lt;Author&gt;Deeks&lt;/Author&gt;&lt;Year&gt;2013&lt;/Year&gt;&lt;RecNum&gt;28&lt;/RecNum&gt;&lt;DisplayText&gt;&lt;style face="superscript"&gt;23&lt;/style&gt;&lt;/DisplayText&gt;&lt;record&gt;&lt;rec-number&gt;28&lt;/rec-number&gt;&lt;foreign-keys&gt;&lt;key app="EN" db-id="tdwrx9xd1z9eepeevr355w2k959rv0f5zaax" timestamp="1632756069"&gt;28&lt;/key&gt;&lt;/foreign-keys&gt;&lt;ref-type name="Journal Article"&gt;17&lt;/ref-type&gt;&lt;contributors&gt;&lt;authors&gt;&lt;author&gt;Deeks, J.J.&lt;/author&gt;&lt;author&gt;Bossuyt, P.M.&lt;/author&gt;&lt;author&gt;Gatsonis, C.&lt;/author&gt;&lt;/authors&gt;&lt;/contributors&gt;&lt;titles&gt;&lt;title&gt;Cochrane Handbook for Systematic Reviews of Diagnostic Test Accuracy Version 1.0.0.&lt;/title&gt;&lt;secondary-title&gt;The Cochrane Collaboration&lt;/secondary-title&gt;&lt;/titles&gt;&lt;periodical&gt;&lt;full-title&gt;The Cochrane Collaboration&lt;/full-title&gt;&lt;/periodical&gt;&lt;dates&gt;&lt;year&gt;2013&lt;/year&gt;&lt;/dates&gt;&lt;urls&gt;&lt;related-urls&gt;&lt;url&gt;https://methods.cochrane.org/sdt/handbook-dta-reviews&lt;/url&gt;&lt;/related-urls&gt;&lt;/urls&gt;&lt;/record&gt;&lt;/Cite&gt;&lt;/EndNote&gt;</w:instrText>
      </w:r>
      <w:r w:rsidRPr="00734942">
        <w:fldChar w:fldCharType="separate"/>
      </w:r>
      <w:r w:rsidR="00735CC0" w:rsidRPr="00735CC0">
        <w:rPr>
          <w:noProof/>
          <w:vertAlign w:val="superscript"/>
        </w:rPr>
        <w:t>23</w:t>
      </w:r>
      <w:r w:rsidRPr="00734942">
        <w:fldChar w:fldCharType="end"/>
      </w:r>
      <w:r w:rsidRPr="00734942">
        <w:t xml:space="preserve"> and is reported according to the PRISMA DTA (Diagnostic Test Accuracy) statement.</w:t>
      </w:r>
      <w:r w:rsidRPr="00734942">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 </w:instrText>
      </w:r>
      <w:r w:rsidR="00735CC0">
        <w:fldChar w:fldCharType="begin">
          <w:fldData xml:space="preserve">PEVuZE5vdGU+PENpdGU+PEF1dGhvcj5NY0lubmVzPC9BdXRob3I+PFllYXI+MjAxODwvWWVhcj48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24</w:t>
      </w:r>
      <w:r w:rsidRPr="00734942">
        <w:fldChar w:fldCharType="end"/>
      </w:r>
    </w:p>
    <w:p w14:paraId="5C2AF719" w14:textId="77777777" w:rsidR="00DD6A02" w:rsidRPr="00734942" w:rsidRDefault="00DD6A02" w:rsidP="00DD6A02">
      <w:pPr>
        <w:pStyle w:val="Heading2"/>
      </w:pPr>
      <w:bookmarkStart w:id="192" w:name="_Toc99539871"/>
      <w:r w:rsidRPr="00734942">
        <w:t>Systematic review methods</w:t>
      </w:r>
      <w:bookmarkEnd w:id="192"/>
    </w:p>
    <w:p w14:paraId="77565917" w14:textId="77777777" w:rsidR="00DD6A02" w:rsidRPr="00734942" w:rsidRDefault="00DD6A02" w:rsidP="00DD6A02">
      <w:pPr>
        <w:pStyle w:val="Heading3"/>
      </w:pPr>
      <w:bookmarkStart w:id="193" w:name="_Toc99539872"/>
      <w:r w:rsidRPr="00734942">
        <w:t>Eligibility criteria</w:t>
      </w:r>
      <w:bookmarkEnd w:id="193"/>
    </w:p>
    <w:p w14:paraId="46A4AD7C" w14:textId="77777777" w:rsidR="00DD6A02" w:rsidRDefault="00DD6A02" w:rsidP="00DD6A02">
      <w:r w:rsidRPr="00734942">
        <w:t>We included studies that met the following criteria:</w:t>
      </w:r>
    </w:p>
    <w:p w14:paraId="36A037B4" w14:textId="4AB190B7" w:rsidR="00DD6A02" w:rsidRPr="00734942" w:rsidRDefault="00DD6A02" w:rsidP="00DD6A02">
      <w:r w:rsidRPr="00E41326">
        <w:rPr>
          <w:b/>
          <w:bCs/>
        </w:rPr>
        <w:t>Study design:</w:t>
      </w:r>
      <w:r w:rsidRPr="00734942">
        <w:t xml:space="preserve"> Diagnostic cohort</w:t>
      </w:r>
      <w:r>
        <w:t>/cross-sectional</w:t>
      </w:r>
      <w:r w:rsidRPr="00734942">
        <w:t xml:space="preserve"> studies (also known as “one gate design”)</w:t>
      </w:r>
      <w:r w:rsidRPr="00734942">
        <w:fldChar w:fldCharType="begin"/>
      </w:r>
      <w:r w:rsidR="00735CC0">
        <w:instrText xml:space="preserve"> ADDIN EN.CITE &lt;EndNote&gt;&lt;Cite&gt;&lt;Author&gt;Rutjes&lt;/Author&gt;&lt;Year&gt;2005&lt;/Year&gt;&lt;RecNum&gt;30&lt;/RecNum&gt;&lt;DisplayText&gt;&lt;style face="superscript"&gt;26&lt;/style&gt;&lt;/DisplayText&gt;&lt;record&gt;&lt;rec-number&gt;30&lt;/rec-number&gt;&lt;foreign-keys&gt;&lt;key app="EN" db-id="tdwrx9xd1z9eepeevr355w2k959rv0f5zaax" timestamp="1632756069"&gt;30&lt;/key&gt;&lt;/foreign-keys&gt;&lt;ref-type name="Journal Article"&gt;17&lt;/ref-type&gt;&lt;contributors&gt;&lt;authors&gt;&lt;author&gt;Rutjes, A. W.&lt;/author&gt;&lt;author&gt;Reitsma, J. B.&lt;/author&gt;&lt;author&gt;Vandenbroucke, J. P.&lt;/author&gt;&lt;author&gt;Glas, A. S.&lt;/author&gt;&lt;author&gt;Bossuyt, P. M.&lt;/author&gt;&lt;/authors&gt;&lt;/contributors&gt;&lt;auth-address&gt;Department of Clinical Epidemiology and Biostatistics, Academic Medical Center, University of Amsterdam, Amsterdam, The Netherlands. a.rutjes@amc.uva.nl&lt;/auth-address&gt;&lt;titles&gt;&lt;title&gt;Case-control and two-gate designs in diagnostic accuracy studies&lt;/title&gt;&lt;secondary-title&gt;Clin Chem&lt;/secondary-title&gt;&lt;/titles&gt;&lt;periodical&gt;&lt;full-title&gt;Clin Chem&lt;/full-title&gt;&lt;/periodical&gt;&lt;pages&gt;1335-41&lt;/pages&gt;&lt;volume&gt;51&lt;/volume&gt;&lt;number&gt;8&lt;/number&gt;&lt;edition&gt;2005/06/18&lt;/edition&gt;&lt;keywords&gt;&lt;keyword&gt;*Case-Control Studies&lt;/keyword&gt;&lt;keyword&gt;Clinical Laboratory Techniques/*statistics &amp;amp; numerical data&lt;/keyword&gt;&lt;keyword&gt;Disease/*etiology&lt;/keyword&gt;&lt;keyword&gt;Epidemiologic Methods&lt;/keyword&gt;&lt;keyword&gt;Humans&lt;/keyword&gt;&lt;keyword&gt;*Research Design&lt;/keyword&gt;&lt;/keywords&gt;&lt;dates&gt;&lt;year&gt;2005&lt;/year&gt;&lt;pub-dates&gt;&lt;date&gt;Aug&lt;/date&gt;&lt;/pub-dates&gt;&lt;/dates&gt;&lt;isbn&gt;0009-9147 (Print)&amp;#xD;0009-9147 (Linking)&lt;/isbn&gt;&lt;accession-num&gt;15961549&lt;/accession-num&gt;&lt;urls&gt;&lt;related-urls&gt;&lt;url&gt;https://www.ncbi.nlm.nih.gov/pubmed/15961549&lt;/url&gt;&lt;/related-urls&gt;&lt;/urls&gt;&lt;electronic-resource-num&gt;10.1373/clinchem.2005.048595&lt;/electronic-resource-num&gt;&lt;/record&gt;&lt;/Cite&gt;&lt;/EndNote&gt;</w:instrText>
      </w:r>
      <w:r w:rsidRPr="00734942">
        <w:fldChar w:fldCharType="separate"/>
      </w:r>
      <w:r w:rsidR="00735CC0" w:rsidRPr="00735CC0">
        <w:rPr>
          <w:noProof/>
          <w:vertAlign w:val="superscript"/>
        </w:rPr>
        <w:t>26</w:t>
      </w:r>
      <w:r w:rsidRPr="00734942">
        <w:fldChar w:fldCharType="end"/>
      </w:r>
      <w:r w:rsidRPr="00734942">
        <w:t xml:space="preserve"> or </w:t>
      </w:r>
      <w:r>
        <w:t>d</w:t>
      </w:r>
      <w:r w:rsidRPr="00734942">
        <w:t xml:space="preserve">iagnostic case-control studies (also known as “two-gate” </w:t>
      </w:r>
      <w:r>
        <w:t xml:space="preserve">or “multi-gate” </w:t>
      </w:r>
      <w:r w:rsidRPr="00734942">
        <w:t>designs)</w:t>
      </w:r>
      <w:r w:rsidR="00E90330">
        <w:t>.</w:t>
      </w:r>
    </w:p>
    <w:p w14:paraId="3B85BD12" w14:textId="69B408D6" w:rsidR="00DD6A02" w:rsidRPr="00734942" w:rsidRDefault="00DD6A02" w:rsidP="00DD6A02">
      <w:r w:rsidRPr="00E41326">
        <w:rPr>
          <w:b/>
          <w:bCs/>
        </w:rPr>
        <w:t>Participants</w:t>
      </w:r>
      <w:r w:rsidRPr="00734942">
        <w:t xml:space="preserve">: </w:t>
      </w:r>
      <w:r>
        <w:t>A</w:t>
      </w:r>
      <w:r w:rsidRPr="00734942">
        <w:t>dults and/or children representative of the general population</w:t>
      </w:r>
      <w:r>
        <w:t>. S</w:t>
      </w:r>
      <w:r w:rsidRPr="00734942">
        <w:t>tudies</w:t>
      </w:r>
      <w:r>
        <w:t xml:space="preserve"> restricted to</w:t>
      </w:r>
      <w:r w:rsidRPr="00734942">
        <w:t xml:space="preserve"> specific disease populations without healthy participants were excluded</w:t>
      </w:r>
      <w:r>
        <w:t>.</w:t>
      </w:r>
    </w:p>
    <w:p w14:paraId="14B33CB9" w14:textId="2654BBF3" w:rsidR="003836FD" w:rsidRDefault="003836FD" w:rsidP="003836FD">
      <w:r w:rsidRPr="00E41326">
        <w:rPr>
          <w:b/>
          <w:bCs/>
        </w:rPr>
        <w:t>Index test:</w:t>
      </w:r>
      <w:r w:rsidRPr="00734942">
        <w:t xml:space="preserve"> </w:t>
      </w:r>
      <w:r>
        <w:t>HLA DQ2 and HLA DQ8 genetic tests. Studies had to evaluate both markers to be included.</w:t>
      </w:r>
    </w:p>
    <w:p w14:paraId="3B2D4F3D" w14:textId="1FF31A4E" w:rsidR="00DD6A02" w:rsidRPr="00734942" w:rsidRDefault="00DD6A02" w:rsidP="00DD6A02">
      <w:r w:rsidRPr="00E41326">
        <w:rPr>
          <w:b/>
          <w:bCs/>
        </w:rPr>
        <w:t>Reference standard</w:t>
      </w:r>
      <w:r w:rsidRPr="00734942">
        <w:t xml:space="preserve">: CD diagnosis, detected by one </w:t>
      </w:r>
      <w:r w:rsidR="00A564ED">
        <w:t>or</w:t>
      </w:r>
      <w:r w:rsidR="00A564ED" w:rsidRPr="00734942">
        <w:t xml:space="preserve"> </w:t>
      </w:r>
      <w:r w:rsidRPr="00734942">
        <w:t>more serological tests, including IgA/G</w:t>
      </w:r>
      <w:r w:rsidR="00A57367">
        <w:t xml:space="preserve"> </w:t>
      </w:r>
      <w:r w:rsidRPr="00734942">
        <w:t xml:space="preserve">tTG, EMA, or DGP and/or duodenal biopsy. All participants </w:t>
      </w:r>
      <w:r>
        <w:t>had</w:t>
      </w:r>
      <w:r w:rsidRPr="00734942">
        <w:t xml:space="preserve"> to be tested for CD</w:t>
      </w:r>
      <w:r>
        <w:t>.</w:t>
      </w:r>
    </w:p>
    <w:p w14:paraId="54459C51" w14:textId="77777777" w:rsidR="003836FD" w:rsidRPr="00734942" w:rsidRDefault="003836FD" w:rsidP="003836FD">
      <w:r w:rsidRPr="00734942">
        <w:t xml:space="preserve">Studies were included only if sufficient data could be extracted to construct cross-tabulations of the number of people </w:t>
      </w:r>
      <w:r>
        <w:t xml:space="preserve">positive for either HLA DQ2 or HLA DQ8, </w:t>
      </w:r>
      <w:r w:rsidRPr="00734942">
        <w:t>against the number of people with and without CD according to the reference standard.</w:t>
      </w:r>
    </w:p>
    <w:p w14:paraId="0D8AC25F" w14:textId="1BBB1825" w:rsidR="00DD6A02" w:rsidRPr="00734942" w:rsidRDefault="00DD6A02" w:rsidP="00DD6A02">
      <w:r w:rsidRPr="00734942">
        <w:t>We excluded studies published before 1997 (the year in which tTG was developed), to reduce the variation in CD diagnostic tests.</w:t>
      </w:r>
    </w:p>
    <w:p w14:paraId="1F4F5C0E" w14:textId="77777777" w:rsidR="00DD6A02" w:rsidRPr="00734942" w:rsidRDefault="00DD6A02" w:rsidP="00DD6A02">
      <w:pPr>
        <w:pStyle w:val="Heading3"/>
      </w:pPr>
      <w:bookmarkStart w:id="194" w:name="_Toc99539873"/>
      <w:r>
        <w:t>Search strategy</w:t>
      </w:r>
      <w:bookmarkEnd w:id="194"/>
    </w:p>
    <w:p w14:paraId="428B38A3" w14:textId="08B713A2" w:rsidR="00DD6A02" w:rsidRDefault="00DD6A02" w:rsidP="00DD6A02">
      <w:r>
        <w:t xml:space="preserve">Studies were identified through the same search as used to identify diagnostic indicators (Chapter 3). Full details of the search strategy are reported in </w:t>
      </w:r>
      <w:r w:rsidR="006C3260">
        <w:fldChar w:fldCharType="begin"/>
      </w:r>
      <w:r w:rsidR="006C3260">
        <w:instrText xml:space="preserve"> REF _Ref87618008 \h </w:instrText>
      </w:r>
      <w:r w:rsidR="006C3260">
        <w:fldChar w:fldCharType="separate"/>
      </w:r>
      <w:r w:rsidR="008B5583" w:rsidRPr="00734942">
        <w:t xml:space="preserve">Appendix </w:t>
      </w:r>
      <w:r w:rsidR="008B5583">
        <w:t>1</w:t>
      </w:r>
      <w:r w:rsidR="006C3260">
        <w:fldChar w:fldCharType="end"/>
      </w:r>
      <w:r w:rsidRPr="001761E7">
        <w:t>.</w:t>
      </w:r>
    </w:p>
    <w:p w14:paraId="72089DDA" w14:textId="77777777" w:rsidR="00DD6A02" w:rsidRPr="00734942" w:rsidRDefault="00DD6A02" w:rsidP="00DD6A02">
      <w:pPr>
        <w:pStyle w:val="Heading3"/>
      </w:pPr>
      <w:bookmarkStart w:id="195" w:name="_Toc99539874"/>
      <w:r w:rsidRPr="00734942">
        <w:t>Study selection</w:t>
      </w:r>
      <w:bookmarkEnd w:id="195"/>
    </w:p>
    <w:p w14:paraId="4F9CAFD4" w14:textId="1BA39D2A" w:rsidR="00DD6A02" w:rsidRPr="00734942" w:rsidRDefault="00DD6A02" w:rsidP="00DD6A02">
      <w:r w:rsidRPr="00734942">
        <w:t xml:space="preserve">Study selection was conducted in two stages using forms developed in Microsoft Access that were piloted before use. </w:t>
      </w:r>
      <w:r>
        <w:t xml:space="preserve">Search results were exported from Endnote in a format that could be imported into Microsoft Access. </w:t>
      </w:r>
      <w:r w:rsidRPr="00734942">
        <w:t>At stage one of study selection, titles and abstracts were screened against the inclusion criteria to exclude papers that were clearly irrelevant. At the second stage, full texts identified as possibly relevant in the initial screening were assessed in detail and reasons for exclusion were documented. Both stages of study selection were performed independently by two reviewers and disagreements about study eligibility were resolved through discussion or by consulting a third member of the review team.</w:t>
      </w:r>
    </w:p>
    <w:p w14:paraId="491226C4" w14:textId="77777777" w:rsidR="00DD6A02" w:rsidRPr="00734942" w:rsidRDefault="00DD6A02" w:rsidP="00DD6A02">
      <w:pPr>
        <w:pStyle w:val="Heading3"/>
      </w:pPr>
      <w:bookmarkStart w:id="196" w:name="_Toc99539875"/>
      <w:r w:rsidRPr="00734942">
        <w:t>Data collection process</w:t>
      </w:r>
      <w:bookmarkEnd w:id="196"/>
    </w:p>
    <w:p w14:paraId="5866035F" w14:textId="3E2BF3B4" w:rsidR="00DD6A02" w:rsidRPr="00734942" w:rsidRDefault="00DD6A02" w:rsidP="00DD6A02">
      <w:r w:rsidRPr="00734942">
        <w:t xml:space="preserve">Standardised data extraction forms were developed </w:t>
      </w:r>
      <w:r>
        <w:t>using</w:t>
      </w:r>
      <w:r w:rsidRPr="00734942">
        <w:t xml:space="preserve"> Microsoft Access</w:t>
      </w:r>
      <w:r>
        <w:t>. These were</w:t>
      </w:r>
      <w:r w:rsidRPr="00734942">
        <w:t xml:space="preserve"> piloted on a small sample of papers and adapted as necessary before use. Data extraction was performed by one reviewer and checked by a second, with disagreements resolved through discussion or referral to a third reviewer.</w:t>
      </w:r>
    </w:p>
    <w:p w14:paraId="5C9C2901" w14:textId="77777777" w:rsidR="00DD6A02" w:rsidRPr="00734942" w:rsidRDefault="00DD6A02" w:rsidP="00DD6A02">
      <w:r w:rsidRPr="00734942">
        <w:t xml:space="preserve">We extracted the following data </w:t>
      </w:r>
      <w:r>
        <w:t>from each included study</w:t>
      </w:r>
      <w:r w:rsidRPr="00734942">
        <w:t>:</w:t>
      </w:r>
    </w:p>
    <w:p w14:paraId="6DDDEEDE" w14:textId="77777777" w:rsidR="003836FD" w:rsidRPr="00734942" w:rsidRDefault="003836FD" w:rsidP="003836FD">
      <w:pPr>
        <w:pStyle w:val="ListParagraph"/>
        <w:numPr>
          <w:ilvl w:val="0"/>
          <w:numId w:val="7"/>
        </w:numPr>
      </w:pPr>
      <w:r w:rsidRPr="00734942">
        <w:lastRenderedPageBreak/>
        <w:t xml:space="preserve">Study </w:t>
      </w:r>
      <w:r>
        <w:t>characteristics (design, location, setting)</w:t>
      </w:r>
    </w:p>
    <w:p w14:paraId="76219CE0" w14:textId="77777777" w:rsidR="003836FD" w:rsidRPr="00734942" w:rsidRDefault="003836FD" w:rsidP="003836FD">
      <w:pPr>
        <w:pStyle w:val="ListParagraph"/>
        <w:numPr>
          <w:ilvl w:val="0"/>
          <w:numId w:val="7"/>
        </w:numPr>
      </w:pPr>
      <w:r w:rsidRPr="00734942">
        <w:t>Participant characteristics</w:t>
      </w:r>
      <w:r>
        <w:t xml:space="preserve"> (age, sex)</w:t>
      </w:r>
    </w:p>
    <w:p w14:paraId="028C42AD" w14:textId="77777777" w:rsidR="003836FD" w:rsidRPr="00734942" w:rsidRDefault="003836FD" w:rsidP="003836FD">
      <w:pPr>
        <w:pStyle w:val="ListParagraph"/>
        <w:numPr>
          <w:ilvl w:val="0"/>
          <w:numId w:val="7"/>
        </w:numPr>
      </w:pPr>
      <w:r w:rsidRPr="00734942">
        <w:t xml:space="preserve">Details on the </w:t>
      </w:r>
      <w:r>
        <w:t>HLA test</w:t>
      </w:r>
      <w:r w:rsidRPr="00734942">
        <w:t xml:space="preserve"> </w:t>
      </w:r>
    </w:p>
    <w:p w14:paraId="59E69FB8" w14:textId="77777777" w:rsidR="003836FD" w:rsidRPr="00734942" w:rsidRDefault="003836FD" w:rsidP="003836FD">
      <w:pPr>
        <w:pStyle w:val="ListParagraph"/>
        <w:numPr>
          <w:ilvl w:val="0"/>
          <w:numId w:val="7"/>
        </w:numPr>
      </w:pPr>
      <w:r>
        <w:t>Reference standard test used to confirm the diagnosis of CD.</w:t>
      </w:r>
    </w:p>
    <w:p w14:paraId="7F8A2A83" w14:textId="373104CD" w:rsidR="003836FD" w:rsidRDefault="003836FD" w:rsidP="003836FD">
      <w:r w:rsidRPr="00734942">
        <w:t>Results data were extracted as 2x2 tables of test results (number of true positives, false negatives, false positives</w:t>
      </w:r>
      <w:r w:rsidR="00B10854">
        <w:t>,</w:t>
      </w:r>
      <w:r w:rsidRPr="00734942">
        <w:t xml:space="preserve"> and true negatives) for</w:t>
      </w:r>
      <w:r>
        <w:t xml:space="preserve"> the presence of either HLA-DQ2 or HLA-DQ8</w:t>
      </w:r>
      <w:r w:rsidRPr="00734942">
        <w:t xml:space="preserve"> against the reference standard</w:t>
      </w:r>
      <w:r>
        <w:t xml:space="preserve"> of serological tests or biopsy as follows:</w:t>
      </w:r>
    </w:p>
    <w:tbl>
      <w:tblPr>
        <w:tblStyle w:val="TableGrid"/>
        <w:tblW w:w="0" w:type="auto"/>
        <w:tblLook w:val="04A0" w:firstRow="1" w:lastRow="0" w:firstColumn="1" w:lastColumn="0" w:noHBand="0" w:noVBand="1"/>
      </w:tblPr>
      <w:tblGrid>
        <w:gridCol w:w="2254"/>
        <w:gridCol w:w="2254"/>
        <w:gridCol w:w="2254"/>
      </w:tblGrid>
      <w:tr w:rsidR="003836FD" w14:paraId="39E1A73B" w14:textId="77777777" w:rsidTr="00AC1CD1">
        <w:tc>
          <w:tcPr>
            <w:tcW w:w="2254" w:type="dxa"/>
          </w:tcPr>
          <w:p w14:paraId="728DDE2B" w14:textId="77777777" w:rsidR="003836FD" w:rsidRDefault="003836FD" w:rsidP="00AC1CD1"/>
        </w:tc>
        <w:tc>
          <w:tcPr>
            <w:tcW w:w="2254" w:type="dxa"/>
          </w:tcPr>
          <w:p w14:paraId="47911E1E" w14:textId="77777777" w:rsidR="003836FD" w:rsidRDefault="003836FD" w:rsidP="00AC1CD1">
            <w:r>
              <w:t>Coeliac Disease</w:t>
            </w:r>
          </w:p>
        </w:tc>
        <w:tc>
          <w:tcPr>
            <w:tcW w:w="2254" w:type="dxa"/>
          </w:tcPr>
          <w:p w14:paraId="253D408A" w14:textId="77777777" w:rsidR="003836FD" w:rsidRDefault="003836FD" w:rsidP="00AC1CD1">
            <w:r>
              <w:t>No Coeliac Disease</w:t>
            </w:r>
          </w:p>
        </w:tc>
      </w:tr>
      <w:tr w:rsidR="003836FD" w:rsidRPr="00832D5D" w14:paraId="3C2E1BBC" w14:textId="77777777" w:rsidTr="00AC1CD1">
        <w:tc>
          <w:tcPr>
            <w:tcW w:w="2254" w:type="dxa"/>
          </w:tcPr>
          <w:p w14:paraId="20D945A6" w14:textId="77777777" w:rsidR="003836FD" w:rsidRPr="00832D5D" w:rsidRDefault="003836FD" w:rsidP="00AC1CD1">
            <w:r w:rsidRPr="00832D5D">
              <w:t xml:space="preserve">HLA DQ2 or HLA DQ8 </w:t>
            </w:r>
          </w:p>
        </w:tc>
        <w:tc>
          <w:tcPr>
            <w:tcW w:w="2254" w:type="dxa"/>
          </w:tcPr>
          <w:p w14:paraId="4A51A228" w14:textId="77777777" w:rsidR="003836FD" w:rsidRPr="00832D5D" w:rsidRDefault="003836FD" w:rsidP="00AC1CD1">
            <w:r>
              <w:t>TP</w:t>
            </w:r>
          </w:p>
        </w:tc>
        <w:tc>
          <w:tcPr>
            <w:tcW w:w="2254" w:type="dxa"/>
          </w:tcPr>
          <w:p w14:paraId="38C6C2DB" w14:textId="77777777" w:rsidR="003836FD" w:rsidRPr="00832D5D" w:rsidRDefault="003836FD" w:rsidP="00AC1CD1">
            <w:r>
              <w:t>FP</w:t>
            </w:r>
          </w:p>
        </w:tc>
      </w:tr>
      <w:tr w:rsidR="003836FD" w:rsidRPr="00832D5D" w14:paraId="6BC05A72" w14:textId="77777777" w:rsidTr="00AC1CD1">
        <w:tc>
          <w:tcPr>
            <w:tcW w:w="2254" w:type="dxa"/>
          </w:tcPr>
          <w:p w14:paraId="4FEABC69" w14:textId="77777777" w:rsidR="003836FD" w:rsidRPr="00832D5D" w:rsidRDefault="003836FD" w:rsidP="00AC1CD1">
            <w:r>
              <w:t>Negative for HLA-DQ2 and DQ8</w:t>
            </w:r>
          </w:p>
        </w:tc>
        <w:tc>
          <w:tcPr>
            <w:tcW w:w="2254" w:type="dxa"/>
          </w:tcPr>
          <w:p w14:paraId="7B4ADC10" w14:textId="77777777" w:rsidR="003836FD" w:rsidRPr="00832D5D" w:rsidRDefault="003836FD" w:rsidP="00AC1CD1">
            <w:r>
              <w:t>FN</w:t>
            </w:r>
          </w:p>
        </w:tc>
        <w:tc>
          <w:tcPr>
            <w:tcW w:w="2254" w:type="dxa"/>
          </w:tcPr>
          <w:p w14:paraId="01E93C71" w14:textId="77777777" w:rsidR="003836FD" w:rsidRPr="00832D5D" w:rsidRDefault="003836FD" w:rsidP="00AC1CD1">
            <w:r>
              <w:t>TN</w:t>
            </w:r>
          </w:p>
        </w:tc>
      </w:tr>
    </w:tbl>
    <w:p w14:paraId="4D5AA560" w14:textId="77777777" w:rsidR="003836FD" w:rsidRPr="00832D5D" w:rsidRDefault="003836FD" w:rsidP="003836FD"/>
    <w:p w14:paraId="29873C40" w14:textId="77777777" w:rsidR="00DD6A02" w:rsidRPr="00734942" w:rsidRDefault="00DD6A02" w:rsidP="00DD6A02">
      <w:pPr>
        <w:pStyle w:val="Heading3"/>
      </w:pPr>
      <w:bookmarkStart w:id="197" w:name="_Toc99539876"/>
      <w:r w:rsidRPr="00734942">
        <w:t>Risk of bias</w:t>
      </w:r>
      <w:bookmarkEnd w:id="197"/>
    </w:p>
    <w:p w14:paraId="441F3E10" w14:textId="28FA219A" w:rsidR="003836FD" w:rsidRPr="00734942" w:rsidRDefault="003836FD" w:rsidP="003836FD">
      <w:r w:rsidRPr="00734942">
        <w:t xml:space="preserve">Risk of bias was assessed </w:t>
      </w:r>
      <w:r>
        <w:t xml:space="preserve">using the </w:t>
      </w:r>
      <w:r w:rsidRPr="00734942">
        <w:t>QUADAS-2 tool</w:t>
      </w:r>
      <w:r>
        <w:t>.</w:t>
      </w:r>
      <w:r w:rsidR="00DD6A02" w:rsidRPr="00734942">
        <w:fldChar w:fldCharType="begin"/>
      </w:r>
      <w:r w:rsidR="00735CC0">
        <w:instrText xml:space="preserve"> ADDIN EN.CITE &lt;EndNote&gt;&lt;Cite&gt;&lt;Author&gt;Whiting&lt;/Author&gt;&lt;Year&gt;2011&lt;/Year&gt;&lt;RecNum&gt;33&lt;/RecNum&gt;&lt;DisplayText&gt;&lt;style face="superscript"&gt;29&lt;/style&gt;&lt;/DisplayText&gt;&lt;record&gt;&lt;rec-number&gt;33&lt;/rec-number&gt;&lt;foreign-keys&gt;&lt;key app="EN" db-id="tdwrx9xd1z9eepeevr355w2k959rv0f5zaax" timestamp="1632756070"&gt;33&lt;/key&gt;&lt;/foreign-keys&gt;&lt;ref-type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M.&lt;/author&gt;&lt;author&gt;Quadas- Group&lt;/author&gt;&lt;/authors&gt;&lt;/contributors&gt;&lt;auth-address&gt;University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Med&lt;/secondary-title&gt;&lt;/titles&gt;&lt;periodical&gt;&lt;full-title&gt;Ann Intern Med&lt;/full-title&gt;&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18&lt;/date&gt;&lt;/pub-dates&gt;&lt;/dates&gt;&lt;isbn&gt;1539-3704 (Electronic)&amp;#xD;0003-4819 (Linking)&lt;/isbn&gt;&lt;accession-num&gt;22007046&lt;/accession-num&gt;&lt;urls&gt;&lt;related-urls&gt;&lt;url&gt;https://www.ncbi.nlm.nih.gov/pubmed/22007046&lt;/url&gt;&lt;/related-urls&gt;&lt;/urls&gt;&lt;electronic-resource-num&gt;10.7326/0003-4819-155-8-201110180-00009&lt;/electronic-resource-num&gt;&lt;/record&gt;&lt;/Cite&gt;&lt;/EndNote&gt;</w:instrText>
      </w:r>
      <w:r w:rsidR="00DD6A02" w:rsidRPr="00734942">
        <w:fldChar w:fldCharType="separate"/>
      </w:r>
      <w:r w:rsidR="00735CC0" w:rsidRPr="00735CC0">
        <w:rPr>
          <w:noProof/>
          <w:vertAlign w:val="superscript"/>
        </w:rPr>
        <w:t>29</w:t>
      </w:r>
      <w:r w:rsidR="00DD6A02" w:rsidRPr="00734942">
        <w:fldChar w:fldCharType="end"/>
      </w:r>
      <w:r>
        <w:t xml:space="preserve"> We removed the index test domain signalling question “If a threshold was used, was it pre-specified” as HLA genotyping does not involve a threshold. We also removed the flow and timing domain signalling question on “Was there an appropriate interval between index test and reference standard?” as HLA genotyping result will not change over time – you are either born with or without a particular genotype. Therefore</w:t>
      </w:r>
      <w:r w:rsidR="00B10854">
        <w:t>,</w:t>
      </w:r>
      <w:r>
        <w:t xml:space="preserve"> test accuracy will not be influenced by time between genotyping and when the reference standard is performed.</w:t>
      </w:r>
    </w:p>
    <w:p w14:paraId="7D9CCB58" w14:textId="77777777" w:rsidR="00DD6A02" w:rsidRPr="00734942" w:rsidRDefault="00DD6A02" w:rsidP="00DD6A02">
      <w:pPr>
        <w:pStyle w:val="Heading3"/>
      </w:pPr>
      <w:bookmarkStart w:id="198" w:name="_Toc99539877"/>
      <w:r w:rsidRPr="00734942">
        <w:t>Synthesis of results</w:t>
      </w:r>
      <w:bookmarkEnd w:id="198"/>
    </w:p>
    <w:p w14:paraId="0331DF84" w14:textId="09FC75E0" w:rsidR="00DD6A02" w:rsidRDefault="00DD6A02" w:rsidP="00DD6A02">
      <w:pPr>
        <w:autoSpaceDE w:val="0"/>
        <w:autoSpaceDN w:val="0"/>
        <w:adjustRightInd w:val="0"/>
        <w:spacing w:after="0" w:line="240" w:lineRule="auto"/>
      </w:pPr>
      <w:r w:rsidRPr="00734942">
        <w:t>We present a narrative summary of the included studies, including a summary of the characteristics of the included studies</w:t>
      </w:r>
      <w:r>
        <w:t xml:space="preserve"> </w:t>
      </w:r>
      <w:r w:rsidRPr="00734942">
        <w:t xml:space="preserve">(e.g., study design, population size, geographical location, year, population characteristics, </w:t>
      </w:r>
      <w:r>
        <w:t>genetic test</w:t>
      </w:r>
      <w:r w:rsidRPr="00734942">
        <w:t xml:space="preserve"> details, and CD diagnosis). We also describe the main methodological problems or biases that affected the studies.</w:t>
      </w:r>
    </w:p>
    <w:p w14:paraId="2B5877D6" w14:textId="77777777" w:rsidR="00DD6A02" w:rsidRDefault="00DD6A02" w:rsidP="00DD6A02">
      <w:pPr>
        <w:autoSpaceDE w:val="0"/>
        <w:autoSpaceDN w:val="0"/>
        <w:adjustRightInd w:val="0"/>
        <w:spacing w:after="0" w:line="240" w:lineRule="auto"/>
      </w:pPr>
    </w:p>
    <w:p w14:paraId="7BFA1F03" w14:textId="35EBBE0F" w:rsidR="003836FD" w:rsidRDefault="003836FD" w:rsidP="003836FD">
      <w:pPr>
        <w:autoSpaceDE w:val="0"/>
        <w:autoSpaceDN w:val="0"/>
        <w:adjustRightInd w:val="0"/>
        <w:spacing w:after="0" w:line="240" w:lineRule="auto"/>
      </w:pPr>
      <w:r>
        <w:t xml:space="preserve">We had intended to stratify our analysis according to whether studies were conducted in adults or children but there were no studies in adults. </w:t>
      </w:r>
      <w:r w:rsidR="00AA6668">
        <w:t>A</w:t>
      </w:r>
      <w:r w:rsidRPr="00734942">
        <w:t xml:space="preserve"> bivariate random effects meta-analysis</w:t>
      </w:r>
      <w:r w:rsidR="00AA6668">
        <w:t xml:space="preserve"> was fitted</w:t>
      </w:r>
      <w:r w:rsidRPr="00734942">
        <w:t xml:space="preserve">, assuming binomial likelihoods for </w:t>
      </w:r>
      <w:r w:rsidR="007A364E">
        <w:t>the number</w:t>
      </w:r>
      <w:r w:rsidR="007A364E" w:rsidRPr="00734942">
        <w:t xml:space="preserve"> </w:t>
      </w:r>
      <w:r w:rsidRPr="00734942">
        <w:t>of true positives and negatives in each study.</w:t>
      </w:r>
      <w:r w:rsidR="00DD6A02" w:rsidRPr="00734942">
        <w:fldChar w:fldCharType="begin">
          <w:fldData xml:space="preserve">PEVuZE5vdGU+PENpdGU+PEF1dGhvcj5SZWl0c21hPC9BdXRob3I+PFllYXI+MjAwNTwvWWVhcj48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</w:fldData>
        </w:fldChar>
      </w:r>
      <w:r w:rsidR="00735CC0">
        <w:instrText xml:space="preserve"> ADDIN EN.CITE </w:instrText>
      </w:r>
      <w:r w:rsidR="00735CC0">
        <w:fldChar w:fldCharType="begin">
          <w:fldData xml:space="preserve">PEVuZE5vdGU+PENpdGU+PEF1dGhvcj5SZWl0c21hPC9BdXRob3I+PFllYXI+MjAwNTwvWWVhcj48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</w:fldData>
        </w:fldChar>
      </w:r>
      <w:r w:rsidR="00735CC0">
        <w:instrText xml:space="preserve"> ADDIN EN.CITE.DATA </w:instrText>
      </w:r>
      <w:r w:rsidR="00735CC0">
        <w:fldChar w:fldCharType="end"/>
      </w:r>
      <w:r w:rsidR="00DD6A02" w:rsidRPr="00734942">
        <w:fldChar w:fldCharType="separate"/>
      </w:r>
      <w:r w:rsidR="00735CC0" w:rsidRPr="00735CC0">
        <w:rPr>
          <w:noProof/>
          <w:vertAlign w:val="superscript"/>
        </w:rPr>
        <w:t>30, 31</w:t>
      </w:r>
      <w:r w:rsidR="00DD6A02" w:rsidRPr="00734942">
        <w:fldChar w:fldCharType="end"/>
      </w:r>
      <w:r w:rsidR="00DD6A02" w:rsidRPr="00734942">
        <w:t xml:space="preserve"> </w:t>
      </w:r>
      <w:r w:rsidR="00D310E8">
        <w:t>Pooled</w:t>
      </w:r>
      <w:r w:rsidR="00D310E8" w:rsidRPr="00734942">
        <w:t xml:space="preserve"> </w:t>
      </w:r>
      <w:r w:rsidR="00DD6A02" w:rsidRPr="00734942">
        <w:t>estimates of sensitivity and specificity and estimates of the between-study standard deviation sensitivity and specificity on the logit scale (“tau”)</w:t>
      </w:r>
      <w:r w:rsidR="00D310E8">
        <w:t xml:space="preserve"> are reported</w:t>
      </w:r>
      <w:r w:rsidR="00DD6A02" w:rsidRPr="00734942">
        <w:t xml:space="preserve">. </w:t>
      </w:r>
      <w:r w:rsidR="00A37C18">
        <w:t>We present s</w:t>
      </w:r>
      <w:r w:rsidR="00DD6A02" w:rsidRPr="00734942">
        <w:t xml:space="preserve">tudy-specific and </w:t>
      </w:r>
      <w:r w:rsidR="00A37C18">
        <w:t>pooled</w:t>
      </w:r>
      <w:r w:rsidR="00A37C18" w:rsidRPr="00734942">
        <w:t xml:space="preserve"> </w:t>
      </w:r>
      <w:r w:rsidR="00DD6A02" w:rsidRPr="00734942">
        <w:t xml:space="preserve">estimates of sensitivity and specificity </w:t>
      </w:r>
      <w:r w:rsidR="00A37C18">
        <w:t xml:space="preserve">in </w:t>
      </w:r>
      <w:r w:rsidR="00DD6A02" w:rsidRPr="00734942">
        <w:t>coupled forest plots</w:t>
      </w:r>
      <w:r w:rsidR="00DD6A02">
        <w:t>.</w:t>
      </w:r>
      <w:r>
        <w:t xml:space="preserve"> We conducted sensitivity analyses to restrict our analysis to studies at low risk of bias.</w:t>
      </w:r>
    </w:p>
    <w:p w14:paraId="4584B7DE" w14:textId="77777777" w:rsidR="00DD6A02" w:rsidRDefault="00DD6A02" w:rsidP="003836FD">
      <w:pPr>
        <w:autoSpaceDE w:val="0"/>
        <w:autoSpaceDN w:val="0"/>
        <w:adjustRightInd w:val="0"/>
        <w:spacing w:after="0" w:line="240" w:lineRule="auto"/>
      </w:pPr>
    </w:p>
    <w:p w14:paraId="0F8E8A35" w14:textId="77777777" w:rsidR="00DD6A02" w:rsidRPr="00734942" w:rsidRDefault="00DD6A02" w:rsidP="00DD6A02">
      <w:pPr>
        <w:pStyle w:val="Heading2"/>
      </w:pPr>
      <w:bookmarkStart w:id="199" w:name="_Toc99539878"/>
      <w:r w:rsidRPr="00734942">
        <w:t>Results of assessment of diagnostic accuracy of indicators</w:t>
      </w:r>
      <w:bookmarkEnd w:id="199"/>
    </w:p>
    <w:p w14:paraId="6A58BC76" w14:textId="43644952" w:rsidR="00DD6A02" w:rsidRPr="0026621D" w:rsidRDefault="00DD6A02" w:rsidP="00DD6A02">
      <w:pPr>
        <w:autoSpaceDE w:val="0"/>
        <w:autoSpaceDN w:val="0"/>
        <w:adjustRightInd w:val="0"/>
        <w:spacing w:after="0" w:line="240" w:lineRule="auto"/>
      </w:pPr>
      <w:r>
        <w:t xml:space="preserve">Full details of the search results are reported in Chapter 3. </w:t>
      </w:r>
      <w:r w:rsidR="003836FD">
        <w:t>We identified 4 studies reported in 6 publications</w:t>
      </w:r>
      <w:r w:rsidR="00785E63">
        <w:t xml:space="preserve"> (n=12 087)</w:t>
      </w:r>
      <w:r w:rsidR="00EA1C17">
        <w:rPr>
          <w:sz w:val="20"/>
          <w:szCs w:val="20"/>
        </w:rPr>
        <w:fldChar w:fldCharType="begin">
          <w:fldData xml:space="preserve">PEVuZE5vdGU+PENpdGU+PEF1dGhvcj5Cam9yY2s8L0F1dGhvcj48WWVhcj4yMDEwPC9ZZWFyPjxS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YW5kIE51dHJpdGlvbjwvZnVsbC10aXRsZT48L3BlcmlvZGljYWw+PHBhZ2VzPjQ5LTUzPC9wYWdl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</w:fldData>
        </w:fldChar>
      </w:r>
      <w:r w:rsidR="00735CC0">
        <w:rPr>
          <w:sz w:val="20"/>
          <w:szCs w:val="20"/>
        </w:rPr>
        <w:instrText xml:space="preserve"> ADDIN EN.CITE </w:instrText>
      </w:r>
      <w:r w:rsidR="00735CC0">
        <w:rPr>
          <w:sz w:val="20"/>
          <w:szCs w:val="20"/>
        </w:rPr>
        <w:fldChar w:fldCharType="begin">
          <w:fldData xml:space="preserve">PEVuZE5vdGU+PENpdGU+PEF1dGhvcj5Cam9yY2s8L0F1dGhvcj48WWVhcj4yMDEwPC9ZZWFyPjxS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YW5kIE51dHJpdGlvbjwvZnVsbC10aXRsZT48L3BlcmlvZGljYWw+PHBhZ2VzPjQ5LTUzPC9wYWdl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</w:fldData>
        </w:fldChar>
      </w:r>
      <w:r w:rsidR="00735CC0">
        <w:rPr>
          <w:sz w:val="20"/>
          <w:szCs w:val="20"/>
        </w:rPr>
        <w:instrText xml:space="preserve"> ADDIN EN.CITE.DATA </w:instrText>
      </w:r>
      <w:r w:rsidR="00735CC0">
        <w:rPr>
          <w:sz w:val="20"/>
          <w:szCs w:val="20"/>
        </w:rPr>
      </w:r>
      <w:r w:rsidR="00735CC0">
        <w:rPr>
          <w:sz w:val="20"/>
          <w:szCs w:val="20"/>
        </w:rPr>
        <w:fldChar w:fldCharType="end"/>
      </w:r>
      <w:r w:rsidR="00EA1C17">
        <w:rPr>
          <w:sz w:val="20"/>
          <w:szCs w:val="20"/>
        </w:rPr>
      </w:r>
      <w:r w:rsidR="00EA1C17">
        <w:rPr>
          <w:sz w:val="20"/>
          <w:szCs w:val="20"/>
        </w:rPr>
        <w:fldChar w:fldCharType="separate"/>
      </w:r>
      <w:r w:rsidR="00735CC0" w:rsidRPr="00735CC0">
        <w:rPr>
          <w:noProof/>
          <w:sz w:val="20"/>
          <w:szCs w:val="20"/>
          <w:vertAlign w:val="superscript"/>
        </w:rPr>
        <w:t>180-185</w:t>
      </w:r>
      <w:r w:rsidR="00EA1C17">
        <w:rPr>
          <w:sz w:val="20"/>
          <w:szCs w:val="20"/>
        </w:rPr>
        <w:fldChar w:fldCharType="end"/>
      </w:r>
      <w:r w:rsidR="003836FD">
        <w:t xml:space="preserve"> – one study, based on the Dutch Generation R birth cohort study, was reported in 3 publications.</w:t>
      </w:r>
      <w:r w:rsidR="00EA1C17">
        <w:fldChar w:fldCharType="begin">
          <w:fldData xml:space="preserve">PEVuZE5vdGU+PENpdGU+PEF1dGhvcj5XYWhhYjwvQXV0aG9yPjxZZWFyPjIwMTk8L1llYXI+PFJl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</w:fldData>
        </w:fldChar>
      </w:r>
      <w:r w:rsidR="00735CC0">
        <w:instrText xml:space="preserve"> ADDIN EN.CITE </w:instrText>
      </w:r>
      <w:r w:rsidR="00735CC0">
        <w:fldChar w:fldCharType="begin">
          <w:fldData xml:space="preserve">PEVuZE5vdGU+PENpdGU+PEF1dGhvcj5XYWhhYjwvQXV0aG9yPjxZZWFyPjIwMTk8L1llYXI+PFJl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</w:fldData>
        </w:fldChar>
      </w:r>
      <w:r w:rsidR="00735CC0">
        <w:instrText xml:space="preserve"> ADDIN EN.CITE.DATA </w:instrText>
      </w:r>
      <w:r w:rsidR="00735CC0">
        <w:fldChar w:fldCharType="end"/>
      </w:r>
      <w:r w:rsidR="00EA1C17">
        <w:fldChar w:fldCharType="separate"/>
      </w:r>
      <w:r w:rsidR="00735CC0" w:rsidRPr="00735CC0">
        <w:rPr>
          <w:noProof/>
          <w:vertAlign w:val="superscript"/>
        </w:rPr>
        <w:t>183-185</w:t>
      </w:r>
      <w:r w:rsidR="00EA1C17">
        <w:fldChar w:fldCharType="end"/>
      </w:r>
      <w:r w:rsidR="003836FD">
        <w:t xml:space="preserve"> Although none of these specifically aimed to evaluate the accuracy of HLA testing for </w:t>
      </w:r>
      <w:r w:rsidR="008F7917">
        <w:t>CD</w:t>
      </w:r>
      <w:r w:rsidR="003836FD">
        <w:t>, all reported data that could be used to estimate accuracy of HLA testing. We selected the most recent report, which also provided data on the greatest number of participants, for inclusion in the analysis.</w:t>
      </w:r>
      <w:r w:rsidR="00EA1C17">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instrText xml:space="preserve"> ADDIN EN.CITE </w:instrText>
      </w:r>
      <w:r w:rsidR="00735CC0">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instrText xml:space="preserve"> ADDIN EN.CITE.DATA </w:instrText>
      </w:r>
      <w:r w:rsidR="00735CC0">
        <w:fldChar w:fldCharType="end"/>
      </w:r>
      <w:r w:rsidR="00EA1C17">
        <w:fldChar w:fldCharType="separate"/>
      </w:r>
      <w:r w:rsidR="00735CC0" w:rsidRPr="00735CC0">
        <w:rPr>
          <w:noProof/>
          <w:vertAlign w:val="superscript"/>
        </w:rPr>
        <w:t>183</w:t>
      </w:r>
      <w:r w:rsidR="00EA1C17">
        <w:fldChar w:fldCharType="end"/>
      </w:r>
    </w:p>
    <w:p w14:paraId="132FB9AB" w14:textId="77777777" w:rsidR="00E275E7" w:rsidRDefault="00E275E7" w:rsidP="00082A68"/>
    <w:p w14:paraId="6942F752" w14:textId="267FE2E2" w:rsidR="003836FD" w:rsidRPr="00734942" w:rsidRDefault="003836FD" w:rsidP="003836FD">
      <w:pPr>
        <w:pStyle w:val="Heading3"/>
      </w:pPr>
      <w:bookmarkStart w:id="200" w:name="_Toc99539879"/>
      <w:r w:rsidRPr="00734942">
        <w:t>Study characteristics</w:t>
      </w:r>
      <w:bookmarkEnd w:id="200"/>
    </w:p>
    <w:p w14:paraId="4916F9AD" w14:textId="09A00DB3" w:rsidR="003836FD" w:rsidRDefault="0070532B" w:rsidP="003836FD">
      <w:r>
        <w:rPr>
          <w:highlight w:val="yellow"/>
        </w:rPr>
        <w:fldChar w:fldCharType="begin"/>
      </w:r>
      <w:r>
        <w:instrText xml:space="preserve"> REF _Ref86655344 \h </w:instrText>
      </w:r>
      <w:r>
        <w:rPr>
          <w:highlight w:val="yellow"/>
        </w:rPr>
      </w:r>
      <w:r>
        <w:rPr>
          <w:highlight w:val="yellow"/>
        </w:rPr>
        <w:fldChar w:fldCharType="separate"/>
      </w:r>
      <w:r w:rsidR="008B5583">
        <w:t xml:space="preserve">Table </w:t>
      </w:r>
      <w:r w:rsidR="008B5583">
        <w:rPr>
          <w:noProof/>
        </w:rPr>
        <w:t>13</w:t>
      </w:r>
      <w:r>
        <w:rPr>
          <w:highlight w:val="yellow"/>
        </w:rPr>
        <w:fldChar w:fldCharType="end"/>
      </w:r>
      <w:r>
        <w:t xml:space="preserve"> </w:t>
      </w:r>
      <w:r w:rsidR="003836FD">
        <w:t>provides an overview of the included studies. All studies were conducted in children. Two studies used</w:t>
      </w:r>
      <w:r w:rsidR="00EB537F">
        <w:t xml:space="preserve"> </w:t>
      </w:r>
      <w:r w:rsidR="003836FD">
        <w:t>a nested case-control design and two a cohort design. Median age was 12 years in 2 studies, 6 years in one study</w:t>
      </w:r>
      <w:r w:rsidR="00C933CC">
        <w:t>,</w:t>
      </w:r>
      <w:r w:rsidR="003836FD">
        <w:t xml:space="preserve"> and 3 years in the fourth study. Two studies were conducted in </w:t>
      </w:r>
      <w:r w:rsidR="003836FD">
        <w:lastRenderedPageBreak/>
        <w:t>Sweden, one in Finland</w:t>
      </w:r>
      <w:r w:rsidR="00377C58">
        <w:t>,</w:t>
      </w:r>
      <w:r w:rsidR="003836FD">
        <w:t xml:space="preserve"> and one in the Netherlands. Three studies confirmed the diagnosis of </w:t>
      </w:r>
      <w:r w:rsidR="00AC7BE2">
        <w:t>CD</w:t>
      </w:r>
      <w:r w:rsidR="003836FD">
        <w:t xml:space="preserve"> by a combination of serology with biopsy in those who were positive on serology, the other used serology alone.</w:t>
      </w:r>
    </w:p>
    <w:p w14:paraId="1175497A" w14:textId="77777777" w:rsidR="003836FD" w:rsidRDefault="003836FD" w:rsidP="003C3E5A">
      <w:pPr>
        <w:pStyle w:val="Heading3"/>
      </w:pPr>
      <w:bookmarkStart w:id="201" w:name="_Toc99539880"/>
      <w:r w:rsidRPr="00734942">
        <w:t>Risk of bias</w:t>
      </w:r>
      <w:bookmarkEnd w:id="201"/>
    </w:p>
    <w:p w14:paraId="5B9088D0" w14:textId="21836062" w:rsidR="003836FD" w:rsidRDefault="003836FD" w:rsidP="003836FD">
      <w:r>
        <w:t>Three studies were judged at low risk of bias across all domains</w:t>
      </w:r>
      <w:r w:rsidR="005B59DF">
        <w:t xml:space="preserve"> (Appendix 20 </w:t>
      </w:r>
      <w:r w:rsidR="00DC18F4">
        <w:fldChar w:fldCharType="begin"/>
      </w:r>
      <w:r w:rsidR="00DC18F4">
        <w:instrText xml:space="preserve"> REF _Ref95380469 \h </w:instrText>
      </w:r>
      <w:r w:rsidR="00DC18F4">
        <w:fldChar w:fldCharType="separate"/>
      </w:r>
      <w:r w:rsidR="008B5583">
        <w:t xml:space="preserve">Figure </w:t>
      </w:r>
      <w:r w:rsidR="008B5583">
        <w:rPr>
          <w:noProof/>
        </w:rPr>
        <w:t>62</w:t>
      </w:r>
      <w:r w:rsidR="00DC18F4">
        <w:fldChar w:fldCharType="end"/>
      </w:r>
      <w:r w:rsidR="00DC18F4">
        <w:t>)</w:t>
      </w:r>
      <w:r>
        <w:t>.</w:t>
      </w:r>
      <w:r w:rsidR="00EA1C17">
        <w:fldChar w:fldCharType="begin">
          <w:fldData xml:space="preserve">PEVuZE5vdGU+PENpdGU+PEF1dGhvcj5Cam9yY2s8L0F1dGhvcj48WWVhcj4yMDEwPC9ZZWFyPjxS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YW5kIE51dHJpdGlvbjwvZnVsbC10aXRsZT48L3BlcmlvZGljYWw+PHBhZ2VzPjQ5LTUzPC9wYWdl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</w:fldData>
        </w:fldChar>
      </w:r>
      <w:r w:rsidR="00735CC0">
        <w:instrText xml:space="preserve"> ADDIN EN.CITE </w:instrText>
      </w:r>
      <w:r w:rsidR="00735CC0">
        <w:fldChar w:fldCharType="begin">
          <w:fldData xml:space="preserve">PEVuZE5vdGU+PENpdGU+PEF1dGhvcj5Cam9yY2s8L0F1dGhvcj48WWVhcj4yMDEwPC9ZZWFyPjxS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</w:fldData>
        </w:fldChar>
      </w:r>
      <w:r w:rsidR="00735CC0">
        <w:instrText xml:space="preserve"> ADDIN EN.CITE.DATA </w:instrText>
      </w:r>
      <w:r w:rsidR="00735CC0">
        <w:fldChar w:fldCharType="end"/>
      </w:r>
      <w:r w:rsidR="00EA1C17">
        <w:fldChar w:fldCharType="separate"/>
      </w:r>
      <w:r w:rsidR="00735CC0" w:rsidRPr="00735CC0">
        <w:rPr>
          <w:noProof/>
          <w:vertAlign w:val="superscript"/>
        </w:rPr>
        <w:t>180-182</w:t>
      </w:r>
      <w:r w:rsidR="00EA1C17">
        <w:fldChar w:fldCharType="end"/>
      </w:r>
      <w:r>
        <w:t xml:space="preserve"> The other was judged at high risk of bias as </w:t>
      </w:r>
      <w:r w:rsidR="00BB7B34">
        <w:t>CD</w:t>
      </w:r>
      <w:r>
        <w:t xml:space="preserve"> diagnosis was based on serology alone.</w:t>
      </w:r>
      <w:r w:rsidR="00EA1C17">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instrText xml:space="preserve"> ADDIN EN.CITE </w:instrText>
      </w:r>
      <w:r w:rsidR="00735CC0">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instrText xml:space="preserve"> ADDIN EN.CITE.DATA </w:instrText>
      </w:r>
      <w:r w:rsidR="00735CC0">
        <w:fldChar w:fldCharType="end"/>
      </w:r>
      <w:r w:rsidR="00EA1C17">
        <w:fldChar w:fldCharType="separate"/>
      </w:r>
      <w:r w:rsidR="00735CC0" w:rsidRPr="00735CC0">
        <w:rPr>
          <w:noProof/>
          <w:vertAlign w:val="superscript"/>
        </w:rPr>
        <w:t>183</w:t>
      </w:r>
      <w:r w:rsidR="00EA1C17">
        <w:fldChar w:fldCharType="end"/>
      </w:r>
      <w:r>
        <w:t xml:space="preserve"> This study was judged at low risk of bias for all other QUADAS-2 domains.</w:t>
      </w:r>
    </w:p>
    <w:p w14:paraId="1DA8A548" w14:textId="77777777" w:rsidR="003836FD" w:rsidRDefault="003836FD" w:rsidP="003836FD">
      <w:pPr>
        <w:pStyle w:val="Heading3"/>
      </w:pPr>
      <w:bookmarkStart w:id="202" w:name="_Toc99539881"/>
      <w:r w:rsidRPr="00734942">
        <w:t>Accuracy of diagnostic indicators to detect coeliac disease</w:t>
      </w:r>
      <w:bookmarkEnd w:id="202"/>
    </w:p>
    <w:p w14:paraId="69D98DBA" w14:textId="25E06660" w:rsidR="003836FD" w:rsidRDefault="003836FD" w:rsidP="003836FD">
      <w:pPr>
        <w:rPr>
          <w:rFonts w:eastAsiaTheme="minorEastAsia"/>
          <w:color w:val="000000"/>
          <w:lang w:eastAsia="en-GB"/>
        </w:rPr>
      </w:pPr>
      <w:r>
        <w:t xml:space="preserve">Results were broadly consistent across studies with visual examination of </w:t>
      </w:r>
      <w:r w:rsidRPr="00632196">
        <w:t>the forest plot (</w:t>
      </w:r>
      <w:r w:rsidR="00B01CD4">
        <w:fldChar w:fldCharType="begin"/>
      </w:r>
      <w:r w:rsidR="00B01CD4">
        <w:instrText xml:space="preserve"> REF _Ref87440722 \h </w:instrText>
      </w:r>
      <w:r w:rsidR="00B01CD4">
        <w:fldChar w:fldCharType="separate"/>
      </w:r>
      <w:r w:rsidR="008B5583">
        <w:t xml:space="preserve">Figure </w:t>
      </w:r>
      <w:r w:rsidR="008B5583">
        <w:rPr>
          <w:noProof/>
        </w:rPr>
        <w:t>7</w:t>
      </w:r>
      <w:r w:rsidR="00B01CD4">
        <w:fldChar w:fldCharType="end"/>
      </w:r>
      <w:r w:rsidRPr="00632196">
        <w:t xml:space="preserve">) and the </w:t>
      </w:r>
      <w:r w:rsidR="00377C58">
        <w:t xml:space="preserve">summary </w:t>
      </w:r>
      <w:r w:rsidRPr="00632196">
        <w:t>ROC plot (</w:t>
      </w:r>
      <w:r w:rsidR="00632196" w:rsidRPr="00632196">
        <w:fldChar w:fldCharType="begin"/>
      </w:r>
      <w:r w:rsidR="00632196" w:rsidRPr="00632196">
        <w:instrText xml:space="preserve"> REF _Ref86655670 \h </w:instrText>
      </w:r>
      <w:r w:rsidR="00632196">
        <w:instrText xml:space="preserve"> \* MERGEFORMAT </w:instrText>
      </w:r>
      <w:r w:rsidR="00632196" w:rsidRPr="00632196">
        <w:fldChar w:fldCharType="separate"/>
      </w:r>
      <w:r w:rsidR="008B5583">
        <w:t xml:space="preserve">Figure </w:t>
      </w:r>
      <w:r w:rsidR="008B5583">
        <w:rPr>
          <w:noProof/>
        </w:rPr>
        <w:t>8</w:t>
      </w:r>
      <w:r w:rsidR="00632196" w:rsidRPr="00632196">
        <w:fldChar w:fldCharType="end"/>
      </w:r>
      <w:r w:rsidRPr="00632196">
        <w:t>) suggestin</w:t>
      </w:r>
      <w:r>
        <w:t xml:space="preserve">g little evidence of heterogeneity. </w:t>
      </w:r>
      <w:r w:rsidR="00AC1CD1">
        <w:t>The presenc</w:t>
      </w:r>
      <w:r>
        <w:rPr>
          <w:color w:val="000000"/>
          <w:lang w:eastAsia="en-GB"/>
        </w:rPr>
        <w:t xml:space="preserve">e </w:t>
      </w:r>
      <w:r w:rsidR="00AC1CD1">
        <w:rPr>
          <w:color w:val="000000"/>
          <w:lang w:eastAsia="en-GB"/>
        </w:rPr>
        <w:t xml:space="preserve">of </w:t>
      </w:r>
      <w:r>
        <w:rPr>
          <w:color w:val="000000"/>
          <w:lang w:eastAsia="en-GB"/>
        </w:rPr>
        <w:t xml:space="preserve">either HLA DQ2 or HLA DQ8 </w:t>
      </w:r>
      <w:r w:rsidR="00AC1CD1">
        <w:rPr>
          <w:color w:val="000000"/>
          <w:lang w:eastAsia="en-GB"/>
        </w:rPr>
        <w:t xml:space="preserve">had a very high summary sensitivity of </w:t>
      </w:r>
      <w:r w:rsidR="00AC1CD1" w:rsidRPr="00E275E7">
        <w:rPr>
          <w:color w:val="000000"/>
          <w:lang w:eastAsia="en-GB"/>
        </w:rPr>
        <w:t>99.2% (95% CI 83</w:t>
      </w:r>
      <w:r w:rsidR="00DD6D83" w:rsidRPr="00E275E7">
        <w:rPr>
          <w:color w:val="000000"/>
          <w:lang w:eastAsia="en-GB"/>
        </w:rPr>
        <w:t>.4</w:t>
      </w:r>
      <w:r w:rsidR="00AC1CD1" w:rsidRPr="00E275E7">
        <w:rPr>
          <w:color w:val="000000"/>
          <w:lang w:eastAsia="en-GB"/>
        </w:rPr>
        <w:t xml:space="preserve"> to 100%) and summary specificity of 55.6% (50.2</w:t>
      </w:r>
      <w:r w:rsidR="00DD6D83" w:rsidRPr="00E275E7">
        <w:rPr>
          <w:color w:val="000000"/>
          <w:lang w:eastAsia="en-GB"/>
        </w:rPr>
        <w:t xml:space="preserve"> to </w:t>
      </w:r>
      <w:r w:rsidR="00AC1CD1" w:rsidRPr="00E275E7">
        <w:rPr>
          <w:color w:val="000000"/>
          <w:lang w:eastAsia="en-GB"/>
        </w:rPr>
        <w:t>60.9%).</w:t>
      </w:r>
      <w:r w:rsidRPr="00E275E7">
        <w:rPr>
          <w:b/>
          <w:color w:val="000000"/>
          <w:lang w:eastAsia="en-GB"/>
        </w:rPr>
        <w:t xml:space="preserve"> These figures were included in the economic model in Chapter 8.</w:t>
      </w:r>
    </w:p>
    <w:p w14:paraId="2EB38A63" w14:textId="77777777" w:rsidR="005A5853" w:rsidRDefault="00856C92" w:rsidP="005672CA">
      <w:pPr>
        <w:pStyle w:val="Caption"/>
      </w:pPr>
      <w:r w:rsidRPr="00856C92">
        <w:rPr>
          <w:noProof/>
        </w:rPr>
        <w:drawing>
          <wp:inline distT="0" distB="0" distL="0" distR="0" wp14:anchorId="6FD0CC7F" wp14:editId="2ABC9AFB">
            <wp:extent cx="5731510" cy="2173605"/>
            <wp:effectExtent l="0" t="0" r="2540" b="0"/>
            <wp:docPr id="69" name="Picture 14" descr="Chart&#10;&#10;Description automatically generated">
              <a:extLst xmlns:a="http://schemas.openxmlformats.org/drawingml/2006/main">
                <a:ext uri="{FF2B5EF4-FFF2-40B4-BE49-F238E27FC236}">
                  <a16:creationId xmlns:a16="http://schemas.microsoft.com/office/drawing/2014/main" id="{FFFCE2D0-C073-42EC-8773-AA8AF036C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descr="Chart&#10;&#10;Description automatically generated">
                      <a:extLst>
                        <a:ext uri="{FF2B5EF4-FFF2-40B4-BE49-F238E27FC236}">
                          <a16:creationId xmlns:a16="http://schemas.microsoft.com/office/drawing/2014/main" id="{FFFCE2D0-C073-42EC-8773-AA8AF036C8C8}"/>
                        </a:ext>
                      </a:extLst>
                    </pic:cNvPr>
                    <pic:cNvPicPr>
                      <a:picLocks noChangeAspect="1"/>
                    </pic:cNvPicPr>
                  </pic:nvPicPr>
                  <pic:blipFill>
                    <a:blip r:embed="rId28"/>
                    <a:stretch>
                      <a:fillRect/>
                    </a:stretch>
                  </pic:blipFill>
                  <pic:spPr>
                    <a:xfrm>
                      <a:off x="0" y="0"/>
                      <a:ext cx="5731510" cy="2173605"/>
                    </a:xfrm>
                    <a:prstGeom prst="rect">
                      <a:avLst/>
                    </a:prstGeom>
                  </pic:spPr>
                </pic:pic>
              </a:graphicData>
            </a:graphic>
          </wp:inline>
        </w:drawing>
      </w:r>
    </w:p>
    <w:p w14:paraId="1AB5E162" w14:textId="69B9742E" w:rsidR="00856C92" w:rsidRDefault="00686767" w:rsidP="005672CA">
      <w:pPr>
        <w:pStyle w:val="Caption"/>
      </w:pPr>
      <w:bookmarkStart w:id="203" w:name="_Ref87440722"/>
      <w:bookmarkStart w:id="204" w:name="_Toc99720788"/>
      <w:r>
        <w:t xml:space="preserve">Figure </w:t>
      </w:r>
      <w:bookmarkStart w:id="205" w:name="_Ref86655664"/>
      <w:r w:rsidR="00856C92">
        <w:fldChar w:fldCharType="begin"/>
      </w:r>
      <w:r w:rsidR="00856C92">
        <w:instrText>SEQ Figure \* ARABIC</w:instrText>
      </w:r>
      <w:r w:rsidR="00856C92">
        <w:fldChar w:fldCharType="separate"/>
      </w:r>
      <w:r w:rsidR="008B5583">
        <w:rPr>
          <w:noProof/>
        </w:rPr>
        <w:t>7</w:t>
      </w:r>
      <w:r w:rsidR="00856C92">
        <w:fldChar w:fldCharType="end"/>
      </w:r>
      <w:bookmarkEnd w:id="203"/>
      <w:bookmarkEnd w:id="205"/>
      <w:r w:rsidR="00856C92">
        <w:t xml:space="preserve"> </w:t>
      </w:r>
      <w:r w:rsidR="00856C92" w:rsidRPr="00982AC5">
        <w:t>Forest plots of individual study and summary estimates of sensitivity and specificity</w:t>
      </w:r>
      <w:bookmarkEnd w:id="204"/>
    </w:p>
    <w:p w14:paraId="7195A02B" w14:textId="4E94247F" w:rsidR="00AC1CD1" w:rsidRDefault="00AC1CD1" w:rsidP="003836FD"/>
    <w:p w14:paraId="31DEB1C1" w14:textId="078FCAB0" w:rsidR="003836FD" w:rsidRDefault="00A94007" w:rsidP="003836FD">
      <w:pPr>
        <w:rPr>
          <w:noProof/>
        </w:rPr>
      </w:pPr>
      <w:r>
        <w:rPr>
          <w:noProof/>
        </w:rPr>
        <w:lastRenderedPageBreak/>
        <w:drawing>
          <wp:inline distT="0" distB="0" distL="0" distR="0" wp14:anchorId="7E603552" wp14:editId="610A8E63">
            <wp:extent cx="3788502" cy="3971925"/>
            <wp:effectExtent l="0" t="0" r="254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pic:nvPicPr>
                  <pic:blipFill>
                    <a:blip r:embed="rId29"/>
                    <a:stretch>
                      <a:fillRect/>
                    </a:stretch>
                  </pic:blipFill>
                  <pic:spPr>
                    <a:xfrm>
                      <a:off x="0" y="0"/>
                      <a:ext cx="3791816" cy="3975400"/>
                    </a:xfrm>
                    <a:prstGeom prst="rect">
                      <a:avLst/>
                    </a:prstGeom>
                  </pic:spPr>
                </pic:pic>
              </a:graphicData>
            </a:graphic>
          </wp:inline>
        </w:drawing>
      </w:r>
    </w:p>
    <w:p w14:paraId="6FB88713" w14:textId="456AE618" w:rsidR="00686767" w:rsidRDefault="00686767" w:rsidP="00686767">
      <w:pPr>
        <w:pStyle w:val="Caption"/>
      </w:pPr>
      <w:bookmarkStart w:id="206" w:name="_Ref86655670"/>
      <w:bookmarkStart w:id="207" w:name="_Toc99720789"/>
      <w:r>
        <w:t xml:space="preserve">Figure </w:t>
      </w:r>
      <w:r>
        <w:fldChar w:fldCharType="begin"/>
      </w:r>
      <w:r>
        <w:instrText>SEQ Figure \* ARABIC</w:instrText>
      </w:r>
      <w:r>
        <w:fldChar w:fldCharType="separate"/>
      </w:r>
      <w:r w:rsidR="008B5583">
        <w:rPr>
          <w:noProof/>
        </w:rPr>
        <w:t>8</w:t>
      </w:r>
      <w:r>
        <w:fldChar w:fldCharType="end"/>
      </w:r>
      <w:bookmarkEnd w:id="206"/>
      <w:r>
        <w:t xml:space="preserve"> Summary ROC</w:t>
      </w:r>
      <w:r w:rsidR="008869D7">
        <w:t xml:space="preserve"> for HLA </w:t>
      </w:r>
      <w:r w:rsidR="00A94007">
        <w:t>D</w:t>
      </w:r>
      <w:r w:rsidR="008869D7">
        <w:t>Q2/DQ8 for diagnosing CD</w:t>
      </w:r>
      <w:bookmarkEnd w:id="207"/>
    </w:p>
    <w:p w14:paraId="028F43EF" w14:textId="77777777" w:rsidR="00AA7085" w:rsidRDefault="00AA7085" w:rsidP="003836FD">
      <w:pPr>
        <w:rPr>
          <w:noProof/>
        </w:rPr>
      </w:pPr>
    </w:p>
    <w:p w14:paraId="6616F8E9" w14:textId="7346EA16" w:rsidR="00AA7085" w:rsidRDefault="00AA7085" w:rsidP="003836FD">
      <w:pPr>
        <w:sectPr w:rsidR="00AA7085" w:rsidSect="00AC1CD1">
          <w:footerReference w:type="default" r:id="rId30"/>
          <w:pgSz w:w="11906" w:h="16838"/>
          <w:pgMar w:top="1440" w:right="1440" w:bottom="1440" w:left="1440" w:header="708" w:footer="708" w:gutter="0"/>
          <w:cols w:space="708"/>
          <w:docGrid w:linePitch="360"/>
        </w:sectPr>
      </w:pPr>
    </w:p>
    <w:p w14:paraId="13FA4271" w14:textId="70EE949E" w:rsidR="0070532B" w:rsidRDefault="0070532B" w:rsidP="005672CA">
      <w:pPr>
        <w:pStyle w:val="Caption"/>
      </w:pPr>
      <w:bookmarkStart w:id="208" w:name="_Ref86655344"/>
      <w:bookmarkStart w:id="209" w:name="_Toc99720724"/>
      <w:r>
        <w:lastRenderedPageBreak/>
        <w:t xml:space="preserve">Table </w:t>
      </w:r>
      <w:r>
        <w:fldChar w:fldCharType="begin"/>
      </w:r>
      <w:r>
        <w:instrText>SEQ Table \* ARABIC</w:instrText>
      </w:r>
      <w:r>
        <w:fldChar w:fldCharType="separate"/>
      </w:r>
      <w:r w:rsidR="008B5583">
        <w:rPr>
          <w:noProof/>
        </w:rPr>
        <w:t>13</w:t>
      </w:r>
      <w:r>
        <w:fldChar w:fldCharType="end"/>
      </w:r>
      <w:bookmarkEnd w:id="208"/>
      <w:r>
        <w:t xml:space="preserve"> </w:t>
      </w:r>
      <w:r w:rsidRPr="003272BF">
        <w:t>Details of studies that evaluated the accuracy of HLA genotyping</w:t>
      </w:r>
      <w:bookmarkEnd w:id="209"/>
    </w:p>
    <w:tbl>
      <w:tblPr>
        <w:tblW w:w="4980" w:type="pct"/>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697"/>
        <w:gridCol w:w="927"/>
        <w:gridCol w:w="910"/>
        <w:gridCol w:w="1287"/>
        <w:gridCol w:w="901"/>
        <w:gridCol w:w="1084"/>
        <w:gridCol w:w="648"/>
        <w:gridCol w:w="2121"/>
        <w:gridCol w:w="1296"/>
        <w:gridCol w:w="1040"/>
        <w:gridCol w:w="1276"/>
        <w:gridCol w:w="715"/>
      </w:tblGrid>
      <w:tr w:rsidR="003836FD" w:rsidRPr="008E6525" w14:paraId="4870A747" w14:textId="77777777" w:rsidTr="00AC1CD1">
        <w:trPr>
          <w:cantSplit/>
          <w:tblHeader/>
          <w:jc w:val="center"/>
        </w:trPr>
        <w:tc>
          <w:tcPr>
            <w:tcW w:w="610" w:type="pct"/>
            <w:tcBorders>
              <w:top w:val="single" w:sz="4" w:space="0" w:color="auto"/>
              <w:bottom w:val="single" w:sz="4" w:space="0" w:color="auto"/>
            </w:tcBorders>
            <w:shd w:val="clear" w:color="auto" w:fill="FFFFFF"/>
          </w:tcPr>
          <w:p w14:paraId="3ACBAF07" w14:textId="77777777" w:rsidR="003836FD" w:rsidRPr="005A41CE" w:rsidRDefault="003836FD" w:rsidP="00AC1CD1">
            <w:pPr>
              <w:spacing w:after="0"/>
              <w:rPr>
                <w:b/>
                <w:bCs/>
                <w:sz w:val="20"/>
                <w:szCs w:val="20"/>
              </w:rPr>
            </w:pPr>
            <w:r w:rsidRPr="005A41CE">
              <w:rPr>
                <w:b/>
                <w:bCs/>
                <w:sz w:val="20"/>
                <w:szCs w:val="20"/>
              </w:rPr>
              <w:t>Study</w:t>
            </w:r>
          </w:p>
        </w:tc>
        <w:tc>
          <w:tcPr>
            <w:tcW w:w="333" w:type="pct"/>
            <w:tcBorders>
              <w:top w:val="single" w:sz="4" w:space="0" w:color="auto"/>
              <w:bottom w:val="single" w:sz="4" w:space="0" w:color="auto"/>
            </w:tcBorders>
            <w:shd w:val="clear" w:color="auto" w:fill="FFFFFF"/>
            <w:hideMark/>
          </w:tcPr>
          <w:p w14:paraId="3306600F" w14:textId="77777777" w:rsidR="003836FD" w:rsidRPr="005A41CE" w:rsidRDefault="003836FD" w:rsidP="00AC1CD1">
            <w:pPr>
              <w:spacing w:after="0"/>
              <w:rPr>
                <w:b/>
                <w:bCs/>
                <w:sz w:val="20"/>
                <w:szCs w:val="20"/>
              </w:rPr>
            </w:pPr>
            <w:r w:rsidRPr="005A41CE">
              <w:rPr>
                <w:b/>
                <w:bCs/>
                <w:sz w:val="20"/>
                <w:szCs w:val="20"/>
              </w:rPr>
              <w:t>Age group</w:t>
            </w:r>
          </w:p>
        </w:tc>
        <w:tc>
          <w:tcPr>
            <w:tcW w:w="327" w:type="pct"/>
            <w:tcBorders>
              <w:top w:val="single" w:sz="4" w:space="0" w:color="auto"/>
              <w:bottom w:val="single" w:sz="4" w:space="0" w:color="auto"/>
            </w:tcBorders>
            <w:shd w:val="clear" w:color="auto" w:fill="FFFFFF"/>
            <w:hideMark/>
          </w:tcPr>
          <w:p w14:paraId="169FE1FD" w14:textId="77777777" w:rsidR="003836FD" w:rsidRPr="005A41CE" w:rsidRDefault="003836FD" w:rsidP="00AC1CD1">
            <w:pPr>
              <w:spacing w:after="0"/>
              <w:rPr>
                <w:b/>
                <w:bCs/>
                <w:sz w:val="20"/>
                <w:szCs w:val="20"/>
              </w:rPr>
            </w:pPr>
            <w:r w:rsidRPr="005A41CE">
              <w:rPr>
                <w:b/>
                <w:bCs/>
                <w:sz w:val="20"/>
                <w:szCs w:val="20"/>
              </w:rPr>
              <w:t>Study Design</w:t>
            </w:r>
          </w:p>
        </w:tc>
        <w:tc>
          <w:tcPr>
            <w:tcW w:w="463" w:type="pct"/>
            <w:tcBorders>
              <w:top w:val="single" w:sz="4" w:space="0" w:color="auto"/>
              <w:bottom w:val="single" w:sz="4" w:space="0" w:color="auto"/>
            </w:tcBorders>
            <w:shd w:val="clear" w:color="auto" w:fill="FFFFFF"/>
            <w:hideMark/>
          </w:tcPr>
          <w:p w14:paraId="0EAD65C7" w14:textId="77777777" w:rsidR="003836FD" w:rsidRPr="005A41CE" w:rsidRDefault="003836FD" w:rsidP="00AC1CD1">
            <w:pPr>
              <w:spacing w:after="0"/>
              <w:rPr>
                <w:b/>
                <w:bCs/>
                <w:sz w:val="20"/>
                <w:szCs w:val="20"/>
              </w:rPr>
            </w:pPr>
            <w:r w:rsidRPr="005A41CE">
              <w:rPr>
                <w:b/>
                <w:bCs/>
                <w:sz w:val="20"/>
                <w:szCs w:val="20"/>
              </w:rPr>
              <w:t>Genetic test details</w:t>
            </w:r>
          </w:p>
        </w:tc>
        <w:tc>
          <w:tcPr>
            <w:tcW w:w="324" w:type="pct"/>
            <w:tcBorders>
              <w:top w:val="single" w:sz="4" w:space="0" w:color="auto"/>
              <w:bottom w:val="single" w:sz="4" w:space="0" w:color="auto"/>
            </w:tcBorders>
            <w:shd w:val="clear" w:color="auto" w:fill="FFFFFF"/>
            <w:hideMark/>
          </w:tcPr>
          <w:p w14:paraId="2D2645FB" w14:textId="77777777" w:rsidR="003836FD" w:rsidRPr="005A41CE" w:rsidRDefault="003836FD" w:rsidP="00AC1CD1">
            <w:pPr>
              <w:spacing w:after="0"/>
              <w:rPr>
                <w:b/>
                <w:bCs/>
                <w:sz w:val="20"/>
                <w:szCs w:val="20"/>
              </w:rPr>
            </w:pPr>
            <w:r w:rsidRPr="005A41CE">
              <w:rPr>
                <w:b/>
                <w:bCs/>
                <w:sz w:val="20"/>
                <w:szCs w:val="20"/>
              </w:rPr>
              <w:t>Total Sample (number analysed)</w:t>
            </w:r>
          </w:p>
        </w:tc>
        <w:tc>
          <w:tcPr>
            <w:tcW w:w="390" w:type="pct"/>
            <w:tcBorders>
              <w:top w:val="single" w:sz="4" w:space="0" w:color="auto"/>
              <w:bottom w:val="single" w:sz="4" w:space="0" w:color="auto"/>
            </w:tcBorders>
            <w:shd w:val="clear" w:color="auto" w:fill="FFFFFF"/>
          </w:tcPr>
          <w:p w14:paraId="30577AFD" w14:textId="77777777" w:rsidR="003836FD" w:rsidRPr="005A41CE" w:rsidRDefault="003836FD" w:rsidP="00AC1CD1">
            <w:pPr>
              <w:spacing w:after="0"/>
              <w:rPr>
                <w:b/>
                <w:bCs/>
                <w:sz w:val="20"/>
                <w:szCs w:val="20"/>
              </w:rPr>
            </w:pPr>
            <w:r w:rsidRPr="005A41CE">
              <w:rPr>
                <w:b/>
                <w:bCs/>
                <w:sz w:val="20"/>
                <w:szCs w:val="20"/>
              </w:rPr>
              <w:t>Age (years)</w:t>
            </w:r>
          </w:p>
        </w:tc>
        <w:tc>
          <w:tcPr>
            <w:tcW w:w="233" w:type="pct"/>
            <w:tcBorders>
              <w:top w:val="single" w:sz="4" w:space="0" w:color="auto"/>
              <w:bottom w:val="single" w:sz="4" w:space="0" w:color="auto"/>
            </w:tcBorders>
            <w:shd w:val="clear" w:color="auto" w:fill="FFFFFF"/>
            <w:hideMark/>
          </w:tcPr>
          <w:p w14:paraId="2715F65B" w14:textId="77777777" w:rsidR="003836FD" w:rsidRPr="005A41CE" w:rsidRDefault="003836FD" w:rsidP="00AC1CD1">
            <w:pPr>
              <w:spacing w:after="0"/>
              <w:rPr>
                <w:b/>
                <w:bCs/>
                <w:sz w:val="20"/>
                <w:szCs w:val="20"/>
              </w:rPr>
            </w:pPr>
            <w:r w:rsidRPr="005A41CE">
              <w:rPr>
                <w:b/>
                <w:bCs/>
                <w:sz w:val="20"/>
                <w:szCs w:val="20"/>
              </w:rPr>
              <w:t>Sex (% female)</w:t>
            </w:r>
          </w:p>
        </w:tc>
        <w:tc>
          <w:tcPr>
            <w:tcW w:w="763" w:type="pct"/>
            <w:tcBorders>
              <w:top w:val="single" w:sz="4" w:space="0" w:color="auto"/>
              <w:bottom w:val="single" w:sz="4" w:space="0" w:color="auto"/>
            </w:tcBorders>
            <w:shd w:val="clear" w:color="auto" w:fill="FFFFFF"/>
            <w:hideMark/>
          </w:tcPr>
          <w:p w14:paraId="1098CE9D" w14:textId="77777777" w:rsidR="003836FD" w:rsidRPr="005A41CE" w:rsidRDefault="003836FD" w:rsidP="00AC1CD1">
            <w:pPr>
              <w:spacing w:after="0"/>
              <w:rPr>
                <w:b/>
                <w:bCs/>
                <w:sz w:val="20"/>
                <w:szCs w:val="20"/>
              </w:rPr>
            </w:pPr>
            <w:r w:rsidRPr="005A41CE">
              <w:rPr>
                <w:b/>
                <w:bCs/>
                <w:sz w:val="20"/>
                <w:szCs w:val="20"/>
              </w:rPr>
              <w:t>Control group</w:t>
            </w:r>
          </w:p>
        </w:tc>
        <w:tc>
          <w:tcPr>
            <w:tcW w:w="466" w:type="pct"/>
            <w:tcBorders>
              <w:top w:val="single" w:sz="4" w:space="0" w:color="auto"/>
              <w:bottom w:val="single" w:sz="4" w:space="0" w:color="auto"/>
            </w:tcBorders>
            <w:shd w:val="clear" w:color="auto" w:fill="FFFFFF"/>
            <w:hideMark/>
          </w:tcPr>
          <w:p w14:paraId="513B106F" w14:textId="77777777" w:rsidR="003836FD" w:rsidRPr="005A41CE" w:rsidRDefault="003836FD" w:rsidP="00AC1CD1">
            <w:pPr>
              <w:spacing w:after="0"/>
              <w:rPr>
                <w:b/>
                <w:bCs/>
                <w:sz w:val="20"/>
                <w:szCs w:val="20"/>
              </w:rPr>
            </w:pPr>
            <w:r w:rsidRPr="005A41CE">
              <w:rPr>
                <w:b/>
                <w:bCs/>
                <w:sz w:val="20"/>
                <w:szCs w:val="20"/>
              </w:rPr>
              <w:t>Reference standard</w:t>
            </w:r>
          </w:p>
        </w:tc>
        <w:tc>
          <w:tcPr>
            <w:tcW w:w="374" w:type="pct"/>
            <w:tcBorders>
              <w:top w:val="single" w:sz="4" w:space="0" w:color="auto"/>
              <w:bottom w:val="single" w:sz="4" w:space="0" w:color="auto"/>
            </w:tcBorders>
            <w:shd w:val="clear" w:color="auto" w:fill="FFFFFF"/>
            <w:hideMark/>
          </w:tcPr>
          <w:p w14:paraId="61F26364" w14:textId="77777777" w:rsidR="003836FD" w:rsidRPr="005A41CE" w:rsidRDefault="003836FD" w:rsidP="00AC1CD1">
            <w:pPr>
              <w:spacing w:after="0"/>
              <w:rPr>
                <w:b/>
                <w:bCs/>
                <w:sz w:val="20"/>
                <w:szCs w:val="20"/>
              </w:rPr>
            </w:pPr>
            <w:r w:rsidRPr="005A41CE">
              <w:rPr>
                <w:b/>
                <w:bCs/>
                <w:sz w:val="20"/>
                <w:szCs w:val="20"/>
              </w:rPr>
              <w:t>Setting</w:t>
            </w:r>
          </w:p>
        </w:tc>
        <w:tc>
          <w:tcPr>
            <w:tcW w:w="459" w:type="pct"/>
            <w:tcBorders>
              <w:top w:val="single" w:sz="4" w:space="0" w:color="auto"/>
              <w:bottom w:val="single" w:sz="4" w:space="0" w:color="auto"/>
            </w:tcBorders>
            <w:shd w:val="clear" w:color="auto" w:fill="FFFFFF"/>
            <w:hideMark/>
          </w:tcPr>
          <w:p w14:paraId="2ADBD0D7" w14:textId="77777777" w:rsidR="003836FD" w:rsidRPr="005A41CE" w:rsidRDefault="003836FD" w:rsidP="00AC1CD1">
            <w:pPr>
              <w:spacing w:after="0"/>
              <w:rPr>
                <w:b/>
                <w:bCs/>
                <w:sz w:val="20"/>
                <w:szCs w:val="20"/>
              </w:rPr>
            </w:pPr>
            <w:r w:rsidRPr="005A41CE">
              <w:rPr>
                <w:b/>
                <w:bCs/>
                <w:sz w:val="20"/>
                <w:szCs w:val="20"/>
              </w:rPr>
              <w:t>Location</w:t>
            </w:r>
          </w:p>
        </w:tc>
        <w:tc>
          <w:tcPr>
            <w:tcW w:w="257" w:type="pct"/>
            <w:tcBorders>
              <w:top w:val="single" w:sz="4" w:space="0" w:color="auto"/>
              <w:bottom w:val="single" w:sz="4" w:space="0" w:color="auto"/>
            </w:tcBorders>
            <w:shd w:val="clear" w:color="auto" w:fill="FFFFFF"/>
          </w:tcPr>
          <w:p w14:paraId="4DE795F5" w14:textId="77777777" w:rsidR="003836FD" w:rsidRPr="005A41CE" w:rsidRDefault="003836FD" w:rsidP="00AC1CD1">
            <w:pPr>
              <w:spacing w:after="0"/>
              <w:rPr>
                <w:b/>
                <w:bCs/>
                <w:sz w:val="20"/>
                <w:szCs w:val="20"/>
              </w:rPr>
            </w:pPr>
            <w:r w:rsidRPr="005A41CE">
              <w:rPr>
                <w:b/>
                <w:bCs/>
                <w:sz w:val="20"/>
                <w:szCs w:val="20"/>
              </w:rPr>
              <w:t>ROB</w:t>
            </w:r>
          </w:p>
        </w:tc>
      </w:tr>
      <w:tr w:rsidR="003836FD" w:rsidRPr="008E6525" w14:paraId="69B5D21A" w14:textId="77777777" w:rsidTr="00AC1CD1">
        <w:trPr>
          <w:cantSplit/>
          <w:jc w:val="center"/>
        </w:trPr>
        <w:tc>
          <w:tcPr>
            <w:tcW w:w="610" w:type="pct"/>
            <w:shd w:val="clear" w:color="auto" w:fill="FFFFFF"/>
          </w:tcPr>
          <w:p w14:paraId="24CE2F61" w14:textId="7E5F9B1F" w:rsidR="003836FD" w:rsidRPr="008E6525" w:rsidRDefault="003836FD" w:rsidP="00AC1CD1">
            <w:pPr>
              <w:spacing w:after="0"/>
              <w:rPr>
                <w:sz w:val="20"/>
                <w:szCs w:val="20"/>
              </w:rPr>
            </w:pPr>
            <w:r>
              <w:rPr>
                <w:sz w:val="20"/>
                <w:szCs w:val="20"/>
              </w:rPr>
              <w:t>Bjorck (2010)</w:t>
            </w:r>
            <w:r w:rsidR="00EA1C17">
              <w:rPr>
                <w:sz w:val="20"/>
                <w:szCs w:val="20"/>
              </w:rPr>
              <w:fldChar w:fldCharType="begin">
                <w:fldData xml:space="preserve">PEVuZE5vdGU+PENpdGU+PEF1dGhvcj5Cam9yY2s8L0F1dGhvcj48WWVhcj4yMDEwPC9ZZWFyPjxS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=
</w:fldData>
              </w:fldChar>
            </w:r>
            <w:r w:rsidR="00735CC0">
              <w:rPr>
                <w:sz w:val="20"/>
                <w:szCs w:val="20"/>
              </w:rPr>
              <w:instrText xml:space="preserve"> ADDIN EN.CITE </w:instrText>
            </w:r>
            <w:r w:rsidR="00735CC0">
              <w:rPr>
                <w:sz w:val="20"/>
                <w:szCs w:val="20"/>
              </w:rPr>
              <w:fldChar w:fldCharType="begin">
                <w:fldData xml:space="preserve">PEVuZE5vdGU+PENpdGU+PEF1dGhvcj5Cam9yY2s8L0F1dGhvcj48WWVhcj4yMDEwPC9ZZWFyPjxS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=
</w:fldData>
              </w:fldChar>
            </w:r>
            <w:r w:rsidR="00735CC0">
              <w:rPr>
                <w:sz w:val="20"/>
                <w:szCs w:val="20"/>
              </w:rPr>
              <w:instrText xml:space="preserve"> ADDIN EN.CITE.DATA </w:instrText>
            </w:r>
            <w:r w:rsidR="00735CC0">
              <w:rPr>
                <w:sz w:val="20"/>
                <w:szCs w:val="20"/>
              </w:rPr>
            </w:r>
            <w:r w:rsidR="00735CC0">
              <w:rPr>
                <w:sz w:val="20"/>
                <w:szCs w:val="20"/>
              </w:rPr>
              <w:fldChar w:fldCharType="end"/>
            </w:r>
            <w:r w:rsidR="00EA1C17">
              <w:rPr>
                <w:sz w:val="20"/>
                <w:szCs w:val="20"/>
              </w:rPr>
            </w:r>
            <w:r w:rsidR="00EA1C17">
              <w:rPr>
                <w:sz w:val="20"/>
                <w:szCs w:val="20"/>
              </w:rPr>
              <w:fldChar w:fldCharType="separate"/>
            </w:r>
            <w:r w:rsidR="00735CC0" w:rsidRPr="00735CC0">
              <w:rPr>
                <w:noProof/>
                <w:sz w:val="20"/>
                <w:szCs w:val="20"/>
                <w:vertAlign w:val="superscript"/>
              </w:rPr>
              <w:t>180</w:t>
            </w:r>
            <w:r w:rsidR="00EA1C17">
              <w:rPr>
                <w:sz w:val="20"/>
                <w:szCs w:val="20"/>
              </w:rPr>
              <w:fldChar w:fldCharType="end"/>
            </w:r>
          </w:p>
        </w:tc>
        <w:tc>
          <w:tcPr>
            <w:tcW w:w="333" w:type="pct"/>
            <w:shd w:val="clear" w:color="auto" w:fill="FFFFFF"/>
            <w:hideMark/>
          </w:tcPr>
          <w:p w14:paraId="14FC54E3" w14:textId="77777777" w:rsidR="003836FD" w:rsidRPr="008E6525" w:rsidRDefault="003836FD" w:rsidP="00AC1CD1">
            <w:pPr>
              <w:spacing w:after="0"/>
              <w:rPr>
                <w:sz w:val="20"/>
                <w:szCs w:val="20"/>
              </w:rPr>
            </w:pPr>
            <w:r w:rsidRPr="008E6525">
              <w:rPr>
                <w:sz w:val="20"/>
                <w:szCs w:val="20"/>
              </w:rPr>
              <w:t>Children</w:t>
            </w:r>
          </w:p>
        </w:tc>
        <w:tc>
          <w:tcPr>
            <w:tcW w:w="327" w:type="pct"/>
            <w:shd w:val="clear" w:color="auto" w:fill="FFFFFF"/>
            <w:hideMark/>
          </w:tcPr>
          <w:p w14:paraId="2F51483B" w14:textId="77777777" w:rsidR="003836FD" w:rsidRPr="008E6525" w:rsidRDefault="003836FD" w:rsidP="00AC1CD1">
            <w:pPr>
              <w:spacing w:after="0"/>
              <w:ind w:left="100"/>
              <w:rPr>
                <w:sz w:val="20"/>
                <w:szCs w:val="20"/>
              </w:rPr>
            </w:pPr>
            <w:r w:rsidRPr="008E6525">
              <w:rPr>
                <w:sz w:val="20"/>
                <w:szCs w:val="20"/>
              </w:rPr>
              <w:t xml:space="preserve">Nested case-control </w:t>
            </w:r>
          </w:p>
        </w:tc>
        <w:tc>
          <w:tcPr>
            <w:tcW w:w="463" w:type="pct"/>
            <w:shd w:val="clear" w:color="auto" w:fill="FFFFFF"/>
            <w:hideMark/>
          </w:tcPr>
          <w:p w14:paraId="5C4CC903" w14:textId="77777777" w:rsidR="003836FD" w:rsidRPr="008E6525" w:rsidRDefault="003836FD" w:rsidP="00AC1CD1">
            <w:pPr>
              <w:spacing w:after="0"/>
              <w:ind w:left="100"/>
              <w:rPr>
                <w:sz w:val="20"/>
                <w:szCs w:val="20"/>
              </w:rPr>
            </w:pPr>
            <w:r w:rsidRPr="008E6525">
              <w:rPr>
                <w:sz w:val="20"/>
                <w:szCs w:val="20"/>
              </w:rPr>
              <w:t>HLA DQ2, HLA DQ8 or both</w:t>
            </w:r>
          </w:p>
        </w:tc>
        <w:tc>
          <w:tcPr>
            <w:tcW w:w="324" w:type="pct"/>
            <w:shd w:val="clear" w:color="auto" w:fill="FFFFFF"/>
            <w:hideMark/>
          </w:tcPr>
          <w:p w14:paraId="08C8602B" w14:textId="77777777" w:rsidR="003836FD" w:rsidRPr="008E6525" w:rsidRDefault="003836FD" w:rsidP="00AC1CD1">
            <w:pPr>
              <w:spacing w:after="0"/>
              <w:ind w:left="100"/>
              <w:rPr>
                <w:sz w:val="20"/>
                <w:szCs w:val="20"/>
              </w:rPr>
            </w:pPr>
            <w:r w:rsidRPr="008E6525">
              <w:rPr>
                <w:sz w:val="20"/>
                <w:szCs w:val="20"/>
              </w:rPr>
              <w:t>3435</w:t>
            </w:r>
            <w:r>
              <w:rPr>
                <w:sz w:val="20"/>
                <w:szCs w:val="20"/>
              </w:rPr>
              <w:t xml:space="preserve"> (3435)</w:t>
            </w:r>
          </w:p>
        </w:tc>
        <w:tc>
          <w:tcPr>
            <w:tcW w:w="390" w:type="pct"/>
            <w:shd w:val="clear" w:color="auto" w:fill="FFFFFF"/>
          </w:tcPr>
          <w:p w14:paraId="0A1E1091" w14:textId="77777777" w:rsidR="003836FD" w:rsidRDefault="003836FD" w:rsidP="00AC1CD1">
            <w:pPr>
              <w:spacing w:after="0"/>
              <w:ind w:left="100"/>
              <w:rPr>
                <w:sz w:val="20"/>
                <w:szCs w:val="20"/>
              </w:rPr>
            </w:pPr>
            <w:r>
              <w:rPr>
                <w:sz w:val="20"/>
                <w:szCs w:val="20"/>
              </w:rPr>
              <w:t>3</w:t>
            </w:r>
          </w:p>
        </w:tc>
        <w:tc>
          <w:tcPr>
            <w:tcW w:w="233" w:type="pct"/>
            <w:shd w:val="clear" w:color="auto" w:fill="FFFFFF"/>
            <w:hideMark/>
          </w:tcPr>
          <w:p w14:paraId="3E6E2DF8" w14:textId="77777777" w:rsidR="003836FD" w:rsidRPr="008E6525" w:rsidRDefault="003836FD" w:rsidP="00AC1CD1">
            <w:pPr>
              <w:spacing w:after="0"/>
              <w:ind w:left="100"/>
              <w:rPr>
                <w:sz w:val="20"/>
                <w:szCs w:val="20"/>
              </w:rPr>
            </w:pPr>
            <w:r>
              <w:rPr>
                <w:sz w:val="20"/>
                <w:szCs w:val="20"/>
              </w:rPr>
              <w:t>NR</w:t>
            </w:r>
          </w:p>
        </w:tc>
        <w:tc>
          <w:tcPr>
            <w:tcW w:w="763" w:type="pct"/>
            <w:shd w:val="clear" w:color="auto" w:fill="FFFFFF"/>
            <w:hideMark/>
          </w:tcPr>
          <w:p w14:paraId="23E64BC7" w14:textId="77777777" w:rsidR="003836FD" w:rsidRDefault="003836FD" w:rsidP="00AC1CD1">
            <w:pPr>
              <w:spacing w:after="0"/>
              <w:ind w:left="100"/>
              <w:rPr>
                <w:sz w:val="20"/>
                <w:szCs w:val="20"/>
              </w:rPr>
            </w:pPr>
            <w:r>
              <w:rPr>
                <w:sz w:val="20"/>
                <w:szCs w:val="20"/>
              </w:rPr>
              <w:t>Cases: HLA positive</w:t>
            </w:r>
          </w:p>
          <w:p w14:paraId="54F5CC1C" w14:textId="77777777" w:rsidR="003836FD" w:rsidRPr="008E6525" w:rsidRDefault="003836FD" w:rsidP="00AC1CD1">
            <w:pPr>
              <w:spacing w:after="0"/>
              <w:ind w:left="100"/>
              <w:rPr>
                <w:sz w:val="20"/>
                <w:szCs w:val="20"/>
              </w:rPr>
            </w:pPr>
            <w:r>
              <w:rPr>
                <w:sz w:val="20"/>
                <w:szCs w:val="20"/>
              </w:rPr>
              <w:t>Controls: HLA negative</w:t>
            </w:r>
          </w:p>
        </w:tc>
        <w:tc>
          <w:tcPr>
            <w:tcW w:w="466" w:type="pct"/>
            <w:shd w:val="clear" w:color="auto" w:fill="FFFFFF"/>
            <w:hideMark/>
          </w:tcPr>
          <w:p w14:paraId="74A43E90" w14:textId="77777777" w:rsidR="003836FD" w:rsidRPr="008E6525" w:rsidRDefault="003836FD" w:rsidP="00AC1CD1">
            <w:pPr>
              <w:spacing w:after="0"/>
              <w:ind w:left="100"/>
              <w:rPr>
                <w:sz w:val="20"/>
                <w:szCs w:val="20"/>
              </w:rPr>
            </w:pPr>
            <w:r w:rsidRPr="008E6525">
              <w:rPr>
                <w:sz w:val="20"/>
                <w:szCs w:val="20"/>
              </w:rPr>
              <w:t>Serology and only +ve pts biopsied</w:t>
            </w:r>
          </w:p>
        </w:tc>
        <w:tc>
          <w:tcPr>
            <w:tcW w:w="374" w:type="pct"/>
            <w:shd w:val="clear" w:color="auto" w:fill="FFFFFF"/>
            <w:hideMark/>
          </w:tcPr>
          <w:p w14:paraId="5C0105D5" w14:textId="77777777" w:rsidR="003836FD" w:rsidRPr="008E6525" w:rsidRDefault="003836FD" w:rsidP="00AC1CD1">
            <w:pPr>
              <w:spacing w:after="0"/>
              <w:rPr>
                <w:sz w:val="20"/>
                <w:szCs w:val="20"/>
              </w:rPr>
            </w:pPr>
            <w:r w:rsidRPr="008E6525">
              <w:rPr>
                <w:sz w:val="20"/>
                <w:szCs w:val="20"/>
              </w:rPr>
              <w:t>Community</w:t>
            </w:r>
          </w:p>
        </w:tc>
        <w:tc>
          <w:tcPr>
            <w:tcW w:w="459" w:type="pct"/>
            <w:shd w:val="clear" w:color="auto" w:fill="FFFFFF"/>
            <w:hideMark/>
          </w:tcPr>
          <w:p w14:paraId="2E49AF65" w14:textId="77777777" w:rsidR="003836FD" w:rsidRPr="008E6525" w:rsidRDefault="003836FD" w:rsidP="00AC1CD1">
            <w:pPr>
              <w:spacing w:after="0"/>
              <w:ind w:left="100"/>
              <w:rPr>
                <w:sz w:val="20"/>
                <w:szCs w:val="20"/>
              </w:rPr>
            </w:pPr>
            <w:r w:rsidRPr="008E6525">
              <w:rPr>
                <w:sz w:val="20"/>
                <w:szCs w:val="20"/>
              </w:rPr>
              <w:t>Sweden</w:t>
            </w:r>
          </w:p>
        </w:tc>
        <w:tc>
          <w:tcPr>
            <w:tcW w:w="257" w:type="pct"/>
            <w:shd w:val="clear" w:color="auto" w:fill="FFFFFF"/>
          </w:tcPr>
          <w:p w14:paraId="5BDA8890" w14:textId="77777777" w:rsidR="003836FD" w:rsidRPr="008E6525" w:rsidRDefault="003836FD" w:rsidP="00AC1CD1">
            <w:pPr>
              <w:spacing w:after="0"/>
              <w:ind w:left="100"/>
              <w:rPr>
                <w:sz w:val="20"/>
                <w:szCs w:val="20"/>
              </w:rPr>
            </w:pPr>
            <w:r>
              <w:rPr>
                <w:sz w:val="20"/>
                <w:szCs w:val="20"/>
              </w:rPr>
              <w:t>Low</w:t>
            </w:r>
          </w:p>
        </w:tc>
      </w:tr>
      <w:tr w:rsidR="003836FD" w:rsidRPr="008E6525" w14:paraId="2482104E" w14:textId="77777777" w:rsidTr="00AC1CD1">
        <w:trPr>
          <w:cantSplit/>
          <w:jc w:val="center"/>
        </w:trPr>
        <w:tc>
          <w:tcPr>
            <w:tcW w:w="610" w:type="pct"/>
            <w:shd w:val="clear" w:color="auto" w:fill="FFFFFF"/>
          </w:tcPr>
          <w:p w14:paraId="7F4A2ED2" w14:textId="2DC931E6" w:rsidR="003836FD" w:rsidRPr="008E6525" w:rsidRDefault="003836FD" w:rsidP="00AC1CD1">
            <w:pPr>
              <w:spacing w:after="0"/>
              <w:rPr>
                <w:sz w:val="20"/>
                <w:szCs w:val="20"/>
              </w:rPr>
            </w:pPr>
            <w:r>
              <w:rPr>
                <w:sz w:val="20"/>
                <w:szCs w:val="20"/>
              </w:rPr>
              <w:t>Maki (2003)</w:t>
            </w:r>
            <w:r w:rsidR="00EA1C17">
              <w:rPr>
                <w:sz w:val="20"/>
                <w:szCs w:val="20"/>
              </w:rPr>
              <w:fldChar w:fldCharType="begin">
                <w:fldData xml:space="preserve">PEVuZE5vdGU+PENpdGU+PEF1dGhvcj5NYWtpPC9BdXRob3I+PFllYXI+MjAwMzwvWWVhcj48UmVj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</w:fldData>
              </w:fldChar>
            </w:r>
            <w:r w:rsidR="00735CC0">
              <w:rPr>
                <w:sz w:val="20"/>
                <w:szCs w:val="20"/>
              </w:rPr>
              <w:instrText xml:space="preserve"> ADDIN EN.CITE </w:instrText>
            </w:r>
            <w:r w:rsidR="00735CC0">
              <w:rPr>
                <w:sz w:val="20"/>
                <w:szCs w:val="20"/>
              </w:rPr>
              <w:fldChar w:fldCharType="begin">
                <w:fldData xml:space="preserve">PEVuZE5vdGU+PENpdGU+PEF1dGhvcj5NYWtpPC9BdXRob3I+PFllYXI+MjAwMzwvWWVhcj48UmVj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</w:fldData>
              </w:fldChar>
            </w:r>
            <w:r w:rsidR="00735CC0">
              <w:rPr>
                <w:sz w:val="20"/>
                <w:szCs w:val="20"/>
              </w:rPr>
              <w:instrText xml:space="preserve"> ADDIN EN.CITE.DATA </w:instrText>
            </w:r>
            <w:r w:rsidR="00735CC0">
              <w:rPr>
                <w:sz w:val="20"/>
                <w:szCs w:val="20"/>
              </w:rPr>
            </w:r>
            <w:r w:rsidR="00735CC0">
              <w:rPr>
                <w:sz w:val="20"/>
                <w:szCs w:val="20"/>
              </w:rPr>
              <w:fldChar w:fldCharType="end"/>
            </w:r>
            <w:r w:rsidR="00EA1C17">
              <w:rPr>
                <w:sz w:val="20"/>
                <w:szCs w:val="20"/>
              </w:rPr>
            </w:r>
            <w:r w:rsidR="00EA1C17">
              <w:rPr>
                <w:sz w:val="20"/>
                <w:szCs w:val="20"/>
              </w:rPr>
              <w:fldChar w:fldCharType="separate"/>
            </w:r>
            <w:r w:rsidR="00735CC0" w:rsidRPr="00735CC0">
              <w:rPr>
                <w:noProof/>
                <w:sz w:val="20"/>
                <w:szCs w:val="20"/>
                <w:vertAlign w:val="superscript"/>
              </w:rPr>
              <w:t>181</w:t>
            </w:r>
            <w:r w:rsidR="00EA1C17">
              <w:rPr>
                <w:sz w:val="20"/>
                <w:szCs w:val="20"/>
              </w:rPr>
              <w:fldChar w:fldCharType="end"/>
            </w:r>
          </w:p>
        </w:tc>
        <w:tc>
          <w:tcPr>
            <w:tcW w:w="333" w:type="pct"/>
            <w:shd w:val="clear" w:color="auto" w:fill="FFFFFF"/>
            <w:hideMark/>
          </w:tcPr>
          <w:p w14:paraId="5BF32666" w14:textId="77777777" w:rsidR="003836FD" w:rsidRPr="008E6525" w:rsidRDefault="003836FD" w:rsidP="00AC1CD1">
            <w:pPr>
              <w:spacing w:after="0"/>
              <w:rPr>
                <w:sz w:val="20"/>
                <w:szCs w:val="20"/>
              </w:rPr>
            </w:pPr>
            <w:r w:rsidRPr="008E6525">
              <w:rPr>
                <w:sz w:val="20"/>
                <w:szCs w:val="20"/>
              </w:rPr>
              <w:t>Children</w:t>
            </w:r>
          </w:p>
        </w:tc>
        <w:tc>
          <w:tcPr>
            <w:tcW w:w="327" w:type="pct"/>
            <w:shd w:val="clear" w:color="auto" w:fill="FFFFFF"/>
            <w:hideMark/>
          </w:tcPr>
          <w:p w14:paraId="1A14F77D" w14:textId="77777777" w:rsidR="003836FD" w:rsidRPr="008E6525" w:rsidRDefault="003836FD" w:rsidP="00AC1CD1">
            <w:pPr>
              <w:spacing w:after="0"/>
              <w:ind w:left="100"/>
              <w:rPr>
                <w:sz w:val="20"/>
                <w:szCs w:val="20"/>
              </w:rPr>
            </w:pPr>
            <w:r w:rsidRPr="008E6525">
              <w:rPr>
                <w:sz w:val="20"/>
                <w:szCs w:val="20"/>
              </w:rPr>
              <w:t>Cohort</w:t>
            </w:r>
          </w:p>
        </w:tc>
        <w:tc>
          <w:tcPr>
            <w:tcW w:w="463" w:type="pct"/>
            <w:shd w:val="clear" w:color="auto" w:fill="FFFFFF"/>
            <w:hideMark/>
          </w:tcPr>
          <w:p w14:paraId="3167477C" w14:textId="77777777" w:rsidR="003836FD" w:rsidRPr="008E6525" w:rsidRDefault="003836FD" w:rsidP="00AC1CD1">
            <w:pPr>
              <w:spacing w:after="0"/>
              <w:ind w:left="100"/>
              <w:rPr>
                <w:sz w:val="20"/>
                <w:szCs w:val="20"/>
              </w:rPr>
            </w:pPr>
            <w:r w:rsidRPr="008E6525">
              <w:rPr>
                <w:sz w:val="20"/>
                <w:szCs w:val="20"/>
              </w:rPr>
              <w:t>HLA DQ2, HLA DQ8 or both</w:t>
            </w:r>
          </w:p>
        </w:tc>
        <w:tc>
          <w:tcPr>
            <w:tcW w:w="324" w:type="pct"/>
            <w:shd w:val="clear" w:color="auto" w:fill="FFFFFF"/>
            <w:hideMark/>
          </w:tcPr>
          <w:p w14:paraId="622E280D" w14:textId="77777777" w:rsidR="003836FD" w:rsidRPr="008E6525" w:rsidRDefault="003836FD" w:rsidP="00AC1CD1">
            <w:pPr>
              <w:spacing w:after="0"/>
              <w:ind w:left="100"/>
              <w:rPr>
                <w:sz w:val="20"/>
                <w:szCs w:val="20"/>
              </w:rPr>
            </w:pPr>
            <w:r>
              <w:rPr>
                <w:sz w:val="20"/>
                <w:szCs w:val="20"/>
              </w:rPr>
              <w:t>3654 (</w:t>
            </w:r>
            <w:r w:rsidRPr="008E6525">
              <w:rPr>
                <w:sz w:val="20"/>
                <w:szCs w:val="20"/>
              </w:rPr>
              <w:t>36</w:t>
            </w:r>
            <w:r>
              <w:rPr>
                <w:sz w:val="20"/>
                <w:szCs w:val="20"/>
              </w:rPr>
              <w:t>1</w:t>
            </w:r>
            <w:r w:rsidRPr="008E6525">
              <w:rPr>
                <w:sz w:val="20"/>
                <w:szCs w:val="20"/>
              </w:rPr>
              <w:t>7</w:t>
            </w:r>
            <w:r>
              <w:rPr>
                <w:sz w:val="20"/>
                <w:szCs w:val="20"/>
              </w:rPr>
              <w:t>)</w:t>
            </w:r>
          </w:p>
        </w:tc>
        <w:tc>
          <w:tcPr>
            <w:tcW w:w="390" w:type="pct"/>
            <w:shd w:val="clear" w:color="auto" w:fill="FFFFFF"/>
          </w:tcPr>
          <w:p w14:paraId="1FC369EB" w14:textId="77777777" w:rsidR="003836FD" w:rsidRPr="008E6525" w:rsidRDefault="003836FD" w:rsidP="00AC1CD1">
            <w:pPr>
              <w:spacing w:after="0"/>
              <w:ind w:left="100"/>
              <w:rPr>
                <w:sz w:val="20"/>
                <w:szCs w:val="20"/>
              </w:rPr>
            </w:pPr>
            <w:r>
              <w:rPr>
                <w:sz w:val="20"/>
                <w:szCs w:val="20"/>
              </w:rPr>
              <w:t>Median 12 (7 to 16)</w:t>
            </w:r>
          </w:p>
        </w:tc>
        <w:tc>
          <w:tcPr>
            <w:tcW w:w="233" w:type="pct"/>
            <w:shd w:val="clear" w:color="auto" w:fill="FFFFFF"/>
            <w:hideMark/>
          </w:tcPr>
          <w:p w14:paraId="26C32521" w14:textId="77777777" w:rsidR="003836FD" w:rsidRPr="008E6525" w:rsidRDefault="003836FD" w:rsidP="00AC1CD1">
            <w:pPr>
              <w:spacing w:after="0"/>
              <w:ind w:left="100"/>
              <w:rPr>
                <w:sz w:val="20"/>
                <w:szCs w:val="20"/>
              </w:rPr>
            </w:pPr>
            <w:r>
              <w:rPr>
                <w:sz w:val="20"/>
                <w:szCs w:val="20"/>
              </w:rPr>
              <w:t>NR</w:t>
            </w:r>
          </w:p>
        </w:tc>
        <w:tc>
          <w:tcPr>
            <w:tcW w:w="763" w:type="pct"/>
            <w:shd w:val="clear" w:color="auto" w:fill="FFFFFF"/>
          </w:tcPr>
          <w:p w14:paraId="277424C7" w14:textId="77777777" w:rsidR="003836FD" w:rsidRPr="008E6525" w:rsidRDefault="003836FD" w:rsidP="00AC1CD1">
            <w:pPr>
              <w:spacing w:after="0"/>
              <w:ind w:left="100"/>
              <w:rPr>
                <w:sz w:val="20"/>
                <w:szCs w:val="20"/>
              </w:rPr>
            </w:pPr>
            <w:r>
              <w:rPr>
                <w:sz w:val="20"/>
                <w:szCs w:val="20"/>
              </w:rPr>
              <w:t>NA</w:t>
            </w:r>
          </w:p>
        </w:tc>
        <w:tc>
          <w:tcPr>
            <w:tcW w:w="466" w:type="pct"/>
            <w:shd w:val="clear" w:color="auto" w:fill="FFFFFF"/>
            <w:hideMark/>
          </w:tcPr>
          <w:p w14:paraId="2DB3AC34" w14:textId="77777777" w:rsidR="003836FD" w:rsidRPr="008E6525" w:rsidRDefault="003836FD" w:rsidP="00AC1CD1">
            <w:pPr>
              <w:spacing w:after="0"/>
              <w:ind w:left="100"/>
              <w:rPr>
                <w:sz w:val="20"/>
                <w:szCs w:val="20"/>
              </w:rPr>
            </w:pPr>
            <w:r w:rsidRPr="008E6525">
              <w:rPr>
                <w:sz w:val="20"/>
                <w:szCs w:val="20"/>
              </w:rPr>
              <w:t>Serology and only +ve pts biopsied</w:t>
            </w:r>
          </w:p>
        </w:tc>
        <w:tc>
          <w:tcPr>
            <w:tcW w:w="374" w:type="pct"/>
            <w:shd w:val="clear" w:color="auto" w:fill="FFFFFF"/>
            <w:hideMark/>
          </w:tcPr>
          <w:p w14:paraId="60E20C6C" w14:textId="77777777" w:rsidR="003836FD" w:rsidRPr="008E6525" w:rsidRDefault="003836FD" w:rsidP="00AC1CD1">
            <w:pPr>
              <w:spacing w:after="0"/>
              <w:rPr>
                <w:sz w:val="20"/>
                <w:szCs w:val="20"/>
              </w:rPr>
            </w:pPr>
            <w:r w:rsidRPr="008E6525">
              <w:rPr>
                <w:sz w:val="20"/>
                <w:szCs w:val="20"/>
              </w:rPr>
              <w:t>Community</w:t>
            </w:r>
          </w:p>
        </w:tc>
        <w:tc>
          <w:tcPr>
            <w:tcW w:w="459" w:type="pct"/>
            <w:shd w:val="clear" w:color="auto" w:fill="FFFFFF"/>
            <w:hideMark/>
          </w:tcPr>
          <w:p w14:paraId="5B037AA7" w14:textId="77777777" w:rsidR="003836FD" w:rsidRPr="008E6525" w:rsidRDefault="003836FD" w:rsidP="00AC1CD1">
            <w:pPr>
              <w:spacing w:after="0"/>
              <w:ind w:left="100"/>
              <w:rPr>
                <w:sz w:val="20"/>
                <w:szCs w:val="20"/>
              </w:rPr>
            </w:pPr>
            <w:r w:rsidRPr="008E6525">
              <w:rPr>
                <w:sz w:val="20"/>
                <w:szCs w:val="20"/>
              </w:rPr>
              <w:t>Finland</w:t>
            </w:r>
          </w:p>
        </w:tc>
        <w:tc>
          <w:tcPr>
            <w:tcW w:w="257" w:type="pct"/>
            <w:shd w:val="clear" w:color="auto" w:fill="FFFFFF"/>
          </w:tcPr>
          <w:p w14:paraId="2F853654" w14:textId="77777777" w:rsidR="003836FD" w:rsidRPr="008E6525" w:rsidRDefault="003836FD" w:rsidP="00AC1CD1">
            <w:pPr>
              <w:spacing w:after="0"/>
              <w:ind w:left="100"/>
              <w:rPr>
                <w:sz w:val="20"/>
                <w:szCs w:val="20"/>
              </w:rPr>
            </w:pPr>
            <w:r>
              <w:rPr>
                <w:sz w:val="20"/>
                <w:szCs w:val="20"/>
              </w:rPr>
              <w:t>Low</w:t>
            </w:r>
          </w:p>
        </w:tc>
      </w:tr>
      <w:tr w:rsidR="003836FD" w:rsidRPr="008E6525" w14:paraId="69B531A8" w14:textId="77777777" w:rsidTr="00AC1CD1">
        <w:trPr>
          <w:cantSplit/>
          <w:jc w:val="center"/>
        </w:trPr>
        <w:tc>
          <w:tcPr>
            <w:tcW w:w="610" w:type="pct"/>
            <w:shd w:val="clear" w:color="auto" w:fill="FFFFFF"/>
          </w:tcPr>
          <w:p w14:paraId="2CB8475F" w14:textId="51034672" w:rsidR="003836FD" w:rsidRPr="008E6525" w:rsidRDefault="003836FD" w:rsidP="00AC1CD1">
            <w:pPr>
              <w:spacing w:after="0"/>
              <w:rPr>
                <w:sz w:val="20"/>
                <w:szCs w:val="20"/>
              </w:rPr>
            </w:pPr>
            <w:r>
              <w:rPr>
                <w:sz w:val="20"/>
                <w:szCs w:val="20"/>
              </w:rPr>
              <w:t>Sandstrom (2013</w:t>
            </w:r>
            <w:r w:rsidR="00CD071B">
              <w:rPr>
                <w:sz w:val="20"/>
                <w:szCs w:val="20"/>
              </w:rPr>
              <w:t>)</w:t>
            </w:r>
            <w:r w:rsidR="00EA1C17">
              <w:rPr>
                <w:sz w:val="20"/>
                <w:szCs w:val="20"/>
              </w:rPr>
              <w:fldChar w:fldCharType="begin">
                <w:fldData xml:space="preserve">PEVuZE5vdGU+PENpdGU+PEF1dGhvcj5TYW5kc3Ryb208L0F1dGhvcj48WWVhcj4yMDEzPC9ZZWFy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</w:fldData>
              </w:fldChar>
            </w:r>
            <w:r w:rsidR="00735CC0">
              <w:rPr>
                <w:sz w:val="20"/>
                <w:szCs w:val="20"/>
              </w:rPr>
              <w:instrText xml:space="preserve"> ADDIN EN.CITE </w:instrText>
            </w:r>
            <w:r w:rsidR="00735CC0">
              <w:rPr>
                <w:sz w:val="20"/>
                <w:szCs w:val="20"/>
              </w:rPr>
              <w:fldChar w:fldCharType="begin">
                <w:fldData xml:space="preserve">PEVuZE5vdGU+PENpdGU+PEF1dGhvcj5TYW5kc3Ryb208L0F1dGhvcj48WWVhcj4yMDEzPC9ZZWFy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</w:fldData>
              </w:fldChar>
            </w:r>
            <w:r w:rsidR="00735CC0">
              <w:rPr>
                <w:sz w:val="20"/>
                <w:szCs w:val="20"/>
              </w:rPr>
              <w:instrText xml:space="preserve"> ADDIN EN.CITE.DATA </w:instrText>
            </w:r>
            <w:r w:rsidR="00735CC0">
              <w:rPr>
                <w:sz w:val="20"/>
                <w:szCs w:val="20"/>
              </w:rPr>
            </w:r>
            <w:r w:rsidR="00735CC0">
              <w:rPr>
                <w:sz w:val="20"/>
                <w:szCs w:val="20"/>
              </w:rPr>
              <w:fldChar w:fldCharType="end"/>
            </w:r>
            <w:r w:rsidR="00EA1C17">
              <w:rPr>
                <w:sz w:val="20"/>
                <w:szCs w:val="20"/>
              </w:rPr>
            </w:r>
            <w:r w:rsidR="00EA1C17">
              <w:rPr>
                <w:sz w:val="20"/>
                <w:szCs w:val="20"/>
              </w:rPr>
              <w:fldChar w:fldCharType="separate"/>
            </w:r>
            <w:r w:rsidR="00735CC0" w:rsidRPr="00735CC0">
              <w:rPr>
                <w:noProof/>
                <w:sz w:val="20"/>
                <w:szCs w:val="20"/>
                <w:vertAlign w:val="superscript"/>
              </w:rPr>
              <w:t>182</w:t>
            </w:r>
            <w:r w:rsidR="00EA1C17">
              <w:rPr>
                <w:sz w:val="20"/>
                <w:szCs w:val="20"/>
              </w:rPr>
              <w:fldChar w:fldCharType="end"/>
            </w:r>
          </w:p>
        </w:tc>
        <w:tc>
          <w:tcPr>
            <w:tcW w:w="333" w:type="pct"/>
            <w:shd w:val="clear" w:color="auto" w:fill="FFFFFF"/>
            <w:hideMark/>
          </w:tcPr>
          <w:p w14:paraId="3496C27B" w14:textId="77777777" w:rsidR="003836FD" w:rsidRPr="008E6525" w:rsidRDefault="003836FD" w:rsidP="00AC1CD1">
            <w:pPr>
              <w:spacing w:after="0"/>
              <w:rPr>
                <w:sz w:val="20"/>
                <w:szCs w:val="20"/>
              </w:rPr>
            </w:pPr>
            <w:r w:rsidRPr="008E6525">
              <w:rPr>
                <w:sz w:val="20"/>
                <w:szCs w:val="20"/>
              </w:rPr>
              <w:t>Children</w:t>
            </w:r>
          </w:p>
        </w:tc>
        <w:tc>
          <w:tcPr>
            <w:tcW w:w="327" w:type="pct"/>
            <w:shd w:val="clear" w:color="auto" w:fill="FFFFFF"/>
            <w:hideMark/>
          </w:tcPr>
          <w:p w14:paraId="16AFC0A7" w14:textId="77777777" w:rsidR="003836FD" w:rsidRPr="008E6525" w:rsidRDefault="003836FD" w:rsidP="00AC1CD1">
            <w:pPr>
              <w:spacing w:after="0"/>
              <w:ind w:left="100"/>
              <w:rPr>
                <w:sz w:val="20"/>
                <w:szCs w:val="20"/>
              </w:rPr>
            </w:pPr>
            <w:r>
              <w:rPr>
                <w:sz w:val="20"/>
                <w:szCs w:val="20"/>
              </w:rPr>
              <w:t>Nested C</w:t>
            </w:r>
            <w:r w:rsidRPr="008E6525">
              <w:rPr>
                <w:sz w:val="20"/>
                <w:szCs w:val="20"/>
              </w:rPr>
              <w:t xml:space="preserve">ase-control </w:t>
            </w:r>
          </w:p>
        </w:tc>
        <w:tc>
          <w:tcPr>
            <w:tcW w:w="463" w:type="pct"/>
            <w:shd w:val="clear" w:color="auto" w:fill="FFFFFF"/>
            <w:hideMark/>
          </w:tcPr>
          <w:p w14:paraId="6F7E8395" w14:textId="77777777" w:rsidR="003836FD" w:rsidRPr="008E6525" w:rsidRDefault="003836FD" w:rsidP="00AC1CD1">
            <w:pPr>
              <w:spacing w:after="0"/>
              <w:ind w:left="100"/>
              <w:rPr>
                <w:sz w:val="20"/>
                <w:szCs w:val="20"/>
              </w:rPr>
            </w:pPr>
            <w:r w:rsidRPr="008E6525">
              <w:rPr>
                <w:sz w:val="20"/>
                <w:szCs w:val="20"/>
              </w:rPr>
              <w:t>HLA DQ2, HLA DQ8 or both</w:t>
            </w:r>
          </w:p>
        </w:tc>
        <w:tc>
          <w:tcPr>
            <w:tcW w:w="324" w:type="pct"/>
            <w:shd w:val="clear" w:color="auto" w:fill="FFFFFF"/>
            <w:hideMark/>
          </w:tcPr>
          <w:p w14:paraId="638ADED1" w14:textId="77777777" w:rsidR="003836FD" w:rsidRPr="008E6525" w:rsidRDefault="003836FD" w:rsidP="00AC1CD1">
            <w:pPr>
              <w:spacing w:after="0"/>
              <w:ind w:left="100"/>
              <w:rPr>
                <w:sz w:val="20"/>
                <w:szCs w:val="20"/>
              </w:rPr>
            </w:pPr>
            <w:r w:rsidRPr="008E6525">
              <w:rPr>
                <w:sz w:val="20"/>
                <w:szCs w:val="20"/>
              </w:rPr>
              <w:t>1320</w:t>
            </w:r>
          </w:p>
        </w:tc>
        <w:tc>
          <w:tcPr>
            <w:tcW w:w="390" w:type="pct"/>
            <w:shd w:val="clear" w:color="auto" w:fill="FFFFFF"/>
          </w:tcPr>
          <w:p w14:paraId="6192E325" w14:textId="77777777" w:rsidR="003836FD" w:rsidRPr="008E6525" w:rsidRDefault="003836FD" w:rsidP="00AC1CD1">
            <w:pPr>
              <w:spacing w:after="0"/>
              <w:ind w:left="100"/>
              <w:rPr>
                <w:sz w:val="20"/>
                <w:szCs w:val="20"/>
              </w:rPr>
            </w:pPr>
            <w:r>
              <w:rPr>
                <w:sz w:val="20"/>
                <w:szCs w:val="20"/>
              </w:rPr>
              <w:t>12 years</w:t>
            </w:r>
          </w:p>
        </w:tc>
        <w:tc>
          <w:tcPr>
            <w:tcW w:w="233" w:type="pct"/>
            <w:shd w:val="clear" w:color="auto" w:fill="FFFFFF"/>
            <w:hideMark/>
          </w:tcPr>
          <w:p w14:paraId="5B20FFDF" w14:textId="77777777" w:rsidR="003836FD" w:rsidRPr="008E6525" w:rsidRDefault="003836FD" w:rsidP="00AC1CD1">
            <w:pPr>
              <w:spacing w:after="0"/>
              <w:ind w:left="100"/>
              <w:rPr>
                <w:sz w:val="20"/>
                <w:szCs w:val="20"/>
              </w:rPr>
            </w:pPr>
            <w:r>
              <w:rPr>
                <w:sz w:val="20"/>
                <w:szCs w:val="20"/>
              </w:rPr>
              <w:t>52</w:t>
            </w:r>
          </w:p>
        </w:tc>
        <w:tc>
          <w:tcPr>
            <w:tcW w:w="763" w:type="pct"/>
            <w:shd w:val="clear" w:color="auto" w:fill="FFFFFF"/>
            <w:hideMark/>
          </w:tcPr>
          <w:p w14:paraId="1C04EA67" w14:textId="77777777" w:rsidR="003836FD" w:rsidRDefault="003836FD" w:rsidP="00AC1CD1">
            <w:pPr>
              <w:spacing w:after="0"/>
              <w:ind w:left="100"/>
              <w:rPr>
                <w:sz w:val="20"/>
                <w:szCs w:val="20"/>
              </w:rPr>
            </w:pPr>
            <w:r>
              <w:rPr>
                <w:sz w:val="20"/>
                <w:szCs w:val="20"/>
              </w:rPr>
              <w:t>Cases: Serology +ve, referred for biopsy</w:t>
            </w:r>
          </w:p>
          <w:p w14:paraId="03A12379" w14:textId="77777777" w:rsidR="003836FD" w:rsidRPr="008E6525" w:rsidRDefault="003836FD" w:rsidP="00AC1CD1">
            <w:pPr>
              <w:spacing w:after="0"/>
              <w:ind w:left="100"/>
              <w:rPr>
                <w:sz w:val="20"/>
                <w:szCs w:val="20"/>
              </w:rPr>
            </w:pPr>
            <w:r>
              <w:rPr>
                <w:sz w:val="20"/>
                <w:szCs w:val="20"/>
              </w:rPr>
              <w:t>Controls: Serology -ve</w:t>
            </w:r>
          </w:p>
        </w:tc>
        <w:tc>
          <w:tcPr>
            <w:tcW w:w="466" w:type="pct"/>
            <w:shd w:val="clear" w:color="auto" w:fill="FFFFFF"/>
            <w:hideMark/>
          </w:tcPr>
          <w:p w14:paraId="57DA9952" w14:textId="77777777" w:rsidR="003836FD" w:rsidRPr="008E6525" w:rsidRDefault="003836FD" w:rsidP="00AC1CD1">
            <w:pPr>
              <w:spacing w:after="0"/>
              <w:ind w:left="100"/>
              <w:rPr>
                <w:sz w:val="20"/>
                <w:szCs w:val="20"/>
              </w:rPr>
            </w:pPr>
            <w:r w:rsidRPr="008E6525">
              <w:rPr>
                <w:sz w:val="20"/>
                <w:szCs w:val="20"/>
              </w:rPr>
              <w:t>Serology and only +ve pts biopsied</w:t>
            </w:r>
          </w:p>
        </w:tc>
        <w:tc>
          <w:tcPr>
            <w:tcW w:w="374" w:type="pct"/>
            <w:shd w:val="clear" w:color="auto" w:fill="FFFFFF"/>
            <w:hideMark/>
          </w:tcPr>
          <w:p w14:paraId="7838B9C0" w14:textId="77777777" w:rsidR="003836FD" w:rsidRPr="008E6525" w:rsidRDefault="003836FD" w:rsidP="00AC1CD1">
            <w:pPr>
              <w:spacing w:after="0"/>
              <w:rPr>
                <w:sz w:val="20"/>
                <w:szCs w:val="20"/>
              </w:rPr>
            </w:pPr>
            <w:r>
              <w:rPr>
                <w:sz w:val="20"/>
                <w:szCs w:val="20"/>
              </w:rPr>
              <w:t>Community</w:t>
            </w:r>
          </w:p>
        </w:tc>
        <w:tc>
          <w:tcPr>
            <w:tcW w:w="459" w:type="pct"/>
            <w:shd w:val="clear" w:color="auto" w:fill="FFFFFF"/>
            <w:hideMark/>
          </w:tcPr>
          <w:p w14:paraId="333AE839" w14:textId="77777777" w:rsidR="003836FD" w:rsidRPr="008E6525" w:rsidRDefault="003836FD" w:rsidP="00AC1CD1">
            <w:pPr>
              <w:spacing w:after="0"/>
              <w:ind w:left="100"/>
              <w:rPr>
                <w:sz w:val="20"/>
                <w:szCs w:val="20"/>
              </w:rPr>
            </w:pPr>
            <w:r w:rsidRPr="008E6525">
              <w:rPr>
                <w:sz w:val="20"/>
                <w:szCs w:val="20"/>
              </w:rPr>
              <w:t>Sweden</w:t>
            </w:r>
          </w:p>
        </w:tc>
        <w:tc>
          <w:tcPr>
            <w:tcW w:w="257" w:type="pct"/>
            <w:shd w:val="clear" w:color="auto" w:fill="FFFFFF"/>
          </w:tcPr>
          <w:p w14:paraId="75EB94B7" w14:textId="77777777" w:rsidR="003836FD" w:rsidRPr="008E6525" w:rsidRDefault="003836FD" w:rsidP="00AC1CD1">
            <w:pPr>
              <w:spacing w:after="0"/>
              <w:ind w:left="100"/>
              <w:rPr>
                <w:sz w:val="20"/>
                <w:szCs w:val="20"/>
              </w:rPr>
            </w:pPr>
            <w:r>
              <w:rPr>
                <w:sz w:val="20"/>
                <w:szCs w:val="20"/>
              </w:rPr>
              <w:t>Low</w:t>
            </w:r>
          </w:p>
        </w:tc>
      </w:tr>
      <w:tr w:rsidR="003836FD" w:rsidRPr="008E6525" w14:paraId="0A8926F0" w14:textId="77777777" w:rsidTr="00AC1CD1">
        <w:trPr>
          <w:cantSplit/>
          <w:jc w:val="center"/>
        </w:trPr>
        <w:tc>
          <w:tcPr>
            <w:tcW w:w="610" w:type="pct"/>
            <w:shd w:val="clear" w:color="auto" w:fill="FFFFFF" w:themeFill="background1"/>
          </w:tcPr>
          <w:p w14:paraId="673ED990" w14:textId="35BCCAC6" w:rsidR="003836FD" w:rsidRPr="008E6525" w:rsidRDefault="003836FD" w:rsidP="00AC1CD1">
            <w:pPr>
              <w:spacing w:after="0"/>
              <w:rPr>
                <w:sz w:val="20"/>
                <w:szCs w:val="20"/>
              </w:rPr>
            </w:pPr>
            <w:r>
              <w:rPr>
                <w:sz w:val="20"/>
                <w:szCs w:val="20"/>
              </w:rPr>
              <w:t>Wahab (2019)</w:t>
            </w:r>
            <w:r w:rsidR="00EA1C17">
              <w:rPr>
                <w:sz w:val="20"/>
                <w:szCs w:val="20"/>
              </w:rPr>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rPr>
                <w:sz w:val="20"/>
                <w:szCs w:val="20"/>
              </w:rPr>
              <w:instrText xml:space="preserve"> ADDIN EN.CITE </w:instrText>
            </w:r>
            <w:r w:rsidR="00735CC0">
              <w:rPr>
                <w:sz w:val="20"/>
                <w:szCs w:val="20"/>
              </w:rPr>
              <w:fldChar w:fldCharType="begin">
                <w:fldData xml:space="preserve">PEVuZE5vdGU+PENpdGU+PEF1dGhvcj5XYWhhYjwvQXV0aG9yPjxZZWFyPjIwMTk8L1llYXI+PFJl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</w:fldData>
              </w:fldChar>
            </w:r>
            <w:r w:rsidR="00735CC0">
              <w:rPr>
                <w:sz w:val="20"/>
                <w:szCs w:val="20"/>
              </w:rPr>
              <w:instrText xml:space="preserve"> ADDIN EN.CITE.DATA </w:instrText>
            </w:r>
            <w:r w:rsidR="00735CC0">
              <w:rPr>
                <w:sz w:val="20"/>
                <w:szCs w:val="20"/>
              </w:rPr>
            </w:r>
            <w:r w:rsidR="00735CC0">
              <w:rPr>
                <w:sz w:val="20"/>
                <w:szCs w:val="20"/>
              </w:rPr>
              <w:fldChar w:fldCharType="end"/>
            </w:r>
            <w:r w:rsidR="00EA1C17">
              <w:rPr>
                <w:sz w:val="20"/>
                <w:szCs w:val="20"/>
              </w:rPr>
            </w:r>
            <w:r w:rsidR="00EA1C17">
              <w:rPr>
                <w:sz w:val="20"/>
                <w:szCs w:val="20"/>
              </w:rPr>
              <w:fldChar w:fldCharType="separate"/>
            </w:r>
            <w:r w:rsidR="00735CC0" w:rsidRPr="00735CC0">
              <w:rPr>
                <w:noProof/>
                <w:sz w:val="20"/>
                <w:szCs w:val="20"/>
                <w:vertAlign w:val="superscript"/>
              </w:rPr>
              <w:t>183</w:t>
            </w:r>
            <w:r w:rsidR="00EA1C17">
              <w:rPr>
                <w:sz w:val="20"/>
                <w:szCs w:val="20"/>
              </w:rPr>
              <w:fldChar w:fldCharType="end"/>
            </w:r>
          </w:p>
        </w:tc>
        <w:tc>
          <w:tcPr>
            <w:tcW w:w="333" w:type="pct"/>
            <w:shd w:val="clear" w:color="auto" w:fill="FFFFFF" w:themeFill="background1"/>
            <w:hideMark/>
          </w:tcPr>
          <w:p w14:paraId="712D59DA" w14:textId="77777777" w:rsidR="003836FD" w:rsidRPr="008E6525" w:rsidRDefault="003836FD" w:rsidP="00AC1CD1">
            <w:pPr>
              <w:spacing w:after="0"/>
              <w:rPr>
                <w:sz w:val="20"/>
                <w:szCs w:val="20"/>
              </w:rPr>
            </w:pPr>
            <w:r w:rsidRPr="008E6525">
              <w:rPr>
                <w:sz w:val="20"/>
                <w:szCs w:val="20"/>
              </w:rPr>
              <w:t>Children</w:t>
            </w:r>
          </w:p>
        </w:tc>
        <w:tc>
          <w:tcPr>
            <w:tcW w:w="327" w:type="pct"/>
            <w:shd w:val="clear" w:color="auto" w:fill="FFFFFF" w:themeFill="background1"/>
            <w:hideMark/>
          </w:tcPr>
          <w:p w14:paraId="73DCF9A7" w14:textId="77777777" w:rsidR="003836FD" w:rsidRPr="008E6525" w:rsidRDefault="003836FD" w:rsidP="00AC1CD1">
            <w:pPr>
              <w:spacing w:after="0"/>
              <w:ind w:left="100"/>
              <w:rPr>
                <w:sz w:val="20"/>
                <w:szCs w:val="20"/>
              </w:rPr>
            </w:pPr>
            <w:r w:rsidRPr="008E6525">
              <w:rPr>
                <w:sz w:val="20"/>
                <w:szCs w:val="20"/>
              </w:rPr>
              <w:t>Cohort</w:t>
            </w:r>
          </w:p>
        </w:tc>
        <w:tc>
          <w:tcPr>
            <w:tcW w:w="463" w:type="pct"/>
            <w:shd w:val="clear" w:color="auto" w:fill="FFFFFF" w:themeFill="background1"/>
            <w:hideMark/>
          </w:tcPr>
          <w:p w14:paraId="7F626670" w14:textId="77777777" w:rsidR="003836FD" w:rsidRPr="008E6525" w:rsidRDefault="003836FD" w:rsidP="00AC1CD1">
            <w:pPr>
              <w:spacing w:after="0"/>
              <w:ind w:left="100"/>
              <w:rPr>
                <w:sz w:val="20"/>
                <w:szCs w:val="20"/>
              </w:rPr>
            </w:pPr>
            <w:r w:rsidRPr="008E6525">
              <w:rPr>
                <w:sz w:val="20"/>
                <w:szCs w:val="20"/>
              </w:rPr>
              <w:t>HLA DQ2, HLA DQ8 or both</w:t>
            </w:r>
          </w:p>
        </w:tc>
        <w:tc>
          <w:tcPr>
            <w:tcW w:w="324" w:type="pct"/>
            <w:shd w:val="clear" w:color="auto" w:fill="FFFFFF" w:themeFill="background1"/>
            <w:hideMark/>
          </w:tcPr>
          <w:p w14:paraId="7D00D0BE" w14:textId="77777777" w:rsidR="003836FD" w:rsidRPr="008E6525" w:rsidRDefault="003836FD" w:rsidP="00AC1CD1">
            <w:pPr>
              <w:spacing w:after="0"/>
              <w:ind w:left="100"/>
              <w:rPr>
                <w:sz w:val="20"/>
                <w:szCs w:val="20"/>
              </w:rPr>
            </w:pPr>
            <w:r>
              <w:rPr>
                <w:sz w:val="20"/>
                <w:szCs w:val="20"/>
              </w:rPr>
              <w:t>4442 (</w:t>
            </w:r>
            <w:r w:rsidRPr="008E6525">
              <w:rPr>
                <w:sz w:val="20"/>
                <w:szCs w:val="20"/>
              </w:rPr>
              <w:t>3715</w:t>
            </w:r>
            <w:r>
              <w:rPr>
                <w:sz w:val="20"/>
                <w:szCs w:val="20"/>
              </w:rPr>
              <w:t>)</w:t>
            </w:r>
          </w:p>
        </w:tc>
        <w:tc>
          <w:tcPr>
            <w:tcW w:w="390" w:type="pct"/>
            <w:shd w:val="clear" w:color="auto" w:fill="FFFFFF" w:themeFill="background1"/>
          </w:tcPr>
          <w:p w14:paraId="2355052F" w14:textId="77777777" w:rsidR="003836FD" w:rsidRPr="008E6525" w:rsidRDefault="003836FD" w:rsidP="00AC1CD1">
            <w:pPr>
              <w:spacing w:after="0"/>
              <w:ind w:left="100"/>
              <w:rPr>
                <w:sz w:val="20"/>
                <w:szCs w:val="20"/>
              </w:rPr>
            </w:pPr>
            <w:r>
              <w:rPr>
                <w:sz w:val="20"/>
                <w:szCs w:val="20"/>
              </w:rPr>
              <w:t>Median 6 (range 5 to 9)</w:t>
            </w:r>
          </w:p>
        </w:tc>
        <w:tc>
          <w:tcPr>
            <w:tcW w:w="233" w:type="pct"/>
            <w:shd w:val="clear" w:color="auto" w:fill="FFFFFF" w:themeFill="background1"/>
            <w:hideMark/>
          </w:tcPr>
          <w:p w14:paraId="0FB48ECE" w14:textId="77777777" w:rsidR="003836FD" w:rsidRPr="008E6525" w:rsidRDefault="003836FD" w:rsidP="00AC1CD1">
            <w:pPr>
              <w:spacing w:after="0"/>
              <w:ind w:left="100"/>
              <w:rPr>
                <w:sz w:val="20"/>
                <w:szCs w:val="20"/>
              </w:rPr>
            </w:pPr>
            <w:r>
              <w:rPr>
                <w:sz w:val="20"/>
                <w:szCs w:val="20"/>
              </w:rPr>
              <w:t>48</w:t>
            </w:r>
          </w:p>
        </w:tc>
        <w:tc>
          <w:tcPr>
            <w:tcW w:w="763" w:type="pct"/>
            <w:shd w:val="clear" w:color="auto" w:fill="FFFFFF" w:themeFill="background1"/>
          </w:tcPr>
          <w:p w14:paraId="1CD72731" w14:textId="77777777" w:rsidR="003836FD" w:rsidRPr="008E6525" w:rsidRDefault="003836FD" w:rsidP="00AC1CD1">
            <w:pPr>
              <w:spacing w:after="0"/>
              <w:ind w:left="100"/>
              <w:rPr>
                <w:sz w:val="20"/>
                <w:szCs w:val="20"/>
              </w:rPr>
            </w:pPr>
            <w:r>
              <w:rPr>
                <w:sz w:val="20"/>
                <w:szCs w:val="20"/>
              </w:rPr>
              <w:t>NA</w:t>
            </w:r>
          </w:p>
        </w:tc>
        <w:tc>
          <w:tcPr>
            <w:tcW w:w="466" w:type="pct"/>
            <w:shd w:val="clear" w:color="auto" w:fill="FFFFFF" w:themeFill="background1"/>
            <w:hideMark/>
          </w:tcPr>
          <w:p w14:paraId="050738AE" w14:textId="77777777" w:rsidR="003836FD" w:rsidRPr="008E6525" w:rsidRDefault="003836FD" w:rsidP="00AC1CD1">
            <w:pPr>
              <w:spacing w:after="0"/>
              <w:ind w:left="100"/>
              <w:rPr>
                <w:sz w:val="20"/>
                <w:szCs w:val="20"/>
              </w:rPr>
            </w:pPr>
            <w:r w:rsidRPr="008E6525">
              <w:rPr>
                <w:sz w:val="20"/>
                <w:szCs w:val="20"/>
              </w:rPr>
              <w:t>tTG positive</w:t>
            </w:r>
          </w:p>
        </w:tc>
        <w:tc>
          <w:tcPr>
            <w:tcW w:w="374" w:type="pct"/>
            <w:shd w:val="clear" w:color="auto" w:fill="FFFFFF" w:themeFill="background1"/>
            <w:hideMark/>
          </w:tcPr>
          <w:p w14:paraId="01160F55" w14:textId="77777777" w:rsidR="003836FD" w:rsidRPr="008E6525" w:rsidRDefault="003836FD" w:rsidP="00AC1CD1">
            <w:pPr>
              <w:spacing w:after="0"/>
              <w:rPr>
                <w:sz w:val="20"/>
                <w:szCs w:val="20"/>
              </w:rPr>
            </w:pPr>
            <w:r w:rsidRPr="008E6525">
              <w:rPr>
                <w:sz w:val="20"/>
                <w:szCs w:val="20"/>
              </w:rPr>
              <w:t>Community</w:t>
            </w:r>
          </w:p>
        </w:tc>
        <w:tc>
          <w:tcPr>
            <w:tcW w:w="459" w:type="pct"/>
            <w:shd w:val="clear" w:color="auto" w:fill="FFFFFF" w:themeFill="background1"/>
            <w:hideMark/>
          </w:tcPr>
          <w:p w14:paraId="4656D21F" w14:textId="77777777" w:rsidR="003836FD" w:rsidRPr="008E6525" w:rsidRDefault="003836FD" w:rsidP="00AC1CD1">
            <w:pPr>
              <w:spacing w:after="0"/>
              <w:ind w:left="100"/>
              <w:rPr>
                <w:sz w:val="20"/>
                <w:szCs w:val="20"/>
              </w:rPr>
            </w:pPr>
            <w:r w:rsidRPr="008E6525">
              <w:rPr>
                <w:sz w:val="20"/>
                <w:szCs w:val="20"/>
              </w:rPr>
              <w:t>Netherlands</w:t>
            </w:r>
          </w:p>
        </w:tc>
        <w:tc>
          <w:tcPr>
            <w:tcW w:w="257" w:type="pct"/>
            <w:shd w:val="clear" w:color="auto" w:fill="FFFFFF" w:themeFill="background1"/>
          </w:tcPr>
          <w:p w14:paraId="0BC7C97B" w14:textId="77777777" w:rsidR="003836FD" w:rsidRPr="008E6525" w:rsidRDefault="003836FD" w:rsidP="00AC1CD1">
            <w:pPr>
              <w:spacing w:after="0"/>
              <w:ind w:left="100"/>
              <w:rPr>
                <w:sz w:val="20"/>
                <w:szCs w:val="20"/>
              </w:rPr>
            </w:pPr>
            <w:r>
              <w:rPr>
                <w:sz w:val="20"/>
                <w:szCs w:val="20"/>
              </w:rPr>
              <w:t>High</w:t>
            </w:r>
          </w:p>
        </w:tc>
      </w:tr>
    </w:tbl>
    <w:p w14:paraId="4AA781F4" w14:textId="77777777" w:rsidR="003836FD" w:rsidRDefault="003836FD" w:rsidP="003836FD"/>
    <w:p w14:paraId="36E8A87B" w14:textId="77777777" w:rsidR="00DD6A02" w:rsidRDefault="00DD6A02" w:rsidP="00553A5F">
      <w:pPr>
        <w:rPr>
          <w:rFonts w:ascii="Arial" w:hAnsi="Arial" w:cs="Arial"/>
          <w:color w:val="000000"/>
          <w:sz w:val="20"/>
          <w:szCs w:val="20"/>
        </w:rPr>
        <w:sectPr w:rsidR="00DD6A02" w:rsidSect="003836FD">
          <w:pgSz w:w="16838" w:h="11906" w:orient="landscape"/>
          <w:pgMar w:top="1440" w:right="1440" w:bottom="1440" w:left="1440" w:header="708" w:footer="708" w:gutter="0"/>
          <w:cols w:space="708"/>
          <w:docGrid w:linePitch="360"/>
        </w:sectPr>
      </w:pPr>
    </w:p>
    <w:p w14:paraId="3677ADE1" w14:textId="5A85B7C2" w:rsidR="002C56DC" w:rsidRPr="00734942" w:rsidRDefault="002C56DC" w:rsidP="006E7A8E">
      <w:pPr>
        <w:pStyle w:val="Heading1"/>
      </w:pPr>
      <w:bookmarkStart w:id="210" w:name="_Toc99539882"/>
      <w:r w:rsidRPr="00734942">
        <w:lastRenderedPageBreak/>
        <w:t>Ch</w:t>
      </w:r>
      <w:r w:rsidR="00354826" w:rsidRPr="00734942">
        <w:t xml:space="preserve">apter </w:t>
      </w:r>
      <w:r w:rsidR="001E4000" w:rsidRPr="00734942">
        <w:t>7</w:t>
      </w:r>
      <w:r w:rsidRPr="00734942">
        <w:t>: Establishing diagnostic thresholds</w:t>
      </w:r>
      <w:bookmarkEnd w:id="210"/>
    </w:p>
    <w:p w14:paraId="61AA44D1" w14:textId="5AA0FCEE" w:rsidR="00C23816" w:rsidRPr="00734942" w:rsidRDefault="00C23816" w:rsidP="00C23816">
      <w:r w:rsidRPr="00734942">
        <w:t xml:space="preserve">This chapter describes the collaborative work with patients and the public through focus groups and an online survey to investigate how confident people want to be in their diagnosis before starting a </w:t>
      </w:r>
      <w:r w:rsidR="00345E39">
        <w:t>gluten-free diet</w:t>
      </w:r>
      <w:r w:rsidR="00610962" w:rsidRPr="00734942">
        <w:t xml:space="preserve"> </w:t>
      </w:r>
      <w:r w:rsidRPr="00734942">
        <w:t xml:space="preserve">or </w:t>
      </w:r>
      <w:r w:rsidR="00565FC6">
        <w:t>undergoing</w:t>
      </w:r>
      <w:r w:rsidR="00565FC6" w:rsidRPr="00734942">
        <w:t xml:space="preserve"> </w:t>
      </w:r>
      <w:r w:rsidRPr="00734942">
        <w:t xml:space="preserve">a biopsy. </w:t>
      </w:r>
    </w:p>
    <w:p w14:paraId="5C1EF378" w14:textId="77777777" w:rsidR="00C23816" w:rsidRPr="00734942" w:rsidRDefault="00C23816" w:rsidP="00C23816">
      <w:r w:rsidRPr="00734942">
        <w:t>The aims of the survey were:</w:t>
      </w:r>
    </w:p>
    <w:p w14:paraId="2A6F31DD" w14:textId="2BA86393" w:rsidR="00C23816" w:rsidRPr="00734942" w:rsidRDefault="0083251A" w:rsidP="004E1708">
      <w:pPr>
        <w:pStyle w:val="ListParagraph"/>
        <w:numPr>
          <w:ilvl w:val="0"/>
          <w:numId w:val="15"/>
        </w:numPr>
      </w:pPr>
      <w:r>
        <w:t>T</w:t>
      </w:r>
      <w:r w:rsidRPr="00734942">
        <w:t xml:space="preserve">o </w:t>
      </w:r>
      <w:r w:rsidR="00C23816" w:rsidRPr="00734942">
        <w:t xml:space="preserve">estimate at what level of diagnostic certainty people are willing to start a </w:t>
      </w:r>
      <w:r w:rsidR="00345E39">
        <w:t>gluten-free diet</w:t>
      </w:r>
      <w:r w:rsidR="00610962" w:rsidRPr="00734942">
        <w:t xml:space="preserve"> </w:t>
      </w:r>
      <w:r w:rsidR="00C23816" w:rsidRPr="00734942">
        <w:t>without a confirmation biopsy if they are symptomatic</w:t>
      </w:r>
    </w:p>
    <w:p w14:paraId="06D8BB03" w14:textId="2311A875" w:rsidR="00C23816" w:rsidRPr="00734942" w:rsidRDefault="0083251A" w:rsidP="004E1708">
      <w:pPr>
        <w:pStyle w:val="ListParagraph"/>
        <w:numPr>
          <w:ilvl w:val="0"/>
          <w:numId w:val="15"/>
        </w:numPr>
      </w:pPr>
      <w:r>
        <w:t>T</w:t>
      </w:r>
      <w:r w:rsidRPr="00734942">
        <w:t xml:space="preserve">o </w:t>
      </w:r>
      <w:r w:rsidR="00C23816" w:rsidRPr="00734942">
        <w:t xml:space="preserve">estimate at what level of diagnostic certainty people are willing to start a </w:t>
      </w:r>
      <w:r w:rsidR="00345E39">
        <w:t>gluten-free diet</w:t>
      </w:r>
      <w:r w:rsidR="00610962" w:rsidRPr="00734942">
        <w:t xml:space="preserve"> </w:t>
      </w:r>
      <w:r w:rsidR="00C23816" w:rsidRPr="00734942">
        <w:t>without a confirmation biopsy if they are asymptomatic</w:t>
      </w:r>
    </w:p>
    <w:p w14:paraId="438B1FC2" w14:textId="0DD4C57C" w:rsidR="00C23816" w:rsidRPr="00734942" w:rsidRDefault="0083251A" w:rsidP="004E1708">
      <w:pPr>
        <w:pStyle w:val="ListParagraph"/>
        <w:numPr>
          <w:ilvl w:val="0"/>
          <w:numId w:val="15"/>
        </w:numPr>
      </w:pPr>
      <w:r>
        <w:t>T</w:t>
      </w:r>
      <w:r w:rsidRPr="00734942">
        <w:t xml:space="preserve">o </w:t>
      </w:r>
      <w:r w:rsidR="00C23816" w:rsidRPr="00734942">
        <w:t>understand what factors influenced their answers on the above</w:t>
      </w:r>
    </w:p>
    <w:p w14:paraId="60C755F5" w14:textId="0146B42A" w:rsidR="00112AEF" w:rsidRPr="00734942" w:rsidRDefault="0083251A" w:rsidP="00112AEF">
      <w:pPr>
        <w:pStyle w:val="ListParagraph"/>
        <w:numPr>
          <w:ilvl w:val="0"/>
          <w:numId w:val="15"/>
        </w:numPr>
      </w:pPr>
      <w:r>
        <w:t>T</w:t>
      </w:r>
      <w:r w:rsidRPr="00734942">
        <w:t xml:space="preserve">o </w:t>
      </w:r>
      <w:r w:rsidR="00112AEF" w:rsidRPr="00734942">
        <w:t xml:space="preserve">estimate the quality of life among people with </w:t>
      </w:r>
      <w:r w:rsidR="00AC7BE2">
        <w:t>CD</w:t>
      </w:r>
    </w:p>
    <w:p w14:paraId="0E8BC9DB" w14:textId="03701DD4" w:rsidR="00C23816" w:rsidRPr="00734942" w:rsidRDefault="0083251A" w:rsidP="004E1708">
      <w:pPr>
        <w:pStyle w:val="ListParagraph"/>
        <w:numPr>
          <w:ilvl w:val="0"/>
          <w:numId w:val="15"/>
        </w:numPr>
      </w:pPr>
      <w:r>
        <w:t>T</w:t>
      </w:r>
      <w:r w:rsidRPr="00734942">
        <w:t xml:space="preserve">o </w:t>
      </w:r>
      <w:r w:rsidR="00D173BB" w:rsidRPr="00734942">
        <w:t xml:space="preserve">understand </w:t>
      </w:r>
      <w:r w:rsidR="00C23816" w:rsidRPr="00734942">
        <w:t xml:space="preserve">how strictly people with </w:t>
      </w:r>
      <w:r w:rsidR="00AC7BE2">
        <w:t>CD</w:t>
      </w:r>
      <w:r w:rsidR="00C23816" w:rsidRPr="00734942">
        <w:t xml:space="preserve"> followed the </w:t>
      </w:r>
      <w:r w:rsidR="00345E39">
        <w:t>gluten-free diet</w:t>
      </w:r>
    </w:p>
    <w:p w14:paraId="23CB8B03" w14:textId="253D8887" w:rsidR="00C23816" w:rsidRPr="00734942" w:rsidRDefault="0083251A" w:rsidP="004E1708">
      <w:pPr>
        <w:pStyle w:val="ListParagraph"/>
        <w:numPr>
          <w:ilvl w:val="0"/>
          <w:numId w:val="15"/>
        </w:numPr>
      </w:pPr>
      <w:r>
        <w:t>T</w:t>
      </w:r>
      <w:r w:rsidRPr="00734942">
        <w:t xml:space="preserve">o </w:t>
      </w:r>
      <w:r w:rsidR="00D173BB" w:rsidRPr="00734942">
        <w:t xml:space="preserve">understand </w:t>
      </w:r>
      <w:r w:rsidR="00C23816" w:rsidRPr="00734942">
        <w:t xml:space="preserve">how difficult people with </w:t>
      </w:r>
      <w:r w:rsidR="00AC7BE2">
        <w:t>CD</w:t>
      </w:r>
      <w:r w:rsidR="00C23816" w:rsidRPr="00734942">
        <w:t xml:space="preserve"> found it to follow a </w:t>
      </w:r>
      <w:r w:rsidR="00345E39">
        <w:t>gluten-free diet</w:t>
      </w:r>
    </w:p>
    <w:p w14:paraId="26AD4E86" w14:textId="5EC4EB0F" w:rsidR="00C23816" w:rsidRPr="00734942" w:rsidRDefault="0083251A" w:rsidP="004E1708">
      <w:pPr>
        <w:pStyle w:val="ListParagraph"/>
        <w:numPr>
          <w:ilvl w:val="0"/>
          <w:numId w:val="15"/>
        </w:numPr>
      </w:pPr>
      <w:r>
        <w:t>T</w:t>
      </w:r>
      <w:r w:rsidRPr="00734942">
        <w:t xml:space="preserve">o </w:t>
      </w:r>
      <w:r w:rsidR="00C23816" w:rsidRPr="00734942">
        <w:t xml:space="preserve">understand </w:t>
      </w:r>
      <w:r w:rsidR="00C23816" w:rsidRPr="00734942">
        <w:rPr>
          <w:rFonts w:cstheme="minorHAnsi"/>
        </w:rPr>
        <w:t xml:space="preserve">the current assumptions and understandings of CD diagnosis and how that affects confidence in diagnosis before starting a </w:t>
      </w:r>
      <w:r w:rsidR="00345E39">
        <w:t>gluten-free diet</w:t>
      </w:r>
      <w:r w:rsidR="00C23816" w:rsidRPr="00734942">
        <w:rPr>
          <w:rFonts w:cstheme="minorHAnsi"/>
        </w:rPr>
        <w:t>.</w:t>
      </w:r>
    </w:p>
    <w:p w14:paraId="3137B923" w14:textId="778072A0" w:rsidR="00A220F8" w:rsidRPr="00734942" w:rsidRDefault="00354826" w:rsidP="00A220F8">
      <w:pPr>
        <w:pStyle w:val="Heading2"/>
      </w:pPr>
      <w:bookmarkStart w:id="211" w:name="_Toc99539883"/>
      <w:r w:rsidRPr="00734942">
        <w:t>Survey development and dissemination m</w:t>
      </w:r>
      <w:r w:rsidR="00A220F8" w:rsidRPr="00734942">
        <w:t>ethods</w:t>
      </w:r>
      <w:bookmarkEnd w:id="211"/>
    </w:p>
    <w:p w14:paraId="19FB5B2F" w14:textId="77777777" w:rsidR="001C02BC" w:rsidRPr="00734942" w:rsidRDefault="001C02BC" w:rsidP="001C02BC">
      <w:pPr>
        <w:pStyle w:val="Heading3"/>
      </w:pPr>
      <w:bookmarkStart w:id="212" w:name="_Toc99539884"/>
      <w:r w:rsidRPr="00734942">
        <w:t>Survey development</w:t>
      </w:r>
      <w:bookmarkEnd w:id="212"/>
    </w:p>
    <w:p w14:paraId="5AE5DF29" w14:textId="02C255A9" w:rsidR="001C02BC" w:rsidRPr="00734942" w:rsidRDefault="008E6FE7" w:rsidP="001C02BC">
      <w:r>
        <w:t>Three</w:t>
      </w:r>
      <w:r w:rsidR="001C02BC" w:rsidRPr="00734942">
        <w:t xml:space="preserve"> scenarios (described in more detail below) and the survey questions were drafted by a team of researchers and clinicians. The wording and format of the survey was developed in collaboration with the patient representatives on the study team. The scenarios were turned into short videos as suggested by the patient representatives to make them more accessible</w:t>
      </w:r>
      <w:r w:rsidR="009F1936">
        <w:t>,</w:t>
      </w:r>
      <w:r w:rsidR="001C02BC" w:rsidRPr="00734942">
        <w:t xml:space="preserve"> using online VideoScribe software.</w:t>
      </w:r>
      <w:r w:rsidR="00AC6A7D" w:rsidRPr="00734942">
        <w:fldChar w:fldCharType="begin"/>
      </w:r>
      <w:r w:rsidR="00735CC0">
        <w:instrText xml:space="preserve"> ADDIN EN.CITE &lt;EndNote&gt;&lt;Cite&gt;&lt;Year&gt;(Last accessed in Sept 2020)&lt;/Year&gt;&lt;RecNum&gt;496&lt;/RecNum&gt;&lt;DisplayText&gt;&lt;style face="superscript"&gt;186&lt;/style&gt;&lt;/DisplayText&gt;&lt;record&gt;&lt;rec-number&gt;496&lt;/rec-number&gt;&lt;foreign-keys&gt;&lt;key app="EN" db-id="tdwrx9xd1z9eepeevr355w2k959rv0f5zaax" timestamp="1636542651"&gt;496&lt;/key&gt;&lt;/foreign-keys&gt;&lt;ref-type name="Multimedia Application"&gt;68&lt;/ref-type&gt;&lt;contributors&gt;&lt;/contributors&gt;&lt;titles&gt;&lt;title&gt;VideoScribe: Easy animation software to make whiteboard videos fast. https://www.videoscribe.co/en/&lt;/title&gt;&lt;/titles&gt;&lt;dates&gt;&lt;year&gt;(Last accessed in Sept 2020)&lt;/year&gt;&lt;/dates&gt;&lt;urls&gt;&lt;/urls&gt;&lt;/record&gt;&lt;/Cite&gt;&lt;/EndNote&gt;</w:instrText>
      </w:r>
      <w:r w:rsidR="00AC6A7D" w:rsidRPr="00734942">
        <w:fldChar w:fldCharType="separate"/>
      </w:r>
      <w:r w:rsidR="00735CC0" w:rsidRPr="00735CC0">
        <w:rPr>
          <w:noProof/>
          <w:vertAlign w:val="superscript"/>
        </w:rPr>
        <w:t>186</w:t>
      </w:r>
      <w:r w:rsidR="00AC6A7D" w:rsidRPr="00734942">
        <w:fldChar w:fldCharType="end"/>
      </w:r>
      <w:r w:rsidR="00AB2F33" w:rsidRPr="00734942">
        <w:t xml:space="preserve"> The videos </w:t>
      </w:r>
      <w:r w:rsidR="00154C75" w:rsidRPr="00734942">
        <w:t>can be accessed on YouTube.</w:t>
      </w:r>
      <w:r w:rsidR="00154C75" w:rsidRPr="00734942">
        <w:fldChar w:fldCharType="begin"/>
      </w:r>
      <w:r w:rsidR="00735CC0">
        <w:instrText xml:space="preserve"> ADDIN EN.CITE &lt;EndNote&gt;&lt;Cite&gt;&lt;Author&gt;NIHR ARC West&lt;/Author&gt;&lt;Year&gt;2020&lt;/Year&gt;&lt;RecNum&gt;497&lt;/RecNum&gt;&lt;DisplayText&gt;&lt;style face="superscript"&gt;187-189&lt;/style&gt;&lt;/DisplayText&gt;&lt;record&gt;&lt;rec-number&gt;497&lt;/rec-number&gt;&lt;foreign-keys&gt;&lt;key app="EN" db-id="tdwrx9xd1z9eepeevr355w2k959rv0f5zaax" timestamp="1636542651"&gt;497&lt;/key&gt;&lt;/foreign-keys&gt;&lt;ref-type name="Audiovisual Material"&gt;3&lt;/ref-type&gt;&lt;contributors&gt;&lt;authors&gt;&lt;author&gt;NIHR ARC West,&lt;/author&gt;&lt;/authors&gt;&lt;/contributors&gt;&lt;titles&gt;&lt;title&gt;Coeliac Disease Survey, Video 1&lt;/title&gt;&lt;/titles&gt;&lt;dates&gt;&lt;year&gt;2020&lt;/year&gt;&lt;/dates&gt;&lt;pub-location&gt;https://youtu.be/M5tfW8-yLfM [last accessed 07/02/2022]&lt;/pub-location&gt;&lt;urls&gt;&lt;related-urls&gt;&lt;url&gt;https://youtu.be/M5tfW8-yLfM [last accessed 07/02/2022]&lt;/url&gt;&lt;/related-urls&gt;&lt;/urls&gt;&lt;/record&gt;&lt;/Cite&gt;&lt;Cite&gt;&lt;Author&gt;NIHR ARC West&lt;/Author&gt;&lt;Year&gt;2020&lt;/Year&gt;&lt;RecNum&gt;498&lt;/RecNum&gt;&lt;record&gt;&lt;rec-number&gt;498&lt;/rec-number&gt;&lt;foreign-keys&gt;&lt;key app="EN" db-id="tdwrx9xd1z9eepeevr355w2k959rv0f5zaax" timestamp="1636542651"&gt;498&lt;/key&gt;&lt;/foreign-keys&gt;&lt;ref-type name="Audiovisual Material"&gt;3&lt;/ref-type&gt;&lt;contributors&gt;&lt;authors&gt;&lt;author&gt;NIHR ARC West,&lt;/author&gt;&lt;/authors&gt;&lt;/contributors&gt;&lt;titles&gt;&lt;title&gt;Coeliac Disease Survey, Video 2&lt;/title&gt;&lt;/titles&gt;&lt;dates&gt;&lt;year&gt;2020&lt;/year&gt;&lt;/dates&gt;&lt;pub-location&gt;https://youtu.be/_PVLGDVSL3E [last accessed 07/02/2022]&lt;/pub-location&gt;&lt;urls&gt;&lt;related-urls&gt;&lt;url&gt;https://youtu.be/_PVLGDVSL3E &lt;/url&gt;&lt;/related-urls&gt;&lt;/urls&gt;&lt;/record&gt;&lt;/Cite&gt;&lt;Cite&gt;&lt;Author&gt;NIHR ARC West&lt;/Author&gt;&lt;Year&gt;2020&lt;/Year&gt;&lt;RecNum&gt;499&lt;/RecNum&gt;&lt;record&gt;&lt;rec-number&gt;499&lt;/rec-number&gt;&lt;foreign-keys&gt;&lt;key app="EN" db-id="tdwrx9xd1z9eepeevr355w2k959rv0f5zaax" timestamp="1636542651"&gt;499&lt;/key&gt;&lt;/foreign-keys&gt;&lt;ref-type name="Audiovisual Material"&gt;3&lt;/ref-type&gt;&lt;contributors&gt;&lt;authors&gt;&lt;author&gt;NIHR ARC West,&lt;/author&gt;&lt;/authors&gt;&lt;/contributors&gt;&lt;titles&gt;&lt;title&gt;Coeliac Disease Survey, Video 3&lt;/title&gt;&lt;/titles&gt;&lt;dates&gt;&lt;year&gt;2020&lt;/year&gt;&lt;/dates&gt;&lt;pub-location&gt;https://youtu.be/GL8tzH4IxAk [last accessed 07/02/2022]&lt;/pub-location&gt;&lt;urls&gt;&lt;related-urls&gt;&lt;url&gt;https://youtu.be/GL8tzH4IxAk &lt;/url&gt;&lt;/related-urls&gt;&lt;/urls&gt;&lt;/record&gt;&lt;/Cite&gt;&lt;/EndNote&gt;</w:instrText>
      </w:r>
      <w:r w:rsidR="00154C75" w:rsidRPr="00734942">
        <w:fldChar w:fldCharType="separate"/>
      </w:r>
      <w:r w:rsidR="00735CC0" w:rsidRPr="00735CC0">
        <w:rPr>
          <w:noProof/>
          <w:vertAlign w:val="superscript"/>
        </w:rPr>
        <w:t>187-189</w:t>
      </w:r>
      <w:r w:rsidR="00154C75" w:rsidRPr="00734942">
        <w:fldChar w:fldCharType="end"/>
      </w:r>
      <w:r w:rsidR="001C02BC" w:rsidRPr="00734942">
        <w:t xml:space="preserve"> We organised a focus group with four patient representatives who commented on the survey questions, the scenarios, and the videos. The survey was adapted according to their comments, and they were given the opportunity to give feedback again to the changes. Finally, the survey questions were tested and commented on by a plain language panel to get the view of people who are less familiar with CD. The survey was amended accordingly. </w:t>
      </w:r>
    </w:p>
    <w:p w14:paraId="3FAF0482" w14:textId="37F4EEEA" w:rsidR="001C02BC" w:rsidRPr="00734942" w:rsidRDefault="001C02BC" w:rsidP="001C02BC">
      <w:r w:rsidRPr="00734942">
        <w:t xml:space="preserve">We used OnlineSurveys as </w:t>
      </w:r>
      <w:r w:rsidR="0035063E">
        <w:t xml:space="preserve">the </w:t>
      </w:r>
      <w:r w:rsidRPr="00734942">
        <w:t>survey platform, which is an online survey tool designed for academic research. OnlineSurveys use an ISO 27001 certified information security management system</w:t>
      </w:r>
      <w:r w:rsidR="00133ACC" w:rsidRPr="00734942">
        <w:t xml:space="preserve"> </w:t>
      </w:r>
      <w:r w:rsidRPr="00734942">
        <w:fldChar w:fldCharType="begin"/>
      </w:r>
      <w:r w:rsidR="00735CC0">
        <w:instrText xml:space="preserve"> ADDIN EN.CITE &lt;EndNote&gt;&lt;Cite&gt;&lt;Author&gt;ISO&lt;/Author&gt;&lt;RecNum&gt;328&lt;/RecNum&gt;&lt;DisplayText&gt;&lt;style face="superscript"&gt;190&lt;/style&gt;&lt;/DisplayText&gt;&lt;record&gt;&lt;rec-number&gt;328&lt;/rec-number&gt;&lt;foreign-keys&gt;&lt;key app="EN" db-id="tdwrx9xd1z9eepeevr355w2k959rv0f5zaax" timestamp="1632939187"&gt;328&lt;/key&gt;&lt;/foreign-keys&gt;&lt;ref-type name="Journal Article"&gt;17&lt;/ref-type&gt;&lt;contributors&gt;&lt;authors&gt;&lt;author&gt;ISO&lt;/author&gt;&lt;/authors&gt;&lt;/contributors&gt;&lt;titles&gt;&lt;title&gt;ISO/IEC 27001 INFORMATION SECURITY MANAGEMENT&lt;/title&gt;&lt;secondary-title&gt;www.iso.org/isoiec-27001-information-security.html&lt;/secondary-title&gt;&lt;/titles&gt;&lt;periodical&gt;&lt;full-title&gt;www.iso.org/isoiec-27001-information-security.html&lt;/full-title&gt;&lt;/periodical&gt;&lt;dates&gt;&lt;/dates&gt;&lt;urls&gt;&lt;/urls&gt;&lt;/record&gt;&lt;/Cite&gt;&lt;/EndNote&gt;</w:instrText>
      </w:r>
      <w:r w:rsidRPr="00734942">
        <w:fldChar w:fldCharType="separate"/>
      </w:r>
      <w:r w:rsidR="00735CC0" w:rsidRPr="00735CC0">
        <w:rPr>
          <w:noProof/>
          <w:vertAlign w:val="superscript"/>
        </w:rPr>
        <w:t>190</w:t>
      </w:r>
      <w:r w:rsidRPr="00734942">
        <w:fldChar w:fldCharType="end"/>
      </w:r>
      <w:r w:rsidRPr="00734942">
        <w:t xml:space="preserve"> and comply with the General Data Protection Regulation.</w:t>
      </w:r>
      <w:r w:rsidRPr="00734942">
        <w:fldChar w:fldCharType="begin"/>
      </w:r>
      <w:r w:rsidR="00735CC0">
        <w:instrText xml:space="preserve"> ADDIN EN.CITE &lt;EndNote&gt;&lt;Cite&gt;&lt;Author&gt;Information Commissioner&amp;apos;s Office&lt;/Author&gt;&lt;RecNum&gt;329&lt;/RecNum&gt;&lt;DisplayText&gt;&lt;style face="superscript"&gt;191&lt;/style&gt;&lt;/DisplayText&gt;&lt;record&gt;&lt;rec-number&gt;329&lt;/rec-number&gt;&lt;foreign-keys&gt;&lt;key app="EN" db-id="tdwrx9xd1z9eepeevr355w2k959rv0f5zaax" timestamp="1632939187"&gt;329&lt;/key&gt;&lt;/foreign-keys&gt;&lt;ref-type name="Journal Article"&gt;17&lt;/ref-type&gt;&lt;contributors&gt;&lt;authors&gt;&lt;author&gt;Information Commissioner&amp;apos;s Office,&lt;/author&gt;&lt;/authors&gt;&lt;/contributors&gt;&lt;titles&gt;&lt;title&gt;Guide to the General Data Protection Regulation (GDPR)&lt;/title&gt;&lt;secondary-title&gt;ico.org.uk/for-organisations/guide-to-data-protection/guide-to-the-general-data-protection-regulation-gdpr/&lt;/secondary-title&gt;&lt;/titles&gt;&lt;periodical&gt;&lt;full-title&gt;ico.org.uk/for-organisations/guide-to-data-protection/guide-to-the-general-data-protection-regulation-gdpr/&lt;/full-title&gt;&lt;/periodical&gt;&lt;dates&gt;&lt;/dates&gt;&lt;urls&gt;&lt;/urls&gt;&lt;/record&gt;&lt;/Cite&gt;&lt;/EndNote&gt;</w:instrText>
      </w:r>
      <w:r w:rsidRPr="00734942">
        <w:fldChar w:fldCharType="separate"/>
      </w:r>
      <w:r w:rsidR="00735CC0" w:rsidRPr="00735CC0">
        <w:rPr>
          <w:noProof/>
          <w:vertAlign w:val="superscript"/>
        </w:rPr>
        <w:t>191</w:t>
      </w:r>
      <w:r w:rsidRPr="00734942">
        <w:fldChar w:fldCharType="end"/>
      </w:r>
      <w:r w:rsidRPr="00734942">
        <w:t xml:space="preserve"> The Faculty of Health Science Research Ethics Committee granted ethical approval for this study.</w:t>
      </w:r>
    </w:p>
    <w:p w14:paraId="384CB62F" w14:textId="77777777" w:rsidR="001C02BC" w:rsidRPr="00734942" w:rsidRDefault="001C02BC" w:rsidP="001C02BC">
      <w:pPr>
        <w:pStyle w:val="Heading3"/>
      </w:pPr>
      <w:bookmarkStart w:id="213" w:name="_Toc99539885"/>
      <w:r w:rsidRPr="00734942">
        <w:t>Survey questions</w:t>
      </w:r>
      <w:bookmarkEnd w:id="213"/>
    </w:p>
    <w:p w14:paraId="71F6036F" w14:textId="581289EB" w:rsidR="001C02BC" w:rsidRPr="00734942" w:rsidRDefault="001C02BC" w:rsidP="001C02BC">
      <w:r w:rsidRPr="00734942">
        <w:t xml:space="preserve">In the survey, respondents were shown three short videos in which different scenarios were explained. In each scenario, the risk of having CD was different. In the first scenario we asked respondents to imagine that they had been suffering from typical symptoms of CD, in the second scenario that a first-degree relative had been diagnosed with CD, and in the third that they had been diagnosed with a condition that puts them at greater risk of having CD (see scenario descriptions in </w:t>
      </w:r>
      <w:r w:rsidR="00E70E20">
        <w:t xml:space="preserve">Appendix 21 </w:t>
      </w:r>
      <w:r w:rsidR="00E70E20">
        <w:fldChar w:fldCharType="begin"/>
      </w:r>
      <w:r w:rsidR="00E70E20">
        <w:instrText xml:space="preserve"> REF _Ref95380770 \h </w:instrText>
      </w:r>
      <w:r w:rsidR="00E70E20">
        <w:fldChar w:fldCharType="separate"/>
      </w:r>
      <w:r w:rsidR="008B5583" w:rsidRPr="00734942">
        <w:t xml:space="preserve">Table </w:t>
      </w:r>
      <w:r w:rsidR="008B5583">
        <w:rPr>
          <w:noProof/>
        </w:rPr>
        <w:t>58</w:t>
      </w:r>
      <w:r w:rsidR="00E70E20">
        <w:fldChar w:fldCharType="end"/>
      </w:r>
      <w:r w:rsidRPr="00734942">
        <w:t xml:space="preserve">). The videos were followed by 3-4 questions that asked respondents at which part of the diagnostic pathway they would have wanted to start </w:t>
      </w:r>
      <w:r w:rsidR="008858B9">
        <w:t>a</w:t>
      </w:r>
      <w:r w:rsidRPr="00734942">
        <w:t xml:space="preserve"> </w:t>
      </w:r>
      <w:r w:rsidR="00345E39">
        <w:t>gluten-free diet</w:t>
      </w:r>
      <w:r w:rsidR="001A2441">
        <w:t xml:space="preserve">: after the first appointment with the GP (low risk of CD based on symptoms or risk </w:t>
      </w:r>
      <w:r w:rsidR="00123EF8">
        <w:t>conditions</w:t>
      </w:r>
      <w:r w:rsidR="001A2441">
        <w:t xml:space="preserve"> alone),</w:t>
      </w:r>
      <w:r w:rsidR="00B61BB4">
        <w:t xml:space="preserve"> after getting a positive blood test result</w:t>
      </w:r>
      <w:r w:rsidR="003D55BF">
        <w:t xml:space="preserve"> (higher risk of CD), </w:t>
      </w:r>
      <w:r w:rsidR="00252575">
        <w:t>or after a confirmation biopsy</w:t>
      </w:r>
      <w:r w:rsidR="00FC414D">
        <w:t xml:space="preserve"> (CD diagnosis almost certain)</w:t>
      </w:r>
      <w:r w:rsidRPr="00734942">
        <w:t>. Respondents were given the option to explain their answers in a free text box.</w:t>
      </w:r>
      <w:r w:rsidR="00932C89">
        <w:t xml:space="preserve"> </w:t>
      </w:r>
      <w:r w:rsidR="00932C89" w:rsidRPr="00734942">
        <w:t>After the respondents</w:t>
      </w:r>
      <w:r w:rsidR="00932C89" w:rsidRPr="00734942" w:rsidDel="006847B6">
        <w:t xml:space="preserve"> </w:t>
      </w:r>
      <w:r w:rsidR="00932C89" w:rsidRPr="00734942">
        <w:t>went through the three scenarios, which were designed to help people think about disease risk and certainty of a diagnosis, respondents</w:t>
      </w:r>
      <w:r w:rsidR="00932C89" w:rsidRPr="00734942" w:rsidDel="006847B6">
        <w:t xml:space="preserve"> </w:t>
      </w:r>
      <w:r w:rsidR="00932C89" w:rsidRPr="00734942">
        <w:t xml:space="preserve">were asked </w:t>
      </w:r>
      <w:r w:rsidR="000744DF" w:rsidRPr="000744DF">
        <w:t xml:space="preserve">level of certainty </w:t>
      </w:r>
      <w:r w:rsidR="000744DF">
        <w:t>they</w:t>
      </w:r>
      <w:r w:rsidR="000744DF" w:rsidRPr="000744DF">
        <w:t xml:space="preserve"> would want </w:t>
      </w:r>
      <w:r w:rsidR="00211053">
        <w:lastRenderedPageBreak/>
        <w:t>a blood test</w:t>
      </w:r>
      <w:r w:rsidR="000744DF" w:rsidRPr="000744DF">
        <w:t xml:space="preserve"> </w:t>
      </w:r>
      <w:r w:rsidR="00932C89" w:rsidRPr="00734942">
        <w:t xml:space="preserve">before they were willing to start a </w:t>
      </w:r>
      <w:r w:rsidR="0033672F">
        <w:t>gluten-</w:t>
      </w:r>
      <w:r w:rsidR="00345E39">
        <w:t>free diet</w:t>
      </w:r>
      <w:r w:rsidR="00053FF5">
        <w:t xml:space="preserve"> (in a scenario with and without symptoms)</w:t>
      </w:r>
      <w:r w:rsidR="00211053">
        <w:t>.</w:t>
      </w:r>
    </w:p>
    <w:p w14:paraId="05EEBBC7" w14:textId="552B8C43" w:rsidR="001C02BC" w:rsidRDefault="001C02BC" w:rsidP="00CC4EFA">
      <w:r w:rsidRPr="00734942">
        <w:t>At the end of the survey, we asked for some general demographics (age, sex, ethnicity, and socio-economic status). We also asked if the respondents had (or believed they had) CD, and if so, we had some follow-up questions about the</w:t>
      </w:r>
      <w:r w:rsidR="00E1287E">
        <w:t>ir</w:t>
      </w:r>
      <w:r w:rsidRPr="00734942">
        <w:t xml:space="preserve"> diet</w:t>
      </w:r>
      <w:r w:rsidR="00EC58D1" w:rsidRPr="00734942">
        <w:t xml:space="preserve"> and quality of life. Quality of life was assessed using the Celiac Disease Quality of Life Measure 1.0 (CD-QoL), which is a validated questionnaire containing 20 items across four subscales: limitations, dysphoria, health concerns, and inadequate treatment. Psychometric validation has indicated both convergent and discriminate validity of CD-QOL and it has been shown to have a high internal consistency and reliability.</w:t>
      </w:r>
      <w:r w:rsidR="0069303F" w:rsidRPr="00734942">
        <w:fldChar w:fldCharType="begin"/>
      </w:r>
      <w:r w:rsidR="00735CC0">
        <w:instrText xml:space="preserve"> ADDIN EN.CITE &lt;EndNote&gt;&lt;Cite&gt;&lt;Author&gt;Dorn&lt;/Author&gt;&lt;Year&gt;2010&lt;/Year&gt;&lt;RecNum&gt;330&lt;/RecNum&gt;&lt;DisplayText&gt;&lt;style face="superscript"&gt;192&lt;/style&gt;&lt;/DisplayText&gt;&lt;record&gt;&lt;rec-number&gt;330&lt;/rec-number&gt;&lt;foreign-keys&gt;&lt;key app="EN" db-id="tdwrx9xd1z9eepeevr355w2k959rv0f5zaax" timestamp="1632939188"&gt;330&lt;/key&gt;&lt;/foreign-keys&gt;&lt;ref-type name="Journal Article"&gt;17&lt;/ref-type&gt;&lt;contributors&gt;&lt;authors&gt;&lt;author&gt;Dorn, S. D.&lt;/author&gt;&lt;author&gt;Hernandez, L.&lt;/author&gt;&lt;author&gt;Minaya, M. T.&lt;/author&gt;&lt;author&gt;Morris, C. B.&lt;/author&gt;&lt;author&gt;Hu, Y.&lt;/author&gt;&lt;author&gt;Leserman, J.&lt;/author&gt;&lt;author&gt;Lewis, S.&lt;/author&gt;&lt;author&gt;Lee, A.&lt;/author&gt;&lt;author&gt;Bangdiwala, S. I.&lt;/author&gt;&lt;author&gt;Green, P. H.&lt;/author&gt;&lt;author&gt;Drossman, D. A.&lt;/author&gt;&lt;/authors&gt;&lt;/contributors&gt;&lt;auth-address&gt;Center for Functional GI and Motility Disorders, University of North Carolina, USA.&lt;/auth-address&gt;&lt;titles&gt;&lt;title&gt;The development and validation of a new coeliac disease quality of life survey (CD-QOL)&lt;/title&gt;&lt;secondary-title&gt;Aliment Pharmacol Ther&lt;/secondary-title&gt;&lt;/titles&gt;&lt;periodical&gt;&lt;full-title&gt;Aliment Pharmacol Ther&lt;/full-title&gt;&lt;/periodical&gt;&lt;pages&gt;666-75&lt;/pages&gt;&lt;volume&gt;31&lt;/volume&gt;&lt;number&gt;6&lt;/number&gt;&lt;edition&gt;2009/12/18&lt;/edition&gt;&lt;keywords&gt;&lt;keyword&gt;Adolescent&lt;/keyword&gt;&lt;keyword&gt;Adult&lt;/keyword&gt;&lt;keyword&gt;Aged&lt;/keyword&gt;&lt;keyword&gt;Aged, 80 and over&lt;/keyword&gt;&lt;keyword&gt;Celiac Disease/*psychology&lt;/keyword&gt;&lt;keyword&gt;Female&lt;/keyword&gt;&lt;keyword&gt;Focus Groups&lt;/keyword&gt;&lt;keyword&gt;Health Status&lt;/keyword&gt;&lt;keyword&gt;Humans&lt;/keyword&gt;&lt;keyword&gt;Male&lt;/keyword&gt;&lt;keyword&gt;Middle Aged&lt;/keyword&gt;&lt;keyword&gt;Psychometrics/*standards&lt;/keyword&gt;&lt;keyword&gt;*Quality of Life&lt;/keyword&gt;&lt;keyword&gt;Reproducibility of Results&lt;/keyword&gt;&lt;keyword&gt;Surveys and Questionnaires/*standards&lt;/keyword&gt;&lt;/keywords&gt;&lt;dates&gt;&lt;year&gt;2010&lt;/year&gt;&lt;pub-dates&gt;&lt;date&gt;Mar&lt;/date&gt;&lt;/pub-dates&gt;&lt;/dates&gt;&lt;isbn&gt;1365-2036 (Electronic)&amp;#xD;0269-2813 (Linking)&lt;/isbn&gt;&lt;accession-num&gt;20015103&lt;/accession-num&gt;&lt;urls&gt;&lt;related-urls&gt;&lt;url&gt;https://www.ncbi.nlm.nih.gov/pubmed/20015103&lt;/url&gt;&lt;/related-urls&gt;&lt;/urls&gt;&lt;electronic-resource-num&gt;10.1111/j.1365-2036.2009.04220.x&lt;/electronic-resource-num&gt;&lt;/record&gt;&lt;/Cite&gt;&lt;/EndNote&gt;</w:instrText>
      </w:r>
      <w:r w:rsidR="0069303F" w:rsidRPr="00734942">
        <w:fldChar w:fldCharType="separate"/>
      </w:r>
      <w:r w:rsidR="00735CC0" w:rsidRPr="00735CC0">
        <w:rPr>
          <w:noProof/>
          <w:vertAlign w:val="superscript"/>
        </w:rPr>
        <w:t>192</w:t>
      </w:r>
      <w:r w:rsidR="0069303F" w:rsidRPr="00734942">
        <w:fldChar w:fldCharType="end"/>
      </w:r>
      <w:r w:rsidRPr="00734942">
        <w:t xml:space="preserve"> Finally, respondents </w:t>
      </w:r>
      <w:r w:rsidRPr="00734942">
        <w:rPr>
          <w:color w:val="000000"/>
          <w:shd w:val="clear" w:color="auto" w:fill="FFFFFF"/>
        </w:rPr>
        <w:t>had the opportunity to leave any final comments or feedback about the survey in a free text box.</w:t>
      </w:r>
      <w:r w:rsidRPr="00734942">
        <w:t xml:space="preserve"> People of all ages could participate, and it was possible to fill out the survey on behalf of a child.</w:t>
      </w:r>
    </w:p>
    <w:p w14:paraId="395A0010" w14:textId="77777777" w:rsidR="001C02BC" w:rsidRPr="00734942" w:rsidRDefault="001C02BC" w:rsidP="001C02BC">
      <w:pPr>
        <w:pStyle w:val="Heading3"/>
      </w:pPr>
      <w:bookmarkStart w:id="214" w:name="_Toc99539886"/>
      <w:bookmarkStart w:id="215" w:name="_Hlk73539603"/>
      <w:r w:rsidRPr="00734942">
        <w:t>Survey distribution</w:t>
      </w:r>
      <w:bookmarkEnd w:id="214"/>
    </w:p>
    <w:p w14:paraId="4CC14379" w14:textId="5636C166" w:rsidR="001C02BC" w:rsidRPr="00734942" w:rsidRDefault="001C02BC" w:rsidP="001C02BC">
      <w:r w:rsidRPr="00734942">
        <w:t xml:space="preserve">A dissemination strategy was developed in collaboration with the communications manager at ARC West. We developed copy for tweets, adverts, newsletters, and Facebook posts. To encourage participation, we offered a prize draw of a £50 </w:t>
      </w:r>
      <w:r w:rsidR="00B92BF8">
        <w:t>A</w:t>
      </w:r>
      <w:r w:rsidRPr="00734942">
        <w:t>mazon voucher.</w:t>
      </w:r>
    </w:p>
    <w:p w14:paraId="2D4654BF" w14:textId="0622D905" w:rsidR="001C02BC" w:rsidRPr="00734942" w:rsidRDefault="001C02BC" w:rsidP="001C02BC">
      <w:pPr>
        <w:rPr>
          <w:color w:val="000000"/>
          <w:lang w:eastAsia="en-GB"/>
        </w:rPr>
      </w:pPr>
      <w:r w:rsidRPr="00734942">
        <w:t>The survey was endorsed by the Coeliac UK charity</w:t>
      </w:r>
      <w:r w:rsidR="00CC3ADE">
        <w:t>,</w:t>
      </w:r>
      <w:r w:rsidRPr="00734942">
        <w:t xml:space="preserve"> who helped promote the survey</w:t>
      </w:r>
      <w:r w:rsidRPr="00734942">
        <w:rPr>
          <w:color w:val="000000"/>
          <w:lang w:eastAsia="en-GB"/>
        </w:rPr>
        <w:t xml:space="preserve"> on their social media platforms.</w:t>
      </w:r>
    </w:p>
    <w:p w14:paraId="7E2DEA6A" w14:textId="77777777" w:rsidR="001C02BC" w:rsidRPr="00734942" w:rsidRDefault="001C02BC" w:rsidP="001C02BC">
      <w:pPr>
        <w:rPr>
          <w:color w:val="000000"/>
          <w:lang w:eastAsia="en-GB"/>
        </w:rPr>
      </w:pPr>
      <w:r w:rsidRPr="00734942">
        <w:t xml:space="preserve">Fifty-one Facebook groups were contacted of which the following 20 agreed to promote our survey on their Facebook pages: Coeliacs in Bristol, Healthwatch Bristol, Healthwatch South Gloucestershire, Healthwatch Somerset, Up Your Street, Gluten Free Bristol, BS5 Connect, Bristol Parents Club, </w:t>
      </w:r>
      <w:r w:rsidRPr="00734942">
        <w:rPr>
          <w:color w:val="000000"/>
          <w:lang w:eastAsia="en-GB"/>
        </w:rPr>
        <w:t>Gluten Free Vegans UK, Vegetarian Coeliacs UK, Osteoporosis UK, Wirral Coeliac Support Group, Coeliac in the Scottish Borders, Gluten Free Blogger Group, Grub without Gluten, Coeliac children UK (Plus allergies), Coeliac and Gluten Free in Essex, Healthy eating for kids and family, Coeliac Central, and GUTs Group (Coeliac UK's Gluten free Under Thirties). Diabetes UK, Bristol Healthwatch, Healthwatch North Somerset posted our advert on their website.</w:t>
      </w:r>
    </w:p>
    <w:p w14:paraId="4286EC34" w14:textId="77777777" w:rsidR="001C02BC" w:rsidRPr="00734942" w:rsidRDefault="001C02BC" w:rsidP="001C02BC">
      <w:pPr>
        <w:rPr>
          <w:color w:val="000000"/>
          <w:lang w:eastAsia="en-GB"/>
        </w:rPr>
      </w:pPr>
      <w:r w:rsidRPr="00734942">
        <w:rPr>
          <w:color w:val="000000"/>
          <w:lang w:eastAsia="en-GB"/>
        </w:rPr>
        <w:t>We contacted 17 organizers of citizen panels of which three agreed to help. An advert was sent out to Healthier Together Panel, the NHS Lincolnshire Citizens’ Panel, and the Leicester City CCG Citizens’ Panel, which are online groups each of around 1,000 people from the respective local areas.</w:t>
      </w:r>
    </w:p>
    <w:p w14:paraId="4D205EEE" w14:textId="77777777" w:rsidR="001C02BC" w:rsidRPr="00734942" w:rsidRDefault="001C02BC" w:rsidP="001C02BC">
      <w:pPr>
        <w:rPr>
          <w:color w:val="000000"/>
          <w:lang w:eastAsia="en-GB"/>
        </w:rPr>
      </w:pPr>
      <w:r w:rsidRPr="00734942">
        <w:rPr>
          <w:color w:val="000000"/>
          <w:lang w:eastAsia="en-GB"/>
        </w:rPr>
        <w:t xml:space="preserve">We sent three different tweets from the ARC West Twitter account including Twitter handles of relevant organisations. Bristol University, Coeliac UK, HIS – Community Engagement (based in Scotland), Healthwatch Bristol, and Healthwatch South Glos agreed to send tweets from their accounts. </w:t>
      </w:r>
    </w:p>
    <w:p w14:paraId="6DE6BAB5" w14:textId="77777777" w:rsidR="001C02BC" w:rsidRPr="00734942" w:rsidRDefault="001C02BC" w:rsidP="001C02BC">
      <w:pPr>
        <w:rPr>
          <w:color w:val="000000"/>
          <w:lang w:eastAsia="en-GB"/>
        </w:rPr>
      </w:pPr>
      <w:r w:rsidRPr="00734942">
        <w:t xml:space="preserve">The NIHR Centre for Engagement and Dissemination </w:t>
      </w:r>
      <w:r w:rsidRPr="00734942">
        <w:rPr>
          <w:color w:val="000000"/>
          <w:lang w:eastAsia="en-GB"/>
        </w:rPr>
        <w:t xml:space="preserve">agreed to retweet from the </w:t>
      </w:r>
      <w:r w:rsidRPr="00734942">
        <w:t>@NIHRinvolvement and @NIHRtakepart accounts and add our survey to their public engagement newsletter. W</w:t>
      </w:r>
      <w:r w:rsidRPr="00734942">
        <w:rPr>
          <w:color w:val="000000"/>
          <w:lang w:eastAsia="en-GB"/>
        </w:rPr>
        <w:t xml:space="preserve">e also promoted our survey through the ARC West newsletter, </w:t>
      </w:r>
      <w:r w:rsidRPr="00734942">
        <w:t>People in West of England monthly Newsflash, and Bristol Population Health Science Institute newsletter.</w:t>
      </w:r>
    </w:p>
    <w:p w14:paraId="4795A152" w14:textId="77777777" w:rsidR="001C02BC" w:rsidRPr="00734942" w:rsidRDefault="001C02BC" w:rsidP="001C02BC">
      <w:pPr>
        <w:rPr>
          <w:color w:val="000000"/>
          <w:lang w:eastAsia="en-GB"/>
        </w:rPr>
      </w:pPr>
      <w:r w:rsidRPr="00734942">
        <w:rPr>
          <w:color w:val="000000"/>
          <w:lang w:eastAsia="en-GB"/>
        </w:rPr>
        <w:t>Finally, a news story was published on the ARC West website and the University of Bristol newsroom, and we developed a blog with a public contributor, which was published on the ARC West website and shared on Twitter.</w:t>
      </w:r>
    </w:p>
    <w:p w14:paraId="525AB276" w14:textId="77777777" w:rsidR="001C02BC" w:rsidRPr="00734942" w:rsidRDefault="001C02BC" w:rsidP="001C02BC">
      <w:r w:rsidRPr="00734942">
        <w:t>The survey was live for two months, from January to March 2021.</w:t>
      </w:r>
    </w:p>
    <w:p w14:paraId="6A28FA42" w14:textId="77777777" w:rsidR="001C02BC" w:rsidRPr="00734942" w:rsidRDefault="001C02BC" w:rsidP="001C02BC">
      <w:pPr>
        <w:pStyle w:val="Heading3"/>
      </w:pPr>
      <w:bookmarkStart w:id="216" w:name="_Toc99539887"/>
      <w:bookmarkEnd w:id="215"/>
      <w:r w:rsidRPr="00734942">
        <w:lastRenderedPageBreak/>
        <w:t>Data analysis</w:t>
      </w:r>
      <w:bookmarkEnd w:id="216"/>
    </w:p>
    <w:p w14:paraId="4115B714" w14:textId="5442E245" w:rsidR="001C02BC" w:rsidRPr="00734942" w:rsidRDefault="001C02BC" w:rsidP="001C02BC">
      <w:r w:rsidRPr="00734942">
        <w:t xml:space="preserve">The data were exported from the online survey tool. Ethnicity was </w:t>
      </w:r>
      <w:r w:rsidR="00AE2784">
        <w:t>summarised with</w:t>
      </w:r>
      <w:r w:rsidRPr="00734942">
        <w:t xml:space="preserve"> a binary variable (white or non-white). Qualifications were recoded keeping only the highest qualification using the following order from high to low: college or university degree, A levels or equivalent, O levels or GCSEs or equivalent, or other (NVQ/HND/HNC, professional qualifications, or CSEs). Postcodes were used to link to IMD2015 deprivation deciles for England,</w:t>
      </w:r>
      <w:r w:rsidRPr="00734942">
        <w:fldChar w:fldCharType="begin"/>
      </w:r>
      <w:r w:rsidR="00735CC0">
        <w:instrText xml:space="preserve"> ADDIN EN.CITE &lt;EndNote&gt;&lt;Cite&gt;&lt;Author&gt;National Statistics&lt;/Author&gt;&lt;Year&gt;2015&lt;/Year&gt;&lt;RecNum&gt;331&lt;/RecNum&gt;&lt;DisplayText&gt;&lt;style face="superscript"&gt;193&lt;/style&gt;&lt;/DisplayText&gt;&lt;record&gt;&lt;rec-number&gt;331&lt;/rec-number&gt;&lt;foreign-keys&gt;&lt;key app="EN" db-id="tdwrx9xd1z9eepeevr355w2k959rv0f5zaax" timestamp="1632939188"&gt;331&lt;/key&gt;&lt;/foreign-keys&gt;&lt;ref-type name="Journal Article"&gt;17&lt;/ref-type&gt;&lt;contributors&gt;&lt;authors&gt;&lt;author&gt;National Statistics,&lt;/author&gt;&lt;/authors&gt;&lt;/contributors&gt;&lt;titles&gt;&lt;title&gt;The English Indices of Deprivation 2015&lt;/title&gt;&lt;secondary-title&gt;Department for Communirties and Local Government&lt;/secondary-title&gt;&lt;/titles&gt;&lt;periodical&gt;&lt;full-title&gt;Department for Communirties and Local Government&lt;/full-title&gt;&lt;/periodical&gt;&lt;dates&gt;&lt;year&gt;2015&lt;/year&gt;&lt;/dates&gt;&lt;urls&gt;&lt;related-urls&gt;&lt;url&gt;https://www.gov.uk/government/statistics/english-indices-of-deprivation-2015&lt;/url&gt;&lt;/related-urls&gt;&lt;/urls&gt;&lt;/record&gt;&lt;/Cite&gt;&lt;/EndNote&gt;</w:instrText>
      </w:r>
      <w:r w:rsidRPr="00734942">
        <w:fldChar w:fldCharType="separate"/>
      </w:r>
      <w:r w:rsidR="00735CC0" w:rsidRPr="00735CC0">
        <w:rPr>
          <w:noProof/>
          <w:vertAlign w:val="superscript"/>
        </w:rPr>
        <w:t>193</w:t>
      </w:r>
      <w:r w:rsidRPr="00734942">
        <w:fldChar w:fldCharType="end"/>
      </w:r>
      <w:r w:rsidRPr="00734942">
        <w:t xml:space="preserve"> Scottish Index of Multiple Deprivation 2020v2 deciles,</w:t>
      </w:r>
      <w:r w:rsidRPr="00734942">
        <w:fldChar w:fldCharType="begin"/>
      </w:r>
      <w:r w:rsidR="00735CC0">
        <w:instrText xml:space="preserve"> ADDIN EN.CITE &lt;EndNote&gt;&lt;Cite&gt;&lt;Author&gt;STATISTICS&lt;/Author&gt;&lt;Year&gt;2020&lt;/Year&gt;&lt;RecNum&gt;332&lt;/RecNum&gt;&lt;DisplayText&gt;&lt;style face="superscript"&gt;194&lt;/style&gt;&lt;/DisplayText&gt;&lt;record&gt;&lt;rec-number&gt;332&lt;/rec-number&gt;&lt;foreign-keys&gt;&lt;key app="EN" db-id="tdwrx9xd1z9eepeevr355w2k959rv0f5zaax" timestamp="1632939188"&gt;332&lt;/key&gt;&lt;/foreign-keys&gt;&lt;ref-type name="Journal Article"&gt;17&lt;/ref-type&gt;&lt;contributors&gt;&lt;authors&gt;&lt;author&gt;PUBLICATION - STATISTICS&lt;/author&gt;&lt;/authors&gt;&lt;/contributors&gt;&lt;titles&gt;&lt;title&gt;Scottish Index of Multiple Deprivation 2020v2 postcode lookup file&lt;/title&gt;&lt;secondary-title&gt;Housing and Social Justice Directorate&lt;/secondary-title&gt;&lt;/titles&gt;&lt;periodical&gt;&lt;full-title&gt;Housing and Social Justice Directorate&lt;/full-title&gt;&lt;/periodical&gt;&lt;dates&gt;&lt;year&gt;2020&lt;/year&gt;&lt;/dates&gt;&lt;urls&gt;&lt;related-urls&gt;&lt;url&gt;www.gov.scot/publications/scottish-index-of-multiple-deprivation-2020v2-postcode-look-up/&lt;/url&gt;&lt;/related-urls&gt;&lt;/urls&gt;&lt;/record&gt;&lt;/Cite&gt;&lt;/EndNote&gt;</w:instrText>
      </w:r>
      <w:r w:rsidRPr="00734942">
        <w:fldChar w:fldCharType="separate"/>
      </w:r>
      <w:r w:rsidR="00735CC0" w:rsidRPr="00735CC0">
        <w:rPr>
          <w:noProof/>
          <w:vertAlign w:val="superscript"/>
        </w:rPr>
        <w:t>194</w:t>
      </w:r>
      <w:r w:rsidRPr="00734942">
        <w:fldChar w:fldCharType="end"/>
      </w:r>
      <w:r w:rsidRPr="00734942">
        <w:t xml:space="preserve"> Welsh Index of Multiple Deprivation deciles,</w:t>
      </w:r>
      <w:r w:rsidRPr="00734942">
        <w:fldChar w:fldCharType="begin"/>
      </w:r>
      <w:r w:rsidR="00735CC0">
        <w:instrText xml:space="preserve"> ADDIN EN.CITE &lt;EndNote&gt;&lt;Cite&gt;&lt;Author&gt;Statistics for Wales&lt;/Author&gt;&lt;Year&gt;2019&lt;/Year&gt;&lt;RecNum&gt;333&lt;/RecNum&gt;&lt;DisplayText&gt;&lt;style face="superscript"&gt;195&lt;/style&gt;&lt;/DisplayText&gt;&lt;record&gt;&lt;rec-number&gt;333&lt;/rec-number&gt;&lt;foreign-keys&gt;&lt;key app="EN" db-id="tdwrx9xd1z9eepeevr355w2k959rv0f5zaax" timestamp="1632939188"&gt;333&lt;/key&gt;&lt;/foreign-keys&gt;&lt;ref-type name="Journal Article"&gt;17&lt;/ref-type&gt;&lt;contributors&gt;&lt;authors&gt;&lt;author&gt;Statistics for Wales,&lt;/author&gt;&lt;/authors&gt;&lt;/contributors&gt;&lt;titles&gt;&lt;title&gt;Welsh Index of Multiple Deprivation (WIMD) index guidance, technical information and background documentation.&lt;/title&gt;&lt;secondary-title&gt;Welsh Government&lt;/secondary-title&gt;&lt;/titles&gt;&lt;periodical&gt;&lt;full-title&gt;Welsh Government&lt;/full-title&gt;&lt;/periodical&gt;&lt;dates&gt;&lt;year&gt;2019&lt;/year&gt;&lt;/dates&gt;&lt;urls&gt;&lt;related-urls&gt;&lt;url&gt;gov.wales/welsh-index-multiple-deprivation-index-guidance#section-17160&lt;/url&gt;&lt;/related-urls&gt;&lt;/urls&gt;&lt;/record&gt;&lt;/Cite&gt;&lt;/EndNote&gt;</w:instrText>
      </w:r>
      <w:r w:rsidRPr="00734942">
        <w:fldChar w:fldCharType="separate"/>
      </w:r>
      <w:r w:rsidR="00735CC0" w:rsidRPr="00735CC0">
        <w:rPr>
          <w:noProof/>
          <w:vertAlign w:val="superscript"/>
        </w:rPr>
        <w:t>195</w:t>
      </w:r>
      <w:r w:rsidRPr="00734942">
        <w:fldChar w:fldCharType="end"/>
      </w:r>
      <w:r w:rsidRPr="00734942">
        <w:t xml:space="preserve"> and Northern Ireland deprivation rank converted to decile.</w:t>
      </w:r>
      <w:r w:rsidRPr="00734942">
        <w:fldChar w:fldCharType="begin"/>
      </w:r>
      <w:r w:rsidR="00735CC0">
        <w:instrText xml:space="preserve"> ADDIN EN.CITE &lt;EndNote&gt;&lt;Cite&gt;&lt;Author&gt;Agency&lt;/Author&gt;&lt;RecNum&gt;334&lt;/RecNum&gt;&lt;DisplayText&gt;&lt;style face="superscript"&gt;196&lt;/style&gt;&lt;/DisplayText&gt;&lt;record&gt;&lt;rec-number&gt;334&lt;/rec-number&gt;&lt;foreign-keys&gt;&lt;key app="EN" db-id="tdwrx9xd1z9eepeevr355w2k959rv0f5zaax" timestamp="1632939188"&gt;334&lt;/key&gt;&lt;/foreign-keys&gt;&lt;ref-type name="Journal Article"&gt;17&lt;/ref-type&gt;&lt;contributors&gt;&lt;authors&gt;&lt;author&gt;Northern Ireland Statisitics and Research Agency&lt;/author&gt;&lt;/authors&gt;&lt;/contributors&gt;&lt;titles&gt;&lt;title&gt;NI Multiple Deprivation Measures&lt;/title&gt;&lt;/titles&gt;&lt;dates&gt;&lt;/dates&gt;&lt;urls&gt;&lt;related-urls&gt;&lt;url&gt;https://deprivation.nisra.gov.uk/, accessed on 07/05/2021&lt;/url&gt;&lt;/related-urls&gt;&lt;/urls&gt;&lt;/record&gt;&lt;/Cite&gt;&lt;/EndNote&gt;</w:instrText>
      </w:r>
      <w:r w:rsidRPr="00734942">
        <w:fldChar w:fldCharType="separate"/>
      </w:r>
      <w:r w:rsidR="00735CC0" w:rsidRPr="00735CC0">
        <w:rPr>
          <w:noProof/>
          <w:vertAlign w:val="superscript"/>
        </w:rPr>
        <w:t>196</w:t>
      </w:r>
      <w:r w:rsidRPr="00734942">
        <w:fldChar w:fldCharType="end"/>
      </w:r>
      <w:r w:rsidRPr="00734942">
        <w:t xml:space="preserve"> Respondents with postcodes from outside of the UK were excluded.</w:t>
      </w:r>
    </w:p>
    <w:p w14:paraId="791D52D4" w14:textId="63106F41" w:rsidR="001C02BC" w:rsidRPr="00734942" w:rsidRDefault="001C02BC" w:rsidP="001C02BC">
      <w:r w:rsidRPr="00734942">
        <w:t xml:space="preserve">Descriptive statistics including percentages, medians, and inter quartile ranges (IQR) were used to describe the sample. We calculated summary estimates with 95% </w:t>
      </w:r>
      <w:r w:rsidR="00236E8F">
        <w:t>CIs</w:t>
      </w:r>
      <w:r w:rsidRPr="00734942">
        <w:t xml:space="preserve"> on </w:t>
      </w:r>
      <w:r w:rsidR="00DF4BF9">
        <w:t>the level of certainty</w:t>
      </w:r>
      <w:r w:rsidR="00903424" w:rsidRPr="00734942">
        <w:t xml:space="preserve"> </w:t>
      </w:r>
      <w:r w:rsidRPr="00734942">
        <w:t xml:space="preserve">respondents want </w:t>
      </w:r>
      <w:r w:rsidR="00DF4BF9">
        <w:t>from a blood test</w:t>
      </w:r>
      <w:r w:rsidRPr="00734942">
        <w:t xml:space="preserve"> before committing to a lifelong </w:t>
      </w:r>
      <w:r w:rsidR="00345E39">
        <w:t>gluten-free diet</w:t>
      </w:r>
      <w:r w:rsidR="00F65D56" w:rsidRPr="00734942">
        <w:t xml:space="preserve"> </w:t>
      </w:r>
      <w:r w:rsidR="00592740">
        <w:t>if they had or didn’t have symptoms.</w:t>
      </w:r>
      <w:r w:rsidR="00592740" w:rsidRPr="00734942">
        <w:t xml:space="preserve"> </w:t>
      </w:r>
      <w:r w:rsidRPr="00734942">
        <w:t xml:space="preserve">We performed an exploratory analysis to identify possible causes of variation in answers. We performed multiple linear regression to investigate whether having a CD diagnosis, being familiar with the </w:t>
      </w:r>
      <w:r w:rsidR="00345E39">
        <w:t>gluten-free diet</w:t>
      </w:r>
      <w:r w:rsidRPr="00734942">
        <w:t>, or ever having had a biopsy was associated with the level of certainty people chose. We accounted for age group in the model.</w:t>
      </w:r>
    </w:p>
    <w:p w14:paraId="096B7D03" w14:textId="37374B11" w:rsidR="001C02BC" w:rsidRPr="00734942" w:rsidRDefault="001C02BC" w:rsidP="001C02BC">
      <w:pPr>
        <w:rPr>
          <w:color w:val="000000"/>
          <w:shd w:val="clear" w:color="auto" w:fill="FFFFFF"/>
        </w:rPr>
      </w:pPr>
      <w:r w:rsidRPr="00734942">
        <w:t xml:space="preserve">We performed a subset analysis, using descriptive </w:t>
      </w:r>
      <w:r w:rsidRPr="00210073">
        <w:t xml:space="preserve">statistics, on all respondents with CD to investigate how difficult they find adhering to the diet, </w:t>
      </w:r>
      <w:r w:rsidR="004F68F6" w:rsidRPr="00210073">
        <w:t xml:space="preserve">and </w:t>
      </w:r>
      <w:r w:rsidRPr="00210073">
        <w:t>how strictly they adhere to it</w:t>
      </w:r>
      <w:r w:rsidR="00304B64" w:rsidRPr="00210073">
        <w:t>,</w:t>
      </w:r>
      <w:r w:rsidR="00304B64" w:rsidRPr="00734942">
        <w:t xml:space="preserve"> and to quantify their quality of life. Quality of life measures were calculated according to the standardised CD-QoL Measure 1.0 as previously described.</w:t>
      </w:r>
      <w:r w:rsidR="00304B64" w:rsidRPr="00734942">
        <w:fldChar w:fldCharType="begin"/>
      </w:r>
      <w:r w:rsidR="00735CC0">
        <w:instrText xml:space="preserve"> ADDIN EN.CITE &lt;EndNote&gt;&lt;Cite&gt;&lt;Author&gt;Dorn&lt;/Author&gt;&lt;Year&gt;2010&lt;/Year&gt;&lt;RecNum&gt;330&lt;/RecNum&gt;&lt;DisplayText&gt;&lt;style face="superscript"&gt;192&lt;/style&gt;&lt;/DisplayText&gt;&lt;record&gt;&lt;rec-number&gt;330&lt;/rec-number&gt;&lt;foreign-keys&gt;&lt;key app="EN" db-id="tdwrx9xd1z9eepeevr355w2k959rv0f5zaax" timestamp="1632939188"&gt;330&lt;/key&gt;&lt;/foreign-keys&gt;&lt;ref-type name="Journal Article"&gt;17&lt;/ref-type&gt;&lt;contributors&gt;&lt;authors&gt;&lt;author&gt;Dorn, S. D.&lt;/author&gt;&lt;author&gt;Hernandez, L.&lt;/author&gt;&lt;author&gt;Minaya, M. T.&lt;/author&gt;&lt;author&gt;Morris, C. B.&lt;/author&gt;&lt;author&gt;Hu, Y.&lt;/author&gt;&lt;author&gt;Leserman, J.&lt;/author&gt;&lt;author&gt;Lewis, S.&lt;/author&gt;&lt;author&gt;Lee, A.&lt;/author&gt;&lt;author&gt;Bangdiwala, S. I.&lt;/author&gt;&lt;author&gt;Green, P. H.&lt;/author&gt;&lt;author&gt;Drossman, D. A.&lt;/author&gt;&lt;/authors&gt;&lt;/contributors&gt;&lt;auth-address&gt;Center for Functional GI and Motility Disorders, University of North Carolina, USA.&lt;/auth-address&gt;&lt;titles&gt;&lt;title&gt;The development and validation of a new coeliac disease quality of life survey (CD-QOL)&lt;/title&gt;&lt;secondary-title&gt;Aliment Pharmacol Ther&lt;/secondary-title&gt;&lt;/titles&gt;&lt;periodical&gt;&lt;full-title&gt;Aliment Pharmacol Ther&lt;/full-title&gt;&lt;/periodical&gt;&lt;pages&gt;666-75&lt;/pages&gt;&lt;volume&gt;31&lt;/volume&gt;&lt;number&gt;6&lt;/number&gt;&lt;edition&gt;2009/12/18&lt;/edition&gt;&lt;keywords&gt;&lt;keyword&gt;Adolescent&lt;/keyword&gt;&lt;keyword&gt;Adult&lt;/keyword&gt;&lt;keyword&gt;Aged&lt;/keyword&gt;&lt;keyword&gt;Aged, 80 and over&lt;/keyword&gt;&lt;keyword&gt;Celiac Disease/*psychology&lt;/keyword&gt;&lt;keyword&gt;Female&lt;/keyword&gt;&lt;keyword&gt;Focus Groups&lt;/keyword&gt;&lt;keyword&gt;Health Status&lt;/keyword&gt;&lt;keyword&gt;Humans&lt;/keyword&gt;&lt;keyword&gt;Male&lt;/keyword&gt;&lt;keyword&gt;Middle Aged&lt;/keyword&gt;&lt;keyword&gt;Psychometrics/*standards&lt;/keyword&gt;&lt;keyword&gt;*Quality of Life&lt;/keyword&gt;&lt;keyword&gt;Reproducibility of Results&lt;/keyword&gt;&lt;keyword&gt;Surveys and Questionnaires/*standards&lt;/keyword&gt;&lt;/keywords&gt;&lt;dates&gt;&lt;year&gt;2010&lt;/year&gt;&lt;pub-dates&gt;&lt;date&gt;Mar&lt;/date&gt;&lt;/pub-dates&gt;&lt;/dates&gt;&lt;isbn&gt;1365-2036 (Electronic)&amp;#xD;0269-2813 (Linking)&lt;/isbn&gt;&lt;accession-num&gt;20015103&lt;/accession-num&gt;&lt;urls&gt;&lt;related-urls&gt;&lt;url&gt;https://www.ncbi.nlm.nih.gov/pubmed/20015103&lt;/url&gt;&lt;/related-urls&gt;&lt;/urls&gt;&lt;electronic-resource-num&gt;10.1111/j.1365-2036.2009.04220.x&lt;/electronic-resource-num&gt;&lt;/record&gt;&lt;/Cite&gt;&lt;/EndNote&gt;</w:instrText>
      </w:r>
      <w:r w:rsidR="00304B64" w:rsidRPr="00734942">
        <w:fldChar w:fldCharType="separate"/>
      </w:r>
      <w:r w:rsidR="00735CC0" w:rsidRPr="00735CC0">
        <w:rPr>
          <w:noProof/>
          <w:vertAlign w:val="superscript"/>
        </w:rPr>
        <w:t>192</w:t>
      </w:r>
      <w:r w:rsidR="00304B64" w:rsidRPr="00734942">
        <w:fldChar w:fldCharType="end"/>
      </w:r>
      <w:r w:rsidR="00304B64" w:rsidRPr="00734942">
        <w:t xml:space="preserve"> In brief, questions are grouped into four domains: dysphoria, </w:t>
      </w:r>
      <w:r w:rsidR="00AC7BE2">
        <w:t>CD</w:t>
      </w:r>
      <w:r w:rsidR="00304B64" w:rsidRPr="00734942">
        <w:t xml:space="preserve"> related limitations, health concerns, and inadequate treatment. A score is calculated by transforming the Likert-scale to a number, summing up the scores per domain, and converting these to a score that ranges from 0-100 with formulas supplied by the developers.</w:t>
      </w:r>
    </w:p>
    <w:p w14:paraId="03B26BD4" w14:textId="7995B661" w:rsidR="00210073" w:rsidRPr="0052048B" w:rsidRDefault="001C02BC" w:rsidP="0005673C">
      <w:pPr>
        <w:rPr>
          <w:color w:val="000000"/>
          <w:shd w:val="clear" w:color="auto" w:fill="FFFFFF"/>
        </w:rPr>
      </w:pPr>
      <w:r w:rsidRPr="00734942">
        <w:rPr>
          <w:rFonts w:cstheme="minorHAnsi"/>
        </w:rPr>
        <w:t>To analyse the free text answers in which respondents could explain their responses to each scenario, we used content analysis to identify themes and patterns as described by Hsieh and Shannon</w:t>
      </w:r>
      <w:r w:rsidR="00C356ED" w:rsidRPr="00734942">
        <w:rPr>
          <w:rFonts w:cstheme="minorHAnsi"/>
        </w:rPr>
        <w:t>,</w:t>
      </w:r>
      <w:r w:rsidR="00FA669F" w:rsidRPr="00734942">
        <w:rPr>
          <w:rFonts w:cstheme="minorHAnsi"/>
        </w:rPr>
        <w:fldChar w:fldCharType="begin"/>
      </w:r>
      <w:r w:rsidR="00735CC0">
        <w:rPr>
          <w:rFonts w:cstheme="minorHAnsi"/>
        </w:rPr>
        <w:instrText xml:space="preserve"> ADDIN EN.CITE &lt;EndNote&gt;&lt;Cite&gt;&lt;Author&gt;Hsieh&lt;/Author&gt;&lt;Year&gt;2005&lt;/Year&gt;&lt;RecNum&gt;337&lt;/RecNum&gt;&lt;DisplayText&gt;&lt;style face="superscript"&gt;197&lt;/style&gt;&lt;/DisplayText&gt;&lt;record&gt;&lt;rec-number&gt;337&lt;/rec-number&gt;&lt;foreign-keys&gt;&lt;key app="EN" db-id="tdwrx9xd1z9eepeevr355w2k959rv0f5zaax" timestamp="1633015153"&gt;337&lt;/key&gt;&lt;/foreign-keys&gt;&lt;ref-type name="Journal Article"&gt;17&lt;/ref-type&gt;&lt;contributors&gt;&lt;authors&gt;&lt;author&gt;Hsieh, Hsiu-Fang&lt;/author&gt;&lt;author&gt;Shannon, Sarah E.&lt;/author&gt;&lt;/authors&gt;&lt;/contributors&gt;&lt;titles&gt;&lt;title&gt;Three Approaches to Qualitative Content Analysis&lt;/title&gt;&lt;secondary-title&gt;Qualitative Health Research&lt;/secondary-title&gt;&lt;/titles&gt;&lt;periodical&gt;&lt;full-title&gt;Qualitative Health Research&lt;/full-title&gt;&lt;/periodical&gt;&lt;pages&gt;1277-1288&lt;/pages&gt;&lt;volume&gt;15&lt;/volume&gt;&lt;number&gt;9&lt;/number&gt;&lt;dates&gt;&lt;year&gt;2005&lt;/year&gt;&lt;pub-dates&gt;&lt;date&gt;2005/11/01&lt;/date&gt;&lt;/pub-dates&gt;&lt;/dates&gt;&lt;publisher&gt;SAGE Publications Inc&lt;/publisher&gt;&lt;isbn&gt;1049-7323&lt;/isbn&gt;&lt;urls&gt;&lt;related-urls&gt;&lt;url&gt;https://doi.org/10.1177/1049732305276687&lt;/url&gt;&lt;/related-urls&gt;&lt;/urls&gt;&lt;electronic-resource-num&gt;10.1177/1049732305276687&lt;/electronic-resource-num&gt;&lt;access-date&gt;2021/09/30&lt;/access-date&gt;&lt;/record&gt;&lt;/Cite&gt;&lt;/EndNote&gt;</w:instrText>
      </w:r>
      <w:r w:rsidR="00FA669F" w:rsidRPr="00734942">
        <w:rPr>
          <w:rFonts w:cstheme="minorHAnsi"/>
        </w:rPr>
        <w:fldChar w:fldCharType="separate"/>
      </w:r>
      <w:r w:rsidR="00735CC0" w:rsidRPr="00735CC0">
        <w:rPr>
          <w:rFonts w:cstheme="minorHAnsi"/>
          <w:noProof/>
          <w:vertAlign w:val="superscript"/>
        </w:rPr>
        <w:t>197</w:t>
      </w:r>
      <w:r w:rsidR="00FA669F" w:rsidRPr="00734942">
        <w:rPr>
          <w:rFonts w:cstheme="minorHAnsi"/>
        </w:rPr>
        <w:fldChar w:fldCharType="end"/>
      </w:r>
      <w:r w:rsidR="00C356ED" w:rsidRPr="00734942">
        <w:rPr>
          <w:rFonts w:cstheme="minorHAnsi"/>
        </w:rPr>
        <w:t xml:space="preserve"> </w:t>
      </w:r>
      <w:r w:rsidRPr="00734942">
        <w:rPr>
          <w:rFonts w:cstheme="minorHAnsi"/>
        </w:rPr>
        <w:t>where</w:t>
      </w:r>
      <w:r w:rsidRPr="00734942">
        <w:rPr>
          <w:shd w:val="clear" w:color="auto" w:fill="FFFFFF"/>
        </w:rPr>
        <w:t xml:space="preserve"> a bottom-up approach is used to explore qualitative data.</w:t>
      </w:r>
      <w:r w:rsidRPr="00734942">
        <w:rPr>
          <w:rFonts w:cstheme="minorHAnsi"/>
        </w:rPr>
        <w:t xml:space="preserve"> </w:t>
      </w:r>
      <w:r w:rsidRPr="00734942">
        <w:rPr>
          <w:color w:val="000000"/>
          <w:shd w:val="clear" w:color="auto" w:fill="FFFFFF"/>
        </w:rPr>
        <w:t>ROD coded the free-text answers and analysed the responses by identifying higher-level recurring themes.</w:t>
      </w:r>
    </w:p>
    <w:p w14:paraId="41C633A1" w14:textId="7A8DB06E" w:rsidR="00A220F8" w:rsidRPr="00734942" w:rsidRDefault="00A220F8" w:rsidP="00A220F8">
      <w:pPr>
        <w:pStyle w:val="Heading2"/>
      </w:pPr>
      <w:bookmarkStart w:id="217" w:name="_Toc99539888"/>
      <w:r w:rsidRPr="00734942">
        <w:t>Results</w:t>
      </w:r>
      <w:bookmarkEnd w:id="217"/>
    </w:p>
    <w:p w14:paraId="3AF9AEFC" w14:textId="77777777" w:rsidR="0000045E" w:rsidRPr="00734942" w:rsidRDefault="0000045E" w:rsidP="0000045E">
      <w:pPr>
        <w:pStyle w:val="Heading3"/>
      </w:pPr>
      <w:bookmarkStart w:id="218" w:name="_Toc99539889"/>
      <w:r w:rsidRPr="00734942">
        <w:t>Respondent characteristics</w:t>
      </w:r>
      <w:bookmarkEnd w:id="218"/>
    </w:p>
    <w:p w14:paraId="17BADC3B" w14:textId="232EEB92" w:rsidR="0000045E" w:rsidRPr="00734942" w:rsidRDefault="0000045E" w:rsidP="0000045E">
      <w:r w:rsidRPr="00734942">
        <w:t>The survey was completed by 472 people. Five respondents</w:t>
      </w:r>
      <w:r w:rsidRPr="00734942" w:rsidDel="006847B6">
        <w:t xml:space="preserve"> </w:t>
      </w:r>
      <w:r w:rsidRPr="00734942">
        <w:t>did not live in the UK and were removed from the analysis. 244 (52%) respondents</w:t>
      </w:r>
      <w:r w:rsidRPr="00734942" w:rsidDel="006847B6">
        <w:t xml:space="preserve"> </w:t>
      </w:r>
      <w:r w:rsidRPr="00734942">
        <w:t xml:space="preserve">had CD, </w:t>
      </w:r>
      <w:r w:rsidR="001029E6">
        <w:t xml:space="preserve">with </w:t>
      </w:r>
      <w:r w:rsidRPr="00734942">
        <w:t xml:space="preserve">the </w:t>
      </w:r>
      <w:r w:rsidR="001029E6">
        <w:t xml:space="preserve">condition </w:t>
      </w:r>
      <w:r w:rsidRPr="00734942">
        <w:t>confirmed by a blood test and/or biopsy. An additional 36 respondents</w:t>
      </w:r>
      <w:r w:rsidRPr="00734942" w:rsidDel="006847B6">
        <w:t xml:space="preserve"> </w:t>
      </w:r>
      <w:r w:rsidRPr="00734942">
        <w:t xml:space="preserve">believed they had CD, although this </w:t>
      </w:r>
      <w:r w:rsidR="001029E6">
        <w:t>had not been</w:t>
      </w:r>
      <w:r w:rsidRPr="00734942">
        <w:t xml:space="preserve"> confirmed by a test. These respondents</w:t>
      </w:r>
      <w:r w:rsidRPr="00734942" w:rsidDel="006847B6">
        <w:t xml:space="preserve"> </w:t>
      </w:r>
      <w:r w:rsidRPr="00734942">
        <w:t>were included in the group without confirmed CD (n=223, 48%). 32 (6.9%) respondents</w:t>
      </w:r>
      <w:r w:rsidRPr="00734942" w:rsidDel="006847B6">
        <w:t xml:space="preserve"> </w:t>
      </w:r>
      <w:r w:rsidRPr="00734942">
        <w:t>were children</w:t>
      </w:r>
      <w:r w:rsidR="005E0EFD" w:rsidRPr="00734942">
        <w:t xml:space="preserve"> (age &lt;18 years)</w:t>
      </w:r>
      <w:r w:rsidR="00877FEF" w:rsidRPr="00734942">
        <w:t xml:space="preserve"> who either filled out the questionnaire by themselves or </w:t>
      </w:r>
      <w:r w:rsidR="005E0EFD" w:rsidRPr="00734942">
        <w:t>this was done by a parent on their behalf</w:t>
      </w:r>
      <w:r w:rsidRPr="00734942">
        <w:t>. The majority of respondents</w:t>
      </w:r>
      <w:r w:rsidRPr="00734942" w:rsidDel="006847B6">
        <w:t xml:space="preserve"> </w:t>
      </w:r>
      <w:r w:rsidRPr="00734942">
        <w:t>were between 26 and 64 years of age (n=310, 66.2%). Questions on sex, ethnicity, qualifications, and postcode were optional; these were completed by most CD patients whereas most respondents</w:t>
      </w:r>
      <w:r w:rsidRPr="00734942" w:rsidDel="006847B6">
        <w:t xml:space="preserve"> </w:t>
      </w:r>
      <w:r w:rsidRPr="00734942">
        <w:t>without CD did not answer these questions. Among those who completed the optional questions, the vast majority were white (n=264, 95%) and female (n=239, 86%), most respondents</w:t>
      </w:r>
      <w:r w:rsidRPr="00734942" w:rsidDel="006847B6">
        <w:t xml:space="preserve"> </w:t>
      </w:r>
      <w:r w:rsidRPr="00734942">
        <w:t>went to university or college (n=159, 58%)</w:t>
      </w:r>
      <w:r w:rsidR="009648DD">
        <w:t xml:space="preserve">. The highest proportion </w:t>
      </w:r>
      <w:r w:rsidRPr="00734942">
        <w:t xml:space="preserve">lived in the </w:t>
      </w:r>
      <w:r w:rsidR="00210073" w:rsidRPr="00734942">
        <w:t>South</w:t>
      </w:r>
      <w:r w:rsidR="00210073">
        <w:t>west</w:t>
      </w:r>
      <w:r w:rsidRPr="00734942">
        <w:t xml:space="preserve"> of England (n=98, 36%). </w:t>
      </w:r>
      <w:r w:rsidR="0098066F">
        <w:t>R</w:t>
      </w:r>
      <w:r w:rsidRPr="00734942">
        <w:t>espondents</w:t>
      </w:r>
      <w:r w:rsidRPr="00734942" w:rsidDel="006847B6">
        <w:t xml:space="preserve"> </w:t>
      </w:r>
      <w:r w:rsidR="0098066F">
        <w:t>tended to live</w:t>
      </w:r>
      <w:r w:rsidRPr="00734942">
        <w:t xml:space="preserve"> in less deprived areas (median deprivation index of 7) compared to the national average and this was similar in respondents</w:t>
      </w:r>
      <w:r w:rsidRPr="00734942" w:rsidDel="006847B6">
        <w:t xml:space="preserve"> </w:t>
      </w:r>
      <w:r w:rsidRPr="00734942">
        <w:t>with and without CD. 304 (65%) respondents</w:t>
      </w:r>
      <w:r w:rsidRPr="00734942" w:rsidDel="006847B6">
        <w:t xml:space="preserve"> </w:t>
      </w:r>
      <w:r w:rsidRPr="00734942">
        <w:t xml:space="preserve">were following a </w:t>
      </w:r>
      <w:r w:rsidR="00345E39">
        <w:t>gluten-free diet</w:t>
      </w:r>
      <w:r w:rsidR="00F65D56" w:rsidRPr="00734942">
        <w:t xml:space="preserve"> </w:t>
      </w:r>
      <w:r w:rsidRPr="00734942">
        <w:t>at the time of filling out the survey and 28 (6%) had done so in the past</w:t>
      </w:r>
      <w:r w:rsidR="0088126A" w:rsidRPr="00734942">
        <w:t xml:space="preserve"> (</w:t>
      </w:r>
      <w:r w:rsidR="00490104">
        <w:t xml:space="preserve">Appendix 22 </w:t>
      </w:r>
      <w:r w:rsidR="00490104">
        <w:fldChar w:fldCharType="begin"/>
      </w:r>
      <w:r w:rsidR="00490104">
        <w:instrText xml:space="preserve"> REF _Ref95380697 \h </w:instrText>
      </w:r>
      <w:r w:rsidR="00490104">
        <w:fldChar w:fldCharType="separate"/>
      </w:r>
      <w:r w:rsidR="008B5583" w:rsidRPr="00734942">
        <w:t xml:space="preserve">Table </w:t>
      </w:r>
      <w:r w:rsidR="008B5583">
        <w:rPr>
          <w:noProof/>
        </w:rPr>
        <w:t>59</w:t>
      </w:r>
      <w:r w:rsidR="00490104">
        <w:fldChar w:fldCharType="end"/>
      </w:r>
      <w:r w:rsidR="0088126A" w:rsidRPr="00734942">
        <w:t>)</w:t>
      </w:r>
      <w:r w:rsidRPr="00734942">
        <w:t>.</w:t>
      </w:r>
    </w:p>
    <w:p w14:paraId="3C196EF9" w14:textId="77777777" w:rsidR="0000045E" w:rsidRPr="00734942" w:rsidRDefault="0000045E" w:rsidP="0000045E">
      <w:pPr>
        <w:pStyle w:val="Heading3"/>
      </w:pPr>
      <w:bookmarkStart w:id="219" w:name="_Toc99539890"/>
      <w:r w:rsidRPr="00734942">
        <w:lastRenderedPageBreak/>
        <w:t>Scenarios</w:t>
      </w:r>
      <w:bookmarkEnd w:id="219"/>
    </w:p>
    <w:p w14:paraId="36C31FEC" w14:textId="23EF6FF7" w:rsidR="0000045E" w:rsidRPr="00734942" w:rsidRDefault="0000045E" w:rsidP="0000045E">
      <w:r w:rsidRPr="00734942">
        <w:t>The scenario questions were answered by 88.5-90.0% of respondents</w:t>
      </w:r>
      <w:r w:rsidRPr="00734942" w:rsidDel="006847B6">
        <w:t xml:space="preserve"> </w:t>
      </w:r>
      <w:r w:rsidRPr="00734942">
        <w:t>(</w:t>
      </w:r>
      <w:r w:rsidR="00DA4CB7">
        <w:fldChar w:fldCharType="begin"/>
      </w:r>
      <w:r w:rsidR="00DA4CB7">
        <w:instrText xml:space="preserve"> REF _Ref95384745 \h </w:instrText>
      </w:r>
      <w:r w:rsidR="00DA4CB7">
        <w:fldChar w:fldCharType="separate"/>
      </w:r>
      <w:r w:rsidR="008B5583" w:rsidRPr="00734942">
        <w:t xml:space="preserve">Table </w:t>
      </w:r>
      <w:r w:rsidR="008B5583">
        <w:rPr>
          <w:noProof/>
        </w:rPr>
        <w:t>14</w:t>
      </w:r>
      <w:r w:rsidR="00DA4CB7">
        <w:fldChar w:fldCharType="end"/>
      </w:r>
      <w:r w:rsidRPr="00734942">
        <w:t xml:space="preserve">). In scenario 1, </w:t>
      </w:r>
      <w:r w:rsidR="0020170C">
        <w:t xml:space="preserve">in which </w:t>
      </w:r>
      <w:r w:rsidRPr="00734942">
        <w:t>respondents</w:t>
      </w:r>
      <w:r w:rsidRPr="00734942" w:rsidDel="006847B6">
        <w:t xml:space="preserve"> </w:t>
      </w:r>
      <w:r w:rsidRPr="00734942">
        <w:t>were asked to imagine having typical CD symptoms</w:t>
      </w:r>
      <w:r w:rsidR="006967C7">
        <w:t>,</w:t>
      </w:r>
      <w:r w:rsidRPr="00734942">
        <w:t xml:space="preserve"> 387 (92.8%) respondents</w:t>
      </w:r>
      <w:r w:rsidRPr="00734942" w:rsidDel="006847B6">
        <w:t xml:space="preserve"> </w:t>
      </w:r>
      <w:r w:rsidRPr="00734942">
        <w:t>opted for a blood test. If the blood test showed a negative result for CD, 223 (53.5%) respondents</w:t>
      </w:r>
      <w:r w:rsidRPr="00734942" w:rsidDel="006847B6">
        <w:t xml:space="preserve"> </w:t>
      </w:r>
      <w:r w:rsidRPr="00734942">
        <w:t xml:space="preserve">chose to follow a </w:t>
      </w:r>
      <w:r w:rsidR="00345E39">
        <w:t>gluten-free diet</w:t>
      </w:r>
      <w:r w:rsidR="00F65D56" w:rsidRPr="00734942">
        <w:t xml:space="preserve"> </w:t>
      </w:r>
      <w:r w:rsidRPr="00734942">
        <w:t>anyway to find out if it reduced their symptoms, 93 (22.3%) respondents</w:t>
      </w:r>
      <w:r w:rsidRPr="00734942" w:rsidDel="006847B6">
        <w:t xml:space="preserve"> </w:t>
      </w:r>
      <w:r w:rsidRPr="00734942">
        <w:t>wanted further testing for CD, and only 101 (24.2%) accepted that it was unlikely that they have CD. The free text answers revealed that some respondents misunderstood this question and believed that the negative test result followed two positive test results, which may have affected their answers.</w:t>
      </w:r>
    </w:p>
    <w:p w14:paraId="76AC75ED" w14:textId="59F8BF32" w:rsidR="0000045E" w:rsidRPr="00734942" w:rsidRDefault="0000045E" w:rsidP="0000045E">
      <w:r w:rsidRPr="00734942">
        <w:t xml:space="preserve">If the test result </w:t>
      </w:r>
      <w:r w:rsidRPr="006967C7">
        <w:t xml:space="preserve">showed a positive result for CD, corresponding to a 33% risk of having CD, the majority of respondents </w:t>
      </w:r>
      <w:r w:rsidR="006151B5" w:rsidRPr="006967C7">
        <w:t>opted for a confirmation biopsy (n= 295, 70.7%)</w:t>
      </w:r>
      <w:r w:rsidR="00965D20" w:rsidRPr="006967C7">
        <w:t xml:space="preserve"> rather than starting a </w:t>
      </w:r>
      <w:r w:rsidR="00345E39" w:rsidRPr="006967C7">
        <w:t>gluten-free diet</w:t>
      </w:r>
      <w:r w:rsidR="00965D20" w:rsidRPr="006967C7">
        <w:t xml:space="preserve"> immediately</w:t>
      </w:r>
      <w:r w:rsidR="006151B5" w:rsidRPr="006967C7">
        <w:t xml:space="preserve">. If the blood test showed a strong positive result increasing their risk of CD to 75%, 184 (44.1%) respondents chose to start a </w:t>
      </w:r>
      <w:r w:rsidR="00345E39" w:rsidRPr="006967C7">
        <w:t>gluten-free diet</w:t>
      </w:r>
      <w:r w:rsidR="00E512AC" w:rsidRPr="006967C7">
        <w:t xml:space="preserve"> </w:t>
      </w:r>
      <w:r w:rsidR="006151B5" w:rsidRPr="006967C7">
        <w:t>without confirmation biopsy, whereas 224 (53.7%) respondents chose to wait</w:t>
      </w:r>
      <w:r w:rsidR="006151B5" w:rsidRPr="00734942">
        <w:t xml:space="preserve"> for a biopsy appointment.</w:t>
      </w:r>
    </w:p>
    <w:p w14:paraId="5134F317" w14:textId="20597566" w:rsidR="0000045E" w:rsidRPr="00734942" w:rsidRDefault="0000045E" w:rsidP="0000045E">
      <w:r w:rsidRPr="00734942">
        <w:t xml:space="preserve">In scenario 2, </w:t>
      </w:r>
      <w:r w:rsidR="002322CF">
        <w:t>in which</w:t>
      </w:r>
      <w:r w:rsidRPr="00734942">
        <w:t xml:space="preserve"> respondents</w:t>
      </w:r>
      <w:r w:rsidRPr="00734942" w:rsidDel="006847B6">
        <w:t xml:space="preserve"> </w:t>
      </w:r>
      <w:r w:rsidRPr="00734942">
        <w:t xml:space="preserve">were asked to imagine that a </w:t>
      </w:r>
      <w:r w:rsidR="00806FE6" w:rsidRPr="00734942">
        <w:t>first</w:t>
      </w:r>
      <w:r w:rsidR="00806FE6">
        <w:t>-</w:t>
      </w:r>
      <w:r w:rsidRPr="00734942">
        <w:t>degree relative had CD</w:t>
      </w:r>
      <w:r w:rsidR="006967C7">
        <w:t>,</w:t>
      </w:r>
      <w:r w:rsidRPr="00734942">
        <w:t xml:space="preserve"> </w:t>
      </w:r>
      <w:r w:rsidR="006967C7">
        <w:t>t</w:t>
      </w:r>
      <w:r w:rsidRPr="00734942">
        <w:t>he majority opted for a blood test (n=369, 88.5%). If the test was positive and the risk of CD 50%, 94 (22.5%) respondents</w:t>
      </w:r>
      <w:r w:rsidRPr="00734942" w:rsidDel="006847B6">
        <w:t xml:space="preserve"> </w:t>
      </w:r>
      <w:r w:rsidRPr="00734942">
        <w:t xml:space="preserve">would start a </w:t>
      </w:r>
      <w:r w:rsidR="00345E39">
        <w:t>gluten-free diet</w:t>
      </w:r>
      <w:r w:rsidR="0033782F">
        <w:t xml:space="preserve"> without a confirmation biopsy</w:t>
      </w:r>
      <w:r w:rsidRPr="00734942">
        <w:t xml:space="preserve">, but most (n=297, 71.2%) would opt for a confirmation biopsy. If the test was </w:t>
      </w:r>
      <w:r w:rsidRPr="00F00C43">
        <w:t>strongly positive and the risk of CD 90%, 195 (46.8%) respondents</w:t>
      </w:r>
      <w:r w:rsidRPr="00F00C43" w:rsidDel="006847B6">
        <w:t xml:space="preserve"> </w:t>
      </w:r>
      <w:r w:rsidRPr="00F00C43">
        <w:t xml:space="preserve">would start the </w:t>
      </w:r>
      <w:r w:rsidR="00345E39" w:rsidRPr="00F00C43">
        <w:t>gluten-free diet</w:t>
      </w:r>
      <w:r w:rsidRPr="00F00C43">
        <w:t>, whereas 207 (</w:t>
      </w:r>
      <w:r w:rsidR="00B34D6F" w:rsidRPr="00F00C43">
        <w:t>49.6%) respondents</w:t>
      </w:r>
      <w:r w:rsidR="00B34D6F" w:rsidRPr="00F00C43" w:rsidDel="006847B6">
        <w:t xml:space="preserve"> </w:t>
      </w:r>
      <w:r w:rsidR="00B34D6F" w:rsidRPr="00F00C43">
        <w:t>still preferred to wait for a confirmation biopsy.</w:t>
      </w:r>
    </w:p>
    <w:p w14:paraId="775EAC11" w14:textId="22F97B6F" w:rsidR="0000045E" w:rsidRPr="00734942" w:rsidRDefault="0000045E" w:rsidP="0000045E">
      <w:r w:rsidRPr="00734942">
        <w:t xml:space="preserve">In scenario 3, </w:t>
      </w:r>
      <w:r w:rsidR="000E56E0">
        <w:t>in which</w:t>
      </w:r>
      <w:r w:rsidRPr="00734942">
        <w:t xml:space="preserve"> the respondents</w:t>
      </w:r>
      <w:r w:rsidRPr="00734942" w:rsidDel="006847B6">
        <w:t xml:space="preserve"> </w:t>
      </w:r>
      <w:r w:rsidRPr="00734942">
        <w:t>were asked to imagine being diagnosed with risk conditions that increased their risk of CD to 2%</w:t>
      </w:r>
      <w:r w:rsidR="000E56E0">
        <w:t xml:space="preserve">, </w:t>
      </w:r>
      <w:r w:rsidRPr="00734942">
        <w:t>376 (90.2%) respondents</w:t>
      </w:r>
      <w:r w:rsidRPr="00734942" w:rsidDel="006847B6">
        <w:t xml:space="preserve"> </w:t>
      </w:r>
      <w:r w:rsidRPr="00734942">
        <w:t>opted to have the blood test. At 15% and 55% risk for CD, after a positive or strongly test result, the majority opted for a confirmation biopsy (n=336, 80.6%; n=311, 74.6%, respectively</w:t>
      </w:r>
      <w:r w:rsidR="00CE7BF3">
        <w:t xml:space="preserve">) rather than starting a </w:t>
      </w:r>
      <w:r w:rsidR="0033672F">
        <w:t>gluten-</w:t>
      </w:r>
      <w:r w:rsidR="00CE7BF3">
        <w:t xml:space="preserve">free </w:t>
      </w:r>
      <w:r w:rsidR="00E028A1">
        <w:t xml:space="preserve">diet </w:t>
      </w:r>
      <w:r w:rsidR="00CE7BF3">
        <w:t>immediately</w:t>
      </w:r>
      <w:r w:rsidRPr="00734942">
        <w:t>.</w:t>
      </w:r>
    </w:p>
    <w:p w14:paraId="4AC02637" w14:textId="39BA6D2A" w:rsidR="00D66764" w:rsidRPr="00734942" w:rsidRDefault="00D66764" w:rsidP="005672CA">
      <w:pPr>
        <w:pStyle w:val="Caption"/>
      </w:pPr>
      <w:bookmarkStart w:id="220" w:name="_Ref95384745"/>
      <w:bookmarkStart w:id="221" w:name="_Toc99720725"/>
      <w:r w:rsidRPr="00734942">
        <w:t xml:space="preserve">Table </w:t>
      </w:r>
      <w:r w:rsidRPr="00734942">
        <w:fldChar w:fldCharType="begin"/>
      </w:r>
      <w:r w:rsidRPr="00734942">
        <w:instrText>SEQ Table \* ARABIC</w:instrText>
      </w:r>
      <w:r w:rsidRPr="00734942">
        <w:fldChar w:fldCharType="separate"/>
      </w:r>
      <w:r w:rsidR="008B5583">
        <w:rPr>
          <w:noProof/>
        </w:rPr>
        <w:t>14</w:t>
      </w:r>
      <w:r w:rsidRPr="00734942">
        <w:fldChar w:fldCharType="end"/>
      </w:r>
      <w:bookmarkEnd w:id="220"/>
      <w:r w:rsidRPr="00734942">
        <w:t xml:space="preserve"> Responses to scenarios</w:t>
      </w:r>
      <w:bookmarkEnd w:id="221"/>
    </w:p>
    <w:p w14:paraId="4699C63E" w14:textId="7105E86A" w:rsidR="00E512AC" w:rsidRPr="005656A0" w:rsidRDefault="00E512AC" w:rsidP="00E512AC">
      <w:pPr>
        <w:rPr>
          <w:sz w:val="20"/>
          <w:szCs w:val="20"/>
        </w:rPr>
      </w:pPr>
      <w:r w:rsidRPr="005656A0">
        <w:rPr>
          <w:sz w:val="20"/>
          <w:szCs w:val="20"/>
        </w:rPr>
        <w:t xml:space="preserve">GFD: </w:t>
      </w:r>
      <w:r w:rsidR="00345E39" w:rsidRPr="005656A0">
        <w:rPr>
          <w:sz w:val="20"/>
          <w:szCs w:val="20"/>
        </w:rPr>
        <w:t>gluten-free diet</w:t>
      </w:r>
    </w:p>
    <w:tbl>
      <w:tblPr>
        <w:tblStyle w:val="PlainTable2"/>
        <w:tblW w:w="5131" w:type="pct"/>
        <w:tblLayout w:type="fixed"/>
        <w:tblLook w:val="04A0" w:firstRow="1" w:lastRow="0" w:firstColumn="1" w:lastColumn="0" w:noHBand="0" w:noVBand="1"/>
      </w:tblPr>
      <w:tblGrid>
        <w:gridCol w:w="1914"/>
        <w:gridCol w:w="1063"/>
        <w:gridCol w:w="1276"/>
        <w:gridCol w:w="1519"/>
        <w:gridCol w:w="1415"/>
        <w:gridCol w:w="2075"/>
      </w:tblGrid>
      <w:tr w:rsidR="00536505" w:rsidRPr="00734942" w14:paraId="28CFCA05" w14:textId="77777777" w:rsidTr="000526F1">
        <w:trPr>
          <w:gridAfter w:val="1"/>
          <w:cnfStyle w:val="100000000000" w:firstRow="1" w:lastRow="0" w:firstColumn="0" w:lastColumn="0" w:oddVBand="0" w:evenVBand="0" w:oddHBand="0" w:evenHBand="0" w:firstRowFirstColumn="0" w:firstRowLastColumn="0" w:lastRowFirstColumn="0" w:lastRowLastColumn="0"/>
          <w:wAfter w:w="33" w:type="pct"/>
          <w:trHeight w:val="288"/>
        </w:trPr>
        <w:tc>
          <w:tcPr>
            <w:cnfStyle w:val="001000000000" w:firstRow="0" w:lastRow="0" w:firstColumn="1" w:lastColumn="0" w:oddVBand="0" w:evenVBand="0" w:oddHBand="0" w:evenHBand="0" w:firstRowFirstColumn="0" w:firstRowLastColumn="0" w:lastRowFirstColumn="0" w:lastRowLastColumn="0"/>
            <w:tcW w:w="0" w:type="pct"/>
            <w:vMerge w:val="restart"/>
            <w:noWrap/>
            <w:vAlign w:val="center"/>
            <w:hideMark/>
          </w:tcPr>
          <w:p w14:paraId="31615CFC" w14:textId="77777777" w:rsidR="00536505" w:rsidRPr="00734942" w:rsidRDefault="00536505" w:rsidP="00536505">
            <w:pPr>
              <w:rPr>
                <w:rFonts w:eastAsia="Times New Roman" w:cstheme="minorHAnsi"/>
                <w:sz w:val="18"/>
                <w:szCs w:val="18"/>
                <w:lang w:eastAsia="en-GB"/>
              </w:rPr>
            </w:pPr>
            <w:r w:rsidRPr="00734942">
              <w:rPr>
                <w:rFonts w:eastAsia="Times New Roman" w:cstheme="minorHAnsi"/>
                <w:sz w:val="18"/>
                <w:szCs w:val="18"/>
                <w:lang w:eastAsia="en-GB"/>
              </w:rPr>
              <w:t>Scenario</w:t>
            </w:r>
          </w:p>
        </w:tc>
        <w:tc>
          <w:tcPr>
            <w:tcW w:w="0" w:type="pct"/>
            <w:vMerge w:val="restart"/>
            <w:noWrap/>
            <w:vAlign w:val="center"/>
          </w:tcPr>
          <w:p w14:paraId="7F38EEA2" w14:textId="0C6D87B8" w:rsidR="00536505" w:rsidRPr="00734942" w:rsidRDefault="00536505" w:rsidP="0053650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Risk of CD</w:t>
            </w:r>
          </w:p>
        </w:tc>
        <w:tc>
          <w:tcPr>
            <w:tcW w:w="0" w:type="pct"/>
            <w:vMerge w:val="restart"/>
            <w:vAlign w:val="center"/>
          </w:tcPr>
          <w:p w14:paraId="4627BACE" w14:textId="60FC549D" w:rsidR="00536505" w:rsidRPr="00734942" w:rsidRDefault="00536505" w:rsidP="0053650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18"/>
                <w:szCs w:val="18"/>
                <w:lang w:eastAsia="en-GB"/>
              </w:rPr>
            </w:pPr>
            <w:r w:rsidRPr="00734942">
              <w:rPr>
                <w:rFonts w:eastAsia="Times New Roman" w:cstheme="minorHAnsi"/>
                <w:sz w:val="18"/>
                <w:szCs w:val="18"/>
                <w:lang w:eastAsia="en-GB"/>
              </w:rPr>
              <w:t>Test result</w:t>
            </w:r>
          </w:p>
        </w:tc>
        <w:tc>
          <w:tcPr>
            <w:tcW w:w="0" w:type="pct"/>
            <w:gridSpan w:val="2"/>
            <w:noWrap/>
            <w:vAlign w:val="center"/>
            <w:hideMark/>
          </w:tcPr>
          <w:p w14:paraId="7D3657B6" w14:textId="77777777" w:rsidR="00536505" w:rsidRPr="00734942" w:rsidRDefault="00536505" w:rsidP="0053650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18"/>
                <w:szCs w:val="18"/>
                <w:lang w:eastAsia="en-GB"/>
              </w:rPr>
            </w:pPr>
            <w:r w:rsidRPr="00734942">
              <w:rPr>
                <w:rFonts w:eastAsia="Times New Roman" w:cstheme="minorHAnsi"/>
                <w:sz w:val="18"/>
                <w:szCs w:val="18"/>
                <w:lang w:eastAsia="en-GB"/>
              </w:rPr>
              <w:t>Preferred option per scenario in response to risk of having CD</w:t>
            </w:r>
          </w:p>
        </w:tc>
      </w:tr>
      <w:tr w:rsidR="00536505" w:rsidRPr="00734942" w14:paraId="747AE40B"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vMerge/>
            <w:noWrap/>
            <w:vAlign w:val="center"/>
          </w:tcPr>
          <w:p w14:paraId="4685E0AE" w14:textId="77777777" w:rsidR="00536505" w:rsidRPr="00734942" w:rsidRDefault="00536505" w:rsidP="00536505">
            <w:pPr>
              <w:rPr>
                <w:rFonts w:eastAsia="Times New Roman" w:cstheme="minorHAnsi"/>
                <w:b w:val="0"/>
                <w:bCs w:val="0"/>
                <w:sz w:val="18"/>
                <w:szCs w:val="18"/>
                <w:lang w:eastAsia="en-GB"/>
              </w:rPr>
            </w:pPr>
          </w:p>
        </w:tc>
        <w:tc>
          <w:tcPr>
            <w:tcW w:w="574" w:type="pct"/>
            <w:vMerge/>
            <w:noWrap/>
            <w:vAlign w:val="center"/>
          </w:tcPr>
          <w:p w14:paraId="19095C43"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18"/>
                <w:lang w:eastAsia="en-GB"/>
              </w:rPr>
            </w:pPr>
          </w:p>
        </w:tc>
        <w:tc>
          <w:tcPr>
            <w:tcW w:w="689" w:type="pct"/>
            <w:vMerge/>
            <w:vAlign w:val="center"/>
          </w:tcPr>
          <w:p w14:paraId="17254325"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18"/>
                <w:lang w:eastAsia="en-GB"/>
              </w:rPr>
            </w:pPr>
          </w:p>
        </w:tc>
        <w:tc>
          <w:tcPr>
            <w:tcW w:w="820" w:type="pct"/>
            <w:noWrap/>
            <w:vAlign w:val="center"/>
          </w:tcPr>
          <w:p w14:paraId="0B8D9CE4"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18"/>
                <w:lang w:eastAsia="en-GB"/>
              </w:rPr>
            </w:pPr>
            <w:r w:rsidRPr="00734942">
              <w:rPr>
                <w:rFonts w:eastAsia="Times New Roman" w:cstheme="minorHAnsi"/>
                <w:b/>
                <w:bCs/>
                <w:sz w:val="18"/>
                <w:szCs w:val="18"/>
                <w:lang w:eastAsia="en-GB"/>
              </w:rPr>
              <w:t>Start GFD</w:t>
            </w:r>
          </w:p>
        </w:tc>
        <w:tc>
          <w:tcPr>
            <w:tcW w:w="764" w:type="pct"/>
            <w:noWrap/>
            <w:vAlign w:val="center"/>
          </w:tcPr>
          <w:p w14:paraId="52C87E04"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18"/>
                <w:lang w:eastAsia="en-GB"/>
              </w:rPr>
            </w:pPr>
            <w:r w:rsidRPr="00734942">
              <w:rPr>
                <w:rFonts w:eastAsia="Times New Roman" w:cstheme="minorHAnsi"/>
                <w:b/>
                <w:bCs/>
                <w:sz w:val="18"/>
                <w:szCs w:val="18"/>
                <w:lang w:eastAsia="en-GB"/>
              </w:rPr>
              <w:t>Further testing</w:t>
            </w:r>
          </w:p>
        </w:tc>
        <w:tc>
          <w:tcPr>
            <w:tcW w:w="1120" w:type="pct"/>
            <w:noWrap/>
            <w:vAlign w:val="center"/>
          </w:tcPr>
          <w:p w14:paraId="70973937"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18"/>
                <w:lang w:eastAsia="en-GB"/>
              </w:rPr>
            </w:pPr>
            <w:r w:rsidRPr="00734942">
              <w:rPr>
                <w:rFonts w:eastAsia="Times New Roman" w:cstheme="minorHAnsi"/>
                <w:b/>
                <w:bCs/>
                <w:sz w:val="18"/>
                <w:szCs w:val="18"/>
                <w:lang w:eastAsia="en-GB"/>
              </w:rPr>
              <w:t>No further testing or diet</w:t>
            </w:r>
          </w:p>
        </w:tc>
      </w:tr>
      <w:tr w:rsidR="00536505" w:rsidRPr="00734942" w14:paraId="00AE31DC" w14:textId="77777777" w:rsidTr="005F1ED0">
        <w:trPr>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298B7DF2" w14:textId="77777777" w:rsidR="00536505" w:rsidRPr="00734942" w:rsidRDefault="00536505" w:rsidP="00536505">
            <w:pPr>
              <w:rPr>
                <w:rFonts w:eastAsia="Times New Roman" w:cstheme="minorHAnsi"/>
                <w:sz w:val="18"/>
                <w:szCs w:val="18"/>
                <w:lang w:eastAsia="en-GB"/>
              </w:rPr>
            </w:pPr>
            <w:r w:rsidRPr="00734942">
              <w:rPr>
                <w:sz w:val="18"/>
                <w:szCs w:val="18"/>
              </w:rPr>
              <w:t>GI symptoms &amp; fatigue</w:t>
            </w:r>
          </w:p>
        </w:tc>
        <w:tc>
          <w:tcPr>
            <w:tcW w:w="574" w:type="pct"/>
            <w:noWrap/>
            <w:hideMark/>
          </w:tcPr>
          <w:p w14:paraId="676B81CE"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w:t>
            </w:r>
          </w:p>
        </w:tc>
        <w:tc>
          <w:tcPr>
            <w:tcW w:w="689" w:type="pct"/>
          </w:tcPr>
          <w:p w14:paraId="225FB453"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Negative</w:t>
            </w:r>
          </w:p>
        </w:tc>
        <w:tc>
          <w:tcPr>
            <w:tcW w:w="820" w:type="pct"/>
            <w:noWrap/>
            <w:hideMark/>
          </w:tcPr>
          <w:p w14:paraId="4C958AA0"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223 (53.5%)</w:t>
            </w:r>
          </w:p>
        </w:tc>
        <w:tc>
          <w:tcPr>
            <w:tcW w:w="764" w:type="pct"/>
            <w:noWrap/>
            <w:hideMark/>
          </w:tcPr>
          <w:p w14:paraId="1FF3F7FD"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93 (22.3%)</w:t>
            </w:r>
          </w:p>
        </w:tc>
        <w:tc>
          <w:tcPr>
            <w:tcW w:w="1120" w:type="pct"/>
            <w:noWrap/>
            <w:hideMark/>
          </w:tcPr>
          <w:p w14:paraId="6D7D72E8"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101 (24.2%)</w:t>
            </w:r>
          </w:p>
        </w:tc>
      </w:tr>
      <w:tr w:rsidR="00536505" w:rsidRPr="00734942" w14:paraId="710CFEFA"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35BB76E6" w14:textId="77777777" w:rsidR="00536505" w:rsidRPr="00734942" w:rsidRDefault="00536505" w:rsidP="00536505">
            <w:pPr>
              <w:rPr>
                <w:rFonts w:eastAsia="Times New Roman" w:cstheme="minorHAnsi"/>
                <w:sz w:val="18"/>
                <w:szCs w:val="18"/>
                <w:lang w:eastAsia="en-GB"/>
              </w:rPr>
            </w:pPr>
            <w:r w:rsidRPr="00734942">
              <w:rPr>
                <w:sz w:val="18"/>
                <w:szCs w:val="18"/>
              </w:rPr>
              <w:t>GI symptoms &amp; fatigue</w:t>
            </w:r>
          </w:p>
        </w:tc>
        <w:tc>
          <w:tcPr>
            <w:tcW w:w="574" w:type="pct"/>
            <w:noWrap/>
            <w:hideMark/>
          </w:tcPr>
          <w:p w14:paraId="73CD3550"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5%</w:t>
            </w:r>
          </w:p>
        </w:tc>
        <w:tc>
          <w:tcPr>
            <w:tcW w:w="689" w:type="pct"/>
          </w:tcPr>
          <w:p w14:paraId="2283289D"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Pre-test</w:t>
            </w:r>
          </w:p>
        </w:tc>
        <w:tc>
          <w:tcPr>
            <w:tcW w:w="820" w:type="pct"/>
            <w:noWrap/>
            <w:hideMark/>
          </w:tcPr>
          <w:p w14:paraId="1CB9CDE7"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21 (5%)</w:t>
            </w:r>
          </w:p>
        </w:tc>
        <w:tc>
          <w:tcPr>
            <w:tcW w:w="764" w:type="pct"/>
            <w:noWrap/>
            <w:hideMark/>
          </w:tcPr>
          <w:p w14:paraId="1F1CD99B"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387 (92.8%)</w:t>
            </w:r>
          </w:p>
        </w:tc>
        <w:tc>
          <w:tcPr>
            <w:tcW w:w="1120" w:type="pct"/>
            <w:noWrap/>
            <w:hideMark/>
          </w:tcPr>
          <w:p w14:paraId="30D4DC1D"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12 (2.9%)</w:t>
            </w:r>
          </w:p>
        </w:tc>
      </w:tr>
      <w:tr w:rsidR="00536505" w:rsidRPr="00734942" w14:paraId="1867F14D" w14:textId="77777777" w:rsidTr="005F1ED0">
        <w:trPr>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1A9EB0BD" w14:textId="77777777" w:rsidR="00536505" w:rsidRPr="00734942" w:rsidRDefault="00536505" w:rsidP="00536505">
            <w:pPr>
              <w:rPr>
                <w:rFonts w:eastAsia="Times New Roman" w:cstheme="minorHAnsi"/>
                <w:sz w:val="18"/>
                <w:szCs w:val="18"/>
                <w:lang w:eastAsia="en-GB"/>
              </w:rPr>
            </w:pPr>
            <w:r w:rsidRPr="00734942">
              <w:rPr>
                <w:sz w:val="18"/>
                <w:szCs w:val="18"/>
              </w:rPr>
              <w:t>GI symptoms &amp; fatigue</w:t>
            </w:r>
          </w:p>
        </w:tc>
        <w:tc>
          <w:tcPr>
            <w:tcW w:w="574" w:type="pct"/>
            <w:noWrap/>
            <w:hideMark/>
          </w:tcPr>
          <w:p w14:paraId="54EEF623"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33%</w:t>
            </w:r>
          </w:p>
        </w:tc>
        <w:tc>
          <w:tcPr>
            <w:tcW w:w="689" w:type="pct"/>
          </w:tcPr>
          <w:p w14:paraId="6E656E62"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Positive</w:t>
            </w:r>
          </w:p>
        </w:tc>
        <w:tc>
          <w:tcPr>
            <w:tcW w:w="820" w:type="pct"/>
            <w:noWrap/>
            <w:hideMark/>
          </w:tcPr>
          <w:p w14:paraId="4448A55B"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112 (26.9%)</w:t>
            </w:r>
          </w:p>
        </w:tc>
        <w:tc>
          <w:tcPr>
            <w:tcW w:w="764" w:type="pct"/>
            <w:noWrap/>
            <w:hideMark/>
          </w:tcPr>
          <w:p w14:paraId="31FC625C"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295 (70.7%)</w:t>
            </w:r>
          </w:p>
        </w:tc>
        <w:tc>
          <w:tcPr>
            <w:tcW w:w="1120" w:type="pct"/>
            <w:noWrap/>
            <w:hideMark/>
          </w:tcPr>
          <w:p w14:paraId="3A563625"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9 (2.2%)</w:t>
            </w:r>
          </w:p>
        </w:tc>
      </w:tr>
      <w:tr w:rsidR="00536505" w:rsidRPr="00734942" w14:paraId="40CF4C95"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66A0D1DD" w14:textId="77777777" w:rsidR="00536505" w:rsidRPr="00734942" w:rsidRDefault="00536505" w:rsidP="00536505">
            <w:pPr>
              <w:rPr>
                <w:rFonts w:eastAsia="Times New Roman" w:cstheme="minorHAnsi"/>
                <w:sz w:val="18"/>
                <w:szCs w:val="18"/>
                <w:lang w:eastAsia="en-GB"/>
              </w:rPr>
            </w:pPr>
            <w:r w:rsidRPr="00734942">
              <w:rPr>
                <w:sz w:val="18"/>
                <w:szCs w:val="18"/>
              </w:rPr>
              <w:t>GI symptoms &amp; fatigue</w:t>
            </w:r>
          </w:p>
        </w:tc>
        <w:tc>
          <w:tcPr>
            <w:tcW w:w="574" w:type="pct"/>
            <w:noWrap/>
            <w:hideMark/>
          </w:tcPr>
          <w:p w14:paraId="42A002A5"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75%</w:t>
            </w:r>
          </w:p>
        </w:tc>
        <w:tc>
          <w:tcPr>
            <w:tcW w:w="689" w:type="pct"/>
          </w:tcPr>
          <w:p w14:paraId="0F925B59"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Strong positive</w:t>
            </w:r>
          </w:p>
        </w:tc>
        <w:tc>
          <w:tcPr>
            <w:tcW w:w="820" w:type="pct"/>
            <w:noWrap/>
            <w:hideMark/>
          </w:tcPr>
          <w:p w14:paraId="7CC70BEB"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184 (44.1%)</w:t>
            </w:r>
          </w:p>
        </w:tc>
        <w:tc>
          <w:tcPr>
            <w:tcW w:w="764" w:type="pct"/>
            <w:noWrap/>
            <w:hideMark/>
          </w:tcPr>
          <w:p w14:paraId="7B21251D"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224 (53.7%)</w:t>
            </w:r>
          </w:p>
        </w:tc>
        <w:tc>
          <w:tcPr>
            <w:tcW w:w="1120" w:type="pct"/>
            <w:noWrap/>
            <w:hideMark/>
          </w:tcPr>
          <w:p w14:paraId="4199B55B"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6 (1.4%)</w:t>
            </w:r>
          </w:p>
        </w:tc>
      </w:tr>
      <w:tr w:rsidR="00536505" w:rsidRPr="00734942" w14:paraId="66AB7791" w14:textId="77777777" w:rsidTr="005F1ED0">
        <w:trPr>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6BB9D8E0" w14:textId="77777777" w:rsidR="00536505" w:rsidRPr="00734942" w:rsidRDefault="00536505" w:rsidP="00536505">
            <w:pPr>
              <w:rPr>
                <w:rFonts w:eastAsia="Times New Roman" w:cstheme="minorHAnsi"/>
                <w:sz w:val="18"/>
                <w:szCs w:val="18"/>
                <w:lang w:eastAsia="en-GB"/>
              </w:rPr>
            </w:pPr>
            <w:r w:rsidRPr="00734942">
              <w:rPr>
                <w:sz w:val="18"/>
                <w:szCs w:val="18"/>
              </w:rPr>
              <w:t>First degree relative</w:t>
            </w:r>
          </w:p>
        </w:tc>
        <w:tc>
          <w:tcPr>
            <w:tcW w:w="574" w:type="pct"/>
            <w:noWrap/>
            <w:hideMark/>
          </w:tcPr>
          <w:p w14:paraId="53C20707" w14:textId="76DD9481"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10%</w:t>
            </w:r>
          </w:p>
        </w:tc>
        <w:tc>
          <w:tcPr>
            <w:tcW w:w="689" w:type="pct"/>
          </w:tcPr>
          <w:p w14:paraId="559488E9"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Pre-test</w:t>
            </w:r>
          </w:p>
        </w:tc>
        <w:tc>
          <w:tcPr>
            <w:tcW w:w="820" w:type="pct"/>
            <w:noWrap/>
            <w:hideMark/>
          </w:tcPr>
          <w:p w14:paraId="3E5525AA"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21 (5%)</w:t>
            </w:r>
          </w:p>
        </w:tc>
        <w:tc>
          <w:tcPr>
            <w:tcW w:w="764" w:type="pct"/>
            <w:noWrap/>
            <w:hideMark/>
          </w:tcPr>
          <w:p w14:paraId="6392CE7C"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369 (88.5%)</w:t>
            </w:r>
          </w:p>
        </w:tc>
        <w:tc>
          <w:tcPr>
            <w:tcW w:w="1120" w:type="pct"/>
            <w:noWrap/>
            <w:hideMark/>
          </w:tcPr>
          <w:p w14:paraId="12086230"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30 (7.2%)</w:t>
            </w:r>
          </w:p>
        </w:tc>
      </w:tr>
      <w:tr w:rsidR="00536505" w:rsidRPr="00734942" w14:paraId="652B9A23"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5B16F55A" w14:textId="77777777" w:rsidR="00536505" w:rsidRPr="00734942" w:rsidRDefault="00536505" w:rsidP="00536505">
            <w:pPr>
              <w:rPr>
                <w:rFonts w:eastAsia="Times New Roman" w:cstheme="minorHAnsi"/>
                <w:sz w:val="18"/>
                <w:szCs w:val="18"/>
                <w:lang w:eastAsia="en-GB"/>
              </w:rPr>
            </w:pPr>
            <w:r w:rsidRPr="00734942">
              <w:rPr>
                <w:sz w:val="18"/>
                <w:szCs w:val="18"/>
              </w:rPr>
              <w:t>First degree relative</w:t>
            </w:r>
          </w:p>
        </w:tc>
        <w:tc>
          <w:tcPr>
            <w:tcW w:w="574" w:type="pct"/>
            <w:noWrap/>
            <w:hideMark/>
          </w:tcPr>
          <w:p w14:paraId="1ACF6B51"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50%</w:t>
            </w:r>
          </w:p>
        </w:tc>
        <w:tc>
          <w:tcPr>
            <w:tcW w:w="689" w:type="pct"/>
          </w:tcPr>
          <w:p w14:paraId="2254D24D"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Positive</w:t>
            </w:r>
          </w:p>
        </w:tc>
        <w:tc>
          <w:tcPr>
            <w:tcW w:w="820" w:type="pct"/>
            <w:noWrap/>
            <w:hideMark/>
          </w:tcPr>
          <w:p w14:paraId="2B149F94"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94 (22.5%)</w:t>
            </w:r>
          </w:p>
        </w:tc>
        <w:tc>
          <w:tcPr>
            <w:tcW w:w="764" w:type="pct"/>
            <w:noWrap/>
            <w:hideMark/>
          </w:tcPr>
          <w:p w14:paraId="513AAECE"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297 (71.2%)</w:t>
            </w:r>
          </w:p>
        </w:tc>
        <w:tc>
          <w:tcPr>
            <w:tcW w:w="1120" w:type="pct"/>
            <w:noWrap/>
            <w:hideMark/>
          </w:tcPr>
          <w:p w14:paraId="5350FDF6"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28 (6.7%)</w:t>
            </w:r>
          </w:p>
        </w:tc>
      </w:tr>
      <w:tr w:rsidR="00536505" w:rsidRPr="00734942" w14:paraId="747EF5FB" w14:textId="77777777" w:rsidTr="005F1ED0">
        <w:trPr>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54C50D66" w14:textId="77777777" w:rsidR="00536505" w:rsidRPr="00734942" w:rsidRDefault="00536505" w:rsidP="00536505">
            <w:pPr>
              <w:rPr>
                <w:rFonts w:eastAsia="Times New Roman" w:cstheme="minorHAnsi"/>
                <w:sz w:val="18"/>
                <w:szCs w:val="18"/>
                <w:lang w:eastAsia="en-GB"/>
              </w:rPr>
            </w:pPr>
            <w:r w:rsidRPr="00734942">
              <w:rPr>
                <w:sz w:val="18"/>
                <w:szCs w:val="18"/>
              </w:rPr>
              <w:t>First degree relative</w:t>
            </w:r>
          </w:p>
        </w:tc>
        <w:tc>
          <w:tcPr>
            <w:tcW w:w="574" w:type="pct"/>
            <w:noWrap/>
            <w:hideMark/>
          </w:tcPr>
          <w:p w14:paraId="269FF658"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90%</w:t>
            </w:r>
          </w:p>
        </w:tc>
        <w:tc>
          <w:tcPr>
            <w:tcW w:w="689" w:type="pct"/>
          </w:tcPr>
          <w:p w14:paraId="61BA6436"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Strong positive</w:t>
            </w:r>
          </w:p>
        </w:tc>
        <w:tc>
          <w:tcPr>
            <w:tcW w:w="820" w:type="pct"/>
            <w:noWrap/>
            <w:hideMark/>
          </w:tcPr>
          <w:p w14:paraId="46A34814"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195 (46.8%)</w:t>
            </w:r>
          </w:p>
        </w:tc>
        <w:tc>
          <w:tcPr>
            <w:tcW w:w="764" w:type="pct"/>
            <w:noWrap/>
            <w:hideMark/>
          </w:tcPr>
          <w:p w14:paraId="011106A7"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207 (49.6%)</w:t>
            </w:r>
          </w:p>
        </w:tc>
        <w:tc>
          <w:tcPr>
            <w:tcW w:w="1120" w:type="pct"/>
            <w:noWrap/>
            <w:hideMark/>
          </w:tcPr>
          <w:p w14:paraId="0538F0EA"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17 (4.1%)</w:t>
            </w:r>
          </w:p>
        </w:tc>
      </w:tr>
      <w:tr w:rsidR="00536505" w:rsidRPr="00734942" w14:paraId="4DC4ECF1"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45AF93A1" w14:textId="77777777" w:rsidR="00536505" w:rsidRPr="00734942" w:rsidRDefault="00536505" w:rsidP="00536505">
            <w:pPr>
              <w:rPr>
                <w:rFonts w:eastAsia="Times New Roman" w:cstheme="minorHAnsi"/>
                <w:sz w:val="18"/>
                <w:szCs w:val="18"/>
                <w:lang w:eastAsia="en-GB"/>
              </w:rPr>
            </w:pPr>
            <w:r w:rsidRPr="00734942">
              <w:rPr>
                <w:sz w:val="18"/>
                <w:szCs w:val="18"/>
              </w:rPr>
              <w:t>Osteoporosis</w:t>
            </w:r>
          </w:p>
        </w:tc>
        <w:tc>
          <w:tcPr>
            <w:tcW w:w="574" w:type="pct"/>
            <w:noWrap/>
            <w:hideMark/>
          </w:tcPr>
          <w:p w14:paraId="7BBF6239"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2%</w:t>
            </w:r>
          </w:p>
        </w:tc>
        <w:tc>
          <w:tcPr>
            <w:tcW w:w="689" w:type="pct"/>
          </w:tcPr>
          <w:p w14:paraId="782823A2"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Pre-test</w:t>
            </w:r>
          </w:p>
        </w:tc>
        <w:tc>
          <w:tcPr>
            <w:tcW w:w="820" w:type="pct"/>
            <w:noWrap/>
            <w:hideMark/>
          </w:tcPr>
          <w:p w14:paraId="36EBF2AA"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15 (3.6%)</w:t>
            </w:r>
          </w:p>
        </w:tc>
        <w:tc>
          <w:tcPr>
            <w:tcW w:w="764" w:type="pct"/>
            <w:noWrap/>
            <w:hideMark/>
          </w:tcPr>
          <w:p w14:paraId="14C9447E"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376 (90.2%)</w:t>
            </w:r>
          </w:p>
        </w:tc>
        <w:tc>
          <w:tcPr>
            <w:tcW w:w="1120" w:type="pct"/>
            <w:noWrap/>
            <w:hideMark/>
          </w:tcPr>
          <w:p w14:paraId="08555C5C"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30 (7.2%)</w:t>
            </w:r>
          </w:p>
        </w:tc>
      </w:tr>
      <w:tr w:rsidR="00536505" w:rsidRPr="00734942" w14:paraId="1D44BC33" w14:textId="77777777" w:rsidTr="005F1ED0">
        <w:trPr>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16C2CA3F" w14:textId="77777777" w:rsidR="00536505" w:rsidRPr="00734942" w:rsidRDefault="00536505" w:rsidP="00536505">
            <w:pPr>
              <w:rPr>
                <w:rFonts w:eastAsia="Times New Roman" w:cstheme="minorHAnsi"/>
                <w:sz w:val="18"/>
                <w:szCs w:val="18"/>
                <w:lang w:eastAsia="en-GB"/>
              </w:rPr>
            </w:pPr>
            <w:r w:rsidRPr="00734942">
              <w:rPr>
                <w:sz w:val="18"/>
                <w:szCs w:val="18"/>
              </w:rPr>
              <w:t>Osteoporosis</w:t>
            </w:r>
          </w:p>
        </w:tc>
        <w:tc>
          <w:tcPr>
            <w:tcW w:w="574" w:type="pct"/>
            <w:noWrap/>
            <w:hideMark/>
          </w:tcPr>
          <w:p w14:paraId="49D58D8E"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15%</w:t>
            </w:r>
          </w:p>
        </w:tc>
        <w:tc>
          <w:tcPr>
            <w:tcW w:w="689" w:type="pct"/>
          </w:tcPr>
          <w:p w14:paraId="20A4630B"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Positive</w:t>
            </w:r>
          </w:p>
        </w:tc>
        <w:tc>
          <w:tcPr>
            <w:tcW w:w="820" w:type="pct"/>
            <w:noWrap/>
            <w:hideMark/>
          </w:tcPr>
          <w:p w14:paraId="5D786A65"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51 (12.2%)</w:t>
            </w:r>
          </w:p>
        </w:tc>
        <w:tc>
          <w:tcPr>
            <w:tcW w:w="764" w:type="pct"/>
            <w:noWrap/>
            <w:hideMark/>
          </w:tcPr>
          <w:p w14:paraId="6F9696E1"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336 (80.6%)</w:t>
            </w:r>
          </w:p>
        </w:tc>
        <w:tc>
          <w:tcPr>
            <w:tcW w:w="1120" w:type="pct"/>
            <w:noWrap/>
            <w:hideMark/>
          </w:tcPr>
          <w:p w14:paraId="7F272F0B" w14:textId="77777777" w:rsidR="00536505" w:rsidRPr="00734942" w:rsidRDefault="00536505" w:rsidP="0053650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sz w:val="18"/>
                <w:szCs w:val="18"/>
              </w:rPr>
              <w:t>33 (7.9%)</w:t>
            </w:r>
          </w:p>
        </w:tc>
      </w:tr>
      <w:tr w:rsidR="00536505" w:rsidRPr="00734942" w14:paraId="004FDFB0" w14:textId="77777777" w:rsidTr="005F1ED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3" w:type="pct"/>
            <w:noWrap/>
            <w:hideMark/>
          </w:tcPr>
          <w:p w14:paraId="70F4A619" w14:textId="77777777" w:rsidR="00536505" w:rsidRPr="00734942" w:rsidRDefault="00536505" w:rsidP="00536505">
            <w:pPr>
              <w:rPr>
                <w:rFonts w:eastAsia="Times New Roman" w:cstheme="minorHAnsi"/>
                <w:sz w:val="18"/>
                <w:szCs w:val="18"/>
                <w:lang w:eastAsia="en-GB"/>
              </w:rPr>
            </w:pPr>
            <w:r w:rsidRPr="00734942">
              <w:rPr>
                <w:sz w:val="18"/>
                <w:szCs w:val="18"/>
              </w:rPr>
              <w:t>Osteoporosis</w:t>
            </w:r>
          </w:p>
        </w:tc>
        <w:tc>
          <w:tcPr>
            <w:tcW w:w="574" w:type="pct"/>
            <w:noWrap/>
            <w:hideMark/>
          </w:tcPr>
          <w:p w14:paraId="74950869"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55%</w:t>
            </w:r>
          </w:p>
        </w:tc>
        <w:tc>
          <w:tcPr>
            <w:tcW w:w="689" w:type="pct"/>
          </w:tcPr>
          <w:p w14:paraId="1470A3C0"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Strong positive</w:t>
            </w:r>
          </w:p>
        </w:tc>
        <w:tc>
          <w:tcPr>
            <w:tcW w:w="820" w:type="pct"/>
            <w:noWrap/>
            <w:hideMark/>
          </w:tcPr>
          <w:p w14:paraId="4046BD1D"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99 (23.7%)</w:t>
            </w:r>
          </w:p>
        </w:tc>
        <w:tc>
          <w:tcPr>
            <w:tcW w:w="764" w:type="pct"/>
            <w:noWrap/>
            <w:hideMark/>
          </w:tcPr>
          <w:p w14:paraId="74D1DC7F"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311 (74.6%)</w:t>
            </w:r>
          </w:p>
        </w:tc>
        <w:tc>
          <w:tcPr>
            <w:tcW w:w="1120" w:type="pct"/>
            <w:noWrap/>
            <w:hideMark/>
          </w:tcPr>
          <w:p w14:paraId="3204E19C" w14:textId="77777777" w:rsidR="00536505" w:rsidRPr="00734942" w:rsidRDefault="00536505" w:rsidP="0053650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sz w:val="18"/>
                <w:szCs w:val="18"/>
              </w:rPr>
              <w:t>7 (1.7%)</w:t>
            </w:r>
          </w:p>
        </w:tc>
      </w:tr>
    </w:tbl>
    <w:p w14:paraId="13451764" w14:textId="77777777" w:rsidR="0000045E" w:rsidRPr="00734942" w:rsidRDefault="0000045E" w:rsidP="0000045E"/>
    <w:p w14:paraId="5C9F1080" w14:textId="77777777" w:rsidR="0000045E" w:rsidRPr="00734942" w:rsidRDefault="0000045E" w:rsidP="0000045E">
      <w:pPr>
        <w:pStyle w:val="Heading3"/>
      </w:pPr>
      <w:bookmarkStart w:id="222" w:name="_Toc99539891"/>
      <w:r w:rsidRPr="00734942">
        <w:lastRenderedPageBreak/>
        <w:t>Certainty of CD diagnosis</w:t>
      </w:r>
      <w:bookmarkEnd w:id="222"/>
    </w:p>
    <w:p w14:paraId="01F8806C" w14:textId="04D60520" w:rsidR="00376D1C" w:rsidRPr="00734942" w:rsidRDefault="00376D1C" w:rsidP="00376D1C">
      <w:r w:rsidRPr="00734942">
        <w:t>When respondents were asked to imagine that they had symptoms, on average, respondents</w:t>
      </w:r>
      <w:r w:rsidRPr="00734942" w:rsidDel="006847B6">
        <w:t xml:space="preserve"> </w:t>
      </w:r>
      <w:r w:rsidRPr="00734942">
        <w:t>wanted to be 66% (median, IQR 33</w:t>
      </w:r>
      <w:r w:rsidR="009A68EE">
        <w:t xml:space="preserve"> to </w:t>
      </w:r>
      <w:r w:rsidRPr="00734942">
        <w:t xml:space="preserve">90%) certain of the diagnosis before starting a </w:t>
      </w:r>
      <w:r w:rsidR="00345E39">
        <w:t>gluten-free diet</w:t>
      </w:r>
      <w:r w:rsidRPr="00734942">
        <w:t>. Without symptoms, respondents</w:t>
      </w:r>
      <w:r w:rsidRPr="00734942" w:rsidDel="006847B6">
        <w:t xml:space="preserve"> </w:t>
      </w:r>
      <w:r w:rsidRPr="00734942">
        <w:t>wanted to be more certain, on average 90% (median, IQR 66</w:t>
      </w:r>
      <w:r w:rsidR="009A68EE">
        <w:t xml:space="preserve"> to </w:t>
      </w:r>
      <w:r w:rsidRPr="00734942">
        <w:t xml:space="preserve">99%) before committing to a </w:t>
      </w:r>
      <w:r w:rsidR="00345E39">
        <w:t>gluten-free diet</w:t>
      </w:r>
      <w:r w:rsidRPr="00734942">
        <w:t>.</w:t>
      </w:r>
    </w:p>
    <w:p w14:paraId="4E6EBD87" w14:textId="6012BC49" w:rsidR="0000045E" w:rsidRPr="00734942" w:rsidRDefault="0000045E" w:rsidP="0000045E">
      <w:r w:rsidRPr="00734942">
        <w:t xml:space="preserve">We found no evidence that age group or having had a biopsy affected the level of certainty that </w:t>
      </w:r>
      <w:r w:rsidR="00A47290">
        <w:t>respondents</w:t>
      </w:r>
      <w:r w:rsidRPr="00734942">
        <w:t xml:space="preserve"> would like before starting a GD diet. However, respondents</w:t>
      </w:r>
      <w:r w:rsidRPr="00734942" w:rsidDel="006847B6">
        <w:t xml:space="preserve"> </w:t>
      </w:r>
      <w:r w:rsidRPr="00734942">
        <w:t xml:space="preserve">without CD and those familiar with a </w:t>
      </w:r>
      <w:r w:rsidR="00345E39">
        <w:t>gluten-free diet</w:t>
      </w:r>
      <w:r w:rsidR="00610962" w:rsidRPr="00734942">
        <w:t xml:space="preserve"> </w:t>
      </w:r>
      <w:r w:rsidRPr="00734942">
        <w:t>accepted a lower certainty. In the scenario where respondents</w:t>
      </w:r>
      <w:r w:rsidRPr="00734942" w:rsidDel="006847B6">
        <w:t xml:space="preserve"> </w:t>
      </w:r>
      <w:r w:rsidRPr="00734942">
        <w:t xml:space="preserve">were asked to imagine they had symptoms, this was 20% lower for people without CD (SE = 3.8, t = -5.1, p-value &lt; 0.001), and 15% lower for those familiar with a </w:t>
      </w:r>
      <w:r w:rsidR="00345E39">
        <w:t>gluten-free diet</w:t>
      </w:r>
      <w:r w:rsidR="00610962" w:rsidRPr="00734942">
        <w:t xml:space="preserve"> </w:t>
      </w:r>
      <w:r w:rsidRPr="00734942">
        <w:t>(SE = 4.0, t = -3.7, p-value &lt; 0.001). In the scenario where respondents</w:t>
      </w:r>
      <w:r w:rsidRPr="00734942" w:rsidDel="006847B6">
        <w:t xml:space="preserve"> </w:t>
      </w:r>
      <w:r w:rsidRPr="00734942">
        <w:t>were asked to imagine they did not have symptoms, this was 13% lower for people without CD (SE = 3.</w:t>
      </w:r>
      <w:r w:rsidR="004A536B">
        <w:t>5</w:t>
      </w:r>
      <w:r w:rsidRPr="00734942">
        <w:t xml:space="preserve">, t = -3.7603.8, p-value &lt; 0.001), and 12% lower for those familiar with a </w:t>
      </w:r>
      <w:r w:rsidR="00345E39">
        <w:t>gluten-free diet</w:t>
      </w:r>
      <w:r w:rsidR="00610962" w:rsidRPr="00734942">
        <w:t xml:space="preserve"> </w:t>
      </w:r>
      <w:r w:rsidRPr="00734942">
        <w:t>(SE = 3.6, t = -3.2, p-value = 0.001).</w:t>
      </w:r>
    </w:p>
    <w:p w14:paraId="0096CBED" w14:textId="72CADD73" w:rsidR="002C08D2" w:rsidRPr="00734942" w:rsidRDefault="002C08D2" w:rsidP="002C08D2"/>
    <w:p w14:paraId="641D71AD" w14:textId="77777777" w:rsidR="006457CE" w:rsidRDefault="0000045E" w:rsidP="005672CA">
      <w:pPr>
        <w:pStyle w:val="Caption"/>
      </w:pPr>
      <w:r w:rsidRPr="00734942">
        <w:rPr>
          <w:noProof/>
        </w:rPr>
        <w:drawing>
          <wp:inline distT="0" distB="0" distL="0" distR="0" wp14:anchorId="78107117" wp14:editId="29CF71B3">
            <wp:extent cx="5731510" cy="3679825"/>
            <wp:effectExtent l="0" t="0" r="2540" b="0"/>
            <wp:docPr id="17" name="Picture 4" descr="Chart, bar chart&#10;&#10;Description automatically generated">
              <a:extLst xmlns:a="http://schemas.openxmlformats.org/drawingml/2006/main">
                <a:ext uri="{FF2B5EF4-FFF2-40B4-BE49-F238E27FC236}">
                  <a16:creationId xmlns:a16="http://schemas.microsoft.com/office/drawing/2014/main" id="{010EA129-8216-4548-AD88-A3FEF76AF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bar chart&#10;&#10;Description automatically generated">
                      <a:extLst>
                        <a:ext uri="{FF2B5EF4-FFF2-40B4-BE49-F238E27FC236}">
                          <a16:creationId xmlns:a16="http://schemas.microsoft.com/office/drawing/2014/main" id="{010EA129-8216-4548-AD88-A3FEF76AFD67}"/>
                        </a:ext>
                      </a:extLst>
                    </pic:cNvPr>
                    <pic:cNvPicPr>
                      <a:picLocks noChangeAspect="1"/>
                    </pic:cNvPicPr>
                  </pic:nvPicPr>
                  <pic:blipFill>
                    <a:blip r:embed="rId31"/>
                    <a:stretch>
                      <a:fillRect/>
                    </a:stretch>
                  </pic:blipFill>
                  <pic:spPr>
                    <a:xfrm>
                      <a:off x="0" y="0"/>
                      <a:ext cx="5731510" cy="3679825"/>
                    </a:xfrm>
                    <a:prstGeom prst="rect">
                      <a:avLst/>
                    </a:prstGeom>
                  </pic:spPr>
                </pic:pic>
              </a:graphicData>
            </a:graphic>
          </wp:inline>
        </w:drawing>
      </w:r>
      <w:r w:rsidR="005656A0" w:rsidRPr="005656A0">
        <w:t xml:space="preserve"> </w:t>
      </w:r>
    </w:p>
    <w:p w14:paraId="2681A929" w14:textId="118C3CAE" w:rsidR="002C08D2" w:rsidRPr="00734942" w:rsidRDefault="005656A0" w:rsidP="005672CA">
      <w:pPr>
        <w:pStyle w:val="Caption"/>
      </w:pPr>
      <w:bookmarkStart w:id="223" w:name="_Toc99720790"/>
      <w:r w:rsidRPr="00734942">
        <w:t xml:space="preserve">Figure </w:t>
      </w:r>
      <w:bookmarkStart w:id="224" w:name="_Ref85457448"/>
      <w:bookmarkStart w:id="225" w:name="_Toc86658246"/>
      <w:r w:rsidR="002C08D2">
        <w:fldChar w:fldCharType="begin"/>
      </w:r>
      <w:r w:rsidR="002C08D2">
        <w:instrText>SEQ Figure \* ARABIC</w:instrText>
      </w:r>
      <w:r w:rsidR="002C08D2">
        <w:fldChar w:fldCharType="separate"/>
      </w:r>
      <w:r w:rsidR="008B5583">
        <w:rPr>
          <w:noProof/>
        </w:rPr>
        <w:t>9</w:t>
      </w:r>
      <w:r w:rsidR="002C08D2">
        <w:fldChar w:fldCharType="end"/>
      </w:r>
      <w:bookmarkEnd w:id="224"/>
      <w:r w:rsidR="00E275E7" w:rsidRPr="00734942">
        <w:t xml:space="preserve"> Preferred certainty of CD diagnosis before starting a gluten free diet</w:t>
      </w:r>
      <w:bookmarkEnd w:id="223"/>
      <w:bookmarkEnd w:id="225"/>
    </w:p>
    <w:p w14:paraId="64B47FA9" w14:textId="57436348" w:rsidR="0000045E" w:rsidRPr="00734942" w:rsidRDefault="0000045E" w:rsidP="0000045E"/>
    <w:p w14:paraId="46238EBC" w14:textId="3109CCC1" w:rsidR="0000045E" w:rsidRPr="00734942" w:rsidRDefault="00345E39" w:rsidP="0000045E">
      <w:pPr>
        <w:pStyle w:val="Heading3"/>
      </w:pPr>
      <w:bookmarkStart w:id="226" w:name="_Toc99539892"/>
      <w:r>
        <w:t>Gluten-free diet</w:t>
      </w:r>
      <w:r w:rsidR="005C54F5" w:rsidRPr="00734942">
        <w:t xml:space="preserve"> </w:t>
      </w:r>
      <w:r w:rsidR="0000045E" w:rsidRPr="00734942">
        <w:t>adherence and difficulty</w:t>
      </w:r>
      <w:bookmarkEnd w:id="226"/>
    </w:p>
    <w:p w14:paraId="7BFA6CB4" w14:textId="7B426D4C" w:rsidR="00EC7F19" w:rsidRDefault="00184D0C">
      <w:r>
        <w:fldChar w:fldCharType="begin"/>
      </w:r>
      <w:r>
        <w:instrText xml:space="preserve"> REF _Ref87440042 \h </w:instrText>
      </w:r>
      <w:r>
        <w:fldChar w:fldCharType="separate"/>
      </w:r>
      <w:r w:rsidR="008B5583">
        <w:t xml:space="preserve">Figure </w:t>
      </w:r>
      <w:r w:rsidR="008B5583">
        <w:rPr>
          <w:noProof/>
        </w:rPr>
        <w:t>10</w:t>
      </w:r>
      <w:r>
        <w:fldChar w:fldCharType="end"/>
      </w:r>
      <w:r w:rsidR="0018415D" w:rsidRPr="00734942">
        <w:t xml:space="preserve"> </w:t>
      </w:r>
      <w:r w:rsidR="0000045E" w:rsidRPr="00734942">
        <w:t xml:space="preserve">show the results among CD patients about the difficulty of following a </w:t>
      </w:r>
      <w:r w:rsidR="00197390">
        <w:t>gluten-</w:t>
      </w:r>
      <w:r w:rsidR="00345E39">
        <w:t>free diet</w:t>
      </w:r>
      <w:r w:rsidR="005C54F5" w:rsidRPr="00734942">
        <w:t xml:space="preserve"> </w:t>
      </w:r>
      <w:r w:rsidR="0000045E" w:rsidRPr="00734942">
        <w:t xml:space="preserve">and how strictly they adhere to the diet. </w:t>
      </w:r>
      <w:r w:rsidR="00E275E7" w:rsidRPr="00734942">
        <w:t xml:space="preserve">131 (53.5%) respondents found it easy or very easy to follow the </w:t>
      </w:r>
      <w:r w:rsidR="00693CFF">
        <w:t>gluten-free diet</w:t>
      </w:r>
      <w:r w:rsidR="00E275E7" w:rsidRPr="00734942">
        <w:t>, whereas 69 (</w:t>
      </w:r>
      <w:r w:rsidR="00E275E7">
        <w:t>28.2</w:t>
      </w:r>
      <w:r w:rsidR="00E275E7" w:rsidRPr="00734942">
        <w:t xml:space="preserve">%) respondents found it difficult or very difficult. </w:t>
      </w:r>
      <w:r w:rsidR="0000045E" w:rsidRPr="00734942">
        <w:t xml:space="preserve">131 (53.5%) respondents found it easy or very easy to follow the </w:t>
      </w:r>
      <w:r w:rsidR="00345E39">
        <w:t>gluten-free diet</w:t>
      </w:r>
      <w:r w:rsidR="0000045E" w:rsidRPr="00734942">
        <w:t>, whereas 69 (</w:t>
      </w:r>
      <w:r w:rsidR="009E3BA4">
        <w:t>28.</w:t>
      </w:r>
      <w:r w:rsidR="00151BC2">
        <w:t>2</w:t>
      </w:r>
      <w:r w:rsidR="0000045E" w:rsidRPr="00734942">
        <w:t xml:space="preserve">%) respondents found it difficult or very difficult. Most respondents with confirmed CD reported that they were strict or very strict in their adherence to the </w:t>
      </w:r>
      <w:r w:rsidR="00197390">
        <w:t>gluten-</w:t>
      </w:r>
      <w:r w:rsidR="00E275E7" w:rsidRPr="00734942">
        <w:t>free diet (n=222, 90.6%).</w:t>
      </w:r>
      <w:r w:rsidR="0000045E" w:rsidRPr="00734942">
        <w:t xml:space="preserve">Most respondents with confirmed CD reported that they were strict or very strict in their adherence to the </w:t>
      </w:r>
      <w:r w:rsidR="005C54F5" w:rsidRPr="00734942">
        <w:t>gluten</w:t>
      </w:r>
      <w:r w:rsidR="00345E39">
        <w:t>-</w:t>
      </w:r>
      <w:r w:rsidR="005C54F5" w:rsidRPr="00734942">
        <w:t>free diet</w:t>
      </w:r>
      <w:r w:rsidR="0000045E" w:rsidRPr="00734942">
        <w:t xml:space="preserve"> (n=222, 90.6%).</w:t>
      </w:r>
    </w:p>
    <w:p w14:paraId="71F82FA0" w14:textId="085A0C5D" w:rsidR="00EC7F19" w:rsidRPr="00EC7F19" w:rsidRDefault="00EC7F19" w:rsidP="0000045E">
      <w:pPr>
        <w:rPr>
          <w:b/>
          <w:bCs/>
          <w:sz w:val="24"/>
          <w:szCs w:val="24"/>
        </w:rPr>
      </w:pPr>
      <w:r w:rsidRPr="00EC7F19">
        <w:rPr>
          <w:b/>
          <w:bCs/>
          <w:sz w:val="24"/>
          <w:szCs w:val="24"/>
        </w:rPr>
        <w:lastRenderedPageBreak/>
        <w:t>A</w:t>
      </w:r>
    </w:p>
    <w:p w14:paraId="1EDC7471" w14:textId="77777777" w:rsidR="005656A0" w:rsidRDefault="0000045E" w:rsidP="005656A0">
      <w:pPr>
        <w:pStyle w:val="Caption"/>
      </w:pPr>
      <w:r w:rsidRPr="00734942">
        <w:rPr>
          <w:noProof/>
          <w:lang w:eastAsia="en-GB"/>
        </w:rPr>
        <w:drawing>
          <wp:inline distT="0" distB="0" distL="0" distR="0" wp14:anchorId="16499AB3" wp14:editId="6D803628">
            <wp:extent cx="3878684" cy="3238500"/>
            <wp:effectExtent l="0" t="0" r="7620" b="0"/>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81085" cy="3240505"/>
                    </a:xfrm>
                    <a:prstGeom prst="rect">
                      <a:avLst/>
                    </a:prstGeom>
                    <a:noFill/>
                  </pic:spPr>
                </pic:pic>
              </a:graphicData>
            </a:graphic>
          </wp:inline>
        </w:drawing>
      </w:r>
      <w:r w:rsidR="005656A0" w:rsidRPr="005656A0">
        <w:t xml:space="preserve"> </w:t>
      </w:r>
    </w:p>
    <w:p w14:paraId="71941F7C" w14:textId="6500C960" w:rsidR="0000045E" w:rsidRPr="00EC7F19" w:rsidRDefault="00EC7F19" w:rsidP="0000045E">
      <w:pPr>
        <w:rPr>
          <w:b/>
          <w:bCs/>
          <w:sz w:val="24"/>
          <w:szCs w:val="24"/>
          <w:lang w:eastAsia="en-GB"/>
        </w:rPr>
      </w:pPr>
      <w:r w:rsidRPr="00EC7F19">
        <w:rPr>
          <w:b/>
          <w:bCs/>
          <w:sz w:val="24"/>
          <w:szCs w:val="24"/>
          <w:lang w:eastAsia="en-GB"/>
        </w:rPr>
        <w:t>B</w:t>
      </w:r>
    </w:p>
    <w:p w14:paraId="51624F10" w14:textId="77777777" w:rsidR="005656A0" w:rsidRDefault="0000045E" w:rsidP="005656A0">
      <w:pPr>
        <w:pStyle w:val="Caption"/>
      </w:pPr>
      <w:r w:rsidRPr="00734942">
        <w:rPr>
          <w:noProof/>
          <w:lang w:eastAsia="en-GB"/>
        </w:rPr>
        <w:drawing>
          <wp:inline distT="0" distB="0" distL="0" distR="0" wp14:anchorId="14264FAA" wp14:editId="1031F348">
            <wp:extent cx="3912908" cy="3267075"/>
            <wp:effectExtent l="0" t="0" r="0" b="0"/>
            <wp:docPr id="10"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2946" cy="3267107"/>
                    </a:xfrm>
                    <a:prstGeom prst="rect">
                      <a:avLst/>
                    </a:prstGeom>
                    <a:noFill/>
                  </pic:spPr>
                </pic:pic>
              </a:graphicData>
            </a:graphic>
          </wp:inline>
        </w:drawing>
      </w:r>
      <w:r w:rsidR="005656A0" w:rsidRPr="005656A0">
        <w:t xml:space="preserve"> </w:t>
      </w:r>
    </w:p>
    <w:p w14:paraId="640BD01E" w14:textId="469B7D93" w:rsidR="005656A0" w:rsidRDefault="005656A0" w:rsidP="005656A0">
      <w:pPr>
        <w:pStyle w:val="Caption"/>
      </w:pPr>
      <w:bookmarkStart w:id="227" w:name="_Ref87440042"/>
      <w:bookmarkStart w:id="228" w:name="_Toc99720791"/>
      <w:r>
        <w:t xml:space="preserve">Figure </w:t>
      </w:r>
      <w:r>
        <w:fldChar w:fldCharType="begin"/>
      </w:r>
      <w:r>
        <w:instrText>SEQ Figure \* ARABIC</w:instrText>
      </w:r>
      <w:r>
        <w:fldChar w:fldCharType="separate"/>
      </w:r>
      <w:r w:rsidR="008B5583">
        <w:rPr>
          <w:noProof/>
        </w:rPr>
        <w:t>10</w:t>
      </w:r>
      <w:r>
        <w:fldChar w:fldCharType="end"/>
      </w:r>
      <w:bookmarkEnd w:id="227"/>
      <w:r>
        <w:t xml:space="preserve"> </w:t>
      </w:r>
      <w:r w:rsidR="00046DDD" w:rsidRPr="00071AFB">
        <w:t xml:space="preserve">Difficulty following </w:t>
      </w:r>
      <w:r w:rsidR="00046DDD">
        <w:t>and a</w:t>
      </w:r>
      <w:r w:rsidRPr="00834376">
        <w:t>dherence to gluten</w:t>
      </w:r>
      <w:r>
        <w:t>-</w:t>
      </w:r>
      <w:r w:rsidRPr="00834376">
        <w:t xml:space="preserve"> free diet (GFD)</w:t>
      </w:r>
      <w:bookmarkEnd w:id="228"/>
    </w:p>
    <w:p w14:paraId="4B33CB28" w14:textId="343BEC2F" w:rsidR="0000045E" w:rsidRPr="00734942" w:rsidRDefault="0000045E" w:rsidP="0000045E">
      <w:pPr>
        <w:rPr>
          <w:lang w:eastAsia="en-GB"/>
        </w:rPr>
      </w:pPr>
    </w:p>
    <w:p w14:paraId="09CBA8CA" w14:textId="77777777" w:rsidR="002F1A3F" w:rsidRPr="00734942" w:rsidRDefault="002F1A3F" w:rsidP="002F1A3F">
      <w:pPr>
        <w:pStyle w:val="Heading3"/>
      </w:pPr>
      <w:bookmarkStart w:id="229" w:name="_Toc99539893"/>
      <w:r w:rsidRPr="00734942">
        <w:t>Quality of life among CD patients</w:t>
      </w:r>
      <w:bookmarkEnd w:id="229"/>
    </w:p>
    <w:p w14:paraId="65171443" w14:textId="2B283A74" w:rsidR="002F1A3F" w:rsidRPr="00734942" w:rsidRDefault="002F1A3F" w:rsidP="002F1A3F">
      <w:r w:rsidRPr="00734942">
        <w:t xml:space="preserve">Overall quality of life </w:t>
      </w:r>
      <w:r w:rsidR="0091687F">
        <w:t>among CD patients</w:t>
      </w:r>
      <w:r w:rsidRPr="00734942">
        <w:t xml:space="preserve"> was estimated at 59.38 (median, IQR 43.75</w:t>
      </w:r>
      <w:r w:rsidR="009A68EE">
        <w:t xml:space="preserve"> to </w:t>
      </w:r>
      <w:r w:rsidRPr="00734942">
        <w:t xml:space="preserve">76.25) based on the CD QoL. </w:t>
      </w:r>
      <w:r w:rsidR="00EF2A9B">
        <w:t xml:space="preserve">This </w:t>
      </w:r>
      <w:r w:rsidR="00B156D1">
        <w:t>q</w:t>
      </w:r>
      <w:r w:rsidRPr="00734942">
        <w:t>uality-of-life measure is considered good when &gt;59, medium when 37-59, and poor when &lt;37. Although there was large variation between CD patients’ quality of life score, most scores indicated a good or medium quality of life (</w:t>
      </w:r>
      <w:r w:rsidR="00B7738E" w:rsidRPr="00734942">
        <w:fldChar w:fldCharType="begin"/>
      </w:r>
      <w:r w:rsidR="00B7738E" w:rsidRPr="00734942">
        <w:instrText xml:space="preserve"> REF _Ref86134960 \h </w:instrText>
      </w:r>
      <w:r w:rsidR="00B7738E" w:rsidRPr="00734942">
        <w:fldChar w:fldCharType="separate"/>
      </w:r>
      <w:r w:rsidR="008B5583" w:rsidRPr="00734942">
        <w:t xml:space="preserve">Figure </w:t>
      </w:r>
      <w:r w:rsidR="008B5583">
        <w:rPr>
          <w:noProof/>
        </w:rPr>
        <w:t>11</w:t>
      </w:r>
      <w:r w:rsidR="00B7738E" w:rsidRPr="00734942">
        <w:fldChar w:fldCharType="end"/>
      </w:r>
      <w:r w:rsidRPr="00734942">
        <w:t>). CD patients had a high score in the subdomain dysphoria (median 87.50, IQR 68.75</w:t>
      </w:r>
      <w:r w:rsidR="00BA2742">
        <w:t xml:space="preserve"> to </w:t>
      </w:r>
      <w:r w:rsidRPr="00734942">
        <w:t xml:space="preserve">93.75), suggesting that dysphoria did not affect the quality of life for the majority of respondents. Also in the health concerns subdomain, CD </w:t>
      </w:r>
      <w:r w:rsidRPr="00734942">
        <w:lastRenderedPageBreak/>
        <w:t>patients had a good score (median 60.0, IQR 35.0</w:t>
      </w:r>
      <w:r w:rsidR="00BA2742">
        <w:t xml:space="preserve"> to </w:t>
      </w:r>
      <w:r w:rsidRPr="00734942">
        <w:t>80.0), although there was more variation and some respondents felt that their quality of life was affected by health concerns. CD patients had a medium score for the subdomains ‘CD related limitations’ (median 55.56, IQR 36.11</w:t>
      </w:r>
      <w:r w:rsidR="00BA2742">
        <w:t xml:space="preserve"> to </w:t>
      </w:r>
      <w:r w:rsidRPr="00734942">
        <w:t>72.22) and ‘inadequate treatment’ (median 50.00, IQR 37.50</w:t>
      </w:r>
      <w:r w:rsidR="00BA2742">
        <w:t xml:space="preserve"> to </w:t>
      </w:r>
      <w:r w:rsidRPr="00734942">
        <w:t>50.00). About a quarter of the respondents with CD had a low score (associated with a poor quality of life) for the CD related limitations and health concerns domains.</w:t>
      </w:r>
    </w:p>
    <w:p w14:paraId="198F008E" w14:textId="77777777" w:rsidR="00B156D1" w:rsidRDefault="002E1203" w:rsidP="00B156D1">
      <w:pPr>
        <w:pStyle w:val="Caption"/>
      </w:pPr>
      <w:r w:rsidRPr="00734942">
        <w:rPr>
          <w:noProof/>
        </w:rPr>
        <w:drawing>
          <wp:inline distT="0" distB="0" distL="0" distR="0" wp14:anchorId="578451B2" wp14:editId="0A3EF2E8">
            <wp:extent cx="5105400" cy="2295258"/>
            <wp:effectExtent l="0" t="0" r="0" b="0"/>
            <wp:docPr id="43" name="Picture 8" descr="Chart, box and whisker chart&#10;&#10;Description automatically generated">
              <a:extLst xmlns:a="http://schemas.openxmlformats.org/drawingml/2006/main">
                <a:ext uri="{FF2B5EF4-FFF2-40B4-BE49-F238E27FC236}">
                  <a16:creationId xmlns:a16="http://schemas.microsoft.com/office/drawing/2014/main" id="{858D599F-EED7-46A6-977B-8B461BBA8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8" descr="Chart, box and whisker chart&#10;&#10;Description automatically generated">
                      <a:extLst>
                        <a:ext uri="{FF2B5EF4-FFF2-40B4-BE49-F238E27FC236}">
                          <a16:creationId xmlns:a16="http://schemas.microsoft.com/office/drawing/2014/main" id="{858D599F-EED7-46A6-977B-8B461BBA8062}"/>
                        </a:ext>
                      </a:extLst>
                    </pic:cNvPr>
                    <pic:cNvPicPr>
                      <a:picLocks noChangeAspect="1"/>
                    </pic:cNvPicPr>
                  </pic:nvPicPr>
                  <pic:blipFill rotWithShape="1">
                    <a:blip r:embed="rId34"/>
                    <a:srcRect t="15086" r="6544" b="10714"/>
                    <a:stretch/>
                  </pic:blipFill>
                  <pic:spPr bwMode="auto">
                    <a:xfrm>
                      <a:off x="0" y="0"/>
                      <a:ext cx="5106435" cy="2295724"/>
                    </a:xfrm>
                    <a:prstGeom prst="rect">
                      <a:avLst/>
                    </a:prstGeom>
                    <a:ln>
                      <a:noFill/>
                    </a:ln>
                    <a:extLst>
                      <a:ext uri="{53640926-AAD7-44D8-BBD7-CCE9431645EC}">
                        <a14:shadowObscured xmlns:a14="http://schemas.microsoft.com/office/drawing/2010/main"/>
                      </a:ext>
                    </a:extLst>
                  </pic:spPr>
                </pic:pic>
              </a:graphicData>
            </a:graphic>
          </wp:inline>
        </w:drawing>
      </w:r>
    </w:p>
    <w:p w14:paraId="37285FE1" w14:textId="765176CE" w:rsidR="002E1203" w:rsidRPr="00734942" w:rsidRDefault="00B156D1" w:rsidP="005672CA">
      <w:pPr>
        <w:pStyle w:val="Caption"/>
      </w:pPr>
      <w:bookmarkStart w:id="230" w:name="_Ref86134960"/>
      <w:bookmarkStart w:id="231" w:name="_Toc99720792"/>
      <w:r w:rsidRPr="00734942">
        <w:t xml:space="preserve">Figure </w:t>
      </w:r>
      <w:r w:rsidR="002E1203">
        <w:fldChar w:fldCharType="begin"/>
      </w:r>
      <w:r w:rsidR="002E1203">
        <w:instrText>SEQ Figure \* ARABIC</w:instrText>
      </w:r>
      <w:r w:rsidR="002E1203">
        <w:fldChar w:fldCharType="separate"/>
      </w:r>
      <w:r w:rsidR="008B5583">
        <w:rPr>
          <w:noProof/>
        </w:rPr>
        <w:t>11</w:t>
      </w:r>
      <w:r w:rsidR="002E1203">
        <w:fldChar w:fldCharType="end"/>
      </w:r>
      <w:bookmarkEnd w:id="230"/>
      <w:r w:rsidR="002E1203" w:rsidRPr="00734942">
        <w:t xml:space="preserve"> Quality of Life score (CD-QoL)</w:t>
      </w:r>
      <w:bookmarkEnd w:id="231"/>
    </w:p>
    <w:p w14:paraId="7806F4F7" w14:textId="22F2F9AE" w:rsidR="00DD4EC7" w:rsidRPr="00734942" w:rsidRDefault="00DD4EC7" w:rsidP="0000045E">
      <w:pPr>
        <w:rPr>
          <w:lang w:eastAsia="en-GB"/>
        </w:rPr>
      </w:pPr>
    </w:p>
    <w:p w14:paraId="182376CB" w14:textId="77777777" w:rsidR="0000045E" w:rsidRPr="00734942" w:rsidRDefault="0000045E" w:rsidP="0000045E">
      <w:pPr>
        <w:pStyle w:val="Heading3"/>
      </w:pPr>
      <w:bookmarkStart w:id="232" w:name="_Toc99539894"/>
      <w:r w:rsidRPr="00734942">
        <w:t>Qualitative analysis</w:t>
      </w:r>
      <w:bookmarkEnd w:id="232"/>
    </w:p>
    <w:p w14:paraId="239109A9" w14:textId="72D31BDA" w:rsidR="0000045E" w:rsidRPr="00734942" w:rsidRDefault="16F6AC7D" w:rsidP="0000045E">
      <w:r w:rsidRPr="40F80640">
        <w:rPr>
          <w:rFonts w:ascii="Calibri" w:eastAsia="Calibri" w:hAnsi="Calibri" w:cs="Calibri"/>
          <w:color w:val="000000" w:themeColor="text1"/>
        </w:rPr>
        <w:t>353 of the 468</w:t>
      </w:r>
      <w:r w:rsidR="0000045E" w:rsidRPr="40F80640">
        <w:rPr>
          <w:rFonts w:ascii="Calibri" w:eastAsia="Calibri" w:hAnsi="Calibri" w:cs="Calibri"/>
          <w:color w:val="000000" w:themeColor="text1"/>
        </w:rPr>
        <w:t xml:space="preserve"> respondents (75.4%) used at least one of the free text boxes to explain their answer on what they would do </w:t>
      </w:r>
      <w:r w:rsidR="003F21D1" w:rsidRPr="40F80640">
        <w:rPr>
          <w:rFonts w:ascii="Calibri" w:eastAsia="Calibri" w:hAnsi="Calibri" w:cs="Calibri"/>
          <w:color w:val="000000" w:themeColor="text1"/>
        </w:rPr>
        <w:t xml:space="preserve">for </w:t>
      </w:r>
      <w:r w:rsidR="0000045E" w:rsidRPr="40F80640">
        <w:rPr>
          <w:rFonts w:ascii="Calibri" w:eastAsia="Calibri" w:hAnsi="Calibri" w:cs="Calibri"/>
          <w:color w:val="000000" w:themeColor="text1"/>
        </w:rPr>
        <w:t>a scenario</w:t>
      </w:r>
      <w:r w:rsidRPr="40F80640">
        <w:rPr>
          <w:rFonts w:ascii="Calibri" w:eastAsia="Calibri" w:hAnsi="Calibri" w:cs="Calibri"/>
          <w:color w:val="000000" w:themeColor="text1"/>
        </w:rPr>
        <w:t xml:space="preserve"> question</w:t>
      </w:r>
      <w:r w:rsidR="0000045E" w:rsidRPr="40F80640">
        <w:rPr>
          <w:rFonts w:ascii="Calibri" w:eastAsia="Calibri" w:hAnsi="Calibri" w:cs="Calibri"/>
          <w:color w:val="000000" w:themeColor="text1"/>
        </w:rPr>
        <w:t xml:space="preserve">. 185 (52.4%) of these </w:t>
      </w:r>
      <w:r w:rsidRPr="40F80640">
        <w:rPr>
          <w:rFonts w:ascii="Calibri" w:eastAsia="Calibri" w:hAnsi="Calibri" w:cs="Calibri"/>
          <w:color w:val="000000" w:themeColor="text1"/>
        </w:rPr>
        <w:t xml:space="preserve">353 </w:t>
      </w:r>
      <w:r w:rsidR="0000045E" w:rsidRPr="40F80640">
        <w:rPr>
          <w:rFonts w:ascii="Calibri" w:eastAsia="Calibri" w:hAnsi="Calibri" w:cs="Calibri"/>
          <w:color w:val="000000" w:themeColor="text1"/>
        </w:rPr>
        <w:t xml:space="preserve">respondents had a CD diagnosis confirmed by a blood test and/or biopsy, and 167 </w:t>
      </w:r>
      <w:r w:rsidRPr="40F80640">
        <w:rPr>
          <w:rFonts w:ascii="Calibri" w:eastAsia="Calibri" w:hAnsi="Calibri" w:cs="Calibri"/>
          <w:color w:val="000000" w:themeColor="text1"/>
        </w:rPr>
        <w:t xml:space="preserve">of the 353 respondents who gave free test answers </w:t>
      </w:r>
      <w:r w:rsidR="0000045E" w:rsidRPr="40F80640">
        <w:rPr>
          <w:rFonts w:ascii="Calibri" w:eastAsia="Calibri" w:hAnsi="Calibri" w:cs="Calibri"/>
          <w:color w:val="000000" w:themeColor="text1"/>
        </w:rPr>
        <w:t xml:space="preserve">(47.3%) did not. The majority of those who answered </w:t>
      </w:r>
      <w:r w:rsidRPr="40F80640">
        <w:rPr>
          <w:rFonts w:ascii="Calibri" w:eastAsia="Calibri" w:hAnsi="Calibri" w:cs="Calibri"/>
          <w:color w:val="000000" w:themeColor="text1"/>
        </w:rPr>
        <w:t>were</w:t>
      </w:r>
      <w:r w:rsidR="0000045E" w:rsidRPr="40F80640">
        <w:rPr>
          <w:rFonts w:ascii="Calibri" w:eastAsia="Calibri" w:hAnsi="Calibri" w:cs="Calibri"/>
          <w:color w:val="000000" w:themeColor="text1"/>
        </w:rPr>
        <w:t xml:space="preserve"> aged 41-64 (42.2%), followed by those aged 26-40 (28.0%). 26 (7.4%) children (age &lt;18 years)</w:t>
      </w:r>
      <w:r w:rsidR="004F5580" w:rsidRPr="40F80640">
        <w:rPr>
          <w:rFonts w:ascii="Calibri" w:eastAsia="Calibri" w:hAnsi="Calibri" w:cs="Calibri"/>
          <w:color w:val="000000" w:themeColor="text1"/>
        </w:rPr>
        <w:t>, or parents of children,</w:t>
      </w:r>
      <w:r w:rsidR="0000045E" w:rsidRPr="40F80640">
        <w:rPr>
          <w:rFonts w:ascii="Calibri" w:eastAsia="Calibri" w:hAnsi="Calibri" w:cs="Calibri"/>
          <w:color w:val="000000" w:themeColor="text1"/>
        </w:rPr>
        <w:t xml:space="preserve"> explained their answers to the scenario questions. </w:t>
      </w:r>
      <w:r w:rsidRPr="40F80640">
        <w:rPr>
          <w:rFonts w:ascii="Calibri" w:eastAsia="Calibri" w:hAnsi="Calibri" w:cs="Calibri"/>
          <w:color w:val="000000" w:themeColor="text1"/>
        </w:rPr>
        <w:t xml:space="preserve">Children made up slightly more of the responses for those with CD than those without a diagnosis (17 (9.2%) CD vs 9 (5.4%) </w:t>
      </w:r>
      <w:r w:rsidR="00693CFF">
        <w:rPr>
          <w:rFonts w:ascii="Calibri" w:eastAsia="Calibri" w:hAnsi="Calibri" w:cs="Calibri"/>
          <w:color w:val="000000" w:themeColor="text1"/>
        </w:rPr>
        <w:t xml:space="preserve">no </w:t>
      </w:r>
      <w:r w:rsidRPr="40F80640">
        <w:rPr>
          <w:rFonts w:ascii="Calibri" w:eastAsia="Calibri" w:hAnsi="Calibri" w:cs="Calibri"/>
          <w:color w:val="000000" w:themeColor="text1"/>
        </w:rPr>
        <w:t>CD)</w:t>
      </w:r>
      <w:r w:rsidRPr="40F80640">
        <w:rPr>
          <w:rFonts w:ascii="Calibri" w:eastAsia="Calibri" w:hAnsi="Calibri" w:cs="Calibri"/>
        </w:rPr>
        <w:t xml:space="preserve"> </w:t>
      </w:r>
      <w:r w:rsidR="3AB000C2">
        <w:t>(</w:t>
      </w:r>
      <w:r w:rsidR="001B2991">
        <w:t xml:space="preserve">Appendix 22 </w:t>
      </w:r>
      <w:r w:rsidR="001B2991">
        <w:fldChar w:fldCharType="begin"/>
      </w:r>
      <w:r w:rsidR="001B2991">
        <w:instrText xml:space="preserve"> REF _Ref95380698 \h </w:instrText>
      </w:r>
      <w:r w:rsidR="001B2991">
        <w:fldChar w:fldCharType="separate"/>
      </w:r>
      <w:r w:rsidR="008B5583" w:rsidRPr="00734942">
        <w:t xml:space="preserve">Table </w:t>
      </w:r>
      <w:r w:rsidR="008B5583">
        <w:rPr>
          <w:noProof/>
        </w:rPr>
        <w:t>60</w:t>
      </w:r>
      <w:r w:rsidR="001B2991">
        <w:fldChar w:fldCharType="end"/>
      </w:r>
      <w:r w:rsidR="3AB000C2">
        <w:t>).</w:t>
      </w:r>
    </w:p>
    <w:p w14:paraId="37B4F357" w14:textId="0CFC9207" w:rsidR="005867BD" w:rsidRDefault="166C2AF5" w:rsidP="000526F1">
      <w:pPr>
        <w:pStyle w:val="Heading4"/>
        <w:rPr>
          <w:rFonts w:ascii="Calibri" w:eastAsia="Calibri" w:hAnsi="Calibri" w:cs="Calibri"/>
          <w:color w:val="000000" w:themeColor="text1"/>
        </w:rPr>
      </w:pPr>
      <w:r w:rsidRPr="54211F77">
        <w:rPr>
          <w:rFonts w:ascii="Calibri Light" w:eastAsia="Calibri Light" w:hAnsi="Calibri Light" w:cs="Calibri Light"/>
          <w:color w:val="1F3763"/>
        </w:rPr>
        <w:t>Free Text Analysis</w:t>
      </w:r>
    </w:p>
    <w:p w14:paraId="26045A51" w14:textId="6A87E401" w:rsidR="00846BCD" w:rsidRDefault="240C802F" w:rsidP="4386CF4B">
      <w:pPr>
        <w:rPr>
          <w:rFonts w:ascii="Calibri" w:eastAsia="Calibri" w:hAnsi="Calibri" w:cs="Calibri"/>
        </w:rPr>
      </w:pPr>
      <w:r w:rsidRPr="40F80640">
        <w:rPr>
          <w:rFonts w:ascii="Calibri" w:eastAsia="Calibri" w:hAnsi="Calibri" w:cs="Calibri"/>
          <w:color w:val="000000" w:themeColor="text1"/>
        </w:rPr>
        <w:t xml:space="preserve">Four key themes and 29 sub-themes were identified in the explanations respondents gave: factors that prompt CD diagnosis, the diagnostic process, how to respond to a negative test result, and opinions on the gluten-free diet </w:t>
      </w:r>
      <w:r>
        <w:t>(</w:t>
      </w:r>
      <w:r w:rsidR="00D14253">
        <w:t xml:space="preserve">Appendix 23 </w:t>
      </w:r>
      <w:r w:rsidR="00D14253">
        <w:fldChar w:fldCharType="begin"/>
      </w:r>
      <w:r w:rsidR="00D14253">
        <w:instrText xml:space="preserve"> REF _Ref95380979 \h </w:instrText>
      </w:r>
      <w:r w:rsidR="00D14253">
        <w:fldChar w:fldCharType="separate"/>
      </w:r>
      <w:r w:rsidR="008B5583" w:rsidRPr="00734942">
        <w:t xml:space="preserve">Table </w:t>
      </w:r>
      <w:r w:rsidR="008B5583">
        <w:rPr>
          <w:noProof/>
        </w:rPr>
        <w:t>61</w:t>
      </w:r>
      <w:r w:rsidR="00D14253">
        <w:fldChar w:fldCharType="end"/>
      </w:r>
      <w:r w:rsidR="00D14253">
        <w:t>)</w:t>
      </w:r>
      <w:r>
        <w:t>.</w:t>
      </w:r>
      <w:r w:rsidRPr="40F80640">
        <w:rPr>
          <w:rFonts w:ascii="Calibri" w:eastAsia="Calibri" w:hAnsi="Calibri" w:cs="Calibri"/>
          <w:color w:val="000000" w:themeColor="text1"/>
        </w:rPr>
        <w:t xml:space="preserve"> Themes raised by adults and children were similar.</w:t>
      </w:r>
    </w:p>
    <w:p w14:paraId="064DD306" w14:textId="3706E292" w:rsidR="049B9CFF" w:rsidRDefault="69618479" w:rsidP="000526F1">
      <w:pPr>
        <w:pStyle w:val="Heading4"/>
      </w:pPr>
      <w:r w:rsidRPr="2694B82F">
        <w:t>Factors that prompt CD diagnosis</w:t>
      </w:r>
    </w:p>
    <w:p w14:paraId="0ED88328" w14:textId="11ACE14C" w:rsidR="69618479" w:rsidRDefault="69618479" w:rsidP="2694B82F">
      <w:pPr>
        <w:rPr>
          <w:rFonts w:ascii="Calibri" w:eastAsia="Calibri" w:hAnsi="Calibri" w:cs="Calibri"/>
          <w:color w:val="000000" w:themeColor="text1"/>
        </w:rPr>
      </w:pPr>
      <w:r w:rsidRPr="2694B82F">
        <w:rPr>
          <w:rFonts w:ascii="Calibri" w:eastAsia="Calibri" w:hAnsi="Calibri" w:cs="Calibri"/>
          <w:color w:val="000000" w:themeColor="text1"/>
        </w:rPr>
        <w:t xml:space="preserve">The most frequently mentioned prompt for seeking CD diagnosis was being diagnosed with osteoporosis, with 44 (9.4%) respondents remarking that this would be a worrying development: </w:t>
      </w:r>
    </w:p>
    <w:p w14:paraId="679A1CE8" w14:textId="2A69AA5E" w:rsidR="69618479" w:rsidRDefault="69618479" w:rsidP="000526F1">
      <w:pPr>
        <w:ind w:left="567" w:right="521"/>
        <w:rPr>
          <w:rFonts w:ascii="Calibri" w:eastAsia="Calibri" w:hAnsi="Calibri" w:cs="Calibri"/>
          <w:color w:val="000000" w:themeColor="text1"/>
        </w:rPr>
      </w:pPr>
      <w:r w:rsidRPr="2694B82F">
        <w:rPr>
          <w:rFonts w:ascii="Calibri" w:eastAsia="Calibri" w:hAnsi="Calibri" w:cs="Calibri"/>
          <w:i/>
          <w:iCs/>
          <w:color w:val="000000" w:themeColor="text1"/>
        </w:rPr>
        <w:t>“If a young man gets an old woman's disease they'd be clutching at lots of straws to try and figure it out”</w:t>
      </w:r>
    </w:p>
    <w:p w14:paraId="57396B65" w14:textId="32B99298" w:rsidR="69618479" w:rsidRDefault="69618479" w:rsidP="2694B82F">
      <w:pPr>
        <w:rPr>
          <w:rFonts w:ascii="Calibri" w:eastAsia="Calibri" w:hAnsi="Calibri" w:cs="Calibri"/>
          <w:color w:val="000000" w:themeColor="text1"/>
        </w:rPr>
      </w:pPr>
      <w:r w:rsidRPr="2694B82F">
        <w:rPr>
          <w:rFonts w:ascii="Calibri" w:eastAsia="Calibri" w:hAnsi="Calibri" w:cs="Calibri"/>
          <w:color w:val="000000" w:themeColor="text1"/>
        </w:rPr>
        <w:t xml:space="preserve">Another 37 (7.9%) of respondents stated throughout the scenarios that the (more general) future risks of CD would prompt seeking or continuing testing for diagnosis. 59 (12.6%) said they would look into CD diagnosis immediately and rule it out early if it was suggested to them by their doctor. For 29 (6.2%) respondents, symptoms would decide whether they looked into getting or continuing </w:t>
      </w:r>
      <w:r w:rsidRPr="2694B82F">
        <w:rPr>
          <w:rFonts w:ascii="Calibri" w:eastAsia="Calibri" w:hAnsi="Calibri" w:cs="Calibri"/>
          <w:color w:val="000000" w:themeColor="text1"/>
        </w:rPr>
        <w:lastRenderedPageBreak/>
        <w:t>a diagnosis. 24 (5.1%) respondents said that family has affected them considering a CD diagnosis for themselves.</w:t>
      </w:r>
    </w:p>
    <w:p w14:paraId="2A0C4E0C" w14:textId="0C676F51" w:rsidR="69618479" w:rsidRDefault="69618479" w:rsidP="2694B82F">
      <w:pPr>
        <w:rPr>
          <w:rFonts w:ascii="Calibri" w:eastAsia="Calibri" w:hAnsi="Calibri" w:cs="Calibri"/>
          <w:color w:val="000000" w:themeColor="text1"/>
        </w:rPr>
      </w:pPr>
      <w:r w:rsidRPr="2694B82F">
        <w:rPr>
          <w:rFonts w:ascii="Calibri" w:eastAsia="Calibri" w:hAnsi="Calibri" w:cs="Calibri"/>
          <w:color w:val="000000" w:themeColor="text1"/>
        </w:rPr>
        <w:t xml:space="preserve">49 (10.5%) said that having an official diagnosis is important to them, stating that there are benefits to having an official record: </w:t>
      </w:r>
    </w:p>
    <w:p w14:paraId="27FB5AF6" w14:textId="018CC556" w:rsidR="69618479" w:rsidRDefault="69618479" w:rsidP="000526F1">
      <w:pPr>
        <w:ind w:left="567" w:right="521"/>
        <w:rPr>
          <w:rFonts w:ascii="Calibri" w:eastAsia="Calibri" w:hAnsi="Calibri" w:cs="Calibri"/>
          <w:color w:val="000000" w:themeColor="text1"/>
        </w:rPr>
      </w:pPr>
      <w:r w:rsidRPr="2694B82F">
        <w:rPr>
          <w:rFonts w:ascii="Calibri" w:eastAsia="Calibri" w:hAnsi="Calibri" w:cs="Calibri"/>
          <w:i/>
          <w:iCs/>
          <w:color w:val="000000" w:themeColor="text1"/>
        </w:rPr>
        <w:t>“If I have it, I want the diagnosis on my medical records so that I can be allowed Dexa scans and flu jabs recommended for people with Coeliac disease.”</w:t>
      </w:r>
    </w:p>
    <w:p w14:paraId="188DD372" w14:textId="6E9C42EE" w:rsidR="69618479" w:rsidRDefault="69618479" w:rsidP="2694B82F">
      <w:pPr>
        <w:rPr>
          <w:rFonts w:ascii="Calibri" w:eastAsia="Calibri" w:hAnsi="Calibri" w:cs="Calibri"/>
          <w:color w:val="000000" w:themeColor="text1"/>
        </w:rPr>
      </w:pPr>
      <w:r w:rsidRPr="2694B82F">
        <w:rPr>
          <w:rFonts w:ascii="Calibri" w:eastAsia="Calibri" w:hAnsi="Calibri" w:cs="Calibri"/>
          <w:color w:val="000000" w:themeColor="text1"/>
        </w:rPr>
        <w:t xml:space="preserve">In contrast, only 4 (0.9%) respondents said that they felt there is no point to an official diagnosis: </w:t>
      </w:r>
    </w:p>
    <w:p w14:paraId="11F8C1E3" w14:textId="107B1896" w:rsidR="2694B82F" w:rsidRDefault="69618479" w:rsidP="000526F1">
      <w:pPr>
        <w:ind w:left="567" w:right="521"/>
        <w:rPr>
          <w:rFonts w:ascii="Calibri" w:eastAsia="Calibri" w:hAnsi="Calibri" w:cs="Calibri"/>
          <w:color w:val="000000" w:themeColor="text1"/>
        </w:rPr>
      </w:pPr>
      <w:r w:rsidRPr="2694B82F">
        <w:rPr>
          <w:rFonts w:ascii="Calibri" w:eastAsia="Calibri" w:hAnsi="Calibri" w:cs="Calibri"/>
          <w:i/>
          <w:iCs/>
          <w:color w:val="000000" w:themeColor="text1"/>
        </w:rPr>
        <w:t xml:space="preserve">“As the ‘benefit of having a diagnosis’ is irrelevant as gluten free </w:t>
      </w:r>
      <w:r w:rsidRPr="5C30C3E8">
        <w:rPr>
          <w:rFonts w:ascii="Calibri" w:eastAsia="Calibri" w:hAnsi="Calibri" w:cs="Calibri"/>
          <w:i/>
          <w:iCs/>
          <w:color w:val="000000" w:themeColor="text1"/>
        </w:rPr>
        <w:t>prescription</w:t>
      </w:r>
      <w:r w:rsidR="2708640C" w:rsidRPr="5C30C3E8">
        <w:rPr>
          <w:rFonts w:ascii="Calibri" w:eastAsia="Calibri" w:hAnsi="Calibri" w:cs="Calibri"/>
          <w:i/>
          <w:iCs/>
          <w:color w:val="000000" w:themeColor="text1"/>
        </w:rPr>
        <w:t>s</w:t>
      </w:r>
      <w:r w:rsidRPr="2694B82F">
        <w:rPr>
          <w:rFonts w:ascii="Calibri" w:eastAsia="Calibri" w:hAnsi="Calibri" w:cs="Calibri"/>
          <w:i/>
          <w:iCs/>
          <w:color w:val="000000" w:themeColor="text1"/>
        </w:rPr>
        <w:t xml:space="preserve"> aren’t allowed anymore and little no support or understanding from professionals.”</w:t>
      </w:r>
    </w:p>
    <w:p w14:paraId="30D9F3E4" w14:textId="5D6AE9A4" w:rsidR="049B9CFF" w:rsidRDefault="049B9CFF" w:rsidP="000526F1">
      <w:pPr>
        <w:pStyle w:val="Heading4"/>
      </w:pPr>
      <w:r w:rsidRPr="6972CBD1">
        <w:t>The Diagnostic Process</w:t>
      </w:r>
    </w:p>
    <w:p w14:paraId="62537310" w14:textId="23C6B56C" w:rsidR="049B9CFF" w:rsidRDefault="049B9CFF">
      <w:pPr>
        <w:rPr>
          <w:rFonts w:ascii="Calibri" w:eastAsia="Calibri" w:hAnsi="Calibri" w:cs="Calibri"/>
          <w:color w:val="000000" w:themeColor="text1"/>
        </w:rPr>
      </w:pPr>
      <w:r w:rsidRPr="54211F77">
        <w:rPr>
          <w:rFonts w:ascii="Calibri" w:eastAsia="Calibri" w:hAnsi="Calibri" w:cs="Calibri"/>
          <w:color w:val="000000" w:themeColor="text1"/>
        </w:rPr>
        <w:t>184 (39.3%) respondents mentioned that they wanted or were happy to have a blood test for CD, as it is not invasive and is seen as easy to have.</w:t>
      </w:r>
    </w:p>
    <w:p w14:paraId="3EE805D9" w14:textId="184F5B52" w:rsidR="049B9CFF" w:rsidRDefault="049B9CFF" w:rsidP="000526F1">
      <w:pPr>
        <w:ind w:left="567" w:right="521"/>
        <w:rPr>
          <w:rFonts w:ascii="Calibri" w:eastAsia="Calibri" w:hAnsi="Calibri" w:cs="Calibri"/>
          <w:color w:val="000000" w:themeColor="text1"/>
        </w:rPr>
      </w:pPr>
      <w:r w:rsidRPr="54211F77">
        <w:rPr>
          <w:rFonts w:ascii="Calibri" w:eastAsia="Calibri" w:hAnsi="Calibri" w:cs="Calibri"/>
          <w:i/>
          <w:color w:val="000000" w:themeColor="text1"/>
        </w:rPr>
        <w:t xml:space="preserve">“It is easy and quick to get a blood test done which would give a much clearer idea of the </w:t>
      </w:r>
      <w:r w:rsidR="7AB7FA8E" w:rsidRPr="54211F77">
        <w:rPr>
          <w:rFonts w:ascii="Calibri" w:eastAsia="Calibri" w:hAnsi="Calibri" w:cs="Calibri"/>
          <w:i/>
          <w:iCs/>
          <w:color w:val="000000" w:themeColor="text1"/>
        </w:rPr>
        <w:t>situation</w:t>
      </w:r>
      <w:r w:rsidR="7AB7FA8E" w:rsidRPr="54211F77">
        <w:rPr>
          <w:rFonts w:ascii="Calibri" w:eastAsia="Calibri" w:hAnsi="Calibri" w:cs="Calibri"/>
          <w:color w:val="000000" w:themeColor="text1"/>
        </w:rPr>
        <w:t>.”</w:t>
      </w:r>
    </w:p>
    <w:p w14:paraId="67805BFF" w14:textId="20452E62" w:rsidR="7AB7FA8E" w:rsidRDefault="7AB7FA8E" w:rsidP="54211F77">
      <w:pPr>
        <w:rPr>
          <w:rFonts w:ascii="Calibri" w:eastAsia="Calibri" w:hAnsi="Calibri" w:cs="Calibri"/>
          <w:color w:val="000000" w:themeColor="text1"/>
        </w:rPr>
      </w:pPr>
      <w:r w:rsidRPr="54211F77">
        <w:rPr>
          <w:rFonts w:ascii="Calibri" w:eastAsia="Calibri" w:hAnsi="Calibri" w:cs="Calibri"/>
          <w:color w:val="000000" w:themeColor="text1"/>
        </w:rPr>
        <w:t>As for opinion on biopsies, 116 (24.8%) said they feel like a biopsy is necessary for confidence in their diagnosis, whereas 27 (5.8%) feel biopsy is invasive or unpleasant and would want to avoid it. The majority of those that believe a biopsy is necessary for certainty of their diagnosis are those with CD (77 (31.63%) CD vs 39 (17.5%) n</w:t>
      </w:r>
      <w:r w:rsidR="00693CFF">
        <w:rPr>
          <w:rFonts w:ascii="Calibri" w:eastAsia="Calibri" w:hAnsi="Calibri" w:cs="Calibri"/>
          <w:color w:val="000000" w:themeColor="text1"/>
        </w:rPr>
        <w:t xml:space="preserve">o </w:t>
      </w:r>
      <w:r w:rsidRPr="54211F77">
        <w:rPr>
          <w:rFonts w:ascii="Calibri" w:eastAsia="Calibri" w:hAnsi="Calibri" w:cs="Calibri"/>
          <w:color w:val="000000" w:themeColor="text1"/>
        </w:rPr>
        <w:t xml:space="preserve">CD). 41 (8.8%) said they would continue a gluten diet for biopsy regardless of if they had symptoms or not. 76 (16.2%) said that when having no symptoms, a biopsy was more necessary for confidence in diagnosis or considered it easier to have due to continuing the diet with no symptoms. </w:t>
      </w:r>
    </w:p>
    <w:p w14:paraId="65FB0484" w14:textId="376F1542" w:rsidR="7AB7FA8E" w:rsidRDefault="7AB7FA8E" w:rsidP="54211F77">
      <w:pPr>
        <w:rPr>
          <w:rFonts w:ascii="Calibri" w:eastAsia="Calibri" w:hAnsi="Calibri" w:cs="Calibri"/>
          <w:color w:val="000000" w:themeColor="text1"/>
        </w:rPr>
      </w:pPr>
      <w:r w:rsidRPr="54211F77">
        <w:rPr>
          <w:rFonts w:ascii="Calibri" w:eastAsia="Calibri" w:hAnsi="Calibri" w:cs="Calibri"/>
          <w:color w:val="000000" w:themeColor="text1"/>
        </w:rPr>
        <w:t>28 (6.0%) stated that 6-8 weeks is an acceptable wait time for a biopsy compared to 13 (2.8%) who stated that the wait time was unacceptable, and 76 (16.2%) expressed that if the blood test shows above a 50% chance of an individual having CD, they would start a gluten-free diet without waiting for a biopsy.</w:t>
      </w:r>
    </w:p>
    <w:p w14:paraId="6516F1C8" w14:textId="3B8F4EDB" w:rsidR="7AB7FA8E" w:rsidRDefault="7AB7FA8E" w:rsidP="000526F1">
      <w:pPr>
        <w:ind w:left="567" w:right="521"/>
        <w:rPr>
          <w:rFonts w:ascii="Calibri" w:eastAsia="Calibri" w:hAnsi="Calibri" w:cs="Calibri"/>
          <w:color w:val="000000" w:themeColor="text1"/>
        </w:rPr>
      </w:pPr>
      <w:r w:rsidRPr="54211F77">
        <w:rPr>
          <w:rFonts w:ascii="Calibri" w:eastAsia="Calibri" w:hAnsi="Calibri" w:cs="Calibri"/>
          <w:i/>
          <w:iCs/>
          <w:color w:val="000000" w:themeColor="text1"/>
        </w:rPr>
        <w:t>“This is a very high answer from a blood test. I feel I have got the answer I need without needing an invasive biopsy.”</w:t>
      </w:r>
    </w:p>
    <w:p w14:paraId="2A48AFF1" w14:textId="325086EB" w:rsidR="00846BCD" w:rsidRDefault="00846BCD" w:rsidP="000526F1">
      <w:pPr>
        <w:pStyle w:val="Heading4"/>
        <w:rPr>
          <w:rStyle w:val="eop"/>
          <w:rFonts w:ascii="Calibri Light" w:eastAsiaTheme="minorHAnsi" w:hAnsi="Calibri Light" w:cs="Calibri Light"/>
          <w:color w:val="2F5496"/>
        </w:rPr>
      </w:pPr>
      <w:r>
        <w:rPr>
          <w:rStyle w:val="normaltextrun"/>
          <w:rFonts w:ascii="Calibri Light" w:hAnsi="Calibri Light" w:cs="Calibri Light"/>
          <w:color w:val="2F5496"/>
        </w:rPr>
        <w:t>How to respond to a negative test result</w:t>
      </w:r>
    </w:p>
    <w:p w14:paraId="68779005" w14:textId="35D1A27E" w:rsidR="00E80090" w:rsidRPr="000526F1" w:rsidRDefault="00846BCD" w:rsidP="000526F1">
      <w:pPr>
        <w:rPr>
          <w:rFonts w:eastAsia="Calibri"/>
          <w:color w:val="000000" w:themeColor="text1"/>
        </w:rPr>
      </w:pPr>
      <w:r w:rsidRPr="000526F1">
        <w:rPr>
          <w:rFonts w:eastAsia="Calibri"/>
          <w:color w:val="000000" w:themeColor="text1"/>
        </w:rPr>
        <w:t>When presented with a negative or low chance of CD, 37 (7.9%) respondents said that they would try a gluten-free diet regardless of diagnosis</w:t>
      </w:r>
      <w:r w:rsidR="00E80090" w:rsidRPr="000526F1">
        <w:rPr>
          <w:rFonts w:eastAsia="Calibri"/>
          <w:color w:val="000000" w:themeColor="text1"/>
        </w:rPr>
        <w:t>:</w:t>
      </w:r>
    </w:p>
    <w:p w14:paraId="5B3CFBEA" w14:textId="602E39C1" w:rsidR="00846BCD" w:rsidRPr="000526F1" w:rsidRDefault="00846BCD" w:rsidP="000526F1">
      <w:pPr>
        <w:ind w:left="567" w:right="521"/>
        <w:rPr>
          <w:rFonts w:ascii="Calibri" w:eastAsia="Calibri" w:hAnsi="Calibri" w:cs="Calibri"/>
          <w:i/>
          <w:iCs/>
          <w:color w:val="000000" w:themeColor="text1"/>
        </w:rPr>
      </w:pPr>
      <w:r w:rsidRPr="000526F1">
        <w:rPr>
          <w:rFonts w:eastAsia="Calibri"/>
          <w:color w:val="000000" w:themeColor="text1"/>
        </w:rPr>
        <w:t>“If the gluten-free diet could potentially stop the pain or improve quality of life I would start</w:t>
      </w:r>
      <w:r w:rsidRPr="000526F1">
        <w:rPr>
          <w:rFonts w:eastAsia="Calibri"/>
          <w:i/>
          <w:iCs/>
          <w:color w:val="000000" w:themeColor="text1"/>
        </w:rPr>
        <w:t xml:space="preserve"> </w:t>
      </w:r>
      <w:r w:rsidRPr="000526F1">
        <w:rPr>
          <w:rFonts w:eastAsia="Calibri"/>
          <w:color w:val="000000" w:themeColor="text1"/>
        </w:rPr>
        <w:t>the diet regardless of diagnosis”</w:t>
      </w:r>
    </w:p>
    <w:p w14:paraId="6AF27D6D" w14:textId="46459777" w:rsidR="00846BCD" w:rsidRPr="000526F1" w:rsidRDefault="00846BCD" w:rsidP="000526F1">
      <w:pPr>
        <w:rPr>
          <w:rFonts w:ascii="Calibri" w:eastAsia="Calibri" w:hAnsi="Calibri" w:cs="Calibri"/>
          <w:color w:val="000000" w:themeColor="text1"/>
        </w:rPr>
      </w:pPr>
      <w:r w:rsidRPr="000526F1">
        <w:rPr>
          <w:rFonts w:eastAsia="Calibri"/>
          <w:color w:val="000000" w:themeColor="text1"/>
        </w:rPr>
        <w:t>32 (6.8%) would ask for further or retesting if they had a negative result. 26 (5.6%) commented on how their doctor’s guidance and opinion would be important to them and 26 (5.6%) would accept not having CD.</w:t>
      </w:r>
    </w:p>
    <w:p w14:paraId="101C9E4D" w14:textId="77777777" w:rsidR="00D40856" w:rsidRDefault="00D40856" w:rsidP="000526F1">
      <w:pPr>
        <w:pStyle w:val="Heading4"/>
        <w:rPr>
          <w:lang w:eastAsia="en-GB"/>
        </w:rPr>
      </w:pPr>
      <w:r w:rsidRPr="00D40856">
        <w:rPr>
          <w:lang w:eastAsia="en-GB"/>
        </w:rPr>
        <w:t>Opinions on gluten-free diet</w:t>
      </w:r>
    </w:p>
    <w:p w14:paraId="7E95FE52" w14:textId="0CD65B60" w:rsidR="049B9CFF" w:rsidRPr="00D40856" w:rsidRDefault="00D40856" w:rsidP="000526F1">
      <w:pPr>
        <w:rPr>
          <w:rFonts w:ascii="Segoe UI" w:eastAsia="Times New Roman" w:hAnsi="Segoe UI" w:cs="Segoe UI"/>
          <w:sz w:val="18"/>
          <w:szCs w:val="18"/>
          <w:lang w:eastAsia="en-GB"/>
        </w:rPr>
      </w:pPr>
      <w:r w:rsidRPr="00D40856">
        <w:rPr>
          <w:rFonts w:eastAsia="Times New Roman"/>
          <w:lang w:eastAsia="en-GB"/>
        </w:rPr>
        <w:t>128 (27.4%) respondents stated that they</w:t>
      </w:r>
      <w:r w:rsidR="049B9CFF" w:rsidRPr="6972CBD1">
        <w:t xml:space="preserve"> would want a definitive diagnosis (through a biopsy) before starting a gluten-free diet, whereas 36 (7.7%) would start a gluten-free diet without a definitive diagnosis.</w:t>
      </w:r>
    </w:p>
    <w:p w14:paraId="4C19FCCA" w14:textId="0FF9AD52" w:rsidR="00D40856" w:rsidRPr="000526F1" w:rsidRDefault="049B9CFF" w:rsidP="000526F1">
      <w:pPr>
        <w:rPr>
          <w:rFonts w:ascii="Segoe UI" w:eastAsia="Times New Roman" w:hAnsi="Segoe UI" w:cs="Segoe UI"/>
          <w:lang w:eastAsia="en-GB"/>
        </w:rPr>
      </w:pPr>
      <w:r w:rsidRPr="00224EFF">
        <w:lastRenderedPageBreak/>
        <w:t xml:space="preserve">27 (5.8%) expressed that the lowest likelihood of CD would not be enough for them to start a gluten-free diet and 25 (5.3%) stated a 50/50 likelihood would not be enough to start a gluten-free diet. However, 20 (4.3%) would start a gluten-free diet at the lowest likelihood </w:t>
      </w:r>
      <w:r w:rsidR="00D40856" w:rsidRPr="00224EFF">
        <w:rPr>
          <w:rFonts w:eastAsia="Times New Roman"/>
          <w:lang w:eastAsia="en-GB"/>
        </w:rPr>
        <w:t>(10% chance or less) of CD.</w:t>
      </w:r>
      <w:r w:rsidRPr="00224EFF">
        <w:t xml:space="preserve"> The majority of those who stated this were those without a CD diagnosis (1 (0.2%) CD vs 19 (8.5%)</w:t>
      </w:r>
      <w:r w:rsidR="00693CFF" w:rsidRPr="00224EFF">
        <w:rPr>
          <w:rFonts w:eastAsia="Times New Roman"/>
          <w:lang w:eastAsia="en-GB"/>
        </w:rPr>
        <w:t xml:space="preserve"> </w:t>
      </w:r>
      <w:r w:rsidR="00693CFF" w:rsidRPr="00224EFF">
        <w:t>no CD</w:t>
      </w:r>
      <w:r w:rsidRPr="00224EFF">
        <w:t>):</w:t>
      </w:r>
    </w:p>
    <w:p w14:paraId="56F4370A" w14:textId="59208C72" w:rsidR="00D40856" w:rsidRPr="000526F1" w:rsidRDefault="00D40856" w:rsidP="000526F1">
      <w:pPr>
        <w:ind w:left="567" w:right="521"/>
        <w:rPr>
          <w:rFonts w:ascii="Segoe UI" w:eastAsia="Times New Roman" w:hAnsi="Segoe UI" w:cs="Segoe UI"/>
          <w:lang w:eastAsia="en-GB"/>
        </w:rPr>
      </w:pPr>
      <w:r w:rsidRPr="00224EFF">
        <w:rPr>
          <w:rFonts w:ascii="Calibri" w:eastAsia="Times New Roman" w:hAnsi="Calibri" w:cs="Calibri"/>
          <w:i/>
          <w:iCs/>
          <w:lang w:eastAsia="en-GB"/>
        </w:rPr>
        <w:t>“I would want my symptoms to get better as soon as possible, so if the [gluten-free</w:t>
      </w:r>
      <w:r w:rsidRPr="00224EFF">
        <w:rPr>
          <w:rFonts w:ascii="Calibri" w:eastAsia="Times New Roman" w:hAnsi="Calibri" w:cs="Calibri"/>
          <w:lang w:eastAsia="en-GB"/>
        </w:rPr>
        <w:t xml:space="preserve"> </w:t>
      </w:r>
      <w:r w:rsidRPr="00224EFF">
        <w:rPr>
          <w:rFonts w:ascii="Calibri" w:eastAsia="Times New Roman" w:hAnsi="Calibri" w:cs="Calibri"/>
          <w:i/>
          <w:iCs/>
          <w:lang w:eastAsia="en-GB"/>
        </w:rPr>
        <w:t>diet] helped to eliminate the uncomfortable symptoms, that would be good enough for me. I</w:t>
      </w:r>
      <w:r w:rsidRPr="00224EFF">
        <w:rPr>
          <w:rFonts w:ascii="Calibri" w:eastAsia="Times New Roman" w:hAnsi="Calibri" w:cs="Calibri"/>
          <w:lang w:eastAsia="en-GB"/>
        </w:rPr>
        <w:t xml:space="preserve"> </w:t>
      </w:r>
      <w:r w:rsidRPr="00224EFF">
        <w:rPr>
          <w:rFonts w:ascii="Calibri" w:eastAsia="Times New Roman" w:hAnsi="Calibri" w:cs="Calibri"/>
          <w:i/>
          <w:iCs/>
          <w:lang w:eastAsia="en-GB"/>
        </w:rPr>
        <w:t>wouldn't need the tests.”</w:t>
      </w:r>
    </w:p>
    <w:p w14:paraId="2AC324B1" w14:textId="05DBD5D9" w:rsidR="00D40856" w:rsidRPr="000526F1" w:rsidRDefault="00D40856" w:rsidP="000526F1">
      <w:pPr>
        <w:rPr>
          <w:rFonts w:ascii="Segoe UI" w:eastAsia="Times New Roman" w:hAnsi="Segoe UI" w:cs="Segoe UI"/>
          <w:lang w:eastAsia="en-GB"/>
        </w:rPr>
      </w:pPr>
      <w:r w:rsidRPr="00224EFF">
        <w:rPr>
          <w:rFonts w:ascii="Calibri" w:eastAsia="Times New Roman" w:hAnsi="Calibri" w:cs="Calibri"/>
          <w:lang w:eastAsia="en-GB"/>
        </w:rPr>
        <w:t>77 (16.5%) said they would start a gluten-free diet and see if CD symptoms improve (even if not diagnosed with CD), 22 (4.7%) also said that they may consider restarting a gluten diet and having a biopsy if a gluten-free diet does not work:</w:t>
      </w:r>
    </w:p>
    <w:p w14:paraId="507FA55B" w14:textId="1D901191" w:rsidR="00D40856" w:rsidRPr="000526F1" w:rsidRDefault="00D40856" w:rsidP="000526F1">
      <w:pPr>
        <w:ind w:left="567" w:right="521"/>
        <w:rPr>
          <w:rFonts w:ascii="Segoe UI" w:eastAsia="Times New Roman" w:hAnsi="Segoe UI" w:cs="Segoe UI"/>
          <w:lang w:eastAsia="en-GB"/>
        </w:rPr>
      </w:pPr>
      <w:r w:rsidRPr="00224EFF">
        <w:rPr>
          <w:rFonts w:ascii="Calibri" w:eastAsia="Times New Roman" w:hAnsi="Calibri" w:cs="Calibri"/>
          <w:i/>
          <w:iCs/>
          <w:lang w:eastAsia="en-GB"/>
        </w:rPr>
        <w:t>“I could try the gluten-free diet and if my symptoms</w:t>
      </w:r>
      <w:r w:rsidR="00BF5C18" w:rsidRPr="00224EFF">
        <w:rPr>
          <w:rFonts w:ascii="Calibri" w:eastAsia="Times New Roman" w:hAnsi="Calibri" w:cs="Calibri"/>
          <w:i/>
          <w:iCs/>
          <w:lang w:eastAsia="en-GB"/>
        </w:rPr>
        <w:t xml:space="preserve"> </w:t>
      </w:r>
      <w:r w:rsidRPr="00224EFF">
        <w:rPr>
          <w:rFonts w:ascii="Calibri" w:eastAsia="Times New Roman" w:hAnsi="Calibri" w:cs="Calibri"/>
          <w:i/>
          <w:iCs/>
          <w:lang w:eastAsia="en-GB"/>
        </w:rPr>
        <w:t>improve</w:t>
      </w:r>
      <w:r w:rsidR="00BF5C18" w:rsidRPr="00224EFF">
        <w:rPr>
          <w:rFonts w:ascii="Calibri" w:eastAsia="Times New Roman" w:hAnsi="Calibri" w:cs="Calibri"/>
          <w:i/>
          <w:iCs/>
          <w:lang w:eastAsia="en-GB"/>
        </w:rPr>
        <w:t xml:space="preserve"> </w:t>
      </w:r>
      <w:r w:rsidRPr="00224EFF">
        <w:rPr>
          <w:rFonts w:ascii="Calibri" w:eastAsia="Times New Roman" w:hAnsi="Calibri" w:cs="Calibri"/>
          <w:i/>
          <w:iCs/>
          <w:lang w:eastAsia="en-GB"/>
        </w:rPr>
        <w:t>I would continue, if it makes</w:t>
      </w:r>
      <w:r w:rsidRPr="00224EFF">
        <w:rPr>
          <w:rFonts w:ascii="Calibri" w:eastAsia="Times New Roman" w:hAnsi="Calibri" w:cs="Calibri"/>
          <w:lang w:eastAsia="en-GB"/>
        </w:rPr>
        <w:t xml:space="preserve"> </w:t>
      </w:r>
      <w:r w:rsidRPr="00224EFF">
        <w:rPr>
          <w:rFonts w:ascii="Calibri" w:eastAsia="Times New Roman" w:hAnsi="Calibri" w:cs="Calibri"/>
          <w:i/>
          <w:iCs/>
          <w:lang w:eastAsia="en-GB"/>
        </w:rPr>
        <w:t>no difference I may go back to eating gluten and then opt for a biopsy or other tests.”</w:t>
      </w:r>
    </w:p>
    <w:p w14:paraId="065C6DD2" w14:textId="754D81D2" w:rsidR="049B9CFF" w:rsidRPr="000526F1" w:rsidRDefault="049B9CFF" w:rsidP="000526F1">
      <w:pPr>
        <w:rPr>
          <w:rFonts w:ascii="Segoe UI" w:eastAsia="Times New Roman" w:hAnsi="Segoe UI" w:cs="Segoe UI"/>
          <w:lang w:eastAsia="en-GB"/>
        </w:rPr>
      </w:pPr>
      <w:r w:rsidRPr="00224EFF">
        <w:rPr>
          <w:rFonts w:ascii="Calibri" w:eastAsia="Calibri" w:hAnsi="Calibri" w:cs="Calibri"/>
        </w:rPr>
        <w:t>35 (7.5%) have said that</w:t>
      </w:r>
      <w:r w:rsidR="00D40856" w:rsidRPr="00224EFF">
        <w:rPr>
          <w:rFonts w:ascii="Calibri" w:eastAsia="Times New Roman" w:hAnsi="Calibri" w:cs="Calibri"/>
          <w:lang w:eastAsia="en-GB"/>
        </w:rPr>
        <w:t> </w:t>
      </w:r>
      <w:r w:rsidRPr="00224EFF">
        <w:rPr>
          <w:rFonts w:ascii="Calibri" w:eastAsia="Calibri" w:hAnsi="Calibri" w:cs="Calibri"/>
        </w:rPr>
        <w:t>whether or not</w:t>
      </w:r>
      <w:r w:rsidR="00D40856" w:rsidRPr="00224EFF">
        <w:rPr>
          <w:rFonts w:ascii="Calibri" w:eastAsia="Times New Roman" w:hAnsi="Calibri" w:cs="Calibri"/>
          <w:lang w:eastAsia="en-GB"/>
        </w:rPr>
        <w:t> </w:t>
      </w:r>
      <w:r w:rsidRPr="00224EFF">
        <w:rPr>
          <w:rFonts w:ascii="Calibri" w:eastAsia="Calibri" w:hAnsi="Calibri" w:cs="Calibri"/>
        </w:rPr>
        <w:t xml:space="preserve">they live with another who had CD would affect their gluten-free diet adherence and 48 (10.3%) have expressed a negative opinion on following a gluten-free diet or they see gluten-free diet is a big commitment. More of those with a CD diagnosis expressed </w:t>
      </w:r>
      <w:r w:rsidR="00D40856" w:rsidRPr="00224EFF">
        <w:rPr>
          <w:rFonts w:ascii="Calibri" w:eastAsia="Times New Roman" w:hAnsi="Calibri" w:cs="Calibri"/>
          <w:lang w:eastAsia="en-GB"/>
        </w:rPr>
        <w:t xml:space="preserve">negativity towards a </w:t>
      </w:r>
      <w:r w:rsidR="00BF5C18" w:rsidRPr="00224EFF">
        <w:rPr>
          <w:rFonts w:ascii="Calibri" w:eastAsia="Times New Roman" w:hAnsi="Calibri" w:cs="Calibri"/>
          <w:lang w:eastAsia="en-GB"/>
        </w:rPr>
        <w:t>gluten-free diet</w:t>
      </w:r>
      <w:r w:rsidRPr="00224EFF">
        <w:rPr>
          <w:rFonts w:ascii="Calibri" w:eastAsia="Calibri" w:hAnsi="Calibri" w:cs="Calibri"/>
        </w:rPr>
        <w:t xml:space="preserve"> compared to those without CD (33 (13.5%) CD vs 15 (6.7%)</w:t>
      </w:r>
      <w:r w:rsidR="00693CFF" w:rsidRPr="00224EFF">
        <w:rPr>
          <w:rFonts w:ascii="Calibri" w:eastAsia="Times New Roman" w:hAnsi="Calibri" w:cs="Calibri"/>
          <w:lang w:eastAsia="en-GB"/>
        </w:rPr>
        <w:t xml:space="preserve"> </w:t>
      </w:r>
      <w:r w:rsidRPr="00224EFF">
        <w:rPr>
          <w:rFonts w:ascii="Calibri" w:eastAsia="Calibri" w:hAnsi="Calibri" w:cs="Calibri"/>
        </w:rPr>
        <w:t>n</w:t>
      </w:r>
      <w:r w:rsidR="00693CFF" w:rsidRPr="00224EFF">
        <w:rPr>
          <w:rFonts w:ascii="Calibri" w:eastAsia="Calibri" w:hAnsi="Calibri" w:cs="Calibri"/>
        </w:rPr>
        <w:t xml:space="preserve">o </w:t>
      </w:r>
      <w:r w:rsidRPr="00224EFF">
        <w:rPr>
          <w:rFonts w:ascii="Calibri" w:eastAsia="Calibri" w:hAnsi="Calibri" w:cs="Calibri"/>
        </w:rPr>
        <w:t>CD):</w:t>
      </w:r>
    </w:p>
    <w:p w14:paraId="5F224C48" w14:textId="1B5A2266" w:rsidR="49EF34E8" w:rsidRPr="00224EFF" w:rsidRDefault="049B9CFF" w:rsidP="000526F1">
      <w:pPr>
        <w:ind w:left="567" w:right="521"/>
      </w:pPr>
      <w:r w:rsidRPr="00224EFF">
        <w:rPr>
          <w:rFonts w:ascii="Calibri" w:eastAsia="Calibri" w:hAnsi="Calibri" w:cs="Calibri"/>
          <w:i/>
          <w:iCs/>
        </w:rPr>
        <w:t>“I have 30 years on a [gluten-free diet], I know what it is like. You would want to be sure</w:t>
      </w:r>
      <w:r w:rsidRPr="00224EFF">
        <w:rPr>
          <w:rFonts w:ascii="Calibri" w:eastAsia="Times New Roman" w:hAnsi="Calibri" w:cs="Calibri"/>
          <w:lang w:eastAsia="en-GB"/>
        </w:rPr>
        <w:t xml:space="preserve"> </w:t>
      </w:r>
      <w:r w:rsidRPr="00224EFF">
        <w:rPr>
          <w:rFonts w:ascii="Calibri" w:eastAsia="Calibri" w:hAnsi="Calibri" w:cs="Calibri"/>
          <w:i/>
          <w:iCs/>
        </w:rPr>
        <w:t>before changing your diet for good. It isn't much fun, long term”</w:t>
      </w:r>
    </w:p>
    <w:p w14:paraId="3587272A" w14:textId="77777777" w:rsidR="00460B0B" w:rsidRDefault="00460B0B">
      <w:pPr>
        <w:rPr>
          <w:i/>
          <w:iCs/>
          <w:color w:val="44546A" w:themeColor="text2"/>
        </w:rPr>
      </w:pPr>
      <w:bookmarkStart w:id="233" w:name="_Ref83912668"/>
      <w:r>
        <w:br w:type="page"/>
      </w:r>
    </w:p>
    <w:p w14:paraId="30F532AF" w14:textId="06EEFA8A" w:rsidR="002C56DC" w:rsidRPr="00734942" w:rsidRDefault="002C56DC" w:rsidP="007630E0">
      <w:pPr>
        <w:pStyle w:val="Heading1"/>
      </w:pPr>
      <w:bookmarkStart w:id="234" w:name="_Toc99539895"/>
      <w:bookmarkEnd w:id="233"/>
      <w:r w:rsidRPr="00734942">
        <w:lastRenderedPageBreak/>
        <w:t>Ch</w:t>
      </w:r>
      <w:r w:rsidR="00354826" w:rsidRPr="00734942">
        <w:t xml:space="preserve">apter </w:t>
      </w:r>
      <w:r w:rsidR="001E4000" w:rsidRPr="00734942">
        <w:t>8</w:t>
      </w:r>
      <w:r w:rsidRPr="00734942">
        <w:t xml:space="preserve">: </w:t>
      </w:r>
      <w:r w:rsidR="00354826" w:rsidRPr="00734942">
        <w:t>Assessment of c</w:t>
      </w:r>
      <w:r w:rsidR="006E7A8E" w:rsidRPr="00734942">
        <w:t xml:space="preserve">ost-effectiveness </w:t>
      </w:r>
      <w:r w:rsidR="00354826" w:rsidRPr="00734942">
        <w:t>of diagnostic strategies</w:t>
      </w:r>
      <w:bookmarkEnd w:id="234"/>
    </w:p>
    <w:p w14:paraId="6D8C973B" w14:textId="6EF5CEE0" w:rsidR="00C61CBE" w:rsidRDefault="00F513A1" w:rsidP="000A5BD7">
      <w:pPr>
        <w:rPr>
          <w:rFonts w:cstheme="minorHAnsi"/>
        </w:rPr>
      </w:pPr>
      <w:r w:rsidRPr="0014055C">
        <w:rPr>
          <w:rFonts w:cstheme="minorHAnsi"/>
        </w:rPr>
        <w:t>This chapter describes the decision tree and Markov modelling to estimate the cost-effectiveness of screening strategies for CD in men, women, and children. This</w:t>
      </w:r>
      <w:r>
        <w:rPr>
          <w:rFonts w:cstheme="minorHAnsi"/>
        </w:rPr>
        <w:t xml:space="preserve"> builds substantially on earlier chapters. </w:t>
      </w:r>
      <w:r w:rsidR="0029620A">
        <w:rPr>
          <w:rFonts w:cstheme="minorHAnsi"/>
        </w:rPr>
        <w:t>Individual d</w:t>
      </w:r>
      <w:r w:rsidR="00B3755B">
        <w:rPr>
          <w:rFonts w:cstheme="minorHAnsi"/>
        </w:rPr>
        <w:t xml:space="preserve">iagnostic indicators from Chapter 3 and </w:t>
      </w:r>
      <w:r w:rsidR="0029620A">
        <w:rPr>
          <w:rFonts w:cstheme="minorHAnsi"/>
        </w:rPr>
        <w:t>combinations of diagnostic indicators from the prediction model</w:t>
      </w:r>
      <w:r>
        <w:rPr>
          <w:rFonts w:cstheme="minorHAnsi"/>
        </w:rPr>
        <w:t xml:space="preserve"> </w:t>
      </w:r>
      <w:r w:rsidR="0029620A">
        <w:rPr>
          <w:rFonts w:cstheme="minorHAnsi"/>
        </w:rPr>
        <w:t xml:space="preserve">in </w:t>
      </w:r>
      <w:r>
        <w:rPr>
          <w:rFonts w:cstheme="minorHAnsi"/>
        </w:rPr>
        <w:t xml:space="preserve">Chapter 4 are investigated in combination with serological and genetic tests. Serological test accuracies come from Chapter 5 and genetic test </w:t>
      </w:r>
      <w:r w:rsidR="003B2BAF">
        <w:rPr>
          <w:rFonts w:cstheme="minorHAnsi"/>
        </w:rPr>
        <w:t xml:space="preserve">accuracy </w:t>
      </w:r>
      <w:r>
        <w:rPr>
          <w:rFonts w:cstheme="minorHAnsi"/>
        </w:rPr>
        <w:t xml:space="preserve">from Chapter 6. Results of the patient survey in Chapter 7 inform key assumptions of the model. </w:t>
      </w:r>
      <w:r w:rsidRPr="000A389E">
        <w:rPr>
          <w:rFonts w:cstheme="minorHAnsi"/>
        </w:rPr>
        <w:t xml:space="preserve">The objectives of </w:t>
      </w:r>
      <w:r w:rsidRPr="004320AB">
        <w:rPr>
          <w:rFonts w:cstheme="minorHAnsi"/>
        </w:rPr>
        <w:t>this</w:t>
      </w:r>
      <w:r w:rsidRPr="0014055C">
        <w:rPr>
          <w:rFonts w:cstheme="minorHAnsi"/>
        </w:rPr>
        <w:t xml:space="preserve"> analysis were to determine</w:t>
      </w:r>
      <w:r w:rsidR="00C61CBE">
        <w:rPr>
          <w:rFonts w:cstheme="minorHAnsi"/>
        </w:rPr>
        <w:t>:</w:t>
      </w:r>
    </w:p>
    <w:p w14:paraId="19857B57" w14:textId="1209B703" w:rsidR="00C61CBE" w:rsidRPr="003923D6" w:rsidRDefault="00C61CBE" w:rsidP="00612ABA">
      <w:pPr>
        <w:pStyle w:val="ListParagraph"/>
        <w:numPr>
          <w:ilvl w:val="0"/>
          <w:numId w:val="51"/>
        </w:numPr>
        <w:rPr>
          <w:rFonts w:cstheme="minorHAnsi"/>
        </w:rPr>
      </w:pPr>
      <w:r w:rsidRPr="003923D6">
        <w:rPr>
          <w:rFonts w:cstheme="minorHAnsi"/>
        </w:rPr>
        <w:t>T</w:t>
      </w:r>
      <w:r w:rsidR="00F513A1" w:rsidRPr="003923D6">
        <w:rPr>
          <w:rFonts w:cstheme="minorHAnsi"/>
        </w:rPr>
        <w:t xml:space="preserve">he most cost-effective combination of sensitivity and specificity for a pre-test probability above which all patients should be screened and </w:t>
      </w:r>
    </w:p>
    <w:p w14:paraId="54FEC069" w14:textId="77777777" w:rsidR="005A4C7D" w:rsidRPr="005A4C7D" w:rsidRDefault="00C61CBE" w:rsidP="00612ABA">
      <w:pPr>
        <w:pStyle w:val="ListParagraph"/>
        <w:numPr>
          <w:ilvl w:val="0"/>
          <w:numId w:val="51"/>
        </w:numPr>
      </w:pPr>
      <w:r w:rsidRPr="003923D6">
        <w:rPr>
          <w:rFonts w:cstheme="minorHAnsi"/>
        </w:rPr>
        <w:t>T</w:t>
      </w:r>
      <w:r w:rsidR="00F513A1" w:rsidRPr="003923D6">
        <w:rPr>
          <w:rFonts w:cstheme="minorHAnsi"/>
        </w:rPr>
        <w:t xml:space="preserve">he most cost-effective screening strategy. </w:t>
      </w:r>
    </w:p>
    <w:p w14:paraId="123965B8" w14:textId="5E4F03B0" w:rsidR="000A5BD7" w:rsidRPr="00734942" w:rsidRDefault="00F513A1" w:rsidP="001826D3">
      <w:r w:rsidRPr="003923D6">
        <w:rPr>
          <w:rFonts w:cstheme="minorHAnsi"/>
        </w:rPr>
        <w:t>Results were based on a lifetime time horizon and take a</w:t>
      </w:r>
      <w:r w:rsidR="007F3769">
        <w:rPr>
          <w:rFonts w:cstheme="minorHAnsi"/>
        </w:rPr>
        <w:t xml:space="preserve"> UK </w:t>
      </w:r>
      <w:r w:rsidRPr="003923D6">
        <w:rPr>
          <w:rFonts w:cstheme="minorHAnsi"/>
        </w:rPr>
        <w:t>NHS perspective.</w:t>
      </w:r>
    </w:p>
    <w:p w14:paraId="4DED8AE9" w14:textId="77777777" w:rsidR="00BF5EA3" w:rsidRPr="00C3631C" w:rsidRDefault="00BF5EA3" w:rsidP="007B0019">
      <w:pPr>
        <w:pStyle w:val="Heading2"/>
      </w:pPr>
      <w:bookmarkStart w:id="235" w:name="_Toc87507174"/>
      <w:bookmarkStart w:id="236" w:name="_Toc99539896"/>
      <w:r w:rsidRPr="00C3631C">
        <w:t>Screening strategies to investigate</w:t>
      </w:r>
      <w:bookmarkEnd w:id="235"/>
      <w:bookmarkEnd w:id="236"/>
    </w:p>
    <w:p w14:paraId="2CF6DBFF" w14:textId="49D2778B" w:rsidR="00BF5EA3" w:rsidRPr="00C3631C" w:rsidRDefault="00BF5EA3" w:rsidP="00BF5EA3">
      <w:pPr>
        <w:rPr>
          <w:rFonts w:cstheme="minorHAnsi"/>
        </w:rPr>
      </w:pPr>
      <w:r w:rsidRPr="00657BDA">
        <w:rPr>
          <w:rFonts w:cstheme="minorHAnsi"/>
        </w:rPr>
        <w:t>To examine the most cost-effective</w:t>
      </w:r>
      <w:r w:rsidRPr="000A389E">
        <w:rPr>
          <w:rFonts w:cstheme="minorHAnsi"/>
        </w:rPr>
        <w:t xml:space="preserve"> combination of sensitivity and specificity for a </w:t>
      </w:r>
      <w:r w:rsidR="0029620A">
        <w:rPr>
          <w:rFonts w:cstheme="minorHAnsi"/>
        </w:rPr>
        <w:t>diagnostic indicator</w:t>
      </w:r>
      <w:r w:rsidR="00FA7BD5">
        <w:rPr>
          <w:rFonts w:cstheme="minorHAnsi"/>
        </w:rPr>
        <w:t xml:space="preserve"> (or combinations of diagnostic indicators)</w:t>
      </w:r>
      <w:r w:rsidRPr="000A389E">
        <w:rPr>
          <w:rFonts w:cstheme="minorHAnsi"/>
        </w:rPr>
        <w:t xml:space="preserve"> above which all patients should be screened</w:t>
      </w:r>
      <w:r w:rsidRPr="004320AB">
        <w:rPr>
          <w:rFonts w:cstheme="minorHAnsi"/>
        </w:rPr>
        <w:t>, we consider</w:t>
      </w:r>
      <w:r w:rsidRPr="000D6C92">
        <w:rPr>
          <w:rFonts w:cstheme="minorHAnsi"/>
        </w:rPr>
        <w:t>ed</w:t>
      </w:r>
      <w:r w:rsidRPr="004C0C77">
        <w:rPr>
          <w:rFonts w:cstheme="minorHAnsi"/>
        </w:rPr>
        <w:t xml:space="preserve"> a </w:t>
      </w:r>
      <w:r w:rsidRPr="007F2C1C">
        <w:rPr>
          <w:rFonts w:cstheme="minorHAnsi"/>
        </w:rPr>
        <w:t xml:space="preserve">theoretical </w:t>
      </w:r>
      <w:r w:rsidRPr="002646D1">
        <w:rPr>
          <w:rFonts w:cstheme="minorHAnsi"/>
        </w:rPr>
        <w:t xml:space="preserve">selection of </w:t>
      </w:r>
      <w:r w:rsidRPr="00B36966">
        <w:rPr>
          <w:rFonts w:cstheme="minorHAnsi"/>
        </w:rPr>
        <w:t xml:space="preserve">combinations of </w:t>
      </w:r>
      <w:r w:rsidR="00FA7BD5">
        <w:rPr>
          <w:rFonts w:cstheme="minorHAnsi"/>
        </w:rPr>
        <w:t>diagnostic indicator</w:t>
      </w:r>
      <w:r w:rsidRPr="00DC4226">
        <w:rPr>
          <w:rFonts w:cstheme="minorHAnsi"/>
        </w:rPr>
        <w:t xml:space="preserve"> </w:t>
      </w:r>
      <w:r w:rsidRPr="00E9087C">
        <w:rPr>
          <w:rFonts w:cstheme="minorHAnsi"/>
        </w:rPr>
        <w:t>sensitivities and specificities</w:t>
      </w:r>
      <w:r w:rsidRPr="008F2718">
        <w:rPr>
          <w:rFonts w:cstheme="minorHAnsi"/>
        </w:rPr>
        <w:t>. These</w:t>
      </w:r>
      <w:r w:rsidRPr="00B96B88">
        <w:rPr>
          <w:rFonts w:cstheme="minorHAnsi"/>
        </w:rPr>
        <w:t xml:space="preserve"> were </w:t>
      </w:r>
      <w:r w:rsidRPr="00C423A3">
        <w:rPr>
          <w:rFonts w:cstheme="minorHAnsi"/>
        </w:rPr>
        <w:t xml:space="preserve">every </w:t>
      </w:r>
      <w:r w:rsidRPr="00E501E1">
        <w:rPr>
          <w:rFonts w:cstheme="minorHAnsi"/>
        </w:rPr>
        <w:t xml:space="preserve">10% increment </w:t>
      </w:r>
      <w:r w:rsidRPr="003C7BD4">
        <w:rPr>
          <w:rFonts w:cstheme="minorHAnsi"/>
        </w:rPr>
        <w:t xml:space="preserve">above 50% for both parameters. </w:t>
      </w:r>
      <w:r w:rsidRPr="00C508F7">
        <w:rPr>
          <w:rFonts w:cstheme="minorHAnsi"/>
        </w:rPr>
        <w:t>A desired threshold of 90% post-test probability before initiating gluten-free diet was adopted following the results of the patient survey described in Chapter 7</w:t>
      </w:r>
      <w:r w:rsidRPr="00657BDA">
        <w:rPr>
          <w:rFonts w:cstheme="minorHAnsi"/>
        </w:rPr>
        <w:t>. This sur</w:t>
      </w:r>
      <w:r w:rsidRPr="000A389E">
        <w:rPr>
          <w:rFonts w:cstheme="minorHAnsi"/>
        </w:rPr>
        <w:t xml:space="preserve">vey found that without symptoms </w:t>
      </w:r>
      <w:r w:rsidRPr="004320AB">
        <w:rPr>
          <w:rFonts w:cstheme="minorHAnsi"/>
        </w:rPr>
        <w:t>required an average post-test probability of</w:t>
      </w:r>
      <w:r w:rsidRPr="00C508F7">
        <w:rPr>
          <w:rFonts w:cstheme="minorHAnsi"/>
        </w:rPr>
        <w:t xml:space="preserve"> 90% (median, IQR 66 to 99%) before committing to a gluten-free diet while those with symptoms required a post-test probability of 66% (median, IQR 33 to 90%). We chose the maximum of these two as the desired level of certainty from testing strategies.</w:t>
      </w:r>
    </w:p>
    <w:p w14:paraId="156286D4" w14:textId="2EB90355" w:rsidR="00BF5EA3" w:rsidRPr="00C3631C" w:rsidRDefault="00BF5EA3" w:rsidP="00BF5EA3">
      <w:pPr>
        <w:rPr>
          <w:rFonts w:cstheme="minorHAnsi"/>
        </w:rPr>
      </w:pPr>
      <w:r w:rsidRPr="00C3631C">
        <w:rPr>
          <w:rFonts w:cstheme="minorHAnsi"/>
        </w:rPr>
        <w:t xml:space="preserve">For each combination of sensitivity and specificity of </w:t>
      </w:r>
      <w:r w:rsidR="00FA7BD5">
        <w:rPr>
          <w:rFonts w:cstheme="minorHAnsi"/>
        </w:rPr>
        <w:t xml:space="preserve">diagnostic indicators </w:t>
      </w:r>
      <w:r w:rsidRPr="00C3631C">
        <w:rPr>
          <w:rFonts w:cstheme="minorHAnsi"/>
        </w:rPr>
        <w:t>we modelled the following screening strategies:</w:t>
      </w:r>
    </w:p>
    <w:p w14:paraId="7FDB2789" w14:textId="2B86B195" w:rsidR="00BF5EA3" w:rsidRPr="00C3631C" w:rsidRDefault="00BF5EA3" w:rsidP="00612ABA">
      <w:pPr>
        <w:pStyle w:val="ListParagraph"/>
        <w:numPr>
          <w:ilvl w:val="0"/>
          <w:numId w:val="53"/>
        </w:numPr>
        <w:spacing w:after="0" w:line="240" w:lineRule="auto"/>
        <w:rPr>
          <w:rFonts w:cstheme="minorHAnsi"/>
        </w:rPr>
      </w:pPr>
      <w:r w:rsidRPr="00C3631C">
        <w:rPr>
          <w:rFonts w:cstheme="minorHAnsi"/>
        </w:rPr>
        <w:t xml:space="preserve">Serological testing </w:t>
      </w:r>
      <w:r w:rsidR="00B37FA5">
        <w:rPr>
          <w:rFonts w:cstheme="minorHAnsi"/>
        </w:rPr>
        <w:t xml:space="preserve">(IgA tTG, IgA EMA, IgA tTG plus IgA EMA) </w:t>
      </w:r>
      <w:r w:rsidRPr="00C3631C">
        <w:rPr>
          <w:rFonts w:cstheme="minorHAnsi"/>
        </w:rPr>
        <w:t>with a confirmatory biopsy in those with a post-test probability &lt; 90%</w:t>
      </w:r>
    </w:p>
    <w:p w14:paraId="1588BFA3" w14:textId="5FF59847" w:rsidR="00BF5EA3" w:rsidRPr="00E07C16" w:rsidRDefault="00BF5EA3" w:rsidP="0089443C">
      <w:pPr>
        <w:pStyle w:val="ListParagraph"/>
        <w:numPr>
          <w:ilvl w:val="0"/>
          <w:numId w:val="53"/>
        </w:numPr>
        <w:spacing w:line="240" w:lineRule="auto"/>
        <w:ind w:left="714" w:hanging="357"/>
        <w:contextualSpacing w:val="0"/>
        <w:rPr>
          <w:rFonts w:eastAsiaTheme="minorEastAsia" w:cstheme="minorHAnsi"/>
        </w:rPr>
      </w:pPr>
      <w:r w:rsidRPr="00C3631C">
        <w:rPr>
          <w:rFonts w:cstheme="minorHAnsi"/>
        </w:rPr>
        <w:t xml:space="preserve">Combination of serological testing with genetic testing </w:t>
      </w:r>
      <w:r w:rsidR="00B37FA5">
        <w:rPr>
          <w:rFonts w:cstheme="minorHAnsi"/>
        </w:rPr>
        <w:t xml:space="preserve">(HLA before or after each serological test or test combination) </w:t>
      </w:r>
      <w:r w:rsidRPr="00C3631C">
        <w:rPr>
          <w:rFonts w:cstheme="minorHAnsi"/>
        </w:rPr>
        <w:t>with a confirmatory biopsy in those with a post-test probability &lt; 90%</w:t>
      </w:r>
    </w:p>
    <w:p w14:paraId="5B8DCEE6" w14:textId="670E5EBC" w:rsidR="00BF5EA3" w:rsidRPr="00C3631C" w:rsidRDefault="00BF5EA3" w:rsidP="0089443C">
      <w:pPr>
        <w:pStyle w:val="ListParagraph"/>
        <w:ind w:left="0"/>
        <w:contextualSpacing w:val="0"/>
        <w:rPr>
          <w:rFonts w:cstheme="minorHAnsi"/>
        </w:rPr>
      </w:pPr>
      <w:r w:rsidRPr="00C3631C">
        <w:rPr>
          <w:rFonts w:cstheme="minorHAnsi"/>
        </w:rPr>
        <w:t xml:space="preserve">We also investigated “strategies of interest” identified as the sensitivity and specificity of </w:t>
      </w:r>
      <w:r w:rsidR="00FA7BD5">
        <w:rPr>
          <w:rFonts w:cstheme="minorHAnsi"/>
        </w:rPr>
        <w:t xml:space="preserve">diagnostic indicator </w:t>
      </w:r>
      <w:r w:rsidRPr="00C3631C">
        <w:rPr>
          <w:rFonts w:cstheme="minorHAnsi"/>
        </w:rPr>
        <w:t xml:space="preserve">strategies described </w:t>
      </w:r>
      <w:r w:rsidRPr="00E07C16">
        <w:rPr>
          <w:rFonts w:cstheme="minorHAnsi"/>
        </w:rPr>
        <w:t xml:space="preserve">in </w:t>
      </w:r>
      <w:r w:rsidR="00E07C16" w:rsidRPr="00E07C16">
        <w:rPr>
          <w:rFonts w:cstheme="minorHAnsi"/>
        </w:rPr>
        <w:t>C</w:t>
      </w:r>
      <w:r w:rsidRPr="00E07C16">
        <w:rPr>
          <w:rFonts w:cstheme="minorHAnsi"/>
        </w:rPr>
        <w:t>hapter</w:t>
      </w:r>
      <w:r w:rsidR="00FF1EB3">
        <w:rPr>
          <w:rFonts w:cstheme="minorHAnsi"/>
        </w:rPr>
        <w:t>s 3 and</w:t>
      </w:r>
      <w:r w:rsidRPr="00E07C16">
        <w:rPr>
          <w:rFonts w:cstheme="minorHAnsi"/>
        </w:rPr>
        <w:t xml:space="preserve"> </w:t>
      </w:r>
      <w:r w:rsidR="00E07C16" w:rsidRPr="00E07C16">
        <w:rPr>
          <w:rFonts w:cstheme="minorHAnsi"/>
        </w:rPr>
        <w:t>4</w:t>
      </w:r>
      <w:r w:rsidRPr="00E07C16">
        <w:rPr>
          <w:rFonts w:cstheme="minorHAnsi"/>
        </w:rPr>
        <w:t>,</w:t>
      </w:r>
      <w:r w:rsidRPr="00C3631C">
        <w:rPr>
          <w:rFonts w:cstheme="minorHAnsi"/>
        </w:rPr>
        <w:t xml:space="preserve"> which are pre-test probabilities above which to test for CD. These </w:t>
      </w:r>
      <w:r w:rsidR="00FA7BD5">
        <w:rPr>
          <w:rFonts w:cstheme="minorHAnsi"/>
        </w:rPr>
        <w:t xml:space="preserve">diagnostic indicator </w:t>
      </w:r>
      <w:r w:rsidRPr="00C3631C">
        <w:rPr>
          <w:rFonts w:cstheme="minorHAnsi"/>
        </w:rPr>
        <w:t xml:space="preserve">strategies were combined with the </w:t>
      </w:r>
      <w:r w:rsidR="00FA7BD5">
        <w:rPr>
          <w:rFonts w:cstheme="minorHAnsi"/>
        </w:rPr>
        <w:t xml:space="preserve">serological and genetic </w:t>
      </w:r>
      <w:r w:rsidRPr="00C3631C">
        <w:rPr>
          <w:rFonts w:cstheme="minorHAnsi"/>
        </w:rPr>
        <w:t>testing strategies identified as cost-effective in the previous step.</w:t>
      </w:r>
    </w:p>
    <w:p w14:paraId="48BEC858" w14:textId="71415765" w:rsidR="00BF5EA3" w:rsidRPr="00C3631C" w:rsidRDefault="00BF5EA3" w:rsidP="00BF5EA3">
      <w:pPr>
        <w:rPr>
          <w:rFonts w:cstheme="minorHAnsi"/>
        </w:rPr>
      </w:pPr>
      <w:r w:rsidRPr="00C3631C">
        <w:rPr>
          <w:rFonts w:cstheme="minorHAnsi"/>
        </w:rPr>
        <w:t>We compared strategies to one where no-one is screened. No screening is equivalent to standard of care opportunistic screening as the model allows diagnosis independently of screening strategies.</w:t>
      </w:r>
    </w:p>
    <w:p w14:paraId="5A18ACB6" w14:textId="2D5539C6" w:rsidR="00BF5EA3" w:rsidRDefault="00BF5EA3" w:rsidP="00EB45F5">
      <w:pPr>
        <w:rPr>
          <w:rFonts w:cstheme="minorHAnsi"/>
          <w:sz w:val="24"/>
          <w:szCs w:val="24"/>
        </w:rPr>
      </w:pPr>
      <w:r w:rsidRPr="00C3631C">
        <w:rPr>
          <w:rFonts w:cstheme="minorHAnsi"/>
        </w:rPr>
        <w:t xml:space="preserve">The analyses was stratified into adult men, adult women, and children. </w:t>
      </w:r>
      <w:r>
        <w:rPr>
          <w:rFonts w:cstheme="minorHAnsi"/>
        </w:rPr>
        <w:t xml:space="preserve">Adults were assumed to be initially 18 years old. </w:t>
      </w:r>
      <w:r w:rsidRPr="00C3631C">
        <w:rPr>
          <w:rFonts w:cstheme="minorHAnsi"/>
        </w:rPr>
        <w:t xml:space="preserve">The mean age in children was assumed to be 10 in accordance with CPRD data </w:t>
      </w:r>
      <w:r>
        <w:rPr>
          <w:rFonts w:cstheme="minorHAnsi"/>
        </w:rPr>
        <w:t>on people with</w:t>
      </w:r>
      <w:r w:rsidRPr="00C3631C">
        <w:rPr>
          <w:rFonts w:cstheme="minorHAnsi"/>
        </w:rPr>
        <w:t xml:space="preserve"> </w:t>
      </w:r>
      <w:r w:rsidR="002267A7">
        <w:rPr>
          <w:rFonts w:cstheme="minorHAnsi"/>
        </w:rPr>
        <w:t>CD</w:t>
      </w:r>
      <w:r w:rsidRPr="00C3631C">
        <w:rPr>
          <w:rFonts w:cstheme="minorHAnsi"/>
        </w:rPr>
        <w:t xml:space="preserve"> below the age of 18. The proportion of children who are female was assumed to be 50%.</w:t>
      </w:r>
    </w:p>
    <w:p w14:paraId="7FA6ACA9" w14:textId="5974C534" w:rsidR="00BF5EA3" w:rsidRPr="007B0019" w:rsidRDefault="00BF5EA3" w:rsidP="007B0019">
      <w:pPr>
        <w:pStyle w:val="Heading2"/>
      </w:pPr>
      <w:bookmarkStart w:id="237" w:name="_Toc87507175"/>
      <w:bookmarkStart w:id="238" w:name="_Toc99539897"/>
      <w:r w:rsidRPr="007B0019">
        <w:t>Methods</w:t>
      </w:r>
      <w:bookmarkEnd w:id="237"/>
      <w:r w:rsidR="008F388B">
        <w:t xml:space="preserve"> for cost-effectiveness analysis</w:t>
      </w:r>
      <w:bookmarkEnd w:id="238"/>
    </w:p>
    <w:p w14:paraId="383ADAD6" w14:textId="399634DA" w:rsidR="00BF5EA3" w:rsidRPr="00BD1306" w:rsidRDefault="00BF5EA3" w:rsidP="00BF5EA3">
      <w:r>
        <w:t xml:space="preserve">Our model development was based on a review of previously published models, the results of the </w:t>
      </w:r>
      <w:r w:rsidR="002F0697">
        <w:t xml:space="preserve">diagnostic indicator review (Chapter 3) and </w:t>
      </w:r>
      <w:r>
        <w:t xml:space="preserve">CPRD analysis of </w:t>
      </w:r>
      <w:r w:rsidR="002F0697">
        <w:t>diagnostic indicators</w:t>
      </w:r>
      <w:r>
        <w:t xml:space="preserve"> for CD (Chapter 4)</w:t>
      </w:r>
      <w:r w:rsidR="00A80D8B">
        <w:t xml:space="preserve"> </w:t>
      </w:r>
      <w:r w:rsidR="00A80D8B">
        <w:lastRenderedPageBreak/>
        <w:t>which identified important patient characteristics for modelling</w:t>
      </w:r>
      <w:r>
        <w:t xml:space="preserve">, </w:t>
      </w:r>
      <w:r w:rsidR="00575DBA">
        <w:t>the results of the meta-analysis on serological and genetic test accuracies (Chapter 5 and Chapter 6)</w:t>
      </w:r>
      <w:r w:rsidR="00AC3A55">
        <w:t xml:space="preserve"> which identified tests to model</w:t>
      </w:r>
      <w:r w:rsidR="00575DBA">
        <w:t>, the survey of patient opinion (Chapter 7),</w:t>
      </w:r>
      <w:r>
        <w:t xml:space="preserve"> and discussion with our clinical and patient advisers.</w:t>
      </w:r>
    </w:p>
    <w:p w14:paraId="44EA1EEE" w14:textId="77777777" w:rsidR="00BF5EA3" w:rsidRDefault="00BF5EA3" w:rsidP="00D93BA7">
      <w:pPr>
        <w:pStyle w:val="Heading3"/>
      </w:pPr>
      <w:bookmarkStart w:id="239" w:name="_Toc87507176"/>
      <w:bookmarkStart w:id="240" w:name="_Toc99539898"/>
      <w:r w:rsidRPr="00305D05">
        <w:t>Review of previous</w:t>
      </w:r>
      <w:r>
        <w:t xml:space="preserve"> cost-effectiveness</w:t>
      </w:r>
      <w:r w:rsidRPr="00305D05">
        <w:t xml:space="preserve"> models</w:t>
      </w:r>
      <w:bookmarkEnd w:id="239"/>
      <w:bookmarkEnd w:id="240"/>
    </w:p>
    <w:p w14:paraId="64B16C79" w14:textId="52765374" w:rsidR="00BF5EA3" w:rsidRPr="00BD1306" w:rsidRDefault="00BF5EA3" w:rsidP="00BF5EA3">
      <w:r>
        <w:t>To identify important elements of CD to model, and potentially identify existing models we could adapt, we reviewed previously published models as a first step in our methods of model development.</w:t>
      </w:r>
    </w:p>
    <w:p w14:paraId="059B39E6" w14:textId="77777777" w:rsidR="00BF5EA3" w:rsidRPr="000A08F0" w:rsidRDefault="00BF5EA3" w:rsidP="000A08F0">
      <w:pPr>
        <w:pStyle w:val="Heading4"/>
      </w:pPr>
      <w:bookmarkStart w:id="241" w:name="_Toc87507177"/>
      <w:r w:rsidRPr="000A08F0">
        <w:t>Search strategy</w:t>
      </w:r>
      <w:bookmarkEnd w:id="241"/>
    </w:p>
    <w:p w14:paraId="2F08DB29" w14:textId="75CD0745" w:rsidR="00BF5EA3" w:rsidRDefault="00837922" w:rsidP="00187D4E">
      <w:pPr>
        <w:rPr>
          <w:rFonts w:cstheme="minorHAnsi"/>
        </w:rPr>
      </w:pPr>
      <w:r>
        <w:rPr>
          <w:rFonts w:cstheme="minorHAnsi"/>
        </w:rPr>
        <w:t>We searched</w:t>
      </w:r>
      <w:r w:rsidR="00BF5EA3" w:rsidRPr="00C3631C">
        <w:rPr>
          <w:rFonts w:cstheme="minorHAnsi"/>
        </w:rPr>
        <w:t xml:space="preserve"> Embase and </w:t>
      </w:r>
      <w:r w:rsidR="00BF5EA3">
        <w:rPr>
          <w:rFonts w:cstheme="minorHAnsi"/>
        </w:rPr>
        <w:t xml:space="preserve">combined terms for </w:t>
      </w:r>
      <w:r w:rsidR="00476C5D">
        <w:rPr>
          <w:rFonts w:cstheme="minorHAnsi"/>
        </w:rPr>
        <w:t>CD</w:t>
      </w:r>
      <w:r w:rsidR="00BF5EA3">
        <w:rPr>
          <w:rFonts w:cstheme="minorHAnsi"/>
        </w:rPr>
        <w:t xml:space="preserve"> with </w:t>
      </w:r>
      <w:r w:rsidR="00BF5EA3" w:rsidRPr="00C3631C">
        <w:rPr>
          <w:rFonts w:cstheme="minorHAnsi"/>
        </w:rPr>
        <w:t xml:space="preserve">an economic model filter. </w:t>
      </w:r>
      <w:r w:rsidR="006B7F06">
        <w:rPr>
          <w:rFonts w:cstheme="minorHAnsi"/>
        </w:rPr>
        <w:t>This</w:t>
      </w:r>
      <w:r w:rsidR="006B7F06" w:rsidRPr="00C3631C">
        <w:rPr>
          <w:rFonts w:cstheme="minorHAnsi"/>
        </w:rPr>
        <w:t xml:space="preserve"> </w:t>
      </w:r>
      <w:r w:rsidR="00BF5EA3" w:rsidRPr="00C3631C">
        <w:rPr>
          <w:rFonts w:cstheme="minorHAnsi"/>
        </w:rPr>
        <w:t xml:space="preserve">identified 390 papers, which were screened independently by two reviewers. We identified 13 papers as relevant. The inclusion criteria were any studies which contained any type of decision analysis model for </w:t>
      </w:r>
      <w:r w:rsidR="00BF5EA3">
        <w:rPr>
          <w:rFonts w:cstheme="minorHAnsi"/>
        </w:rPr>
        <w:t>CD</w:t>
      </w:r>
      <w:r w:rsidR="00BF5EA3" w:rsidRPr="00C3631C">
        <w:rPr>
          <w:rFonts w:cstheme="minorHAnsi"/>
        </w:rPr>
        <w:t xml:space="preserve">. We excluded economic evaluations not based on cost-effectiveness models. </w:t>
      </w:r>
      <w:r w:rsidR="00BF5EA3">
        <w:rPr>
          <w:rFonts w:cstheme="minorHAnsi"/>
        </w:rPr>
        <w:t>The full search strategy is provided in</w:t>
      </w:r>
      <w:r w:rsidR="00187D4E">
        <w:rPr>
          <w:rFonts w:cstheme="minorHAnsi"/>
        </w:rPr>
        <w:t xml:space="preserve"> </w:t>
      </w:r>
      <w:r w:rsidR="00187D4E">
        <w:rPr>
          <w:rFonts w:cstheme="minorHAnsi"/>
        </w:rPr>
        <w:fldChar w:fldCharType="begin"/>
      </w:r>
      <w:r w:rsidR="00187D4E">
        <w:rPr>
          <w:rFonts w:cstheme="minorHAnsi"/>
        </w:rPr>
        <w:instrText xml:space="preserve"> REF _Ref95137361 \h </w:instrText>
      </w:r>
      <w:r w:rsidR="00187D4E">
        <w:rPr>
          <w:rFonts w:cstheme="minorHAnsi"/>
        </w:rPr>
      </w:r>
      <w:r w:rsidR="00187D4E">
        <w:rPr>
          <w:rFonts w:cstheme="minorHAnsi"/>
        </w:rPr>
        <w:fldChar w:fldCharType="separate"/>
      </w:r>
      <w:r w:rsidR="008B5583" w:rsidRPr="00734942">
        <w:t xml:space="preserve">Appendix </w:t>
      </w:r>
      <w:r w:rsidR="008B5583">
        <w:t>24</w:t>
      </w:r>
      <w:r w:rsidR="00187D4E">
        <w:rPr>
          <w:rFonts w:cstheme="minorHAnsi"/>
        </w:rPr>
        <w:fldChar w:fldCharType="end"/>
      </w:r>
      <w:r w:rsidR="00476C5D">
        <w:rPr>
          <w:rFonts w:cstheme="minorHAnsi"/>
        </w:rPr>
        <w:t>.</w:t>
      </w:r>
    </w:p>
    <w:p w14:paraId="1F497844" w14:textId="77777777" w:rsidR="00BF5EA3" w:rsidRPr="00305D05" w:rsidRDefault="00BF5EA3" w:rsidP="000A08F0">
      <w:pPr>
        <w:pStyle w:val="Heading4"/>
      </w:pPr>
      <w:bookmarkStart w:id="242" w:name="_Toc87507178"/>
      <w:r w:rsidRPr="00305D05">
        <w:t>Summary of identified models</w:t>
      </w:r>
      <w:bookmarkEnd w:id="242"/>
    </w:p>
    <w:p w14:paraId="60977E94" w14:textId="3B627361" w:rsidR="00BF5EA3" w:rsidRPr="00C3631C" w:rsidRDefault="00BF5EA3" w:rsidP="00BF5EA3">
      <w:pPr>
        <w:rPr>
          <w:rFonts w:cstheme="minorHAnsi"/>
        </w:rPr>
      </w:pPr>
      <w:r w:rsidRPr="00C3631C">
        <w:rPr>
          <w:rFonts w:cstheme="minorHAnsi"/>
        </w:rPr>
        <w:t xml:space="preserve">Of the 13 economic models identified, 7 were decision trees, 4 Markov models, and 2 decision trees followed by Markov models. Only </w:t>
      </w:r>
      <w:r>
        <w:rPr>
          <w:rFonts w:cstheme="minorHAnsi"/>
        </w:rPr>
        <w:t>the NICE 2015</w:t>
      </w:r>
      <w:r w:rsidRPr="00C3631C">
        <w:rPr>
          <w:rFonts w:cstheme="minorHAnsi"/>
        </w:rPr>
        <w:t xml:space="preserve"> model was in a UK setting</w:t>
      </w:r>
      <w:r>
        <w:rPr>
          <w:rFonts w:cstheme="minorHAnsi"/>
        </w:rPr>
        <w:t>.</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&lt;EndNote&gt;&lt;Cite&gt;&lt;Author&gt;NICE&lt;/Author&gt;&lt;Year&gt;2015&lt;/Year&gt;&lt;RecNum&gt;2703&lt;/RecNum&gt;&lt;DisplayText&gt;&lt;style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C3631C">
        <w:rPr>
          <w:rFonts w:eastAsia="Times New Roman" w:cstheme="minorHAnsi"/>
          <w:color w:val="000000"/>
          <w:lang w:eastAsia="en-GB"/>
        </w:rPr>
        <w:fldChar w:fldCharType="end"/>
      </w:r>
      <w:r>
        <w:rPr>
          <w:rFonts w:cstheme="minorHAnsi"/>
        </w:rPr>
        <w:t xml:space="preserve"> Of the others,</w:t>
      </w:r>
      <w:r w:rsidRPr="00C3631C">
        <w:rPr>
          <w:rFonts w:cstheme="minorHAnsi"/>
        </w:rPr>
        <w:t xml:space="preserve"> one </w:t>
      </w:r>
      <w:r>
        <w:rPr>
          <w:rFonts w:cstheme="minorHAnsi"/>
        </w:rPr>
        <w:t xml:space="preserve">was set </w:t>
      </w:r>
      <w:r w:rsidRPr="00C3631C">
        <w:rPr>
          <w:rFonts w:cstheme="minorHAnsi"/>
        </w:rPr>
        <w:t>in the Netherlands</w:t>
      </w:r>
      <w:r>
        <w:rPr>
          <w:rFonts w:cstheme="minorHAnsi"/>
        </w:rPr>
        <w:t xml:space="preserve"> and </w:t>
      </w:r>
      <w:r w:rsidRPr="00C3631C">
        <w:rPr>
          <w:rFonts w:cstheme="minorHAnsi"/>
        </w:rPr>
        <w:t xml:space="preserve">the rest were based in the US. The studies are discussed in chronological order below and </w:t>
      </w:r>
      <w:r>
        <w:rPr>
          <w:rFonts w:cstheme="minorHAnsi"/>
        </w:rPr>
        <w:t xml:space="preserve">details are tabulated in </w:t>
      </w:r>
      <w:r w:rsidR="00684C91">
        <w:rPr>
          <w:rFonts w:cstheme="minorHAnsi"/>
        </w:rPr>
        <w:t>Appendix</w:t>
      </w:r>
      <w:r w:rsidR="000B7654">
        <w:rPr>
          <w:rFonts w:cstheme="minorHAnsi"/>
        </w:rPr>
        <w:t xml:space="preserve"> 25 </w:t>
      </w:r>
      <w:r w:rsidR="000B7654">
        <w:rPr>
          <w:rFonts w:cstheme="minorHAnsi"/>
        </w:rPr>
        <w:fldChar w:fldCharType="begin"/>
      </w:r>
      <w:r w:rsidR="000B7654">
        <w:rPr>
          <w:rFonts w:cstheme="minorHAnsi"/>
        </w:rPr>
        <w:instrText xml:space="preserve"> REF _Ref95383790 \h </w:instrText>
      </w:r>
      <w:r w:rsidR="000B7654">
        <w:rPr>
          <w:rFonts w:cstheme="minorHAnsi"/>
        </w:rPr>
      </w:r>
      <w:r w:rsidR="000B7654">
        <w:rPr>
          <w:rFonts w:cstheme="minorHAnsi"/>
        </w:rPr>
        <w:fldChar w:fldCharType="separate"/>
      </w:r>
      <w:r w:rsidR="008B5583" w:rsidRPr="00B34D18">
        <w:t xml:space="preserve">Table </w:t>
      </w:r>
      <w:r w:rsidR="008B5583">
        <w:rPr>
          <w:noProof/>
        </w:rPr>
        <w:t>62</w:t>
      </w:r>
      <w:r w:rsidR="000B7654">
        <w:rPr>
          <w:rFonts w:cstheme="minorHAnsi"/>
        </w:rPr>
        <w:fldChar w:fldCharType="end"/>
      </w:r>
      <w:r w:rsidR="00ED683D" w:rsidRPr="00ED683D">
        <w:rPr>
          <w:rFonts w:cstheme="minorHAnsi"/>
        </w:rPr>
        <w:t>.</w:t>
      </w:r>
    </w:p>
    <w:p w14:paraId="2EDFD540" w14:textId="220EF8E2" w:rsidR="00BF5EA3" w:rsidRPr="00C3631C" w:rsidRDefault="00BF5EA3" w:rsidP="00BF5EA3">
      <w:pPr>
        <w:rPr>
          <w:rFonts w:eastAsia="Times New Roman" w:cstheme="minorHAnsi"/>
          <w:color w:val="000000"/>
          <w:lang w:eastAsia="en-GB"/>
        </w:rPr>
      </w:pPr>
      <w:r w:rsidRPr="00C3631C">
        <w:rPr>
          <w:rFonts w:eastAsia="Times New Roman" w:cstheme="minorHAnsi"/>
          <w:color w:val="000000"/>
          <w:lang w:eastAsia="en-GB"/>
        </w:rPr>
        <w:t>Harewood &amp; Murray 2001 developed a decision tree to compare the costs of different screening strategies for the detection of CD.</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&lt;EndNote&gt;&lt;Cite&gt;&lt;Author&gt;Harewood&lt;/Author&gt;&lt;Year&gt;2001&lt;/Year&gt;&lt;RecNum&gt;2704&lt;/RecNum&gt;&lt;DisplayText&gt;&lt;style face="superscript"&gt;199&lt;/style&gt;&lt;/DisplayText&gt;&lt;record&gt;&lt;rec-number&gt;2&lt;/rec-number&gt;&lt;foreign-keys&gt;&lt;key app="EN" db-id="w9pwfv0xxa5v9vedxzkp20wvv52efwv0xppv" timestamp="1636614826"&gt;2&lt;/key&gt;&lt;/foreign-keys&gt;&lt;ref-type name="Journal Article"&gt;17&lt;/ref-type&gt;&lt;contributors&gt;&lt;authors&gt;&lt;author&gt;Harewood, G. C.&lt;/author&gt;&lt;author&gt;Murray, J. A.&lt;/author&gt;&lt;/authors&gt;&lt;/contributors&gt;&lt;auth-address&gt;Department of Gastroenterology and Hepatology, Mayo Clinic, Rochester, Minnesota 55905, USA.&lt;/auth-address&gt;&lt;titles&gt;&lt;title&gt;Diagnostic approach to a patient with suspected celiac disease: a cost analysis&lt;/title&gt;&lt;secondary-title&gt;Dig Dis Sci&lt;/secondary-title&gt;&lt;/titles&gt;&lt;periodical&gt;&lt;full-title&gt;Dig Dis Sci&lt;/full-title&gt;&lt;/periodical&gt;&lt;pages&gt;2510-4&lt;/pages&gt;&lt;volume&gt;46&lt;/volume&gt;&lt;number&gt;11&lt;/number&gt;&lt;edition&gt;2001/11/21&lt;/edition&gt;&lt;keywords&gt;&lt;keyword&gt;Biopsy/economics&lt;/keyword&gt;&lt;keyword&gt;Celiac Disease/*diagnosis/*economics&lt;/keyword&gt;&lt;keyword&gt;*Decision Support Techniques&lt;/keyword&gt;&lt;keyword&gt;Endoscopy, Digestive System/economics&lt;/keyword&gt;&lt;keyword&gt;Gliadin/immunology&lt;/keyword&gt;&lt;keyword&gt;*Health Care Costs&lt;/keyword&gt;&lt;keyword&gt;Humans&lt;/keyword&gt;&lt;keyword&gt;Intestine, Small/pathology&lt;/keyword&gt;&lt;keyword&gt;Sensitivity and Specificity&lt;/keyword&gt;&lt;keyword&gt;Serologic Tests/economics&lt;/keyword&gt;&lt;/keywords&gt;&lt;dates&gt;&lt;year&gt;2001&lt;/year&gt;&lt;pub-dates&gt;&lt;date&gt;Nov&lt;/date&gt;&lt;/pub-dates&gt;&lt;/dates&gt;&lt;isbn&gt;0163-2116 (Print)&amp;#xD;0163-2116&lt;/isbn&gt;&lt;accession-num&gt;11713962&lt;/accession-num&gt;&lt;urls&gt;&lt;/urls&gt;&lt;electronic-resource-num&gt;10.1023/a:1012396408370&lt;/electronic-resource-num&gt;&lt;remote-database-provider&gt;NLM&lt;/remote-database-provider&gt;&lt;language&gt;eng&lt;/language&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199</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This study found screening with EMA to be the least costly strategy compared to screening with anti-gliadin antibodies or small bowel biopsy in a low to medium risk population. </w:t>
      </w:r>
      <w:r>
        <w:rPr>
          <w:rFonts w:eastAsia="Times New Roman" w:cstheme="minorHAnsi"/>
          <w:color w:val="000000"/>
          <w:lang w:eastAsia="en-GB"/>
        </w:rPr>
        <w:t>We note however that anti-gliadin antibodies are not recommended by NICE due to their low accuracy.</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&lt;EndNote&gt;&lt;Cite&gt;&lt;Author&gt;NICE&lt;/Author&gt;&lt;Year&gt;2015&lt;/Year&gt;&lt;RecNum&gt;2703&lt;/RecNum&gt;&lt;DisplayText&gt;&lt;style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C3631C">
        <w:rPr>
          <w:rFonts w:eastAsia="Times New Roman" w:cstheme="minorHAnsi"/>
          <w:color w:val="000000"/>
          <w:lang w:eastAsia="en-GB"/>
        </w:rPr>
        <w:fldChar w:fldCharType="end"/>
      </w:r>
      <w:r>
        <w:rPr>
          <w:rFonts w:eastAsia="Times New Roman" w:cstheme="minorHAnsi"/>
          <w:color w:val="000000"/>
          <w:lang w:eastAsia="en-GB"/>
        </w:rPr>
        <w:t xml:space="preserve"> </w:t>
      </w:r>
      <w:r w:rsidRPr="00C3631C">
        <w:rPr>
          <w:rFonts w:eastAsia="Times New Roman" w:cstheme="minorHAnsi"/>
          <w:color w:val="000000"/>
          <w:lang w:eastAsia="en-GB"/>
        </w:rPr>
        <w:t xml:space="preserve">Mein &amp; Ladabaum 2004 </w:t>
      </w:r>
      <w:r>
        <w:rPr>
          <w:rFonts w:eastAsia="Times New Roman" w:cstheme="minorHAnsi"/>
          <w:color w:val="000000"/>
          <w:lang w:eastAsia="en-GB"/>
        </w:rPr>
        <w:t>used a decision tree to explore</w:t>
      </w:r>
      <w:r w:rsidRPr="00C3631C">
        <w:rPr>
          <w:rFonts w:eastAsia="Times New Roman" w:cstheme="minorHAnsi"/>
          <w:color w:val="000000"/>
          <w:lang w:eastAsia="en-GB"/>
        </w:rPr>
        <w:t xml:space="preserve"> the cost-effectiveness of different screening strategies for </w:t>
      </w:r>
      <w:r>
        <w:rPr>
          <w:rFonts w:eastAsia="Times New Roman" w:cstheme="minorHAnsi"/>
          <w:color w:val="000000"/>
          <w:lang w:eastAsia="en-GB"/>
        </w:rPr>
        <w:t>CD</w:t>
      </w:r>
      <w:r w:rsidRPr="00C3631C">
        <w:rPr>
          <w:rFonts w:eastAsia="Times New Roman" w:cstheme="minorHAnsi"/>
          <w:color w:val="000000"/>
          <w:lang w:eastAsia="en-GB"/>
        </w:rPr>
        <w:t xml:space="preserve"> in patients with IBS symptoms.</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&lt;EndNote&gt;&lt;Cite&gt;&lt;Author&gt;Mein&lt;/Author&gt;&lt;Year&gt;2004&lt;/Year&gt;&lt;RecNum&gt;716&lt;/RecNum&gt;&lt;DisplayText&gt;&lt;style face="superscript"&gt;200&lt;/style&gt;&lt;/DisplayText&gt;&lt;record&gt;&lt;rec-number&gt;3&lt;/rec-number&gt;&lt;foreign-keys&gt;&lt;key app="EN" db-id="w9pwfv0xxa5v9vedxzkp20wvv52efwv0xppv" timestamp="1636614826"&gt;3&lt;/key&gt;&lt;/foreign-keys&gt;&lt;ref-type name="Journal Article"&gt;17&lt;/ref-type&gt;&lt;contributors&gt;&lt;authors&gt;&lt;author&gt;Mein, S. M.&lt;/author&gt;&lt;author&gt;Ladabaum, U.&lt;/author&gt;&lt;/authors&gt;&lt;/contributors&gt;&lt;auth-address&gt;Division of Gastroenterology, Department of Medicine, University of California, San Francisco, CA, USA.&lt;/auth-address&gt;&lt;titles&gt;&lt;title&gt;Serological testing for coeliac disease in patients with symptoms of irritable bowel syndrome: a cost-effectiveness analysis&lt;/title&gt;&lt;secondary-title&gt;Aliment Pharmacol Ther&lt;/secondary-title&gt;&lt;/titles&gt;&lt;periodical&gt;&lt;full-title&gt;Aliment Pharmacol Ther&lt;/full-title&gt;&lt;/periodical&gt;&lt;pages&gt;1199-210&lt;/pages&gt;&lt;volume&gt;19&lt;/volume&gt;&lt;number&gt;11&lt;/number&gt;&lt;keywords&gt;&lt;keyword&gt;Celiac Disease/*diagnosis/economics&lt;/keyword&gt;&lt;keyword&gt;Colonic Diseases, Functional/*complications/economics&lt;/keyword&gt;&lt;keyword&gt;Cost-Benefit Analysis&lt;/keyword&gt;&lt;keyword&gt;Decision Support Techniques&lt;/keyword&gt;&lt;keyword&gt;Endoscopy, Gastrointestinal/economics&lt;/keyword&gt;&lt;keyword&gt;Humans&lt;/keyword&gt;&lt;keyword&gt;Monte Carlo Method&lt;/keyword&gt;&lt;keyword&gt;Prognosis&lt;/keyword&gt;&lt;keyword&gt;Sensitivity and Specificity&lt;/keyword&gt;&lt;keyword&gt;Serologic Tests/economics&lt;/keyword&gt;&lt;/keywords&gt;&lt;dates&gt;&lt;year&gt;2004&lt;/year&gt;&lt;pub-dates&gt;&lt;date&gt;Jun 1&lt;/date&gt;&lt;/pub-dates&gt;&lt;/dates&gt;&lt;isbn&gt;0269-2813 (Print)&amp;#xD;0269-2813 (Linking)&lt;/isbn&gt;&lt;accession-num&gt;15153173&lt;/accession-num&gt;&lt;urls&gt;&lt;related-urls&gt;&lt;url&gt;https://www.ncbi.nlm.nih.gov/pubmed/15153173&lt;/url&gt;&lt;/related-urls&gt;&lt;/urls&gt;&lt;electronic-resource-num&gt;10.1111/j.1365-2036.2004.01958.x&lt;/electronic-resource-num&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200</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concluded that testing for </w:t>
      </w:r>
      <w:r>
        <w:rPr>
          <w:rFonts w:eastAsia="Times New Roman" w:cstheme="minorHAnsi"/>
          <w:color w:val="000000"/>
          <w:lang w:eastAsia="en-GB"/>
        </w:rPr>
        <w:t>t</w:t>
      </w:r>
      <w:r w:rsidRPr="00C3631C">
        <w:rPr>
          <w:rFonts w:eastAsia="Times New Roman" w:cstheme="minorHAnsi"/>
          <w:color w:val="000000"/>
          <w:lang w:eastAsia="en-GB"/>
        </w:rPr>
        <w:t>TG to diagnose CD in patients with a diagnosis of IBS is cost effective at thresholds of $50,000 (</w:t>
      </w:r>
      <w:r>
        <w:rPr>
          <w:rFonts w:eastAsia="Times New Roman" w:cstheme="minorHAnsi"/>
          <w:color w:val="000000"/>
          <w:lang w:eastAsia="en-GB"/>
        </w:rPr>
        <w:t xml:space="preserve">assuming a </w:t>
      </w:r>
      <w:r w:rsidRPr="00C3631C">
        <w:rPr>
          <w:rFonts w:eastAsia="Times New Roman" w:cstheme="minorHAnsi"/>
          <w:color w:val="000000"/>
          <w:lang w:eastAsia="en-GB"/>
        </w:rPr>
        <w:t xml:space="preserve">prevalence of CD </w:t>
      </w:r>
      <w:r>
        <w:rPr>
          <w:rFonts w:eastAsia="Times New Roman" w:cstheme="minorHAnsi"/>
          <w:color w:val="000000"/>
          <w:lang w:eastAsia="en-GB"/>
        </w:rPr>
        <w:t xml:space="preserve">in IBS patients of </w:t>
      </w:r>
      <w:r w:rsidRPr="00C3631C">
        <w:rPr>
          <w:rFonts w:eastAsia="Times New Roman" w:cstheme="minorHAnsi"/>
          <w:color w:val="000000"/>
          <w:lang w:eastAsia="en-GB"/>
        </w:rPr>
        <w:t>2%) and $100,000 per QALY gained (</w:t>
      </w:r>
      <w:r>
        <w:rPr>
          <w:rFonts w:eastAsia="Times New Roman" w:cstheme="minorHAnsi"/>
          <w:color w:val="000000"/>
          <w:lang w:eastAsia="en-GB"/>
        </w:rPr>
        <w:t xml:space="preserve">assuming a </w:t>
      </w:r>
      <w:r w:rsidRPr="00C3631C">
        <w:rPr>
          <w:rFonts w:eastAsia="Times New Roman" w:cstheme="minorHAnsi"/>
          <w:color w:val="000000"/>
          <w:lang w:eastAsia="en-GB"/>
        </w:rPr>
        <w:t xml:space="preserve">prevalence of CD </w:t>
      </w:r>
      <w:r>
        <w:rPr>
          <w:rFonts w:eastAsia="Times New Roman" w:cstheme="minorHAnsi"/>
          <w:color w:val="000000"/>
          <w:lang w:eastAsia="en-GB"/>
        </w:rPr>
        <w:t xml:space="preserve">in IBS patients of </w:t>
      </w:r>
      <w:r w:rsidRPr="00C3631C">
        <w:rPr>
          <w:rFonts w:eastAsia="Times New Roman" w:cstheme="minorHAnsi"/>
          <w:color w:val="000000"/>
          <w:lang w:eastAsia="en-GB"/>
        </w:rPr>
        <w:t>1.1%). Spiegel et al. 2004 built a decision tree followed by a Markov model to evaluate different screening strategies for CD in IBS patients with predominant diarrhoea symptoms.</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&lt;EndNote&gt;&lt;Cite&gt;&lt;Author&gt;Spiegel&lt;/Author&gt;&lt;Year&gt;2004&lt;/Year&gt;&lt;RecNum&gt;712&lt;/RecNum&gt;&lt;DisplayText&gt;&lt;style face="superscript"&gt;201&lt;/style&gt;&lt;/DisplayText&gt;&lt;record&gt;&lt;rec-number&gt;4&lt;/rec-number&gt;&lt;foreign-keys&gt;&lt;key app="EN" db-id="w9pwfv0xxa5v9vedxzkp20wvv52efwv0xppv" timestamp="1636614826"&gt;4&lt;/key&gt;&lt;/foreign-keys&gt;&lt;ref-type name="Journal Article"&gt;17&lt;/ref-type&gt;&lt;contributors&gt;&lt;authors&gt;&lt;author&gt;Spiegel, B. M.&lt;/author&gt;&lt;author&gt;DeRosa, V. P.&lt;/author&gt;&lt;author&gt;Gralnek, I. M.&lt;/author&gt;&lt;author&gt;Wang, V.&lt;/author&gt;&lt;author&gt;Dulai, G. S.&lt;/author&gt;&lt;/authors&gt;&lt;/contributors&gt;&lt;auth-address&gt;Division of Gastroenterology and Hepatology, VA Greater Los Angeles Healthcare System, 11301 Wilshire Boulevard, Building 115, Room 215B, Los Angeles, CA 90073, USA. bspiegel@ucla.edu&lt;/auth-address&gt;&lt;titles&gt;&lt;title&gt;Testing for celiac sprue in irritable bowel syndrome with predominant diarrhea: a cost-effectiveness analysis&lt;/title&gt;&lt;secondary-title&gt;Gastroenterology&lt;/secondary-title&gt;&lt;/titles&gt;&lt;periodical&gt;&lt;full-title&gt;Gastroenterology&lt;/full-title&gt;&lt;/periodical&gt;&lt;pages&gt;1721-32&lt;/pages&gt;&lt;volume&gt;126&lt;/volume&gt;&lt;number&gt;7&lt;/number&gt;&lt;keywords&gt;&lt;keyword&gt;Celiac Disease/*diagnosis/*economics/epidemiology/prevention &amp;amp; control&lt;/keyword&gt;&lt;keyword&gt;Cost-Benefit Analysis&lt;/keyword&gt;&lt;keyword&gt;Diarrhea/diagnosis/economics&lt;/keyword&gt;&lt;keyword&gt;Diet&lt;/keyword&gt;&lt;keyword&gt;Glutens&lt;/keyword&gt;&lt;keyword&gt;Humans&lt;/keyword&gt;&lt;keyword&gt;Irritable Bowel Syndrome/*diagnosis/*economics/epidemiology/prevention &amp;amp; control&lt;/keyword&gt;&lt;keyword&gt;Mass Screening/*economics&lt;/keyword&gt;&lt;keyword&gt;Prevalence&lt;/keyword&gt;&lt;keyword&gt;Sensitivity and Specificity&lt;/keyword&gt;&lt;/keywords&gt;&lt;dates&gt;&lt;year&gt;2004&lt;/year&gt;&lt;pub-dates&gt;&lt;date&gt;Jun&lt;/date&gt;&lt;/pub-dates&gt;&lt;/dates&gt;&lt;isbn&gt;0016-5085 (Print)&amp;#xD;0016-5085 (Linking)&lt;/isbn&gt;&lt;accession-num&gt;15188167&lt;/accession-num&gt;&lt;urls&gt;&lt;related-urls&gt;&lt;url&gt;https://www.ncbi.nlm.nih.gov/pubmed/15188167&lt;/url&gt;&lt;/related-urls&gt;&lt;/urls&gt;&lt;/record&gt;&lt;/Cite&gt;&lt;/EndNote&gt;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201</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found that serologic testing for CD resulted in 51.6% of the patients achieving symptomatic improvement at 10 years (at a cost of $4</w:t>
      </w:r>
      <w:r>
        <w:rPr>
          <w:rFonts w:eastAsia="Times New Roman" w:cstheme="minorHAnsi"/>
          <w:color w:val="000000"/>
          <w:lang w:eastAsia="en-GB"/>
        </w:rPr>
        <w:t>,</w:t>
      </w:r>
      <w:r w:rsidRPr="00C3631C">
        <w:rPr>
          <w:rFonts w:eastAsia="Times New Roman" w:cstheme="minorHAnsi"/>
          <w:color w:val="000000"/>
          <w:lang w:eastAsia="en-GB"/>
        </w:rPr>
        <w:t>100 per average patient treated). Starting IBS therapy without testing for CD resulted in 50.9% of the population achieving symptomatic improvement (at a cost of $4</w:t>
      </w:r>
      <w:r>
        <w:rPr>
          <w:rFonts w:eastAsia="Times New Roman" w:cstheme="minorHAnsi"/>
          <w:color w:val="000000"/>
          <w:lang w:eastAsia="en-GB"/>
        </w:rPr>
        <w:t>,</w:t>
      </w:r>
      <w:r w:rsidRPr="00C3631C">
        <w:rPr>
          <w:rFonts w:eastAsia="Times New Roman" w:cstheme="minorHAnsi"/>
          <w:color w:val="000000"/>
          <w:lang w:eastAsia="en-GB"/>
        </w:rPr>
        <w:t>023 per average patient treated). The</w:t>
      </w:r>
      <w:r w:rsidR="00853270" w:rsidRPr="00853270">
        <w:t xml:space="preserve"> </w:t>
      </w:r>
      <w:r w:rsidR="00853270" w:rsidRPr="00853270">
        <w:rPr>
          <w:rFonts w:eastAsia="Times New Roman" w:cstheme="minorHAnsi"/>
          <w:color w:val="000000"/>
          <w:lang w:eastAsia="en-GB"/>
        </w:rPr>
        <w:t>Incremental Cost-Effectiveness Ratio</w:t>
      </w:r>
      <w:r w:rsidRPr="00C3631C">
        <w:rPr>
          <w:rFonts w:eastAsia="Times New Roman" w:cstheme="minorHAnsi"/>
          <w:color w:val="000000"/>
          <w:lang w:eastAsia="en-GB"/>
        </w:rPr>
        <w:t xml:space="preserve"> </w:t>
      </w:r>
      <w:r w:rsidR="00853270">
        <w:rPr>
          <w:rFonts w:eastAsia="Times New Roman" w:cstheme="minorHAnsi"/>
          <w:color w:val="000000"/>
          <w:lang w:eastAsia="en-GB"/>
        </w:rPr>
        <w:t>(</w:t>
      </w:r>
      <w:r w:rsidRPr="00C3631C">
        <w:rPr>
          <w:rFonts w:eastAsia="Times New Roman" w:cstheme="minorHAnsi"/>
          <w:color w:val="000000"/>
          <w:lang w:eastAsia="en-GB"/>
        </w:rPr>
        <w:t>ICER</w:t>
      </w:r>
      <w:r w:rsidR="00853270">
        <w:rPr>
          <w:rFonts w:eastAsia="Times New Roman" w:cstheme="minorHAnsi"/>
          <w:color w:val="000000"/>
          <w:lang w:eastAsia="en-GB"/>
        </w:rPr>
        <w:t>)</w:t>
      </w:r>
      <w:r w:rsidRPr="00C3631C">
        <w:rPr>
          <w:rFonts w:eastAsia="Times New Roman" w:cstheme="minorHAnsi"/>
          <w:color w:val="000000"/>
          <w:lang w:eastAsia="en-GB"/>
        </w:rPr>
        <w:t xml:space="preserve"> of CD testing compared to IBS treatment alone was $11,000 to achieve 1 additional symptomatic improvement. Testing for CD was therefore considered cost-effective.</w:t>
      </w:r>
    </w:p>
    <w:p w14:paraId="5C04B7CA" w14:textId="6A575706" w:rsidR="00BF5EA3" w:rsidRPr="00C3631C" w:rsidRDefault="00BF5EA3" w:rsidP="00BF5EA3">
      <w:pPr>
        <w:rPr>
          <w:rFonts w:eastAsia="Times New Roman" w:cstheme="minorHAnsi"/>
          <w:color w:val="000000"/>
          <w:lang w:eastAsia="en-GB"/>
        </w:rPr>
      </w:pPr>
      <w:r w:rsidRPr="00C3631C">
        <w:rPr>
          <w:rFonts w:eastAsia="Times New Roman" w:cstheme="minorHAnsi"/>
          <w:color w:val="000000"/>
          <w:lang w:eastAsia="en-GB"/>
        </w:rPr>
        <w:t>Shamir et al. 2006 developed a lifetime Markov model to conduct a cost-effectiveness analysis comparing 7 screening strategies for CD in the adult population.</w:t>
      </w:r>
      <w:r w:rsidRPr="00BD6133">
        <w:rPr>
          <w:rFonts w:eastAsia="Times New Roman" w:cstheme="minorHAnsi"/>
          <w:color w:val="000000"/>
          <w:lang w:eastAsia="en-GB"/>
        </w:rPr>
        <w:t xml:space="preserve"> </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&lt;EndNote&gt;&lt;Cite&gt;&lt;Author&gt;Shamir&lt;/Author&gt;&lt;Year&gt;2006&lt;/Year&gt;&lt;RecNum&gt;711&lt;/RecNum&gt;&lt;DisplayText&gt;&lt;style face="superscript"&gt;202&lt;/style&gt;&lt;/DisplayText&gt;&lt;record&gt;&lt;rec-number&gt;5&lt;/rec-number&gt;&lt;foreign-keys&gt;&lt;key app="EN" db-id="w9pwfv0xxa5v9vedxzkp20wvv52efwv0xppv" timestamp="1636614826"&gt;5&lt;/key&gt;&lt;/foreign-keys&gt;&lt;ref-type name="Journal Article"&gt;17&lt;/ref-type&gt;&lt;contributors&gt;&lt;authors&gt;&lt;author&gt;Shamir, R.&lt;/author&gt;&lt;author&gt;Hernell, O.&lt;/author&gt;&lt;author&gt;Leshno, M.&lt;/author&gt;&lt;/authors&gt;&lt;/contributors&gt;&lt;auth-address&gt;Division of Pediatric Gastroenterology and Nutrition, Meyer Children&amp;apos;s Hospital, Haifa, and the Bruce Rappaport School of Medicine, Technion-Israel Institute of Technology, Haifa, Israel.&lt;/auth-address&gt;&lt;titles&gt;&lt;title&gt;Cost-effectiveness analysis of screening for celiac disease in the adult population&lt;/title&gt;&lt;secondary-title&gt;Med Decis Making&lt;/secondary-title&gt;&lt;/titles&gt;&lt;periodical&gt;&lt;full-title&gt;Med Decis Making&lt;/full-title&gt;&lt;/periodical&gt;&lt;pages&gt;282-93&lt;/pages&gt;&lt;volume&gt;26&lt;/volume&gt;&lt;number&gt;3&lt;/number&gt;&lt;keywords&gt;&lt;keyword&gt;Adolescent&lt;/keyword&gt;&lt;keyword&gt;Adult&lt;/keyword&gt;&lt;keyword&gt;Autoantibodies/analysis&lt;/keyword&gt;&lt;keyword&gt;Celiac Disease/*diagnosis&lt;/keyword&gt;&lt;keyword&gt;Child&lt;/keyword&gt;&lt;keyword&gt;*Cost-Benefit Analysis&lt;/keyword&gt;&lt;keyword&gt;Humans&lt;/keyword&gt;&lt;keyword&gt;Markov Chains&lt;/keyword&gt;&lt;keyword&gt;Mass Screening/*economics&lt;/keyword&gt;&lt;/keywords&gt;&lt;dates&gt;&lt;year&gt;2006&lt;/year&gt;&lt;pub-dates&gt;&lt;date&gt;May-Jun&lt;/date&gt;&lt;/pub-dates&gt;&lt;/dates&gt;&lt;isbn&gt;0272-989X (Print)&amp;#xD;0272-989X (Linking)&lt;/isbn&gt;&lt;accession-num&gt;16751327&lt;/accession-num&gt;&lt;urls&gt;&lt;related-urls&gt;&lt;url&gt;https://www.ncbi.nlm.nih.gov/pubmed/16751327&lt;/url&gt;&lt;/related-urls&gt;&lt;/urls&gt;&lt;electronic-resource-num&gt;10.1177/0272989X06289012&lt;/electronic-resource-num&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202</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w:t>
      </w:r>
      <w:r>
        <w:rPr>
          <w:rFonts w:eastAsia="Times New Roman" w:cstheme="minorHAnsi"/>
          <w:color w:val="000000"/>
          <w:lang w:eastAsia="en-GB"/>
        </w:rPr>
        <w:t xml:space="preserve">The </w:t>
      </w:r>
      <w:r w:rsidRPr="00C3631C">
        <w:rPr>
          <w:rFonts w:eastAsia="Times New Roman" w:cstheme="minorHAnsi"/>
          <w:color w:val="000000"/>
          <w:lang w:eastAsia="en-GB"/>
        </w:rPr>
        <w:t xml:space="preserve">ICER was $44,941 per life year gained for screening compared to no screening using </w:t>
      </w:r>
      <w:r>
        <w:rPr>
          <w:rFonts w:eastAsia="Times New Roman" w:cstheme="minorHAnsi"/>
          <w:color w:val="000000"/>
          <w:lang w:eastAsia="en-GB"/>
        </w:rPr>
        <w:t>an</w:t>
      </w:r>
      <w:r w:rsidRPr="00C3631C">
        <w:rPr>
          <w:rFonts w:eastAsia="Times New Roman" w:cstheme="minorHAnsi"/>
          <w:color w:val="000000"/>
          <w:lang w:eastAsia="en-GB"/>
        </w:rPr>
        <w:t xml:space="preserve"> </w:t>
      </w:r>
      <w:r>
        <w:rPr>
          <w:rFonts w:eastAsia="Times New Roman" w:cstheme="minorHAnsi"/>
          <w:color w:val="000000"/>
          <w:lang w:eastAsia="en-GB"/>
        </w:rPr>
        <w:t xml:space="preserve">IgA </w:t>
      </w:r>
      <w:r w:rsidRPr="00C3631C">
        <w:rPr>
          <w:rFonts w:eastAsia="Times New Roman" w:cstheme="minorHAnsi"/>
          <w:color w:val="000000"/>
          <w:lang w:eastAsia="en-GB"/>
        </w:rPr>
        <w:t xml:space="preserve">EMA </w:t>
      </w:r>
      <w:r>
        <w:rPr>
          <w:rFonts w:eastAsia="Times New Roman" w:cstheme="minorHAnsi"/>
          <w:color w:val="000000"/>
          <w:lang w:eastAsia="en-GB"/>
        </w:rPr>
        <w:t xml:space="preserve">testing </w:t>
      </w:r>
      <w:r w:rsidRPr="00C3631C">
        <w:rPr>
          <w:rFonts w:eastAsia="Times New Roman" w:cstheme="minorHAnsi"/>
          <w:color w:val="000000"/>
          <w:lang w:eastAsia="en-GB"/>
        </w:rPr>
        <w:t xml:space="preserve">strategy. All remaining 6 strategies were dominated and thus excluded. Swigonski et al. 2006 </w:t>
      </w:r>
      <w:r>
        <w:rPr>
          <w:rFonts w:eastAsia="Times New Roman" w:cstheme="minorHAnsi"/>
          <w:color w:val="000000"/>
          <w:lang w:eastAsia="en-GB"/>
        </w:rPr>
        <w:t>used a decision tree to evaluate</w:t>
      </w:r>
      <w:r w:rsidRPr="00C3631C">
        <w:rPr>
          <w:rFonts w:eastAsia="Times New Roman" w:cstheme="minorHAnsi"/>
          <w:color w:val="000000"/>
          <w:lang w:eastAsia="en-GB"/>
        </w:rPr>
        <w:t xml:space="preserve"> the cost-effectiveness of screening for CD in asymptomatic children with Down syndrome to prevent lymphoma.</w:t>
      </w:r>
      <w:r w:rsidRPr="002F04BA">
        <w:rPr>
          <w:rFonts w:eastAsia="Times New Roman" w:cstheme="minorHAnsi"/>
          <w:color w:val="000000"/>
          <w:lang w:eastAsia="en-GB"/>
        </w:rPr>
        <w:t xml:space="preserve"> </w:t>
      </w:r>
      <w:r w:rsidRPr="00C3631C">
        <w:rPr>
          <w:rFonts w:eastAsia="Times New Roman" w:cstheme="minorHAnsi"/>
          <w:color w:val="000000"/>
          <w:lang w:eastAsia="en-GB"/>
        </w:rPr>
        <w:fldChar w:fldCharType="begin">
          <w:fldData xml:space="preserve">PEVuZE5vdGU+PENpdGU+PEF1dGhvcj5Td2lnb25za2k8L0F1dGhvcj48WWVhcj4yMDA2PC9ZZWFy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==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PEVuZE5vdGU+PENpdGU+PEF1dGhvcj5Td2lnb25za2k8L0F1dGhvcj48WWVhcj4yMDA2PC9ZZWFy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==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C3631C">
        <w:rPr>
          <w:rFonts w:eastAsia="Times New Roman" w:cstheme="minorHAnsi"/>
          <w:color w:val="000000"/>
          <w:lang w:eastAsia="en-GB"/>
        </w:rPr>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203</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found that screening for CD in children with Down syndrome is more costly and less effective than not screening and decreases quality of life.</w:t>
      </w:r>
    </w:p>
    <w:p w14:paraId="3C0B9B6C" w14:textId="3B7A15C0" w:rsidR="00BF5EA3" w:rsidRPr="00C3631C" w:rsidRDefault="00BF5EA3" w:rsidP="00BF5EA3">
      <w:pPr>
        <w:rPr>
          <w:rFonts w:eastAsia="Times New Roman" w:cstheme="minorHAnsi"/>
          <w:color w:val="000000"/>
          <w:lang w:eastAsia="en-GB"/>
        </w:rPr>
      </w:pPr>
      <w:r w:rsidRPr="00C3631C">
        <w:rPr>
          <w:rFonts w:eastAsia="Times New Roman" w:cstheme="minorHAnsi"/>
          <w:color w:val="000000"/>
          <w:lang w:eastAsia="en-GB"/>
        </w:rPr>
        <w:t>Dorn and Matchar 2008</w:t>
      </w:r>
      <w:r>
        <w:rPr>
          <w:rFonts w:eastAsia="Times New Roman" w:cstheme="minorHAnsi"/>
          <w:color w:val="000000"/>
          <w:lang w:eastAsia="en-GB"/>
        </w:rPr>
        <w:t xml:space="preserve"> e</w:t>
      </w:r>
      <w:r w:rsidRPr="00C3631C">
        <w:rPr>
          <w:rFonts w:eastAsia="Times New Roman" w:cstheme="minorHAnsi"/>
          <w:color w:val="000000"/>
          <w:lang w:eastAsia="en-GB"/>
        </w:rPr>
        <w:t>valuated the cost-effectiveness of 5 strategies for diagnosing CD.</w:t>
      </w:r>
      <w:r w:rsidRPr="00C3631C">
        <w:rPr>
          <w:rFonts w:cstheme="minorHAnsi"/>
        </w:rPr>
        <w:t xml:space="preserve"> The </w:t>
      </w:r>
      <w:r>
        <w:rPr>
          <w:rFonts w:cstheme="minorHAnsi"/>
        </w:rPr>
        <w:t xml:space="preserve">IgA </w:t>
      </w:r>
      <w:r>
        <w:rPr>
          <w:rFonts w:eastAsia="Times New Roman" w:cstheme="minorHAnsi"/>
          <w:color w:val="000000"/>
          <w:lang w:eastAsia="en-GB"/>
        </w:rPr>
        <w:t>t</w:t>
      </w:r>
      <w:r w:rsidRPr="00C3631C">
        <w:rPr>
          <w:rFonts w:eastAsia="Times New Roman" w:cstheme="minorHAnsi"/>
          <w:color w:val="000000"/>
          <w:lang w:eastAsia="en-GB"/>
        </w:rPr>
        <w:t xml:space="preserve">TG alone strategy was the least costly ($22 per person), but also the least accurate. </w:t>
      </w:r>
      <w:r>
        <w:rPr>
          <w:rFonts w:eastAsia="Times New Roman" w:cstheme="minorHAnsi"/>
          <w:color w:val="000000"/>
          <w:lang w:eastAsia="en-GB"/>
        </w:rPr>
        <w:t>IgA t</w:t>
      </w:r>
      <w:r w:rsidRPr="00C3631C">
        <w:rPr>
          <w:rFonts w:eastAsia="Times New Roman" w:cstheme="minorHAnsi"/>
          <w:color w:val="000000"/>
          <w:lang w:eastAsia="en-GB"/>
        </w:rPr>
        <w:t xml:space="preserve">TG then </w:t>
      </w:r>
      <w:r w:rsidRPr="00C3631C">
        <w:rPr>
          <w:rFonts w:eastAsia="Times New Roman" w:cstheme="minorHAnsi"/>
          <w:color w:val="000000"/>
          <w:lang w:eastAsia="en-GB"/>
        </w:rPr>
        <w:lastRenderedPageBreak/>
        <w:t xml:space="preserve">HLA then </w:t>
      </w:r>
      <w:r w:rsidR="00C16939" w:rsidRPr="00C3631C">
        <w:rPr>
          <w:rFonts w:cstheme="minorHAnsi"/>
        </w:rPr>
        <w:t xml:space="preserve">esophagogastroduodenoscopy (EGD) </w:t>
      </w:r>
      <w:r w:rsidRPr="00C3631C">
        <w:rPr>
          <w:rFonts w:eastAsia="Times New Roman" w:cstheme="minorHAnsi"/>
          <w:color w:val="000000"/>
          <w:lang w:eastAsia="en-GB"/>
        </w:rPr>
        <w:t>was $2,233 per additional correctly diagnosed case.</w:t>
      </w:r>
      <w:r w:rsidRPr="002F04BA">
        <w:rPr>
          <w:rFonts w:eastAsia="Times New Roman" w:cstheme="minorHAnsi"/>
          <w:color w:val="000000"/>
          <w:lang w:eastAsia="en-GB"/>
        </w:rPr>
        <w:t xml:space="preserve"> </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&lt;EndNote&gt;&lt;Cite&gt;&lt;Author&gt;Dorn&lt;/Author&gt;&lt;Year&gt;2008&lt;/Year&gt;&lt;RecNum&gt;715&lt;/RecNum&gt;&lt;DisplayText&gt;&lt;style face="superscript"&gt;204&lt;/style&gt;&lt;/DisplayText&gt;&lt;record&gt;&lt;rec-number&gt;7&lt;/rec-number&gt;&lt;foreign-keys&gt;&lt;key app="EN" db-id="w9pwfv0xxa5v9vedxzkp20wvv52efwv0xppv" timestamp="1636614826"&gt;7&lt;/key&gt;&lt;/foreign-keys&gt;&lt;ref-type name="Journal Article"&gt;17&lt;/ref-type&gt;&lt;contributors&gt;&lt;authors&gt;&lt;author&gt;Dorn, S. D.&lt;/author&gt;&lt;author&gt;Matchar, D. B.&lt;/author&gt;&lt;/authors&gt;&lt;/contributors&gt;&lt;auth-address&gt;Division of Gastroenterology and Hepatology, University of North Carolina, CB#7080, Chapel Hill, NC 27599, USA. sdorn@med.unc.edu&lt;/auth-address&gt;&lt;titles&gt;&lt;title&gt;Cost-effectiveness analysis of strategies for diagnosing celiac disease&lt;/title&gt;&lt;secondary-title&gt;Dig Dis Sci&lt;/secondary-title&gt;&lt;/titles&gt;&lt;periodical&gt;&lt;full-title&gt;Dig Dis Sci&lt;/full-title&gt;&lt;/periodical&gt;&lt;pages&gt;680-8&lt;/pages&gt;&lt;volume&gt;53&lt;/volume&gt;&lt;number&gt;3&lt;/number&gt;&lt;keywords&gt;&lt;keyword&gt;Celiac Disease/blood/*diagnosis/economics&lt;/keyword&gt;&lt;keyword&gt;Endoscopy, Digestive System/economics&lt;/keyword&gt;&lt;keyword&gt;Humans&lt;/keyword&gt;&lt;keyword&gt;Immunoglobulin A/blood&lt;/keyword&gt;&lt;keyword&gt;Predictive Value of Tests&lt;/keyword&gt;&lt;keyword&gt;Serologic Tests/economics&lt;/keyword&gt;&lt;/keywords&gt;&lt;dates&gt;&lt;year&gt;2008&lt;/year&gt;&lt;pub-dates&gt;&lt;date&gt;Mar&lt;/date&gt;&lt;/pub-dates&gt;&lt;/dates&gt;&lt;isbn&gt;0163-2116 (Print)&amp;#xD;0163-2116 (Linking)&lt;/isbn&gt;&lt;accession-num&gt;17934849&lt;/accession-num&gt;&lt;urls&gt;&lt;related-urls&gt;&lt;url&gt;https://www.ncbi.nlm.nih.gov/pubmed/17934849&lt;/url&gt;&lt;/related-urls&gt;&lt;/urls&gt;&lt;electronic-resource-num&gt;10.1007/s10620-007-9939-5&lt;/electronic-resource-num&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204</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w:t>
      </w:r>
      <w:r>
        <w:rPr>
          <w:rFonts w:eastAsia="Times New Roman" w:cstheme="minorHAnsi"/>
          <w:color w:val="000000"/>
          <w:lang w:eastAsia="en-GB"/>
        </w:rPr>
        <w:t xml:space="preserve">IgA </w:t>
      </w:r>
      <w:r w:rsidR="00855ABB">
        <w:rPr>
          <w:rFonts w:eastAsia="Times New Roman" w:cstheme="minorHAnsi"/>
          <w:color w:val="000000"/>
          <w:lang w:eastAsia="en-GB"/>
        </w:rPr>
        <w:t>t</w:t>
      </w:r>
      <w:r w:rsidR="00855ABB" w:rsidRPr="00C3631C">
        <w:rPr>
          <w:rFonts w:eastAsia="Times New Roman" w:cstheme="minorHAnsi"/>
          <w:color w:val="000000"/>
          <w:lang w:eastAsia="en-GB"/>
        </w:rPr>
        <w:t xml:space="preserve">TG </w:t>
      </w:r>
      <w:r w:rsidRPr="00C3631C">
        <w:rPr>
          <w:rFonts w:eastAsia="Times New Roman" w:cstheme="minorHAnsi"/>
          <w:color w:val="000000"/>
          <w:lang w:eastAsia="en-GB"/>
        </w:rPr>
        <w:t>followed by</w:t>
      </w:r>
      <w:r>
        <w:rPr>
          <w:rFonts w:eastAsia="Times New Roman" w:cstheme="minorHAnsi"/>
          <w:color w:val="000000"/>
          <w:lang w:eastAsia="en-GB"/>
        </w:rPr>
        <w:t xml:space="preserve"> further</w:t>
      </w:r>
      <w:r w:rsidRPr="00C3631C">
        <w:rPr>
          <w:rFonts w:eastAsia="Times New Roman" w:cstheme="minorHAnsi"/>
          <w:color w:val="000000"/>
          <w:lang w:eastAsia="en-GB"/>
        </w:rPr>
        <w:t xml:space="preserve"> IgA testing and then EGD biopsy was $32,605 per additional correctly diagnosed case. EGD with biopsy alone had an ICER over one million dollars. Chang and Green 2009</w:t>
      </w:r>
      <w:r>
        <w:rPr>
          <w:rFonts w:eastAsia="Times New Roman" w:cstheme="minorHAnsi"/>
          <w:color w:val="000000"/>
          <w:lang w:eastAsia="en-GB"/>
        </w:rPr>
        <w:t xml:space="preserve"> d</w:t>
      </w:r>
      <w:r w:rsidRPr="00C3631C">
        <w:rPr>
          <w:rFonts w:eastAsia="Times New Roman" w:cstheme="minorHAnsi"/>
          <w:color w:val="000000"/>
          <w:lang w:eastAsia="en-GB"/>
        </w:rPr>
        <w:t>eveloped a decision tree to evaluate the cost of genetic testing before serologic screening in relatives of patients with CD.</w:t>
      </w:r>
      <w:r w:rsidRPr="00876C78">
        <w:rPr>
          <w:rFonts w:eastAsia="Times New Roman" w:cstheme="minorHAnsi"/>
          <w:color w:val="000000"/>
          <w:lang w:eastAsia="en-GB"/>
        </w:rPr>
        <w:t xml:space="preserve"> </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&lt;EndNote&gt;&lt;Cite&gt;&lt;Author&gt;Chang&lt;/Author&gt;&lt;Year&gt;2009&lt;/Year&gt;&lt;RecNum&gt;2706&lt;/RecNum&gt;&lt;DisplayText&gt;&lt;style face="superscript"&gt;205&lt;/style&gt;&lt;/DisplayText&gt;&lt;record&gt;&lt;rec-number&gt;8&lt;/rec-number&gt;&lt;foreign-keys&gt;&lt;key app="EN" db-id="w9pwfv0xxa5v9vedxzkp20wvv52efwv0xppv" timestamp="1636614826"&gt;8&lt;/key&gt;&lt;/foreign-keys&gt;&lt;ref-type name="Journal Article"&gt;17&lt;/ref-type&gt;&lt;contributors&gt;&lt;authors&gt;&lt;author&gt;Chang, M.&lt;/author&gt;&lt;author&gt;Green, P. H.&lt;/author&gt;&lt;/authors&gt;&lt;/contributors&gt;&lt;auth-address&gt;Department of Medicine, Columbia University College of Physicians and Surgeons, New York, NY, USA.&lt;/auth-address&gt;&lt;titles&gt;&lt;title&gt;Genetic testing before serologic screening in relatives of patients with celiac disease as a cost containment method&lt;/title&gt;&lt;secondary-title&gt;J Clin Gastroenterol&lt;/secondary-title&gt;&lt;/titles&gt;&lt;periodical&gt;&lt;full-title&gt;J Clin Gastroenterol&lt;/full-title&gt;&lt;/periodical&gt;&lt;pages&gt;43-50&lt;/pages&gt;&lt;volume&gt;43&lt;/volume&gt;&lt;number&gt;1&lt;/number&gt;&lt;edition&gt;2008/11/21&lt;/edition&gt;&lt;keywords&gt;&lt;keyword&gt;Celiac Disease/*diagnosis/immunology&lt;/keyword&gt;&lt;keyword&gt;Cost Control/methods&lt;/keyword&gt;&lt;keyword&gt;Decision Trees&lt;/keyword&gt;&lt;keyword&gt;Family&lt;/keyword&gt;&lt;keyword&gt;Genetic Testing/economics/*methods&lt;/keyword&gt;&lt;keyword&gt;HLA-DQ Antigens/genetics&lt;/keyword&gt;&lt;keyword&gt;Humans&lt;/keyword&gt;&lt;keyword&gt;Insurance, Health, Reimbursement/economics&lt;/keyword&gt;&lt;keyword&gt;Mass Screening/economics/*methods&lt;/keyword&gt;&lt;keyword&gt;Medicare/economics&lt;/keyword&gt;&lt;keyword&gt;Sensitivity and Specificity&lt;/keyword&gt;&lt;keyword&gt;Serologic Tests/*economics/methods&lt;/keyword&gt;&lt;keyword&gt;Transglutaminases/immunology&lt;/keyword&gt;&lt;keyword&gt;United States&lt;/keyword&gt;&lt;/keywords&gt;&lt;dates&gt;&lt;year&gt;2009&lt;/year&gt;&lt;pub-dates&gt;&lt;date&gt;Jan&lt;/date&gt;&lt;/pub-dates&gt;&lt;/dates&gt;&lt;isbn&gt;0192-0790&lt;/isbn&gt;&lt;accession-num&gt;19020464&lt;/accession-num&gt;&lt;urls&gt;&lt;/urls&gt;&lt;electronic-resource-num&gt;10.1097/MCG.0b013e318187311d&lt;/electronic-resource-num&gt;&lt;remote-database-provider&gt;NLM&lt;/remote-database-provider&gt;&lt;language&gt;eng&lt;/language&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205</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 cost of initial screening with </w:t>
      </w:r>
      <w:r>
        <w:rPr>
          <w:rFonts w:eastAsia="Times New Roman" w:cstheme="minorHAnsi"/>
          <w:color w:val="000000"/>
          <w:lang w:eastAsia="en-GB"/>
        </w:rPr>
        <w:t>IgA t</w:t>
      </w:r>
      <w:r w:rsidRPr="00C3631C">
        <w:rPr>
          <w:rFonts w:eastAsia="Times New Roman" w:cstheme="minorHAnsi"/>
          <w:color w:val="000000"/>
          <w:lang w:eastAsia="en-GB"/>
        </w:rPr>
        <w:t>TG of relatives was $434 per person. Genetic screening before serological screening of relatives was more costly, at $750 per person. In terms of cost per correct diagnosis of CD, it would cost $2</w:t>
      </w:r>
      <w:r>
        <w:rPr>
          <w:rFonts w:eastAsia="Times New Roman" w:cstheme="minorHAnsi"/>
          <w:color w:val="000000"/>
          <w:lang w:eastAsia="en-GB"/>
        </w:rPr>
        <w:t>,</w:t>
      </w:r>
      <w:r w:rsidRPr="00C3631C">
        <w:rPr>
          <w:rFonts w:eastAsia="Times New Roman" w:cstheme="minorHAnsi"/>
          <w:color w:val="000000"/>
          <w:lang w:eastAsia="en-GB"/>
        </w:rPr>
        <w:t xml:space="preserve">668 per case in the initial </w:t>
      </w:r>
      <w:r>
        <w:rPr>
          <w:rFonts w:eastAsia="Times New Roman" w:cstheme="minorHAnsi"/>
          <w:color w:val="000000"/>
          <w:lang w:eastAsia="en-GB"/>
        </w:rPr>
        <w:t>IgA t</w:t>
      </w:r>
      <w:r w:rsidRPr="00C3631C">
        <w:rPr>
          <w:rFonts w:eastAsia="Times New Roman" w:cstheme="minorHAnsi"/>
          <w:color w:val="000000"/>
          <w:lang w:eastAsia="en-GB"/>
        </w:rPr>
        <w:t>TG branch, and $4</w:t>
      </w:r>
      <w:r>
        <w:rPr>
          <w:rFonts w:eastAsia="Times New Roman" w:cstheme="minorHAnsi"/>
          <w:color w:val="000000"/>
          <w:lang w:eastAsia="en-GB"/>
        </w:rPr>
        <w:t>,</w:t>
      </w:r>
      <w:r w:rsidRPr="00C3631C">
        <w:rPr>
          <w:rFonts w:eastAsia="Times New Roman" w:cstheme="minorHAnsi"/>
          <w:color w:val="000000"/>
          <w:lang w:eastAsia="en-GB"/>
        </w:rPr>
        <w:t>422 for HLA branch. The incremental cost per additional case of CD diagnosed would be approximately $449,000 for genetic testing when compared with</w:t>
      </w:r>
      <w:r>
        <w:rPr>
          <w:rFonts w:eastAsia="Times New Roman" w:cstheme="minorHAnsi"/>
          <w:color w:val="000000"/>
          <w:lang w:eastAsia="en-GB"/>
        </w:rPr>
        <w:t xml:space="preserve"> IgA</w:t>
      </w:r>
      <w:r w:rsidRPr="00C3631C">
        <w:rPr>
          <w:rFonts w:eastAsia="Times New Roman" w:cstheme="minorHAnsi"/>
          <w:color w:val="000000"/>
          <w:lang w:eastAsia="en-GB"/>
        </w:rPr>
        <w:t xml:space="preserve"> </w:t>
      </w:r>
      <w:r>
        <w:rPr>
          <w:rFonts w:eastAsia="Times New Roman" w:cstheme="minorHAnsi"/>
          <w:color w:val="000000"/>
          <w:lang w:eastAsia="en-GB"/>
        </w:rPr>
        <w:t>t</w:t>
      </w:r>
      <w:r w:rsidRPr="00C3631C">
        <w:rPr>
          <w:rFonts w:eastAsia="Times New Roman" w:cstheme="minorHAnsi"/>
          <w:color w:val="000000"/>
          <w:lang w:eastAsia="en-GB"/>
        </w:rPr>
        <w:t>TG alone.</w:t>
      </w:r>
    </w:p>
    <w:p w14:paraId="24564C50" w14:textId="5E049BD1" w:rsidR="00BF5EA3" w:rsidRPr="00C3631C" w:rsidRDefault="00BF5EA3" w:rsidP="00BF5EA3">
      <w:pPr>
        <w:rPr>
          <w:rFonts w:eastAsia="Times New Roman" w:cstheme="minorHAnsi"/>
          <w:color w:val="000000"/>
          <w:lang w:eastAsia="en-GB"/>
        </w:rPr>
      </w:pPr>
      <w:r w:rsidRPr="00C3631C">
        <w:rPr>
          <w:rFonts w:eastAsia="Times New Roman" w:cstheme="minorHAnsi"/>
          <w:color w:val="000000"/>
          <w:lang w:eastAsia="en-GB"/>
        </w:rPr>
        <w:t>Hershcovici et al. 2010 developed a Markov model to estimate whether mass screening</w:t>
      </w:r>
      <w:r>
        <w:rPr>
          <w:rFonts w:eastAsia="Times New Roman" w:cstheme="minorHAnsi"/>
          <w:color w:val="000000"/>
          <w:lang w:eastAsia="en-GB"/>
        </w:rPr>
        <w:t xml:space="preserve"> using </w:t>
      </w:r>
      <w:r w:rsidRPr="00C3631C">
        <w:rPr>
          <w:rFonts w:eastAsia="Times New Roman" w:cstheme="minorHAnsi"/>
          <w:color w:val="000000"/>
          <w:lang w:eastAsia="en-GB"/>
        </w:rPr>
        <w:t>serological tests followed by biopsy is cost-effective compared to no-screening.</w:t>
      </w:r>
      <w:r w:rsidRPr="00041A86">
        <w:rPr>
          <w:rFonts w:eastAsia="Times New Roman" w:cstheme="minorHAnsi"/>
          <w:color w:val="000000"/>
          <w:lang w:eastAsia="en-GB"/>
        </w:rPr>
        <w:t xml:space="preserve"> </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&lt;EndNote&gt;&lt;Cite&gt;&lt;Author&gt;Hershcovici&lt;/Author&gt;&lt;Year&gt;2010&lt;/Year&gt;&lt;RecNum&gt;718&lt;/RecNum&gt;&lt;DisplayText&gt;&lt;style face="superscript"&gt;206&lt;/style&gt;&lt;/DisplayText&gt;&lt;record&gt;&lt;rec-number&gt;9&lt;/rec-number&gt;&lt;foreign-keys&gt;&lt;key app="EN" db-id="w9pwfv0xxa5v9vedxzkp20wvv52efwv0xppv" timestamp="1636614826"&gt;9&lt;/key&gt;&lt;/foreign-keys&gt;&lt;ref-type name="Journal Article"&gt;17&lt;/ref-type&gt;&lt;contributors&gt;&lt;authors&gt;&lt;author&gt;Hershcovici, T.&lt;/author&gt;&lt;author&gt;Leshno, M.&lt;/author&gt;&lt;author&gt;Goldin, E.&lt;/author&gt;&lt;author&gt;Shamir, R.&lt;/author&gt;&lt;author&gt;Israeli, E.&lt;/author&gt;&lt;/authors&gt;&lt;/contributors&gt;&lt;auth-address&gt;Gastroenterology Department, Hadassah-Hebrew University Medical Center, Jerusalem, Israel.&lt;/auth-address&gt;&lt;titles&gt;&lt;title&gt;Cost effectiveness of mass screening for coeliac disease is determined by time-delay to diagnosis and quality of life on a gluten-free diet&lt;/title&gt;&lt;secondary-title&gt;Aliment Pharmacol Ther&lt;/secondary-title&gt;&lt;/titles&gt;&lt;periodical&gt;&lt;full-title&gt;Aliment Pharmacol Ther&lt;/full-title&gt;&lt;/periodical&gt;&lt;pages&gt;901-10&lt;/pages&gt;&lt;volume&gt;31&lt;/volume&gt;&lt;number&gt;8&lt;/number&gt;&lt;keywords&gt;&lt;keyword&gt;Adult&lt;/keyword&gt;&lt;keyword&gt;Celiac Disease/*diagnosis/diet therapy/economics&lt;/keyword&gt;&lt;keyword&gt;Cost-Benefit Analysis&lt;/keyword&gt;&lt;keyword&gt;Delayed Diagnosis&lt;/keyword&gt;&lt;keyword&gt;*Diet, Gluten-Free&lt;/keyword&gt;&lt;keyword&gt;Female&lt;/keyword&gt;&lt;keyword&gt;Humans&lt;/keyword&gt;&lt;keyword&gt;Male&lt;/keyword&gt;&lt;keyword&gt;Markov Chains&lt;/keyword&gt;&lt;keyword&gt;Mass Screening/*economics&lt;/keyword&gt;&lt;keyword&gt;Quality of Life&lt;/keyword&gt;&lt;keyword&gt;Quality-Adjusted Life Years&lt;/keyword&gt;&lt;keyword&gt;Treatment Outcome&lt;/keyword&gt;&lt;/keywords&gt;&lt;dates&gt;&lt;year&gt;2010&lt;/year&gt;&lt;pub-dates&gt;&lt;date&gt;Apr&lt;/date&gt;&lt;/pub-dates&gt;&lt;/dates&gt;&lt;isbn&gt;1365-2036 (Electronic)&amp;#xD;0269-2813 (Linking)&lt;/isbn&gt;&lt;accession-num&gt;20096017&lt;/accession-num&gt;&lt;urls&gt;&lt;related-urls&gt;&lt;url&gt;https://www.ncbi.nlm.nih.gov/pubmed/20096017&lt;/url&gt;&lt;/related-urls&gt;&lt;/urls&gt;&lt;electronic-resource-num&gt;10.1111/j.1365-2036.2010.04242.x&lt;/electronic-resource-num&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206</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 ICER of screening compared to no screening was $48,960 per QALY gain. However, at a $50,000 threshold the probability of being cost-effective was 60%. Mohseninejad et al. 2013 conducted a cost-effectiveness analysis of targeted screening for CD among </w:t>
      </w:r>
      <w:r>
        <w:rPr>
          <w:rFonts w:eastAsia="Times New Roman" w:cstheme="minorHAnsi"/>
          <w:color w:val="000000"/>
          <w:lang w:eastAsia="en-GB"/>
        </w:rPr>
        <w:t>IBS</w:t>
      </w:r>
      <w:r w:rsidRPr="00C3631C">
        <w:rPr>
          <w:rFonts w:eastAsia="Times New Roman" w:cstheme="minorHAnsi"/>
          <w:color w:val="000000"/>
          <w:lang w:eastAsia="en-GB"/>
        </w:rPr>
        <w:t xml:space="preserve"> patients and compared serological screening with no screening.</w:t>
      </w:r>
      <w:r w:rsidRPr="00FA4374">
        <w:rPr>
          <w:rFonts w:eastAsia="Times New Roman" w:cstheme="minorHAnsi"/>
          <w:color w:val="000000"/>
          <w:lang w:eastAsia="en-GB"/>
        </w:rPr>
        <w:t xml:space="preserve"> </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&lt;EndNote&gt;&lt;Cite&gt;&lt;Author&gt;Mohseninejad&lt;/Author&gt;&lt;Year&gt;2013&lt;/Year&gt;&lt;RecNum&gt;710&lt;/RecNum&gt;&lt;DisplayText&gt;&lt;style face="superscript"&gt;207&lt;/style&gt;&lt;/DisplayText&gt;&lt;record&gt;&lt;rec-number&gt;10&lt;/rec-number&gt;&lt;foreign-keys&gt;&lt;key app="EN" db-id="w9pwfv0xxa5v9vedxzkp20wvv52efwv0xppv" timestamp="1636614826"&gt;10&lt;/key&gt;&lt;/foreign-keys&gt;&lt;ref-type name="Journal Article"&gt;17&lt;/ref-type&gt;&lt;contributors&gt;&lt;authors&gt;&lt;author&gt;Mohseninejad, L.&lt;/author&gt;&lt;author&gt;Feenstra, T.&lt;/author&gt;&lt;author&gt;van der Horst, H. E.&lt;/author&gt;&lt;author&gt;Woutersen-Koch, H.&lt;/author&gt;&lt;author&gt;Buskens, E.&lt;/author&gt;&lt;/authors&gt;&lt;/contributors&gt;&lt;auth-address&gt;Department of Epidemiology, University Medical Center Groningen, University of Groningen, Hanzeplein 1, PO Box 30.001, 9700 RB, Groningen, The Netherlands, mohseninejadl@epi.umcg.nl.&lt;/auth-address&gt;&lt;titles&gt;&lt;title&gt;Targeted screening for Coeliac Disease among irritable bowel syndrome patients: analysis of cost-effectiveness and value of information&lt;/title&gt;&lt;secondary-title&gt;Eur J Health Econ&lt;/secondary-title&gt;&lt;/titles&gt;&lt;periodical&gt;&lt;full-title&gt;Eur J Health Econ&lt;/full-title&gt;&lt;/periodical&gt;&lt;pages&gt;947-57&lt;/pages&gt;&lt;volume&gt;14&lt;/volume&gt;&lt;number&gt;6&lt;/number&gt;&lt;keywords&gt;&lt;keyword&gt;Age Factors&lt;/keyword&gt;&lt;keyword&gt;Celiac Disease/*diagnosis/*epidemiology&lt;/keyword&gt;&lt;keyword&gt;Computer Simulation&lt;/keyword&gt;&lt;keyword&gt;Cost-Benefit Analysis&lt;/keyword&gt;&lt;keyword&gt;Decision Support Techniques&lt;/keyword&gt;&lt;keyword&gt;Endoscopy&lt;/keyword&gt;&lt;keyword&gt;Humans&lt;/keyword&gt;&lt;keyword&gt;Incidence&lt;/keyword&gt;&lt;keyword&gt;Irritable Bowel Syndrome/*epidemiology&lt;/keyword&gt;&lt;keyword&gt;Mass Screening/*economics&lt;/keyword&gt;&lt;keyword&gt;Models, Economic&lt;/keyword&gt;&lt;keyword&gt;Prevalence&lt;/keyword&gt;&lt;keyword&gt;*Quality of Life&lt;/keyword&gt;&lt;keyword&gt;Quality-Adjusted Life Years&lt;/keyword&gt;&lt;/keywords&gt;&lt;dates&gt;&lt;year&gt;2013&lt;/year&gt;&lt;pub-dates&gt;&lt;date&gt;Dec&lt;/date&gt;&lt;/pub-dates&gt;&lt;/dates&gt;&lt;isbn&gt;1618-7601 (Electronic)&amp;#xD;1618-7598 (Linking)&lt;/isbn&gt;&lt;accession-num&gt;23179163&lt;/accession-num&gt;&lt;urls&gt;&lt;related-urls&gt;&lt;url&gt;https://www.ncbi.nlm.nih.gov/pubmed/23179163&lt;/url&gt;&lt;/related-urls&gt;&lt;/urls&gt;&lt;electronic-resource-num&gt;10.1007/s10198-012-0441-4&lt;/electronic-resource-num&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207</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concluded that screening patients with confirmed IBS symptoms for CD is cost-effective (ICER of 6,200 euros). </w:t>
      </w:r>
    </w:p>
    <w:p w14:paraId="1DBA56E1" w14:textId="55A1489B" w:rsidR="00BF5EA3" w:rsidRPr="00C3631C" w:rsidRDefault="00BF5EA3" w:rsidP="00BF5EA3">
      <w:pPr>
        <w:rPr>
          <w:rFonts w:eastAsia="Times New Roman" w:cstheme="minorHAnsi"/>
          <w:color w:val="000000"/>
          <w:lang w:eastAsia="en-GB"/>
        </w:rPr>
      </w:pPr>
      <w:r w:rsidRPr="00C3631C">
        <w:rPr>
          <w:rFonts w:eastAsia="Times New Roman" w:cstheme="minorHAnsi"/>
          <w:color w:val="000000"/>
          <w:lang w:eastAsia="en-GB"/>
        </w:rPr>
        <w:t>Park et al. 2013 developed a Markov model to determine the cost-effectiveness of universal serologic screening to prevent nontraumatic hip and vertebral fractures in patients with CD.</w:t>
      </w:r>
      <w:r w:rsidRPr="00FA4374">
        <w:rPr>
          <w:rFonts w:eastAsia="Times New Roman" w:cstheme="minorHAnsi"/>
          <w:color w:val="000000"/>
          <w:lang w:eastAsia="en-GB"/>
        </w:rPr>
        <w:t xml:space="preserve"> </w:t>
      </w:r>
      <w:r w:rsidRPr="00C3631C">
        <w:rPr>
          <w:rFonts w:eastAsia="Times New Roman" w:cstheme="minorHAnsi"/>
          <w:color w:val="000000"/>
          <w:lang w:eastAsia="en-GB"/>
        </w:rPr>
        <w:fldChar w:fldCharType="begin">
          <w:fldData xml:space="preserve">PEVuZE5vdGU+PENpdGU+PEF1dGhvcj5QYXJrPC9BdXRob3I+PFllYXI+MjAxMzwvWWVhcj48UmVj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==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PEVuZE5vdGU+PENpdGU+PEF1dGhvcj5QYXJrPC9BdXRob3I+PFllYXI+MjAxMzwvWWVhcj48UmVj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==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C3631C">
        <w:rPr>
          <w:rFonts w:eastAsia="Times New Roman" w:cstheme="minorHAnsi"/>
          <w:color w:val="000000"/>
          <w:lang w:eastAsia="en-GB"/>
        </w:rPr>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208</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found that universal screening compared to standard care (</w:t>
      </w:r>
      <w:r>
        <w:rPr>
          <w:rFonts w:eastAsia="Times New Roman" w:cstheme="minorHAnsi"/>
          <w:color w:val="000000"/>
          <w:lang w:eastAsia="en-GB"/>
        </w:rPr>
        <w:t xml:space="preserve">i.e. </w:t>
      </w:r>
      <w:r w:rsidRPr="00C3631C">
        <w:rPr>
          <w:rFonts w:eastAsia="Times New Roman" w:cstheme="minorHAnsi"/>
          <w:color w:val="000000"/>
          <w:lang w:eastAsia="en-GB"/>
        </w:rPr>
        <w:t>screening only symptomatic or at-risk patients) is not cost-effective. Standard care had lower costs of $8</w:t>
      </w:r>
      <w:r>
        <w:rPr>
          <w:rFonts w:eastAsia="Times New Roman" w:cstheme="minorHAnsi"/>
          <w:color w:val="000000"/>
          <w:lang w:eastAsia="en-GB"/>
        </w:rPr>
        <w:t>,</w:t>
      </w:r>
      <w:r w:rsidRPr="00C3631C">
        <w:rPr>
          <w:rFonts w:eastAsia="Times New Roman" w:cstheme="minorHAnsi"/>
          <w:color w:val="000000"/>
          <w:lang w:eastAsia="en-GB"/>
        </w:rPr>
        <w:t>472 and higher QALYs of 25.515. Yang et al. 2015 conducted a cost-effectiveness analysis of routine duodenal biopsy for CD during endoscopy for gastroesophageal reflux, compared to no-biopsy, using a lifetime decision tree.</w:t>
      </w:r>
      <w:r w:rsidRPr="004B5114">
        <w:rPr>
          <w:rFonts w:eastAsia="Times New Roman" w:cstheme="minorHAnsi"/>
          <w:color w:val="000000"/>
          <w:lang w:eastAsia="en-GB"/>
        </w:rPr>
        <w:t xml:space="preserve"> </w:t>
      </w:r>
      <w:r w:rsidRPr="00C3631C">
        <w:rPr>
          <w:rFonts w:eastAsia="Times New Roman" w:cstheme="minorHAnsi"/>
          <w:color w:val="000000"/>
          <w:lang w:eastAsia="en-GB"/>
        </w:rPr>
        <w:fldChar w:fldCharType="begin">
          <w:fldData xml:space="preserve">PEVuZE5vdGU+PENpdGU+PEF1dGhvcj5ZYW5nPC9BdXRob3I+PFllYXI+MjAxNTwvWWVhcj48UmVj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PEVuZE5vdGU+PENpdGU+PEF1dGhvcj5ZYW5nPC9BdXRob3I+PFllYXI+MjAxNTwvWWVhcj48UmVj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C3631C">
        <w:rPr>
          <w:rFonts w:eastAsia="Times New Roman" w:cstheme="minorHAnsi"/>
          <w:color w:val="000000"/>
          <w:lang w:eastAsia="en-GB"/>
        </w:rPr>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209</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They found that performing biopsy to detect CD in patients with </w:t>
      </w:r>
      <w:r w:rsidR="00AB328E">
        <w:rPr>
          <w:rFonts w:eastAsia="Times New Roman" w:cstheme="minorHAnsi"/>
          <w:color w:val="000000"/>
          <w:lang w:eastAsia="en-GB"/>
        </w:rPr>
        <w:t>g</w:t>
      </w:r>
      <w:r w:rsidR="00AB328E" w:rsidRPr="00AB328E">
        <w:rPr>
          <w:rFonts w:eastAsia="Times New Roman" w:cstheme="minorHAnsi"/>
          <w:color w:val="000000"/>
          <w:lang w:eastAsia="en-GB"/>
        </w:rPr>
        <w:t xml:space="preserve">astroesophageal reflux disease (GERD) </w:t>
      </w:r>
      <w:r w:rsidRPr="00C3631C">
        <w:rPr>
          <w:rFonts w:eastAsia="Times New Roman" w:cstheme="minorHAnsi"/>
          <w:color w:val="000000"/>
          <w:lang w:eastAsia="en-GB"/>
        </w:rPr>
        <w:t xml:space="preserve">is not cost-effective (ICER $121,875 per QALY gain). Broide et al. 2016 built a Markov model to determine the cost-effectiveness of routine duodenal biopsy to detect CD in patients with iron deficiency anaemia (IDA). </w:t>
      </w:r>
      <w:r w:rsidRPr="00C3631C">
        <w:rPr>
          <w:rFonts w:eastAsia="Times New Roman" w:cstheme="minorHAnsi"/>
          <w:color w:val="000000"/>
          <w:lang w:eastAsia="en-GB"/>
        </w:rPr>
        <w:fldChar w:fldCharType="begin">
          <w:fldData xml:space="preserve">PEVuZE5vdGU+PENpdGU+PEF1dGhvcj5Ccm9pZGU8L0F1dGhvcj48WWVhcj4yMDE2PC9ZZWFyPjxS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PEVuZE5vdGU+PENpdGU+PEF1dGhvcj5Ccm9pZGU8L0F1dGhvcj48WWVhcj4yMDE2PC9ZZWFyPjxS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C3631C">
        <w:rPr>
          <w:rFonts w:eastAsia="Times New Roman" w:cstheme="minorHAnsi"/>
          <w:color w:val="000000"/>
          <w:lang w:eastAsia="en-GB"/>
        </w:rPr>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210</w:t>
      </w:r>
      <w:r w:rsidRPr="00C3631C">
        <w:rPr>
          <w:rFonts w:eastAsia="Times New Roman" w:cstheme="minorHAnsi"/>
          <w:color w:val="000000"/>
          <w:lang w:eastAsia="en-GB"/>
        </w:rPr>
        <w:fldChar w:fldCharType="end"/>
      </w:r>
      <w:r>
        <w:rPr>
          <w:rFonts w:eastAsia="Times New Roman" w:cstheme="minorHAnsi"/>
          <w:color w:val="000000"/>
          <w:lang w:eastAsia="en-GB"/>
        </w:rPr>
        <w:t xml:space="preserve"> </w:t>
      </w:r>
      <w:r w:rsidRPr="00C3631C">
        <w:rPr>
          <w:rFonts w:eastAsia="Times New Roman" w:cstheme="minorHAnsi"/>
          <w:color w:val="000000"/>
          <w:lang w:eastAsia="en-GB"/>
        </w:rPr>
        <w:t>The intervention (biopsy during an EGD in all patients with IDA, irrespective of serolog</w:t>
      </w:r>
      <w:r>
        <w:rPr>
          <w:rFonts w:eastAsia="Times New Roman" w:cstheme="minorHAnsi"/>
          <w:color w:val="000000"/>
          <w:lang w:eastAsia="en-GB"/>
        </w:rPr>
        <w:t>ical</w:t>
      </w:r>
      <w:r w:rsidRPr="00C3631C">
        <w:rPr>
          <w:rFonts w:eastAsia="Times New Roman" w:cstheme="minorHAnsi"/>
          <w:color w:val="000000"/>
          <w:lang w:eastAsia="en-GB"/>
        </w:rPr>
        <w:t xml:space="preserve"> </w:t>
      </w:r>
      <w:r>
        <w:rPr>
          <w:rFonts w:eastAsia="Times New Roman" w:cstheme="minorHAnsi"/>
          <w:color w:val="000000"/>
          <w:lang w:eastAsia="en-GB"/>
        </w:rPr>
        <w:t>test</w:t>
      </w:r>
      <w:r w:rsidRPr="00C3631C">
        <w:rPr>
          <w:rFonts w:eastAsia="Times New Roman" w:cstheme="minorHAnsi"/>
          <w:color w:val="000000"/>
          <w:lang w:eastAsia="en-GB"/>
        </w:rPr>
        <w:t xml:space="preserve"> results) resulted in 19.888 QALY gain and an average cost of $218.10, dominating the comparator (</w:t>
      </w:r>
      <w:r>
        <w:rPr>
          <w:rFonts w:eastAsia="Times New Roman" w:cstheme="minorHAnsi"/>
          <w:color w:val="000000"/>
          <w:lang w:eastAsia="en-GB"/>
        </w:rPr>
        <w:t xml:space="preserve">i.e. </w:t>
      </w:r>
      <w:r w:rsidRPr="00C3631C">
        <w:rPr>
          <w:rFonts w:eastAsia="Times New Roman" w:cstheme="minorHAnsi"/>
          <w:color w:val="000000"/>
          <w:lang w:eastAsia="en-GB"/>
        </w:rPr>
        <w:t>performing biopsy only in patients with a positive serological test), which had 19.887 QALY at an average cost of $234.17.</w:t>
      </w:r>
    </w:p>
    <w:p w14:paraId="10A3C9F6" w14:textId="276B44B1" w:rsidR="00BF5EA3" w:rsidRDefault="00BF5EA3" w:rsidP="00BF5EA3">
      <w:pPr>
        <w:rPr>
          <w:rFonts w:eastAsia="Times New Roman" w:cstheme="minorHAnsi"/>
          <w:color w:val="000000"/>
          <w:lang w:eastAsia="en-GB"/>
        </w:rPr>
      </w:pPr>
      <w:r w:rsidRPr="00C3631C">
        <w:rPr>
          <w:rFonts w:eastAsia="Times New Roman" w:cstheme="minorHAnsi"/>
          <w:color w:val="000000"/>
          <w:lang w:eastAsia="en-GB"/>
        </w:rPr>
        <w:t xml:space="preserve">NICE </w:t>
      </w:r>
      <w:r>
        <w:rPr>
          <w:rFonts w:eastAsia="Times New Roman" w:cstheme="minorHAnsi"/>
          <w:color w:val="000000"/>
          <w:lang w:eastAsia="en-GB"/>
        </w:rPr>
        <w:t xml:space="preserve">in </w:t>
      </w:r>
      <w:r w:rsidRPr="00C3631C">
        <w:rPr>
          <w:rFonts w:eastAsia="Times New Roman" w:cstheme="minorHAnsi"/>
          <w:color w:val="000000"/>
          <w:lang w:eastAsia="en-GB"/>
        </w:rPr>
        <w:t>2015 conducted a cost-effectiveness analysis using a decision tree followed by a Markov model to estimate which serological test is the most appropriate to diagnose CD in both children and adults.</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&lt;EndNote&gt;&lt;Cite&gt;&lt;Author&gt;NICE&lt;/Author&gt;&lt;Year&gt;2015&lt;/Year&gt;&lt;RecNum&gt;2703&lt;/RecNum&gt;&lt;DisplayText&gt;&lt;style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C3631C">
        <w:rPr>
          <w:rFonts w:eastAsia="Times New Roman" w:cstheme="minorHAnsi"/>
          <w:color w:val="000000"/>
          <w:lang w:eastAsia="en-GB"/>
        </w:rPr>
        <w:fldChar w:fldCharType="end"/>
      </w:r>
      <w:r w:rsidRPr="00C3631C">
        <w:rPr>
          <w:rFonts w:eastAsia="Times New Roman" w:cstheme="minorHAnsi"/>
          <w:color w:val="000000"/>
          <w:lang w:eastAsia="en-GB"/>
        </w:rPr>
        <w:t xml:space="preserve"> For adults, the most effective strategy was the most sensitive, considering people serologically positive if they are positive on either IgA tTG or IgA EMA (17.6004 total QALYs). However, the ICER was £173,484 per QALY. The incremental analysis suggested that most benefits could be achieved at a lower cost by a strategy that tests IgA </w:t>
      </w:r>
      <w:r>
        <w:rPr>
          <w:rFonts w:eastAsia="Times New Roman" w:cstheme="minorHAnsi"/>
          <w:color w:val="000000"/>
          <w:lang w:eastAsia="en-GB"/>
        </w:rPr>
        <w:t>t</w:t>
      </w:r>
      <w:r w:rsidRPr="00C3631C">
        <w:rPr>
          <w:rFonts w:eastAsia="Times New Roman" w:cstheme="minorHAnsi"/>
          <w:color w:val="000000"/>
          <w:lang w:eastAsia="en-GB"/>
        </w:rPr>
        <w:t xml:space="preserve">TG in all people and reserves IgA EMA to classify cases in which IgA </w:t>
      </w:r>
      <w:r w:rsidR="00715D9C">
        <w:rPr>
          <w:rFonts w:eastAsia="Times New Roman" w:cstheme="minorHAnsi"/>
          <w:color w:val="000000"/>
          <w:lang w:eastAsia="en-GB"/>
        </w:rPr>
        <w:t>t</w:t>
      </w:r>
      <w:r w:rsidR="00715D9C" w:rsidRPr="00C3631C">
        <w:rPr>
          <w:rFonts w:eastAsia="Times New Roman" w:cstheme="minorHAnsi"/>
          <w:color w:val="000000"/>
          <w:lang w:eastAsia="en-GB"/>
        </w:rPr>
        <w:t xml:space="preserve">TG </w:t>
      </w:r>
      <w:r w:rsidRPr="00C3631C">
        <w:rPr>
          <w:rFonts w:eastAsia="Times New Roman" w:cstheme="minorHAnsi"/>
          <w:color w:val="000000"/>
          <w:lang w:eastAsia="en-GB"/>
        </w:rPr>
        <w:t>results are weakly positive. All other strategies were strongly dominated. For children, the most effective strategy was IgA</w:t>
      </w:r>
      <w:r>
        <w:rPr>
          <w:rFonts w:eastAsia="Times New Roman" w:cstheme="minorHAnsi"/>
          <w:color w:val="000000"/>
          <w:lang w:eastAsia="en-GB"/>
        </w:rPr>
        <w:t xml:space="preserve"> t</w:t>
      </w:r>
      <w:r w:rsidRPr="00C3631C">
        <w:rPr>
          <w:rFonts w:eastAsia="Times New Roman" w:cstheme="minorHAnsi"/>
          <w:color w:val="000000"/>
          <w:lang w:eastAsia="en-GB"/>
        </w:rPr>
        <w:t>TG</w:t>
      </w:r>
      <w:r>
        <w:rPr>
          <w:rFonts w:eastAsia="Times New Roman" w:cstheme="minorHAnsi"/>
          <w:color w:val="000000"/>
          <w:lang w:eastAsia="en-GB"/>
        </w:rPr>
        <w:t xml:space="preserve"> plus </w:t>
      </w:r>
      <w:r w:rsidRPr="00C3631C">
        <w:rPr>
          <w:rFonts w:eastAsia="Times New Roman" w:cstheme="minorHAnsi"/>
          <w:color w:val="000000"/>
          <w:lang w:eastAsia="en-GB"/>
        </w:rPr>
        <w:t>IgA</w:t>
      </w:r>
      <w:r>
        <w:rPr>
          <w:rFonts w:eastAsia="Times New Roman" w:cstheme="minorHAnsi"/>
          <w:color w:val="000000"/>
          <w:lang w:eastAsia="en-GB"/>
        </w:rPr>
        <w:t xml:space="preserve"> </w:t>
      </w:r>
      <w:r w:rsidRPr="00C3631C">
        <w:rPr>
          <w:rFonts w:eastAsia="Times New Roman" w:cstheme="minorHAnsi"/>
          <w:color w:val="000000"/>
          <w:lang w:eastAsia="en-GB"/>
        </w:rPr>
        <w:t>EMA</w:t>
      </w:r>
      <w:r>
        <w:rPr>
          <w:rFonts w:eastAsia="Times New Roman" w:cstheme="minorHAnsi"/>
          <w:color w:val="000000"/>
          <w:lang w:eastAsia="en-GB"/>
        </w:rPr>
        <w:t xml:space="preserve"> plus </w:t>
      </w:r>
      <w:r w:rsidRPr="00C3631C">
        <w:rPr>
          <w:rFonts w:eastAsia="Times New Roman" w:cstheme="minorHAnsi"/>
          <w:color w:val="000000"/>
          <w:lang w:eastAsia="en-GB"/>
        </w:rPr>
        <w:t xml:space="preserve">HLA (a combination of serological tests for IgA tTG and IgA EMA and HLA DQ2/DQ8 genotyping), with a total QALY of 21.3823. The ICER of this strategy was £33,800 per QALY gained compared with the next cheapest non-dominated option. NICE also conducted a health economic evaluation of active case finding strategies. They found screening </w:t>
      </w:r>
      <w:r>
        <w:rPr>
          <w:rFonts w:eastAsia="Times New Roman" w:cstheme="minorHAnsi"/>
          <w:color w:val="000000"/>
          <w:lang w:eastAsia="en-GB"/>
        </w:rPr>
        <w:t>first degree relatives</w:t>
      </w:r>
      <w:r w:rsidRPr="00C3631C">
        <w:rPr>
          <w:rFonts w:eastAsia="Times New Roman" w:cstheme="minorHAnsi"/>
          <w:color w:val="000000"/>
          <w:lang w:eastAsia="en-GB"/>
        </w:rPr>
        <w:t xml:space="preserve"> of people with </w:t>
      </w:r>
      <w:r>
        <w:rPr>
          <w:rFonts w:eastAsia="Times New Roman" w:cstheme="minorHAnsi"/>
          <w:color w:val="000000"/>
          <w:lang w:eastAsia="en-GB"/>
        </w:rPr>
        <w:t>CD</w:t>
      </w:r>
      <w:r w:rsidRPr="00C3631C">
        <w:rPr>
          <w:rFonts w:eastAsia="Times New Roman" w:cstheme="minorHAnsi"/>
          <w:color w:val="000000"/>
          <w:lang w:eastAsia="en-GB"/>
        </w:rPr>
        <w:t xml:space="preserve"> was cost-effective in adults and children, that screening people with type</w:t>
      </w:r>
      <w:r w:rsidR="00047E8B">
        <w:rPr>
          <w:rFonts w:eastAsia="Times New Roman" w:cstheme="minorHAnsi"/>
          <w:color w:val="000000"/>
          <w:lang w:eastAsia="en-GB"/>
        </w:rPr>
        <w:t xml:space="preserve"> </w:t>
      </w:r>
      <w:r w:rsidRPr="00C3631C">
        <w:rPr>
          <w:rFonts w:eastAsia="Times New Roman" w:cstheme="minorHAnsi"/>
          <w:color w:val="000000"/>
          <w:lang w:eastAsia="en-GB"/>
        </w:rPr>
        <w:t xml:space="preserve">1 diabetes was cost-effective in adults and potentially cost-effective in children, and that screening those </w:t>
      </w:r>
      <w:r>
        <w:rPr>
          <w:rFonts w:eastAsia="Times New Roman" w:cstheme="minorHAnsi"/>
          <w:color w:val="000000"/>
          <w:lang w:eastAsia="en-GB"/>
        </w:rPr>
        <w:t xml:space="preserve">with </w:t>
      </w:r>
      <w:r w:rsidRPr="00C3631C">
        <w:rPr>
          <w:rFonts w:eastAsia="Times New Roman" w:cstheme="minorHAnsi"/>
          <w:color w:val="000000"/>
          <w:lang w:eastAsia="en-GB"/>
        </w:rPr>
        <w:t>autoimmune thyroid disease was not cost-effective in adults or children.</w:t>
      </w:r>
    </w:p>
    <w:p w14:paraId="76879C22" w14:textId="77777777" w:rsidR="00BF5EA3" w:rsidRPr="00305D05" w:rsidRDefault="00BF5EA3" w:rsidP="0038290D">
      <w:pPr>
        <w:pStyle w:val="Heading4"/>
      </w:pPr>
      <w:bookmarkStart w:id="243" w:name="_Toc87507179"/>
      <w:r>
        <w:lastRenderedPageBreak/>
        <w:t>Implications for cost-effectiveness modelling in CD</w:t>
      </w:r>
      <w:bookmarkEnd w:id="243"/>
    </w:p>
    <w:p w14:paraId="332C6A6F" w14:textId="2E23FC3F" w:rsidR="00BF5EA3" w:rsidRPr="00C36084" w:rsidRDefault="00BF5EA3" w:rsidP="00BF5EA3">
      <w:r>
        <w:t>A Markov model, rather than a decision tree, is most appropriate for modelling a long-term healthcare condition such as CD as comorbidities, including Non-Hodgkin’s Lymphoma (NHL), may not develop for a long time after the initial screening.</w:t>
      </w:r>
      <w:r>
        <w:fldChar w:fldCharType="begin"/>
      </w:r>
      <w:r w:rsidR="00735CC0">
        <w:instrText xml:space="preserve"> ADDIN EN.CITE &lt;EndNote&gt;&lt;Cite&gt;&lt;Author&gt;Siebert&lt;/Author&gt;&lt;Year&gt;2012&lt;/Year&gt;&lt;RecNum&gt;563&lt;/RecNum&gt;&lt;DisplayText&gt;&lt;style face="superscript"&gt;211, 212&lt;/style&gt;&lt;/DisplayText&gt;&lt;record&gt;&lt;rec-number&gt;563&lt;/rec-number&gt;&lt;foreign-keys&gt;&lt;key app="EN" db-id="tdwrx9xd1z9eepeevr355w2k959rv0f5zaax" timestamp="1636620393"&gt;563&lt;/key&gt;&lt;/foreign-keys&gt;&lt;ref-type name="Journal Article"&gt;17&lt;/ref-type&gt;&lt;contributors&gt;&lt;authors&gt;&lt;author&gt;Siebert, U.&lt;/author&gt;&lt;author&gt;Alagoz, O.&lt;/author&gt;&lt;author&gt;Bayoumi, A.M.&lt;/author&gt;&lt;author&gt;Jahn, B.&lt;/author&gt;&lt;author&gt;Owens, D.K.&lt;/author&gt;&lt;author&gt;Cohen, D.J.&lt;/author&gt;&lt;author&gt;Kuntz, K.M.&lt;/author&gt;&lt;/authors&gt;&lt;/contributors&gt;&lt;titles&gt;&lt;title&gt;State-Transition Modelling: A report of the ISPOR-SMDM Modelling Good Research Practices Task Force-3&lt;/title&gt;&lt;secondary-title&gt;Value in Health&lt;/secondary-title&gt;&lt;/titles&gt;&lt;periodical&gt;&lt;full-title&gt;Value in Health&lt;/full-title&gt;&lt;/periodical&gt;&lt;pages&gt;812-820&lt;/pages&gt;&lt;volume&gt;15&lt;/volume&gt;&lt;dates&gt;&lt;year&gt;2012&lt;/year&gt;&lt;/dates&gt;&lt;urls&gt;&lt;/urls&gt;&lt;/record&gt;&lt;/Cite&gt;&lt;Cite&gt;&lt;Author&gt;UK&lt;/Author&gt;&lt;Year&gt;2021&lt;/Year&gt;&lt;RecNum&gt;2711&lt;/RecNum&gt;&lt;record&gt;&lt;rec-number&gt;15&lt;/rec-number&gt;&lt;foreign-keys&gt;&lt;key app="EN" db-id="w9pwfv0xxa5v9vedxzkp20wvv52efwv0xppv" timestamp="1636614827"&gt;15&lt;/key&gt;&lt;/foreign-keys&gt;&lt;ref-type name="Web Page"&gt;12&lt;/ref-type&gt;&lt;contributors&gt;&lt;authors&gt;&lt;author&gt;Coeliac UK&lt;/author&gt;&lt;/authors&gt;&lt;/contributors&gt;&lt;titles&gt;&lt;title&gt;Ongoing symptoms and complications&lt;/title&gt;&lt;/titles&gt;&lt;number&gt;Accessed on 25/01/21&lt;/number&gt;&lt;dates&gt;&lt;year&gt;2021&lt;/year&gt;&lt;/dates&gt;&lt;urls&gt;&lt;related-urls&gt;&lt;url&gt;https://www.coeliac.org.uk/healthcare-professionals/management/ongoing-symptoms-and-complications/&lt;/url&gt;&lt;/related-urls&gt;&lt;/urls&gt;&lt;/record&gt;&lt;/Cite&gt;&lt;/EndNote&gt;</w:instrText>
      </w:r>
      <w:r>
        <w:fldChar w:fldCharType="separate"/>
      </w:r>
      <w:r w:rsidR="00735CC0" w:rsidRPr="00735CC0">
        <w:rPr>
          <w:noProof/>
          <w:vertAlign w:val="superscript"/>
        </w:rPr>
        <w:t>211, 212</w:t>
      </w:r>
      <w:r>
        <w:fldChar w:fldCharType="end"/>
      </w:r>
      <w:r w:rsidRPr="00C3631C">
        <w:rPr>
          <w:rFonts w:cstheme="minorHAnsi"/>
        </w:rPr>
        <w:t xml:space="preserve"> </w:t>
      </w:r>
      <w:r>
        <w:t>A decision tree is an appropriate structure to model the initial set of testing strategies but must be combined with a Markov model to capture long term impacts.</w:t>
      </w:r>
      <w:r>
        <w:fldChar w:fldCharType="begin">
          <w:fldData xml:space="preserve">PEVuZE5vdGU+PENpdGU+PEF1dGhvcj5XZWx0b248L0F1dGhvcj48WWVhcj4yMDE3PC9ZZWFyPjxS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</w:fldData>
        </w:fldChar>
      </w:r>
      <w:r w:rsidR="00735CC0">
        <w:instrText xml:space="preserve"> ADDIN EN.CITE </w:instrText>
      </w:r>
      <w:r w:rsidR="00735CC0">
        <w:fldChar w:fldCharType="begin">
          <w:fldData xml:space="preserve">PEVuZE5vdGU+PENpdGU+PEF1dGhvcj5XZWx0b248L0F1dGhvcj48WWVhcj4yMDE3PC9ZZWFyPjxS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</w:fldData>
        </w:fldChar>
      </w:r>
      <w:r w:rsidR="00735CC0">
        <w:instrText xml:space="preserve"> ADDIN EN.CITE.DATA </w:instrText>
      </w:r>
      <w:r w:rsidR="00735CC0">
        <w:fldChar w:fldCharType="end"/>
      </w:r>
      <w:r>
        <w:fldChar w:fldCharType="separate"/>
      </w:r>
      <w:r w:rsidR="00735CC0" w:rsidRPr="00735CC0">
        <w:rPr>
          <w:noProof/>
          <w:vertAlign w:val="superscript"/>
        </w:rPr>
        <w:t>213, 214</w:t>
      </w:r>
      <w:r>
        <w:fldChar w:fldCharType="end"/>
      </w:r>
      <w:r>
        <w:t xml:space="preserve"> Only three of the previous Markov models considered mass screening, rather than screening focused on patients with fractures, IDA, IBS or </w:t>
      </w:r>
      <w:r w:rsidR="00A65A5D">
        <w:t>Down</w:t>
      </w:r>
      <w:r>
        <w:t xml:space="preserve"> syndrome. Shamir 2006 used states for CD undiagnosed, CD diagnosed on </w:t>
      </w:r>
      <w:r w:rsidR="00693CFF">
        <w:t>gluten-free diet</w:t>
      </w:r>
      <w:r>
        <w:t xml:space="preserve"> and CD diagnosed but off </w:t>
      </w:r>
      <w:r w:rsidR="00693CFF">
        <w:t xml:space="preserve">gluten-free diet </w:t>
      </w:r>
      <w:r>
        <w:t xml:space="preserve">while Herschcovici 2010 considered states related to whether patients were diagnosed, undiagnosed, adhered to </w:t>
      </w:r>
      <w:r w:rsidR="00693CFF">
        <w:t>gluten-free diet</w:t>
      </w:r>
      <w:r>
        <w:t>, had IDA, or had IBS.</w:t>
      </w:r>
      <w:r w:rsidRPr="00EF2903">
        <w:rPr>
          <w:rFonts w:eastAsia="Times New Roman" w:cstheme="minorHAnsi"/>
          <w:color w:val="000000"/>
          <w:lang w:eastAsia="en-GB"/>
        </w:rPr>
        <w:t xml:space="preserve"> </w:t>
      </w:r>
      <w:r w:rsidRPr="00C3631C">
        <w:rPr>
          <w:rFonts w:eastAsia="Times New Roman" w:cstheme="minorHAnsi"/>
          <w:color w:val="000000"/>
          <w:lang w:eastAsia="en-GB"/>
        </w:rPr>
        <w:fldChar w:fldCharType="begin">
          <w:fldData xml:space="preserve">PEVuZE5vdGU+PENpdGU+PEF1dGhvcj5TaGFtaXI8L0F1dGhvcj48WWVhcj4yMDA2PC9ZZWFyPjxS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==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PEVuZE5vdGU+PENpdGU+PEF1dGhvcj5TaGFtaXI8L0F1dGhvcj48WWVhcj4yMDA2PC9ZZWFyPjxS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==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C3631C">
        <w:rPr>
          <w:rFonts w:eastAsia="Times New Roman" w:cstheme="minorHAnsi"/>
          <w:color w:val="000000"/>
          <w:lang w:eastAsia="en-GB"/>
        </w:rPr>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202, 206</w:t>
      </w:r>
      <w:r w:rsidRPr="00C3631C">
        <w:rPr>
          <w:rFonts w:eastAsia="Times New Roman" w:cstheme="minorHAnsi"/>
          <w:color w:val="000000"/>
          <w:lang w:eastAsia="en-GB"/>
        </w:rPr>
        <w:fldChar w:fldCharType="end"/>
      </w:r>
      <w:r>
        <w:t xml:space="preserve"> The NICE 2015 Markov model was the only model in the UK setting and its Markov model included states only for health conditions with strong impact on costs and effects.</w:t>
      </w:r>
      <w:r w:rsidRPr="00C3631C">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&lt;EndNote&gt;&lt;Cite&gt;&lt;Author&gt;NICE&lt;/Author&gt;&lt;Year&gt;2015&lt;/Year&gt;&lt;RecNum&gt;2703&lt;/RecNum&gt;&lt;DisplayText&gt;&lt;style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C3631C">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C3631C">
        <w:rPr>
          <w:rFonts w:eastAsia="Times New Roman" w:cstheme="minorHAnsi"/>
          <w:color w:val="000000"/>
          <w:lang w:eastAsia="en-GB"/>
        </w:rPr>
        <w:fldChar w:fldCharType="end"/>
      </w:r>
      <w:r>
        <w:t xml:space="preserve"> They used CD on </w:t>
      </w:r>
      <w:r w:rsidR="00693CFF">
        <w:t xml:space="preserve">gluten-free diet </w:t>
      </w:r>
      <w:r>
        <w:t xml:space="preserve">and CD not on </w:t>
      </w:r>
      <w:r w:rsidR="00693CFF">
        <w:t xml:space="preserve">gluten-free diet </w:t>
      </w:r>
      <w:r>
        <w:t>as primary states, with different levels of IDA, IBS and other symptoms in these states. They additionally include subfertility, osteoporosis, non-Hodgkin lymphoma and other cancers as health states. As the NICE model considered more events and had a richer evidence based than Shamir 2006 or Herchovici 2010, it was taken as the starting point for our model.</w:t>
      </w:r>
    </w:p>
    <w:p w14:paraId="49FBF998" w14:textId="77777777" w:rsidR="00BF5EA3" w:rsidRDefault="00BF5EA3" w:rsidP="00C36084">
      <w:pPr>
        <w:pStyle w:val="Heading3"/>
      </w:pPr>
      <w:bookmarkStart w:id="244" w:name="_Toc87507180"/>
      <w:bookmarkStart w:id="245" w:name="_Toc99539899"/>
      <w:r w:rsidRPr="00305D05">
        <w:t>Model structure</w:t>
      </w:r>
      <w:bookmarkEnd w:id="244"/>
      <w:bookmarkEnd w:id="245"/>
    </w:p>
    <w:p w14:paraId="62A30AD1" w14:textId="702F42BC" w:rsidR="00BF5EA3" w:rsidRDefault="00BF5EA3" w:rsidP="00BF5EA3">
      <w:r>
        <w:rPr>
          <w:rFonts w:cstheme="minorHAnsi"/>
        </w:rPr>
        <w:t>As explained above, we adopt a decision tree followed by a Markov model as this can fully describe testing strategies and model long term consequences of CD, and we largely follow the evidence-based model of NICE 2015.</w:t>
      </w:r>
      <w:r>
        <w:rPr>
          <w:rFonts w:cstheme="minorHAnsi"/>
        </w:rPr>
        <w:fldChar w:fldCharType="begin">
          <w:fldData xml:space="preserve">PEVuZE5vdGU+PENpdGU+PEF1dGhvcj5JcmFnb3JyaTwvQXV0aG9yPjxZZWFyPjIwMTg8L1llYXI+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</w:fldData>
        </w:fldChar>
      </w:r>
      <w:r w:rsidR="00735CC0">
        <w:rPr>
          <w:rFonts w:cstheme="minorHAnsi"/>
        </w:rPr>
        <w:instrText xml:space="preserve"> ADDIN EN.CITE </w:instrText>
      </w:r>
      <w:r w:rsidR="00735CC0">
        <w:rPr>
          <w:rFonts w:cstheme="minorHAnsi"/>
        </w:rPr>
        <w:fldChar w:fldCharType="begin">
          <w:fldData xml:space="preserve">PEVuZE5vdGU+PENpdGU+PEF1dGhvcj5JcmFnb3JyaTwvQXV0aG9yPjxZZWFyPjIwMTg8L1llYXI+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Pr>
          <w:rFonts w:cstheme="minorHAnsi"/>
        </w:rPr>
      </w:r>
      <w:r>
        <w:rPr>
          <w:rFonts w:cstheme="minorHAnsi"/>
        </w:rPr>
        <w:fldChar w:fldCharType="separate"/>
      </w:r>
      <w:r w:rsidR="00735CC0" w:rsidRPr="00735CC0">
        <w:rPr>
          <w:rFonts w:cstheme="minorHAnsi"/>
          <w:noProof/>
          <w:vertAlign w:val="superscript"/>
        </w:rPr>
        <w:t>198, 214</w:t>
      </w:r>
      <w:r>
        <w:rPr>
          <w:rFonts w:cstheme="minorHAnsi"/>
        </w:rPr>
        <w:fldChar w:fldCharType="end"/>
      </w:r>
      <w:r>
        <w:rPr>
          <w:rFonts w:cstheme="minorHAnsi"/>
        </w:rPr>
        <w:t xml:space="preserve"> Initial prevalence of CD is determined by </w:t>
      </w:r>
      <w:r w:rsidR="0053465E">
        <w:rPr>
          <w:rFonts w:cstheme="minorHAnsi"/>
        </w:rPr>
        <w:t xml:space="preserve">a selected </w:t>
      </w:r>
      <w:r>
        <w:rPr>
          <w:rFonts w:cstheme="minorHAnsi"/>
        </w:rPr>
        <w:t>pre-test probability of CD</w:t>
      </w:r>
      <w:r w:rsidR="00615EFE">
        <w:rPr>
          <w:rFonts w:cstheme="minorHAnsi"/>
        </w:rPr>
        <w:t>, representing the target population for screening</w:t>
      </w:r>
      <w:r>
        <w:t>, and this drives the maximum number of true positives (i.e. diagnosed CD) that our testing strategy can identify</w:t>
      </w:r>
      <w:r>
        <w:rPr>
          <w:rFonts w:cstheme="minorHAnsi"/>
        </w:rPr>
        <w:t>. The decision tree captures the sensitivity and specificity of serological and genetic tests from Chapter 5 and Chapter 6, respectively, along with costs and impacts on health of these tests and the confirmatory biopsy. The Markov model captures costs and health impacts of having diagnosed or undiagnosed CD, and thus measures the benefit of initially detecting CD with the decision tree. Modifications were made to the Markov model used by NICE following discussion with our clinical and patient advisers, and the results of our C</w:t>
      </w:r>
      <w:r>
        <w:t>PRD analysis of risk factors for CD (Chapter 4), and these are described in more detail below.</w:t>
      </w:r>
    </w:p>
    <w:p w14:paraId="23E2E286" w14:textId="77777777" w:rsidR="00BF5EA3" w:rsidRDefault="00BF5EA3" w:rsidP="00C36084">
      <w:pPr>
        <w:pStyle w:val="Heading4"/>
      </w:pPr>
      <w:bookmarkStart w:id="246" w:name="_Toc87507181"/>
      <w:r>
        <w:t>Structure of decision tree</w:t>
      </w:r>
      <w:bookmarkEnd w:id="246"/>
    </w:p>
    <w:p w14:paraId="203E637B" w14:textId="4F16CD3E" w:rsidR="00BF5EA3" w:rsidRPr="00C3631C" w:rsidRDefault="00BF5EA3" w:rsidP="00BF5EA3">
      <w:pPr>
        <w:rPr>
          <w:rFonts w:cstheme="minorHAnsi"/>
        </w:rPr>
      </w:pPr>
      <w:r>
        <w:rPr>
          <w:rFonts w:cstheme="minorHAnsi"/>
        </w:rPr>
        <w:t xml:space="preserve">The </w:t>
      </w:r>
      <w:r w:rsidRPr="00C3631C">
        <w:rPr>
          <w:rFonts w:cstheme="minorHAnsi"/>
        </w:rPr>
        <w:t xml:space="preserve">decision tree where various </w:t>
      </w:r>
      <w:r>
        <w:rPr>
          <w:rFonts w:cstheme="minorHAnsi"/>
        </w:rPr>
        <w:t>serological and genetic test</w:t>
      </w:r>
      <w:r w:rsidRPr="00C3631C">
        <w:rPr>
          <w:rFonts w:cstheme="minorHAnsi"/>
        </w:rPr>
        <w:t xml:space="preserve"> combinations </w:t>
      </w:r>
      <w:r>
        <w:rPr>
          <w:rFonts w:cstheme="minorHAnsi"/>
        </w:rPr>
        <w:t xml:space="preserve">are </w:t>
      </w:r>
      <w:r w:rsidRPr="00C3631C">
        <w:rPr>
          <w:rFonts w:cstheme="minorHAnsi"/>
        </w:rPr>
        <w:t>included</w:t>
      </w:r>
      <w:r>
        <w:rPr>
          <w:rFonts w:cstheme="minorHAnsi"/>
        </w:rPr>
        <w:t xml:space="preserve"> is</w:t>
      </w:r>
      <w:r w:rsidRPr="00C3631C">
        <w:rPr>
          <w:rFonts w:cstheme="minorHAnsi"/>
        </w:rPr>
        <w:t xml:space="preserve"> illustrated in</w:t>
      </w:r>
      <w:r w:rsidR="00B14217">
        <w:rPr>
          <w:rFonts w:cstheme="minorHAnsi"/>
        </w:rPr>
        <w:t xml:space="preserve"> (</w:t>
      </w:r>
      <w:r w:rsidR="00B14217">
        <w:rPr>
          <w:rFonts w:cstheme="minorHAnsi"/>
        </w:rPr>
        <w:fldChar w:fldCharType="begin"/>
      </w:r>
      <w:r w:rsidR="00B14217">
        <w:rPr>
          <w:rFonts w:cstheme="minorHAnsi"/>
        </w:rPr>
        <w:instrText xml:space="preserve"> REF _Ref87513629 \h </w:instrText>
      </w:r>
      <w:r w:rsidR="00B14217">
        <w:rPr>
          <w:rFonts w:cstheme="minorHAnsi"/>
        </w:rPr>
      </w:r>
      <w:r w:rsidR="00B14217">
        <w:rPr>
          <w:rFonts w:cstheme="minorHAnsi"/>
        </w:rPr>
        <w:fldChar w:fldCharType="separate"/>
      </w:r>
      <w:r w:rsidR="008B5583">
        <w:t xml:space="preserve">Figure </w:t>
      </w:r>
      <w:r w:rsidR="008B5583">
        <w:rPr>
          <w:noProof/>
        </w:rPr>
        <w:t>12</w:t>
      </w:r>
      <w:r w:rsidR="00B14217">
        <w:rPr>
          <w:rFonts w:cstheme="minorHAnsi"/>
        </w:rPr>
        <w:fldChar w:fldCharType="end"/>
      </w:r>
      <w:r w:rsidR="00B14217">
        <w:rPr>
          <w:rFonts w:cstheme="minorHAnsi"/>
        </w:rPr>
        <w:t xml:space="preserve">). </w:t>
      </w:r>
      <w:r w:rsidRPr="00C3631C">
        <w:rPr>
          <w:rFonts w:cstheme="minorHAnsi"/>
        </w:rPr>
        <w:t>Patients enter the tree with either CD (CD+) or without CD (CD-) and then follow one of three branches representing the three strategies: screening by serological testing, screening by serological and genetic testing, or no screening (representing standard of care).</w:t>
      </w:r>
      <w:r>
        <w:rPr>
          <w:rFonts w:cstheme="minorHAnsi"/>
        </w:rPr>
        <w:t xml:space="preserve"> If a strategy combines serological and genetic testing, the second test is only used if post-test probability following the first was less than 90% (Chapter 7).</w:t>
      </w:r>
      <w:r w:rsidRPr="00C3631C">
        <w:rPr>
          <w:rFonts w:cstheme="minorHAnsi"/>
        </w:rPr>
        <w:t xml:space="preserve"> In each case where a person is tested, a confirmatory biopsy is </w:t>
      </w:r>
      <w:r>
        <w:rPr>
          <w:rFonts w:cstheme="minorHAnsi"/>
        </w:rPr>
        <w:t>used</w:t>
      </w:r>
      <w:r w:rsidRPr="00C3631C">
        <w:rPr>
          <w:rFonts w:cstheme="minorHAnsi"/>
        </w:rPr>
        <w:t xml:space="preserve"> only if the post-test probability is lower than 90%. </w:t>
      </w:r>
      <w:r w:rsidR="004A3F78">
        <w:rPr>
          <w:rFonts w:cstheme="minorHAnsi"/>
        </w:rPr>
        <w:t xml:space="preserve">This does not apply to the combination of </w:t>
      </w:r>
      <w:r w:rsidR="00FC492D">
        <w:rPr>
          <w:rFonts w:cstheme="minorHAnsi"/>
        </w:rPr>
        <w:t>IgA tTG and IgA EMA which were based on the results of joint testing reported in Chapter 5.</w:t>
      </w:r>
      <w:r w:rsidR="004A3F78">
        <w:rPr>
          <w:rFonts w:cstheme="minorHAnsi"/>
        </w:rPr>
        <w:t xml:space="preserve"> </w:t>
      </w:r>
      <w:r w:rsidRPr="00C3631C">
        <w:rPr>
          <w:rFonts w:cstheme="minorHAnsi"/>
        </w:rPr>
        <w:t>The model assumes that biopsy is perfectly accurate.</w:t>
      </w:r>
    </w:p>
    <w:p w14:paraId="147B2899" w14:textId="523FAE86" w:rsidR="00BF5EA3" w:rsidRPr="00305D05" w:rsidRDefault="00BF5EA3" w:rsidP="00BF5EA3">
      <w:pPr>
        <w:rPr>
          <w:rFonts w:cstheme="minorHAnsi"/>
          <w:sz w:val="24"/>
          <w:szCs w:val="24"/>
        </w:rPr>
      </w:pPr>
      <w:r w:rsidRPr="00C3631C">
        <w:rPr>
          <w:rFonts w:cstheme="minorHAnsi"/>
        </w:rPr>
        <w:t xml:space="preserve">At the end of the decision tree, patients either have a positive or negative result for CD or remain undiagnosed if they followed the no screening strategy or had a false negative test. If they have CD which is diagnosed through the testing process, they would be advised to follow a </w:t>
      </w:r>
      <w:r w:rsidR="00693CFF">
        <w:t>gluten-free diet</w:t>
      </w:r>
      <w:r w:rsidRPr="00C3631C">
        <w:rPr>
          <w:rFonts w:cstheme="minorHAnsi"/>
        </w:rPr>
        <w:t xml:space="preserve">. </w:t>
      </w:r>
      <w:r>
        <w:rPr>
          <w:rFonts w:cstheme="minorHAnsi"/>
        </w:rPr>
        <w:t>It is assumed that beyond the initial costs and disutility associated with testing, patients</w:t>
      </w:r>
      <w:r w:rsidRPr="00C3631C">
        <w:rPr>
          <w:rFonts w:cstheme="minorHAnsi"/>
        </w:rPr>
        <w:t xml:space="preserve"> without CD who are </w:t>
      </w:r>
      <w:r>
        <w:rPr>
          <w:rFonts w:cstheme="minorHAnsi"/>
        </w:rPr>
        <w:t xml:space="preserve">tested will not have </w:t>
      </w:r>
      <w:r w:rsidRPr="00C3631C">
        <w:rPr>
          <w:rFonts w:cstheme="minorHAnsi"/>
        </w:rPr>
        <w:t xml:space="preserve">different costs or health outcomes to non-CD patients who were not screened. As such, we only model long-term consequences of patients who have </w:t>
      </w:r>
      <w:r>
        <w:rPr>
          <w:rFonts w:cstheme="minorHAnsi"/>
        </w:rPr>
        <w:t xml:space="preserve">diagnosed or undiagnosed </w:t>
      </w:r>
      <w:r w:rsidRPr="00C3631C">
        <w:rPr>
          <w:rFonts w:cstheme="minorHAnsi"/>
        </w:rPr>
        <w:t>CD</w:t>
      </w:r>
      <w:r>
        <w:rPr>
          <w:rFonts w:cstheme="minorHAnsi"/>
        </w:rPr>
        <w:t xml:space="preserve">. Costs and effects associated with false positive CD patients are scaled by the ratio </w:t>
      </w:r>
      <w:r>
        <w:rPr>
          <w:rFonts w:cstheme="minorHAnsi"/>
        </w:rPr>
        <w:lastRenderedPageBreak/>
        <w:t>of false positives to true positives and false negatives (i.e. the number of CD patients who enter the cohort Markov model) so they are on the same scale as the diagnosed/undiagnosed CD cohort.</w:t>
      </w:r>
    </w:p>
    <w:p w14:paraId="7EF432AF" w14:textId="77BC2A97" w:rsidR="00BF5EA3" w:rsidRDefault="00BF5EA3" w:rsidP="00BF5EA3">
      <w:pPr>
        <w:rPr>
          <w:rFonts w:cstheme="minorHAnsi"/>
          <w:i/>
          <w:iCs/>
          <w:color w:val="44546A" w:themeColor="text2"/>
          <w:sz w:val="24"/>
          <w:szCs w:val="24"/>
        </w:rPr>
      </w:pPr>
      <w:bookmarkStart w:id="247" w:name="_Ref61356189"/>
    </w:p>
    <w:p w14:paraId="5453D487" w14:textId="77777777" w:rsidR="000D1F43" w:rsidRDefault="00BF5EA3" w:rsidP="000D1F43">
      <w:pPr>
        <w:keepNext/>
      </w:pPr>
      <w:r w:rsidRPr="00305D05">
        <w:rPr>
          <w:rFonts w:cstheme="minorHAnsi"/>
          <w:noProof/>
        </w:rPr>
        <w:drawing>
          <wp:inline distT="0" distB="0" distL="0" distR="0" wp14:anchorId="172B914F" wp14:editId="7D72499B">
            <wp:extent cx="5731510" cy="4594224"/>
            <wp:effectExtent l="0" t="0" r="254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5731510" cy="4594224"/>
                    </a:xfrm>
                    <a:prstGeom prst="rect">
                      <a:avLst/>
                    </a:prstGeom>
                  </pic:spPr>
                </pic:pic>
              </a:graphicData>
            </a:graphic>
          </wp:inline>
        </w:drawing>
      </w:r>
    </w:p>
    <w:p w14:paraId="10EA0B02" w14:textId="2E79CE3B" w:rsidR="00BF5EA3" w:rsidRDefault="000D1F43" w:rsidP="000D1F43">
      <w:pPr>
        <w:pStyle w:val="Caption"/>
        <w:rPr>
          <w:rFonts w:cstheme="minorHAnsi"/>
        </w:rPr>
      </w:pPr>
      <w:bookmarkStart w:id="248" w:name="_Ref87513629"/>
      <w:bookmarkStart w:id="249" w:name="_Toc99720793"/>
      <w:r>
        <w:t xml:space="preserve">Figure </w:t>
      </w:r>
      <w:r>
        <w:fldChar w:fldCharType="begin"/>
      </w:r>
      <w:r>
        <w:instrText>SEQ Figure \* ARABIC</w:instrText>
      </w:r>
      <w:r>
        <w:fldChar w:fldCharType="separate"/>
      </w:r>
      <w:r w:rsidR="008B5583">
        <w:rPr>
          <w:noProof/>
        </w:rPr>
        <w:t>12</w:t>
      </w:r>
      <w:r>
        <w:fldChar w:fldCharType="end"/>
      </w:r>
      <w:bookmarkEnd w:id="248"/>
      <w:r>
        <w:t xml:space="preserve"> </w:t>
      </w:r>
      <w:r w:rsidRPr="001A3F67">
        <w:t>Decision Tree representing serological and genetic testing in patients with suspected CD.*</w:t>
      </w:r>
      <w:bookmarkEnd w:id="249"/>
    </w:p>
    <w:p w14:paraId="7DB4F981" w14:textId="77777777" w:rsidR="00BF5EA3" w:rsidRPr="00C36084" w:rsidRDefault="00BF5EA3" w:rsidP="00BF5EA3">
      <w:pPr>
        <w:rPr>
          <w:rFonts w:cstheme="minorHAnsi"/>
          <w:sz w:val="18"/>
          <w:szCs w:val="18"/>
        </w:rPr>
      </w:pPr>
      <w:r w:rsidRPr="00C36084">
        <w:rPr>
          <w:rFonts w:cstheme="minorHAnsi"/>
          <w:sz w:val="20"/>
          <w:szCs w:val="20"/>
        </w:rPr>
        <w:t>*</w:t>
      </w:r>
      <w:r w:rsidRPr="00C36084">
        <w:rPr>
          <w:sz w:val="20"/>
          <w:szCs w:val="20"/>
        </w:rPr>
        <w:t xml:space="preserve"> </w:t>
      </w:r>
      <w:r w:rsidRPr="00C36084">
        <w:rPr>
          <w:rFonts w:cstheme="minorHAnsi"/>
          <w:sz w:val="20"/>
          <w:szCs w:val="20"/>
        </w:rPr>
        <w:t>A test is judged positive if the patients’ post-test probability is above 90%; confirmatory biopsy is applied to all strategies if the post-test probability is below this threshold.</w:t>
      </w:r>
    </w:p>
    <w:p w14:paraId="22D4C965" w14:textId="77777777" w:rsidR="00BF5EA3" w:rsidRPr="00305D05" w:rsidRDefault="00BF5EA3" w:rsidP="005B7ADE">
      <w:pPr>
        <w:pStyle w:val="Heading4"/>
      </w:pPr>
      <w:bookmarkStart w:id="250" w:name="_Toc87507182"/>
      <w:r>
        <w:t>Structure of Markov model</w:t>
      </w:r>
      <w:bookmarkEnd w:id="250"/>
    </w:p>
    <w:p w14:paraId="583EE129" w14:textId="0F739BCA" w:rsidR="00BF5EA3" w:rsidRDefault="00BF5EA3" w:rsidP="00BF5EA3">
      <w:pPr>
        <w:rPr>
          <w:rFonts w:cstheme="minorHAnsi"/>
        </w:rPr>
      </w:pPr>
      <w:r w:rsidRPr="00C3631C">
        <w:rPr>
          <w:rFonts w:cstheme="minorHAnsi"/>
        </w:rPr>
        <w:t>The decision tree is followed by a lifetime time-inhomogeneous discrete-time Markov model.</w:t>
      </w:r>
      <w:r>
        <w:rPr>
          <w:rFonts w:cstheme="minorHAnsi"/>
        </w:rPr>
        <w:fldChar w:fldCharType="begin"/>
      </w:r>
      <w:r w:rsidR="00735CC0">
        <w:rPr>
          <w:rFonts w:cstheme="minorHAnsi"/>
        </w:rPr>
        <w:instrText xml:space="preserve"> ADDIN EN.CITE &lt;EndNote&gt;&lt;Cite&gt;&lt;Author&gt;Siebert&lt;/Author&gt;&lt;Year&gt;2012&lt;/Year&gt;&lt;RecNum&gt;563&lt;/RecNum&gt;&lt;DisplayText&gt;&lt;style face="superscript"&gt;211, 215&lt;/style&gt;&lt;/DisplayText&gt;&lt;record&gt;&lt;rec-number&gt;563&lt;/rec-number&gt;&lt;foreign-keys&gt;&lt;key app="EN" db-id="tdwrx9xd1z9eepeevr355w2k959rv0f5zaax" timestamp="1636620393"&gt;563&lt;/key&gt;&lt;/foreign-keys&gt;&lt;ref-type name="Journal Article"&gt;17&lt;/ref-type&gt;&lt;contributors&gt;&lt;authors&gt;&lt;author&gt;Siebert, U.&lt;/author&gt;&lt;author&gt;Alagoz, O.&lt;/author&gt;&lt;author&gt;Bayoumi, A.M.&lt;/author&gt;&lt;author&gt;Jahn, B.&lt;/author&gt;&lt;author&gt;Owens, D.K.&lt;/author&gt;&lt;author&gt;Cohen, D.J.&lt;/author&gt;&lt;author&gt;Kuntz, K.M.&lt;/author&gt;&lt;/authors&gt;&lt;/contributors&gt;&lt;titles&gt;&lt;title&gt;State-Transition Modelling: A report of the ISPOR-SMDM Modelling Good Research Practices Task Force-3&lt;/title&gt;&lt;secondary-title&gt;Value in Health&lt;/secondary-title&gt;&lt;/titles&gt;&lt;periodical&gt;&lt;full-title&gt;Value in Health&lt;/full-title&gt;&lt;/periodical&gt;&lt;pages&gt;812-820&lt;/pages&gt;&lt;volume&gt;15&lt;/volume&gt;&lt;dates&gt;&lt;year&gt;2012&lt;/year&gt;&lt;/dates&gt;&lt;urls&gt;&lt;/urls&gt;&lt;/record&gt;&lt;/Cite&gt;&lt;Cite&gt;&lt;Author&gt;Briggs&lt;/Author&gt;&lt;Year&gt;2006&lt;/Year&gt;&lt;RecNum&gt;513&lt;/RecNum&gt;&lt;record&gt;&lt;rec-number&gt;513&lt;/rec-number&gt;&lt;foreign-keys&gt;&lt;key app="EN" db-id="tdwrx9xd1z9eepeevr355w2k959rv0f5zaax" timestamp="1636620393"&gt;513&lt;/key&gt;&lt;/foreign-keys&gt;&lt;ref-type name="Book"&gt;6&lt;/ref-type&gt;&lt;contributors&gt;&lt;authors&gt;&lt;author&gt;Briggs, Andrew H.&lt;/author&gt;&lt;author&gt;Claxton, Karl&lt;/author&gt;&lt;author&gt;Sculpher, Mark J.&lt;/author&gt;&lt;/authors&gt;&lt;/contributors&gt;&lt;titles&gt;&lt;title&gt;Decision modelling for health economic evaluation&lt;/title&gt;&lt;secondary-title&gt;Oxford handbooks in health economic evaluation&lt;/secondary-title&gt;&lt;/titles&gt;&lt;pages&gt;x, 237 p.&lt;/pages&gt;&lt;keywords&gt;&lt;keyword&gt;Health services administration Decision making Econometric models.&lt;/keyword&gt;&lt;keyword&gt;Medical economics Econometric models.&lt;/keyword&gt;&lt;/keywords&gt;&lt;dates&gt;&lt;year&gt;2006&lt;/year&gt;&lt;/dates&gt;&lt;pub-location&gt;Oxford&lt;/pub-location&gt;&lt;publisher&gt;Oxford University Press&lt;/publisher&gt;&lt;isbn&gt;9780198526629&amp;#xD;0198526628&lt;/isbn&gt;&lt;accession-num&gt;4318271&lt;/accession-num&gt;&lt;call-num&gt;UL: Order in Reading Room C202.c.397&amp;#xD;Medical Library W 84.281&lt;/call-num&gt;&lt;urls&gt;&lt;/urls&gt;&lt;/record&gt;&lt;/Cite&gt;&lt;/EndNote&gt;</w:instrText>
      </w:r>
      <w:r>
        <w:rPr>
          <w:rFonts w:cstheme="minorHAnsi"/>
        </w:rPr>
        <w:fldChar w:fldCharType="separate"/>
      </w:r>
      <w:r w:rsidR="00735CC0" w:rsidRPr="00735CC0">
        <w:rPr>
          <w:rFonts w:cstheme="minorHAnsi"/>
          <w:noProof/>
          <w:vertAlign w:val="superscript"/>
        </w:rPr>
        <w:t>211, 215</w:t>
      </w:r>
      <w:r>
        <w:rPr>
          <w:rFonts w:cstheme="minorHAnsi"/>
        </w:rPr>
        <w:fldChar w:fldCharType="end"/>
      </w:r>
      <w:r w:rsidRPr="00C3631C">
        <w:rPr>
          <w:rFonts w:cstheme="minorHAnsi"/>
        </w:rPr>
        <w:t xml:space="preserve"> </w:t>
      </w:r>
      <w:r>
        <w:rPr>
          <w:rFonts w:cstheme="minorHAnsi"/>
        </w:rPr>
        <w:t>In this model, health</w:t>
      </w:r>
      <w:r w:rsidRPr="00C3631C">
        <w:rPr>
          <w:rFonts w:cstheme="minorHAnsi"/>
        </w:rPr>
        <w:t xml:space="preserve"> states are assumed to be mutually exclusive</w:t>
      </w:r>
      <w:r w:rsidR="000C48FE">
        <w:rPr>
          <w:rFonts w:cstheme="minorHAnsi"/>
        </w:rPr>
        <w:t>.</w:t>
      </w:r>
      <w:r w:rsidRPr="00C3631C">
        <w:rPr>
          <w:rFonts w:cstheme="minorHAnsi"/>
        </w:rPr>
        <w:t xml:space="preserve"> </w:t>
      </w:r>
      <w:r w:rsidR="000C48FE">
        <w:rPr>
          <w:rFonts w:cstheme="minorHAnsi"/>
        </w:rPr>
        <w:t>I</w:t>
      </w:r>
      <w:r w:rsidRPr="00C3631C">
        <w:rPr>
          <w:rFonts w:cstheme="minorHAnsi"/>
        </w:rPr>
        <w:t>n other words</w:t>
      </w:r>
      <w:r w:rsidR="000C48FE">
        <w:rPr>
          <w:rFonts w:cstheme="minorHAnsi"/>
        </w:rPr>
        <w:t>,</w:t>
      </w:r>
      <w:r w:rsidRPr="00C3631C">
        <w:rPr>
          <w:rFonts w:cstheme="minorHAnsi"/>
        </w:rPr>
        <w:t xml:space="preserve"> a patient can only be in one health state at a time.</w:t>
      </w:r>
      <w:r>
        <w:rPr>
          <w:rFonts w:cstheme="minorHAnsi"/>
        </w:rPr>
        <w:t xml:space="preserve"> </w:t>
      </w:r>
      <w:r w:rsidRPr="00C3631C">
        <w:rPr>
          <w:rFonts w:cstheme="minorHAnsi"/>
        </w:rPr>
        <w:t>Costs and utilities are assigned to each health state, which are accrued for each year spent in that state.</w:t>
      </w:r>
      <w:r>
        <w:rPr>
          <w:rFonts w:cstheme="minorHAnsi"/>
        </w:rPr>
        <w:t xml:space="preserve"> As in </w:t>
      </w:r>
      <w:r w:rsidRPr="00C3631C">
        <w:rPr>
          <w:rFonts w:cstheme="minorHAnsi"/>
        </w:rPr>
        <w:t>NICE 2015, our model has annual cycles and a lifetime horizon.</w:t>
      </w:r>
      <w:r>
        <w:rPr>
          <w:rFonts w:cstheme="minorHAnsi"/>
        </w:rPr>
        <w:t xml:space="preserve"> </w:t>
      </w:r>
    </w:p>
    <w:p w14:paraId="7F50C7F1" w14:textId="7D265990" w:rsidR="00BF5EA3" w:rsidRPr="009F5B69" w:rsidRDefault="00BF5EA3" w:rsidP="00BF5EA3">
      <w:pPr>
        <w:pStyle w:val="CommentText"/>
        <w:spacing w:line="276" w:lineRule="auto"/>
        <w:rPr>
          <w:rFonts w:cstheme="minorHAnsi"/>
        </w:rPr>
      </w:pPr>
      <w:r w:rsidRPr="00C3631C">
        <w:rPr>
          <w:rFonts w:cstheme="minorHAnsi"/>
          <w:sz w:val="22"/>
          <w:szCs w:val="22"/>
        </w:rPr>
        <w:t>Following the NICE model, complications from biopsy are not modelled, thus implicitly assuming there is no elevated risk of major complications or death from biopsy</w:t>
      </w:r>
      <w:r w:rsidR="00FC492D">
        <w:rPr>
          <w:rFonts w:cstheme="minorHAnsi"/>
          <w:sz w:val="22"/>
          <w:szCs w:val="22"/>
        </w:rPr>
        <w:t xml:space="preserve">, although a small disutility is included to represent the procedure and waiting time for diagnosis during which an undiagnosed CD patient is less likely to be on </w:t>
      </w:r>
      <w:r w:rsidR="00693CFF" w:rsidRPr="00693CFF">
        <w:rPr>
          <w:rFonts w:cstheme="minorHAnsi"/>
          <w:sz w:val="22"/>
          <w:szCs w:val="22"/>
        </w:rPr>
        <w:t>gluten-free diet</w:t>
      </w:r>
      <w:r w:rsidRPr="00C3631C">
        <w:rPr>
          <w:rFonts w:cstheme="minorHAnsi"/>
          <w:sz w:val="22"/>
          <w:szCs w:val="22"/>
        </w:rPr>
        <w:t>. This assumption is supported by a recent study looked at 13,233 patients undergoing outpatient EGD with biopsy over 5 years in the US. They concluded that no patient was admitted because of complications that could be ascribed to conscious sedation, upper GI endoscopic access, or mucosal biopsy and that these data confirm that EGD biopsy is safe.</w:t>
      </w:r>
      <w:r w:rsidRPr="00C3631C">
        <w:rPr>
          <w:rFonts w:cstheme="minorHAnsi"/>
          <w:sz w:val="22"/>
          <w:szCs w:val="22"/>
        </w:rPr>
        <w:fldChar w:fldCharType="begin"/>
      </w:r>
      <w:r w:rsidR="00735CC0">
        <w:rPr>
          <w:rFonts w:cstheme="minorHAnsi"/>
          <w:sz w:val="22"/>
          <w:szCs w:val="22"/>
        </w:rPr>
        <w:instrText xml:space="preserve"> ADDIN EN.CITE &lt;EndNote&gt;&lt;Cite&gt;&lt;Author&gt;Johnson&lt;/Author&gt;&lt;Year&gt;2018&lt;/Year&gt;&lt;RecNum&gt;2712&lt;/RecNum&gt;&lt;DisplayText&gt;&lt;style face="superscript"&gt;216&lt;/style&gt;&lt;/DisplayText&gt;&lt;record&gt;&lt;rec-number&gt;19&lt;/rec-number&gt;&lt;foreign-keys&gt;&lt;key app="EN" db-id="w9pwfv0xxa5v9vedxzkp20wvv52efwv0xppv" timestamp="1636614827"&gt;19&lt;/key&gt;&lt;/foreign-keys&gt;&lt;ref-type name="Journal Article"&gt;17&lt;/ref-type&gt;&lt;contributors&gt;&lt;authors&gt;&lt;author&gt;Johnson, B.&lt;/author&gt;&lt;author&gt;Basson, M. D.&lt;/author&gt;&lt;/authors&gt;&lt;/contributors&gt;&lt;titles&gt;&lt;title&gt;Absence of Complications after Endoscopic Mucosal Biopsy&lt;/title&gt;&lt;secondary-title&gt;Digestive Diseases&lt;/secondary-title&gt;&lt;/titles&gt;&lt;periodical&gt;&lt;full-title&gt;Digestive Diseases&lt;/full-title&gt;&lt;/periodical&gt;&lt;pages&gt;328-332&lt;/pages&gt;&lt;dates&gt;&lt;year&gt;2018&lt;/year&gt;&lt;/dates&gt;&lt;isbn&gt;0257-2753&lt;/isbn&gt;&lt;urls&gt;&lt;related-urls&gt;&lt;url&gt;https://www.karger.com/DOI/10.1159/000489394&lt;/url&gt;&lt;/related-urls&gt;&lt;/urls&gt;&lt;electronic-resource-num&gt;10.1159/000489394&lt;/electronic-resource-num&gt;&lt;/record&gt;&lt;/Cite&gt;&lt;/EndNote&gt;</w:instrText>
      </w:r>
      <w:r w:rsidRPr="00C3631C">
        <w:rPr>
          <w:rFonts w:cstheme="minorHAnsi"/>
          <w:sz w:val="22"/>
          <w:szCs w:val="22"/>
        </w:rPr>
        <w:fldChar w:fldCharType="separate"/>
      </w:r>
      <w:r w:rsidR="00735CC0" w:rsidRPr="00735CC0">
        <w:rPr>
          <w:rFonts w:cstheme="minorHAnsi"/>
          <w:noProof/>
          <w:sz w:val="22"/>
          <w:szCs w:val="22"/>
          <w:vertAlign w:val="superscript"/>
        </w:rPr>
        <w:t>216</w:t>
      </w:r>
      <w:r w:rsidRPr="00C3631C">
        <w:rPr>
          <w:rFonts w:cstheme="minorHAnsi"/>
          <w:sz w:val="22"/>
          <w:szCs w:val="22"/>
        </w:rPr>
        <w:fldChar w:fldCharType="end"/>
      </w:r>
    </w:p>
    <w:p w14:paraId="591377E3" w14:textId="1EAE69D4" w:rsidR="00BF5EA3" w:rsidRDefault="00BF5EA3" w:rsidP="00BF5EA3">
      <w:pPr>
        <w:rPr>
          <w:rFonts w:cstheme="minorHAnsi"/>
        </w:rPr>
      </w:pPr>
      <w:r w:rsidRPr="008760E8">
        <w:rPr>
          <w:rFonts w:cstheme="minorHAnsi"/>
        </w:rPr>
        <w:lastRenderedPageBreak/>
        <w:t xml:space="preserve">Unlike the NICE 2015 model, our model does not distinguish between people with diagnosed CD following a </w:t>
      </w:r>
      <w:r w:rsidR="00261A46">
        <w:rPr>
          <w:rFonts w:cstheme="minorHAnsi"/>
        </w:rPr>
        <w:t>gluten-free diet</w:t>
      </w:r>
      <w:r w:rsidR="00261A46" w:rsidRPr="008760E8">
        <w:rPr>
          <w:rFonts w:cstheme="minorHAnsi"/>
        </w:rPr>
        <w:t xml:space="preserve"> </w:t>
      </w:r>
      <w:r w:rsidRPr="008760E8">
        <w:rPr>
          <w:rFonts w:cstheme="minorHAnsi"/>
        </w:rPr>
        <w:t xml:space="preserve">or not. </w:t>
      </w:r>
      <w:r>
        <w:rPr>
          <w:rFonts w:cstheme="minorHAnsi"/>
        </w:rPr>
        <w:t xml:space="preserve">We instead modelled CD patients as being diagnosed or undiagnosed, with different rates of complications in these states due to different levels of </w:t>
      </w:r>
      <w:r w:rsidR="00261A46">
        <w:rPr>
          <w:rFonts w:cstheme="minorHAnsi"/>
        </w:rPr>
        <w:t>gluten-free diet</w:t>
      </w:r>
      <w:r w:rsidR="00261A46" w:rsidRPr="008760E8">
        <w:rPr>
          <w:rFonts w:cstheme="minorHAnsi"/>
        </w:rPr>
        <w:t xml:space="preserve"> </w:t>
      </w:r>
      <w:r>
        <w:rPr>
          <w:rFonts w:cstheme="minorHAnsi"/>
        </w:rPr>
        <w:t>adherence. This modelling choice</w:t>
      </w:r>
      <w:r w:rsidRPr="008760E8">
        <w:rPr>
          <w:rFonts w:cstheme="minorHAnsi"/>
        </w:rPr>
        <w:t xml:space="preserve"> is due to methodological challenges associated with assessing dietary adherence and a lack of reliable data on the health impacts of following a </w:t>
      </w:r>
      <w:r w:rsidR="009318D1">
        <w:rPr>
          <w:rFonts w:cstheme="minorHAnsi"/>
        </w:rPr>
        <w:t>gluten-free diet</w:t>
      </w:r>
      <w:r w:rsidR="009318D1" w:rsidRPr="008760E8">
        <w:rPr>
          <w:rFonts w:cstheme="minorHAnsi"/>
        </w:rPr>
        <w:t xml:space="preserve"> </w:t>
      </w:r>
      <w:r w:rsidRPr="008760E8">
        <w:rPr>
          <w:rFonts w:cstheme="minorHAnsi"/>
        </w:rPr>
        <w:t xml:space="preserve">or not. Reported </w:t>
      </w:r>
      <w:r w:rsidR="009318D1">
        <w:rPr>
          <w:rFonts w:cstheme="minorHAnsi"/>
        </w:rPr>
        <w:t>gluten-free diet</w:t>
      </w:r>
      <w:r w:rsidRPr="008760E8">
        <w:rPr>
          <w:rFonts w:cstheme="minorHAnsi"/>
        </w:rPr>
        <w:t xml:space="preserve"> adherence rates vary substantially depending on how it is measured and the population studied.</w:t>
      </w:r>
      <w:r w:rsidRPr="008760E8">
        <w:rPr>
          <w:rFonts w:cstheme="minorHAnsi"/>
        </w:rPr>
        <w:fldChar w:fldCharType="begin"/>
      </w:r>
      <w:r w:rsidR="00735CC0">
        <w:rPr>
          <w:rFonts w:cstheme="minorHAnsi"/>
        </w:rPr>
        <w:instrText xml:space="preserve"> ADDIN EN.CITE &lt;EndNote&gt;&lt;Cite&gt;&lt;Author&gt;Hall&lt;/Author&gt;&lt;Year&gt;2009&lt;/Year&gt;&lt;RecNum&gt;2713&lt;/RecNum&gt;&lt;DisplayText&gt;&lt;style face="superscript"&gt;217&lt;/style&gt;&lt;/DisplayText&gt;&lt;record&gt;&lt;rec-number&gt;20&lt;/rec-number&gt;&lt;foreign-keys&gt;&lt;key app="EN" db-id="w9pwfv0xxa5v9vedxzkp20wvv52efwv0xppv" timestamp="1636614827"&gt;20&lt;/key&gt;&lt;/foreign-keys&gt;&lt;ref-type name="Journal Article"&gt;17&lt;/ref-type&gt;&lt;contributors&gt;&lt;authors&gt;&lt;author&gt;Hall, N. J.&lt;/author&gt;&lt;author&gt;Rubin, G.&lt;/author&gt;&lt;author&gt;Charnock, A.&lt;/author&gt;&lt;/authors&gt;&lt;/contributors&gt;&lt;auth-address&gt;School of Applied Sciences, University of Sunderland, Sunderland, UK.&lt;/auth-address&gt;&lt;titles&gt;&lt;title&gt;Systematic review: adherence to a gluten-free diet in adult patients with coeliac disease&lt;/title&gt;&lt;secondary-title&gt;Aliment Pharmacol Ther&lt;/secondary-title&gt;&lt;/titles&gt;&lt;periodical&gt;&lt;full-title&gt;Aliment Pharmacol Ther&lt;/full-title&gt;&lt;/periodical&gt;&lt;pages&gt;315-30&lt;/pages&gt;&lt;volume&gt;30&lt;/volume&gt;&lt;number&gt;4&lt;/number&gt;&lt;edition&gt;2009/06/03&lt;/edition&gt;&lt;keywords&gt;&lt;keyword&gt;Adult&lt;/keyword&gt;&lt;keyword&gt;Celiac Disease/*diet therapy/psychology&lt;/keyword&gt;&lt;keyword&gt;Food Labeling&lt;/keyword&gt;&lt;keyword&gt;Glutens/*administration &amp;amp; dosage&lt;/keyword&gt;&lt;keyword&gt;Humans&lt;/keyword&gt;&lt;keyword&gt;Patient Compliance&lt;/keyword&gt;&lt;keyword&gt;Young Adult&lt;/keyword&gt;&lt;/keywords&gt;&lt;dates&gt;&lt;year&gt;2009&lt;/year&gt;&lt;pub-dates&gt;&lt;date&gt;Aug 15&lt;/date&gt;&lt;/pub-dates&gt;&lt;/dates&gt;&lt;isbn&gt;0269-2813&lt;/isbn&gt;&lt;accession-num&gt;19485977&lt;/accession-num&gt;&lt;urls&gt;&lt;/urls&gt;&lt;electronic-resource-num&gt;10.1111/j.1365-2036.2009.04053.x&lt;/electronic-resource-num&gt;&lt;remote-database-provider&gt;NLM&lt;/remote-database-provider&gt;&lt;language&gt;eng&lt;/language&gt;&lt;/record&gt;&lt;/Cite&gt;&lt;/EndNote&gt;</w:instrText>
      </w:r>
      <w:r w:rsidRPr="008760E8">
        <w:rPr>
          <w:rFonts w:cstheme="minorHAnsi"/>
        </w:rPr>
        <w:fldChar w:fldCharType="separate"/>
      </w:r>
      <w:r w:rsidR="00735CC0" w:rsidRPr="00735CC0">
        <w:rPr>
          <w:rFonts w:cstheme="minorHAnsi"/>
          <w:noProof/>
          <w:vertAlign w:val="superscript"/>
        </w:rPr>
        <w:t>217</w:t>
      </w:r>
      <w:r w:rsidRPr="008760E8">
        <w:rPr>
          <w:rFonts w:cstheme="minorHAnsi"/>
        </w:rPr>
        <w:fldChar w:fldCharType="end"/>
      </w:r>
      <w:r w:rsidRPr="008760E8">
        <w:rPr>
          <w:rFonts w:cstheme="minorHAnsi"/>
        </w:rPr>
        <w:t xml:space="preserve"> Adherence to the </w:t>
      </w:r>
      <w:r w:rsidR="009318D1">
        <w:rPr>
          <w:rFonts w:cstheme="minorHAnsi"/>
        </w:rPr>
        <w:t>gluten-free diet</w:t>
      </w:r>
      <w:r w:rsidR="009318D1" w:rsidRPr="008760E8">
        <w:rPr>
          <w:rFonts w:cstheme="minorHAnsi"/>
        </w:rPr>
        <w:t xml:space="preserve"> </w:t>
      </w:r>
      <w:r w:rsidRPr="008760E8">
        <w:rPr>
          <w:rFonts w:cstheme="minorHAnsi"/>
        </w:rPr>
        <w:t xml:space="preserve">is affected by age at diagnosis, type and severity of symptoms, quality of counselling, mental health, local or societal support levels, and the cost and availability of </w:t>
      </w:r>
      <w:r w:rsidR="009318D1">
        <w:rPr>
          <w:rFonts w:cstheme="minorHAnsi"/>
        </w:rPr>
        <w:t xml:space="preserve">gluten-free </w:t>
      </w:r>
      <w:r w:rsidRPr="008760E8">
        <w:rPr>
          <w:rFonts w:cstheme="minorHAnsi"/>
        </w:rPr>
        <w:t>foods.</w:t>
      </w:r>
      <w:r w:rsidRPr="008760E8">
        <w:rPr>
          <w:rFonts w:cstheme="minorHAnsi"/>
        </w:rPr>
        <w:fldChar w:fldCharType="begin"/>
      </w:r>
      <w:r w:rsidR="00735CC0">
        <w:rPr>
          <w:rFonts w:cstheme="minorHAnsi"/>
        </w:rPr>
        <w:instrText xml:space="preserve"> ADDIN EN.CITE &lt;EndNote&gt;&lt;Cite&gt;&lt;Author&gt;Muhammad&lt;/Author&gt;&lt;Year&gt;2019&lt;/Year&gt;&lt;RecNum&gt;2714&lt;/RecNum&gt;&lt;DisplayText&gt;&lt;style face="superscript"&gt;218&lt;/style&gt;&lt;/DisplayText&gt;&lt;record&gt;&lt;rec-number&gt;21&lt;/rec-number&gt;&lt;foreign-keys&gt;&lt;key app="EN" db-id="w9pwfv0xxa5v9vedxzkp20wvv52efwv0xppv" timestamp="1636614827"&gt;21&lt;/key&gt;&lt;/foreign-keys&gt;&lt;ref-type name="Journal Article"&gt;17&lt;/ref-type&gt;&lt;contributors&gt;&lt;authors&gt;&lt;author&gt;Muhammad, H.&lt;/author&gt;&lt;author&gt;Reeves, S.&lt;/author&gt;&lt;author&gt;Jeanes, Y. M.&lt;/author&gt;&lt;/authors&gt;&lt;/contributors&gt;&lt;auth-address&gt;Department of Life Sciences,University of Roehampton,London SW15 4JD,UK.&lt;/auth-address&gt;&lt;titles&gt;&lt;title&gt;Identifying and improving adherence to the gluten-free diet in people with coeliac disease&lt;/title&gt;&lt;secondary-title&gt;Proc Nutr Soc&lt;/secondary-title&gt;&lt;/titles&gt;&lt;periodical&gt;&lt;full-title&gt;Proc Nutr Soc&lt;/full-title&gt;&lt;/periodical&gt;&lt;pages&gt;418-425&lt;/pages&gt;&lt;volume&gt;78&lt;/volume&gt;&lt;number&gt;3&lt;/number&gt;&lt;edition&gt;2019/01/12&lt;/edition&gt;&lt;keywords&gt;&lt;keyword&gt;Celiac Disease/*diet therapy&lt;/keyword&gt;&lt;keyword&gt;*Diet, Gluten-Free&lt;/keyword&gt;&lt;keyword&gt;Humans&lt;/keyword&gt;&lt;keyword&gt;*Patient Compliance&lt;/keyword&gt;&lt;keyword&gt;* CD coeliac disease&lt;/keyword&gt;&lt;keyword&gt;* GF gluten-free&lt;/keyword&gt;&lt;keyword&gt;* GFD gluten-free diet&lt;/keyword&gt;&lt;keyword&gt;* anti-tTG anti-transglutaminase antibodies&lt;/keyword&gt;&lt;keyword&gt;*Adherence&lt;/keyword&gt;&lt;keyword&gt;*Coeliac disease&lt;/keyword&gt;&lt;keyword&gt;*Gluten-free diet&lt;/keyword&gt;&lt;/keywords&gt;&lt;dates&gt;&lt;year&gt;2019&lt;/year&gt;&lt;pub-dates&gt;&lt;date&gt;Aug&lt;/date&gt;&lt;/pub-dates&gt;&lt;/dates&gt;&lt;isbn&gt;0029-6651&lt;/isbn&gt;&lt;accession-num&gt;30630540&lt;/accession-num&gt;&lt;urls&gt;&lt;/urls&gt;&lt;electronic-resource-num&gt;10.1017/s002966511800277x&lt;/electronic-resource-num&gt;&lt;remote-database-provider&gt;NLM&lt;/remote-database-provider&gt;&lt;language&gt;eng&lt;/language&gt;&lt;/record&gt;&lt;/Cite&gt;&lt;/EndNote&gt;</w:instrText>
      </w:r>
      <w:r w:rsidRPr="008760E8">
        <w:rPr>
          <w:rFonts w:cstheme="minorHAnsi"/>
        </w:rPr>
        <w:fldChar w:fldCharType="separate"/>
      </w:r>
      <w:r w:rsidR="00735CC0" w:rsidRPr="00735CC0">
        <w:rPr>
          <w:rFonts w:cstheme="minorHAnsi"/>
          <w:noProof/>
          <w:vertAlign w:val="superscript"/>
        </w:rPr>
        <w:t>218</w:t>
      </w:r>
      <w:r w:rsidRPr="008760E8">
        <w:rPr>
          <w:rFonts w:cstheme="minorHAnsi"/>
        </w:rPr>
        <w:fldChar w:fldCharType="end"/>
      </w:r>
      <w:r w:rsidRPr="008760E8">
        <w:rPr>
          <w:rFonts w:cstheme="minorHAnsi"/>
        </w:rPr>
        <w:t xml:space="preserve"> Biopsy is the gold standard when assessing adherence but the procedure is invasive and costly. Due to this, various other methods are used including validated and non-validated questionnaires, serology, faecal or urine tests, dietitian's assessment, interviews, and patient reported adherence.</w:t>
      </w:r>
      <w:r w:rsidRPr="008760E8">
        <w:rPr>
          <w:rFonts w:cstheme="minorHAnsi"/>
        </w:rPr>
        <w:fldChar w:fldCharType="begin"/>
      </w:r>
      <w:r w:rsidR="00735CC0">
        <w:rPr>
          <w:rFonts w:cstheme="minorHAnsi"/>
        </w:rPr>
        <w:instrText xml:space="preserve"> ADDIN EN.CITE &lt;EndNote&gt;&lt;Cite&gt;&lt;Author&gt;Muhammad&lt;/Author&gt;&lt;Year&gt;2019&lt;/Year&gt;&lt;RecNum&gt;2714&lt;/RecNum&gt;&lt;DisplayText&gt;&lt;style face="superscript"&gt;218&lt;/style&gt;&lt;/DisplayText&gt;&lt;record&gt;&lt;rec-number&gt;21&lt;/rec-number&gt;&lt;foreign-keys&gt;&lt;key app="EN" db-id="w9pwfv0xxa5v9vedxzkp20wvv52efwv0xppv" timestamp="1636614827"&gt;21&lt;/key&gt;&lt;/foreign-keys&gt;&lt;ref-type name="Journal Article"&gt;17&lt;/ref-type&gt;&lt;contributors&gt;&lt;authors&gt;&lt;author&gt;Muhammad, H.&lt;/author&gt;&lt;author&gt;Reeves, S.&lt;/author&gt;&lt;author&gt;Jeanes, Y. M.&lt;/author&gt;&lt;/authors&gt;&lt;/contributors&gt;&lt;auth-address&gt;Department of Life Sciences,University of Roehampton,London SW15 4JD,UK.&lt;/auth-address&gt;&lt;titles&gt;&lt;title&gt;Identifying and improving adherence to the gluten-free diet in people with coeliac disease&lt;/title&gt;&lt;secondary-title&gt;Proc Nutr Soc&lt;/secondary-title&gt;&lt;/titles&gt;&lt;periodical&gt;&lt;full-title&gt;Proc Nutr Soc&lt;/full-title&gt;&lt;/periodical&gt;&lt;pages&gt;418-425&lt;/pages&gt;&lt;volume&gt;78&lt;/volume&gt;&lt;number&gt;3&lt;/number&gt;&lt;edition&gt;2019/01/12&lt;/edition&gt;&lt;keywords&gt;&lt;keyword&gt;Celiac Disease/*diet therapy&lt;/keyword&gt;&lt;keyword&gt;*Diet, Gluten-Free&lt;/keyword&gt;&lt;keyword&gt;Humans&lt;/keyword&gt;&lt;keyword&gt;*Patient Compliance&lt;/keyword&gt;&lt;keyword&gt;* CD coeliac disease&lt;/keyword&gt;&lt;keyword&gt;* GF gluten-free&lt;/keyword&gt;&lt;keyword&gt;* GFD gluten-free diet&lt;/keyword&gt;&lt;keyword&gt;* anti-tTG anti-transglutaminase antibodies&lt;/keyword&gt;&lt;keyword&gt;*Adherence&lt;/keyword&gt;&lt;keyword&gt;*Coeliac disease&lt;/keyword&gt;&lt;keyword&gt;*Gluten-free diet&lt;/keyword&gt;&lt;/keywords&gt;&lt;dates&gt;&lt;year&gt;2019&lt;/year&gt;&lt;pub-dates&gt;&lt;date&gt;Aug&lt;/date&gt;&lt;/pub-dates&gt;&lt;/dates&gt;&lt;isbn&gt;0029-6651&lt;/isbn&gt;&lt;accession-num&gt;30630540&lt;/accession-num&gt;&lt;urls&gt;&lt;/urls&gt;&lt;electronic-resource-num&gt;10.1017/s002966511800277x&lt;/electronic-resource-num&gt;&lt;remote-database-provider&gt;NLM&lt;/remote-database-provider&gt;&lt;language&gt;eng&lt;/language&gt;&lt;/record&gt;&lt;/Cite&gt;&lt;/EndNote&gt;</w:instrText>
      </w:r>
      <w:r w:rsidRPr="008760E8">
        <w:rPr>
          <w:rFonts w:cstheme="minorHAnsi"/>
        </w:rPr>
        <w:fldChar w:fldCharType="separate"/>
      </w:r>
      <w:r w:rsidR="00735CC0" w:rsidRPr="00735CC0">
        <w:rPr>
          <w:rFonts w:cstheme="minorHAnsi"/>
          <w:noProof/>
          <w:vertAlign w:val="superscript"/>
        </w:rPr>
        <w:t>218</w:t>
      </w:r>
      <w:r w:rsidRPr="008760E8">
        <w:rPr>
          <w:rFonts w:cstheme="minorHAnsi"/>
        </w:rPr>
        <w:fldChar w:fldCharType="end"/>
      </w:r>
      <w:r w:rsidRPr="008760E8">
        <w:rPr>
          <w:rFonts w:cstheme="minorHAnsi"/>
        </w:rPr>
        <w:t xml:space="preserve"> Identifying and assigning an average adherence rate to a cohort of individuals is therefore very difficult. Even if this were possible, studies informing the risk of developing complications in those on a </w:t>
      </w:r>
      <w:r w:rsidR="009318D1">
        <w:rPr>
          <w:rFonts w:cstheme="minorHAnsi"/>
        </w:rPr>
        <w:t>gluten-free diet</w:t>
      </w:r>
      <w:r w:rsidRPr="008760E8">
        <w:rPr>
          <w:rFonts w:cstheme="minorHAnsi"/>
        </w:rPr>
        <w:t>, compared to those who are not, are based on cohorts of people with unknown and presumably mixed adherence.</w:t>
      </w:r>
    </w:p>
    <w:p w14:paraId="5AEB2BBC" w14:textId="4C990EA6" w:rsidR="00BF5EA3" w:rsidRDefault="00BF5EA3" w:rsidP="00BF5EA3">
      <w:pPr>
        <w:rPr>
          <w:rFonts w:cstheme="minorHAnsi"/>
        </w:rPr>
      </w:pPr>
      <w:r>
        <w:rPr>
          <w:rFonts w:cstheme="minorHAnsi"/>
        </w:rPr>
        <w:t xml:space="preserve">A further distinction from the NICE model is that we do not include subfertility as a separate state. Our CPRD analysis found that </w:t>
      </w:r>
      <w:r>
        <w:t>prevalence of subfertility in women is the same regardless of CD status and this is supported by a growing literature that there is no association between CD and subfertility.</w:t>
      </w:r>
      <w:r>
        <w:fldChar w:fldCharType="begin">
          <w:fldData xml:space="preserve">PEVuZE5vdGU+PENpdGU+PEF1dGhvcj5EaGFsd2FuaTwvQXV0aG9yPjxZZWFyPjIwMTQ8L1llYXI+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</w:fldData>
        </w:fldChar>
      </w:r>
      <w:r w:rsidR="00735CC0">
        <w:instrText xml:space="preserve"> ADDIN EN.CITE </w:instrText>
      </w:r>
      <w:r w:rsidR="00735CC0">
        <w:fldChar w:fldCharType="begin">
          <w:fldData xml:space="preserve">PEVuZE5vdGU+PENpdGU+PEF1dGhvcj5EaGFsd2FuaTwvQXV0aG9yPjxZZWFyPjIwMTQ8L1llYXI+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</w:fldData>
        </w:fldChar>
      </w:r>
      <w:r w:rsidR="00735CC0">
        <w:instrText xml:space="preserve"> ADDIN EN.CITE.DATA </w:instrText>
      </w:r>
      <w:r w:rsidR="00735CC0">
        <w:fldChar w:fldCharType="end"/>
      </w:r>
      <w:r>
        <w:fldChar w:fldCharType="separate"/>
      </w:r>
      <w:r w:rsidR="00735CC0" w:rsidRPr="00735CC0">
        <w:rPr>
          <w:noProof/>
          <w:vertAlign w:val="superscript"/>
        </w:rPr>
        <w:t>219-222</w:t>
      </w:r>
      <w:r>
        <w:fldChar w:fldCharType="end"/>
      </w:r>
      <w:r>
        <w:t xml:space="preserve"> </w:t>
      </w:r>
    </w:p>
    <w:p w14:paraId="0AF9B732" w14:textId="393A112B" w:rsidR="00BF5EA3" w:rsidRDefault="00BF5EA3" w:rsidP="00BF5EA3">
      <w:pPr>
        <w:rPr>
          <w:rFonts w:cstheme="minorHAnsi"/>
        </w:rPr>
      </w:pPr>
      <w:r>
        <w:rPr>
          <w:rFonts w:cstheme="minorHAnsi"/>
        </w:rPr>
        <w:t xml:space="preserve">Iron Deficient Anaemia (IDA) was identified as important in our CPRD analysis but, in line with NICE, was not modelled as a separate state as our patient and clinical advice was that costs were mostly for over-the-counter medications, and therefore not included from an NHS perspective. The impact of IDA was also captured in utility values in diagnosed and undiagnosed states, aligned with our modelling of the efficacy of </w:t>
      </w:r>
      <w:r w:rsidR="00E4019D">
        <w:rPr>
          <w:rFonts w:cstheme="minorHAnsi"/>
        </w:rPr>
        <w:t>gluten-free diet</w:t>
      </w:r>
      <w:r>
        <w:rPr>
          <w:rFonts w:cstheme="minorHAnsi"/>
        </w:rPr>
        <w:t>, as major CD utility studies included large proportions with IDA</w:t>
      </w:r>
      <w:r w:rsidR="002670D5">
        <w:rPr>
          <w:rFonts w:cstheme="minorHAnsi"/>
        </w:rPr>
        <w:t>.</w:t>
      </w:r>
      <w:r>
        <w:rPr>
          <w:rFonts w:cstheme="minorHAnsi"/>
        </w:rPr>
        <w:t xml:space="preserve"> </w:t>
      </w:r>
    </w:p>
    <w:p w14:paraId="28F5C239" w14:textId="157C7C36" w:rsidR="00BF5EA3" w:rsidRDefault="00BF5EA3" w:rsidP="00BF5EA3">
      <w:pPr>
        <w:rPr>
          <w:rFonts w:cstheme="minorHAnsi"/>
        </w:rPr>
      </w:pPr>
      <w:r>
        <w:rPr>
          <w:rFonts w:cstheme="minorHAnsi"/>
        </w:rPr>
        <w:t xml:space="preserve">Further risk factors of CD identified by </w:t>
      </w:r>
      <w:r w:rsidR="003242D8">
        <w:rPr>
          <w:rFonts w:cstheme="minorHAnsi"/>
        </w:rPr>
        <w:t xml:space="preserve">diagnostic indicator review (Chapter 3) and </w:t>
      </w:r>
      <w:r>
        <w:rPr>
          <w:rFonts w:cstheme="minorHAnsi"/>
        </w:rPr>
        <w:t xml:space="preserve">CPRD analysis (Chapter 4) are either captured as general symptoms </w:t>
      </w:r>
      <w:r w:rsidRPr="00805068">
        <w:rPr>
          <w:rFonts w:cstheme="minorHAnsi"/>
        </w:rPr>
        <w:t>(e.g. fatigue, GI symptoms, IBS, mood disorders</w:t>
      </w:r>
      <w:r>
        <w:rPr>
          <w:rFonts w:cstheme="minorHAnsi"/>
        </w:rPr>
        <w:t xml:space="preserve">), cannot be affected by </w:t>
      </w:r>
      <w:r w:rsidR="00E4019D">
        <w:rPr>
          <w:rFonts w:cstheme="minorHAnsi"/>
        </w:rPr>
        <w:t>gluten-free diet</w:t>
      </w:r>
      <w:r w:rsidR="00E4019D" w:rsidRPr="008760E8">
        <w:rPr>
          <w:rFonts w:cstheme="minorHAnsi"/>
        </w:rPr>
        <w:t xml:space="preserve"> </w:t>
      </w:r>
      <w:r>
        <w:rPr>
          <w:rFonts w:cstheme="minorHAnsi"/>
        </w:rPr>
        <w:t xml:space="preserve">and are thus unaffected by diagnosis (e.g. </w:t>
      </w:r>
      <w:r w:rsidR="00A65A5D">
        <w:rPr>
          <w:rFonts w:cstheme="minorHAnsi"/>
        </w:rPr>
        <w:t>Down</w:t>
      </w:r>
      <w:r w:rsidRPr="00D01FCF">
        <w:rPr>
          <w:rFonts w:cstheme="minorHAnsi"/>
        </w:rPr>
        <w:t xml:space="preserve"> syndrome</w:t>
      </w:r>
      <w:r>
        <w:rPr>
          <w:rFonts w:cstheme="minorHAnsi"/>
        </w:rPr>
        <w:t xml:space="preserve"> or having a </w:t>
      </w:r>
      <w:r w:rsidR="00806FE6" w:rsidRPr="00D01FCF">
        <w:rPr>
          <w:rFonts w:cstheme="minorHAnsi"/>
        </w:rPr>
        <w:t>first</w:t>
      </w:r>
      <w:r w:rsidR="00806FE6">
        <w:rPr>
          <w:rFonts w:cstheme="minorHAnsi"/>
        </w:rPr>
        <w:t>-</w:t>
      </w:r>
      <w:r w:rsidRPr="00D01FCF">
        <w:rPr>
          <w:rFonts w:cstheme="minorHAnsi"/>
        </w:rPr>
        <w:t>degree relative</w:t>
      </w:r>
      <w:r>
        <w:rPr>
          <w:rFonts w:cstheme="minorHAnsi"/>
        </w:rPr>
        <w:t xml:space="preserve"> with CD), or are either rare or not plausibly caused by CD (e.g. t</w:t>
      </w:r>
      <w:r w:rsidRPr="00972DD9">
        <w:rPr>
          <w:rFonts w:cstheme="minorHAnsi"/>
        </w:rPr>
        <w:t>hyroid disorders, Turner syndrome</w:t>
      </w:r>
      <w:r>
        <w:rPr>
          <w:rFonts w:cstheme="minorHAnsi"/>
        </w:rPr>
        <w:t>, type</w:t>
      </w:r>
      <w:r w:rsidR="00047E8B">
        <w:rPr>
          <w:rFonts w:cstheme="minorHAnsi"/>
        </w:rPr>
        <w:t xml:space="preserve"> </w:t>
      </w:r>
      <w:r>
        <w:rPr>
          <w:rFonts w:cstheme="minorHAnsi"/>
        </w:rPr>
        <w:t>1 diabetes).</w:t>
      </w:r>
    </w:p>
    <w:p w14:paraId="3E4D0648" w14:textId="3B6E3E2B" w:rsidR="004231B0" w:rsidRDefault="00BF5EA3" w:rsidP="007041E3">
      <w:pPr>
        <w:rPr>
          <w:rFonts w:cstheme="minorHAnsi"/>
        </w:rPr>
      </w:pPr>
      <w:r>
        <w:rPr>
          <w:rFonts w:cstheme="minorHAnsi"/>
        </w:rPr>
        <w:t>Our final Markov model is illustrated</w:t>
      </w:r>
      <w:r w:rsidR="007705C3">
        <w:rPr>
          <w:rFonts w:cstheme="minorHAnsi"/>
        </w:rPr>
        <w:t xml:space="preserve"> in</w:t>
      </w:r>
      <w:r>
        <w:rPr>
          <w:rFonts w:cstheme="minorHAnsi"/>
        </w:rPr>
        <w:t xml:space="preserve"> </w:t>
      </w:r>
      <w:r w:rsidR="00CA4F90">
        <w:rPr>
          <w:rFonts w:cstheme="minorHAnsi"/>
        </w:rPr>
        <w:fldChar w:fldCharType="begin"/>
      </w:r>
      <w:r w:rsidR="00CA4F90">
        <w:rPr>
          <w:rFonts w:cstheme="minorHAnsi"/>
        </w:rPr>
        <w:instrText xml:space="preserve"> REF _Ref87619978 \h </w:instrText>
      </w:r>
      <w:r w:rsidR="00CA4F90">
        <w:rPr>
          <w:rFonts w:cstheme="minorHAnsi"/>
        </w:rPr>
      </w:r>
      <w:r w:rsidR="00CA4F90">
        <w:rPr>
          <w:rFonts w:cstheme="minorHAnsi"/>
        </w:rPr>
        <w:fldChar w:fldCharType="separate"/>
      </w:r>
      <w:r w:rsidR="008B5583">
        <w:t xml:space="preserve">Figure </w:t>
      </w:r>
      <w:r w:rsidR="008B5583">
        <w:rPr>
          <w:noProof/>
        </w:rPr>
        <w:t>13</w:t>
      </w:r>
      <w:r w:rsidR="00CA4F90">
        <w:rPr>
          <w:rFonts w:cstheme="minorHAnsi"/>
        </w:rPr>
        <w:fldChar w:fldCharType="end"/>
      </w:r>
      <w:r w:rsidR="007705C3">
        <w:rPr>
          <w:rFonts w:cstheme="minorHAnsi"/>
        </w:rPr>
        <w:t>.</w:t>
      </w:r>
    </w:p>
    <w:p w14:paraId="2C140C55" w14:textId="7E516FB4" w:rsidR="00CA4F90" w:rsidRDefault="00CA4F90" w:rsidP="00034C1E">
      <w:pPr>
        <w:keepNext/>
      </w:pPr>
      <w:r>
        <w:rPr>
          <w:noProof/>
        </w:rPr>
        <w:lastRenderedPageBreak/>
        <w:drawing>
          <wp:inline distT="0" distB="0" distL="0" distR="0" wp14:anchorId="2E640E6A" wp14:editId="4F89C562">
            <wp:extent cx="3054399" cy="3539490"/>
            <wp:effectExtent l="0" t="0" r="0" b="381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56034" cy="3541385"/>
                    </a:xfrm>
                    <a:prstGeom prst="rect">
                      <a:avLst/>
                    </a:prstGeom>
                    <a:noFill/>
                  </pic:spPr>
                </pic:pic>
              </a:graphicData>
            </a:graphic>
          </wp:inline>
        </w:drawing>
      </w:r>
    </w:p>
    <w:p w14:paraId="55B75BA1" w14:textId="4BA62D7F" w:rsidR="00CA4F90" w:rsidRDefault="00CA4F90" w:rsidP="00034C1E">
      <w:pPr>
        <w:pStyle w:val="Caption"/>
        <w:rPr>
          <w:rFonts w:cstheme="minorHAnsi"/>
        </w:rPr>
      </w:pPr>
      <w:bookmarkStart w:id="251" w:name="_Ref87619978"/>
      <w:bookmarkStart w:id="252" w:name="_Toc99720794"/>
      <w:r>
        <w:t xml:space="preserve">Figure </w:t>
      </w:r>
      <w:r>
        <w:fldChar w:fldCharType="begin"/>
      </w:r>
      <w:r>
        <w:instrText>SEQ Figure \* ARABIC</w:instrText>
      </w:r>
      <w:r>
        <w:fldChar w:fldCharType="separate"/>
      </w:r>
      <w:r w:rsidR="008B5583">
        <w:rPr>
          <w:noProof/>
        </w:rPr>
        <w:t>13</w:t>
      </w:r>
      <w:r>
        <w:fldChar w:fldCharType="end"/>
      </w:r>
      <w:bookmarkEnd w:id="251"/>
      <w:r>
        <w:t xml:space="preserve"> Markov model structure</w:t>
      </w:r>
      <w:bookmarkEnd w:id="252"/>
    </w:p>
    <w:p w14:paraId="106CD370" w14:textId="77777777" w:rsidR="00034C1E" w:rsidRDefault="00034C1E" w:rsidP="00BF5EA3">
      <w:pPr>
        <w:rPr>
          <w:rFonts w:cstheme="minorHAnsi"/>
        </w:rPr>
      </w:pPr>
    </w:p>
    <w:p w14:paraId="7728BC00" w14:textId="204EF72A" w:rsidR="00BF5EA3" w:rsidRDefault="00BF5EA3" w:rsidP="00BF5EA3">
      <w:pPr>
        <w:rPr>
          <w:rFonts w:cstheme="minorHAnsi"/>
        </w:rPr>
      </w:pPr>
      <w:r w:rsidRPr="00834D52">
        <w:rPr>
          <w:rFonts w:cstheme="minorHAnsi"/>
        </w:rPr>
        <w:t xml:space="preserve">The initial distribution of patients between diagnosed and undiagnosed CD is determined by the decision tree. </w:t>
      </w:r>
      <w:r w:rsidRPr="00C3631C">
        <w:rPr>
          <w:rFonts w:cstheme="minorHAnsi"/>
        </w:rPr>
        <w:t>People can transition to death from any state in the model. Patients have an annual probability of transitioning</w:t>
      </w:r>
      <w:r>
        <w:rPr>
          <w:rFonts w:cstheme="minorHAnsi"/>
        </w:rPr>
        <w:t xml:space="preserve"> from no complications</w:t>
      </w:r>
      <w:r w:rsidRPr="00C3631C">
        <w:rPr>
          <w:rFonts w:cstheme="minorHAnsi"/>
        </w:rPr>
        <w:t xml:space="preserve"> to </w:t>
      </w:r>
      <w:r>
        <w:rPr>
          <w:rFonts w:cstheme="minorHAnsi"/>
        </w:rPr>
        <w:t xml:space="preserve">health states representing osteoporosis, NHL and </w:t>
      </w:r>
      <w:r w:rsidRPr="00C3631C">
        <w:rPr>
          <w:rFonts w:cstheme="minorHAnsi"/>
        </w:rPr>
        <w:t>death. Patients can also be in any of these health states at diagnosis.</w:t>
      </w:r>
      <w:r>
        <w:rPr>
          <w:rFonts w:cstheme="minorHAnsi"/>
        </w:rPr>
        <w:t xml:space="preserve"> As in the NICE model, and to avoid modelling multiple comorbidities on which CPRD evidence is limited, p</w:t>
      </w:r>
      <w:r w:rsidRPr="00C3631C">
        <w:rPr>
          <w:rFonts w:cstheme="minorHAnsi"/>
        </w:rPr>
        <w:t>atients who develop osteoporosis can only transition to NHL or death</w:t>
      </w:r>
      <w:r>
        <w:rPr>
          <w:rFonts w:cstheme="minorHAnsi"/>
        </w:rPr>
        <w:t xml:space="preserve"> and no distinction is made between NHL patients with or without prior osteoporosis</w:t>
      </w:r>
      <w:r w:rsidRPr="00C3631C">
        <w:rPr>
          <w:rFonts w:cstheme="minorHAnsi"/>
        </w:rPr>
        <w:t>. Patients who develop NHL are assumed to stay in this health state until death</w:t>
      </w:r>
      <w:r>
        <w:rPr>
          <w:rFonts w:cstheme="minorHAnsi"/>
        </w:rPr>
        <w:t xml:space="preserve"> (i.e. don’t return to the less severe osteoporosis state)</w:t>
      </w:r>
      <w:r w:rsidRPr="00C3631C">
        <w:rPr>
          <w:rFonts w:cstheme="minorHAnsi"/>
        </w:rPr>
        <w:t>. Patients with undiagnosed CD transition through the health states and at any point can be diagnosed</w:t>
      </w:r>
      <w:r>
        <w:rPr>
          <w:rFonts w:cstheme="minorHAnsi"/>
        </w:rPr>
        <w:t xml:space="preserve"> with some proportion receiving biopsy.</w:t>
      </w:r>
    </w:p>
    <w:p w14:paraId="12350AD7" w14:textId="77777777" w:rsidR="00BF5EA3" w:rsidRPr="00305D05" w:rsidRDefault="00BF5EA3" w:rsidP="00110AA6">
      <w:pPr>
        <w:pStyle w:val="Heading3"/>
      </w:pPr>
      <w:bookmarkStart w:id="253" w:name="_Toc87507183"/>
      <w:bookmarkStart w:id="254" w:name="_Toc99539900"/>
      <w:r w:rsidRPr="00305D05">
        <w:t>Input parameters</w:t>
      </w:r>
      <w:bookmarkEnd w:id="253"/>
      <w:bookmarkEnd w:id="254"/>
      <w:r>
        <w:t xml:space="preserve"> </w:t>
      </w:r>
    </w:p>
    <w:p w14:paraId="17EDA44A" w14:textId="4B5E4D6B" w:rsidR="00BF5EA3" w:rsidRPr="00CF454E" w:rsidRDefault="00BF5EA3" w:rsidP="00BF5EA3">
      <w:pPr>
        <w:rPr>
          <w:rFonts w:cstheme="minorHAnsi"/>
        </w:rPr>
      </w:pPr>
      <w:r w:rsidRPr="00CF454E">
        <w:rPr>
          <w:rFonts w:cstheme="minorHAnsi"/>
        </w:rPr>
        <w:t>In this section we describe the parameters of the decision tree and Markov model. These are either informed by the diagnostic test accuracy meta-analysis</w:t>
      </w:r>
      <w:r>
        <w:rPr>
          <w:rFonts w:cstheme="minorHAnsi"/>
        </w:rPr>
        <w:t xml:space="preserve"> (Chapter 5 and Chapter 6)</w:t>
      </w:r>
      <w:r w:rsidRPr="00CF454E">
        <w:rPr>
          <w:rFonts w:cstheme="minorHAnsi"/>
        </w:rPr>
        <w:t xml:space="preserve">, </w:t>
      </w:r>
      <w:r>
        <w:rPr>
          <w:rFonts w:cstheme="minorHAnsi"/>
        </w:rPr>
        <w:t xml:space="preserve">the </w:t>
      </w:r>
      <w:r w:rsidRPr="00CF454E">
        <w:rPr>
          <w:rFonts w:cstheme="minorHAnsi"/>
        </w:rPr>
        <w:t xml:space="preserve">literature review of coeliac screening cost-effectiveness models, UK CPRD analyses, </w:t>
      </w:r>
      <w:r>
        <w:rPr>
          <w:rFonts w:cstheme="minorHAnsi"/>
        </w:rPr>
        <w:t xml:space="preserve">estimates used in the NICE 2015 model, </w:t>
      </w:r>
      <w:r w:rsidRPr="00CF454E">
        <w:rPr>
          <w:rFonts w:cstheme="minorHAnsi"/>
        </w:rPr>
        <w:t xml:space="preserve">or targeted literature searches. A summary of all parameters with evidence sources is shown in </w:t>
      </w:r>
      <w:r w:rsidRPr="00CF454E">
        <w:rPr>
          <w:rFonts w:cstheme="minorHAnsi"/>
        </w:rPr>
        <w:fldChar w:fldCharType="begin"/>
      </w:r>
      <w:r w:rsidRPr="00CF454E">
        <w:rPr>
          <w:rFonts w:cstheme="minorHAnsi"/>
        </w:rPr>
        <w:instrText xml:space="preserve"> REF _Ref84001134 \h </w:instrText>
      </w:r>
      <w:r>
        <w:rPr>
          <w:rFonts w:cstheme="minorHAnsi"/>
        </w:rPr>
        <w:instrText xml:space="preserve"> \* MERGEFORMAT </w:instrText>
      </w:r>
      <w:r w:rsidRPr="00CF454E">
        <w:rPr>
          <w:rFonts w:cstheme="minorHAnsi"/>
        </w:rPr>
      </w:r>
      <w:r w:rsidRPr="00CF454E">
        <w:rPr>
          <w:rFonts w:cstheme="minorHAnsi"/>
        </w:rPr>
        <w:fldChar w:fldCharType="separate"/>
      </w:r>
      <w:r w:rsidR="008B5583" w:rsidRPr="00305D05">
        <w:rPr>
          <w:rFonts w:cstheme="minorHAnsi"/>
        </w:rPr>
        <w:t xml:space="preserve">Table </w:t>
      </w:r>
      <w:r w:rsidR="008B5583" w:rsidRPr="008B5583">
        <w:rPr>
          <w:rFonts w:cstheme="minorHAnsi"/>
          <w:noProof/>
        </w:rPr>
        <w:t>17</w:t>
      </w:r>
      <w:r w:rsidRPr="00CF454E">
        <w:rPr>
          <w:rFonts w:cstheme="minorHAnsi"/>
        </w:rPr>
        <w:fldChar w:fldCharType="end"/>
      </w:r>
      <w:r w:rsidRPr="00CF454E">
        <w:rPr>
          <w:rFonts w:cstheme="minorHAnsi"/>
        </w:rPr>
        <w:t>.</w:t>
      </w:r>
    </w:p>
    <w:p w14:paraId="12C4579E" w14:textId="7BCCD21E" w:rsidR="00BF5EA3" w:rsidRPr="00697E6D" w:rsidRDefault="00BF5EA3" w:rsidP="00110AA6">
      <w:pPr>
        <w:pStyle w:val="Heading4"/>
      </w:pPr>
      <w:bookmarkStart w:id="255" w:name="_Ref84001162"/>
      <w:bookmarkStart w:id="256" w:name="_Toc87507184"/>
      <w:r w:rsidRPr="00163897">
        <w:t>Prevalence of osteoporosis, NHL, and I</w:t>
      </w:r>
      <w:r w:rsidRPr="00697E6D">
        <w:t>DA in population with CD</w:t>
      </w:r>
      <w:bookmarkEnd w:id="255"/>
      <w:bookmarkEnd w:id="256"/>
    </w:p>
    <w:p w14:paraId="11620CBC" w14:textId="08642239" w:rsidR="00BF5EA3" w:rsidRPr="00CF454E" w:rsidRDefault="00BF5EA3" w:rsidP="00BF5EA3">
      <w:pPr>
        <w:rPr>
          <w:rFonts w:cstheme="minorHAnsi"/>
        </w:rPr>
      </w:pPr>
      <w:r>
        <w:rPr>
          <w:rFonts w:cstheme="minorHAnsi"/>
        </w:rPr>
        <w:t>Th</w:t>
      </w:r>
      <w:r w:rsidR="007705C3">
        <w:rPr>
          <w:rFonts w:cstheme="minorHAnsi"/>
        </w:rPr>
        <w:t>e</w:t>
      </w:r>
      <w:r>
        <w:rPr>
          <w:rFonts w:cstheme="minorHAnsi"/>
        </w:rPr>
        <w:t xml:space="preserve"> prevalence of NHL, osteoporosis and IDA were estimated using</w:t>
      </w:r>
      <w:r w:rsidRPr="00CF454E">
        <w:rPr>
          <w:rFonts w:cstheme="minorHAnsi"/>
        </w:rPr>
        <w:t xml:space="preserve"> CPRD </w:t>
      </w:r>
      <w:r>
        <w:rPr>
          <w:rFonts w:cstheme="minorHAnsi"/>
        </w:rPr>
        <w:t xml:space="preserve">Aurum </w:t>
      </w:r>
      <w:r w:rsidRPr="00CF454E">
        <w:rPr>
          <w:rFonts w:cstheme="minorHAnsi"/>
        </w:rPr>
        <w:t>data</w:t>
      </w:r>
      <w:r>
        <w:rPr>
          <w:rFonts w:cstheme="minorHAnsi"/>
        </w:rPr>
        <w:t xml:space="preserve">, </w:t>
      </w:r>
      <w:r w:rsidR="008A0F9C">
        <w:rPr>
          <w:rFonts w:cstheme="minorHAnsi"/>
        </w:rPr>
        <w:t>i</w:t>
      </w:r>
      <w:r>
        <w:rPr>
          <w:rFonts w:cstheme="minorHAnsi"/>
        </w:rPr>
        <w:t>n patients with a CD diagnosis, linked to Hospital Episode Statistics (HES)</w:t>
      </w:r>
      <w:r w:rsidRPr="00CF454E">
        <w:rPr>
          <w:rFonts w:cstheme="minorHAnsi"/>
        </w:rPr>
        <w:t xml:space="preserve"> and </w:t>
      </w:r>
      <w:r>
        <w:rPr>
          <w:rFonts w:cstheme="minorHAnsi"/>
        </w:rPr>
        <w:t xml:space="preserve">was assumed </w:t>
      </w:r>
      <w:r w:rsidRPr="00CF454E">
        <w:rPr>
          <w:rFonts w:cstheme="minorHAnsi"/>
        </w:rPr>
        <w:t xml:space="preserve">age </w:t>
      </w:r>
      <w:r>
        <w:rPr>
          <w:rFonts w:cstheme="minorHAnsi"/>
        </w:rPr>
        <w:t xml:space="preserve">and gender </w:t>
      </w:r>
      <w:r w:rsidRPr="00CF454E">
        <w:rPr>
          <w:rFonts w:cstheme="minorHAnsi"/>
        </w:rPr>
        <w:t>dependent.</w:t>
      </w:r>
      <w:r>
        <w:rPr>
          <w:rFonts w:cstheme="minorHAnsi"/>
        </w:rPr>
        <w:t xml:space="preserve"> Records of complications were identified in HES </w:t>
      </w:r>
      <w:r w:rsidR="006D6DDD">
        <w:rPr>
          <w:rFonts w:cstheme="minorHAnsi"/>
        </w:rPr>
        <w:t xml:space="preserve">and CPRD </w:t>
      </w:r>
      <w:r>
        <w:rPr>
          <w:rFonts w:cstheme="minorHAnsi"/>
        </w:rPr>
        <w:t xml:space="preserve">using ICD10 </w:t>
      </w:r>
      <w:r w:rsidR="006D6DDD">
        <w:rPr>
          <w:rFonts w:cstheme="minorHAnsi"/>
        </w:rPr>
        <w:t>and Aurum medical</w:t>
      </w:r>
      <w:r>
        <w:rPr>
          <w:rFonts w:cstheme="minorHAnsi"/>
        </w:rPr>
        <w:t xml:space="preserve"> codes (full details of the analysis</w:t>
      </w:r>
      <w:r w:rsidR="00923EDE">
        <w:rPr>
          <w:rFonts w:cstheme="minorHAnsi"/>
        </w:rPr>
        <w:t xml:space="preserve"> and results</w:t>
      </w:r>
      <w:r>
        <w:rPr>
          <w:rFonts w:cstheme="minorHAnsi"/>
        </w:rPr>
        <w:t xml:space="preserve"> in </w:t>
      </w:r>
      <w:r w:rsidR="00C13359">
        <w:rPr>
          <w:rFonts w:cstheme="minorHAnsi"/>
        </w:rPr>
        <w:t>the Supplementary file, Chapter 8, CPRD analysis</w:t>
      </w:r>
      <w:r w:rsidR="004B012C">
        <w:rPr>
          <w:rFonts w:cstheme="minorHAnsi"/>
        </w:rPr>
        <w:t xml:space="preserve">, </w:t>
      </w:r>
      <w:r w:rsidR="0076178E">
        <w:rPr>
          <w:rFonts w:cstheme="minorHAnsi"/>
        </w:rPr>
        <w:t>Supplementary</w:t>
      </w:r>
      <w:r w:rsidR="004B012C">
        <w:rPr>
          <w:rFonts w:cstheme="minorHAnsi"/>
        </w:rPr>
        <w:t xml:space="preserve"> Table</w:t>
      </w:r>
      <w:r w:rsidR="0076178E">
        <w:rPr>
          <w:rFonts w:cstheme="minorHAnsi"/>
        </w:rPr>
        <w:t>s</w:t>
      </w:r>
      <w:r w:rsidR="004B012C">
        <w:rPr>
          <w:rFonts w:cstheme="minorHAnsi"/>
        </w:rPr>
        <w:t xml:space="preserve"> S</w:t>
      </w:r>
      <w:r w:rsidR="006D05E9">
        <w:rPr>
          <w:rFonts w:cstheme="minorHAnsi"/>
        </w:rPr>
        <w:t>12</w:t>
      </w:r>
      <w:r w:rsidR="0076178E">
        <w:rPr>
          <w:rFonts w:cstheme="minorHAnsi"/>
        </w:rPr>
        <w:t>-S16</w:t>
      </w:r>
      <w:r w:rsidR="00C13359">
        <w:rPr>
          <w:rFonts w:cstheme="minorHAnsi"/>
        </w:rPr>
        <w:t>)</w:t>
      </w:r>
      <w:r>
        <w:rPr>
          <w:rFonts w:cstheme="minorHAnsi"/>
        </w:rPr>
        <w:t xml:space="preserve">. Initial proportions with each complication in newly diagnosed and undiagnosed CD patients in the Markov model are assumed to follow these prevalences; it is a limitation that CPRD data cannot generate prevalence in undiagnosed CD, </w:t>
      </w:r>
      <w:r>
        <w:rPr>
          <w:rFonts w:cstheme="minorHAnsi"/>
        </w:rPr>
        <w:lastRenderedPageBreak/>
        <w:t xml:space="preserve">however rates of developing the complications are modelled to be different (see later section). The proportion without these complications begin in the no complications state. IDA is modelled independently of NHL or osteoporosis so an independent beta distribution is used to present initial probability of having IDA. Although NHL and osteoporosis are separate states in the Markov model, the prevalence estimates are not mutually exclusive. Prevalence of NHL is low (&lt;2%) so overlap with osteoporosis is negligible and each prevalence is modelled by an independent Beta distribution. </w:t>
      </w:r>
      <w:r w:rsidR="00A742F9">
        <w:rPr>
          <w:rFonts w:cstheme="minorHAnsi"/>
        </w:rPr>
        <w:t>Appendix 26</w:t>
      </w:r>
      <w:r w:rsidR="00471AF0">
        <w:rPr>
          <w:rFonts w:cstheme="minorHAnsi"/>
        </w:rPr>
        <w:t xml:space="preserve"> </w:t>
      </w:r>
      <w:r w:rsidR="00471AF0">
        <w:rPr>
          <w:rFonts w:cstheme="minorHAnsi"/>
        </w:rPr>
        <w:fldChar w:fldCharType="begin"/>
      </w:r>
      <w:r w:rsidR="00471AF0">
        <w:rPr>
          <w:rFonts w:cstheme="minorHAnsi"/>
        </w:rPr>
        <w:instrText xml:space="preserve"> REF _Ref95383965 \h </w:instrText>
      </w:r>
      <w:r w:rsidR="00471AF0">
        <w:rPr>
          <w:rFonts w:cstheme="minorHAnsi"/>
        </w:rPr>
      </w:r>
      <w:r w:rsidR="00471AF0">
        <w:rPr>
          <w:rFonts w:cstheme="minorHAnsi"/>
        </w:rPr>
        <w:fldChar w:fldCharType="separate"/>
      </w:r>
      <w:r w:rsidR="008B5583" w:rsidRPr="00305D05">
        <w:rPr>
          <w:rFonts w:cstheme="minorHAnsi"/>
        </w:rPr>
        <w:t xml:space="preserve">Table </w:t>
      </w:r>
      <w:r w:rsidR="008B5583">
        <w:rPr>
          <w:rFonts w:cstheme="minorHAnsi"/>
          <w:noProof/>
        </w:rPr>
        <w:t>63</w:t>
      </w:r>
      <w:r w:rsidR="00471AF0">
        <w:rPr>
          <w:rFonts w:cstheme="minorHAnsi"/>
        </w:rPr>
        <w:fldChar w:fldCharType="end"/>
      </w:r>
      <w:r w:rsidRPr="00CF454E">
        <w:rPr>
          <w:rFonts w:cstheme="minorHAnsi"/>
        </w:rPr>
        <w:fldChar w:fldCharType="begin"/>
      </w:r>
      <w:r w:rsidRPr="00CF454E">
        <w:rPr>
          <w:rFonts w:cstheme="minorHAnsi"/>
        </w:rPr>
        <w:instrText xml:space="preserve"> REF _Ref61358631 \h  \* MERGEFORMAT </w:instrText>
      </w:r>
      <w:r w:rsidRPr="00CF454E">
        <w:rPr>
          <w:rFonts w:cstheme="minorHAnsi"/>
        </w:rPr>
      </w:r>
      <w:r w:rsidR="00C34531">
        <w:rPr>
          <w:rFonts w:cstheme="minorHAnsi"/>
        </w:rPr>
        <w:fldChar w:fldCharType="separate"/>
      </w:r>
      <w:r w:rsidRPr="00CF454E">
        <w:rPr>
          <w:rFonts w:cstheme="minorHAnsi"/>
        </w:rPr>
        <w:fldChar w:fldCharType="end"/>
      </w:r>
      <w:r w:rsidRPr="00CF454E">
        <w:rPr>
          <w:rFonts w:cstheme="minorHAnsi"/>
        </w:rPr>
        <w:t xml:space="preserve"> includes estimates of prevalence</w:t>
      </w:r>
      <w:r>
        <w:rPr>
          <w:rFonts w:cstheme="minorHAnsi"/>
        </w:rPr>
        <w:t xml:space="preserve"> of each of these complications in a mixed gender cohort of over 48,046 people with a CD diagnosis recorded in CPRD Aurum</w:t>
      </w:r>
      <w:r w:rsidRPr="00CF454E">
        <w:rPr>
          <w:rFonts w:cstheme="minorHAnsi"/>
        </w:rPr>
        <w:t xml:space="preserve">. </w:t>
      </w:r>
      <w:r>
        <w:rPr>
          <w:rFonts w:cstheme="minorHAnsi"/>
        </w:rPr>
        <w:t xml:space="preserve">This is stratified into men and women in </w:t>
      </w:r>
      <w:r w:rsidR="00A742F9">
        <w:rPr>
          <w:rFonts w:cstheme="minorHAnsi"/>
        </w:rPr>
        <w:t>Appendix 26</w:t>
      </w:r>
      <w:r w:rsidR="00A63BF0">
        <w:rPr>
          <w:rFonts w:cstheme="minorHAnsi"/>
        </w:rPr>
        <w:t xml:space="preserve"> </w:t>
      </w:r>
      <w:r w:rsidR="00471AF0">
        <w:rPr>
          <w:rFonts w:cstheme="minorHAnsi"/>
        </w:rPr>
        <w:fldChar w:fldCharType="begin"/>
      </w:r>
      <w:r w:rsidR="00471AF0">
        <w:rPr>
          <w:rFonts w:cstheme="minorHAnsi"/>
        </w:rPr>
        <w:instrText xml:space="preserve"> REF _Ref95383973 \h </w:instrText>
      </w:r>
      <w:r w:rsidR="00471AF0">
        <w:rPr>
          <w:rFonts w:cstheme="minorHAnsi"/>
        </w:rPr>
      </w:r>
      <w:r w:rsidR="00471AF0">
        <w:rPr>
          <w:rFonts w:cstheme="minorHAnsi"/>
        </w:rPr>
        <w:fldChar w:fldCharType="separate"/>
      </w:r>
      <w:r w:rsidR="008B5583" w:rsidRPr="00305D05">
        <w:rPr>
          <w:rFonts w:cstheme="minorHAnsi"/>
        </w:rPr>
        <w:t xml:space="preserve">Table </w:t>
      </w:r>
      <w:r w:rsidR="008B5583">
        <w:rPr>
          <w:rFonts w:cstheme="minorHAnsi"/>
          <w:noProof/>
        </w:rPr>
        <w:t>64</w:t>
      </w:r>
      <w:r w:rsidR="00471AF0">
        <w:rPr>
          <w:rFonts w:cstheme="minorHAnsi"/>
        </w:rPr>
        <w:fldChar w:fldCharType="end"/>
      </w:r>
      <w:r w:rsidR="00471AF0">
        <w:rPr>
          <w:rFonts w:cstheme="minorHAnsi"/>
        </w:rPr>
        <w:t xml:space="preserve"> an</w:t>
      </w:r>
      <w:r w:rsidR="00DB2F14">
        <w:rPr>
          <w:rFonts w:cstheme="minorHAnsi"/>
        </w:rPr>
        <w:t xml:space="preserve">d </w:t>
      </w:r>
      <w:r w:rsidR="00471AF0">
        <w:rPr>
          <w:rFonts w:cstheme="minorHAnsi"/>
        </w:rPr>
        <w:fldChar w:fldCharType="begin"/>
      </w:r>
      <w:r w:rsidR="00471AF0">
        <w:rPr>
          <w:rFonts w:cstheme="minorHAnsi"/>
        </w:rPr>
        <w:instrText xml:space="preserve"> REF _Ref95383975 \h </w:instrText>
      </w:r>
      <w:r w:rsidR="00471AF0">
        <w:rPr>
          <w:rFonts w:cstheme="minorHAnsi"/>
        </w:rPr>
      </w:r>
      <w:r w:rsidR="00471AF0">
        <w:rPr>
          <w:rFonts w:cstheme="minorHAnsi"/>
        </w:rPr>
        <w:fldChar w:fldCharType="separate"/>
      </w:r>
      <w:r w:rsidR="008B5583" w:rsidRPr="00305D05">
        <w:rPr>
          <w:rFonts w:cstheme="minorHAnsi"/>
        </w:rPr>
        <w:t xml:space="preserve">Table </w:t>
      </w:r>
      <w:r w:rsidR="008B5583">
        <w:rPr>
          <w:rFonts w:cstheme="minorHAnsi"/>
          <w:noProof/>
        </w:rPr>
        <w:t>65</w:t>
      </w:r>
      <w:r w:rsidR="00471AF0">
        <w:rPr>
          <w:rFonts w:cstheme="minorHAnsi"/>
        </w:rPr>
        <w:fldChar w:fldCharType="end"/>
      </w:r>
      <w:r w:rsidR="00DB2F14">
        <w:rPr>
          <w:rFonts w:cstheme="minorHAnsi"/>
        </w:rPr>
        <w:t>, respectively</w:t>
      </w:r>
      <w:r>
        <w:rPr>
          <w:rFonts w:cstheme="minorHAnsi"/>
        </w:rPr>
        <w:t>. The adult men and adult women analyses use the stratified estimates while the children analyses use the mixed gender estimates.</w:t>
      </w:r>
    </w:p>
    <w:p w14:paraId="71E8E6E7" w14:textId="77777777" w:rsidR="00BF5EA3" w:rsidRPr="003A3F88" w:rsidRDefault="00BF5EA3" w:rsidP="003766F2">
      <w:pPr>
        <w:pStyle w:val="Heading4"/>
      </w:pPr>
      <w:bookmarkStart w:id="257" w:name="_Toc87507185"/>
      <w:bookmarkEnd w:id="247"/>
      <w:r>
        <w:t>Percentage receiving biopsy</w:t>
      </w:r>
      <w:bookmarkEnd w:id="257"/>
    </w:p>
    <w:p w14:paraId="0EEF2588" w14:textId="4A100596" w:rsidR="00BF5EA3" w:rsidRPr="003A3F88" w:rsidRDefault="00BF5EA3" w:rsidP="00BF5EA3">
      <w:pPr>
        <w:rPr>
          <w:rFonts w:cstheme="minorHAnsi"/>
        </w:rPr>
      </w:pPr>
      <w:r w:rsidRPr="003A3F88">
        <w:rPr>
          <w:rFonts w:cstheme="minorHAnsi"/>
        </w:rPr>
        <w:t>The percentage of patients with a delayed diagnosis assumed to require a confirmatory biopsy is 70%, based on clinical advice and in accordance with recent research indicating high diagnostic accuracy of tests alone.</w:t>
      </w:r>
      <w:r w:rsidRPr="003A3F88">
        <w:rPr>
          <w:rFonts w:cstheme="minorHAnsi"/>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rPr>
        <w:instrText xml:space="preserve"> ADDIN EN.CITE </w:instrText>
      </w:r>
      <w:r w:rsidR="00735CC0">
        <w:rPr>
          <w:rFonts w:cstheme="minorHAnsi"/>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sidRPr="003A3F88">
        <w:rPr>
          <w:rFonts w:cstheme="minorHAnsi"/>
        </w:rPr>
      </w:r>
      <w:r w:rsidRPr="003A3F88">
        <w:rPr>
          <w:rFonts w:cstheme="minorHAnsi"/>
        </w:rPr>
        <w:fldChar w:fldCharType="separate"/>
      </w:r>
      <w:r w:rsidR="00735CC0" w:rsidRPr="00735CC0">
        <w:rPr>
          <w:rFonts w:cstheme="minorHAnsi"/>
          <w:noProof/>
          <w:vertAlign w:val="superscript"/>
        </w:rPr>
        <w:t>223-226</w:t>
      </w:r>
      <w:r w:rsidRPr="003A3F88">
        <w:rPr>
          <w:rFonts w:cstheme="minorHAnsi"/>
        </w:rPr>
        <w:fldChar w:fldCharType="end"/>
      </w:r>
      <w:r w:rsidRPr="003A3F88">
        <w:rPr>
          <w:rFonts w:cstheme="minorHAnsi"/>
        </w:rPr>
        <w:t xml:space="preserve"> This percentage is varied within a 95% credible interval of 60-80%. The 60% lower bound is based on the findings of a retrospective analysis of 270 adult patients.</w:t>
      </w:r>
      <w:r w:rsidRPr="003A3F88">
        <w:rPr>
          <w:rFonts w:cstheme="minorHAnsi"/>
        </w:rPr>
        <w:fldChar w:fldCharType="begin"/>
      </w:r>
      <w:r w:rsidR="00735CC0">
        <w:rPr>
          <w:rFonts w:cstheme="minorHAnsi"/>
        </w:rPr>
        <w:instrText xml:space="preserve"> ADDIN EN.CITE &lt;EndNote&gt;&lt;Cite&gt;&lt;Author&gt;Holmes&lt;/Author&gt;&lt;Year&gt;2017&lt;/Year&gt;&lt;RecNum&gt;2717&lt;/RecNum&gt;&lt;DisplayText&gt;&lt;style face="superscript"&gt;225&lt;/style&gt;&lt;/DisplayText&gt;&lt;record&gt;&lt;rec-number&gt;28&lt;/rec-number&gt;&lt;foreign-keys&gt;&lt;key app="EN" db-id="w9pwfv0xxa5v9vedxzkp20wvv52efwv0xppv" timestamp="1636614827"&gt;28&lt;/key&gt;&lt;/foreign-keys&gt;&lt;ref-type name="Journal Article"&gt;17&lt;/ref-type&gt;&lt;contributors&gt;&lt;authors&gt;&lt;author&gt;Holmes, G. K. T.&lt;/author&gt;&lt;author&gt;Forsyth, J. M.&lt;/author&gt;&lt;author&gt;Knowles, S.&lt;/author&gt;&lt;author&gt;Seddon, H.&lt;/author&gt;&lt;author&gt;Hill, P. G.&lt;/author&gt;&lt;author&gt;Austin, A. S.&lt;/author&gt;&lt;/authors&gt;&lt;/contributors&gt;&lt;auth-address&gt;aRoyal Derby HospitalbDepartment of PathologycDerby Digestive Diseases Centre, Royal Derby Hospital, Derby, UK.&lt;/auth-address&gt;&lt;titles&gt;&lt;title&gt;Coeliac disease: further evidence that biopsy is not always necessary for diagnosis&lt;/title&gt;&lt;secondary-title&gt;Eur J Gastroenterol Hepatol&lt;/secondary-title&gt;&lt;/titles&gt;&lt;periodical&gt;&lt;full-title&gt;Eur J Gastroenterol Hepatol&lt;/full-title&gt;&lt;/periodical&gt;&lt;pages&gt;640-645&lt;/pages&gt;&lt;volume&gt;29&lt;/volume&gt;&lt;number&gt;6&lt;/number&gt;&lt;edition&gt;2017/04/26&lt;/edition&gt;&lt;keywords&gt;&lt;keyword&gt;Autoantibodies/*blood&lt;/keyword&gt;&lt;keyword&gt;Biomarkers/blood&lt;/keyword&gt;&lt;keyword&gt;Biopsy&lt;/keyword&gt;&lt;keyword&gt;Celiac Disease/blood/*diagnosis/immunology/pathology&lt;/keyword&gt;&lt;keyword&gt;England&lt;/keyword&gt;&lt;keyword&gt;GTP-Binding Proteins/*immunology&lt;/keyword&gt;&lt;keyword&gt;Humans&lt;/keyword&gt;&lt;keyword&gt;Immunoglobulin A/*blood&lt;/keyword&gt;&lt;keyword&gt;Intestine, Small/*immunology/*pathology&lt;/keyword&gt;&lt;keyword&gt;Practice Guidelines as Topic&lt;/keyword&gt;&lt;keyword&gt;Predictive Value of Tests&lt;/keyword&gt;&lt;keyword&gt;Reproducibility of Results&lt;/keyword&gt;&lt;keyword&gt;Retrospective Studies&lt;/keyword&gt;&lt;keyword&gt;*Serologic Tests/standards&lt;/keyword&gt;&lt;keyword&gt;Transglutaminases/*immunology&lt;/keyword&gt;&lt;/keywords&gt;&lt;dates&gt;&lt;year&gt;2017&lt;/year&gt;&lt;pub-dates&gt;&lt;date&gt;Jun&lt;/date&gt;&lt;/pub-dates&gt;&lt;/dates&gt;&lt;isbn&gt;0954-691x&lt;/isbn&gt;&lt;accession-num&gt;28441689&lt;/accession-num&gt;&lt;urls&gt;&lt;/urls&gt;&lt;electronic-resource-num&gt;10.1097/meg.0000000000000841&lt;/electronic-resource-num&gt;&lt;remote-database-provider&gt;NLM&lt;/remote-database-provider&gt;&lt;language&gt;eng&lt;/language&gt;&lt;/record&gt;&lt;/Cite&gt;&lt;/EndNote&gt;</w:instrText>
      </w:r>
      <w:r w:rsidRPr="003A3F88">
        <w:rPr>
          <w:rFonts w:cstheme="minorHAnsi"/>
        </w:rPr>
        <w:fldChar w:fldCharType="separate"/>
      </w:r>
      <w:r w:rsidR="00735CC0" w:rsidRPr="00735CC0">
        <w:rPr>
          <w:rFonts w:cstheme="minorHAnsi"/>
          <w:noProof/>
          <w:vertAlign w:val="superscript"/>
        </w:rPr>
        <w:t>225</w:t>
      </w:r>
      <w:r w:rsidRPr="003A3F88">
        <w:rPr>
          <w:rFonts w:cstheme="minorHAnsi"/>
        </w:rPr>
        <w:fldChar w:fldCharType="end"/>
      </w:r>
      <w:r w:rsidRPr="003A3F88">
        <w:rPr>
          <w:rFonts w:cstheme="minorHAnsi"/>
        </w:rPr>
        <w:t xml:space="preserve"> This study showed that at an IgA</w:t>
      </w:r>
      <w:r>
        <w:rPr>
          <w:rFonts w:cstheme="minorHAnsi"/>
        </w:rPr>
        <w:t xml:space="preserve"> tTG</w:t>
      </w:r>
      <w:r w:rsidRPr="003A3F88">
        <w:rPr>
          <w:rFonts w:cstheme="minorHAnsi"/>
        </w:rPr>
        <w:t xml:space="preserve"> antibody cut-off greater than 45 U/ml the positive predictive value for CD was 100% and that 40% of cases were above this cut-off.</w:t>
      </w:r>
    </w:p>
    <w:p w14:paraId="077F7E65" w14:textId="77777777" w:rsidR="00BF5EA3" w:rsidRPr="003A3F88" w:rsidRDefault="00BF5EA3" w:rsidP="003766F2">
      <w:pPr>
        <w:pStyle w:val="Heading4"/>
      </w:pPr>
      <w:bookmarkStart w:id="258" w:name="_Toc87507186"/>
      <w:r w:rsidRPr="003A3F88">
        <w:t>Diagnostic accuracy of tests</w:t>
      </w:r>
      <w:bookmarkEnd w:id="258"/>
    </w:p>
    <w:p w14:paraId="41208DB5" w14:textId="58B10100" w:rsidR="00BF5EA3" w:rsidRPr="003A3F88" w:rsidRDefault="00BF5EA3" w:rsidP="00BF5EA3">
      <w:pPr>
        <w:rPr>
          <w:rFonts w:cstheme="minorHAnsi"/>
        </w:rPr>
      </w:pPr>
      <w:r w:rsidRPr="003A3F88">
        <w:rPr>
          <w:rFonts w:cstheme="minorHAnsi"/>
        </w:rPr>
        <w:t xml:space="preserve">The diagnostic accuracy parameters </w:t>
      </w:r>
      <w:r>
        <w:rPr>
          <w:rFonts w:cstheme="minorHAnsi"/>
        </w:rPr>
        <w:t xml:space="preserve">for IgA tTG, IgA EMA and IgA tTG plus IgA EMA </w:t>
      </w:r>
      <w:r w:rsidRPr="003A3F88">
        <w:rPr>
          <w:rFonts w:cstheme="minorHAnsi"/>
        </w:rPr>
        <w:t>were informed by the diagnostic test accuracy meta-analys</w:t>
      </w:r>
      <w:r w:rsidRPr="00067317">
        <w:rPr>
          <w:rFonts w:cstheme="minorHAnsi"/>
        </w:rPr>
        <w:t>is (</w:t>
      </w:r>
      <w:r w:rsidRPr="00034C1E">
        <w:rPr>
          <w:rFonts w:cstheme="minorHAnsi"/>
        </w:rPr>
        <w:t>Chapter 5). The</w:t>
      </w:r>
      <w:r>
        <w:rPr>
          <w:rFonts w:cstheme="minorHAnsi"/>
        </w:rPr>
        <w:t xml:space="preserve"> diagnostic accuracy of HLA was informed by the genetic test accuracy meta-analysis (Chapter 6). In the serological followed by HLA and HLA followed by serological testing combinations, the second test was only used in patients </w:t>
      </w:r>
      <w:r w:rsidR="00767834">
        <w:rPr>
          <w:rFonts w:cstheme="minorHAnsi"/>
        </w:rPr>
        <w:t>who</w:t>
      </w:r>
      <w:r>
        <w:rPr>
          <w:rFonts w:cstheme="minorHAnsi"/>
        </w:rPr>
        <w:t xml:space="preserve">se post-(first)-test probability was less than 90%, aligning with the patient survey result that this was a threshold above which they would be willing to go on </w:t>
      </w:r>
      <w:r w:rsidR="00693CFF">
        <w:t xml:space="preserve">gluten-free diet </w:t>
      </w:r>
      <w:r>
        <w:rPr>
          <w:rFonts w:cstheme="minorHAnsi"/>
        </w:rPr>
        <w:t>(Chapter 7).</w:t>
      </w:r>
      <w:r w:rsidR="00067317">
        <w:rPr>
          <w:rFonts w:cstheme="minorHAnsi"/>
        </w:rPr>
        <w:t xml:space="preserve"> Estimates of test accuracy of serological tests was assumed to be independent of HLA accuracy</w:t>
      </w:r>
      <w:r w:rsidR="008313D0">
        <w:rPr>
          <w:rFonts w:cstheme="minorHAnsi"/>
        </w:rPr>
        <w:t xml:space="preserve">. </w:t>
      </w:r>
      <w:r w:rsidRPr="003A3F88">
        <w:rPr>
          <w:rFonts w:cstheme="minorHAnsi"/>
        </w:rPr>
        <w:t>All tests are followed by a confirmatory biopsy in those with a post-test probability still lower than 90%.</w:t>
      </w:r>
    </w:p>
    <w:p w14:paraId="18E92841" w14:textId="77777777" w:rsidR="00BF5EA3" w:rsidRPr="00305D05" w:rsidRDefault="00BF5EA3" w:rsidP="003766F2">
      <w:pPr>
        <w:pStyle w:val="Heading4"/>
      </w:pPr>
      <w:bookmarkStart w:id="259" w:name="_Toc87507187"/>
      <w:r w:rsidRPr="00305D05">
        <w:t>Costs</w:t>
      </w:r>
      <w:bookmarkEnd w:id="259"/>
    </w:p>
    <w:p w14:paraId="43BA14BD" w14:textId="4F05E1F7" w:rsidR="00BF5EA3" w:rsidRPr="003A3F88" w:rsidRDefault="00BF5EA3" w:rsidP="00BF5EA3">
      <w:pPr>
        <w:rPr>
          <w:rFonts w:cstheme="minorHAnsi"/>
        </w:rPr>
      </w:pPr>
      <w:r w:rsidRPr="003A3F88">
        <w:rPr>
          <w:rFonts w:cstheme="minorHAnsi"/>
        </w:rPr>
        <w:t xml:space="preserve">The model includes costs associated with diagnostic tests, biopsy, annual </w:t>
      </w:r>
      <w:r>
        <w:rPr>
          <w:rFonts w:cstheme="minorHAnsi"/>
        </w:rPr>
        <w:t>healthcare usage</w:t>
      </w:r>
      <w:r w:rsidRPr="003A3F88">
        <w:rPr>
          <w:rFonts w:cstheme="minorHAnsi"/>
        </w:rPr>
        <w:t xml:space="preserve"> costs </w:t>
      </w:r>
      <w:r>
        <w:rPr>
          <w:rFonts w:cstheme="minorHAnsi"/>
        </w:rPr>
        <w:t>in diagnosed CD patients</w:t>
      </w:r>
      <w:r w:rsidRPr="003A3F88">
        <w:rPr>
          <w:rFonts w:cstheme="minorHAnsi"/>
        </w:rPr>
        <w:t>, and annual costs of osteoporosis and NHL. A price year of 2018/19 was assumed, aligning with NHS reference costs.</w:t>
      </w:r>
      <w:r w:rsidR="00656EFA">
        <w:rPr>
          <w:rFonts w:cstheme="minorHAnsi"/>
        </w:rPr>
        <w:fldChar w:fldCharType="begin"/>
      </w:r>
      <w:r w:rsidR="00735CC0">
        <w:rPr>
          <w:rFonts w:cstheme="minorHAnsi"/>
        </w:rPr>
        <w:instrText xml:space="preserve"> ADDIN EN.CITE &lt;EndNote&gt;&lt;Cite&gt;&lt;Author&gt;National Health Service&lt;/Author&gt;&lt;Year&gt;2019&lt;/Year&gt;&lt;RecNum&gt;410&lt;/RecNum&gt;&lt;DisplayText&gt;&lt;style face="superscript"&gt;227&lt;/style&gt;&lt;/DisplayText&gt;&lt;record&gt;&lt;rec-number&gt;410&lt;/rec-number&gt;&lt;foreign-keys&gt;&lt;key app="EN" db-id="tdwrx9xd1z9eepeevr355w2k959rv0f5zaax" timestamp="1633338941"&gt;410&lt;/key&gt;&lt;/foreign-keys&gt;&lt;ref-type name="Generic"&gt;13&lt;/ref-type&gt;&lt;contributors&gt;&lt;authors&gt;&lt;author&gt;National Health Service,&lt;/author&gt;&lt;/authors&gt;&lt;secondary-authors&gt;&lt;author&gt;NHS&lt;/author&gt;&lt;/secondary-authors&gt;&lt;/contributors&gt;&lt;titles&gt;&lt;title&gt;National Schedule of NHS costs&lt;/title&gt;&lt;/titles&gt;&lt;dates&gt;&lt;year&gt;2019&lt;/year&gt;&lt;/dates&gt;&lt;pub-location&gt;https://www.england.nhs.uk/national-cost-collection/ [last accessed 05/10/2021]&lt;/pub-location&gt;&lt;urls&gt;&lt;/urls&gt;&lt;/record&gt;&lt;/Cite&gt;&lt;/EndNote&gt;</w:instrText>
      </w:r>
      <w:r w:rsidR="00656EFA">
        <w:rPr>
          <w:rFonts w:cstheme="minorHAnsi"/>
        </w:rPr>
        <w:fldChar w:fldCharType="separate"/>
      </w:r>
      <w:r w:rsidR="00735CC0" w:rsidRPr="00735CC0">
        <w:rPr>
          <w:rFonts w:cstheme="minorHAnsi"/>
          <w:noProof/>
          <w:vertAlign w:val="superscript"/>
        </w:rPr>
        <w:t>227</w:t>
      </w:r>
      <w:r w:rsidR="00656EFA">
        <w:rPr>
          <w:rFonts w:cstheme="minorHAnsi"/>
        </w:rPr>
        <w:fldChar w:fldCharType="end"/>
      </w:r>
      <w:r w:rsidRPr="003A3F88">
        <w:rPr>
          <w:rFonts w:cstheme="minorHAnsi"/>
        </w:rPr>
        <w:t xml:space="preserve"> The cost of </w:t>
      </w:r>
      <w:r>
        <w:rPr>
          <w:rFonts w:cstheme="minorHAnsi"/>
        </w:rPr>
        <w:t>IgA tTG, IgA EMA and HLA</w:t>
      </w:r>
      <w:r w:rsidRPr="003A3F88">
        <w:rPr>
          <w:rFonts w:cstheme="minorHAnsi"/>
        </w:rPr>
        <w:t xml:space="preserve"> tests were sourced from correspondence with hospitals and testing centres affiliated with our research team. The cost of biopsy was informed by NHS reference costs.</w:t>
      </w:r>
    </w:p>
    <w:p w14:paraId="54BA694E" w14:textId="05990CA2" w:rsidR="00BF5EA3" w:rsidRPr="003A3F88" w:rsidRDefault="00BF5EA3" w:rsidP="00BF5EA3">
      <w:pPr>
        <w:rPr>
          <w:rFonts w:cstheme="minorHAnsi"/>
        </w:rPr>
      </w:pPr>
      <w:r w:rsidRPr="003A3F88">
        <w:rPr>
          <w:rFonts w:cstheme="minorHAnsi"/>
        </w:rPr>
        <w:t xml:space="preserve">Along with test and biopsy costs, to get to a diagnosis, patients would also have nurse, GP, and/or specialist consultations. </w:t>
      </w:r>
      <w:r>
        <w:rPr>
          <w:rFonts w:cstheme="minorHAnsi"/>
        </w:rPr>
        <w:t xml:space="preserve">Our clinical and patient team advised on the likely pathway to diagnosis. </w:t>
      </w:r>
      <w:r w:rsidRPr="003A3F88">
        <w:rPr>
          <w:rFonts w:cstheme="minorHAnsi"/>
        </w:rPr>
        <w:t xml:space="preserve">We assumed that a person’s first appointment is either with a </w:t>
      </w:r>
      <w:r>
        <w:rPr>
          <w:rFonts w:cstheme="minorHAnsi"/>
        </w:rPr>
        <w:t>n</w:t>
      </w:r>
      <w:r w:rsidRPr="003A3F88">
        <w:rPr>
          <w:rFonts w:cstheme="minorHAnsi"/>
        </w:rPr>
        <w:t>urse or GP, at a cost of £10.85 or £39.23</w:t>
      </w:r>
      <w:r>
        <w:rPr>
          <w:rFonts w:cstheme="minorHAnsi"/>
        </w:rPr>
        <w:t xml:space="preserve">, </w:t>
      </w:r>
      <w:r w:rsidRPr="003A3F88">
        <w:rPr>
          <w:rFonts w:cstheme="minorHAnsi"/>
        </w:rPr>
        <w:t xml:space="preserve">respectively, </w:t>
      </w:r>
      <w:r>
        <w:rPr>
          <w:rFonts w:cstheme="minorHAnsi"/>
        </w:rPr>
        <w:t>with average £25.04</w:t>
      </w:r>
      <w:r w:rsidRPr="003A3F88">
        <w:rPr>
          <w:rFonts w:cstheme="minorHAnsi"/>
        </w:rPr>
        <w:t>, reported by the Personal Social Services Research Unit (PSSRU) 2020. This is assumed to be followed by phlebotomy at a cost of £4, following NHS reference costs 2018/19, and then by a further GP appointment.</w:t>
      </w:r>
      <w:r w:rsidR="00656EFA">
        <w:rPr>
          <w:rFonts w:cstheme="minorHAnsi"/>
        </w:rPr>
        <w:fldChar w:fldCharType="begin"/>
      </w:r>
      <w:r w:rsidR="00735CC0">
        <w:rPr>
          <w:rFonts w:cstheme="minorHAnsi"/>
        </w:rPr>
        <w:instrText xml:space="preserve"> ADDIN EN.CITE &lt;EndNote&gt;&lt;Cite&gt;&lt;Author&gt;NHS&lt;/Author&gt;&lt;Year&gt;2019&lt;/Year&gt;&lt;RecNum&gt;552&lt;/RecNum&gt;&lt;DisplayText&gt;&lt;style face="superscript"&gt;227, 229, 230&lt;/style&gt;&lt;/DisplayText&gt;&lt;record&gt;&lt;rec-number&gt;552&lt;/rec-number&gt;&lt;foreign-keys&gt;&lt;key app="EN" db-id="tdwrx9xd1z9eepeevr355w2k959rv0f5zaax" timestamp="1636620393"&gt;552&lt;/key&gt;&lt;/foreign-keys&gt;&lt;ref-type name="Generic"&gt;13&lt;/ref-type&gt;&lt;contributors&gt;&lt;authors&gt;&lt;author&gt;NHS,&lt;/author&gt;&lt;/authors&gt;&lt;/contributors&gt;&lt;titles&gt;&lt;title&gt;National Schedule of NHS costs&lt;/title&gt;&lt;/titles&gt;&lt;dates&gt;&lt;year&gt;2019&lt;/year&gt;&lt;/dates&gt;&lt;pub-location&gt;https://www.england.nhs.uk/national-cost-collection/ [last accessed 05/10/2021]&lt;/pub-location&gt;&lt;urls&gt;&lt;related-urls&gt;&lt;url&gt;https://www.england.nhs.uk/national-cost-collection/&lt;/url&gt;&lt;/related-urls&gt;&lt;/urls&gt;&lt;/record&gt;&lt;/Cite&gt;&lt;Cite&gt;&lt;Author&gt;NHS&lt;/Author&gt;&lt;Year&gt;2019&lt;/Year&gt;&lt;RecNum&gt;2719&lt;/RecNum&gt;&lt;record&gt;&lt;rec-number&gt;30&lt;/rec-number&gt;&lt;foreign-keys&gt;&lt;key app="EN" db-id="w9pwfv0xxa5v9vedxzkp20wvv52efwv0xppv" timestamp="1636614827"&gt;30&lt;/key&gt;&lt;/foreign-keys&gt;&lt;ref-type name="Government Document"&gt;46&lt;/ref-type&gt;&lt;contributors&gt;&lt;authors&gt;&lt;author&gt;NHS&lt;/author&gt;&lt;/authors&gt;&lt;/contributors&gt;&lt;titles&gt;&lt;title&gt;National Schedule of NHS costs&lt;/title&gt;&lt;/titles&gt;&lt;dates&gt;&lt;year&gt;2019&lt;/year&gt;&lt;/dates&gt;&lt;urls&gt;&lt;related-urls&gt;&lt;url&gt;https://www.england.nhs.uk/national-cost-collection/&lt;/url&gt;&lt;/related-urls&gt;&lt;/urls&gt;&lt;/record&gt;&lt;/Cite&gt;&lt;Cite&gt;&lt;Author&gt;National Health Service&lt;/Author&gt;&lt;Year&gt;2019&lt;/Year&gt;&lt;RecNum&gt;410&lt;/RecNum&gt;&lt;record&gt;&lt;rec-number&gt;410&lt;/rec-number&gt;&lt;foreign-keys&gt;&lt;key app="EN" db-id="tdwrx9xd1z9eepeevr355w2k959rv0f5zaax" timestamp="1633338941"&gt;410&lt;/key&gt;&lt;/foreign-keys&gt;&lt;ref-type name="Generic"&gt;13&lt;/ref-type&gt;&lt;contributors&gt;&lt;authors&gt;&lt;author&gt;National Health Service,&lt;/author&gt;&lt;/authors&gt;&lt;secondary-authors&gt;&lt;author&gt;NHS&lt;/author&gt;&lt;/secondary-authors&gt;&lt;/contributors&gt;&lt;titles&gt;&lt;title&gt;National Schedule of NHS costs&lt;/title&gt;&lt;/titles&gt;&lt;dates&gt;&lt;year&gt;2019&lt;/year&gt;&lt;/dates&gt;&lt;pub-location&gt;https://www.england.nhs.uk/national-cost-collection/ [last accessed 05/10/2021]&lt;/pub-location&gt;&lt;urls&gt;&lt;/urls&gt;&lt;/record&gt;&lt;/Cite&gt;&lt;/EndNote&gt;</w:instrText>
      </w:r>
      <w:r w:rsidR="00656EFA">
        <w:rPr>
          <w:rFonts w:cstheme="minorHAnsi"/>
        </w:rPr>
        <w:fldChar w:fldCharType="separate"/>
      </w:r>
      <w:r w:rsidR="00735CC0" w:rsidRPr="00735CC0">
        <w:rPr>
          <w:rFonts w:cstheme="minorHAnsi"/>
          <w:noProof/>
          <w:vertAlign w:val="superscript"/>
        </w:rPr>
        <w:t>227, 229, 230</w:t>
      </w:r>
      <w:r w:rsidR="00656EFA">
        <w:rPr>
          <w:rFonts w:cstheme="minorHAnsi"/>
        </w:rPr>
        <w:fldChar w:fldCharType="end"/>
      </w:r>
      <w:r w:rsidRPr="003A3F88">
        <w:rPr>
          <w:rFonts w:cstheme="minorHAnsi"/>
        </w:rPr>
        <w:t xml:space="preserve"> Following that, </w:t>
      </w:r>
      <w:r>
        <w:rPr>
          <w:rFonts w:cstheme="minorHAnsi"/>
        </w:rPr>
        <w:t>we assumed</w:t>
      </w:r>
      <w:r w:rsidRPr="003A3F88">
        <w:rPr>
          <w:rFonts w:cstheme="minorHAnsi"/>
        </w:rPr>
        <w:t xml:space="preserve"> patient</w:t>
      </w:r>
      <w:r>
        <w:rPr>
          <w:rFonts w:cstheme="minorHAnsi"/>
        </w:rPr>
        <w:t xml:space="preserve">s have </w:t>
      </w:r>
      <w:r w:rsidRPr="003A3F88">
        <w:rPr>
          <w:rFonts w:cstheme="minorHAnsi"/>
        </w:rPr>
        <w:t>on average one gastroenterology outpatient appointment costing £141 and two dietician appointments at a cost of £85 each before diagnosis, again from PSSRU. This gives a total cost of £379.27 (£25.04 + £4 + £39.23 + £141 + £170) for a patient to reach diagnosis. This cost is applied to both true positives and false positives in the model.</w:t>
      </w:r>
    </w:p>
    <w:p w14:paraId="0E66BC97" w14:textId="3035ED55" w:rsidR="00BF5EA3" w:rsidRPr="003A3F88" w:rsidRDefault="00BF5EA3" w:rsidP="00BF5EA3">
      <w:pPr>
        <w:rPr>
          <w:rFonts w:cstheme="minorHAnsi"/>
        </w:rPr>
      </w:pPr>
      <w:r w:rsidRPr="003A3F88">
        <w:rPr>
          <w:rFonts w:cstheme="minorHAnsi"/>
        </w:rPr>
        <w:t xml:space="preserve">Annual </w:t>
      </w:r>
      <w:r>
        <w:rPr>
          <w:rFonts w:cstheme="minorHAnsi"/>
        </w:rPr>
        <w:t>healthcare usage costs</w:t>
      </w:r>
      <w:r w:rsidRPr="003A3F88">
        <w:rPr>
          <w:rFonts w:cstheme="minorHAnsi"/>
        </w:rPr>
        <w:t xml:space="preserve"> for patients with CD was based on analysis of CPRD data which updated the analysis of Violato et al in 2012</w:t>
      </w:r>
      <w:r>
        <w:rPr>
          <w:rFonts w:cstheme="minorHAnsi"/>
        </w:rPr>
        <w:t xml:space="preserve">, with full details in </w:t>
      </w:r>
      <w:r w:rsidR="00656C5E">
        <w:rPr>
          <w:rFonts w:cstheme="minorHAnsi"/>
        </w:rPr>
        <w:t xml:space="preserve">Supplementary file, Chapter 8, CPRD </w:t>
      </w:r>
      <w:r w:rsidR="00656C5E">
        <w:rPr>
          <w:rFonts w:cstheme="minorHAnsi"/>
        </w:rPr>
        <w:lastRenderedPageBreak/>
        <w:t>analysis</w:t>
      </w:r>
      <w:r w:rsidRPr="003A3F88">
        <w:rPr>
          <w:rFonts w:cstheme="minorHAnsi"/>
        </w:rPr>
        <w:t>.</w:t>
      </w:r>
      <w:r w:rsidRPr="003A3F88">
        <w:rPr>
          <w:rFonts w:cstheme="minorHAnsi"/>
        </w:rPr>
        <w:fldChar w:fldCharType="begin"/>
      </w:r>
      <w:r w:rsidR="00735CC0">
        <w:rPr>
          <w:rFonts w:cstheme="minorHAnsi"/>
        </w:rPr>
        <w:instrText xml:space="preserve"> ADDIN EN.CITE &lt;EndNote&gt;&lt;Cite&gt;&lt;Author&gt;Violato&lt;/Author&gt;&lt;Year&gt;2012&lt;/Year&gt;&lt;RecNum&gt;573&lt;/RecNum&gt;&lt;DisplayText&gt;&lt;style face="superscript"&gt;51&lt;/style&gt;&lt;/DisplayText&gt;&lt;record&gt;&lt;rec-number&gt;573&lt;/rec-number&gt;&lt;foreign-keys&gt;&lt;key app="EN" db-id="tdwrx9xd1z9eepeevr355w2k959rv0f5zaax" timestamp="1636620393"&gt;573&lt;/key&gt;&lt;/foreign-keys&gt;&lt;ref-type name="Journal Article"&gt;17&lt;/ref-type&gt;&lt;contributors&gt;&lt;authors&gt;&lt;author&gt;Violato, Mara&lt;/author&gt;&lt;author&gt;Gray, Alastair&lt;/author&gt;&lt;author&gt;Papanicolas, Irini&lt;/author&gt;&lt;author&gt;Ouellet, Melissa&lt;/author&gt;&lt;/authors&gt;&lt;/contributors&gt;&lt;titles&gt;&lt;title&gt;Resource Use and Costs Associated with Coeliac Disease before and after Diagnosis in 3,646 Cases: Results of a UK Primary Care Database Analysis&lt;/title&gt;&lt;secondary-title&gt;PLOS ONE&lt;/secondary-title&gt;&lt;/titles&gt;&lt;periodical&gt;&lt;full-title&gt;PLoS ONE&lt;/full-title&gt;&lt;/periodical&gt;&lt;pages&gt;e41308&lt;/pages&gt;&lt;volume&gt;7&lt;/volume&gt;&lt;number&gt;7&lt;/number&gt;&lt;dates&gt;&lt;year&gt;2012&lt;/year&gt;&lt;/dates&gt;&lt;publisher&gt;Public Library of Science&lt;/publisher&gt;&lt;urls&gt;&lt;related-urls&gt;&lt;url&gt;https://doi.org/10.1371/journal.pone.0041308&lt;/url&gt;&lt;/related-urls&gt;&lt;/urls&gt;&lt;electronic-resource-num&gt;10.1371/journal.pone.0041308&lt;/electronic-resource-num&gt;&lt;/record&gt;&lt;/Cite&gt;&lt;/EndNote&gt;</w:instrText>
      </w:r>
      <w:r w:rsidRPr="003A3F88">
        <w:rPr>
          <w:rFonts w:cstheme="minorHAnsi"/>
        </w:rPr>
        <w:fldChar w:fldCharType="separate"/>
      </w:r>
      <w:r w:rsidR="00735CC0" w:rsidRPr="00735CC0">
        <w:rPr>
          <w:rFonts w:cstheme="minorHAnsi"/>
          <w:noProof/>
          <w:vertAlign w:val="superscript"/>
        </w:rPr>
        <w:t>51</w:t>
      </w:r>
      <w:r w:rsidRPr="003A3F88">
        <w:rPr>
          <w:rFonts w:cstheme="minorHAnsi"/>
        </w:rPr>
        <w:fldChar w:fldCharType="end"/>
      </w:r>
      <w:r w:rsidRPr="003A3F88">
        <w:rPr>
          <w:rFonts w:cstheme="minorHAnsi"/>
        </w:rPr>
        <w:t xml:space="preserve"> Following this earlier analysis, we quantified the volume of healthcare resources in terms of primary care consultations, tests, referrals to out-patient hospital care, and prescriptions used by individuals diagnosed with CD up to ten years before and after diagnosis in a UK primary care setting. The volume of resources along with unit costs have been used to estimate overall medical costs associated with a true positive or false negative diagnosis. </w:t>
      </w:r>
      <w:bookmarkStart w:id="260" w:name="_Hlk62217058"/>
      <w:r w:rsidRPr="003A3F88">
        <w:rPr>
          <w:rFonts w:cstheme="minorHAnsi"/>
        </w:rPr>
        <w:t>A limitation of this analysis is that referrals to gastroenterology are likely to only include adult referrals as children referred to gastroenterology are normally recorded under paediatrics. The unit costs used and a breakdown of costs is provided</w:t>
      </w:r>
      <w:r w:rsidR="00DC55AB">
        <w:rPr>
          <w:rFonts w:cstheme="minorHAnsi"/>
        </w:rPr>
        <w:t xml:space="preserve"> </w:t>
      </w:r>
      <w:r w:rsidR="00C13359">
        <w:rPr>
          <w:rFonts w:cstheme="minorHAnsi"/>
        </w:rPr>
        <w:t xml:space="preserve">Supplementary Table </w:t>
      </w:r>
      <w:r w:rsidR="00C13359" w:rsidRPr="006168CD">
        <w:rPr>
          <w:rFonts w:cstheme="minorHAnsi"/>
        </w:rPr>
        <w:t>S</w:t>
      </w:r>
      <w:r w:rsidR="006168CD" w:rsidRPr="00034C1E">
        <w:rPr>
          <w:rFonts w:cstheme="minorHAnsi"/>
        </w:rPr>
        <w:t>17 and S18</w:t>
      </w:r>
      <w:r w:rsidRPr="006168CD">
        <w:rPr>
          <w:rFonts w:cstheme="minorHAnsi"/>
        </w:rPr>
        <w:t>.</w:t>
      </w:r>
    </w:p>
    <w:p w14:paraId="165DABDF" w14:textId="6A7F30FF" w:rsidR="00BF5EA3" w:rsidRPr="003A3F88" w:rsidRDefault="00BF5EA3" w:rsidP="00BF5EA3">
      <w:pPr>
        <w:rPr>
          <w:rFonts w:cstheme="minorHAnsi"/>
        </w:rPr>
      </w:pPr>
      <w:r w:rsidRPr="003A3F88">
        <w:rPr>
          <w:rFonts w:cstheme="minorHAnsi"/>
        </w:rPr>
        <w:t xml:space="preserve">The model assumed that </w:t>
      </w:r>
      <w:r>
        <w:rPr>
          <w:rFonts w:cstheme="minorHAnsi"/>
        </w:rPr>
        <w:t xml:space="preserve">patients falsely diagnosed with CD would follow a </w:t>
      </w:r>
      <w:r w:rsidR="00557034">
        <w:rPr>
          <w:rFonts w:cstheme="minorHAnsi"/>
        </w:rPr>
        <w:t xml:space="preserve">gluten-free diet </w:t>
      </w:r>
      <w:r>
        <w:rPr>
          <w:rFonts w:cstheme="minorHAnsi"/>
        </w:rPr>
        <w:t xml:space="preserve">for a limited time before stopping. Although such patients are not included in the Markov model, we count this short term impact in the total costs (and total effects). Following input from clinicians and patient advisors on likely time to decide diet is not of benefit, we assumed this time would be </w:t>
      </w:r>
      <w:r w:rsidRPr="003A3F88">
        <w:rPr>
          <w:rFonts w:cstheme="minorHAnsi"/>
        </w:rPr>
        <w:t>1 year with a lognormal distribution to reflect skew toward longer durations</w:t>
      </w:r>
      <w:r>
        <w:rPr>
          <w:rFonts w:cstheme="minorHAnsi"/>
        </w:rPr>
        <w:t>.</w:t>
      </w:r>
      <w:r w:rsidRPr="003A3F88">
        <w:rPr>
          <w:rFonts w:cstheme="minorHAnsi"/>
        </w:rPr>
        <w:t xml:space="preserve"> </w:t>
      </w:r>
      <w:r>
        <w:rPr>
          <w:rFonts w:cstheme="minorHAnsi"/>
        </w:rPr>
        <w:t>T</w:t>
      </w:r>
      <w:r w:rsidRPr="003A3F88">
        <w:rPr>
          <w:rFonts w:cstheme="minorHAnsi"/>
        </w:rPr>
        <w:t>he only additional costs incurred by people with a false positive diagnosis of CD was the cost of</w:t>
      </w:r>
      <w:r>
        <w:rPr>
          <w:rFonts w:cstheme="minorHAnsi"/>
        </w:rPr>
        <w:t xml:space="preserve"> non-NHS reimbursed </w:t>
      </w:r>
      <w:r w:rsidRPr="003A3F88">
        <w:rPr>
          <w:rFonts w:cstheme="minorHAnsi"/>
        </w:rPr>
        <w:t>gluten free product</w:t>
      </w:r>
      <w:r>
        <w:rPr>
          <w:rFonts w:cstheme="minorHAnsi"/>
        </w:rPr>
        <w:t>s. We assumed n</w:t>
      </w:r>
      <w:r w:rsidRPr="003A3F88">
        <w:rPr>
          <w:rFonts w:cstheme="minorHAnsi"/>
        </w:rPr>
        <w:t xml:space="preserve">o </w:t>
      </w:r>
      <w:r>
        <w:rPr>
          <w:rFonts w:cstheme="minorHAnsi"/>
        </w:rPr>
        <w:t>other</w:t>
      </w:r>
      <w:r w:rsidRPr="003A3F88">
        <w:rPr>
          <w:rFonts w:cstheme="minorHAnsi"/>
        </w:rPr>
        <w:t xml:space="preserve"> costs are incurred by people with a true negative diagnosis</w:t>
      </w:r>
      <w:r>
        <w:rPr>
          <w:rFonts w:cstheme="minorHAnsi"/>
        </w:rPr>
        <w:t>.</w:t>
      </w:r>
      <w:r w:rsidRPr="003A3F88">
        <w:rPr>
          <w:rFonts w:cstheme="minorHAnsi"/>
        </w:rPr>
        <w:t xml:space="preserve"> </w:t>
      </w:r>
    </w:p>
    <w:bookmarkEnd w:id="260"/>
    <w:p w14:paraId="22975AA3" w14:textId="5B864D8F" w:rsidR="00BF5EA3" w:rsidRPr="003A3F88" w:rsidRDefault="00BF5EA3" w:rsidP="00BF5EA3">
      <w:pPr>
        <w:rPr>
          <w:rFonts w:cstheme="minorHAnsi"/>
        </w:rPr>
      </w:pPr>
      <w:r w:rsidRPr="003A3F88">
        <w:rPr>
          <w:rFonts w:cstheme="minorHAnsi"/>
        </w:rPr>
        <w:t>The cost associated with NHL was based on a study by Wang et al 2017</w:t>
      </w:r>
      <w:r w:rsidR="00620FB7">
        <w:rPr>
          <w:rFonts w:cstheme="minorHAnsi"/>
        </w:rPr>
        <w:t>,</w:t>
      </w:r>
      <w:r w:rsidRPr="003A3F88">
        <w:rPr>
          <w:rFonts w:cstheme="minorHAnsi"/>
        </w:rPr>
        <w:fldChar w:fldCharType="begin">
          <w:fldData xml:space="preserve">PEVuZE5vdGU+PENpdGU+PEF1dGhvcj5XYW5nPC9BdXRob3I+PFllYXI+MjAxNzwvWWVhcj48UmVj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</w:fldData>
        </w:fldChar>
      </w:r>
      <w:r w:rsidR="00735CC0">
        <w:rPr>
          <w:rFonts w:cstheme="minorHAnsi"/>
        </w:rPr>
        <w:instrText xml:space="preserve"> ADDIN EN.CITE </w:instrText>
      </w:r>
      <w:r w:rsidR="00735CC0">
        <w:rPr>
          <w:rFonts w:cstheme="minorHAnsi"/>
        </w:rPr>
        <w:fldChar w:fldCharType="begin">
          <w:fldData xml:space="preserve">PEVuZE5vdGU+PENpdGU+PEF1dGhvcj5XYW5nPC9BdXRob3I+PFllYXI+MjAxNzwvWWVhcj48UmVj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sidRPr="003A3F88">
        <w:rPr>
          <w:rFonts w:cstheme="minorHAnsi"/>
        </w:rPr>
      </w:r>
      <w:r w:rsidRPr="003A3F88">
        <w:rPr>
          <w:rFonts w:cstheme="minorHAnsi"/>
        </w:rPr>
        <w:fldChar w:fldCharType="separate"/>
      </w:r>
      <w:r w:rsidR="00735CC0" w:rsidRPr="00735CC0">
        <w:rPr>
          <w:rFonts w:cstheme="minorHAnsi"/>
          <w:noProof/>
          <w:vertAlign w:val="superscript"/>
        </w:rPr>
        <w:t>231</w:t>
      </w:r>
      <w:r w:rsidRPr="003A3F88">
        <w:rPr>
          <w:rFonts w:cstheme="minorHAnsi"/>
        </w:rPr>
        <w:fldChar w:fldCharType="end"/>
      </w:r>
      <w:r w:rsidRPr="003A3F88">
        <w:rPr>
          <w:rFonts w:cstheme="minorHAnsi"/>
        </w:rPr>
        <w:t xml:space="preserve"> which followed all patients newly diagnosed with Diffuse large B-cell lymphoma in the UK’s population-based Haematological Malignancy Research Network from 2007 until 2013 (n = 271). Mapped treatment pathways, alongside cost information derived from the National Tariff 2013/14, were incorporated into a patient-level simulation model to reflect heterogeneities in patient characteristics and treatment options. As treatment for NHL is usually complete within 5 years, most costs were estimated to fall within 5 years. The average cost per patient was £18,096 (18,078–18,114) over a 5-year time horizon and £18,396 (18,377–18,415) over a lifetime horizon. Using lifetime costs is problematic for a cohort Markov model as some patients may develop NHL at advanced age and not have many additional years to incur costs. However, the NHL model factors in different survival times when estimating the treatment costs, so patients would incur fewer costs if they died within a shorter time. We therefore assumed a one-off cost of the lifetime cost £18,396 (18,377–18,415) with a lognormal distribution.</w:t>
      </w:r>
    </w:p>
    <w:p w14:paraId="237CE3C7" w14:textId="2899E385" w:rsidR="00BF5EA3" w:rsidRPr="003A3F88" w:rsidRDefault="00BF5EA3" w:rsidP="00BF5EA3">
      <w:pPr>
        <w:rPr>
          <w:rFonts w:cstheme="minorHAnsi"/>
        </w:rPr>
      </w:pPr>
      <w:r w:rsidRPr="003A3F88">
        <w:rPr>
          <w:rFonts w:cstheme="minorHAnsi"/>
        </w:rPr>
        <w:t>For the cost associated with osteoporosis, a similar approach to the NICE model was taken with the cost being equal to the annual probability of hip, vertebral and wrist fracture multiplied by the cost of each type of fracture. Probabilities were estimated from Curtis et al who used CPRD data to look at trends in fracture rates in the UK over a 24-year period from 1988-2012.</w:t>
      </w:r>
      <w:r w:rsidRPr="003A3F88">
        <w:rPr>
          <w:rFonts w:cstheme="minorHAnsi"/>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Pr>
          <w:rFonts w:cstheme="minorHAnsi"/>
        </w:rPr>
        <w:instrText xml:space="preserve"> ADDIN EN.CITE </w:instrText>
      </w:r>
      <w:r w:rsidR="00735CC0">
        <w:rPr>
          <w:rFonts w:cstheme="minorHAnsi"/>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sidRPr="003A3F88">
        <w:rPr>
          <w:rFonts w:cstheme="minorHAnsi"/>
        </w:rPr>
      </w:r>
      <w:r w:rsidRPr="003A3F88">
        <w:rPr>
          <w:rFonts w:cstheme="minorHAnsi"/>
        </w:rPr>
        <w:fldChar w:fldCharType="separate"/>
      </w:r>
      <w:r w:rsidR="00735CC0" w:rsidRPr="00735CC0">
        <w:rPr>
          <w:rFonts w:cstheme="minorHAnsi"/>
          <w:noProof/>
          <w:vertAlign w:val="superscript"/>
        </w:rPr>
        <w:t>232</w:t>
      </w:r>
      <w:r w:rsidRPr="003A3F88">
        <w:rPr>
          <w:rFonts w:cstheme="minorHAnsi"/>
        </w:rPr>
        <w:fldChar w:fldCharType="end"/>
      </w:r>
      <w:r w:rsidRPr="003A3F88">
        <w:rPr>
          <w:rFonts w:cstheme="minorHAnsi"/>
        </w:rPr>
        <w:t xml:space="preserve"> The rate of hip, clinical vertebral and carpus (wrist) fractures found in those aged 18-49 and 50+ is shown in </w:t>
      </w:r>
      <w:r w:rsidR="007C010F">
        <w:rPr>
          <w:rFonts w:cstheme="minorHAnsi"/>
        </w:rPr>
        <w:t>Appendix</w:t>
      </w:r>
      <w:r w:rsidR="00CC1F14">
        <w:rPr>
          <w:rFonts w:cstheme="minorHAnsi"/>
        </w:rPr>
        <w:t xml:space="preserve"> 27 </w:t>
      </w:r>
      <w:r w:rsidR="00963D69">
        <w:rPr>
          <w:rFonts w:cstheme="minorHAnsi"/>
        </w:rPr>
        <w:fldChar w:fldCharType="begin"/>
      </w:r>
      <w:r w:rsidR="00963D69">
        <w:rPr>
          <w:rFonts w:cstheme="minorHAnsi"/>
        </w:rPr>
        <w:instrText xml:space="preserve"> REF _Ref95384159 \h </w:instrText>
      </w:r>
      <w:r w:rsidR="00963D69">
        <w:rPr>
          <w:rFonts w:cstheme="minorHAnsi"/>
        </w:rPr>
      </w:r>
      <w:r w:rsidR="00963D69">
        <w:rPr>
          <w:rFonts w:cstheme="minorHAnsi"/>
        </w:rPr>
        <w:fldChar w:fldCharType="separate"/>
      </w:r>
      <w:r w:rsidR="008B5583" w:rsidRPr="00305D05">
        <w:rPr>
          <w:rFonts w:cstheme="minorHAnsi"/>
        </w:rPr>
        <w:t xml:space="preserve">Table </w:t>
      </w:r>
      <w:r w:rsidR="008B5583">
        <w:rPr>
          <w:rFonts w:cstheme="minorHAnsi"/>
          <w:noProof/>
        </w:rPr>
        <w:t>66</w:t>
      </w:r>
      <w:r w:rsidR="00963D69">
        <w:rPr>
          <w:rFonts w:cstheme="minorHAnsi"/>
        </w:rPr>
        <w:fldChar w:fldCharType="end"/>
      </w:r>
      <w:r w:rsidRPr="003A3F88">
        <w:rPr>
          <w:rFonts w:cstheme="minorHAnsi"/>
        </w:rPr>
        <w:t>.</w:t>
      </w:r>
    </w:p>
    <w:p w14:paraId="4583B28E" w14:textId="4B3DE460" w:rsidR="00BF5EA3" w:rsidRDefault="00BF5EA3" w:rsidP="00BF5EA3">
      <w:pPr>
        <w:rPr>
          <w:rFonts w:cstheme="minorHAnsi"/>
        </w:rPr>
      </w:pPr>
      <w:r w:rsidRPr="00042B71">
        <w:rPr>
          <w:rFonts w:cstheme="minorHAnsi"/>
        </w:rPr>
        <w:t>For the cost associated with hip fractures, Leal et al estimated hospital costs up to 2 years post-fracture using a cohort of 33,152 patients aged over 60 years admitted with a hip fracture in a UK region between 2003 and 2013 who were identified from hospital records and followed until death or administrative censoring. The mean censor-adjusted 2-year hospital cost after index hip fracture was £16,302 (95 % CI £16,097 to £16,515).</w:t>
      </w:r>
      <w:r w:rsidRPr="00042B71">
        <w:rPr>
          <w:rFonts w:cstheme="minorHAnsi"/>
        </w:rPr>
        <w:fldChar w:fldCharType="begin"/>
      </w:r>
      <w:r w:rsidR="00735CC0">
        <w:rPr>
          <w:rFonts w:cstheme="minorHAnsi"/>
        </w:rPr>
        <w:instrText xml:space="preserve"> ADDIN EN.CITE &lt;EndNote&gt;&lt;Cite&gt;&lt;Author&gt;Leal&lt;/Author&gt;&lt;Year&gt;2016&lt;/Year&gt;&lt;RecNum&gt;2726&lt;/RecNum&gt;&lt;DisplayText&gt;&lt;style face="superscript"&gt;233&lt;/style&gt;&lt;/DisplayText&gt;&lt;record&gt;&lt;rec-number&gt;35&lt;/rec-number&gt;&lt;foreign-keys&gt;&lt;key app="EN" db-id="w9pwfv0xxa5v9vedxzkp20wvv52efwv0xppv" timestamp="1636614827"&gt;35&lt;/key&gt;&lt;/foreign-keys&gt;&lt;ref-type name="Journal Article"&gt;17&lt;/ref-type&gt;&lt;contributors&gt;&lt;authors&gt;&lt;author&gt;Leal, J.&lt;/author&gt;&lt;author&gt;Gray, A. M.&lt;/author&gt;&lt;author&gt;Prieto-Alhambra, D.&lt;/author&gt;&lt;author&gt;Arden, N. K.&lt;/author&gt;&lt;author&gt;Cooper, C.&lt;/author&gt;&lt;author&gt;Javaid, M. K.&lt;/author&gt;&lt;author&gt;Judge, A.&lt;/author&gt;&lt;author&gt;The, REFReSH study group&lt;/author&gt;&lt;/authors&gt;&lt;/contributors&gt;&lt;titles&gt;&lt;title&gt;Impact of hip fracture on hospital care costs: a population-based study&lt;/title&gt;&lt;secondary-title&gt;Osteoporosis International&lt;/secondary-title&gt;&lt;/titles&gt;&lt;periodical&gt;&lt;full-title&gt;Osteoporosis International&lt;/full-title&gt;&lt;/periodical&gt;&lt;pages&gt;549-558&lt;/pages&gt;&lt;volume&gt;27&lt;/volume&gt;&lt;number&gt;2&lt;/number&gt;&lt;dates&gt;&lt;year&gt;2016&lt;/year&gt;&lt;pub-dates&gt;&lt;date&gt;2016/02/01&lt;/date&gt;&lt;/pub-dates&gt;&lt;/dates&gt;&lt;isbn&gt;1433-2965&lt;/isbn&gt;&lt;urls&gt;&lt;related-urls&gt;&lt;url&gt;https://doi.org/10.1007/s00198-015-3277-9&lt;/url&gt;&lt;/related-urls&gt;&lt;/urls&gt;&lt;electronic-resource-num&gt;10.1007/s00198-015-3277-9&lt;/electronic-resource-num&gt;&lt;/record&gt;&lt;/Cite&gt;&lt;/EndNote&gt;</w:instrText>
      </w:r>
      <w:r w:rsidRPr="00042B71">
        <w:rPr>
          <w:rFonts w:cstheme="minorHAnsi"/>
        </w:rPr>
        <w:fldChar w:fldCharType="separate"/>
      </w:r>
      <w:r w:rsidR="00735CC0" w:rsidRPr="00735CC0">
        <w:rPr>
          <w:rFonts w:cstheme="minorHAnsi"/>
          <w:noProof/>
          <w:vertAlign w:val="superscript"/>
        </w:rPr>
        <w:t>233</w:t>
      </w:r>
      <w:r w:rsidRPr="00042B71">
        <w:rPr>
          <w:rFonts w:cstheme="minorHAnsi"/>
        </w:rPr>
        <w:fldChar w:fldCharType="end"/>
      </w:r>
      <w:r w:rsidRPr="00042B71">
        <w:rPr>
          <w:rFonts w:cstheme="minorHAnsi"/>
        </w:rPr>
        <w:t xml:space="preserve"> For costs associated with vertebral and wrist fractures we use estimates from Dolan and Torgerson 1998</w:t>
      </w:r>
      <w:r w:rsidRPr="00042B71">
        <w:rPr>
          <w:rFonts w:cstheme="minorHAnsi"/>
        </w:rPr>
        <w:fldChar w:fldCharType="begin"/>
      </w:r>
      <w:r w:rsidR="00735CC0">
        <w:rPr>
          <w:rFonts w:cstheme="minorHAnsi"/>
        </w:rPr>
        <w:instrText xml:space="preserve"> ADDIN EN.CITE &lt;EndNote&gt;&lt;Cite&gt;&lt;Author&gt;Dolan&lt;/Author&gt;&lt;Year&gt;1998&lt;/Year&gt;&lt;RecNum&gt;2727&lt;/RecNum&gt;&lt;DisplayText&gt;&lt;style face="superscript"&gt;234&lt;/style&gt;&lt;/DisplayText&gt;&lt;record&gt;&lt;rec-number&gt;36&lt;/rec-number&gt;&lt;foreign-keys&gt;&lt;key app="EN" db-id="w9pwfv0xxa5v9vedxzkp20wvv52efwv0xppv" timestamp="1636614827"&gt;36&lt;/key&gt;&lt;/foreign-keys&gt;&lt;ref-type name="Journal Article"&gt;17&lt;/ref-type&gt;&lt;contributors&gt;&lt;authors&gt;&lt;author&gt;Dolan, P.&lt;/author&gt;&lt;author&gt;Torgerson, D. J.&lt;/author&gt;&lt;/authors&gt;&lt;/contributors&gt;&lt;titles&gt;&lt;title&gt;The Cost of Treating Osteoporotic Fractures in the United Kingdom Female Population&lt;/title&gt;&lt;secondary-title&gt;Osteoporosis International&lt;/secondary-title&gt;&lt;/titles&gt;&lt;periodical&gt;&lt;full-title&gt;Osteoporosis International&lt;/full-title&gt;&lt;/periodical&gt;&lt;pages&gt;611-617&lt;/pages&gt;&lt;volume&gt;8&lt;/volume&gt;&lt;number&gt;6&lt;/number&gt;&lt;dates&gt;&lt;year&gt;1998&lt;/year&gt;&lt;pub-dates&gt;&lt;date&gt;1998/11/01&lt;/date&gt;&lt;/pub-dates&gt;&lt;/dates&gt;&lt;isbn&gt;1433-2965&lt;/isbn&gt;&lt;urls&gt;&lt;related-urls&gt;&lt;url&gt;https://doi.org/10.1007/s001980050107&lt;/url&gt;&lt;/related-urls&gt;&lt;/urls&gt;&lt;electronic-resource-num&gt;10.1007/s001980050107&lt;/electronic-resource-num&gt;&lt;/record&gt;&lt;/Cite&gt;&lt;/EndNote&gt;</w:instrText>
      </w:r>
      <w:r w:rsidRPr="00042B71">
        <w:rPr>
          <w:rFonts w:cstheme="minorHAnsi"/>
        </w:rPr>
        <w:fldChar w:fldCharType="separate"/>
      </w:r>
      <w:r w:rsidR="00735CC0" w:rsidRPr="00735CC0">
        <w:rPr>
          <w:rFonts w:cstheme="minorHAnsi"/>
          <w:noProof/>
          <w:vertAlign w:val="superscript"/>
        </w:rPr>
        <w:t>234</w:t>
      </w:r>
      <w:r w:rsidRPr="00042B71">
        <w:rPr>
          <w:rFonts w:cstheme="minorHAnsi"/>
        </w:rPr>
        <w:fldChar w:fldCharType="end"/>
      </w:r>
      <w:r w:rsidRPr="00042B71">
        <w:rPr>
          <w:rFonts w:cstheme="minorHAnsi"/>
        </w:rPr>
        <w:t xml:space="preserve"> who estimated the cost per wrist fracture as £468 per annum and vertebral fracture as £479. These were based on health and social care costs of fractures in women aged 50+ in the UK using a variety of data sources including published estimates, a survey of resource use among fracture patients before and after hip fracture and a case–control study using GPRD. All costs are inflated to current day prices using the Composite Price Index published by ONS.</w:t>
      </w:r>
      <w:r w:rsidR="00FB4D72">
        <w:rPr>
          <w:rFonts w:cstheme="minorHAnsi"/>
        </w:rPr>
        <w:fldChar w:fldCharType="begin"/>
      </w:r>
      <w:r w:rsidR="00735CC0">
        <w:rPr>
          <w:rFonts w:cstheme="minorHAnsi"/>
        </w:rPr>
        <w:instrText xml:space="preserve"> ADDIN EN.CITE &lt;EndNote&gt;&lt;Cite&gt;&lt;Author&gt;ONS&lt;/Author&gt;&lt;Year&gt;2021&lt;/Year&gt;&lt;RecNum&gt;557&lt;/RecNum&gt;&lt;DisplayText&gt;&lt;style face="superscript"&gt;235, 236&lt;/style&gt;&lt;/DisplayText&gt;&lt;record&gt;&lt;rec-number&gt;557&lt;/rec-number&gt;&lt;foreign-keys&gt;&lt;key app="EN" db-id="tdwrx9xd1z9eepeevr355w2k959rv0f5zaax" timestamp="1636620393"&gt;557&lt;/key&gt;&lt;/foreign-keys&gt;&lt;ref-type name="Generic"&gt;13&lt;/ref-type&gt;&lt;contributors&gt;&lt;authors&gt;&lt;author&gt;ONS,&lt;/author&gt;&lt;/authors&gt;&lt;/contributors&gt;&lt;titles&gt;&lt;title&gt;Consumer price inflation tables&lt;/title&gt;&lt;/titles&gt;&lt;dates&gt;&lt;year&gt;2021&lt;/year&gt;&lt;/dates&gt;&lt;pub-location&gt;www.ons.gov.uk/economy/inflationandpriceindices/datasets/consumerpriceinflation [last accessed 11/11/2021]&lt;/pub-location&gt;&lt;urls&gt;&lt;/urls&gt;&lt;/record&gt;&lt;/Cite&gt;&lt;Cite&gt;&lt;Author&gt;ONS&lt;/Author&gt;&lt;Year&gt;2021&lt;/Year&gt;&lt;RecNum&gt;418&lt;/RecNum&gt;&lt;record&gt;&lt;rec-number&gt;418&lt;/rec-number&gt;&lt;foreign-keys&gt;&lt;key app="EN" db-id="tdwrx9xd1z9eepeevr355w2k959rv0f5zaax" timestamp="1633338942"&gt;418&lt;/key&gt;&lt;/foreign-keys&gt;&lt;ref-type name="Government Document"&gt;46&lt;/ref-type&gt;&lt;contributors&gt;&lt;authors&gt;&lt;author&gt;ONS&lt;/author&gt;&lt;/authors&gt;&lt;/contributors&gt;&lt;titles&gt;&lt;title&gt;Consumer price inflation tables&lt;/title&gt;&lt;/titles&gt;&lt;dates&gt;&lt;year&gt;2021&lt;/year&gt;&lt;/dates&gt;&lt;urls&gt;&lt;/urls&gt;&lt;/record&gt;&lt;/Cite&gt;&lt;/EndNote&gt;</w:instrText>
      </w:r>
      <w:r w:rsidR="00FB4D72">
        <w:rPr>
          <w:rFonts w:cstheme="minorHAnsi"/>
        </w:rPr>
        <w:fldChar w:fldCharType="separate"/>
      </w:r>
      <w:r w:rsidR="00735CC0" w:rsidRPr="00735CC0">
        <w:rPr>
          <w:rFonts w:cstheme="minorHAnsi"/>
          <w:noProof/>
          <w:vertAlign w:val="superscript"/>
        </w:rPr>
        <w:t>235, 236</w:t>
      </w:r>
      <w:r w:rsidR="00FB4D72">
        <w:rPr>
          <w:rFonts w:cstheme="minorHAnsi"/>
        </w:rPr>
        <w:fldChar w:fldCharType="end"/>
      </w:r>
      <w:r w:rsidRPr="00042B71">
        <w:rPr>
          <w:rFonts w:cstheme="minorHAnsi"/>
        </w:rPr>
        <w:t xml:space="preserve"> The overall assumed annual cost of osteoporosis is shown in </w:t>
      </w:r>
      <w:r w:rsidR="001F3C9E">
        <w:rPr>
          <w:rFonts w:cstheme="minorHAnsi"/>
        </w:rPr>
        <w:t xml:space="preserve">Appendix 27 </w:t>
      </w:r>
      <w:r w:rsidR="001F3C9E">
        <w:rPr>
          <w:rFonts w:cstheme="minorHAnsi"/>
        </w:rPr>
        <w:lastRenderedPageBreak/>
        <w:fldChar w:fldCharType="begin"/>
      </w:r>
      <w:r w:rsidR="001F3C9E">
        <w:rPr>
          <w:rFonts w:cstheme="minorHAnsi"/>
        </w:rPr>
        <w:instrText xml:space="preserve"> REF _Ref95384068 \h </w:instrText>
      </w:r>
      <w:r w:rsidR="001F3C9E">
        <w:rPr>
          <w:rFonts w:cstheme="minorHAnsi"/>
        </w:rPr>
      </w:r>
      <w:r w:rsidR="001F3C9E">
        <w:rPr>
          <w:rFonts w:cstheme="minorHAnsi"/>
        </w:rPr>
        <w:fldChar w:fldCharType="separate"/>
      </w:r>
      <w:r w:rsidR="008B5583" w:rsidRPr="00612ABA">
        <w:t xml:space="preserve">Table </w:t>
      </w:r>
      <w:r w:rsidR="008B5583">
        <w:rPr>
          <w:noProof/>
        </w:rPr>
        <w:t>67</w:t>
      </w:r>
      <w:r w:rsidR="001F3C9E">
        <w:rPr>
          <w:rFonts w:cstheme="minorHAnsi"/>
        </w:rPr>
        <w:fldChar w:fldCharType="end"/>
      </w:r>
      <w:r w:rsidRPr="00042B71">
        <w:rPr>
          <w:rFonts w:cstheme="minorHAnsi"/>
        </w:rPr>
        <w:t xml:space="preserve">. </w:t>
      </w:r>
      <w:r>
        <w:rPr>
          <w:rFonts w:cstheme="minorHAnsi"/>
        </w:rPr>
        <w:t>Uncertainty was included by fitting Gamma distributions to the cost of hip, vertebral and wrist fractures with SE set to 1/10</w:t>
      </w:r>
      <w:r w:rsidRPr="00612ABA">
        <w:rPr>
          <w:rFonts w:cstheme="minorHAnsi"/>
          <w:vertAlign w:val="superscript"/>
        </w:rPr>
        <w:t>th</w:t>
      </w:r>
      <w:r>
        <w:rPr>
          <w:rFonts w:cstheme="minorHAnsi"/>
        </w:rPr>
        <w:t xml:space="preserve"> of the mean.</w:t>
      </w:r>
      <w:r>
        <w:rPr>
          <w:rFonts w:cstheme="minorHAnsi"/>
        </w:rPr>
        <w:fldChar w:fldCharType="begin"/>
      </w:r>
      <w:r w:rsidR="00735CC0">
        <w:rPr>
          <w:rFonts w:cstheme="minorHAnsi"/>
        </w:rPr>
        <w:instrText xml:space="preserve"> ADDIN EN.CITE &lt;EndNote&gt;&lt;Cite&gt;&lt;Author&gt;Briggs&lt;/Author&gt;&lt;Year&gt;2006&lt;/Year&gt;&lt;RecNum&gt;513&lt;/RecNum&gt;&lt;DisplayText&gt;&lt;style face="superscript"&gt;215&lt;/style&gt;&lt;/DisplayText&gt;&lt;record&gt;&lt;rec-number&gt;513&lt;/rec-number&gt;&lt;foreign-keys&gt;&lt;key app="EN" db-id="tdwrx9xd1z9eepeevr355w2k959rv0f5zaax" timestamp="1636620393"&gt;513&lt;/key&gt;&lt;/foreign-keys&gt;&lt;ref-type name="Book"&gt;6&lt;/ref-type&gt;&lt;contributors&gt;&lt;authors&gt;&lt;author&gt;Briggs, Andrew H.&lt;/author&gt;&lt;author&gt;Claxton, Karl&lt;/author&gt;&lt;author&gt;Sculpher, Mark J.&lt;/author&gt;&lt;/authors&gt;&lt;/contributors&gt;&lt;titles&gt;&lt;title&gt;Decision modelling for health economic evaluation&lt;/title&gt;&lt;secondary-title&gt;Oxford handbooks in health economic evaluation&lt;/secondary-title&gt;&lt;/titles&gt;&lt;pages&gt;x, 237 p.&lt;/pages&gt;&lt;keywords&gt;&lt;keyword&gt;Health services administration Decision making Econometric models.&lt;/keyword&gt;&lt;keyword&gt;Medical economics Econometric models.&lt;/keyword&gt;&lt;/keywords&gt;&lt;dates&gt;&lt;year&gt;2006&lt;/year&gt;&lt;/dates&gt;&lt;pub-location&gt;Oxford&lt;/pub-location&gt;&lt;publisher&gt;Oxford University Press&lt;/publisher&gt;&lt;isbn&gt;9780198526629&amp;#xD;0198526628&lt;/isbn&gt;&lt;accession-num&gt;4318271&lt;/accession-num&gt;&lt;call-num&gt;UL: Order in Reading Room C202.c.397&amp;#xD;Medical Library W 84.281&lt;/call-num&gt;&lt;urls&gt;&lt;/urls&gt;&lt;/record&gt;&lt;/Cite&gt;&lt;/EndNote&gt;</w:instrText>
      </w:r>
      <w:r>
        <w:rPr>
          <w:rFonts w:cstheme="minorHAnsi"/>
        </w:rPr>
        <w:fldChar w:fldCharType="separate"/>
      </w:r>
      <w:r w:rsidR="00735CC0" w:rsidRPr="00735CC0">
        <w:rPr>
          <w:rFonts w:cstheme="minorHAnsi"/>
          <w:noProof/>
          <w:vertAlign w:val="superscript"/>
        </w:rPr>
        <w:t>215</w:t>
      </w:r>
      <w:r>
        <w:rPr>
          <w:rFonts w:cstheme="minorHAnsi"/>
        </w:rPr>
        <w:fldChar w:fldCharType="end"/>
      </w:r>
    </w:p>
    <w:p w14:paraId="295397D6" w14:textId="4F1C8F37" w:rsidR="00BF5EA3" w:rsidRDefault="00BF5EA3" w:rsidP="00BF5EA3">
      <w:pPr>
        <w:rPr>
          <w:rFonts w:cstheme="minorHAnsi"/>
        </w:rPr>
      </w:pPr>
      <w:r>
        <w:rPr>
          <w:rFonts w:cstheme="minorHAnsi"/>
        </w:rPr>
        <w:t>Cost of IDA is only that related to</w:t>
      </w:r>
      <w:r w:rsidRPr="00042B71">
        <w:rPr>
          <w:rFonts w:cstheme="minorHAnsi"/>
        </w:rPr>
        <w:t xml:space="preserve"> over-the-counter iron tablets only</w:t>
      </w:r>
      <w:r>
        <w:rPr>
          <w:rFonts w:cstheme="minorHAnsi"/>
        </w:rPr>
        <w:t>, which incur no NHS cost.</w:t>
      </w:r>
    </w:p>
    <w:p w14:paraId="778FD281" w14:textId="77777777" w:rsidR="00BF5EA3" w:rsidRPr="00305D05" w:rsidRDefault="00BF5EA3" w:rsidP="00612ABA">
      <w:pPr>
        <w:pStyle w:val="Heading4"/>
      </w:pPr>
      <w:bookmarkStart w:id="261" w:name="_Toc87507188"/>
      <w:r w:rsidRPr="00305D05">
        <w:t>Utilities</w:t>
      </w:r>
      <w:bookmarkEnd w:id="261"/>
    </w:p>
    <w:p w14:paraId="638B9BC4" w14:textId="75FA4219" w:rsidR="00BF5EA3" w:rsidRPr="00D060D1" w:rsidRDefault="00BF5EA3" w:rsidP="00BF5EA3">
      <w:pPr>
        <w:rPr>
          <w:rFonts w:cstheme="minorHAnsi"/>
        </w:rPr>
      </w:pPr>
      <w:r w:rsidRPr="00D060D1">
        <w:rPr>
          <w:rFonts w:cstheme="minorHAnsi"/>
        </w:rPr>
        <w:t>The model includes health state utility values associated with undiagnosed CD, diagnosed CD,</w:t>
      </w:r>
      <w:r>
        <w:rPr>
          <w:rFonts w:cstheme="minorHAnsi"/>
        </w:rPr>
        <w:t xml:space="preserve"> </w:t>
      </w:r>
      <w:r w:rsidRPr="00D060D1">
        <w:rPr>
          <w:rFonts w:cstheme="minorHAnsi"/>
        </w:rPr>
        <w:t xml:space="preserve">and disutilities associated with osteoporosis </w:t>
      </w:r>
      <w:r>
        <w:rPr>
          <w:rFonts w:cstheme="minorHAnsi"/>
        </w:rPr>
        <w:t>and NHL.</w:t>
      </w:r>
      <w:r w:rsidRPr="00D060D1">
        <w:rPr>
          <w:rFonts w:cstheme="minorHAnsi"/>
        </w:rPr>
        <w:t xml:space="preserve"> </w:t>
      </w:r>
      <w:r>
        <w:rPr>
          <w:rFonts w:cstheme="minorHAnsi"/>
        </w:rPr>
        <w:t xml:space="preserve">As explained, we assume some proportion of diagnosed CD patients will adhere to a </w:t>
      </w:r>
      <w:r w:rsidR="00677009">
        <w:rPr>
          <w:rFonts w:cstheme="minorHAnsi"/>
        </w:rPr>
        <w:t xml:space="preserve">gluten-free diet </w:t>
      </w:r>
      <w:r>
        <w:rPr>
          <w:rFonts w:cstheme="minorHAnsi"/>
        </w:rPr>
        <w:t xml:space="preserve">so utilities for diagnosed CD should represent this mixed population. </w:t>
      </w:r>
      <w:r w:rsidRPr="00D060D1">
        <w:rPr>
          <w:rFonts w:cstheme="minorHAnsi"/>
        </w:rPr>
        <w:t>We assume</w:t>
      </w:r>
      <w:r>
        <w:rPr>
          <w:rFonts w:cstheme="minorHAnsi"/>
        </w:rPr>
        <w:t>d</w:t>
      </w:r>
      <w:r w:rsidRPr="00D060D1">
        <w:rPr>
          <w:rFonts w:cstheme="minorHAnsi"/>
        </w:rPr>
        <w:t xml:space="preserve"> the health state utilities for osteoporosis</w:t>
      </w:r>
      <w:r>
        <w:rPr>
          <w:rFonts w:cstheme="minorHAnsi"/>
        </w:rPr>
        <w:t xml:space="preserve"> and NHL </w:t>
      </w:r>
      <w:r w:rsidRPr="00D060D1">
        <w:rPr>
          <w:rFonts w:cstheme="minorHAnsi"/>
        </w:rPr>
        <w:t xml:space="preserve">are the same as for the general (i.e. not CD specific) population. The model also includes disutilities associated with the biopsy procedure, with the waiting time associated with a biopsy and with a lifetime false positive diagnosis. </w:t>
      </w:r>
    </w:p>
    <w:p w14:paraId="7DE3A69C" w14:textId="4E16C192" w:rsidR="00BF5EA3" w:rsidRPr="00D060D1" w:rsidRDefault="00BF5EA3" w:rsidP="00BF5EA3">
      <w:pPr>
        <w:rPr>
          <w:rFonts w:cstheme="minorHAnsi"/>
        </w:rPr>
      </w:pPr>
      <w:r w:rsidRPr="00D060D1">
        <w:rPr>
          <w:rFonts w:cstheme="minorHAnsi"/>
        </w:rPr>
        <w:t xml:space="preserve">QALY norms for the UK are used to reflect background age-specific quality of life, which decreases naturally with age. All state QALYs </w:t>
      </w:r>
      <w:r>
        <w:rPr>
          <w:rFonts w:cstheme="minorHAnsi"/>
        </w:rPr>
        <w:t>are</w:t>
      </w:r>
      <w:r w:rsidRPr="00D060D1">
        <w:rPr>
          <w:rFonts w:cstheme="minorHAnsi"/>
        </w:rPr>
        <w:t xml:space="preserve"> multiplied by their norms to reflect this age reduction. The values used, sourced from Janssen and Szende 2013, are shown in </w:t>
      </w:r>
      <w:r w:rsidR="00EF65FA">
        <w:rPr>
          <w:rFonts w:cstheme="minorHAnsi"/>
        </w:rPr>
        <w:t>Appendix</w:t>
      </w:r>
      <w:r w:rsidRPr="00D060D1">
        <w:rPr>
          <w:rFonts w:cstheme="minorHAnsi"/>
        </w:rPr>
        <w:t xml:space="preserve"> </w:t>
      </w:r>
      <w:r w:rsidR="00EF65FA">
        <w:rPr>
          <w:rFonts w:cstheme="minorHAnsi"/>
        </w:rPr>
        <w:t xml:space="preserve">28 </w:t>
      </w:r>
      <w:r w:rsidR="00EF65FA">
        <w:rPr>
          <w:rFonts w:cstheme="minorHAnsi"/>
        </w:rPr>
        <w:fldChar w:fldCharType="begin"/>
      </w:r>
      <w:r w:rsidR="00EF65FA">
        <w:rPr>
          <w:rFonts w:cstheme="minorHAnsi"/>
        </w:rPr>
        <w:instrText xml:space="preserve"> REF _Ref95384236 \h </w:instrText>
      </w:r>
      <w:r w:rsidR="00EF65FA">
        <w:rPr>
          <w:rFonts w:cstheme="minorHAnsi"/>
        </w:rPr>
      </w:r>
      <w:r w:rsidR="00EF65FA">
        <w:rPr>
          <w:rFonts w:cstheme="minorHAnsi"/>
        </w:rPr>
        <w:fldChar w:fldCharType="separate"/>
      </w:r>
      <w:r w:rsidR="008B5583" w:rsidRPr="00305D05">
        <w:rPr>
          <w:rFonts w:cstheme="minorHAnsi"/>
        </w:rPr>
        <w:t xml:space="preserve">Table </w:t>
      </w:r>
      <w:r w:rsidR="008B5583">
        <w:rPr>
          <w:rFonts w:cstheme="minorHAnsi"/>
          <w:noProof/>
        </w:rPr>
        <w:t>68</w:t>
      </w:r>
      <w:r w:rsidR="00EF65FA">
        <w:rPr>
          <w:rFonts w:cstheme="minorHAnsi"/>
        </w:rPr>
        <w:fldChar w:fldCharType="end"/>
      </w:r>
      <w:r w:rsidRPr="00D060D1">
        <w:rPr>
          <w:rFonts w:cstheme="minorHAnsi"/>
        </w:rPr>
        <w:t>.</w:t>
      </w:r>
      <w:r w:rsidRPr="00D060D1">
        <w:rPr>
          <w:rFonts w:cstheme="minorHAnsi"/>
        </w:rPr>
        <w:fldChar w:fldCharType="begin"/>
      </w:r>
      <w:r w:rsidR="00735CC0">
        <w:rPr>
          <w:rFonts w:cstheme="minorHAnsi"/>
        </w:rPr>
        <w:instrText xml:space="preserve"> ADDIN EN.CITE &lt;EndNote&gt;&lt;Cite&gt;&lt;Author&gt;Janssen&lt;/Author&gt;&lt;Year&gt;2014&lt;/Year&gt;&lt;RecNum&gt;16&lt;/RecNum&gt;&lt;DisplayText&gt;&lt;style face="superscript"&gt;237&lt;/style&gt;&lt;/DisplayText&gt;&lt;record&gt;&lt;rec-number&gt;38&lt;/rec-number&gt;&lt;foreign-keys&gt;&lt;key app="EN" db-id="w9pwfv0xxa5v9vedxzkp20wvv52efwv0xppv" timestamp="1636614827"&gt;38&lt;/key&gt;&lt;/foreign-keys&gt;&lt;ref-type name="Book Section"&gt;5&lt;/ref-type&gt;&lt;contributors&gt;&lt;authors&gt;&lt;author&gt;Janssen, Bas&lt;/author&gt;&lt;author&gt;Szende, Agota&lt;/author&gt;&lt;/authors&gt;&lt;secondary-authors&gt;&lt;author&gt;Szende, Agota&lt;/author&gt;&lt;author&gt;Janssen, Bas&lt;/author&gt;&lt;author&gt;Cabases, Juan&lt;/author&gt;&lt;/secondary-authors&gt;&lt;/contributors&gt;&lt;titles&gt;&lt;title&gt;Population Norms for the EQ-5D&lt;/title&gt;&lt;secondary-title&gt;Self-Reported Population Health: An International Perspective based on EQ-5D&lt;/secondary-title&gt;&lt;/titles&gt;&lt;pages&gt;19-30&lt;/pages&gt;&lt;dates&gt;&lt;year&gt;2014&lt;/year&gt;&lt;pub-dates&gt;&lt;date&gt;2014//&lt;/date&gt;&lt;/pub-dates&gt;&lt;/dates&gt;&lt;pub-location&gt;Dordrecht&lt;/pub-location&gt;&lt;publisher&gt;Springer Netherlands&lt;/publisher&gt;&lt;isbn&gt;978-94-007-7596-1&lt;/isbn&gt;&lt;urls&gt;&lt;related-urls&gt;&lt;url&gt;https://doi.org/10.1007/978-94-007-7596-1_3&lt;/url&gt;&lt;/related-urls&gt;&lt;/urls&gt;&lt;electronic-resource-num&gt;10.1007/978-94-007-7596-1_3&lt;/electronic-resource-num&gt;&lt;/record&gt;&lt;/Cite&gt;&lt;/EndNote&gt;</w:instrText>
      </w:r>
      <w:r w:rsidRPr="00D060D1">
        <w:rPr>
          <w:rFonts w:cstheme="minorHAnsi"/>
        </w:rPr>
        <w:fldChar w:fldCharType="separate"/>
      </w:r>
      <w:r w:rsidR="00735CC0" w:rsidRPr="00735CC0">
        <w:rPr>
          <w:rFonts w:cstheme="minorHAnsi"/>
          <w:noProof/>
          <w:vertAlign w:val="superscript"/>
        </w:rPr>
        <w:t>237</w:t>
      </w:r>
      <w:r w:rsidRPr="00D060D1">
        <w:rPr>
          <w:rFonts w:cstheme="minorHAnsi"/>
        </w:rPr>
        <w:fldChar w:fldCharType="end"/>
      </w:r>
    </w:p>
    <w:p w14:paraId="585BAB74" w14:textId="3AE2177A" w:rsidR="00BF5EA3" w:rsidRPr="00BE6195" w:rsidRDefault="00BF5EA3" w:rsidP="00BF5EA3">
      <w:pPr>
        <w:rPr>
          <w:rFonts w:cstheme="minorHAnsi"/>
        </w:rPr>
      </w:pPr>
      <w:r w:rsidRPr="00BE6195">
        <w:rPr>
          <w:rFonts w:cstheme="minorHAnsi"/>
        </w:rPr>
        <w:t xml:space="preserve">The utility values for undiagnosed CD and diagnosed </w:t>
      </w:r>
      <w:r>
        <w:rPr>
          <w:rFonts w:cstheme="minorHAnsi"/>
        </w:rPr>
        <w:t>CD</w:t>
      </w:r>
      <w:r w:rsidRPr="00BE6195">
        <w:rPr>
          <w:rFonts w:cstheme="minorHAnsi"/>
        </w:rPr>
        <w:t xml:space="preserve"> were sourced from Violato et al 2019</w:t>
      </w:r>
      <w:r w:rsidR="00D9266B">
        <w:rPr>
          <w:rFonts w:cstheme="minorHAnsi"/>
        </w:rPr>
        <w:t>.</w:t>
      </w:r>
      <w:r w:rsidRPr="00BE6195">
        <w:rPr>
          <w:rFonts w:cstheme="minorHAnsi"/>
        </w:rPr>
        <w:fldChar w:fldCharType="begin"/>
      </w:r>
      <w:r w:rsidR="00735CC0">
        <w:rPr>
          <w:rFonts w:cstheme="minorHAnsi"/>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BE6195">
        <w:rPr>
          <w:rFonts w:cstheme="minorHAnsi"/>
        </w:rPr>
        <w:fldChar w:fldCharType="separate"/>
      </w:r>
      <w:r w:rsidR="00735CC0" w:rsidRPr="00735CC0">
        <w:rPr>
          <w:rFonts w:cstheme="minorHAnsi"/>
          <w:noProof/>
          <w:vertAlign w:val="superscript"/>
        </w:rPr>
        <w:t>238</w:t>
      </w:r>
      <w:r w:rsidRPr="00BE6195">
        <w:rPr>
          <w:rFonts w:cstheme="minorHAnsi"/>
        </w:rPr>
        <w:fldChar w:fldCharType="end"/>
      </w:r>
      <w:r>
        <w:rPr>
          <w:rFonts w:cstheme="minorHAnsi"/>
        </w:rPr>
        <w:t xml:space="preserve"> </w:t>
      </w:r>
      <w:r w:rsidRPr="00BE6195">
        <w:rPr>
          <w:rFonts w:cstheme="minorHAnsi"/>
        </w:rPr>
        <w:t>The values are based on 1</w:t>
      </w:r>
      <w:r>
        <w:rPr>
          <w:rFonts w:cstheme="minorHAnsi"/>
        </w:rPr>
        <w:t>,</w:t>
      </w:r>
      <w:r w:rsidRPr="00BE6195">
        <w:rPr>
          <w:rFonts w:cstheme="minorHAnsi"/>
        </w:rPr>
        <w:t xml:space="preserve">584 retrospectively completed EQ-5D-3L questionnaires by people with CD in the UK. Participants rated their health using the validated questionnaire before </w:t>
      </w:r>
      <w:r>
        <w:rPr>
          <w:rFonts w:cstheme="minorHAnsi"/>
        </w:rPr>
        <w:t xml:space="preserve">and after </w:t>
      </w:r>
      <w:r w:rsidRPr="00BE6195">
        <w:rPr>
          <w:rFonts w:cstheme="minorHAnsi"/>
        </w:rPr>
        <w:t>their diagnosis.</w:t>
      </w:r>
      <w:r>
        <w:rPr>
          <w:rFonts w:cstheme="minorHAnsi"/>
        </w:rPr>
        <w:t xml:space="preserve"> The diagnosed cohort did not all adhere perfectly to a </w:t>
      </w:r>
      <w:r w:rsidR="00730030">
        <w:rPr>
          <w:rFonts w:cstheme="minorHAnsi"/>
        </w:rPr>
        <w:t>gluten-free diet</w:t>
      </w:r>
      <w:r>
        <w:rPr>
          <w:rFonts w:cstheme="minorHAnsi"/>
        </w:rPr>
        <w:t xml:space="preserve"> with </w:t>
      </w:r>
      <w:r w:rsidRPr="00D84FB8">
        <w:rPr>
          <w:rFonts w:cstheme="minorHAnsi"/>
        </w:rPr>
        <w:t xml:space="preserve">90.8% </w:t>
      </w:r>
      <w:r>
        <w:rPr>
          <w:rFonts w:cstheme="minorHAnsi"/>
        </w:rPr>
        <w:t xml:space="preserve">reporting adherence </w:t>
      </w:r>
      <w:r w:rsidRPr="00D84FB8">
        <w:rPr>
          <w:rFonts w:cstheme="minorHAnsi"/>
        </w:rPr>
        <w:t>all of the time, 8.3% most of the time, and 0.9% some/litt</w:t>
      </w:r>
      <w:r w:rsidR="00B41EAA">
        <w:rPr>
          <w:rFonts w:cstheme="minorHAnsi"/>
        </w:rPr>
        <w:t>l</w:t>
      </w:r>
      <w:r w:rsidRPr="00D84FB8">
        <w:rPr>
          <w:rFonts w:cstheme="minorHAnsi"/>
        </w:rPr>
        <w:t>e/none of the time.</w:t>
      </w:r>
      <w:r w:rsidRPr="00BE6195">
        <w:rPr>
          <w:rFonts w:cstheme="minorHAnsi"/>
        </w:rPr>
        <w:t xml:space="preserve"> The estimated utility values for diagnosed CD and undiagnosed CD were 0.65 (0.63, 0.67) and 0.85 (0.84, 0.86) respectively in the total sample. In the subgroup aged &lt;18, values were 0.57 (0.51, 0.64) for undiagnosed and 0.88 (0.85, 0.92) for diagnosed CD on </w:t>
      </w:r>
      <w:r w:rsidR="00730030">
        <w:rPr>
          <w:rFonts w:cstheme="minorHAnsi"/>
        </w:rPr>
        <w:t>gluten-free diet</w:t>
      </w:r>
      <w:r w:rsidRPr="00BE6195">
        <w:rPr>
          <w:rFonts w:cstheme="minorHAnsi"/>
        </w:rPr>
        <w:t>. An alternative source for utility in diagnosed and undiagnosed CD identified was Casellas et al 2008</w:t>
      </w:r>
      <w:r w:rsidRPr="00BE6195">
        <w:rPr>
          <w:rFonts w:cstheme="minorHAnsi"/>
        </w:rPr>
        <w:fldChar w:fldCharType="begin"/>
      </w:r>
      <w:r w:rsidR="00735CC0">
        <w:rPr>
          <w:rFonts w:cstheme="minorHAnsi"/>
        </w:rPr>
        <w:instrText xml:space="preserve"> ADDIN EN.CITE &lt;EndNote&gt;&lt;Cite&gt;&lt;Author&gt;Casellas&lt;/Author&gt;&lt;Year&gt;2008&lt;/Year&gt;&lt;RecNum&gt;2730&lt;/RecNum&gt;&lt;DisplayText&gt;&lt;style face="superscript"&gt;239&lt;/style&gt;&lt;/DisplayText&gt;&lt;record&gt;&lt;rec-number&gt;40&lt;/rec-number&gt;&lt;foreign-keys&gt;&lt;key app="EN" db-id="w9pwfv0xxa5v9vedxzkp20wvv52efwv0xppv" timestamp="1636614827"&gt;40&lt;/key&gt;&lt;/foreign-keys&gt;&lt;ref-type name="Journal Article"&gt;17&lt;/ref-type&gt;&lt;contributors&gt;&lt;authors&gt;&lt;author&gt;Casellas, F.&lt;/author&gt;&lt;author&gt;Rodrigo, L.&lt;/author&gt;&lt;author&gt;Vivancos, J. L.&lt;/author&gt;&lt;author&gt;Riestra, S.&lt;/author&gt;&lt;author&gt;Pantiga, C.&lt;/author&gt;&lt;author&gt;Baudet, J. S.&lt;/author&gt;&lt;author&gt;Junquera, F.&lt;/author&gt;&lt;author&gt;Diví, V. P.&lt;/author&gt;&lt;author&gt;Abadia, C.&lt;/author&gt;&lt;author&gt;Papo, M.&lt;/author&gt;&lt;author&gt;Gelabert, J.&lt;/author&gt;&lt;author&gt;Malagelada, J. R.&lt;/author&gt;&lt;/authors&gt;&lt;/contributors&gt;&lt;auth-address&gt;Digestive System Research Unit, Hospital Universitari Vall d&amp;apos;Hebron, Pg Vall d&amp;apos;Hebron 119-129, Barcelona 08035, Spain. fcasellas@vhebron.net&lt;/auth-address&gt;&lt;titles&gt;&lt;title&gt;Factors that impact health-related quality of life in adults with celiac disease: a multicenter study&lt;/title&gt;&lt;secondary-title&gt;World J Gastroenterol&lt;/secondary-title&gt;&lt;/titles&gt;&lt;periodical&gt;&lt;full-title&gt;World J Gastroenterol&lt;/full-title&gt;&lt;/periodical&gt;&lt;pages&gt;46-52&lt;/pages&gt;&lt;volume&gt;14&lt;/volume&gt;&lt;number&gt;1&lt;/number&gt;&lt;edition&gt;2008/01/08&lt;/edition&gt;&lt;keywords&gt;&lt;keyword&gt;Adult&lt;/keyword&gt;&lt;keyword&gt;Celiac Disease/*physiopathology/*psychology&lt;/keyword&gt;&lt;keyword&gt;Female&lt;/keyword&gt;&lt;keyword&gt;*Health Status&lt;/keyword&gt;&lt;keyword&gt;Humans&lt;/keyword&gt;&lt;keyword&gt;Male&lt;/keyword&gt;&lt;keyword&gt;Middle Aged&lt;/keyword&gt;&lt;keyword&gt;*Quality of Life&lt;/keyword&gt;&lt;keyword&gt;Surveys and Questionnaires&lt;/keyword&gt;&lt;/keywords&gt;&lt;dates&gt;&lt;year&gt;2008&lt;/year&gt;&lt;pub-dates&gt;&lt;date&gt;Jan 7&lt;/date&gt;&lt;/pub-dates&gt;&lt;/dates&gt;&lt;isbn&gt;1007-9327 (Print)&amp;#xD;1007-9327&lt;/isbn&gt;&lt;accession-num&gt;18176960&lt;/accession-num&gt;&lt;urls&gt;&lt;/urls&gt;&lt;custom2&gt;PMC2673390&lt;/custom2&gt;&lt;electronic-resource-num&gt;10.3748/wjg.14.46&lt;/electronic-resource-num&gt;&lt;remote-database-provider&gt;NLM&lt;/remote-database-provider&gt;&lt;language&gt;eng&lt;/language&gt;&lt;/record&gt;&lt;/Cite&gt;&lt;/EndNote&gt;</w:instrText>
      </w:r>
      <w:r w:rsidRPr="00BE6195">
        <w:rPr>
          <w:rFonts w:cstheme="minorHAnsi"/>
        </w:rPr>
        <w:fldChar w:fldCharType="separate"/>
      </w:r>
      <w:r w:rsidR="00735CC0" w:rsidRPr="00735CC0">
        <w:rPr>
          <w:rFonts w:cstheme="minorHAnsi"/>
          <w:noProof/>
          <w:vertAlign w:val="superscript"/>
        </w:rPr>
        <w:t>239</w:t>
      </w:r>
      <w:r w:rsidRPr="00BE6195">
        <w:rPr>
          <w:rFonts w:cstheme="minorHAnsi"/>
        </w:rPr>
        <w:fldChar w:fldCharType="end"/>
      </w:r>
      <w:r w:rsidRPr="00BE6195">
        <w:rPr>
          <w:rFonts w:cstheme="minorHAnsi"/>
        </w:rPr>
        <w:t xml:space="preserve"> who carried out a prospective study of 163 CD patients on a </w:t>
      </w:r>
      <w:r w:rsidR="00730030">
        <w:rPr>
          <w:rFonts w:cstheme="minorHAnsi"/>
        </w:rPr>
        <w:t>gluten-free diet</w:t>
      </w:r>
      <w:r w:rsidRPr="00BE6195">
        <w:rPr>
          <w:rFonts w:cstheme="minorHAnsi"/>
        </w:rPr>
        <w:t xml:space="preserve">, and 177 newly diagnosed CD patients on a normal diet from seven hospitals in different areas of Spain, with all completing the EQ-5D. A similar pattern was found to our selected source with the median EQ-5D value being 0.93 (0.85-1.0) in </w:t>
      </w:r>
      <w:r w:rsidR="00730030">
        <w:rPr>
          <w:rFonts w:cstheme="minorHAnsi"/>
        </w:rPr>
        <w:t xml:space="preserve">gluten-free diet </w:t>
      </w:r>
      <w:r w:rsidRPr="00BE6195">
        <w:rPr>
          <w:rFonts w:cstheme="minorHAnsi"/>
        </w:rPr>
        <w:t>patients and 0.72 (0.58-1.0) in the normal diet group.</w:t>
      </w:r>
    </w:p>
    <w:p w14:paraId="4FCD676B" w14:textId="65578F45" w:rsidR="00BF5EA3" w:rsidRPr="00BE6195" w:rsidRDefault="00BF5EA3" w:rsidP="00BF5EA3">
      <w:pPr>
        <w:rPr>
          <w:rFonts w:cstheme="minorHAnsi"/>
        </w:rPr>
      </w:pPr>
      <w:r w:rsidRPr="00BE6195">
        <w:rPr>
          <w:rFonts w:cstheme="minorHAnsi"/>
        </w:rPr>
        <w:t>For osteoporosis, a similar approach is taken as with costs, with total disutility being equal to the annual probability of hip, vertebral and wrist fracture multiplied by the disutility associated with each type of fracture.</w:t>
      </w:r>
      <w:r w:rsidR="00C10A65">
        <w:rPr>
          <w:rFonts w:cstheme="minorHAnsi"/>
        </w:rPr>
        <w:t xml:space="preserve"> Results presented in </w:t>
      </w:r>
      <w:r w:rsidR="00C10A65">
        <w:rPr>
          <w:rFonts w:cstheme="minorHAnsi"/>
        </w:rPr>
        <w:fldChar w:fldCharType="begin"/>
      </w:r>
      <w:r w:rsidR="00C10A65">
        <w:rPr>
          <w:rFonts w:cstheme="minorHAnsi"/>
        </w:rPr>
        <w:instrText xml:space="preserve"> REF _Ref95580613 \h </w:instrText>
      </w:r>
      <w:r w:rsidR="00C10A65">
        <w:rPr>
          <w:rFonts w:cstheme="minorHAnsi"/>
        </w:rPr>
      </w:r>
      <w:r w:rsidR="00C10A65">
        <w:rPr>
          <w:rFonts w:cstheme="minorHAnsi"/>
        </w:rPr>
        <w:fldChar w:fldCharType="separate"/>
      </w:r>
      <w:r w:rsidR="008B5583">
        <w:t>Appendix 28</w:t>
      </w:r>
      <w:r w:rsidR="00C10A65">
        <w:rPr>
          <w:rFonts w:cstheme="minorHAnsi"/>
        </w:rPr>
        <w:fldChar w:fldCharType="end"/>
      </w:r>
      <w:r w:rsidR="00C10A65">
        <w:rPr>
          <w:rFonts w:cstheme="minorHAnsi"/>
        </w:rPr>
        <w:t xml:space="preserve"> </w:t>
      </w:r>
      <w:r w:rsidR="00C10A65">
        <w:rPr>
          <w:rFonts w:cstheme="minorHAnsi"/>
        </w:rPr>
        <w:fldChar w:fldCharType="begin"/>
      </w:r>
      <w:r w:rsidR="00C10A65">
        <w:rPr>
          <w:rFonts w:cstheme="minorHAnsi"/>
        </w:rPr>
        <w:instrText xml:space="preserve"> REF _Ref95384689 \h </w:instrText>
      </w:r>
      <w:r w:rsidR="00C10A65">
        <w:rPr>
          <w:rFonts w:cstheme="minorHAnsi"/>
        </w:rPr>
      </w:r>
      <w:r w:rsidR="00C10A65">
        <w:rPr>
          <w:rFonts w:cstheme="minorHAnsi"/>
        </w:rPr>
        <w:fldChar w:fldCharType="separate"/>
      </w:r>
      <w:r w:rsidR="008B5583" w:rsidRPr="00612ABA">
        <w:t xml:space="preserve">Table </w:t>
      </w:r>
      <w:r w:rsidR="008B5583">
        <w:rPr>
          <w:noProof/>
        </w:rPr>
        <w:t>69</w:t>
      </w:r>
      <w:r w:rsidR="00C10A65">
        <w:rPr>
          <w:rFonts w:cstheme="minorHAnsi"/>
        </w:rPr>
        <w:fldChar w:fldCharType="end"/>
      </w:r>
      <w:r w:rsidR="00C10A65">
        <w:rPr>
          <w:rFonts w:cstheme="minorHAnsi"/>
        </w:rPr>
        <w:t>.</w:t>
      </w:r>
      <w:r w:rsidRPr="00BE6195">
        <w:rPr>
          <w:rFonts w:cstheme="minorHAnsi"/>
        </w:rPr>
        <w:t xml:space="preserve"> These disutilities are estimated from Si et al 2014</w:t>
      </w:r>
      <w:r w:rsidR="00CC0846">
        <w:rPr>
          <w:rFonts w:cstheme="minorHAnsi"/>
        </w:rPr>
        <w:t>,</w:t>
      </w:r>
      <w:r w:rsidRPr="00BE6195">
        <w:rPr>
          <w:rFonts w:cstheme="minorHAnsi"/>
        </w:rPr>
        <w:fldChar w:fldCharType="begin"/>
      </w:r>
      <w:r w:rsidR="00735CC0">
        <w:rPr>
          <w:rFonts w:cstheme="minorHAnsi"/>
        </w:rPr>
        <w:instrText xml:space="preserve"> ADDIN EN.CITE &lt;EndNote&gt;&lt;Cite&gt;&lt;Author&gt;Si&lt;/Author&gt;&lt;Year&gt;2014&lt;/Year&gt;&lt;RecNum&gt;2733&lt;/RecNum&gt;&lt;DisplayText&gt;&lt;style face="superscript"&gt;240&lt;/style&gt;&lt;/DisplayText&gt;&lt;record&gt;&lt;rec-number&gt;41&lt;/rec-number&gt;&lt;foreign-keys&gt;&lt;key app="EN" db-id="w9pwfv0xxa5v9vedxzkp20wvv52efwv0xppv" timestamp="1636614827"&gt;41&lt;/key&gt;&lt;/foreign-keys&gt;&lt;ref-type name="Journal Article"&gt;17&lt;/ref-type&gt;&lt;contributors&gt;&lt;authors&gt;&lt;author&gt;Si, L.&lt;/author&gt;&lt;author&gt;Winzenberg, T. M.&lt;/author&gt;&lt;author&gt;de Graaff, B.&lt;/author&gt;&lt;author&gt;Palmer, A. J.&lt;/author&gt;&lt;/authors&gt;&lt;/contributors&gt;&lt;titles&gt;&lt;title&gt;A systematic review and meta-analysis of utility-based quality of life for osteoporosis-related conditions&lt;/title&gt;&lt;secondary-title&gt;Osteoporosis International&lt;/secondary-title&gt;&lt;/titles&gt;&lt;periodical&gt;&lt;full-title&gt;Osteoporosis International&lt;/full-title&gt;&lt;/periodical&gt;&lt;pages&gt;1987-1997&lt;/pages&gt;&lt;volume&gt;25&lt;/volume&gt;&lt;number&gt;8&lt;/number&gt;&lt;dates&gt;&lt;year&gt;2014&lt;/year&gt;&lt;pub-dates&gt;&lt;date&gt;2014/08/01&lt;/date&gt;&lt;/pub-dates&gt;&lt;/dates&gt;&lt;isbn&gt;1433-2965&lt;/isbn&gt;&lt;urls&gt;&lt;related-urls&gt;&lt;url&gt;https://doi.org/10.1007/s00198-014-2636-2&lt;/url&gt;&lt;/related-urls&gt;&lt;/urls&gt;&lt;electronic-resource-num&gt;10.1007/s00198-014-2636-2&lt;/electronic-resource-num&gt;&lt;/record&gt;&lt;/Cite&gt;&lt;/EndNote&gt;</w:instrText>
      </w:r>
      <w:r w:rsidRPr="00BE6195">
        <w:rPr>
          <w:rFonts w:cstheme="minorHAnsi"/>
        </w:rPr>
        <w:fldChar w:fldCharType="separate"/>
      </w:r>
      <w:r w:rsidR="00735CC0" w:rsidRPr="00735CC0">
        <w:rPr>
          <w:rFonts w:cstheme="minorHAnsi"/>
          <w:noProof/>
          <w:vertAlign w:val="superscript"/>
        </w:rPr>
        <w:t>240</w:t>
      </w:r>
      <w:r w:rsidRPr="00BE6195">
        <w:rPr>
          <w:rFonts w:cstheme="minorHAnsi"/>
        </w:rPr>
        <w:fldChar w:fldCharType="end"/>
      </w:r>
      <w:r w:rsidRPr="00BE6195">
        <w:rPr>
          <w:rFonts w:cstheme="minorHAnsi"/>
        </w:rPr>
        <w:t xml:space="preserve"> which was a systematic review and meta-analysis of 62 studies reporting utility-based quality of life for osteoporosis-related conditions. Most of the studies used EQ-5D HSUVs, followed by visual analogue scale (VAS). Si et al calculated utilities for the first year after hip, vertebral and wrist fractures as 0.59 (0.54, 0.65), 0.55 (0.50, 0.60) and 0.78 (0.72, 0.84), respectively. These utilities </w:t>
      </w:r>
      <w:r>
        <w:rPr>
          <w:rFonts w:cstheme="minorHAnsi"/>
        </w:rPr>
        <w:t>are</w:t>
      </w:r>
      <w:r w:rsidRPr="00BE6195">
        <w:rPr>
          <w:rFonts w:cstheme="minorHAnsi"/>
        </w:rPr>
        <w:t xml:space="preserve"> subtracted from the UK population norm of 0.817 in the 55–64-year-old age group. </w:t>
      </w:r>
      <w:r>
        <w:rPr>
          <w:rFonts w:cstheme="minorHAnsi"/>
        </w:rPr>
        <w:t>Uncertainty was modelled by moment matching beta distributions to the hip, vertebral, and wrist fracture disutilities with SE for each set to 1/10</w:t>
      </w:r>
      <w:r w:rsidRPr="00612ABA">
        <w:rPr>
          <w:rFonts w:cstheme="minorHAnsi"/>
          <w:vertAlign w:val="superscript"/>
        </w:rPr>
        <w:t>th</w:t>
      </w:r>
      <w:r>
        <w:rPr>
          <w:rFonts w:cstheme="minorHAnsi"/>
        </w:rPr>
        <w:t xml:space="preserve"> of their means.</w:t>
      </w:r>
      <w:r>
        <w:rPr>
          <w:rFonts w:cstheme="minorHAnsi"/>
        </w:rPr>
        <w:fldChar w:fldCharType="begin"/>
      </w:r>
      <w:r w:rsidR="00735CC0">
        <w:rPr>
          <w:rFonts w:cstheme="minorHAnsi"/>
        </w:rPr>
        <w:instrText xml:space="preserve"> ADDIN EN.CITE &lt;EndNote&gt;&lt;Cite&gt;&lt;Author&gt;Briggs&lt;/Author&gt;&lt;Year&gt;2006&lt;/Year&gt;&lt;RecNum&gt;513&lt;/RecNum&gt;&lt;DisplayText&gt;&lt;style face="superscript"&gt;215&lt;/style&gt;&lt;/DisplayText&gt;&lt;record&gt;&lt;rec-number&gt;513&lt;/rec-number&gt;&lt;foreign-keys&gt;&lt;key app="EN" db-id="tdwrx9xd1z9eepeevr355w2k959rv0f5zaax" timestamp="1636620393"&gt;513&lt;/key&gt;&lt;/foreign-keys&gt;&lt;ref-type name="Book"&gt;6&lt;/ref-type&gt;&lt;contributors&gt;&lt;authors&gt;&lt;author&gt;Briggs, Andrew H.&lt;/author&gt;&lt;author&gt;Claxton, Karl&lt;/author&gt;&lt;author&gt;Sculpher, Mark J.&lt;/author&gt;&lt;/authors&gt;&lt;/contributors&gt;&lt;titles&gt;&lt;title&gt;Decision modelling for health economic evaluation&lt;/title&gt;&lt;secondary-title&gt;Oxford handbooks in health economic evaluation&lt;/secondary-title&gt;&lt;/titles&gt;&lt;pages&gt;x, 237 p.&lt;/pages&gt;&lt;keywords&gt;&lt;keyword&gt;Health services administration Decision making Econometric models.&lt;/keyword&gt;&lt;keyword&gt;Medical economics Econometric models.&lt;/keyword&gt;&lt;/keywords&gt;&lt;dates&gt;&lt;year&gt;2006&lt;/year&gt;&lt;/dates&gt;&lt;pub-location&gt;Oxford&lt;/pub-location&gt;&lt;publisher&gt;Oxford University Press&lt;/publisher&gt;&lt;isbn&gt;9780198526629&amp;#xD;0198526628&lt;/isbn&gt;&lt;accession-num&gt;4318271&lt;/accession-num&gt;&lt;call-num&gt;UL: Order in Reading Room C202.c.397&amp;#xD;Medical Library W 84.281&lt;/call-num&gt;&lt;urls&gt;&lt;/urls&gt;&lt;/record&gt;&lt;/Cite&gt;&lt;/EndNote&gt;</w:instrText>
      </w:r>
      <w:r>
        <w:rPr>
          <w:rFonts w:cstheme="minorHAnsi"/>
        </w:rPr>
        <w:fldChar w:fldCharType="separate"/>
      </w:r>
      <w:r w:rsidR="00735CC0" w:rsidRPr="00735CC0">
        <w:rPr>
          <w:rFonts w:cstheme="minorHAnsi"/>
          <w:noProof/>
          <w:vertAlign w:val="superscript"/>
        </w:rPr>
        <w:t>215</w:t>
      </w:r>
      <w:r>
        <w:rPr>
          <w:rFonts w:cstheme="minorHAnsi"/>
        </w:rPr>
        <w:fldChar w:fldCharType="end"/>
      </w:r>
    </w:p>
    <w:p w14:paraId="6F65B3C1" w14:textId="6B203549" w:rsidR="00BF5EA3" w:rsidRPr="00BE6195" w:rsidRDefault="00BF5EA3" w:rsidP="00BF5EA3">
      <w:pPr>
        <w:rPr>
          <w:rFonts w:cstheme="minorHAnsi"/>
        </w:rPr>
      </w:pPr>
      <w:r w:rsidRPr="00BE6195">
        <w:rPr>
          <w:rFonts w:cstheme="minorHAnsi"/>
        </w:rPr>
        <w:t xml:space="preserve">The utility associated with NHL is based on Fargier et al 2017 which was an observational cross-sectional comparative study conducted in three French teaching hospitals. This study was conducted in 73 patients with follicular lymphoma receiving rituximab maintenance monotherapy. Health-related quality of life was evaluated on the French version of the self-administered EQ-5D-3L questionnaire. 73% of the patients were receiving first line treatment, 21% second line and 6% third line. The aim was to compare the impact of using subcutaneous (SC) rather than intravenous (IV) rituximab as maintenance therapy. Mean EQ-5D score was 0.8 for IV rituximab and 0.7 for SC </w:t>
      </w:r>
      <w:r w:rsidRPr="00BE6195">
        <w:rPr>
          <w:rFonts w:cstheme="minorHAnsi"/>
        </w:rPr>
        <w:lastRenderedPageBreak/>
        <w:t>rituximab.</w:t>
      </w:r>
      <w:r w:rsidRPr="00BE6195">
        <w:rPr>
          <w:rFonts w:cstheme="minorHAnsi"/>
        </w:rPr>
        <w:fldChar w:fldCharType="begin"/>
      </w:r>
      <w:r w:rsidR="00735CC0">
        <w:rPr>
          <w:rFonts w:cstheme="minorHAnsi"/>
        </w:rPr>
        <w:instrText xml:space="preserve"> ADDIN EN.CITE &lt;EndNote&gt;&lt;Cite&gt;&lt;Author&gt;Fargier&lt;/Author&gt;&lt;Year&gt;2018&lt;/Year&gt;&lt;RecNum&gt;2734&lt;/RecNum&gt;&lt;DisplayText&gt;&lt;style face="superscript"&gt;241&lt;/style&gt;&lt;/DisplayText&gt;&lt;record&gt;&lt;rec-number&gt;42&lt;/rec-number&gt;&lt;foreign-keys&gt;&lt;key app="EN" db-id="w9pwfv0xxa5v9vedxzkp20wvv52efwv0xppv" timestamp="1636614827"&gt;42&lt;/key&gt;&lt;/foreign-keys&gt;&lt;ref-type name="Journal Article"&gt;17&lt;/ref-type&gt;&lt;contributors&gt;&lt;authors&gt;&lt;author&gt;Fargier, Emilie&lt;/author&gt;&lt;author&gt;Ranchon, Florence&lt;/author&gt;&lt;author&gt;Huot, Laure&lt;/author&gt;&lt;author&gt;Guerre, Pascale&lt;/author&gt;&lt;author&gt;Safar, Violaine&lt;/author&gt;&lt;author&gt;Dony, Arthur&lt;/author&gt;&lt;author&gt;Hequet, Nathalie&lt;/author&gt;&lt;author&gt;Bachy, Emmanuel&lt;/author&gt;&lt;author&gt;Savouroux, Stéphane&lt;/author&gt;&lt;author&gt;Fronteau, Clémentine&lt;/author&gt;&lt;author&gt;Tomaré, Patrick&lt;/author&gt;&lt;author&gt;Tournamille, Jean-François&lt;/author&gt;&lt;author&gt;Schwiertz, Vérane&lt;/author&gt;&lt;author&gt;Vantard, Nicolas&lt;/author&gt;&lt;author&gt;Le Gouill, Steven&lt;/author&gt;&lt;author&gt;Gyan, Emmanuel&lt;/author&gt;&lt;author&gt;Salles, Gilles&lt;/author&gt;&lt;author&gt;Rioufol, Catherine&lt;/author&gt;&lt;/authors&gt;&lt;/contributors&gt;&lt;titles&gt;&lt;title&gt;SMABcare study: subcutaneous monoclonal antibody in cancer care: cost-consequence analysis of subcutaneous rituximab in patients with follicular lymphoma&lt;/title&gt;&lt;secondary-title&gt;Annals of Hematology&lt;/secondary-title&gt;&lt;/titles&gt;&lt;periodical&gt;&lt;full-title&gt;Annals of Hematology&lt;/full-title&gt;&lt;/periodical&gt;&lt;pages&gt;123-131&lt;/pages&gt;&lt;volume&gt;97&lt;/volume&gt;&lt;number&gt;1&lt;/number&gt;&lt;dates&gt;&lt;year&gt;2018&lt;/year&gt;&lt;pub-dates&gt;&lt;date&gt;2018/01/01&lt;/date&gt;&lt;/pub-dates&gt;&lt;/dates&gt;&lt;isbn&gt;1432-0584&lt;/isbn&gt;&lt;urls&gt;&lt;related-urls&gt;&lt;url&gt;https://doi.org/10.1007/s00277-017-3147-y&lt;/url&gt;&lt;/related-urls&gt;&lt;/urls&gt;&lt;electronic-resource-num&gt;10.1007/s00277-017-3147-y&lt;/electronic-resource-num&gt;&lt;/record&gt;&lt;/Cite&gt;&lt;/EndNote&gt;</w:instrText>
      </w:r>
      <w:r w:rsidRPr="00BE6195">
        <w:rPr>
          <w:rFonts w:cstheme="minorHAnsi"/>
        </w:rPr>
        <w:fldChar w:fldCharType="separate"/>
      </w:r>
      <w:r w:rsidR="00735CC0" w:rsidRPr="00735CC0">
        <w:rPr>
          <w:rFonts w:cstheme="minorHAnsi"/>
          <w:noProof/>
          <w:vertAlign w:val="superscript"/>
        </w:rPr>
        <w:t>241</w:t>
      </w:r>
      <w:r w:rsidRPr="00BE6195">
        <w:rPr>
          <w:rFonts w:cstheme="minorHAnsi"/>
        </w:rPr>
        <w:fldChar w:fldCharType="end"/>
      </w:r>
      <w:r w:rsidRPr="00BE6195">
        <w:rPr>
          <w:rFonts w:cstheme="minorHAnsi"/>
        </w:rPr>
        <w:t xml:space="preserve"> The average of these two values is subtracted from the French EQ-5D population norm for people in the 55-64 age group of 0.836</w:t>
      </w:r>
      <w:r w:rsidRPr="00BE6195">
        <w:rPr>
          <w:rFonts w:cstheme="minorHAnsi"/>
        </w:rPr>
        <w:fldChar w:fldCharType="begin"/>
      </w:r>
      <w:r w:rsidR="00735CC0">
        <w:rPr>
          <w:rFonts w:cstheme="minorHAnsi"/>
        </w:rPr>
        <w:instrText xml:space="preserve"> ADDIN EN.CITE &lt;EndNote&gt;&lt;Cite&gt;&lt;Author&gt;Janssen&lt;/Author&gt;&lt;Year&gt;2014&lt;/Year&gt;&lt;RecNum&gt;16&lt;/RecNum&gt;&lt;DisplayText&gt;&lt;style face="superscript"&gt;237&lt;/style&gt;&lt;/DisplayText&gt;&lt;record&gt;&lt;rec-number&gt;38&lt;/rec-number&gt;&lt;foreign-keys&gt;&lt;key app="EN" db-id="w9pwfv0xxa5v9vedxzkp20wvv52efwv0xppv" timestamp="1636614827"&gt;38&lt;/key&gt;&lt;/foreign-keys&gt;&lt;ref-type name="Book Section"&gt;5&lt;/ref-type&gt;&lt;contributors&gt;&lt;authors&gt;&lt;author&gt;Janssen, Bas&lt;/author&gt;&lt;author&gt;Szende, Agota&lt;/author&gt;&lt;/authors&gt;&lt;secondary-authors&gt;&lt;author&gt;Szende, Agota&lt;/author&gt;&lt;author&gt;Janssen, Bas&lt;/author&gt;&lt;author&gt;Cabases, Juan&lt;/author&gt;&lt;/secondary-authors&gt;&lt;/contributors&gt;&lt;titles&gt;&lt;title&gt;Population Norms for the EQ-5D&lt;/title&gt;&lt;secondary-title&gt;Self-Reported Population Health: An International Perspective based on EQ-5D&lt;/secondary-title&gt;&lt;/titles&gt;&lt;pages&gt;19-30&lt;/pages&gt;&lt;dates&gt;&lt;year&gt;2014&lt;/year&gt;&lt;pub-dates&gt;&lt;date&gt;2014//&lt;/date&gt;&lt;/pub-dates&gt;&lt;/dates&gt;&lt;pub-location&gt;Dordrecht&lt;/pub-location&gt;&lt;publisher&gt;Springer Netherlands&lt;/publisher&gt;&lt;isbn&gt;978-94-007-7596-1&lt;/isbn&gt;&lt;urls&gt;&lt;related-urls&gt;&lt;url&gt;https://doi.org/10.1007/978-94-007-7596-1_3&lt;/url&gt;&lt;/related-urls&gt;&lt;/urls&gt;&lt;electronic-resource-num&gt;10.1007/978-94-007-7596-1_3&lt;/electronic-resource-num&gt;&lt;/record&gt;&lt;/Cite&gt;&lt;/EndNote&gt;</w:instrText>
      </w:r>
      <w:r w:rsidRPr="00BE6195">
        <w:rPr>
          <w:rFonts w:cstheme="minorHAnsi"/>
        </w:rPr>
        <w:fldChar w:fldCharType="separate"/>
      </w:r>
      <w:r w:rsidR="00735CC0" w:rsidRPr="00735CC0">
        <w:rPr>
          <w:rFonts w:cstheme="minorHAnsi"/>
          <w:noProof/>
          <w:vertAlign w:val="superscript"/>
        </w:rPr>
        <w:t>237</w:t>
      </w:r>
      <w:r w:rsidRPr="00BE6195">
        <w:rPr>
          <w:rFonts w:cstheme="minorHAnsi"/>
        </w:rPr>
        <w:fldChar w:fldCharType="end"/>
      </w:r>
      <w:r w:rsidRPr="00BE6195">
        <w:rPr>
          <w:rFonts w:cstheme="minorHAnsi"/>
        </w:rPr>
        <w:t xml:space="preserve"> to get a disutility of 0.086. Upper and lower bounds of 0.8 (disutility 0.036) and 0.7 (disutility 0.136) </w:t>
      </w:r>
      <w:r>
        <w:rPr>
          <w:rFonts w:cstheme="minorHAnsi"/>
        </w:rPr>
        <w:t xml:space="preserve">are </w:t>
      </w:r>
      <w:r w:rsidRPr="00BE6195">
        <w:rPr>
          <w:rFonts w:cstheme="minorHAnsi"/>
        </w:rPr>
        <w:t>used to represent uncertainty in this parameter using a uniform distribution.</w:t>
      </w:r>
    </w:p>
    <w:p w14:paraId="2BADD4E5" w14:textId="66759B4B" w:rsidR="00BF5EA3" w:rsidRPr="00BE6195" w:rsidRDefault="00BF5EA3" w:rsidP="00BF5EA3">
      <w:pPr>
        <w:rPr>
          <w:rFonts w:cstheme="minorHAnsi"/>
        </w:rPr>
      </w:pPr>
      <w:r w:rsidRPr="00BE6195">
        <w:rPr>
          <w:rFonts w:cstheme="minorHAnsi"/>
        </w:rPr>
        <w:t xml:space="preserve">The disutility associated with a biopsy in adults is assumed to be equal to one quality-adjusted life day. This is the same assumption made in the NICE model and aims to account for any anxiety associated with the biopsy as well as potential side effects. In children the loss of two quality-adjusted life days is assumed due to the need for general anaesthetic. The disutility associated with waiting for a biopsy is assumed to be equal to the difference between the utility of being diagnosed with CD and following a </w:t>
      </w:r>
      <w:r w:rsidR="00693CFF">
        <w:t xml:space="preserve">gluten-free diet </w:t>
      </w:r>
      <w:r w:rsidRPr="00BE6195">
        <w:rPr>
          <w:rFonts w:cstheme="minorHAnsi"/>
        </w:rPr>
        <w:t>and the utility of having undiagnosed CD. This disutility is assumed to last for 6 weeks in accordance with average waiting times for a biopsy.</w:t>
      </w:r>
    </w:p>
    <w:p w14:paraId="46CD30AE" w14:textId="615F33A0" w:rsidR="00BF5EA3" w:rsidRPr="00BE6195" w:rsidRDefault="00BF5EA3" w:rsidP="00BF5EA3">
      <w:pPr>
        <w:rPr>
          <w:rFonts w:cstheme="minorHAnsi"/>
        </w:rPr>
      </w:pPr>
      <w:r w:rsidRPr="00BE6195">
        <w:rPr>
          <w:rFonts w:cstheme="minorHAnsi"/>
        </w:rPr>
        <w:t xml:space="preserve">In line with the NICE model we assume an annual disutility for patients falsely diagnosed with </w:t>
      </w:r>
      <w:r>
        <w:rPr>
          <w:rFonts w:cstheme="minorHAnsi"/>
        </w:rPr>
        <w:t>CD</w:t>
      </w:r>
      <w:r w:rsidRPr="00BE6195">
        <w:rPr>
          <w:rFonts w:cstheme="minorHAnsi"/>
        </w:rPr>
        <w:t xml:space="preserve"> of 0.009.</w:t>
      </w:r>
      <w:r>
        <w:rPr>
          <w:rFonts w:cstheme="minorHAnsi"/>
        </w:rPr>
        <w:fldChar w:fldCharType="begin"/>
      </w:r>
      <w:r w:rsidR="00735CC0">
        <w:rPr>
          <w:rFonts w:cstheme="minorHAnsi"/>
        </w:rPr>
        <w:instrText xml:space="preserve"> ADDIN EN.CITE &lt;EndNote&gt;&lt;Cite&gt;&lt;Author&gt;NICE&lt;/Author&gt;&lt;Year&gt;2015&lt;/Year&gt;&lt;RecNum&gt;2703&lt;/RecNum&gt;&lt;DisplayText&gt;&lt;style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Pr>
          <w:rFonts w:cstheme="minorHAnsi"/>
        </w:rPr>
        <w:fldChar w:fldCharType="separate"/>
      </w:r>
      <w:r w:rsidR="00735CC0" w:rsidRPr="00735CC0">
        <w:rPr>
          <w:rFonts w:cstheme="minorHAnsi"/>
          <w:noProof/>
          <w:vertAlign w:val="superscript"/>
        </w:rPr>
        <w:t>198</w:t>
      </w:r>
      <w:r>
        <w:rPr>
          <w:rFonts w:cstheme="minorHAnsi"/>
        </w:rPr>
        <w:fldChar w:fldCharType="end"/>
      </w:r>
      <w:r w:rsidRPr="00BE6195">
        <w:rPr>
          <w:rFonts w:cstheme="minorHAnsi"/>
        </w:rPr>
        <w:t xml:space="preserve"> </w:t>
      </w:r>
      <w:r w:rsidRPr="00B977FC">
        <w:rPr>
          <w:rFonts w:cstheme="minorHAnsi"/>
        </w:rPr>
        <w:t>This was based on an estimated change in social function score on the SF-36 scale of -8.3 (SE=3.83) and a mapping for this</w:t>
      </w:r>
      <w:r>
        <w:rPr>
          <w:rFonts w:cstheme="minorHAnsi"/>
        </w:rPr>
        <w:t xml:space="preserve"> </w:t>
      </w:r>
      <w:r w:rsidRPr="00B977FC">
        <w:rPr>
          <w:rFonts w:cstheme="minorHAnsi"/>
        </w:rPr>
        <w:t>score to utility scale of 0.0011 (SE=0.0002). We modelled these uncertain factors with Normal distributions and the mean of their</w:t>
      </w:r>
      <w:r>
        <w:rPr>
          <w:rFonts w:cstheme="minorHAnsi"/>
        </w:rPr>
        <w:t xml:space="preserve"> </w:t>
      </w:r>
      <w:r w:rsidRPr="00B977FC">
        <w:rPr>
          <w:rFonts w:cstheme="minorHAnsi"/>
        </w:rPr>
        <w:t>product was -0.009 (SE=</w:t>
      </w:r>
      <w:r>
        <w:rPr>
          <w:rFonts w:cstheme="minorHAnsi"/>
        </w:rPr>
        <w:t>0.004</w:t>
      </w:r>
      <w:r w:rsidRPr="00B977FC">
        <w:rPr>
          <w:rFonts w:cstheme="minorHAnsi"/>
        </w:rPr>
        <w:t>)</w:t>
      </w:r>
      <w:r>
        <w:rPr>
          <w:rFonts w:cstheme="minorHAnsi"/>
        </w:rPr>
        <w:t xml:space="preserve">. Note that we assume any disutility from </w:t>
      </w:r>
      <w:r w:rsidR="00693CFF">
        <w:t xml:space="preserve">gluten-free diet </w:t>
      </w:r>
      <w:r>
        <w:rPr>
          <w:rFonts w:cstheme="minorHAnsi"/>
        </w:rPr>
        <w:t>in the true CD population is captured by the Violato et al 2019 survey.</w:t>
      </w:r>
      <w:r>
        <w:rPr>
          <w:rFonts w:cstheme="minorHAnsi"/>
        </w:rPr>
        <w:fldChar w:fldCharType="begin"/>
      </w:r>
      <w:r w:rsidR="00735CC0">
        <w:rPr>
          <w:rFonts w:cstheme="minorHAnsi"/>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Pr>
          <w:rFonts w:cstheme="minorHAnsi"/>
        </w:rPr>
        <w:fldChar w:fldCharType="separate"/>
      </w:r>
      <w:r w:rsidR="00735CC0" w:rsidRPr="00735CC0">
        <w:rPr>
          <w:rFonts w:cstheme="minorHAnsi"/>
          <w:noProof/>
          <w:vertAlign w:val="superscript"/>
        </w:rPr>
        <w:t>238</w:t>
      </w:r>
      <w:r>
        <w:rPr>
          <w:rFonts w:cstheme="minorHAnsi"/>
        </w:rPr>
        <w:fldChar w:fldCharType="end"/>
      </w:r>
    </w:p>
    <w:p w14:paraId="48D154BC" w14:textId="76E51073" w:rsidR="00BF5EA3" w:rsidRPr="00BE6195" w:rsidRDefault="00BF5EA3" w:rsidP="00BF5EA3">
      <w:pPr>
        <w:rPr>
          <w:rFonts w:cstheme="minorHAnsi"/>
        </w:rPr>
      </w:pPr>
      <w:r w:rsidRPr="00BE6195">
        <w:rPr>
          <w:rFonts w:cstheme="minorHAnsi"/>
        </w:rPr>
        <w:t>For IDA we assume that disutility is already captured in the utility values for undiagnosed CD</w:t>
      </w:r>
      <w:r>
        <w:rPr>
          <w:rFonts w:cstheme="minorHAnsi"/>
        </w:rPr>
        <w:t xml:space="preserve"> and </w:t>
      </w:r>
      <w:r w:rsidRPr="00BE6195">
        <w:rPr>
          <w:rFonts w:cstheme="minorHAnsi"/>
        </w:rPr>
        <w:t>diagnosed CD sourced from Violato et al 2019,</w:t>
      </w:r>
      <w:r w:rsidR="00731213">
        <w:rPr>
          <w:rFonts w:cstheme="minorHAnsi"/>
        </w:rPr>
        <w:fldChar w:fldCharType="begin"/>
      </w:r>
      <w:r w:rsidR="00735CC0">
        <w:rPr>
          <w:rFonts w:cstheme="minorHAnsi"/>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00731213">
        <w:rPr>
          <w:rFonts w:cstheme="minorHAnsi"/>
        </w:rPr>
        <w:fldChar w:fldCharType="separate"/>
      </w:r>
      <w:r w:rsidR="00735CC0" w:rsidRPr="00735CC0">
        <w:rPr>
          <w:rFonts w:cstheme="minorHAnsi"/>
          <w:noProof/>
          <w:vertAlign w:val="superscript"/>
        </w:rPr>
        <w:t>238</w:t>
      </w:r>
      <w:r w:rsidR="00731213">
        <w:rPr>
          <w:rFonts w:cstheme="minorHAnsi"/>
        </w:rPr>
        <w:fldChar w:fldCharType="end"/>
      </w:r>
      <w:r w:rsidRPr="00BE6195">
        <w:rPr>
          <w:rFonts w:cstheme="minorHAnsi"/>
        </w:rPr>
        <w:t xml:space="preserve"> as they reported that 64.8% of their population had anaemia prior to diagnosis and 14.5% after.</w:t>
      </w:r>
    </w:p>
    <w:p w14:paraId="21AC7BC0" w14:textId="77777777" w:rsidR="00BF5EA3" w:rsidRPr="00305D05" w:rsidRDefault="00BF5EA3" w:rsidP="00612ABA">
      <w:pPr>
        <w:pStyle w:val="Heading4"/>
      </w:pPr>
      <w:bookmarkStart w:id="262" w:name="_Toc87507189"/>
      <w:r w:rsidRPr="00305D05">
        <w:t>Probability of late detection of CD after FN diagnosis</w:t>
      </w:r>
      <w:bookmarkEnd w:id="262"/>
    </w:p>
    <w:p w14:paraId="71144B37" w14:textId="4DA92EF3" w:rsidR="00BF5EA3" w:rsidRPr="002D7DFB" w:rsidRDefault="00BF5EA3" w:rsidP="00BF5EA3">
      <w:pPr>
        <w:rPr>
          <w:rFonts w:cstheme="minorHAnsi"/>
        </w:rPr>
      </w:pPr>
      <w:r w:rsidRPr="002D7DFB">
        <w:rPr>
          <w:rFonts w:cstheme="minorHAnsi"/>
        </w:rPr>
        <w:t>All patients in the undiagnosed CD state have an annual probability of transitioning to the diagnosed CD state. Violato et al 2019</w:t>
      </w:r>
      <w:r w:rsidRPr="002D7DFB">
        <w:rPr>
          <w:rFonts w:cstheme="minorHAnsi"/>
        </w:rPr>
        <w:fldChar w:fldCharType="begin"/>
      </w:r>
      <w:r w:rsidR="00735CC0">
        <w:rPr>
          <w:rFonts w:cstheme="minorHAnsi"/>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2D7DFB">
        <w:rPr>
          <w:rFonts w:cstheme="minorHAnsi"/>
        </w:rPr>
        <w:fldChar w:fldCharType="separate"/>
      </w:r>
      <w:r w:rsidR="00735CC0" w:rsidRPr="00735CC0">
        <w:rPr>
          <w:rFonts w:cstheme="minorHAnsi"/>
          <w:noProof/>
          <w:vertAlign w:val="superscript"/>
        </w:rPr>
        <w:t>238</w:t>
      </w:r>
      <w:r w:rsidRPr="002D7DFB">
        <w:rPr>
          <w:rFonts w:cstheme="minorHAnsi"/>
        </w:rPr>
        <w:fldChar w:fldCharType="end"/>
      </w:r>
      <w:r w:rsidRPr="002D7DFB">
        <w:rPr>
          <w:rFonts w:cstheme="minorHAnsi"/>
        </w:rPr>
        <w:t xml:space="preserve"> asked patients about the duration of their symptoms prior to diagnosis and found that the average duration was 12.8 years (SD: 15.3), based on 1584 completed questionnaires. The average duration across the ‘&lt;18’ sample was less at 3.3 years (SD: 3.7). </w:t>
      </w:r>
      <w:r>
        <w:rPr>
          <w:rFonts w:cstheme="minorHAnsi"/>
        </w:rPr>
        <w:t>As our adult cohort begins at age 18, we need the time to diagnosis only as an adult. We</w:t>
      </w:r>
      <w:r w:rsidRPr="002D7DFB">
        <w:rPr>
          <w:rFonts w:cstheme="minorHAnsi"/>
        </w:rPr>
        <w:t xml:space="preserve"> use these figures to calculate </w:t>
      </w:r>
      <w:r>
        <w:rPr>
          <w:rFonts w:cstheme="minorHAnsi"/>
        </w:rPr>
        <w:t>this</w:t>
      </w:r>
      <w:r w:rsidRPr="002D7DFB">
        <w:rPr>
          <w:rFonts w:cstheme="minorHAnsi"/>
        </w:rPr>
        <w:t xml:space="preserve"> average duration in patients over 18 years of 10.9 ((12.8 – 3.3) * proportion &lt; 18) * (proportion &gt; 18/1584)). </w:t>
      </w:r>
      <w:r>
        <w:rPr>
          <w:rFonts w:cstheme="minorHAnsi"/>
        </w:rPr>
        <w:t>Although our children cohort begins age 10 it was not reported what proportion of patients were under the age of 10 so the ‘&lt;18’ figure had to be used.</w:t>
      </w:r>
      <w:r w:rsidRPr="002D7DFB">
        <w:rPr>
          <w:rFonts w:cstheme="minorHAnsi"/>
        </w:rPr>
        <w:t xml:space="preserve"> We model the average duration as a </w:t>
      </w:r>
      <w:r>
        <w:rPr>
          <w:rFonts w:cstheme="minorHAnsi"/>
        </w:rPr>
        <w:t>log</w:t>
      </w:r>
      <w:r w:rsidRPr="002D7DFB">
        <w:rPr>
          <w:rFonts w:cstheme="minorHAnsi"/>
        </w:rPr>
        <w:t xml:space="preserve"> normal distribution </w:t>
      </w:r>
      <w:r>
        <w:rPr>
          <w:rFonts w:cstheme="minorHAnsi"/>
        </w:rPr>
        <w:t xml:space="preserve">moment matched to the </w:t>
      </w:r>
      <w:r w:rsidRPr="002D7DFB">
        <w:rPr>
          <w:rFonts w:cstheme="minorHAnsi"/>
        </w:rPr>
        <w:t>reported mean and standard error calculated using SD and sample size.</w:t>
      </w:r>
      <w:r>
        <w:rPr>
          <w:rFonts w:cstheme="minorHAnsi"/>
        </w:rPr>
        <w:t xml:space="preserve"> </w:t>
      </w:r>
      <w:r w:rsidRPr="002D7DFB">
        <w:rPr>
          <w:rFonts w:cstheme="minorHAnsi"/>
        </w:rPr>
        <w:t xml:space="preserve">Assuming a constant rate λ of diagnosis (i.e. an exponential survival model), the rate is the inverse of the sampled duration. This is used to calculate an annual probability of diagnosis by year </w:t>
      </w:r>
      <m:oMath>
        <m:r>
          <w:rPr>
            <w:rFonts w:ascii="Cambria Math" w:hAnsi="Cambria Math" w:cstheme="minorHAnsi"/>
          </w:rPr>
          <m:t>t</m:t>
        </m:r>
      </m:oMath>
      <w:r w:rsidRPr="002D7DFB">
        <w:rPr>
          <w:rFonts w:eastAsiaTheme="minorEastAsia" w:cstheme="minorHAnsi"/>
        </w:rPr>
        <w:t xml:space="preserve"> </w:t>
      </w:r>
      <w:r w:rsidRPr="002D7DFB">
        <w:rPr>
          <w:rFonts w:cstheme="minorHAnsi"/>
        </w:rPr>
        <w:t xml:space="preserve">of </w:t>
      </w:r>
      <m:oMath>
        <m:r>
          <w:rPr>
            <w:rFonts w:ascii="Cambria Math" w:hAnsi="Cambria Math" w:cstheme="minorHAnsi"/>
          </w:rPr>
          <m:t>1-</m:t>
        </m:r>
        <m:sSup>
          <m:sSupPr>
            <m:ctrlPr>
              <w:rPr>
                <w:rFonts w:ascii="Cambria Math" w:hAnsi="Cambria Math" w:cstheme="minorHAnsi"/>
                <w:i/>
              </w:rPr>
            </m:ctrlPr>
          </m:sSupPr>
          <m:e>
            <m:r>
              <w:rPr>
                <w:rFonts w:ascii="Cambria Math" w:hAnsi="Cambria Math" w:cstheme="minorHAnsi"/>
              </w:rPr>
              <m:t>e</m:t>
            </m:r>
          </m:e>
          <m:sup>
            <m:r>
              <w:rPr>
                <w:rFonts w:ascii="Cambria Math" w:hAnsi="Cambria Math" w:cstheme="minorHAnsi"/>
              </w:rPr>
              <m:t>-λt</m:t>
            </m:r>
          </m:sup>
        </m:sSup>
      </m:oMath>
      <w:r>
        <w:rPr>
          <w:rFonts w:eastAsiaTheme="minorEastAsia" w:cstheme="minorHAnsi"/>
        </w:rPr>
        <w:t>.</w:t>
      </w:r>
    </w:p>
    <w:p w14:paraId="32966E59" w14:textId="77777777" w:rsidR="00BF5EA3" w:rsidRPr="00305D05" w:rsidRDefault="00BF5EA3" w:rsidP="00612ABA">
      <w:pPr>
        <w:pStyle w:val="Heading4"/>
      </w:pPr>
      <w:bookmarkStart w:id="263" w:name="_Toc87507190"/>
      <w:r w:rsidRPr="00305D05">
        <w:t>Risk of developing</w:t>
      </w:r>
      <w:r>
        <w:t xml:space="preserve"> </w:t>
      </w:r>
      <w:r w:rsidRPr="00305D05">
        <w:t>osteoporosis</w:t>
      </w:r>
      <w:r>
        <w:t>, IDA, and NHL</w:t>
      </w:r>
      <w:bookmarkEnd w:id="263"/>
      <w:r w:rsidRPr="00305D05">
        <w:t xml:space="preserve"> </w:t>
      </w:r>
    </w:p>
    <w:p w14:paraId="50141F6D" w14:textId="6E67847B" w:rsidR="00BF5EA3" w:rsidRPr="008756F1" w:rsidRDefault="00BF5EA3" w:rsidP="00BF5EA3">
      <w:r w:rsidRPr="002D7DFB">
        <w:rPr>
          <w:rFonts w:cstheme="minorHAnsi"/>
        </w:rPr>
        <w:t>Patients who are diagnosed</w:t>
      </w:r>
      <w:r>
        <w:rPr>
          <w:rFonts w:cstheme="minorHAnsi"/>
        </w:rPr>
        <w:t xml:space="preserve"> </w:t>
      </w:r>
      <w:r w:rsidRPr="002D7DFB">
        <w:rPr>
          <w:rFonts w:cstheme="minorHAnsi"/>
        </w:rPr>
        <w:t>have a different risk of developing long term complications than patients who are undiagnosed</w:t>
      </w:r>
      <w:r>
        <w:rPr>
          <w:rFonts w:cstheme="minorHAnsi"/>
        </w:rPr>
        <w:t>,</w:t>
      </w:r>
      <w:r w:rsidRPr="002D7DFB">
        <w:rPr>
          <w:rFonts w:cstheme="minorHAnsi"/>
        </w:rPr>
        <w:t xml:space="preserve"> </w:t>
      </w:r>
      <w:r>
        <w:rPr>
          <w:rFonts w:cstheme="minorHAnsi"/>
        </w:rPr>
        <w:t xml:space="preserve">due to greater likelihood of following a </w:t>
      </w:r>
      <w:r w:rsidR="009151D2">
        <w:rPr>
          <w:rFonts w:cstheme="minorHAnsi"/>
        </w:rPr>
        <w:t xml:space="preserve">gluten-free diet </w:t>
      </w:r>
      <w:r>
        <w:rPr>
          <w:rFonts w:cstheme="minorHAnsi"/>
        </w:rPr>
        <w:t xml:space="preserve">and receiving improved care </w:t>
      </w:r>
      <w:r w:rsidRPr="0065324B">
        <w:rPr>
          <w:rFonts w:cstheme="minorHAnsi"/>
        </w:rPr>
        <w:t xml:space="preserve">and medical advice. To inform this we use rates in non-CD patients estimated using CPRD data (full details in </w:t>
      </w:r>
      <w:r w:rsidR="008756F1" w:rsidRPr="0065324B">
        <w:rPr>
          <w:rFonts w:cstheme="minorHAnsi"/>
        </w:rPr>
        <w:t>Supplementary material Chapter 8 “</w:t>
      </w:r>
      <w:bookmarkStart w:id="264" w:name="_Toc87551055"/>
      <w:bookmarkStart w:id="265" w:name="_Toc87631787"/>
      <w:r w:rsidR="008756F1" w:rsidRPr="0065324B">
        <w:t>CPRD analysis for prevalence, rates and resource use in economic model</w:t>
      </w:r>
      <w:bookmarkEnd w:id="264"/>
      <w:bookmarkEnd w:id="265"/>
      <w:r w:rsidR="008756F1" w:rsidRPr="0065324B">
        <w:t>”</w:t>
      </w:r>
      <w:r w:rsidRPr="0065324B">
        <w:rPr>
          <w:rFonts w:cstheme="minorHAnsi"/>
        </w:rPr>
        <w:t>) and differences in rates between this general population and patients who are diagnosed CD and undiagnosed</w:t>
      </w:r>
      <w:r>
        <w:rPr>
          <w:rFonts w:cstheme="minorHAnsi"/>
        </w:rPr>
        <w:t xml:space="preserve"> CD. Evidence on these differences primarily comes from the NICE 2015 model. In each case, the literature was searched for more recent or higher quality studies but none were identified.</w:t>
      </w:r>
    </w:p>
    <w:p w14:paraId="2F06834C" w14:textId="36157217" w:rsidR="00BF5EA3" w:rsidRPr="002D7DFB" w:rsidRDefault="00BF5EA3" w:rsidP="00BF5EA3">
      <w:pPr>
        <w:rPr>
          <w:rFonts w:cstheme="minorHAnsi"/>
        </w:rPr>
      </w:pPr>
      <w:r w:rsidRPr="002D7DFB">
        <w:rPr>
          <w:rFonts w:cstheme="minorHAnsi"/>
        </w:rPr>
        <w:t xml:space="preserve">For the risk of developing osteoporosis when following a </w:t>
      </w:r>
      <w:r w:rsidR="009151D2">
        <w:rPr>
          <w:rFonts w:cstheme="minorHAnsi"/>
        </w:rPr>
        <w:t>gluten-free diet</w:t>
      </w:r>
      <w:r w:rsidRPr="002D7DFB">
        <w:rPr>
          <w:rFonts w:cstheme="minorHAnsi"/>
        </w:rPr>
        <w:t>, the NICE model based this on Swedish data from</w:t>
      </w:r>
      <w:r w:rsidRPr="002D7DFB">
        <w:rPr>
          <w:rFonts w:eastAsia="Times New Roman" w:cstheme="minorHAnsi"/>
          <w:color w:val="000000" w:themeColor="text1"/>
          <w:lang w:eastAsia="zh-CN"/>
        </w:rPr>
        <w:t xml:space="preserve"> Ludvigsson et al. 2007</w:t>
      </w:r>
      <w:r w:rsidR="00F11A58">
        <w:rPr>
          <w:rFonts w:eastAsia="Times New Roman" w:cstheme="minorHAnsi"/>
          <w:color w:val="000000" w:themeColor="text1"/>
          <w:lang w:eastAsia="zh-CN"/>
        </w:rPr>
        <w:t>,</w:t>
      </w:r>
      <w:r w:rsidRPr="002D7DFB">
        <w:rPr>
          <w:rFonts w:eastAsia="Times New Roman" w:cstheme="minorHAnsi"/>
          <w:color w:val="000000" w:themeColor="text1"/>
          <w:lang w:eastAsia="zh-CN"/>
        </w:rPr>
        <w:fldChar w:fldCharType="begin"/>
      </w:r>
      <w:r w:rsidR="00735CC0">
        <w:rPr>
          <w:rFonts w:eastAsia="Times New Roman" w:cstheme="minorHAnsi"/>
          <w:color w:val="000000" w:themeColor="text1"/>
          <w:lang w:eastAsia="zh-CN"/>
        </w:rPr>
        <w:instrText xml:space="preserve"> ADDIN EN.CITE &lt;EndNote&gt;&lt;Cite&gt;&lt;Author&gt;Ludvigsson&lt;/Author&gt;&lt;Year&gt;2007&lt;/Year&gt;&lt;RecNum&gt;2735&lt;/RecNum&gt;&lt;DisplayText&gt;&lt;style face="superscript"&gt;242&lt;/style&gt;&lt;/DisplayText&gt;&lt;record&gt;&lt;rec-number&gt;43&lt;/rec-number&gt;&lt;foreign-keys&gt;&lt;key app="EN" db-id="w9pwfv0xxa5v9vedxzkp20wvv52efwv0xppv" timestamp="1636614827"&gt;43&lt;/key&gt;&lt;/foreign-keys&gt;&lt;ref-type name="Journal Article"&gt;17&lt;/ref-type&gt;&lt;contributors&gt;&lt;authors&gt;&lt;author&gt;Ludvigsson, J. F.&lt;/author&gt;&lt;author&gt;Michaelsson, K.&lt;/author&gt;&lt;author&gt;Ekbom, A.&lt;/author&gt;&lt;author&gt;Montgomery, S. M.&lt;/author&gt;&lt;/authors&gt;&lt;/contributors&gt;&lt;auth-address&gt;Department of Paediatrics, Orebro University Hospital, Orebro, Sweden. jonasludvigsson@yahoo.com&lt;/auth-address&gt;&lt;titles&gt;&lt;title&gt;Coeliac disease and the risk of fractures - a general population-based cohort study&lt;/title&gt;&lt;secondary-title&gt;Aliment Pharmacol Ther&lt;/secondary-title&gt;&lt;/titles&gt;&lt;periodical&gt;&lt;full-title&gt;Aliment Pharmacol Ther&lt;/full-title&gt;&lt;/periodical&gt;&lt;pages&gt;273-85&lt;/pages&gt;&lt;volume&gt;25&lt;/volume&gt;&lt;number&gt;3&lt;/number&gt;&lt;edition&gt;2007/02/03&lt;/edition&gt;&lt;keywords&gt;&lt;keyword&gt;Adolescent&lt;/keyword&gt;&lt;keyword&gt;Adult&lt;/keyword&gt;&lt;keyword&gt;Aged&lt;/keyword&gt;&lt;keyword&gt;Aged, 80 and over&lt;/keyword&gt;&lt;keyword&gt;Celiac Disease/*complications&lt;/keyword&gt;&lt;keyword&gt;Child&lt;/keyword&gt;&lt;keyword&gt;Child, Preschool&lt;/keyword&gt;&lt;keyword&gt;Cohort Studies&lt;/keyword&gt;&lt;keyword&gt;Female&lt;/keyword&gt;&lt;keyword&gt;Fractures, Bone/*etiology&lt;/keyword&gt;&lt;keyword&gt;Humans&lt;/keyword&gt;&lt;keyword&gt;Infant&lt;/keyword&gt;&lt;keyword&gt;Infant, Newborn&lt;/keyword&gt;&lt;keyword&gt;Male&lt;/keyword&gt;&lt;keyword&gt;Middle Aged&lt;/keyword&gt;&lt;keyword&gt;Risk Factors&lt;/keyword&gt;&lt;keyword&gt;Sweden/epidemiology&lt;/keyword&gt;&lt;/keywords&gt;&lt;dates&gt;&lt;year&gt;2007&lt;/year&gt;&lt;pub-dates&gt;&lt;date&gt;Feb 1&lt;/date&gt;&lt;/pub-dates&gt;&lt;/dates&gt;&lt;isbn&gt;0269-2813 (Print)&amp;#xD;0269-2813&lt;/isbn&gt;&lt;accession-num&gt;17269989&lt;/accession-num&gt;&lt;urls&gt;&lt;/urls&gt;&lt;electronic-resource-num&gt;10.1111/j.1365-2036.2006.03203.x&lt;/electronic-resource-num&gt;&lt;remote-database-provider&gt;NLM&lt;/remote-database-provider&gt;&lt;language&gt;eng&lt;/language&gt;&lt;/record&gt;&lt;/Cite&gt;&lt;/EndNote&gt;</w:instrText>
      </w:r>
      <w:r w:rsidRPr="002D7DFB">
        <w:rPr>
          <w:rFonts w:eastAsia="Times New Roman" w:cstheme="minorHAnsi"/>
          <w:color w:val="000000" w:themeColor="text1"/>
          <w:lang w:eastAsia="zh-CN"/>
        </w:rPr>
        <w:fldChar w:fldCharType="separate"/>
      </w:r>
      <w:r w:rsidR="00735CC0" w:rsidRPr="00735CC0">
        <w:rPr>
          <w:rFonts w:eastAsia="Times New Roman" w:cstheme="minorHAnsi"/>
          <w:noProof/>
          <w:color w:val="000000" w:themeColor="text1"/>
          <w:vertAlign w:val="superscript"/>
          <w:lang w:eastAsia="zh-CN"/>
        </w:rPr>
        <w:t>242</w:t>
      </w:r>
      <w:r w:rsidRPr="002D7DFB">
        <w:rPr>
          <w:rFonts w:eastAsia="Times New Roman" w:cstheme="minorHAnsi"/>
          <w:color w:val="000000" w:themeColor="text1"/>
          <w:lang w:eastAsia="zh-CN"/>
        </w:rPr>
        <w:fldChar w:fldCharType="end"/>
      </w:r>
      <w:r w:rsidRPr="002D7DFB">
        <w:rPr>
          <w:rFonts w:eastAsia="Times New Roman" w:cstheme="minorHAnsi"/>
          <w:color w:val="000000" w:themeColor="text1"/>
          <w:lang w:eastAsia="zh-CN"/>
        </w:rPr>
        <w:t xml:space="preserve"> including</w:t>
      </w:r>
      <w:r w:rsidRPr="002D7DFB">
        <w:rPr>
          <w:rFonts w:cstheme="minorHAnsi"/>
        </w:rPr>
        <w:t xml:space="preserve"> &gt;13000 people diagnosed with </w:t>
      </w:r>
      <w:r>
        <w:rPr>
          <w:rFonts w:cstheme="minorHAnsi"/>
        </w:rPr>
        <w:t>CD</w:t>
      </w:r>
      <w:r w:rsidRPr="002D7DFB">
        <w:rPr>
          <w:rFonts w:cstheme="minorHAnsi"/>
        </w:rPr>
        <w:t xml:space="preserve"> </w:t>
      </w:r>
      <w:r w:rsidRPr="002D7DFB">
        <w:rPr>
          <w:rFonts w:cstheme="minorHAnsi"/>
        </w:rPr>
        <w:lastRenderedPageBreak/>
        <w:t xml:space="preserve">compared to a matched control group. </w:t>
      </w:r>
      <w:r>
        <w:rPr>
          <w:rFonts w:cstheme="minorHAnsi"/>
        </w:rPr>
        <w:t xml:space="preserve">This study did not distinguish between diagnosed on </w:t>
      </w:r>
      <w:r w:rsidR="009151D2">
        <w:rPr>
          <w:rFonts w:cstheme="minorHAnsi"/>
        </w:rPr>
        <w:t>gluten-free diet</w:t>
      </w:r>
      <w:r>
        <w:rPr>
          <w:rFonts w:cstheme="minorHAnsi"/>
        </w:rPr>
        <w:t xml:space="preserve"> and diagnosed but not on </w:t>
      </w:r>
      <w:r w:rsidR="009151D2">
        <w:rPr>
          <w:rFonts w:cstheme="minorHAnsi"/>
        </w:rPr>
        <w:t>gluten-free diet</w:t>
      </w:r>
      <w:r>
        <w:rPr>
          <w:rFonts w:cstheme="minorHAnsi"/>
        </w:rPr>
        <w:t xml:space="preserve">, so represents our merged diagnosed CD state. </w:t>
      </w:r>
      <w:r w:rsidRPr="002D7DFB">
        <w:rPr>
          <w:rFonts w:cstheme="minorHAnsi"/>
        </w:rPr>
        <w:t xml:space="preserve">The study reported an odds ratio of fractures of any type in the </w:t>
      </w:r>
      <w:r>
        <w:rPr>
          <w:rFonts w:cstheme="minorHAnsi"/>
        </w:rPr>
        <w:t xml:space="preserve">diagnosed </w:t>
      </w:r>
      <w:r w:rsidRPr="002D7DFB">
        <w:rPr>
          <w:rFonts w:cstheme="minorHAnsi"/>
        </w:rPr>
        <w:t xml:space="preserve">CD population compared to the controls of 1.40 (1.30, 1.50). The NICE model based the risk of developing osteoporosis when not following a </w:t>
      </w:r>
      <w:r w:rsidR="009151D2">
        <w:rPr>
          <w:rFonts w:cstheme="minorHAnsi"/>
        </w:rPr>
        <w:t xml:space="preserve">gluten-free diet </w:t>
      </w:r>
      <w:r w:rsidRPr="002D7DFB">
        <w:rPr>
          <w:rFonts w:cstheme="minorHAnsi"/>
        </w:rPr>
        <w:t>on a study by Godfrey et al. (2010)</w:t>
      </w:r>
      <w:r w:rsidRPr="002D7DFB">
        <w:rPr>
          <w:rFonts w:cstheme="minorHAnsi"/>
        </w:rPr>
        <w:fldChar w:fldCharType="begin"/>
      </w:r>
      <w:r w:rsidR="00735CC0">
        <w:rPr>
          <w:rFonts w:cstheme="minorHAnsi"/>
        </w:rPr>
        <w:instrText xml:space="preserve"> ADDIN EN.CITE &lt;EndNote&gt;&lt;Cite&gt;&lt;Author&gt;Godfrey&lt;/Author&gt;&lt;Year&gt;2010&lt;/Year&gt;&lt;RecNum&gt;2736&lt;/RecNum&gt;&lt;DisplayText&gt;&lt;style face="superscript"&gt;243&lt;/style&gt;&lt;/DisplayText&gt;&lt;record&gt;&lt;rec-number&gt;44&lt;/rec-number&gt;&lt;foreign-keys&gt;&lt;key app="EN" db-id="w9pwfv0xxa5v9vedxzkp20wvv52efwv0xppv" timestamp="1636614827"&gt;44&lt;/key&gt;&lt;/foreign-keys&gt;&lt;ref-type name="Journal Article"&gt;17&lt;/ref-type&gt;&lt;contributors&gt;&lt;authors&gt;&lt;author&gt;Godfrey, Jonathan D.&lt;/author&gt;&lt;author&gt;Brantner, Tricia L.&lt;/author&gt;&lt;author&gt;Brinjikji, Waleed&lt;/author&gt;&lt;author&gt;Christensen, Kevin N.&lt;/author&gt;&lt;author&gt;Brogan, Deanna L.&lt;/author&gt;&lt;author&gt;Van Dyke, Carol T.&lt;/author&gt;&lt;author&gt;Lahr, Brian D.&lt;/author&gt;&lt;author&gt;Larson, Joseph J.&lt;/author&gt;&lt;author&gt;Rubio–Tapia, Alberto&lt;/author&gt;&lt;author&gt;Melton, L. Joseph, III&lt;/author&gt;&lt;author&gt;Zinsmeister, Alan R.&lt;/author&gt;&lt;author&gt;Kyle, Robert A.&lt;/author&gt;&lt;author&gt;Murray, Joseph A.&lt;/author&gt;&lt;/authors&gt;&lt;/contributors&gt;&lt;titles&gt;&lt;title&gt;Morbidity and Mortality Among Older Individuals With Undiagnosed Celiac Disease&lt;/title&gt;&lt;secondary-title&gt;Gastroenterology&lt;/secondary-title&gt;&lt;/titles&gt;&lt;periodical&gt;&lt;full-title&gt;Gastroenterology&lt;/full-title&gt;&lt;/periodical&gt;&lt;pages&gt;763-769&lt;/pages&gt;&lt;volume&gt;139&lt;/volume&gt;&lt;number&gt;3&lt;/number&gt;&lt;dates&gt;&lt;year&gt;2010&lt;/year&gt;&lt;/dates&gt;&lt;publisher&gt;Elsevier&lt;/publisher&gt;&lt;isbn&gt;0016-5085&lt;/isbn&gt;&lt;urls&gt;&lt;related-urls&gt;&lt;url&gt;https://doi.org/10.1053/j.gastro.2010.05.041&lt;/url&gt;&lt;/related-urls&gt;&lt;/urls&gt;&lt;electronic-resource-num&gt;10.1053/j.gastro.2010.05.041&lt;/electronic-resource-num&gt;&lt;access-date&gt;2021/02/23&lt;/access-date&gt;&lt;/record&gt;&lt;/Cite&gt;&lt;/EndNote&gt;</w:instrText>
      </w:r>
      <w:r w:rsidRPr="002D7DFB">
        <w:rPr>
          <w:rFonts w:cstheme="minorHAnsi"/>
        </w:rPr>
        <w:fldChar w:fldCharType="separate"/>
      </w:r>
      <w:r w:rsidR="00735CC0" w:rsidRPr="00735CC0">
        <w:rPr>
          <w:rFonts w:cstheme="minorHAnsi"/>
          <w:noProof/>
          <w:vertAlign w:val="superscript"/>
        </w:rPr>
        <w:t>243</w:t>
      </w:r>
      <w:r w:rsidRPr="002D7DFB">
        <w:rPr>
          <w:rFonts w:cstheme="minorHAnsi"/>
        </w:rPr>
        <w:fldChar w:fldCharType="end"/>
      </w:r>
      <w:r w:rsidRPr="002D7DFB">
        <w:rPr>
          <w:rFonts w:cstheme="minorHAnsi"/>
        </w:rPr>
        <w:t xml:space="preserve"> who tested blood samples for CD and compared the medical records of 129 US people with undiagnosed positive coeliac serology with seronegative individuals. They found an odds ratio for developing osteoporosis of 2.59 (1.32 – 5.09) in the undiagnosed CD group compared to those without CD</w:t>
      </w:r>
      <w:r>
        <w:rPr>
          <w:rFonts w:cstheme="minorHAnsi"/>
        </w:rPr>
        <w:t>, and this is the ratio we used in our model</w:t>
      </w:r>
      <w:r w:rsidRPr="002D7DFB">
        <w:rPr>
          <w:rFonts w:cstheme="minorHAnsi"/>
        </w:rPr>
        <w:t xml:space="preserve">. </w:t>
      </w:r>
      <w:r>
        <w:rPr>
          <w:rFonts w:cstheme="minorHAnsi"/>
        </w:rPr>
        <w:t xml:space="preserve">This finding disagreed with Ludvigsson et al., which found no association between date of diagnosis, used as a proxy for initiating </w:t>
      </w:r>
      <w:r w:rsidR="009151D2">
        <w:rPr>
          <w:rFonts w:cstheme="minorHAnsi"/>
        </w:rPr>
        <w:t>gluten-free diet</w:t>
      </w:r>
      <w:r>
        <w:rPr>
          <w:rFonts w:cstheme="minorHAnsi"/>
        </w:rPr>
        <w:t xml:space="preserve">, and risk of osteoporosis. However, Ludvigsson et al. did not have data on adherence to </w:t>
      </w:r>
      <w:r w:rsidR="009151D2">
        <w:rPr>
          <w:rFonts w:cstheme="minorHAnsi"/>
        </w:rPr>
        <w:t xml:space="preserve">gluten-free diet </w:t>
      </w:r>
      <w:r>
        <w:rPr>
          <w:rFonts w:cstheme="minorHAnsi"/>
        </w:rPr>
        <w:t xml:space="preserve">in either diagnosed or undiagnosed states so is confounded in comparison to Godfrey et al. </w:t>
      </w:r>
    </w:p>
    <w:p w14:paraId="27E7C743" w14:textId="6E7AFCD0" w:rsidR="00BF5EA3" w:rsidRDefault="00BF5EA3" w:rsidP="00BF5EA3">
      <w:pPr>
        <w:rPr>
          <w:rFonts w:eastAsia="Times New Roman" w:cstheme="minorHAnsi"/>
          <w:color w:val="000000"/>
          <w:lang w:eastAsia="zh-CN"/>
        </w:rPr>
      </w:pPr>
      <w:r w:rsidRPr="002D7DFB">
        <w:rPr>
          <w:rFonts w:eastAsia="Times New Roman" w:cstheme="minorHAnsi"/>
          <w:color w:val="000000"/>
          <w:lang w:eastAsia="zh-CN"/>
        </w:rPr>
        <w:t xml:space="preserve">The NICE model based the </w:t>
      </w:r>
      <w:r w:rsidRPr="002D7DFB">
        <w:rPr>
          <w:rFonts w:cstheme="minorHAnsi"/>
        </w:rPr>
        <w:t xml:space="preserve">probability of developing NHL from CD not on a </w:t>
      </w:r>
      <w:r w:rsidR="009151D2">
        <w:rPr>
          <w:rFonts w:cstheme="minorHAnsi"/>
        </w:rPr>
        <w:t>gluten-free diet</w:t>
      </w:r>
      <w:r w:rsidRPr="002D7DFB">
        <w:rPr>
          <w:rFonts w:cstheme="minorHAnsi"/>
        </w:rPr>
        <w:t xml:space="preserve"> on a study of 1,968 previously undiagnosed patients who were subsequently diagnosed with CD at 20 Italian gastroenterology referral Centres.</w:t>
      </w:r>
      <w:r w:rsidRPr="00C815FD">
        <w:rPr>
          <w:rFonts w:eastAsia="Times New Roman" w:cstheme="minorHAnsi"/>
          <w:color w:val="000000"/>
          <w:lang w:eastAsia="zh-CN"/>
        </w:rPr>
        <w:fldChar w:fldCharType="begin"/>
      </w:r>
      <w:r w:rsidR="00735CC0">
        <w:rPr>
          <w:rFonts w:eastAsia="Times New Roman" w:cstheme="minorHAnsi"/>
          <w:color w:val="000000"/>
          <w:lang w:eastAsia="zh-CN"/>
        </w:rPr>
        <w:instrText xml:space="preserve"> ADDIN EN.CITE &lt;EndNote&gt;&lt;Cite&gt;&lt;Author&gt;Silano&lt;/Author&gt;&lt;Year&gt;2007&lt;/Year&gt;&lt;RecNum&gt;2737&lt;/RecNum&gt;&lt;DisplayText&gt;&lt;style face="superscript"&gt;244&lt;/style&gt;&lt;/DisplayText&gt;&lt;record&gt;&lt;rec-number&gt;45&lt;/rec-number&gt;&lt;foreign-keys&gt;&lt;key app="EN" db-id="w9pwfv0xxa5v9vedxzkp20wvv52efwv0xppv" timestamp="1636614827"&gt;45&lt;/key&gt;&lt;/foreign-keys&gt;&lt;ref-type name="Journal Article"&gt;17&lt;/ref-type&gt;&lt;contributors&gt;&lt;authors&gt;&lt;author&gt;Silano, Marco&lt;/author&gt;&lt;author&gt;Volta, Umberto&lt;/author&gt;&lt;author&gt;Mecchia, Anna Maria&lt;/author&gt;&lt;author&gt;Dessì, Mariarita&lt;/author&gt;&lt;author&gt;Di Benedetto, Rita&lt;/author&gt;&lt;author&gt;De Vincenzi, Massimo&lt;/author&gt;&lt;author&gt;Collaborating centers of the Italian registry of the complications of coeliac, disease&lt;/author&gt;&lt;/authors&gt;&lt;/contributors&gt;&lt;titles&gt;&lt;title&gt;Delayed diagnosis of coeliac disease increases cancer risk&lt;/title&gt;&lt;secondary-title&gt;BMC gastroenterology&lt;/secondary-title&gt;&lt;alt-title&gt;BMC Gastroenterol&lt;/alt-title&gt;&lt;/titles&gt;&lt;periodical&gt;&lt;full-title&gt;BMC Gastroenterology&lt;/full-title&gt;&lt;/periodical&gt;&lt;pages&gt;8-8&lt;/pages&gt;&lt;volume&gt;7&lt;/volume&gt;&lt;keywords&gt;&lt;keyword&gt;Adult&lt;/keyword&gt;&lt;keyword&gt;Age Factors&lt;/keyword&gt;&lt;keyword&gt;Celiac Disease/complications/*diagnosis&lt;/keyword&gt;&lt;keyword&gt;Female&lt;/keyword&gt;&lt;keyword&gt;Humans&lt;/keyword&gt;&lt;keyword&gt;Male&lt;/keyword&gt;&lt;keyword&gt;Middle Aged&lt;/keyword&gt;&lt;keyword&gt;Neoplasms/*etiology&lt;/keyword&gt;&lt;keyword&gt;Registries&lt;/keyword&gt;&lt;keyword&gt;Risk&lt;/keyword&gt;&lt;keyword&gt;Time Factors&lt;/keyword&gt;&lt;/keywords&gt;&lt;dates&gt;&lt;year&gt;2007&lt;/year&gt;&lt;/dates&gt;&lt;publisher&gt;BioMed Central&lt;/publisher&gt;&lt;isbn&gt;1471-230X&lt;/isbn&gt;&lt;accession-num&gt;17349035&lt;/accession-num&gt;&lt;urls&gt;&lt;related-urls&gt;&lt;url&gt;https://pubmed.ncbi.nlm.nih.gov/17349035&lt;/url&gt;&lt;url&gt;https://www.ncbi.nlm.nih.gov/pmc/articles/PMC2140155/&lt;/url&gt;&lt;/related-urls&gt;&lt;/urls&gt;&lt;electronic-resource-num&gt;10.1186/1471-230X-7-8&lt;/electronic-resource-num&gt;&lt;remote-database-name&gt;PubMed&lt;/remote-database-name&gt;&lt;language&gt;eng&lt;/language&gt;&lt;/record&gt;&lt;/Cite&gt;&lt;/EndNote&gt;</w:instrText>
      </w:r>
      <w:r w:rsidRPr="00C815FD">
        <w:rPr>
          <w:rFonts w:eastAsia="Times New Roman" w:cstheme="minorHAnsi"/>
          <w:color w:val="000000"/>
          <w:lang w:eastAsia="zh-CN"/>
        </w:rPr>
        <w:fldChar w:fldCharType="separate"/>
      </w:r>
      <w:r w:rsidR="00735CC0" w:rsidRPr="00735CC0">
        <w:rPr>
          <w:rFonts w:eastAsia="Times New Roman" w:cstheme="minorHAnsi"/>
          <w:noProof/>
          <w:color w:val="000000"/>
          <w:vertAlign w:val="superscript"/>
          <w:lang w:eastAsia="zh-CN"/>
        </w:rPr>
        <w:t>244</w:t>
      </w:r>
      <w:r w:rsidRPr="00C815FD">
        <w:rPr>
          <w:rFonts w:eastAsia="Times New Roman" w:cstheme="minorHAnsi"/>
          <w:color w:val="000000"/>
          <w:lang w:eastAsia="zh-CN"/>
        </w:rPr>
        <w:fldChar w:fldCharType="end"/>
      </w:r>
      <w:r>
        <w:rPr>
          <w:rFonts w:cstheme="minorHAnsi"/>
        </w:rPr>
        <w:t xml:space="preserve"> </w:t>
      </w:r>
      <w:r w:rsidRPr="002D7DFB">
        <w:rPr>
          <w:rFonts w:cstheme="minorHAnsi"/>
        </w:rPr>
        <w:t>The incidence ratio of NHL in the population with undiagnosed CD compared to the general population was</w:t>
      </w:r>
      <w:r>
        <w:rPr>
          <w:rFonts w:cstheme="minorHAnsi"/>
        </w:rPr>
        <w:t xml:space="preserve"> found to be</w:t>
      </w:r>
      <w:r w:rsidRPr="002D7DFB">
        <w:rPr>
          <w:rFonts w:cstheme="minorHAnsi"/>
        </w:rPr>
        <w:t xml:space="preserve"> 4.7 (2.9 - 7.3). The incidence ratio of NHL in the population with diagnosed CD (3.28 (1.49 – 6.28)) </w:t>
      </w:r>
      <w:r>
        <w:rPr>
          <w:rFonts w:cstheme="minorHAnsi"/>
        </w:rPr>
        <w:t xml:space="preserve">relative to the general population </w:t>
      </w:r>
      <w:r w:rsidRPr="002D7DFB">
        <w:rPr>
          <w:rFonts w:cstheme="minorHAnsi"/>
        </w:rPr>
        <w:t xml:space="preserve">was based on an </w:t>
      </w:r>
      <w:r w:rsidRPr="002D7DFB">
        <w:rPr>
          <w:rFonts w:eastAsia="Times New Roman" w:cstheme="minorHAnsi"/>
          <w:color w:val="000000"/>
          <w:lang w:eastAsia="zh-CN"/>
        </w:rPr>
        <w:t>analysis of a cohort of patients with diagnosed CD from a linked statistical database of hospital and mortality data in an area in southern England</w:t>
      </w:r>
      <w:r>
        <w:rPr>
          <w:rFonts w:eastAsia="Times New Roman" w:cstheme="minorHAnsi"/>
          <w:color w:val="000000"/>
          <w:lang w:eastAsia="zh-CN"/>
        </w:rPr>
        <w:t>.</w:t>
      </w:r>
      <w:r w:rsidR="00CA0D1A"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&lt;EndNote&gt;&lt;Cite&gt;&lt;Author&gt;Goldacre&lt;/Author&gt;&lt;Year&gt;2008&lt;/Year&gt;&lt;RecNum&gt;2741&lt;/RecNum&gt;&lt;DisplayText&gt;&lt;style face="superscript"&gt;245&lt;/style&gt;&lt;/DisplayText&gt;&lt;record&gt;&lt;rec-number&gt;53&lt;/rec-number&gt;&lt;foreign-keys&gt;&lt;key app="EN" db-id="w9pwfv0xxa5v9vedxzkp20wvv52efwv0xppv" timestamp="1636614828"&gt;53&lt;/key&gt;&lt;/foreign-keys&gt;&lt;ref-type name="Journal Article"&gt;17&lt;/ref-type&gt;&lt;contributors&gt;&lt;authors&gt;&lt;author&gt;Goldacre, Michael J.&lt;/author&gt;&lt;author&gt;Wotton, Clare J.&lt;/author&gt;&lt;author&gt;Yeates, David&lt;/author&gt;&lt;author&gt;Seagroatt, Valerie&lt;/author&gt;&lt;author&gt;Jewell, Derek&lt;/author&gt;&lt;/authors&gt;&lt;/contributors&gt;&lt;titles&gt;&lt;title&gt;Cancer in patients with ulcerative colitis, Crohn&amp;apos;s disease and coeliac disease: record linkage study&lt;/title&gt;&lt;secondary-title&gt;European Journal of Gastroenterology &amp;amp; Hepatology&lt;/secondary-title&gt;&lt;/titles&gt;&lt;periodical&gt;&lt;full-title&gt;European Journal of Gastroenterology &amp;amp; Hepatology&lt;/full-title&gt;&lt;/periodical&gt;&lt;volume&gt;20&lt;/volume&gt;&lt;number&gt;4&lt;/number&gt;&lt;keywords&gt;&lt;keyword&gt;cancer&lt;/keyword&gt;&lt;keyword&gt;coeliac disease&lt;/keyword&gt;&lt;keyword&gt;Crohn&amp;apos;s disease&lt;/keyword&gt;&lt;keyword&gt;inflammatory bowel disease&lt;/keyword&gt;&lt;keyword&gt;record linkage&lt;/keyword&gt;&lt;keyword&gt;ulcerative colitis&lt;/keyword&gt;&lt;/keywords&gt;&lt;dates&gt;&lt;year&gt;2008&lt;/year&gt;&lt;/dates&gt;&lt;isbn&gt;0954-691X&lt;/isbn&gt;&lt;urls&gt;&lt;related-urls&gt;&lt;url&gt;https://journals.lww.com/eurojgh/Fulltext/2008/04000/Cancer_in_patients_with_ulcerative_colitis,.9.aspx&lt;/url&gt;&lt;/related-urls&gt;&lt;/urls&gt;&lt;/record&gt;&lt;/Cite&gt;&lt;/EndNote&gt;</w:instrText>
      </w:r>
      <w:r w:rsidR="00CA0D1A"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245</w:t>
      </w:r>
      <w:r w:rsidR="00CA0D1A" w:rsidRPr="00CF599B">
        <w:rPr>
          <w:rFonts w:eastAsia="Times New Roman" w:cstheme="minorHAnsi"/>
          <w:color w:val="000000"/>
          <w:sz w:val="20"/>
          <w:szCs w:val="20"/>
          <w:lang w:eastAsia="zh-CN"/>
        </w:rPr>
        <w:fldChar w:fldCharType="end"/>
      </w:r>
    </w:p>
    <w:p w14:paraId="01D42837" w14:textId="1353F8A5" w:rsidR="00BF5EA3" w:rsidRDefault="00BF5EA3" w:rsidP="00BF5EA3">
      <w:pPr>
        <w:rPr>
          <w:rFonts w:cstheme="minorHAnsi"/>
        </w:rPr>
      </w:pPr>
      <w:r>
        <w:rPr>
          <w:rFonts w:eastAsia="Times New Roman" w:cstheme="minorHAnsi"/>
          <w:color w:val="000000"/>
          <w:lang w:eastAsia="zh-CN"/>
        </w:rPr>
        <w:t xml:space="preserve">Normal distributions were used to model the log odds ratios and incidence ratios of osteoporosis and NHL, respectively (i.e. lognormal distributions). We added these log ratios to the log of rates </w:t>
      </w:r>
      <w:r w:rsidRPr="002D7DFB">
        <w:rPr>
          <w:rFonts w:cstheme="minorHAnsi"/>
        </w:rPr>
        <w:t>of developing long-term conditions in control</w:t>
      </w:r>
      <w:r>
        <w:rPr>
          <w:rFonts w:cstheme="minorHAnsi"/>
        </w:rPr>
        <w:t xml:space="preserve"> (i.e. non-CD)</w:t>
      </w:r>
      <w:r w:rsidRPr="002D7DFB">
        <w:rPr>
          <w:rFonts w:cstheme="minorHAnsi"/>
        </w:rPr>
        <w:t xml:space="preserve"> patients from our CPRD analysis (</w:t>
      </w:r>
      <w:r w:rsidRPr="002D7DFB">
        <w:rPr>
          <w:rFonts w:cstheme="minorHAnsi"/>
        </w:rPr>
        <w:fldChar w:fldCharType="begin"/>
      </w:r>
      <w:r w:rsidRPr="002D7DFB">
        <w:rPr>
          <w:rFonts w:cstheme="minorHAnsi"/>
        </w:rPr>
        <w:instrText xml:space="preserve"> REF _Ref61612039 \h  \* MERGEFORMAT </w:instrText>
      </w:r>
      <w:r w:rsidRPr="002D7DFB">
        <w:rPr>
          <w:rFonts w:cstheme="minorHAnsi"/>
        </w:rPr>
      </w:r>
      <w:r w:rsidRPr="002D7DFB">
        <w:rPr>
          <w:rFonts w:cstheme="minorHAnsi"/>
        </w:rPr>
        <w:fldChar w:fldCharType="separate"/>
      </w:r>
      <w:r w:rsidR="008B5583" w:rsidRPr="00305D05">
        <w:rPr>
          <w:rFonts w:cstheme="minorHAnsi"/>
        </w:rPr>
        <w:t xml:space="preserve">Table </w:t>
      </w:r>
      <w:r w:rsidR="008B5583">
        <w:rPr>
          <w:rFonts w:cstheme="minorHAnsi"/>
          <w:noProof/>
        </w:rPr>
        <w:t>15</w:t>
      </w:r>
      <w:r w:rsidRPr="002D7DFB">
        <w:rPr>
          <w:rFonts w:cstheme="minorHAnsi"/>
        </w:rPr>
        <w:fldChar w:fldCharType="end"/>
      </w:r>
      <w:r w:rsidRPr="002D7DFB">
        <w:rPr>
          <w:rFonts w:cstheme="minorHAnsi"/>
        </w:rPr>
        <w:t xml:space="preserve">). </w:t>
      </w:r>
      <w:r>
        <w:rPr>
          <w:rFonts w:cs="Arial"/>
        </w:rPr>
        <w:t>Rates</w:t>
      </w:r>
      <w:r>
        <w:t xml:space="preserve"> were calculated from the number of outcome events divided by the person-time at risk stratified by decile of age at index date (date of CD diagnosis in matched case) for osteoporosis and IDA. For NHL we grouped patients under 18 and over aged 18 due to limited sample size. Time at risk was calculated from the patients’ index date to date of outcome event, date of death or the end date of HES coverage.</w:t>
      </w:r>
      <w:r w:rsidRPr="002D7DFB">
        <w:rPr>
          <w:rFonts w:cstheme="minorHAnsi"/>
        </w:rPr>
        <w:t xml:space="preserve"> The rates used to calculate annual probabilities of developing the conditions with uncertainty based on a log-normal distribution on the </w:t>
      </w:r>
      <w:r>
        <w:rPr>
          <w:rFonts w:cstheme="minorHAnsi"/>
        </w:rPr>
        <w:t>rates</w:t>
      </w:r>
      <w:r w:rsidRPr="002D7DFB">
        <w:rPr>
          <w:rFonts w:cstheme="minorHAnsi"/>
        </w:rPr>
        <w:t xml:space="preserve"> mapped to a log scale</w:t>
      </w:r>
      <w:r>
        <w:rPr>
          <w:rFonts w:cstheme="minorHAnsi"/>
        </w:rPr>
        <w:t>, consistent with the ratios for osteoporosis and NHL</w:t>
      </w:r>
      <w:r w:rsidRPr="002D7DFB">
        <w:rPr>
          <w:rFonts w:cstheme="minorHAnsi"/>
        </w:rPr>
        <w:t>.</w:t>
      </w:r>
    </w:p>
    <w:p w14:paraId="43177569" w14:textId="60EF9EFA" w:rsidR="00BF5EA3" w:rsidRPr="002D7DFB" w:rsidRDefault="00BF5EA3" w:rsidP="00BF5EA3">
      <w:pPr>
        <w:rPr>
          <w:rFonts w:cstheme="minorHAnsi"/>
        </w:rPr>
      </w:pPr>
      <w:r>
        <w:rPr>
          <w:rFonts w:eastAsiaTheme="minorEastAsia" w:cstheme="minorHAnsi"/>
        </w:rPr>
        <w:t>Assuming</w:t>
      </w:r>
      <w:r w:rsidRPr="002D7DFB">
        <w:rPr>
          <w:rFonts w:eastAsiaTheme="minorEastAsia" w:cstheme="minorHAnsi"/>
        </w:rPr>
        <w:t xml:space="preserve"> that event</w:t>
      </w:r>
      <w:r>
        <w:rPr>
          <w:rFonts w:eastAsiaTheme="minorEastAsia" w:cstheme="minorHAnsi"/>
        </w:rPr>
        <w:t>s</w:t>
      </w:r>
      <w:r w:rsidRPr="002D7DFB">
        <w:rPr>
          <w:rFonts w:eastAsiaTheme="minorEastAsia" w:cstheme="minorHAnsi"/>
        </w:rPr>
        <w:t xml:space="preserve"> occur at a constant rate </w:t>
      </w:r>
      <w:r w:rsidRPr="002D7DFB">
        <w:rPr>
          <w:rFonts w:eastAsiaTheme="minorEastAsia" w:cstheme="minorHAnsi"/>
          <w:i/>
          <w:iCs/>
        </w:rPr>
        <w:t xml:space="preserve">r </w:t>
      </w:r>
      <w:r w:rsidRPr="002D7DFB">
        <w:rPr>
          <w:rFonts w:eastAsiaTheme="minorEastAsia" w:cstheme="minorHAnsi"/>
        </w:rPr>
        <w:t>per unit of time</w:t>
      </w:r>
      <w:r w:rsidRPr="002D7DFB">
        <w:rPr>
          <w:rFonts w:eastAsiaTheme="minorEastAsia" w:cstheme="minorHAnsi"/>
          <w:i/>
          <w:iCs/>
        </w:rPr>
        <w:t xml:space="preserve"> t, </w:t>
      </w:r>
      <w:r w:rsidRPr="002D7DFB">
        <w:rPr>
          <w:rFonts w:eastAsiaTheme="minorEastAsia" w:cstheme="minorHAnsi"/>
        </w:rPr>
        <w:t xml:space="preserve">the probability that an event will occur during time </w:t>
      </w:r>
      <w:r w:rsidRPr="002D7DFB">
        <w:rPr>
          <w:rFonts w:eastAsiaTheme="minorEastAsia" w:cstheme="minorHAnsi"/>
          <w:i/>
          <w:iCs/>
        </w:rPr>
        <w:t>t</w:t>
      </w:r>
      <w:r w:rsidRPr="002D7DFB">
        <w:rPr>
          <w:rFonts w:eastAsiaTheme="minorEastAsia" w:cstheme="minorHAnsi"/>
        </w:rPr>
        <w:t xml:space="preserve"> is given by </w:t>
      </w:r>
      <m:oMath>
        <m:r>
          <w:rPr>
            <w:rFonts w:ascii="Cambria Math" w:hAnsi="Cambria Math" w:cstheme="minorHAnsi"/>
          </w:rPr>
          <m:t>p=1-</m:t>
        </m:r>
        <m:sSup>
          <m:sSupPr>
            <m:ctrlPr>
              <w:rPr>
                <w:rFonts w:ascii="Cambria Math" w:hAnsi="Cambria Math" w:cstheme="minorHAnsi"/>
                <w:i/>
              </w:rPr>
            </m:ctrlPr>
          </m:sSupPr>
          <m:e>
            <m:r>
              <w:rPr>
                <w:rFonts w:ascii="Cambria Math" w:hAnsi="Cambria Math" w:cstheme="minorHAnsi"/>
              </w:rPr>
              <m:t>e</m:t>
            </m:r>
          </m:e>
          <m:sup>
            <m:r>
              <w:rPr>
                <w:rFonts w:ascii="Cambria Math" w:hAnsi="Cambria Math" w:cstheme="minorHAnsi"/>
              </w:rPr>
              <m:t>rt</m:t>
            </m:r>
          </m:sup>
        </m:sSup>
      </m:oMath>
      <w:r>
        <w:rPr>
          <w:rFonts w:eastAsiaTheme="minorEastAsia" w:cstheme="minorHAnsi"/>
        </w:rPr>
        <w:t>, equivalent to an exponential survival distribution.</w:t>
      </w:r>
      <w:r w:rsidRPr="002D7DFB">
        <w:rPr>
          <w:rFonts w:eastAsiaTheme="minorEastAsia" w:cstheme="minorHAnsi"/>
        </w:rPr>
        <w:fldChar w:fldCharType="begin"/>
      </w:r>
      <w:r w:rsidR="00735CC0">
        <w:rPr>
          <w:rFonts w:eastAsiaTheme="minorEastAsia" w:cstheme="minorHAnsi"/>
        </w:rPr>
        <w:instrText xml:space="preserve"> ADDIN EN.CITE &lt;EndNote&gt;&lt;Cite&gt;&lt;Author&gt;Fleurence&lt;/Author&gt;&lt;Year&gt;2007&lt;/Year&gt;&lt;RecNum&gt;2546&lt;/RecNum&gt;&lt;DisplayText&gt;&lt;style face="superscript"&gt;246&lt;/style&gt;&lt;/DisplayText&gt;&lt;record&gt;&lt;rec-number&gt;46&lt;/rec-number&gt;&lt;foreign-keys&gt;&lt;key app="EN" db-id="w9pwfv0xxa5v9vedxzkp20wvv52efwv0xppv" timestamp="1636614827"&gt;46&lt;/key&gt;&lt;/foreign-keys&gt;&lt;ref-type name="Journal Article"&gt;17&lt;/ref-type&gt;&lt;contributors&gt;&lt;authors&gt;&lt;author&gt;Fleurence, R. L.&lt;/author&gt;&lt;author&gt;Hollenbeak, C. S.&lt;/author&gt;&lt;/authors&gt;&lt;/contributors&gt;&lt;auth-address&gt;United BioSource Corporation, Health Care Analytics Group, Bethesda, Maryland 20814, USA. rachael.fleurence@unitedbiosource.com&lt;/auth-address&gt;&lt;titles&gt;&lt;title&gt;Rates and probabilities in economic modelling: transformation, translation and appropriate application&lt;/title&gt;&lt;secondary-title&gt;Pharmacoeconomics&lt;/secondary-title&gt;&lt;alt-title&gt;PharmacoEconomics&lt;/alt-title&gt;&lt;/titles&gt;&lt;periodical&gt;&lt;full-title&gt;Pharmacoeconomics&lt;/full-title&gt;&lt;abbr-1&gt;PharmacoEconomics&lt;/abbr-1&gt;&lt;/periodical&gt;&lt;alt-periodical&gt;&lt;full-title&gt;Pharmacoeconomics&lt;/full-title&gt;&lt;abbr-1&gt;PharmacoEconomics&lt;/abbr-1&gt;&lt;/alt-periodical&gt;&lt;pages&gt;3-6&lt;/pages&gt;&lt;volume&gt;25&lt;/volume&gt;&lt;number&gt;1&lt;/number&gt;&lt;edition&gt;2006/12/29&lt;/edition&gt;&lt;keywords&gt;&lt;keyword&gt;*Models, Economic&lt;/keyword&gt;&lt;keyword&gt;*Probability&lt;/keyword&gt;&lt;keyword&gt;Technology Assessment, Biomedical/economics/statistics &amp;amp; numerical data&lt;/keyword&gt;&lt;/keywords&gt;&lt;dates&gt;&lt;year&gt;2007&lt;/year&gt;&lt;/dates&gt;&lt;isbn&gt;1170-7690 (Print)&amp;#xD;1170-7690&lt;/isbn&gt;&lt;accession-num&gt;17192114&lt;/accession-num&gt;&lt;urls&gt;&lt;/urls&gt;&lt;electronic-resource-num&gt;10.2165/00019053-200725010-00002&lt;/electronic-resource-num&gt;&lt;remote-database-provider&gt;NLM&lt;/remote-database-provider&gt;&lt;language&gt;eng&lt;/language&gt;&lt;/record&gt;&lt;/Cite&gt;&lt;/EndNote&gt;</w:instrText>
      </w:r>
      <w:r w:rsidRPr="002D7DFB">
        <w:rPr>
          <w:rFonts w:eastAsiaTheme="minorEastAsia" w:cstheme="minorHAnsi"/>
        </w:rPr>
        <w:fldChar w:fldCharType="separate"/>
      </w:r>
      <w:r w:rsidR="00735CC0" w:rsidRPr="00735CC0">
        <w:rPr>
          <w:rFonts w:eastAsiaTheme="minorEastAsia" w:cstheme="minorHAnsi"/>
          <w:noProof/>
          <w:vertAlign w:val="superscript"/>
        </w:rPr>
        <w:t>246</w:t>
      </w:r>
      <w:r w:rsidRPr="002D7DFB">
        <w:rPr>
          <w:rFonts w:eastAsiaTheme="minorEastAsia" w:cstheme="minorHAnsi"/>
        </w:rPr>
        <w:fldChar w:fldCharType="end"/>
      </w:r>
    </w:p>
    <w:p w14:paraId="76001629" w14:textId="3AFC79A7" w:rsidR="00BF5EA3" w:rsidRPr="00305D05" w:rsidRDefault="00BF5EA3" w:rsidP="00BF5EA3">
      <w:pPr>
        <w:pStyle w:val="Caption"/>
        <w:rPr>
          <w:rFonts w:cstheme="minorHAnsi"/>
        </w:rPr>
      </w:pPr>
      <w:bookmarkStart w:id="266" w:name="_Ref61612039"/>
      <w:bookmarkStart w:id="267" w:name="_Toc99720726"/>
      <w:r w:rsidRPr="00305D05">
        <w:rPr>
          <w:rFonts w:cstheme="minorHAnsi"/>
        </w:rPr>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15</w:t>
      </w:r>
      <w:r w:rsidRPr="00305D05">
        <w:rPr>
          <w:rFonts w:cstheme="minorHAnsi"/>
        </w:rPr>
        <w:fldChar w:fldCharType="end"/>
      </w:r>
      <w:bookmarkEnd w:id="266"/>
      <w:r w:rsidRPr="00305D05">
        <w:rPr>
          <w:rFonts w:cstheme="minorHAnsi"/>
        </w:rPr>
        <w:t xml:space="preserve">. Age-stratified rates </w:t>
      </w:r>
      <w:r>
        <w:rPr>
          <w:rFonts w:cstheme="minorHAnsi"/>
        </w:rPr>
        <w:t xml:space="preserve">per 1000 (95% CI) </w:t>
      </w:r>
      <w:r w:rsidRPr="00305D05">
        <w:rPr>
          <w:rFonts w:cstheme="minorHAnsi"/>
        </w:rPr>
        <w:t xml:space="preserve">in </w:t>
      </w:r>
      <w:r>
        <w:rPr>
          <w:rFonts w:cstheme="minorHAnsi"/>
        </w:rPr>
        <w:t xml:space="preserve">non-CD </w:t>
      </w:r>
      <w:r w:rsidRPr="00305D05">
        <w:rPr>
          <w:rFonts w:cstheme="minorHAnsi"/>
        </w:rPr>
        <w:t>controls from CPRD analysis</w:t>
      </w:r>
      <w:bookmarkEnd w:id="267"/>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3125"/>
        <w:gridCol w:w="2147"/>
        <w:gridCol w:w="2668"/>
      </w:tblGrid>
      <w:tr w:rsidR="00BF5EA3" w:rsidRPr="00BF26A4" w14:paraId="1EBA0060" w14:textId="77777777" w:rsidTr="002265B2">
        <w:trPr>
          <w:trHeight w:val="521"/>
        </w:trPr>
        <w:tc>
          <w:tcPr>
            <w:tcW w:w="0" w:type="auto"/>
            <w:shd w:val="clear" w:color="auto" w:fill="auto"/>
            <w:vAlign w:val="center"/>
            <w:hideMark/>
          </w:tcPr>
          <w:p w14:paraId="7C5F0BA4"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p>
          <w:p w14:paraId="654E9061"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Age group</w:t>
            </w:r>
          </w:p>
        </w:tc>
        <w:tc>
          <w:tcPr>
            <w:tcW w:w="3095" w:type="dxa"/>
            <w:shd w:val="clear" w:color="auto" w:fill="auto"/>
            <w:vAlign w:val="center"/>
          </w:tcPr>
          <w:p w14:paraId="1205D88B"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Rate (95% CI) in mixed gender</w:t>
            </w:r>
          </w:p>
        </w:tc>
        <w:tc>
          <w:tcPr>
            <w:tcW w:w="2126" w:type="dxa"/>
            <w:vAlign w:val="center"/>
          </w:tcPr>
          <w:p w14:paraId="05511747"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Rate (95% CI) in men</w:t>
            </w:r>
          </w:p>
        </w:tc>
        <w:tc>
          <w:tcPr>
            <w:tcW w:w="2642" w:type="dxa"/>
            <w:vAlign w:val="center"/>
          </w:tcPr>
          <w:p w14:paraId="12F6BCE9"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Rate (95% CI) in women</w:t>
            </w:r>
          </w:p>
        </w:tc>
      </w:tr>
      <w:tr w:rsidR="00BF5EA3" w:rsidRPr="00BF26A4" w14:paraId="6F781BBD" w14:textId="77777777" w:rsidTr="002265B2">
        <w:trPr>
          <w:trHeight w:val="289"/>
        </w:trPr>
        <w:tc>
          <w:tcPr>
            <w:tcW w:w="9016" w:type="dxa"/>
            <w:gridSpan w:val="4"/>
            <w:shd w:val="clear" w:color="auto" w:fill="auto"/>
            <w:vAlign w:val="center"/>
            <w:hideMark/>
          </w:tcPr>
          <w:p w14:paraId="60AD3286"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Non-Hodgkins lymphoma</w:t>
            </w:r>
          </w:p>
        </w:tc>
      </w:tr>
      <w:tr w:rsidR="00BF5EA3" w:rsidRPr="00BF26A4" w14:paraId="4BB52B13" w14:textId="77777777" w:rsidTr="002265B2">
        <w:trPr>
          <w:trHeight w:val="289"/>
        </w:trPr>
        <w:tc>
          <w:tcPr>
            <w:tcW w:w="0" w:type="auto"/>
            <w:shd w:val="clear" w:color="auto" w:fill="auto"/>
            <w:noWrap/>
            <w:vAlign w:val="center"/>
            <w:hideMark/>
          </w:tcPr>
          <w:p w14:paraId="6DCD126D"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&lt;18</w:t>
            </w:r>
          </w:p>
        </w:tc>
        <w:tc>
          <w:tcPr>
            <w:tcW w:w="3095" w:type="dxa"/>
            <w:shd w:val="clear" w:color="auto" w:fill="auto"/>
            <w:noWrap/>
            <w:vAlign w:val="center"/>
            <w:hideMark/>
          </w:tcPr>
          <w:p w14:paraId="6F48C7AC"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rPr>
              <w:t>0.03 (0.01-0.07)</w:t>
            </w:r>
          </w:p>
        </w:tc>
        <w:tc>
          <w:tcPr>
            <w:tcW w:w="2126" w:type="dxa"/>
            <w:vAlign w:val="center"/>
          </w:tcPr>
          <w:p w14:paraId="5620F6DD" w14:textId="77777777" w:rsidR="00BF5EA3" w:rsidRPr="00BF26A4" w:rsidRDefault="00BF5EA3" w:rsidP="002265B2">
            <w:pPr>
              <w:spacing w:after="0" w:line="240" w:lineRule="auto"/>
              <w:jc w:val="center"/>
              <w:rPr>
                <w:rFonts w:ascii="Calibri" w:hAnsi="Calibri" w:cs="Calibri"/>
                <w:color w:val="000000"/>
                <w:sz w:val="20"/>
                <w:szCs w:val="20"/>
              </w:rPr>
            </w:pPr>
            <w:r w:rsidRPr="00BF26A4">
              <w:rPr>
                <w:rFonts w:ascii="Calibri" w:hAnsi="Calibri" w:cs="Calibri"/>
                <w:color w:val="000000"/>
                <w:sz w:val="20"/>
                <w:szCs w:val="20"/>
              </w:rPr>
              <w:t>0.02 (0.01-0.09)</w:t>
            </w:r>
          </w:p>
        </w:tc>
        <w:tc>
          <w:tcPr>
            <w:tcW w:w="2642" w:type="dxa"/>
            <w:vAlign w:val="center"/>
          </w:tcPr>
          <w:p w14:paraId="49AB4CFC" w14:textId="77777777" w:rsidR="00BF5EA3" w:rsidRPr="00BF26A4" w:rsidRDefault="00BF5EA3" w:rsidP="002265B2">
            <w:pPr>
              <w:spacing w:after="0" w:line="240" w:lineRule="auto"/>
              <w:jc w:val="center"/>
              <w:rPr>
                <w:rFonts w:ascii="Calibri" w:hAnsi="Calibri" w:cs="Calibri"/>
                <w:color w:val="000000"/>
                <w:sz w:val="20"/>
                <w:szCs w:val="20"/>
              </w:rPr>
            </w:pPr>
            <w:r w:rsidRPr="00BF26A4">
              <w:rPr>
                <w:rFonts w:ascii="Calibri" w:hAnsi="Calibri" w:cs="Calibri"/>
                <w:color w:val="000000"/>
                <w:sz w:val="20"/>
                <w:szCs w:val="20"/>
              </w:rPr>
              <w:t>0.04 (0.01-0.12)</w:t>
            </w:r>
          </w:p>
        </w:tc>
      </w:tr>
      <w:tr w:rsidR="00BF5EA3" w:rsidRPr="00BF26A4" w14:paraId="2C6C69B0" w14:textId="77777777" w:rsidTr="002265B2">
        <w:trPr>
          <w:trHeight w:val="289"/>
        </w:trPr>
        <w:tc>
          <w:tcPr>
            <w:tcW w:w="0" w:type="auto"/>
            <w:shd w:val="clear" w:color="auto" w:fill="auto"/>
            <w:noWrap/>
            <w:vAlign w:val="center"/>
            <w:hideMark/>
          </w:tcPr>
          <w:p w14:paraId="00425558"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18+</w:t>
            </w:r>
          </w:p>
        </w:tc>
        <w:tc>
          <w:tcPr>
            <w:tcW w:w="3095" w:type="dxa"/>
            <w:shd w:val="clear" w:color="auto" w:fill="auto"/>
            <w:noWrap/>
            <w:vAlign w:val="center"/>
            <w:hideMark/>
          </w:tcPr>
          <w:p w14:paraId="0BD0B17E"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rPr>
              <w:t>0.28 (0.25-0.32)</w:t>
            </w:r>
          </w:p>
        </w:tc>
        <w:tc>
          <w:tcPr>
            <w:tcW w:w="2126" w:type="dxa"/>
            <w:vAlign w:val="center"/>
          </w:tcPr>
          <w:p w14:paraId="6035DBCE" w14:textId="77777777" w:rsidR="00BF5EA3" w:rsidRPr="00BF26A4" w:rsidRDefault="00BF5EA3" w:rsidP="002265B2">
            <w:pPr>
              <w:spacing w:after="0" w:line="240" w:lineRule="auto"/>
              <w:jc w:val="center"/>
              <w:rPr>
                <w:rFonts w:ascii="Calibri" w:hAnsi="Calibri" w:cs="Calibri"/>
                <w:color w:val="000000"/>
                <w:sz w:val="20"/>
                <w:szCs w:val="20"/>
              </w:rPr>
            </w:pPr>
            <w:r w:rsidRPr="00BF26A4">
              <w:rPr>
                <w:rFonts w:ascii="Calibri" w:hAnsi="Calibri" w:cs="Calibri"/>
                <w:color w:val="000000"/>
                <w:sz w:val="20"/>
                <w:szCs w:val="20"/>
              </w:rPr>
              <w:t>0.30 (0.26-0.35)</w:t>
            </w:r>
          </w:p>
        </w:tc>
        <w:tc>
          <w:tcPr>
            <w:tcW w:w="2642" w:type="dxa"/>
            <w:vAlign w:val="center"/>
          </w:tcPr>
          <w:p w14:paraId="0D3E5C6D" w14:textId="77777777" w:rsidR="00BF5EA3" w:rsidRPr="00BF26A4" w:rsidRDefault="00BF5EA3" w:rsidP="002265B2">
            <w:pPr>
              <w:spacing w:after="0" w:line="240" w:lineRule="auto"/>
              <w:jc w:val="center"/>
              <w:rPr>
                <w:rFonts w:ascii="Calibri" w:hAnsi="Calibri" w:cs="Calibri"/>
                <w:color w:val="000000"/>
                <w:sz w:val="20"/>
                <w:szCs w:val="20"/>
              </w:rPr>
            </w:pPr>
            <w:r w:rsidRPr="00BF26A4">
              <w:rPr>
                <w:rFonts w:ascii="Calibri" w:hAnsi="Calibri" w:cs="Calibri"/>
                <w:color w:val="000000"/>
                <w:sz w:val="20"/>
                <w:szCs w:val="20"/>
              </w:rPr>
              <w:t>0.27 (0.23-0.32)</w:t>
            </w:r>
          </w:p>
        </w:tc>
      </w:tr>
      <w:tr w:rsidR="00BF5EA3" w:rsidRPr="00BF26A4" w14:paraId="07C9A06A" w14:textId="77777777" w:rsidTr="002265B2">
        <w:trPr>
          <w:trHeight w:val="289"/>
        </w:trPr>
        <w:tc>
          <w:tcPr>
            <w:tcW w:w="9016" w:type="dxa"/>
            <w:gridSpan w:val="4"/>
            <w:shd w:val="clear" w:color="auto" w:fill="auto"/>
            <w:noWrap/>
            <w:vAlign w:val="center"/>
            <w:hideMark/>
          </w:tcPr>
          <w:p w14:paraId="561F3F3B" w14:textId="77777777" w:rsidR="00BF5EA3" w:rsidRPr="00BF26A4" w:rsidRDefault="00BF5EA3" w:rsidP="002265B2">
            <w:pPr>
              <w:spacing w:after="0" w:line="240" w:lineRule="auto"/>
              <w:jc w:val="center"/>
              <w:rPr>
                <w:rFonts w:eastAsia="Times New Roman" w:cstheme="minorHAnsi"/>
                <w:b/>
                <w:bCs/>
                <w:color w:val="000000"/>
                <w:sz w:val="20"/>
                <w:szCs w:val="20"/>
                <w:lang w:eastAsia="zh-CN"/>
              </w:rPr>
            </w:pPr>
            <w:r w:rsidRPr="00BF26A4">
              <w:rPr>
                <w:rFonts w:eastAsia="Times New Roman" w:cstheme="minorHAnsi"/>
                <w:b/>
                <w:bCs/>
                <w:color w:val="000000"/>
                <w:sz w:val="20"/>
                <w:szCs w:val="20"/>
                <w:lang w:eastAsia="zh-CN"/>
              </w:rPr>
              <w:t>Osteoporosis</w:t>
            </w:r>
          </w:p>
        </w:tc>
      </w:tr>
      <w:tr w:rsidR="00BF5EA3" w:rsidRPr="00BF26A4" w14:paraId="7A27F8A6" w14:textId="77777777" w:rsidTr="002265B2">
        <w:trPr>
          <w:trHeight w:val="289"/>
        </w:trPr>
        <w:tc>
          <w:tcPr>
            <w:tcW w:w="0" w:type="auto"/>
            <w:shd w:val="clear" w:color="auto" w:fill="auto"/>
            <w:noWrap/>
            <w:vAlign w:val="center"/>
            <w:hideMark/>
          </w:tcPr>
          <w:p w14:paraId="5D1BBE26"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0-9</w:t>
            </w:r>
          </w:p>
        </w:tc>
        <w:tc>
          <w:tcPr>
            <w:tcW w:w="3095" w:type="dxa"/>
            <w:shd w:val="clear" w:color="auto" w:fill="auto"/>
            <w:noWrap/>
            <w:vAlign w:val="center"/>
            <w:hideMark/>
          </w:tcPr>
          <w:p w14:paraId="0C5AA820"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0.02 (0.01-0.09)</w:t>
            </w:r>
          </w:p>
        </w:tc>
        <w:tc>
          <w:tcPr>
            <w:tcW w:w="2126" w:type="dxa"/>
            <w:vAlign w:val="center"/>
          </w:tcPr>
          <w:p w14:paraId="0CF091D2"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0.02 (0.00-0.15)</w:t>
            </w:r>
          </w:p>
        </w:tc>
        <w:tc>
          <w:tcPr>
            <w:tcW w:w="2642" w:type="dxa"/>
            <w:vAlign w:val="center"/>
          </w:tcPr>
          <w:p w14:paraId="0416CFA1"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0.02 (0.00-0.17)</w:t>
            </w:r>
          </w:p>
        </w:tc>
      </w:tr>
      <w:tr w:rsidR="00BF5EA3" w:rsidRPr="00BF26A4" w14:paraId="4B6A30BF" w14:textId="77777777" w:rsidTr="002265B2">
        <w:trPr>
          <w:trHeight w:val="289"/>
        </w:trPr>
        <w:tc>
          <w:tcPr>
            <w:tcW w:w="0" w:type="auto"/>
            <w:shd w:val="clear" w:color="auto" w:fill="auto"/>
            <w:noWrap/>
            <w:vAlign w:val="center"/>
            <w:hideMark/>
          </w:tcPr>
          <w:p w14:paraId="6A7AFC1A"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10-19</w:t>
            </w:r>
          </w:p>
        </w:tc>
        <w:tc>
          <w:tcPr>
            <w:tcW w:w="3095" w:type="dxa"/>
            <w:shd w:val="clear" w:color="auto" w:fill="auto"/>
            <w:noWrap/>
            <w:vAlign w:val="center"/>
            <w:hideMark/>
          </w:tcPr>
          <w:p w14:paraId="0B265EC5"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0.03 (0.01-0.10)</w:t>
            </w:r>
          </w:p>
        </w:tc>
        <w:tc>
          <w:tcPr>
            <w:tcW w:w="2126" w:type="dxa"/>
            <w:vAlign w:val="center"/>
          </w:tcPr>
          <w:p w14:paraId="5A0E5F91"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0.04 (0.01-0.15)</w:t>
            </w:r>
          </w:p>
        </w:tc>
        <w:tc>
          <w:tcPr>
            <w:tcW w:w="2642" w:type="dxa"/>
            <w:vAlign w:val="center"/>
          </w:tcPr>
          <w:p w14:paraId="747519C3"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0.03 (0.00-0.18)</w:t>
            </w:r>
          </w:p>
        </w:tc>
      </w:tr>
      <w:tr w:rsidR="00BF5EA3" w:rsidRPr="00BF26A4" w14:paraId="026018C6" w14:textId="77777777" w:rsidTr="002265B2">
        <w:trPr>
          <w:trHeight w:val="289"/>
        </w:trPr>
        <w:tc>
          <w:tcPr>
            <w:tcW w:w="0" w:type="auto"/>
            <w:shd w:val="clear" w:color="auto" w:fill="auto"/>
            <w:noWrap/>
            <w:vAlign w:val="center"/>
            <w:hideMark/>
          </w:tcPr>
          <w:p w14:paraId="43DCE03C"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20-29</w:t>
            </w:r>
          </w:p>
        </w:tc>
        <w:tc>
          <w:tcPr>
            <w:tcW w:w="3095" w:type="dxa"/>
            <w:shd w:val="clear" w:color="auto" w:fill="auto"/>
            <w:noWrap/>
            <w:vAlign w:val="center"/>
            <w:hideMark/>
          </w:tcPr>
          <w:p w14:paraId="0B933744"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0.16 (0.11-0.25)</w:t>
            </w:r>
          </w:p>
        </w:tc>
        <w:tc>
          <w:tcPr>
            <w:tcW w:w="2126" w:type="dxa"/>
            <w:vAlign w:val="center"/>
          </w:tcPr>
          <w:p w14:paraId="29BBDA89"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0.10 (0.05-0.21)</w:t>
            </w:r>
          </w:p>
        </w:tc>
        <w:tc>
          <w:tcPr>
            <w:tcW w:w="2642" w:type="dxa"/>
            <w:vAlign w:val="center"/>
          </w:tcPr>
          <w:p w14:paraId="26BB8167"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0.24 (0.14-0.41)</w:t>
            </w:r>
          </w:p>
        </w:tc>
      </w:tr>
      <w:tr w:rsidR="00BF5EA3" w:rsidRPr="00BF26A4" w14:paraId="45E0A940" w14:textId="77777777" w:rsidTr="002265B2">
        <w:trPr>
          <w:trHeight w:val="289"/>
        </w:trPr>
        <w:tc>
          <w:tcPr>
            <w:tcW w:w="0" w:type="auto"/>
            <w:shd w:val="clear" w:color="auto" w:fill="auto"/>
            <w:noWrap/>
            <w:vAlign w:val="center"/>
            <w:hideMark/>
          </w:tcPr>
          <w:p w14:paraId="3BA31AED"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30-39</w:t>
            </w:r>
          </w:p>
        </w:tc>
        <w:tc>
          <w:tcPr>
            <w:tcW w:w="3095" w:type="dxa"/>
            <w:shd w:val="clear" w:color="auto" w:fill="auto"/>
            <w:noWrap/>
            <w:vAlign w:val="center"/>
            <w:hideMark/>
          </w:tcPr>
          <w:p w14:paraId="7B4CDC60"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0.42 (0.34-0.52)</w:t>
            </w:r>
          </w:p>
        </w:tc>
        <w:tc>
          <w:tcPr>
            <w:tcW w:w="2126" w:type="dxa"/>
            <w:vAlign w:val="center"/>
          </w:tcPr>
          <w:p w14:paraId="4EAF3D65"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0.17 (0.10-0.27)</w:t>
            </w:r>
          </w:p>
        </w:tc>
        <w:tc>
          <w:tcPr>
            <w:tcW w:w="2642" w:type="dxa"/>
            <w:vAlign w:val="center"/>
          </w:tcPr>
          <w:p w14:paraId="33D32289"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0.66 (0.52-0.83)</w:t>
            </w:r>
          </w:p>
        </w:tc>
      </w:tr>
      <w:tr w:rsidR="00BF5EA3" w:rsidRPr="00BF26A4" w14:paraId="6E5A2C59" w14:textId="77777777" w:rsidTr="002265B2">
        <w:trPr>
          <w:trHeight w:val="289"/>
        </w:trPr>
        <w:tc>
          <w:tcPr>
            <w:tcW w:w="0" w:type="auto"/>
            <w:shd w:val="clear" w:color="auto" w:fill="auto"/>
            <w:noWrap/>
            <w:vAlign w:val="center"/>
            <w:hideMark/>
          </w:tcPr>
          <w:p w14:paraId="56C9E107"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40-49</w:t>
            </w:r>
          </w:p>
        </w:tc>
        <w:tc>
          <w:tcPr>
            <w:tcW w:w="3095" w:type="dxa"/>
            <w:shd w:val="clear" w:color="auto" w:fill="auto"/>
            <w:noWrap/>
            <w:vAlign w:val="center"/>
            <w:hideMark/>
          </w:tcPr>
          <w:p w14:paraId="19CAAF26"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1.40 (1.20-1.50)</w:t>
            </w:r>
          </w:p>
        </w:tc>
        <w:tc>
          <w:tcPr>
            <w:tcW w:w="2126" w:type="dxa"/>
            <w:vAlign w:val="center"/>
          </w:tcPr>
          <w:p w14:paraId="0FAE03F9"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0.55 (0.43-0.70)</w:t>
            </w:r>
          </w:p>
        </w:tc>
        <w:tc>
          <w:tcPr>
            <w:tcW w:w="2642" w:type="dxa"/>
            <w:vAlign w:val="center"/>
          </w:tcPr>
          <w:p w14:paraId="21DB1FA8"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2.20 (1.90-2.50)</w:t>
            </w:r>
          </w:p>
        </w:tc>
      </w:tr>
      <w:tr w:rsidR="00BF5EA3" w:rsidRPr="00BF26A4" w14:paraId="3C612351" w14:textId="77777777" w:rsidTr="002265B2">
        <w:trPr>
          <w:trHeight w:val="289"/>
        </w:trPr>
        <w:tc>
          <w:tcPr>
            <w:tcW w:w="0" w:type="auto"/>
            <w:shd w:val="clear" w:color="auto" w:fill="auto"/>
            <w:noWrap/>
            <w:vAlign w:val="center"/>
            <w:hideMark/>
          </w:tcPr>
          <w:p w14:paraId="146434A4"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50-59</w:t>
            </w:r>
          </w:p>
        </w:tc>
        <w:tc>
          <w:tcPr>
            <w:tcW w:w="3095" w:type="dxa"/>
            <w:shd w:val="clear" w:color="auto" w:fill="auto"/>
            <w:noWrap/>
            <w:vAlign w:val="center"/>
            <w:hideMark/>
          </w:tcPr>
          <w:p w14:paraId="6344370A"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3.90 (3.60-4.20)</w:t>
            </w:r>
          </w:p>
        </w:tc>
        <w:tc>
          <w:tcPr>
            <w:tcW w:w="2126" w:type="dxa"/>
            <w:vAlign w:val="center"/>
          </w:tcPr>
          <w:p w14:paraId="4B007511"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1.20 (1.00-1.50)</w:t>
            </w:r>
          </w:p>
        </w:tc>
        <w:tc>
          <w:tcPr>
            <w:tcW w:w="2642" w:type="dxa"/>
            <w:vAlign w:val="center"/>
          </w:tcPr>
          <w:p w14:paraId="6B97DF5F"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6.60 (6.10-7.10)</w:t>
            </w:r>
          </w:p>
        </w:tc>
      </w:tr>
      <w:tr w:rsidR="00BF5EA3" w:rsidRPr="00BF26A4" w14:paraId="20B81BAA" w14:textId="77777777" w:rsidTr="002265B2">
        <w:trPr>
          <w:trHeight w:val="289"/>
        </w:trPr>
        <w:tc>
          <w:tcPr>
            <w:tcW w:w="0" w:type="auto"/>
            <w:shd w:val="clear" w:color="auto" w:fill="auto"/>
            <w:noWrap/>
            <w:vAlign w:val="center"/>
            <w:hideMark/>
          </w:tcPr>
          <w:p w14:paraId="7594B22A"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60-69</w:t>
            </w:r>
          </w:p>
        </w:tc>
        <w:tc>
          <w:tcPr>
            <w:tcW w:w="3095" w:type="dxa"/>
            <w:shd w:val="clear" w:color="auto" w:fill="auto"/>
            <w:noWrap/>
            <w:vAlign w:val="center"/>
            <w:hideMark/>
          </w:tcPr>
          <w:p w14:paraId="6483E9FF"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7.50 (7.00-7.90)</w:t>
            </w:r>
          </w:p>
        </w:tc>
        <w:tc>
          <w:tcPr>
            <w:tcW w:w="2126" w:type="dxa"/>
            <w:vAlign w:val="center"/>
          </w:tcPr>
          <w:p w14:paraId="33B4B57A"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2.70 (2.30-3.10)</w:t>
            </w:r>
          </w:p>
        </w:tc>
        <w:tc>
          <w:tcPr>
            <w:tcW w:w="2642" w:type="dxa"/>
            <w:vAlign w:val="center"/>
          </w:tcPr>
          <w:p w14:paraId="36A2DAFE"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12.00 (11.00-13.00)</w:t>
            </w:r>
          </w:p>
        </w:tc>
      </w:tr>
      <w:tr w:rsidR="00BF5EA3" w:rsidRPr="00BF26A4" w14:paraId="22C3B66A" w14:textId="77777777" w:rsidTr="002265B2">
        <w:trPr>
          <w:trHeight w:val="289"/>
        </w:trPr>
        <w:tc>
          <w:tcPr>
            <w:tcW w:w="0" w:type="auto"/>
            <w:shd w:val="clear" w:color="auto" w:fill="auto"/>
            <w:noWrap/>
            <w:vAlign w:val="center"/>
            <w:hideMark/>
          </w:tcPr>
          <w:p w14:paraId="520A16FB"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lastRenderedPageBreak/>
              <w:t>70-79</w:t>
            </w:r>
          </w:p>
        </w:tc>
        <w:tc>
          <w:tcPr>
            <w:tcW w:w="3095" w:type="dxa"/>
            <w:shd w:val="clear" w:color="auto" w:fill="auto"/>
            <w:noWrap/>
            <w:vAlign w:val="center"/>
            <w:hideMark/>
          </w:tcPr>
          <w:p w14:paraId="68208D4C"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13.00 (12.00-14.00)</w:t>
            </w:r>
          </w:p>
        </w:tc>
        <w:tc>
          <w:tcPr>
            <w:tcW w:w="2126" w:type="dxa"/>
            <w:vAlign w:val="center"/>
          </w:tcPr>
          <w:p w14:paraId="43D98EF3"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4.80 (4.10-5.60)</w:t>
            </w:r>
          </w:p>
        </w:tc>
        <w:tc>
          <w:tcPr>
            <w:tcW w:w="2642" w:type="dxa"/>
            <w:vAlign w:val="center"/>
          </w:tcPr>
          <w:p w14:paraId="0C4DE12A"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20.00 (19.00-22.00)</w:t>
            </w:r>
          </w:p>
        </w:tc>
      </w:tr>
      <w:tr w:rsidR="00BF5EA3" w:rsidRPr="00BF26A4" w14:paraId="0BDA43B3" w14:textId="77777777" w:rsidTr="002265B2">
        <w:trPr>
          <w:trHeight w:val="289"/>
        </w:trPr>
        <w:tc>
          <w:tcPr>
            <w:tcW w:w="0" w:type="auto"/>
            <w:shd w:val="clear" w:color="auto" w:fill="auto"/>
            <w:noWrap/>
            <w:vAlign w:val="center"/>
            <w:hideMark/>
          </w:tcPr>
          <w:p w14:paraId="4939D627"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80-89</w:t>
            </w:r>
          </w:p>
        </w:tc>
        <w:tc>
          <w:tcPr>
            <w:tcW w:w="3095" w:type="dxa"/>
            <w:shd w:val="clear" w:color="auto" w:fill="auto"/>
            <w:noWrap/>
            <w:vAlign w:val="center"/>
            <w:hideMark/>
          </w:tcPr>
          <w:p w14:paraId="4AD9613F"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21.00 (19.00-23.00)</w:t>
            </w:r>
          </w:p>
        </w:tc>
        <w:tc>
          <w:tcPr>
            <w:tcW w:w="2126" w:type="dxa"/>
            <w:vAlign w:val="center"/>
          </w:tcPr>
          <w:p w14:paraId="107487E1"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9.60 (7.50-12.00)</w:t>
            </w:r>
          </w:p>
        </w:tc>
        <w:tc>
          <w:tcPr>
            <w:tcW w:w="2642" w:type="dxa"/>
            <w:vAlign w:val="center"/>
          </w:tcPr>
          <w:p w14:paraId="618D7BFB"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29.00 (26.00-33.00)</w:t>
            </w:r>
          </w:p>
        </w:tc>
      </w:tr>
      <w:tr w:rsidR="00BF5EA3" w:rsidRPr="00BF26A4" w14:paraId="66810F82" w14:textId="77777777" w:rsidTr="002265B2">
        <w:trPr>
          <w:trHeight w:val="289"/>
        </w:trPr>
        <w:tc>
          <w:tcPr>
            <w:tcW w:w="0" w:type="auto"/>
            <w:shd w:val="clear" w:color="auto" w:fill="auto"/>
            <w:noWrap/>
            <w:vAlign w:val="center"/>
            <w:hideMark/>
          </w:tcPr>
          <w:p w14:paraId="4F63D2A3"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eastAsia="Times New Roman" w:cstheme="minorHAnsi"/>
                <w:color w:val="000000"/>
                <w:sz w:val="20"/>
                <w:szCs w:val="20"/>
                <w:lang w:eastAsia="zh-CN"/>
              </w:rPr>
              <w:t>90-99</w:t>
            </w:r>
          </w:p>
        </w:tc>
        <w:tc>
          <w:tcPr>
            <w:tcW w:w="3095" w:type="dxa"/>
            <w:shd w:val="clear" w:color="auto" w:fill="auto"/>
            <w:noWrap/>
            <w:vAlign w:val="center"/>
            <w:hideMark/>
          </w:tcPr>
          <w:p w14:paraId="4394A24A" w14:textId="77777777" w:rsidR="00BF5EA3" w:rsidRPr="00BF26A4" w:rsidRDefault="00BF5EA3" w:rsidP="002265B2">
            <w:pPr>
              <w:spacing w:after="0" w:line="240" w:lineRule="auto"/>
              <w:jc w:val="center"/>
              <w:rPr>
                <w:rFonts w:eastAsia="Times New Roman" w:cstheme="minorHAnsi"/>
                <w:color w:val="000000"/>
                <w:sz w:val="20"/>
                <w:szCs w:val="20"/>
                <w:lang w:eastAsia="zh-CN"/>
              </w:rPr>
            </w:pPr>
            <w:r w:rsidRPr="00BF26A4">
              <w:rPr>
                <w:rFonts w:ascii="Calibri" w:hAnsi="Calibri" w:cs="Calibri"/>
                <w:color w:val="000000"/>
                <w:sz w:val="20"/>
                <w:szCs w:val="20"/>
                <w:lang w:eastAsia="en-GB"/>
              </w:rPr>
              <w:t>27.00 (19.00-38.00)</w:t>
            </w:r>
          </w:p>
        </w:tc>
        <w:tc>
          <w:tcPr>
            <w:tcW w:w="2126" w:type="dxa"/>
            <w:vAlign w:val="center"/>
          </w:tcPr>
          <w:p w14:paraId="3822BA03"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5.90 (1.50-24.00)</w:t>
            </w:r>
          </w:p>
        </w:tc>
        <w:tc>
          <w:tcPr>
            <w:tcW w:w="2642" w:type="dxa"/>
            <w:vAlign w:val="center"/>
          </w:tcPr>
          <w:p w14:paraId="2746E9B8" w14:textId="77777777" w:rsidR="00BF5EA3" w:rsidRPr="00BF26A4" w:rsidRDefault="00BF5EA3" w:rsidP="002265B2">
            <w:pPr>
              <w:spacing w:after="0" w:line="240" w:lineRule="auto"/>
              <w:jc w:val="center"/>
              <w:rPr>
                <w:rFonts w:ascii="Calibri" w:hAnsi="Calibri" w:cs="Calibri"/>
                <w:color w:val="000000"/>
                <w:sz w:val="20"/>
                <w:szCs w:val="20"/>
                <w:lang w:eastAsia="en-GB"/>
              </w:rPr>
            </w:pPr>
            <w:r w:rsidRPr="00BF26A4">
              <w:rPr>
                <w:rFonts w:ascii="Calibri" w:hAnsi="Calibri" w:cs="Calibri"/>
                <w:color w:val="000000"/>
                <w:sz w:val="20"/>
                <w:szCs w:val="20"/>
                <w:lang w:eastAsia="en-GB"/>
              </w:rPr>
              <w:t>36.00 (25.00-51.00)</w:t>
            </w:r>
          </w:p>
        </w:tc>
      </w:tr>
    </w:tbl>
    <w:p w14:paraId="003CDC00" w14:textId="77777777" w:rsidR="00BF5EA3" w:rsidRPr="00305D05" w:rsidRDefault="00BF5EA3" w:rsidP="00BF5EA3">
      <w:pPr>
        <w:rPr>
          <w:rFonts w:eastAsia="Times New Roman" w:cstheme="minorHAnsi"/>
          <w:color w:val="000000"/>
          <w:sz w:val="24"/>
          <w:szCs w:val="24"/>
          <w:lang w:eastAsia="zh-CN"/>
        </w:rPr>
      </w:pPr>
    </w:p>
    <w:p w14:paraId="39D0A373" w14:textId="77777777" w:rsidR="00BF5EA3" w:rsidRPr="00305D05" w:rsidRDefault="00BF5EA3" w:rsidP="00CF599B">
      <w:pPr>
        <w:pStyle w:val="Heading4"/>
        <w:rPr>
          <w:lang w:eastAsia="zh-CN"/>
        </w:rPr>
      </w:pPr>
      <w:bookmarkStart w:id="268" w:name="_Toc87507191"/>
      <w:r w:rsidRPr="00305D05">
        <w:rPr>
          <w:lang w:eastAsia="zh-CN"/>
        </w:rPr>
        <w:t>Mortality</w:t>
      </w:r>
      <w:bookmarkEnd w:id="268"/>
    </w:p>
    <w:p w14:paraId="141B3624" w14:textId="7DE014E4" w:rsidR="00BF5EA3" w:rsidRPr="006F737B" w:rsidRDefault="00BF5EA3" w:rsidP="00BF5EA3">
      <w:pPr>
        <w:rPr>
          <w:rFonts w:cstheme="minorHAnsi"/>
          <w:lang w:eastAsia="zh-CN"/>
        </w:rPr>
      </w:pPr>
      <w:bookmarkStart w:id="269" w:name="_Hlk62738474"/>
      <w:r w:rsidRPr="006F737B">
        <w:rPr>
          <w:rFonts w:cstheme="minorHAnsi"/>
          <w:lang w:eastAsia="zh-CN"/>
        </w:rPr>
        <w:t xml:space="preserve">Mortality in the model is assumed to be equal to general population mortality with excess mortality assigned to those patients who develop NHL or osteoporosis. </w:t>
      </w:r>
      <w:bookmarkEnd w:id="269"/>
      <w:r>
        <w:rPr>
          <w:rFonts w:cstheme="minorHAnsi"/>
          <w:lang w:eastAsia="zh-CN"/>
        </w:rPr>
        <w:t xml:space="preserve">Mortality in the general population came from the 2019 </w:t>
      </w:r>
      <w:r w:rsidRPr="006F737B">
        <w:rPr>
          <w:rFonts w:cstheme="minorHAnsi"/>
          <w:lang w:eastAsia="zh-CN"/>
        </w:rPr>
        <w:t>Office of National Statistics</w:t>
      </w:r>
      <w:r>
        <w:rPr>
          <w:rFonts w:cstheme="minorHAnsi"/>
          <w:lang w:eastAsia="zh-CN"/>
        </w:rPr>
        <w:t xml:space="preserve"> lifetables.</w:t>
      </w:r>
      <w:r>
        <w:rPr>
          <w:rFonts w:cstheme="minorHAnsi"/>
          <w:lang w:eastAsia="zh-CN"/>
        </w:rPr>
        <w:fldChar w:fldCharType="begin"/>
      </w:r>
      <w:r w:rsidR="00735CC0">
        <w:rPr>
          <w:rFonts w:cstheme="minorHAnsi"/>
          <w:lang w:eastAsia="zh-CN"/>
        </w:rPr>
        <w:instrText xml:space="preserve"> ADDIN EN.CITE &lt;EndNote&gt;&lt;Cite&gt;&lt;Author&gt;ONS&lt;/Author&gt;&lt;Year&gt;2019&lt;/Year&gt;&lt;RecNum&gt;556&lt;/RecNum&gt;&lt;DisplayText&gt;&lt;style face="superscript"&gt;247&lt;/style&gt;&lt;/DisplayText&gt;&lt;record&gt;&lt;rec-number&gt;556&lt;/rec-number&gt;&lt;foreign-keys&gt;&lt;key app="EN" db-id="tdwrx9xd1z9eepeevr355w2k959rv0f5zaax" timestamp="1636620393"&gt;556&lt;/key&gt;&lt;/foreign-keys&gt;&lt;ref-type name="Journal Article"&gt;17&lt;/ref-type&gt;&lt;contributors&gt;&lt;authors&gt;&lt;author&gt;ONS,&lt;/author&gt;&lt;/authors&gt;&lt;/contributors&gt;&lt;titles&gt;&lt;title&gt;National Life Tables, United Kingdom, 1980-1982 to 2017-2019.&lt;/title&gt;&lt;secondary-title&gt;https://www.ons.gov.uk/peoplepopulationandcommunity/birthsdeathsandmarriages/lifeexpectancies/datasets/nationallifetablesunitedkingdomreferencetables [last accessed 10/11/2020]&lt;/secondary-title&gt;&lt;/titles&gt;&lt;periodical&gt;&lt;full-title&gt;https://www.ons.gov.uk/peoplepopulationandcommunity/birthsdeathsandmarriages/lifeexpectancies/datasets/nationallifetablesunitedkingdomreferencetables [last accessed 10/11/2020]&lt;/full-title&gt;&lt;/periodical&gt;&lt;dates&gt;&lt;year&gt;2019&lt;/year&gt;&lt;/dates&gt;&lt;urls&gt;&lt;/urls&gt;&lt;/record&gt;&lt;/Cite&gt;&lt;/EndNote&gt;</w:instrText>
      </w:r>
      <w:r>
        <w:rPr>
          <w:rFonts w:cstheme="minorHAnsi"/>
          <w:lang w:eastAsia="zh-CN"/>
        </w:rPr>
        <w:fldChar w:fldCharType="separate"/>
      </w:r>
      <w:r w:rsidR="00735CC0" w:rsidRPr="00735CC0">
        <w:rPr>
          <w:rFonts w:cstheme="minorHAnsi"/>
          <w:noProof/>
          <w:vertAlign w:val="superscript"/>
          <w:lang w:eastAsia="zh-CN"/>
        </w:rPr>
        <w:t>247</w:t>
      </w:r>
      <w:r>
        <w:rPr>
          <w:rFonts w:cstheme="minorHAnsi"/>
          <w:lang w:eastAsia="zh-CN"/>
        </w:rPr>
        <w:fldChar w:fldCharType="end"/>
      </w:r>
    </w:p>
    <w:p w14:paraId="72F8D040" w14:textId="088953EB" w:rsidR="00BF5EA3" w:rsidRPr="006F737B" w:rsidRDefault="00BF5EA3" w:rsidP="00BF5EA3">
      <w:pPr>
        <w:rPr>
          <w:rFonts w:cstheme="minorHAnsi"/>
          <w:lang w:eastAsia="zh-CN"/>
        </w:rPr>
      </w:pPr>
      <w:r w:rsidRPr="006F737B">
        <w:rPr>
          <w:rFonts w:cstheme="minorHAnsi"/>
          <w:lang w:eastAsia="zh-CN"/>
        </w:rPr>
        <w:t>Mortality from NHL is based on data from the Office of National Statistics on adults diagnosed with NHL between 2013 and 2017 which showed that one-year survival is 79.4% (</w:t>
      </w:r>
      <w:r>
        <w:rPr>
          <w:rFonts w:cstheme="minorHAnsi"/>
          <w:lang w:eastAsia="zh-CN"/>
        </w:rPr>
        <w:t xml:space="preserve">with 95% CI: </w:t>
      </w:r>
      <w:r w:rsidRPr="006F737B">
        <w:rPr>
          <w:rFonts w:cstheme="minorHAnsi"/>
          <w:lang w:eastAsia="zh-CN"/>
        </w:rPr>
        <w:t>79</w:t>
      </w:r>
      <w:r w:rsidR="00833980">
        <w:rPr>
          <w:rFonts w:cstheme="minorHAnsi"/>
          <w:lang w:eastAsia="zh-CN"/>
        </w:rPr>
        <w:t>.0</w:t>
      </w:r>
      <w:r w:rsidRPr="006F737B">
        <w:rPr>
          <w:rFonts w:cstheme="minorHAnsi"/>
          <w:lang w:eastAsia="zh-CN"/>
        </w:rPr>
        <w:t xml:space="preserve"> – 79.7), five-year survival is 65.6% (65</w:t>
      </w:r>
      <w:r w:rsidR="00833980">
        <w:rPr>
          <w:rFonts w:cstheme="minorHAnsi"/>
          <w:lang w:eastAsia="zh-CN"/>
        </w:rPr>
        <w:t>.0</w:t>
      </w:r>
      <w:r w:rsidRPr="006F737B">
        <w:rPr>
          <w:rFonts w:cstheme="minorHAnsi"/>
          <w:lang w:eastAsia="zh-CN"/>
        </w:rPr>
        <w:t xml:space="preserve"> – 66.3), and ten-year survival is 54.7% (53.2 – 56.3).</w:t>
      </w:r>
      <w:r w:rsidRPr="006F737B">
        <w:rPr>
          <w:rFonts w:cstheme="minorHAnsi"/>
          <w:lang w:eastAsia="zh-CN"/>
        </w:rPr>
        <w:fldChar w:fldCharType="begin"/>
      </w:r>
      <w:r w:rsidR="00735CC0">
        <w:rPr>
          <w:rFonts w:cstheme="minorHAnsi"/>
          <w:lang w:eastAsia="zh-CN"/>
        </w:rPr>
        <w:instrText xml:space="preserve"> ADDIN EN.CITE &lt;EndNote&gt;&lt;Cite&gt;&lt;Author&gt;ONS&lt;/Author&gt;&lt;Year&gt;2018&lt;/Year&gt;&lt;RecNum&gt;2738&lt;/RecNum&gt;&lt;DisplayText&gt;&lt;style face="superscript"&gt;248&lt;/style&gt;&lt;/DisplayText&gt;&lt;record&gt;&lt;rec-number&gt;48&lt;/rec-number&gt;&lt;foreign-keys&gt;&lt;key app="EN" db-id="w9pwfv0xxa5v9vedxzkp20wvv52efwv0xppv" timestamp="1636614827"&gt;48&lt;/key&gt;&lt;/foreign-keys&gt;&lt;ref-type name="Journal Article"&gt;17&lt;/ref-type&gt;&lt;contributors&gt;&lt;authors&gt;&lt;author&gt;ONS &lt;/author&gt;&lt;/authors&gt;&lt;/contributors&gt;&lt;titles&gt;&lt;title&gt;Cancer Survival in England: adults diagnosed between 2013 and 2017 and followed up to 2018&lt;/title&gt;&lt;/titles&gt;&lt;dates&gt;&lt;year&gt;2018&lt;/year&gt;&lt;/dates&gt;&lt;urls&gt;&lt;/urls&gt;&lt;/record&gt;&lt;/Cite&gt;&lt;/EndNote&gt;</w:instrText>
      </w:r>
      <w:r w:rsidRPr="006F737B">
        <w:rPr>
          <w:rFonts w:cstheme="minorHAnsi"/>
          <w:lang w:eastAsia="zh-CN"/>
        </w:rPr>
        <w:fldChar w:fldCharType="separate"/>
      </w:r>
      <w:r w:rsidR="00735CC0" w:rsidRPr="00735CC0">
        <w:rPr>
          <w:rFonts w:cstheme="minorHAnsi"/>
          <w:noProof/>
          <w:vertAlign w:val="superscript"/>
          <w:lang w:eastAsia="zh-CN"/>
        </w:rPr>
        <w:t>248</w:t>
      </w:r>
      <w:r w:rsidRPr="006F737B">
        <w:rPr>
          <w:rFonts w:cstheme="minorHAnsi"/>
          <w:lang w:eastAsia="zh-CN"/>
        </w:rPr>
        <w:fldChar w:fldCharType="end"/>
      </w:r>
      <w:r w:rsidRPr="006F737B">
        <w:rPr>
          <w:rFonts w:cstheme="minorHAnsi"/>
          <w:lang w:eastAsia="zh-CN"/>
        </w:rPr>
        <w:t xml:space="preserve"> The Markov model cannot allow the probability of NHL mortality to change over time as patients may enter the NHL state at different times. These estimates are therefore used to calculate a single annual probability capturing average survival.</w:t>
      </w:r>
    </w:p>
    <w:p w14:paraId="4E5A2AE6" w14:textId="19E50BEC" w:rsidR="00BF5EA3" w:rsidRPr="006F737B" w:rsidRDefault="00BF5EA3" w:rsidP="00BF5EA3">
      <w:pPr>
        <w:rPr>
          <w:rFonts w:cstheme="minorHAnsi"/>
          <w:lang w:eastAsia="zh-CN"/>
        </w:rPr>
      </w:pPr>
      <w:r w:rsidRPr="006F737B">
        <w:rPr>
          <w:rFonts w:cstheme="minorHAnsi"/>
          <w:lang w:eastAsia="zh-CN"/>
        </w:rPr>
        <w:t>This synthesis was performed in the Bayesian software OpenBUGS.</w:t>
      </w:r>
      <w:r w:rsidRPr="006F737B">
        <w:rPr>
          <w:rFonts w:cstheme="minorHAnsi"/>
          <w:lang w:eastAsia="zh-CN"/>
        </w:rPr>
        <w:fldChar w:fldCharType="begin"/>
      </w:r>
      <w:r w:rsidR="00735CC0">
        <w:rPr>
          <w:rFonts w:cstheme="minorHAnsi"/>
          <w:lang w:eastAsia="zh-CN"/>
        </w:rPr>
        <w:instrText xml:space="preserve"> ADDIN EN.CITE &lt;EndNote&gt;&lt;Cite&gt;&lt;Author&gt;Lunn&lt;/Author&gt;&lt;Year&gt;2013&lt;/Year&gt;&lt;RecNum&gt;176&lt;/RecNum&gt;&lt;DisplayText&gt;&lt;style face="superscript"&gt;249&lt;/style&gt;&lt;/DisplayText&gt;&lt;record&gt;&lt;rec-number&gt;49&lt;/rec-number&gt;&lt;foreign-keys&gt;&lt;key app="EN" db-id="w9pwfv0xxa5v9vedxzkp20wvv52efwv0xppv" timestamp="1636614827"&gt;49&lt;/key&gt;&lt;/foreign-keys&gt;&lt;ref-type name="Book"&gt;6&lt;/ref-type&gt;&lt;contributors&gt;&lt;authors&gt;&lt;author&gt;Lunn, David&lt;/author&gt;&lt;author&gt;Jackson, Christopher&lt;/author&gt;&lt;author&gt;Best, Nicky&lt;/author&gt;&lt;author&gt;Thomas, Andrew&lt;/author&gt;&lt;author&gt;Spiegelhalter, D. J.&lt;/author&gt;&lt;/authors&gt;&lt;/contributors&gt;&lt;titles&gt;&lt;title&gt;The BUGS book : a practical introduction to Bayesian analysis&lt;/title&gt;&lt;secondary-title&gt;Texts in statistical science&lt;/secondary-title&gt;&lt;/titles&gt;&lt;pages&gt;xvii, 381 pages&lt;/pages&gt;&lt;keywords&gt;&lt;keyword&gt;WinBUGS.&lt;/keyword&gt;&lt;keyword&gt;Bayesian statistical decision theory Data processing.&lt;/keyword&gt;&lt;/keywords&gt;&lt;dates&gt;&lt;year&gt;2013&lt;/year&gt;&lt;/dates&gt;&lt;pub-location&gt;Boca Raton ; London&lt;/pub-location&gt;&lt;publisher&gt;CRC Press&lt;/publisher&gt;&lt;isbn&gt;9781584888499&lt;/isbn&gt;&lt;accession-num&gt;5445263&lt;/accession-num&gt;&lt;call-num&gt;Betty &amp;amp; Gordon Moore Library QA279.5 .L86 2013&lt;/call-num&gt;&lt;urls&gt;&lt;related-urls&gt;&lt;url&gt;Cover image http://jacketsearch.tandf.co.uk/common/jackets/covers/websmall/978158488/9781584888499.jpg&lt;/url&gt;&lt;/related-urls&gt;&lt;/urls&gt;&lt;/record&gt;&lt;/Cite&gt;&lt;/EndNote&gt;</w:instrText>
      </w:r>
      <w:r w:rsidRPr="006F737B">
        <w:rPr>
          <w:rFonts w:cstheme="minorHAnsi"/>
          <w:lang w:eastAsia="zh-CN"/>
        </w:rPr>
        <w:fldChar w:fldCharType="separate"/>
      </w:r>
      <w:r w:rsidR="00735CC0" w:rsidRPr="00735CC0">
        <w:rPr>
          <w:rFonts w:cstheme="minorHAnsi"/>
          <w:noProof/>
          <w:vertAlign w:val="superscript"/>
          <w:lang w:eastAsia="zh-CN"/>
        </w:rPr>
        <w:t>249</w:t>
      </w:r>
      <w:r w:rsidRPr="006F737B">
        <w:rPr>
          <w:rFonts w:cstheme="minorHAnsi"/>
          <w:lang w:eastAsia="zh-CN"/>
        </w:rPr>
        <w:fldChar w:fldCharType="end"/>
      </w:r>
      <w:r w:rsidRPr="006F737B">
        <w:rPr>
          <w:rFonts w:cstheme="minorHAnsi"/>
          <w:lang w:eastAsia="zh-CN"/>
        </w:rPr>
        <w:t xml:space="preserve"> We first converted observed probabilities to hazards using the </w:t>
      </w:r>
      <w:r w:rsidR="002C34A9">
        <w:rPr>
          <w:rFonts w:cstheme="minorHAnsi"/>
          <w:lang w:eastAsia="zh-CN"/>
        </w:rPr>
        <w:t>under the assumption of constant hazards using</w:t>
      </w:r>
    </w:p>
    <w:p w14:paraId="742C98EF" w14:textId="170C3653" w:rsidR="00BF5EA3" w:rsidRPr="006F737B" w:rsidRDefault="000472B4" w:rsidP="000526F1">
      <w:pPr>
        <w:jc w:val="right"/>
        <w:rPr>
          <w:rFonts w:cstheme="minorHAnsi"/>
          <w:lang w:eastAsia="zh-CN"/>
        </w:rPr>
      </w:pPr>
      <m:oMath>
        <m:r>
          <w:rPr>
            <w:rFonts w:ascii="Cambria Math" w:hAnsi="Cambria Math" w:cstheme="minorHAnsi"/>
            <w:lang w:eastAsia="zh-CN"/>
          </w:rPr>
          <m:t>P</m:t>
        </m:r>
        <m:d>
          <m:dPr>
            <m:ctrlPr>
              <w:rPr>
                <w:rFonts w:ascii="Cambria Math" w:hAnsi="Cambria Math" w:cstheme="minorHAnsi"/>
                <w:i/>
              </w:rPr>
            </m:ctrlPr>
          </m:dPr>
          <m:e>
            <m:r>
              <w:rPr>
                <w:rFonts w:ascii="Cambria Math" w:hAnsi="Cambria Math" w:cstheme="minorHAnsi"/>
                <w:lang w:eastAsia="zh-CN"/>
              </w:rPr>
              <m:t>t</m:t>
            </m:r>
          </m:e>
        </m:d>
        <m:r>
          <w:rPr>
            <w:rFonts w:ascii="Cambria Math" w:hAnsi="Cambria Math" w:cstheme="minorHAnsi"/>
            <w:lang w:eastAsia="zh-CN"/>
          </w:rPr>
          <m:t>=</m:t>
        </m:r>
        <m:sSup>
          <m:sSupPr>
            <m:ctrlPr>
              <w:rPr>
                <w:rFonts w:ascii="Cambria Math" w:hAnsi="Cambria Math" w:cstheme="minorHAnsi"/>
                <w:i/>
              </w:rPr>
            </m:ctrlPr>
          </m:sSupPr>
          <m:e>
            <m:r>
              <w:rPr>
                <w:rFonts w:ascii="Cambria Math" w:hAnsi="Cambria Math" w:cstheme="minorHAnsi"/>
                <w:lang w:eastAsia="zh-CN"/>
              </w:rPr>
              <m:t>e</m:t>
            </m:r>
          </m:e>
          <m:sup>
            <m:r>
              <w:rPr>
                <w:rFonts w:ascii="Cambria Math" w:hAnsi="Cambria Math" w:cstheme="minorHAnsi"/>
                <w:lang w:eastAsia="zh-CN"/>
              </w:rPr>
              <m:t>-</m:t>
            </m:r>
            <m:sSub>
              <m:sSubPr>
                <m:ctrlPr>
                  <w:rPr>
                    <w:rFonts w:ascii="Cambria Math" w:hAnsi="Cambria Math" w:cstheme="minorHAnsi"/>
                    <w:i/>
                  </w:rPr>
                </m:ctrlPr>
              </m:sSubPr>
              <m:e>
                <m:r>
                  <w:rPr>
                    <w:rFonts w:ascii="Cambria Math" w:hAnsi="Cambria Math" w:cstheme="minorHAnsi"/>
                    <w:lang w:eastAsia="zh-CN"/>
                  </w:rPr>
                  <m:t>h</m:t>
                </m:r>
              </m:e>
              <m:sub>
                <m:r>
                  <w:rPr>
                    <w:rFonts w:ascii="Cambria Math" w:hAnsi="Cambria Math" w:cstheme="minorHAnsi"/>
                    <w:lang w:eastAsia="zh-CN"/>
                  </w:rPr>
                  <m:t>t</m:t>
                </m:r>
              </m:sub>
            </m:sSub>
            <m:r>
              <w:rPr>
                <w:rFonts w:ascii="Cambria Math" w:hAnsi="Cambria Math" w:cstheme="minorHAnsi"/>
                <w:lang w:eastAsia="zh-CN"/>
              </w:rPr>
              <m:t>t</m:t>
            </m:r>
          </m:sup>
        </m:sSup>
      </m:oMath>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t>(1)</w:t>
      </w:r>
    </w:p>
    <w:p w14:paraId="6DF411CA" w14:textId="48F1F58F" w:rsidR="00BF5EA3" w:rsidRPr="006F737B" w:rsidRDefault="00BF5EA3" w:rsidP="00BF5EA3">
      <w:pPr>
        <w:rPr>
          <w:rFonts w:cstheme="minorHAnsi"/>
          <w:lang w:eastAsia="zh-CN"/>
        </w:rPr>
      </w:pPr>
      <w:r w:rsidRPr="006F737B">
        <w:rPr>
          <w:rFonts w:cstheme="minorHAnsi"/>
          <w:lang w:eastAsia="zh-CN"/>
        </w:rPr>
        <w:t xml:space="preserve">These hazards </w:t>
      </w:r>
      <m:oMath>
        <m:sSub>
          <m:sSubPr>
            <m:ctrlPr>
              <w:rPr>
                <w:rFonts w:ascii="Cambria Math" w:hAnsi="Cambria Math" w:cstheme="minorHAnsi"/>
                <w:i/>
              </w:rPr>
            </m:ctrlPr>
          </m:sSubPr>
          <m:e>
            <m:r>
              <w:rPr>
                <w:rFonts w:ascii="Cambria Math" w:hAnsi="Cambria Math" w:cstheme="minorHAnsi"/>
                <w:lang w:eastAsia="zh-CN"/>
              </w:rPr>
              <m:t>h</m:t>
            </m:r>
          </m:e>
          <m:sub>
            <m:r>
              <w:rPr>
                <w:rFonts w:ascii="Cambria Math" w:hAnsi="Cambria Math" w:cstheme="minorHAnsi"/>
                <w:lang w:eastAsia="zh-CN"/>
              </w:rPr>
              <m:t>t</m:t>
            </m:r>
          </m:sub>
        </m:sSub>
      </m:oMath>
      <w:r w:rsidRPr="006F737B">
        <w:rPr>
          <w:rFonts w:eastAsiaTheme="minorEastAsia" w:cstheme="minorHAnsi"/>
          <w:lang w:eastAsia="zh-CN"/>
        </w:rPr>
        <w:t xml:space="preserve"> </w:t>
      </w:r>
      <w:r w:rsidRPr="006F737B">
        <w:rPr>
          <w:rFonts w:cstheme="minorHAnsi"/>
          <w:lang w:eastAsia="zh-CN"/>
        </w:rPr>
        <w:t xml:space="preserve">were then converted to a natural log scale (log hazard </w:t>
      </w:r>
      <m:oMath>
        <m:sSub>
          <m:sSubPr>
            <m:ctrlPr>
              <w:rPr>
                <w:rFonts w:ascii="Cambria Math" w:hAnsi="Cambria Math" w:cstheme="minorHAnsi"/>
                <w:i/>
              </w:rPr>
            </m:ctrlPr>
          </m:sSubPr>
          <m:e>
            <m:r>
              <w:rPr>
                <w:rFonts w:ascii="Cambria Math" w:hAnsi="Cambria Math" w:cstheme="minorHAnsi"/>
                <w:lang w:eastAsia="zh-CN"/>
              </w:rPr>
              <m:t>y</m:t>
            </m:r>
          </m:e>
          <m:sub>
            <m:r>
              <w:rPr>
                <w:rFonts w:ascii="Cambria Math" w:hAnsi="Cambria Math" w:cstheme="minorHAnsi"/>
                <w:lang w:eastAsia="zh-CN"/>
              </w:rPr>
              <m:t>t</m:t>
            </m:r>
          </m:sub>
        </m:sSub>
      </m:oMath>
      <w:r w:rsidRPr="006F737B">
        <w:rPr>
          <w:rFonts w:eastAsiaTheme="minorEastAsia" w:cstheme="minorHAnsi"/>
          <w:lang w:eastAsia="zh-CN"/>
        </w:rPr>
        <w:t>)</w:t>
      </w:r>
      <w:r w:rsidRPr="006F737B">
        <w:rPr>
          <w:rFonts w:cstheme="minorHAnsi"/>
          <w:lang w:eastAsia="zh-CN"/>
        </w:rPr>
        <w:t xml:space="preserve"> and the upper and lower bounds of the 95% reference range used to estimate the standard error (</w:t>
      </w:r>
      <m:oMath>
        <m:sSub>
          <m:sSubPr>
            <m:ctrlPr>
              <w:rPr>
                <w:rFonts w:ascii="Cambria Math" w:hAnsi="Cambria Math" w:cstheme="minorHAnsi"/>
                <w:i/>
              </w:rPr>
            </m:ctrlPr>
          </m:sSubPr>
          <m:e>
            <m:r>
              <w:rPr>
                <w:rFonts w:ascii="Cambria Math" w:hAnsi="Cambria Math" w:cstheme="minorHAnsi"/>
                <w:lang w:eastAsia="zh-CN"/>
              </w:rPr>
              <m:t>SE</m:t>
            </m:r>
          </m:e>
          <m:sub>
            <m:r>
              <w:rPr>
                <w:rFonts w:ascii="Cambria Math" w:hAnsi="Cambria Math" w:cstheme="minorHAnsi"/>
                <w:lang w:eastAsia="zh-CN"/>
              </w:rPr>
              <m:t>t</m:t>
            </m:r>
          </m:sub>
        </m:sSub>
      </m:oMath>
      <w:r w:rsidRPr="006F737B">
        <w:rPr>
          <w:rFonts w:cstheme="minorHAnsi"/>
          <w:lang w:eastAsia="zh-CN"/>
        </w:rPr>
        <w:t>) by assuming normality via the central limit theorem. We then treated them as independent observations of a common log hazard λ.</w:t>
      </w:r>
    </w:p>
    <w:p w14:paraId="475B7415" w14:textId="3D1D28AC" w:rsidR="00BF5EA3" w:rsidRPr="006F737B" w:rsidRDefault="00C34531" w:rsidP="000526F1">
      <w:pPr>
        <w:jc w:val="right"/>
        <w:rPr>
          <w:rFonts w:eastAsiaTheme="minorEastAsia" w:cstheme="minorHAnsi"/>
          <w:lang w:eastAsia="zh-CN"/>
        </w:rPr>
      </w:pPr>
      <m:oMath>
        <m:sSub>
          <m:sSubPr>
            <m:ctrlPr>
              <w:rPr>
                <w:rFonts w:ascii="Cambria Math" w:hAnsi="Cambria Math" w:cstheme="minorHAnsi"/>
                <w:i/>
              </w:rPr>
            </m:ctrlPr>
          </m:sSubPr>
          <m:e>
            <m:r>
              <w:rPr>
                <w:rFonts w:ascii="Cambria Math" w:hAnsi="Cambria Math" w:cstheme="minorHAnsi"/>
                <w:lang w:eastAsia="zh-CN"/>
              </w:rPr>
              <m:t>y</m:t>
            </m:r>
          </m:e>
          <m:sub>
            <m:r>
              <w:rPr>
                <w:rFonts w:ascii="Cambria Math" w:hAnsi="Cambria Math" w:cstheme="minorHAnsi"/>
                <w:lang w:eastAsia="zh-CN"/>
              </w:rPr>
              <m:t>t</m:t>
            </m:r>
          </m:sub>
        </m:sSub>
        <m:r>
          <w:rPr>
            <w:rFonts w:ascii="Cambria Math" w:hAnsi="Cambria Math" w:cstheme="minorHAnsi"/>
            <w:lang w:eastAsia="zh-CN"/>
          </w:rPr>
          <m:t>~N</m:t>
        </m:r>
        <m:d>
          <m:dPr>
            <m:ctrlPr>
              <w:rPr>
                <w:rFonts w:ascii="Cambria Math" w:hAnsi="Cambria Math" w:cstheme="minorHAnsi"/>
                <w:i/>
              </w:rPr>
            </m:ctrlPr>
          </m:dPr>
          <m:e>
            <m:r>
              <w:rPr>
                <w:rFonts w:ascii="Cambria Math" w:hAnsi="Cambria Math" w:cstheme="minorHAnsi"/>
                <w:lang w:eastAsia="zh-CN"/>
              </w:rPr>
              <m:t>λ,</m:t>
            </m:r>
            <m:sSub>
              <m:sSubPr>
                <m:ctrlPr>
                  <w:rPr>
                    <w:rFonts w:ascii="Cambria Math" w:hAnsi="Cambria Math" w:cstheme="minorHAnsi"/>
                    <w:i/>
                  </w:rPr>
                </m:ctrlPr>
              </m:sSubPr>
              <m:e>
                <m:r>
                  <w:rPr>
                    <w:rFonts w:ascii="Cambria Math" w:hAnsi="Cambria Math" w:cstheme="minorHAnsi"/>
                    <w:lang w:eastAsia="zh-CN"/>
                  </w:rPr>
                  <m:t>SE</m:t>
                </m:r>
              </m:e>
              <m:sub>
                <m:r>
                  <w:rPr>
                    <w:rFonts w:ascii="Cambria Math" w:hAnsi="Cambria Math" w:cstheme="minorHAnsi"/>
                    <w:lang w:eastAsia="zh-CN"/>
                  </w:rPr>
                  <m:t>t</m:t>
                </m:r>
              </m:sub>
            </m:sSub>
            <m:r>
              <w:rPr>
                <w:rFonts w:ascii="Cambria Math" w:hAnsi="Cambria Math" w:cstheme="minorHAnsi"/>
                <w:lang w:eastAsia="zh-CN"/>
              </w:rPr>
              <m:t xml:space="preserve"> </m:t>
            </m:r>
          </m:e>
        </m:d>
      </m:oMath>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r>
      <w:r w:rsidR="00C87E2D">
        <w:rPr>
          <w:rFonts w:eastAsiaTheme="minorEastAsia" w:cstheme="minorHAnsi"/>
        </w:rPr>
        <w:tab/>
        <w:t>(2)</w:t>
      </w:r>
    </w:p>
    <w:p w14:paraId="1A8133A8" w14:textId="77777777" w:rsidR="00BF5EA3" w:rsidRPr="006F737B" w:rsidRDefault="00BF5EA3" w:rsidP="00BF5EA3">
      <w:pPr>
        <w:rPr>
          <w:rFonts w:eastAsiaTheme="minorEastAsia" w:cstheme="minorHAnsi"/>
          <w:lang w:eastAsia="zh-CN"/>
        </w:rPr>
      </w:pPr>
      <w:r w:rsidRPr="006F737B">
        <w:rPr>
          <w:rFonts w:eastAsiaTheme="minorEastAsia" w:cstheme="minorHAnsi"/>
          <w:lang w:eastAsia="zh-CN"/>
        </w:rPr>
        <w:t xml:space="preserve">With a vague prior distribution </w:t>
      </w:r>
    </w:p>
    <w:p w14:paraId="69A76854" w14:textId="76365FAB" w:rsidR="00BF5EA3" w:rsidRPr="00C87E2D" w:rsidRDefault="000472B4" w:rsidP="000526F1">
      <w:pPr>
        <w:jc w:val="right"/>
        <w:rPr>
          <w:rFonts w:eastAsiaTheme="minorEastAsia" w:cstheme="minorHAnsi"/>
          <w:lang w:eastAsia="zh-CN"/>
        </w:rPr>
      </w:pPr>
      <m:oMath>
        <m:r>
          <w:rPr>
            <w:rFonts w:ascii="Cambria Math" w:hAnsi="Cambria Math" w:cstheme="minorHAnsi"/>
            <w:lang w:eastAsia="zh-CN"/>
          </w:rPr>
          <m:t xml:space="preserve">λ~N(0, </m:t>
        </m:r>
        <m:sSup>
          <m:sSupPr>
            <m:ctrlPr>
              <w:rPr>
                <w:rFonts w:ascii="Cambria Math" w:hAnsi="Cambria Math" w:cstheme="minorHAnsi"/>
                <w:i/>
              </w:rPr>
            </m:ctrlPr>
          </m:sSupPr>
          <m:e>
            <m:r>
              <w:rPr>
                <w:rFonts w:ascii="Cambria Math" w:hAnsi="Cambria Math" w:cstheme="minorHAnsi"/>
                <w:lang w:eastAsia="zh-CN"/>
              </w:rPr>
              <m:t>σ</m:t>
            </m:r>
          </m:e>
          <m:sup>
            <m:r>
              <w:rPr>
                <w:rFonts w:ascii="Cambria Math" w:hAnsi="Cambria Math" w:cstheme="minorHAnsi"/>
                <w:lang w:eastAsia="zh-CN"/>
              </w:rPr>
              <m:t>2</m:t>
            </m:r>
          </m:sup>
        </m:sSup>
        <m:r>
          <w:rPr>
            <w:rFonts w:ascii="Cambria Math" w:hAnsi="Cambria Math" w:cstheme="minorHAnsi"/>
            <w:lang w:eastAsia="zh-CN"/>
          </w:rPr>
          <m:t>=1000)</m:t>
        </m:r>
      </m:oMath>
      <w:r w:rsidR="00C87E2D">
        <w:rPr>
          <w:rFonts w:eastAsiaTheme="minorEastAsia" w:cstheme="minorHAnsi"/>
          <w:lang w:eastAsia="zh-CN"/>
        </w:rPr>
        <w:tab/>
      </w:r>
      <w:r w:rsidR="00C87E2D">
        <w:rPr>
          <w:rFonts w:eastAsiaTheme="minorEastAsia" w:cstheme="minorHAnsi"/>
          <w:lang w:eastAsia="zh-CN"/>
        </w:rPr>
        <w:tab/>
      </w:r>
      <w:r w:rsidR="00C87E2D">
        <w:rPr>
          <w:rFonts w:eastAsiaTheme="minorEastAsia" w:cstheme="minorHAnsi"/>
          <w:lang w:eastAsia="zh-CN"/>
        </w:rPr>
        <w:tab/>
      </w:r>
      <w:r w:rsidR="00C87E2D">
        <w:rPr>
          <w:rFonts w:eastAsiaTheme="minorEastAsia" w:cstheme="minorHAnsi"/>
          <w:lang w:eastAsia="zh-CN"/>
        </w:rPr>
        <w:tab/>
      </w:r>
      <w:r w:rsidR="00C87E2D">
        <w:rPr>
          <w:rFonts w:eastAsiaTheme="minorEastAsia" w:cstheme="minorHAnsi"/>
          <w:lang w:eastAsia="zh-CN"/>
        </w:rPr>
        <w:tab/>
        <w:t>(3)</w:t>
      </w:r>
    </w:p>
    <w:p w14:paraId="565A567A" w14:textId="77777777" w:rsidR="00BF5EA3" w:rsidRPr="006F737B" w:rsidRDefault="00BF5EA3" w:rsidP="00BF5EA3">
      <w:pPr>
        <w:rPr>
          <w:rFonts w:cstheme="minorHAnsi"/>
          <w:lang w:eastAsia="zh-CN"/>
        </w:rPr>
      </w:pPr>
      <w:r w:rsidRPr="006F737B">
        <w:rPr>
          <w:rFonts w:eastAsiaTheme="minorEastAsia" w:cstheme="minorHAnsi"/>
          <w:lang w:eastAsia="zh-CN"/>
        </w:rPr>
        <w:t xml:space="preserve">We fit this model in OpenBUGS using two chains, 50,000 burn-in iterations, and 10,000 sampling iterations. This gave a posterior mean and </w:t>
      </w:r>
      <w:r>
        <w:rPr>
          <w:rFonts w:eastAsiaTheme="minorEastAsia" w:cstheme="minorHAnsi"/>
          <w:lang w:eastAsia="zh-CN"/>
        </w:rPr>
        <w:t>SE</w:t>
      </w:r>
      <w:r w:rsidRPr="006F737B">
        <w:rPr>
          <w:rFonts w:eastAsiaTheme="minorEastAsia" w:cstheme="minorHAnsi"/>
          <w:lang w:eastAsia="zh-CN"/>
        </w:rPr>
        <w:t xml:space="preserve"> for </w:t>
      </w:r>
      <m:oMath>
        <m:r>
          <w:rPr>
            <w:rFonts w:ascii="Cambria Math" w:hAnsi="Cambria Math" w:cstheme="minorHAnsi"/>
            <w:lang w:eastAsia="zh-CN"/>
          </w:rPr>
          <m:t>λ</m:t>
        </m:r>
      </m:oMath>
      <w:r w:rsidRPr="006F737B">
        <w:rPr>
          <w:rFonts w:eastAsiaTheme="minorEastAsia" w:cstheme="minorHAnsi"/>
          <w:lang w:eastAsia="zh-CN"/>
        </w:rPr>
        <w:t xml:space="preserve"> of -2.092 (0.006378). These are used in the economic model by sampling from a Normal distribution with mean -2.092 and standard deviation 0.006378.</w:t>
      </w:r>
    </w:p>
    <w:p w14:paraId="62B458BD" w14:textId="3B4A9020" w:rsidR="00BF5EA3" w:rsidRPr="006F737B" w:rsidRDefault="00BF5EA3" w:rsidP="00BF5EA3">
      <w:pPr>
        <w:rPr>
          <w:rFonts w:cstheme="minorHAnsi"/>
          <w:lang w:eastAsia="zh-CN"/>
        </w:rPr>
      </w:pPr>
      <w:r w:rsidRPr="006F737B">
        <w:rPr>
          <w:rFonts w:cstheme="minorHAnsi"/>
          <w:lang w:eastAsia="zh-CN"/>
        </w:rPr>
        <w:t>This has the limitation that the hazards are changing over time (</w:t>
      </w:r>
      <w:r w:rsidRPr="006F737B">
        <w:rPr>
          <w:rFonts w:cstheme="minorHAnsi"/>
          <w:lang w:eastAsia="zh-CN"/>
        </w:rPr>
        <w:fldChar w:fldCharType="begin"/>
      </w:r>
      <w:r w:rsidRPr="006F737B">
        <w:rPr>
          <w:rFonts w:cstheme="minorHAnsi"/>
          <w:lang w:eastAsia="zh-CN"/>
        </w:rPr>
        <w:instrText xml:space="preserve"> REF _Ref65093485 \h  \* MERGEFORMAT </w:instrText>
      </w:r>
      <w:r w:rsidRPr="006F737B">
        <w:rPr>
          <w:rFonts w:cstheme="minorHAnsi"/>
          <w:lang w:eastAsia="zh-CN"/>
        </w:rPr>
      </w:r>
      <w:r w:rsidRPr="006F737B">
        <w:rPr>
          <w:rFonts w:cstheme="minorHAnsi"/>
          <w:lang w:eastAsia="zh-CN"/>
        </w:rPr>
        <w:fldChar w:fldCharType="separate"/>
      </w:r>
      <w:r w:rsidR="008B5583" w:rsidRPr="00305D05">
        <w:rPr>
          <w:rFonts w:cstheme="minorHAnsi"/>
        </w:rPr>
        <w:t xml:space="preserve">Table </w:t>
      </w:r>
      <w:r w:rsidR="008B5583">
        <w:rPr>
          <w:rFonts w:cstheme="minorHAnsi"/>
          <w:noProof/>
        </w:rPr>
        <w:t>16</w:t>
      </w:r>
      <w:r w:rsidRPr="006F737B">
        <w:rPr>
          <w:rFonts w:cstheme="minorHAnsi"/>
          <w:lang w:eastAsia="zh-CN"/>
        </w:rPr>
        <w:fldChar w:fldCharType="end"/>
      </w:r>
      <w:r w:rsidRPr="006F737B">
        <w:rPr>
          <w:rFonts w:cstheme="minorHAnsi"/>
          <w:lang w:eastAsia="zh-CN"/>
        </w:rPr>
        <w:t xml:space="preserve">). </w:t>
      </w:r>
      <w:r w:rsidRPr="006F737B">
        <w:rPr>
          <w:rFonts w:eastAsiaTheme="minorEastAsia" w:cstheme="minorHAnsi"/>
          <w:lang w:eastAsia="zh-CN"/>
        </w:rPr>
        <w:t>This overestimates the hazard in later years and underestimates it in earlier years but is the closest approximation possible. T</w:t>
      </w:r>
      <w:r w:rsidRPr="006F737B">
        <w:rPr>
          <w:rFonts w:cstheme="minorHAnsi"/>
          <w:lang w:eastAsia="zh-CN"/>
        </w:rPr>
        <w:t xml:space="preserve">his is a necessary assumption for a cohort Markov model and, due to the rarity of NHL, is unlikely to affect the conclusions. </w:t>
      </w:r>
    </w:p>
    <w:p w14:paraId="3BBD435F" w14:textId="35DEE073" w:rsidR="00BF5EA3" w:rsidRPr="00305D05" w:rsidRDefault="00BF5EA3" w:rsidP="00BF5EA3">
      <w:pPr>
        <w:pStyle w:val="Caption"/>
        <w:rPr>
          <w:rFonts w:cstheme="minorHAnsi"/>
        </w:rPr>
      </w:pPr>
      <w:bookmarkStart w:id="270" w:name="_Ref65093485"/>
      <w:bookmarkStart w:id="271" w:name="_Toc99720727"/>
      <w:r w:rsidRPr="00305D05">
        <w:rPr>
          <w:rFonts w:cstheme="minorHAnsi"/>
        </w:rPr>
        <w:t xml:space="preserve">Table </w:t>
      </w:r>
      <w:r w:rsidRPr="00305D05">
        <w:rPr>
          <w:rFonts w:cstheme="minorHAnsi"/>
        </w:rPr>
        <w:fldChar w:fldCharType="begin"/>
      </w:r>
      <w:r w:rsidRPr="00305D05">
        <w:rPr>
          <w:rFonts w:cstheme="minorHAnsi"/>
        </w:rPr>
        <w:instrText>SEQ Table \* ARABIC</w:instrText>
      </w:r>
      <w:r w:rsidRPr="00305D05">
        <w:rPr>
          <w:rFonts w:cstheme="minorHAnsi"/>
        </w:rPr>
        <w:fldChar w:fldCharType="separate"/>
      </w:r>
      <w:r w:rsidR="008B5583">
        <w:rPr>
          <w:rFonts w:cstheme="minorHAnsi"/>
          <w:noProof/>
        </w:rPr>
        <w:t>16</w:t>
      </w:r>
      <w:r w:rsidRPr="00305D05">
        <w:rPr>
          <w:rFonts w:cstheme="minorHAnsi"/>
        </w:rPr>
        <w:fldChar w:fldCharType="end"/>
      </w:r>
      <w:bookmarkEnd w:id="270"/>
      <w:r w:rsidRPr="00305D05">
        <w:rPr>
          <w:rFonts w:cstheme="minorHAnsi"/>
        </w:rPr>
        <w:t xml:space="preserve"> ONS data on probability of survival following diagnosis with NHL</w:t>
      </w:r>
      <w:bookmarkEnd w:id="271"/>
    </w:p>
    <w:tbl>
      <w:tblPr>
        <w:tblStyle w:val="TableGrid"/>
        <w:tblW w:w="0" w:type="auto"/>
        <w:tblLook w:val="04A0" w:firstRow="1" w:lastRow="0" w:firstColumn="1" w:lastColumn="0" w:noHBand="0" w:noVBand="1"/>
      </w:tblPr>
      <w:tblGrid>
        <w:gridCol w:w="2249"/>
        <w:gridCol w:w="2250"/>
        <w:gridCol w:w="2249"/>
        <w:gridCol w:w="2250"/>
      </w:tblGrid>
      <w:tr w:rsidR="00BF5EA3" w:rsidRPr="00BA0E29" w14:paraId="65D86CF5" w14:textId="77777777" w:rsidTr="002265B2">
        <w:tc>
          <w:tcPr>
            <w:tcW w:w="2249" w:type="dxa"/>
            <w:tcBorders>
              <w:top w:val="single" w:sz="4" w:space="0" w:color="auto"/>
              <w:left w:val="single" w:sz="4" w:space="0" w:color="auto"/>
              <w:bottom w:val="single" w:sz="4" w:space="0" w:color="auto"/>
              <w:right w:val="single" w:sz="4" w:space="0" w:color="auto"/>
            </w:tcBorders>
            <w:vAlign w:val="bottom"/>
            <w:hideMark/>
          </w:tcPr>
          <w:p w14:paraId="66CE5EE3" w14:textId="77777777" w:rsidR="00BF5EA3" w:rsidRPr="00767ED3" w:rsidRDefault="00BF5EA3" w:rsidP="002265B2">
            <w:pPr>
              <w:rPr>
                <w:rFonts w:cstheme="minorHAnsi"/>
                <w:b/>
                <w:sz w:val="20"/>
                <w:szCs w:val="20"/>
                <w:lang w:eastAsia="zh-CN"/>
              </w:rPr>
            </w:pPr>
            <w:r w:rsidRPr="00767ED3">
              <w:rPr>
                <w:rFonts w:cstheme="minorHAnsi"/>
                <w:b/>
                <w:color w:val="000000"/>
                <w:sz w:val="20"/>
                <w:szCs w:val="20"/>
              </w:rPr>
              <w:t>Year</w:t>
            </w:r>
          </w:p>
        </w:tc>
        <w:tc>
          <w:tcPr>
            <w:tcW w:w="2250" w:type="dxa"/>
            <w:tcBorders>
              <w:top w:val="single" w:sz="4" w:space="0" w:color="auto"/>
              <w:left w:val="single" w:sz="4" w:space="0" w:color="auto"/>
              <w:bottom w:val="single" w:sz="4" w:space="0" w:color="auto"/>
              <w:right w:val="single" w:sz="4" w:space="0" w:color="auto"/>
            </w:tcBorders>
            <w:vAlign w:val="bottom"/>
            <w:hideMark/>
          </w:tcPr>
          <w:p w14:paraId="161B2054" w14:textId="77777777" w:rsidR="00BF5EA3" w:rsidRPr="00767ED3" w:rsidRDefault="00BF5EA3" w:rsidP="002265B2">
            <w:pPr>
              <w:rPr>
                <w:rFonts w:cstheme="minorHAnsi"/>
                <w:b/>
                <w:sz w:val="20"/>
                <w:szCs w:val="20"/>
                <w:lang w:eastAsia="zh-CN"/>
              </w:rPr>
            </w:pPr>
            <w:r w:rsidRPr="00767ED3">
              <w:rPr>
                <w:rFonts w:cstheme="minorHAnsi"/>
                <w:b/>
                <w:color w:val="000000"/>
                <w:sz w:val="20"/>
                <w:szCs w:val="20"/>
              </w:rPr>
              <w:t>Probability survival (95% reference range)</w:t>
            </w:r>
          </w:p>
        </w:tc>
        <w:tc>
          <w:tcPr>
            <w:tcW w:w="2249" w:type="dxa"/>
            <w:tcBorders>
              <w:top w:val="single" w:sz="4" w:space="0" w:color="auto"/>
              <w:left w:val="single" w:sz="4" w:space="0" w:color="auto"/>
              <w:bottom w:val="single" w:sz="4" w:space="0" w:color="auto"/>
              <w:right w:val="single" w:sz="4" w:space="0" w:color="auto"/>
            </w:tcBorders>
            <w:vAlign w:val="bottom"/>
            <w:hideMark/>
          </w:tcPr>
          <w:p w14:paraId="29B405A4" w14:textId="77777777" w:rsidR="00BF5EA3" w:rsidRPr="00767ED3" w:rsidRDefault="00BF5EA3" w:rsidP="002265B2">
            <w:pPr>
              <w:rPr>
                <w:rFonts w:cstheme="minorHAnsi"/>
                <w:b/>
                <w:sz w:val="20"/>
                <w:szCs w:val="20"/>
                <w:lang w:eastAsia="zh-CN"/>
              </w:rPr>
            </w:pPr>
            <w:r w:rsidRPr="00767ED3">
              <w:rPr>
                <w:rFonts w:cstheme="minorHAnsi"/>
                <w:b/>
                <w:color w:val="000000"/>
                <w:sz w:val="20"/>
                <w:szCs w:val="20"/>
              </w:rPr>
              <w:t>Hazard (95% reference range)</w:t>
            </w:r>
          </w:p>
        </w:tc>
        <w:tc>
          <w:tcPr>
            <w:tcW w:w="2250" w:type="dxa"/>
            <w:tcBorders>
              <w:top w:val="single" w:sz="4" w:space="0" w:color="auto"/>
              <w:left w:val="single" w:sz="4" w:space="0" w:color="auto"/>
              <w:bottom w:val="single" w:sz="4" w:space="0" w:color="auto"/>
              <w:right w:val="single" w:sz="4" w:space="0" w:color="auto"/>
            </w:tcBorders>
            <w:vAlign w:val="bottom"/>
            <w:hideMark/>
          </w:tcPr>
          <w:p w14:paraId="7A493739" w14:textId="77777777" w:rsidR="00BF5EA3" w:rsidRPr="00767ED3" w:rsidRDefault="00BF5EA3" w:rsidP="002265B2">
            <w:pPr>
              <w:rPr>
                <w:rFonts w:cstheme="minorHAnsi"/>
                <w:b/>
                <w:sz w:val="20"/>
                <w:szCs w:val="20"/>
                <w:lang w:eastAsia="zh-CN"/>
              </w:rPr>
            </w:pPr>
            <w:r w:rsidRPr="00767ED3">
              <w:rPr>
                <w:rFonts w:cstheme="minorHAnsi"/>
                <w:b/>
                <w:color w:val="000000"/>
                <w:sz w:val="20"/>
                <w:szCs w:val="20"/>
              </w:rPr>
              <w:t>Log hazard (SE)</w:t>
            </w:r>
          </w:p>
        </w:tc>
      </w:tr>
      <w:tr w:rsidR="00BF5EA3" w:rsidRPr="00BA0E29" w14:paraId="36C1B09B" w14:textId="77777777" w:rsidTr="002265B2">
        <w:tc>
          <w:tcPr>
            <w:tcW w:w="2249" w:type="dxa"/>
            <w:tcBorders>
              <w:top w:val="single" w:sz="4" w:space="0" w:color="auto"/>
              <w:left w:val="single" w:sz="4" w:space="0" w:color="auto"/>
              <w:bottom w:val="single" w:sz="4" w:space="0" w:color="auto"/>
              <w:right w:val="single" w:sz="4" w:space="0" w:color="auto"/>
            </w:tcBorders>
            <w:vAlign w:val="bottom"/>
            <w:hideMark/>
          </w:tcPr>
          <w:p w14:paraId="3AD8D888"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1</w:t>
            </w:r>
          </w:p>
        </w:tc>
        <w:tc>
          <w:tcPr>
            <w:tcW w:w="2250" w:type="dxa"/>
            <w:tcBorders>
              <w:top w:val="single" w:sz="4" w:space="0" w:color="auto"/>
              <w:left w:val="single" w:sz="4" w:space="0" w:color="auto"/>
              <w:bottom w:val="single" w:sz="4" w:space="0" w:color="auto"/>
              <w:right w:val="single" w:sz="4" w:space="0" w:color="auto"/>
            </w:tcBorders>
            <w:vAlign w:val="bottom"/>
            <w:hideMark/>
          </w:tcPr>
          <w:p w14:paraId="2BF7B7F8"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0.794 (0.79, 0.797)</w:t>
            </w:r>
          </w:p>
        </w:tc>
        <w:tc>
          <w:tcPr>
            <w:tcW w:w="2249" w:type="dxa"/>
            <w:tcBorders>
              <w:top w:val="single" w:sz="4" w:space="0" w:color="auto"/>
              <w:left w:val="single" w:sz="4" w:space="0" w:color="auto"/>
              <w:bottom w:val="single" w:sz="4" w:space="0" w:color="auto"/>
              <w:right w:val="single" w:sz="4" w:space="0" w:color="auto"/>
            </w:tcBorders>
            <w:vAlign w:val="bottom"/>
            <w:hideMark/>
          </w:tcPr>
          <w:p w14:paraId="59596169"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0.231(0.227, 0.236)</w:t>
            </w:r>
          </w:p>
        </w:tc>
        <w:tc>
          <w:tcPr>
            <w:tcW w:w="2250" w:type="dxa"/>
            <w:tcBorders>
              <w:top w:val="single" w:sz="4" w:space="0" w:color="auto"/>
              <w:left w:val="single" w:sz="4" w:space="0" w:color="auto"/>
              <w:bottom w:val="single" w:sz="4" w:space="0" w:color="auto"/>
              <w:right w:val="single" w:sz="4" w:space="0" w:color="auto"/>
            </w:tcBorders>
            <w:vAlign w:val="bottom"/>
            <w:hideMark/>
          </w:tcPr>
          <w:p w14:paraId="54FADB73"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-1.467(0.00973)</w:t>
            </w:r>
          </w:p>
        </w:tc>
      </w:tr>
      <w:tr w:rsidR="00BF5EA3" w:rsidRPr="00BA0E29" w14:paraId="04D33450" w14:textId="77777777" w:rsidTr="002265B2">
        <w:tc>
          <w:tcPr>
            <w:tcW w:w="2249" w:type="dxa"/>
            <w:tcBorders>
              <w:top w:val="single" w:sz="4" w:space="0" w:color="auto"/>
              <w:left w:val="single" w:sz="4" w:space="0" w:color="auto"/>
              <w:bottom w:val="single" w:sz="4" w:space="0" w:color="auto"/>
              <w:right w:val="single" w:sz="4" w:space="0" w:color="auto"/>
            </w:tcBorders>
            <w:vAlign w:val="bottom"/>
            <w:hideMark/>
          </w:tcPr>
          <w:p w14:paraId="3FA0FE61"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5</w:t>
            </w:r>
          </w:p>
        </w:tc>
        <w:tc>
          <w:tcPr>
            <w:tcW w:w="2250" w:type="dxa"/>
            <w:tcBorders>
              <w:top w:val="single" w:sz="4" w:space="0" w:color="auto"/>
              <w:left w:val="single" w:sz="4" w:space="0" w:color="auto"/>
              <w:bottom w:val="single" w:sz="4" w:space="0" w:color="auto"/>
              <w:right w:val="single" w:sz="4" w:space="0" w:color="auto"/>
            </w:tcBorders>
            <w:vAlign w:val="bottom"/>
            <w:hideMark/>
          </w:tcPr>
          <w:p w14:paraId="1E4BA170"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0.656 (0.650, 0.663)</w:t>
            </w:r>
          </w:p>
        </w:tc>
        <w:tc>
          <w:tcPr>
            <w:tcW w:w="2249" w:type="dxa"/>
            <w:tcBorders>
              <w:top w:val="single" w:sz="4" w:space="0" w:color="auto"/>
              <w:left w:val="single" w:sz="4" w:space="0" w:color="auto"/>
              <w:bottom w:val="single" w:sz="4" w:space="0" w:color="auto"/>
              <w:right w:val="single" w:sz="4" w:space="0" w:color="auto"/>
            </w:tcBorders>
            <w:vAlign w:val="bottom"/>
            <w:hideMark/>
          </w:tcPr>
          <w:p w14:paraId="567D0321"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0.084(0.632, 0.657)</w:t>
            </w:r>
          </w:p>
        </w:tc>
        <w:tc>
          <w:tcPr>
            <w:tcW w:w="2250" w:type="dxa"/>
            <w:tcBorders>
              <w:top w:val="single" w:sz="4" w:space="0" w:color="auto"/>
              <w:left w:val="single" w:sz="4" w:space="0" w:color="auto"/>
              <w:bottom w:val="single" w:sz="4" w:space="0" w:color="auto"/>
              <w:right w:val="single" w:sz="4" w:space="0" w:color="auto"/>
            </w:tcBorders>
            <w:vAlign w:val="bottom"/>
            <w:hideMark/>
          </w:tcPr>
          <w:p w14:paraId="14EDE0BB"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-2.473(0.009661)</w:t>
            </w:r>
          </w:p>
        </w:tc>
      </w:tr>
      <w:tr w:rsidR="00BF5EA3" w:rsidRPr="00BA0E29" w14:paraId="51396AA0" w14:textId="77777777" w:rsidTr="002265B2">
        <w:tc>
          <w:tcPr>
            <w:tcW w:w="2249" w:type="dxa"/>
            <w:tcBorders>
              <w:top w:val="single" w:sz="4" w:space="0" w:color="auto"/>
              <w:left w:val="single" w:sz="4" w:space="0" w:color="auto"/>
              <w:bottom w:val="single" w:sz="4" w:space="0" w:color="auto"/>
              <w:right w:val="single" w:sz="4" w:space="0" w:color="auto"/>
            </w:tcBorders>
            <w:vAlign w:val="bottom"/>
            <w:hideMark/>
          </w:tcPr>
          <w:p w14:paraId="358A9464"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10</w:t>
            </w:r>
          </w:p>
        </w:tc>
        <w:tc>
          <w:tcPr>
            <w:tcW w:w="2250" w:type="dxa"/>
            <w:tcBorders>
              <w:top w:val="single" w:sz="4" w:space="0" w:color="auto"/>
              <w:left w:val="single" w:sz="4" w:space="0" w:color="auto"/>
              <w:bottom w:val="single" w:sz="4" w:space="0" w:color="auto"/>
              <w:right w:val="single" w:sz="4" w:space="0" w:color="auto"/>
            </w:tcBorders>
            <w:vAlign w:val="bottom"/>
            <w:hideMark/>
          </w:tcPr>
          <w:p w14:paraId="206B8411" w14:textId="77777777" w:rsidR="00BF5EA3" w:rsidRPr="00767ED3" w:rsidRDefault="00BF5EA3" w:rsidP="002265B2">
            <w:pPr>
              <w:rPr>
                <w:rFonts w:cstheme="minorHAnsi"/>
                <w:color w:val="000000"/>
                <w:sz w:val="20"/>
                <w:szCs w:val="20"/>
              </w:rPr>
            </w:pPr>
            <w:r w:rsidRPr="00767ED3">
              <w:rPr>
                <w:rFonts w:cstheme="minorHAnsi"/>
                <w:color w:val="000000"/>
                <w:sz w:val="20"/>
                <w:szCs w:val="20"/>
              </w:rPr>
              <w:t>0.547 (0.532, 0.653)</w:t>
            </w:r>
          </w:p>
        </w:tc>
        <w:tc>
          <w:tcPr>
            <w:tcW w:w="2249" w:type="dxa"/>
            <w:tcBorders>
              <w:top w:val="single" w:sz="4" w:space="0" w:color="auto"/>
              <w:left w:val="single" w:sz="4" w:space="0" w:color="auto"/>
              <w:bottom w:val="single" w:sz="4" w:space="0" w:color="auto"/>
              <w:right w:val="single" w:sz="4" w:space="0" w:color="auto"/>
            </w:tcBorders>
            <w:vAlign w:val="bottom"/>
            <w:hideMark/>
          </w:tcPr>
          <w:p w14:paraId="57B63B71"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0.06(1.08, 1.154)</w:t>
            </w:r>
          </w:p>
        </w:tc>
        <w:tc>
          <w:tcPr>
            <w:tcW w:w="2250" w:type="dxa"/>
            <w:tcBorders>
              <w:top w:val="single" w:sz="4" w:space="0" w:color="auto"/>
              <w:left w:val="single" w:sz="4" w:space="0" w:color="auto"/>
              <w:bottom w:val="single" w:sz="4" w:space="0" w:color="auto"/>
              <w:right w:val="single" w:sz="4" w:space="0" w:color="auto"/>
            </w:tcBorders>
            <w:vAlign w:val="bottom"/>
            <w:hideMark/>
          </w:tcPr>
          <w:p w14:paraId="051351E5" w14:textId="77777777" w:rsidR="00BF5EA3" w:rsidRPr="00767ED3" w:rsidRDefault="00BF5EA3" w:rsidP="002265B2">
            <w:pPr>
              <w:rPr>
                <w:rFonts w:cstheme="minorHAnsi"/>
                <w:sz w:val="20"/>
                <w:szCs w:val="20"/>
                <w:lang w:eastAsia="zh-CN"/>
              </w:rPr>
            </w:pPr>
            <w:r w:rsidRPr="00767ED3">
              <w:rPr>
                <w:rFonts w:cstheme="minorHAnsi"/>
                <w:color w:val="000000"/>
                <w:sz w:val="20"/>
                <w:szCs w:val="20"/>
              </w:rPr>
              <w:t>-2.808(0.016893)</w:t>
            </w:r>
          </w:p>
        </w:tc>
      </w:tr>
    </w:tbl>
    <w:p w14:paraId="16E94128" w14:textId="77777777" w:rsidR="00FA38EC" w:rsidRDefault="00FA38EC" w:rsidP="00BF5EA3">
      <w:pPr>
        <w:rPr>
          <w:rFonts w:eastAsia="Times New Roman" w:cstheme="minorHAnsi"/>
          <w:color w:val="000000"/>
          <w:lang w:eastAsia="zh-CN"/>
        </w:rPr>
      </w:pPr>
    </w:p>
    <w:p w14:paraId="2C94296A" w14:textId="6F4DAE7B" w:rsidR="00BF5EA3" w:rsidRPr="006F737B" w:rsidRDefault="00BF5EA3" w:rsidP="00BF5EA3">
      <w:pPr>
        <w:rPr>
          <w:rFonts w:eastAsia="Times New Roman" w:cstheme="minorHAnsi"/>
          <w:color w:val="000000"/>
          <w:lang w:eastAsia="zh-CN"/>
        </w:rPr>
      </w:pPr>
      <w:r w:rsidRPr="006F737B">
        <w:rPr>
          <w:rFonts w:eastAsia="Times New Roman" w:cstheme="minorHAnsi"/>
          <w:color w:val="000000"/>
          <w:lang w:eastAsia="zh-CN"/>
        </w:rPr>
        <w:t>For mortality from hip fracture, we use Klop et al 2014</w:t>
      </w:r>
      <w:r w:rsidRPr="006F737B">
        <w:rPr>
          <w:rFonts w:eastAsia="Times New Roman" w:cstheme="minorHAnsi"/>
          <w:color w:val="000000"/>
          <w:lang w:eastAsia="zh-CN"/>
        </w:rPr>
        <w:fldChar w:fldCharType="begin"/>
      </w:r>
      <w:r w:rsidR="00735CC0">
        <w:rPr>
          <w:rFonts w:eastAsia="Times New Roman" w:cstheme="minorHAnsi"/>
          <w:color w:val="000000"/>
          <w:lang w:eastAsia="zh-CN"/>
        </w:rPr>
        <w:instrText xml:space="preserve"> ADDIN EN.CITE &lt;EndNote&gt;&lt;Cite&gt;&lt;Author&gt;Klop&lt;/Author&gt;&lt;Year&gt;2014&lt;/Year&gt;&lt;RecNum&gt;2739&lt;/RecNum&gt;&lt;DisplayText&gt;&lt;style face="superscript"&gt;250&lt;/style&gt;&lt;/DisplayText&gt;&lt;record&gt;&lt;rec-number&gt;50&lt;/rec-number&gt;&lt;foreign-keys&gt;&lt;key app="EN" db-id="w9pwfv0xxa5v9vedxzkp20wvv52efwv0xppv" timestamp="1636614827"&gt;50&lt;/key&gt;&lt;/foreign-keys&gt;&lt;ref-type name="Journal Article"&gt;17&lt;/ref-type&gt;&lt;contributors&gt;&lt;authors&gt;&lt;author&gt;Klop, Corinne&lt;/author&gt;&lt;author&gt;Welsing, Paco M. J.&lt;/author&gt;&lt;author&gt;Cooper, Cyrus&lt;/author&gt;&lt;author&gt;Harvey, Nicholas C.&lt;/author&gt;&lt;author&gt;Elders, Petra J. M.&lt;/author&gt;&lt;author&gt;Bijlsma, Johannes W. J.&lt;/author&gt;&lt;author&gt;Leufkens, Hubert G. M.&lt;/author&gt;&lt;author&gt;de Vries, Frank&lt;/author&gt;&lt;/authors&gt;&lt;/contributors&gt;&lt;titles&gt;&lt;title&gt;Mortality in British hip fracture patients, 2000–2010: A population-based retrospective cohort study&lt;/title&gt;&lt;secondary-title&gt;Bone&lt;/secondary-title&gt;&lt;/titles&gt;&lt;periodical&gt;&lt;full-title&gt;Bone&lt;/full-title&gt;&lt;/periodical&gt;&lt;pages&gt;171-177&lt;/pages&gt;&lt;volume&gt;66&lt;/volume&gt;&lt;keywords&gt;&lt;keyword&gt;Osteoporosis&lt;/keyword&gt;&lt;keyword&gt;Osteoporotic fracture&lt;/keyword&gt;&lt;keyword&gt;Hip fracture&lt;/keyword&gt;&lt;keyword&gt;Mortality&lt;/keyword&gt;&lt;keyword&gt;Epidemiology&lt;/keyword&gt;&lt;/keywords&gt;&lt;dates&gt;&lt;year&gt;2014&lt;/year&gt;&lt;pub-dates&gt;&lt;date&gt;2014/09/01/&lt;/date&gt;&lt;/pub-dates&gt;&lt;/dates&gt;&lt;isbn&gt;8756-3282&lt;/isbn&gt;&lt;urls&gt;&lt;related-urls&gt;&lt;url&gt;http://www.sciencedirect.com/science/article/pii/S8756328214002208&lt;/url&gt;&lt;/related-urls&gt;&lt;/urls&gt;&lt;electronic-resource-num&gt;https://doi.org/10.1016/j.bone.2014.06.011&lt;/electronic-resource-num&gt;&lt;/record&gt;&lt;/Cite&gt;&lt;/EndNote&gt;</w:instrText>
      </w:r>
      <w:r w:rsidRPr="006F737B">
        <w:rPr>
          <w:rFonts w:eastAsia="Times New Roman" w:cstheme="minorHAnsi"/>
          <w:color w:val="000000"/>
          <w:lang w:eastAsia="zh-CN"/>
        </w:rPr>
        <w:fldChar w:fldCharType="separate"/>
      </w:r>
      <w:r w:rsidR="00735CC0" w:rsidRPr="00735CC0">
        <w:rPr>
          <w:rFonts w:eastAsia="Times New Roman" w:cstheme="minorHAnsi"/>
          <w:noProof/>
          <w:color w:val="000000"/>
          <w:vertAlign w:val="superscript"/>
          <w:lang w:eastAsia="zh-CN"/>
        </w:rPr>
        <w:t>250</w:t>
      </w:r>
      <w:r w:rsidRPr="006F737B">
        <w:rPr>
          <w:rFonts w:eastAsia="Times New Roman" w:cstheme="minorHAnsi"/>
          <w:color w:val="000000"/>
          <w:lang w:eastAsia="zh-CN"/>
        </w:rPr>
        <w:fldChar w:fldCharType="end"/>
      </w:r>
      <w:r w:rsidRPr="006F737B">
        <w:rPr>
          <w:rFonts w:eastAsia="Times New Roman" w:cstheme="minorHAnsi"/>
          <w:color w:val="000000"/>
          <w:lang w:eastAsia="zh-CN"/>
        </w:rPr>
        <w:t xml:space="preserve"> which used CPRD data to examine all-cause and cause-specific mortality post hip fracture in 31,495 patients with a first hip fracture compared to general population mortality from 2000 to 2010. Mean age was 74.1 ± 14.8 in male hip fracture </w:t>
      </w:r>
      <w:r w:rsidRPr="006F737B">
        <w:rPr>
          <w:rFonts w:eastAsia="Times New Roman" w:cstheme="minorHAnsi"/>
          <w:color w:val="000000"/>
          <w:lang w:eastAsia="zh-CN"/>
        </w:rPr>
        <w:lastRenderedPageBreak/>
        <w:t xml:space="preserve">patients and 80.5 ± 10.5 in female patients. During the total study period, the hazard ratio for one-year all-cause mortality was 3.5 times (95% CI: 3.28–3.74) greater for male hip fracture patients than control subjects after adjustment for age, co-morbidities, medication use and lifestyle factors. This risk was 2.4-fold (95% CI: 2.31–2.50) greater than controls for females. </w:t>
      </w:r>
    </w:p>
    <w:p w14:paraId="4B0598E1" w14:textId="77777777" w:rsidR="00BF5EA3" w:rsidRPr="00305D05" w:rsidRDefault="00BF5EA3" w:rsidP="00BF5EA3">
      <w:pPr>
        <w:pStyle w:val="Caption"/>
        <w:rPr>
          <w:rFonts w:cstheme="minorHAnsi"/>
        </w:rPr>
        <w:sectPr w:rsidR="00BF5EA3" w:rsidRPr="00305D05" w:rsidSect="00A579C7">
          <w:headerReference w:type="default" r:id="rId37"/>
          <w:footerReference w:type="default" r:id="rId38"/>
          <w:pgSz w:w="11906" w:h="16838"/>
          <w:pgMar w:top="1440" w:right="1440" w:bottom="1440" w:left="1440" w:header="708" w:footer="708" w:gutter="0"/>
          <w:cols w:space="708"/>
          <w:titlePg/>
          <w:docGrid w:linePitch="360"/>
        </w:sectPr>
      </w:pPr>
      <w:bookmarkStart w:id="272" w:name="_Ref61617492"/>
    </w:p>
    <w:p w14:paraId="30C6D39E" w14:textId="77777777" w:rsidR="00BF5EA3" w:rsidRDefault="00BF5EA3" w:rsidP="00CF599B">
      <w:pPr>
        <w:pStyle w:val="Heading4"/>
      </w:pPr>
      <w:bookmarkStart w:id="273" w:name="_Toc87507192"/>
      <w:r w:rsidRPr="00305D05">
        <w:lastRenderedPageBreak/>
        <w:t>Table of Model Inputs</w:t>
      </w:r>
      <w:bookmarkEnd w:id="273"/>
    </w:p>
    <w:p w14:paraId="56B1331B" w14:textId="1A1CD9AE" w:rsidR="00BF5EA3" w:rsidRPr="00E01766" w:rsidRDefault="00BF5EA3" w:rsidP="00BF5EA3">
      <w:r>
        <w:t xml:space="preserve">A summary of all input parameters, assumed distributions and evidence sources are provided in </w:t>
      </w:r>
      <w:r>
        <w:fldChar w:fldCharType="begin"/>
      </w:r>
      <w:r>
        <w:instrText xml:space="preserve"> REF _Ref84001134 \h </w:instrText>
      </w:r>
      <w:r>
        <w:fldChar w:fldCharType="separate"/>
      </w:r>
      <w:r w:rsidR="008B5583" w:rsidRPr="00305D05">
        <w:rPr>
          <w:rFonts w:cstheme="minorHAnsi"/>
        </w:rPr>
        <w:t xml:space="preserve">Table </w:t>
      </w:r>
      <w:r w:rsidR="008B5583">
        <w:rPr>
          <w:noProof/>
        </w:rPr>
        <w:t>17</w:t>
      </w:r>
      <w:r>
        <w:fldChar w:fldCharType="end"/>
      </w:r>
      <w:r>
        <w:t>.</w:t>
      </w:r>
    </w:p>
    <w:p w14:paraId="6702836C" w14:textId="29BB60E1" w:rsidR="00BF5EA3" w:rsidRDefault="00BF5EA3" w:rsidP="00CF599B">
      <w:pPr>
        <w:pStyle w:val="Caption"/>
        <w:rPr>
          <w:rFonts w:cstheme="minorHAnsi"/>
        </w:rPr>
      </w:pPr>
      <w:bookmarkStart w:id="274" w:name="_Ref84001134"/>
      <w:bookmarkStart w:id="275" w:name="_Toc99720728"/>
      <w:r w:rsidRPr="00305D05">
        <w:rPr>
          <w:rFonts w:cstheme="minorHAnsi"/>
        </w:rPr>
        <w:t xml:space="preserve">Table </w:t>
      </w:r>
      <w:r w:rsidRPr="00305D05">
        <w:rPr>
          <w:rFonts w:cstheme="minorHAnsi"/>
        </w:rPr>
        <w:fldChar w:fldCharType="begin"/>
      </w:r>
      <w:r w:rsidRPr="00CF599B">
        <w:instrText xml:space="preserve"> SEQ Table \* ARABIC </w:instrText>
      </w:r>
      <w:r w:rsidRPr="00305D05">
        <w:rPr>
          <w:rFonts w:cstheme="minorHAnsi"/>
        </w:rPr>
        <w:fldChar w:fldCharType="separate"/>
      </w:r>
      <w:r w:rsidR="008B5583">
        <w:rPr>
          <w:noProof/>
        </w:rPr>
        <w:t>17</w:t>
      </w:r>
      <w:r w:rsidRPr="00305D05">
        <w:rPr>
          <w:rFonts w:cstheme="minorHAnsi"/>
        </w:rPr>
        <w:fldChar w:fldCharType="end"/>
      </w:r>
      <w:bookmarkEnd w:id="272"/>
      <w:bookmarkEnd w:id="274"/>
      <w:r w:rsidRPr="00305D05">
        <w:rPr>
          <w:rFonts w:cstheme="minorHAnsi"/>
        </w:rPr>
        <w:t>. Model parameters and data sources</w:t>
      </w:r>
      <w:bookmarkEnd w:id="275"/>
    </w:p>
    <w:p w14:paraId="345E34B9" w14:textId="398CAA1F" w:rsidR="00055E71" w:rsidRPr="000526F1" w:rsidRDefault="00055E71" w:rsidP="000526F1">
      <w:pPr>
        <w:rPr>
          <w:sz w:val="18"/>
          <w:szCs w:val="18"/>
        </w:rPr>
      </w:pPr>
      <w:r w:rsidRPr="000526F1">
        <w:rPr>
          <w:sz w:val="18"/>
          <w:szCs w:val="18"/>
        </w:rPr>
        <w:t xml:space="preserve">CrI: </w:t>
      </w:r>
      <w:r w:rsidRPr="000526F1">
        <w:rPr>
          <w:rFonts w:cstheme="minorHAnsi"/>
          <w:sz w:val="18"/>
          <w:szCs w:val="18"/>
        </w:rPr>
        <w:t>credible intervals</w:t>
      </w:r>
    </w:p>
    <w:tbl>
      <w:tblPr>
        <w:tblStyle w:val="TableGrid"/>
        <w:tblW w:w="14029" w:type="dxa"/>
        <w:tblLook w:val="04A0" w:firstRow="1" w:lastRow="0" w:firstColumn="1" w:lastColumn="0" w:noHBand="0" w:noVBand="1"/>
      </w:tblPr>
      <w:tblGrid>
        <w:gridCol w:w="5240"/>
        <w:gridCol w:w="2410"/>
        <w:gridCol w:w="2410"/>
        <w:gridCol w:w="3969"/>
      </w:tblGrid>
      <w:tr w:rsidR="00BF5EA3" w:rsidRPr="00305D05" w14:paraId="7AA7E650" w14:textId="77777777" w:rsidTr="00767ED3">
        <w:trPr>
          <w:trHeight w:val="176"/>
          <w:tblHeader/>
        </w:trPr>
        <w:tc>
          <w:tcPr>
            <w:tcW w:w="5240" w:type="dxa"/>
            <w:shd w:val="clear" w:color="auto" w:fill="AEAAAA" w:themeFill="background2" w:themeFillShade="BF"/>
          </w:tcPr>
          <w:p w14:paraId="6678C6A9" w14:textId="77777777" w:rsidR="00BF5EA3" w:rsidRPr="00CF599B" w:rsidRDefault="00BF5EA3" w:rsidP="002265B2">
            <w:pPr>
              <w:rPr>
                <w:rFonts w:cstheme="minorHAnsi"/>
                <w:b/>
                <w:bCs/>
                <w:sz w:val="20"/>
                <w:szCs w:val="20"/>
              </w:rPr>
            </w:pPr>
            <w:r w:rsidRPr="00CF599B">
              <w:rPr>
                <w:rFonts w:cstheme="minorHAnsi"/>
                <w:b/>
                <w:bCs/>
                <w:sz w:val="20"/>
                <w:szCs w:val="20"/>
              </w:rPr>
              <w:t>Parameter</w:t>
            </w:r>
          </w:p>
        </w:tc>
        <w:tc>
          <w:tcPr>
            <w:tcW w:w="2410" w:type="dxa"/>
            <w:shd w:val="clear" w:color="auto" w:fill="AEAAAA" w:themeFill="background2" w:themeFillShade="BF"/>
          </w:tcPr>
          <w:p w14:paraId="426A27F9" w14:textId="77777777" w:rsidR="00BF5EA3" w:rsidRPr="00CF599B" w:rsidRDefault="00BF5EA3" w:rsidP="002265B2">
            <w:pPr>
              <w:rPr>
                <w:rFonts w:cstheme="minorHAnsi"/>
                <w:b/>
                <w:bCs/>
                <w:sz w:val="20"/>
                <w:szCs w:val="20"/>
              </w:rPr>
            </w:pPr>
            <w:r w:rsidRPr="00CF599B">
              <w:rPr>
                <w:rFonts w:cstheme="minorHAnsi"/>
                <w:b/>
                <w:bCs/>
                <w:sz w:val="20"/>
                <w:szCs w:val="20"/>
              </w:rPr>
              <w:t>Estimate</w:t>
            </w:r>
          </w:p>
        </w:tc>
        <w:tc>
          <w:tcPr>
            <w:tcW w:w="2410" w:type="dxa"/>
            <w:shd w:val="clear" w:color="auto" w:fill="AEAAAA" w:themeFill="background2" w:themeFillShade="BF"/>
          </w:tcPr>
          <w:p w14:paraId="7D8C487B" w14:textId="77777777" w:rsidR="00BF5EA3" w:rsidRPr="00CF599B" w:rsidRDefault="00BF5EA3" w:rsidP="002265B2">
            <w:pPr>
              <w:rPr>
                <w:rFonts w:cstheme="minorHAnsi"/>
                <w:b/>
                <w:bCs/>
                <w:sz w:val="20"/>
                <w:szCs w:val="20"/>
              </w:rPr>
            </w:pPr>
            <w:r w:rsidRPr="00CF599B">
              <w:rPr>
                <w:rFonts w:cstheme="minorHAnsi"/>
                <w:b/>
                <w:bCs/>
                <w:sz w:val="20"/>
                <w:szCs w:val="20"/>
              </w:rPr>
              <w:t>Distribution</w:t>
            </w:r>
          </w:p>
        </w:tc>
        <w:tc>
          <w:tcPr>
            <w:tcW w:w="3969" w:type="dxa"/>
            <w:shd w:val="clear" w:color="auto" w:fill="AEAAAA" w:themeFill="background2" w:themeFillShade="BF"/>
          </w:tcPr>
          <w:p w14:paraId="09C58C66" w14:textId="77777777" w:rsidR="00BF5EA3" w:rsidRPr="00CF599B" w:rsidRDefault="00BF5EA3" w:rsidP="002265B2">
            <w:pPr>
              <w:rPr>
                <w:rFonts w:cstheme="minorHAnsi"/>
                <w:b/>
                <w:bCs/>
                <w:sz w:val="20"/>
                <w:szCs w:val="20"/>
              </w:rPr>
            </w:pPr>
            <w:r w:rsidRPr="00CF599B">
              <w:rPr>
                <w:rFonts w:cstheme="minorHAnsi"/>
                <w:b/>
                <w:bCs/>
                <w:sz w:val="20"/>
                <w:szCs w:val="20"/>
              </w:rPr>
              <w:t>Source</w:t>
            </w:r>
          </w:p>
        </w:tc>
      </w:tr>
      <w:tr w:rsidR="00BF5EA3" w:rsidRPr="00305D05" w14:paraId="068E13B1" w14:textId="77777777" w:rsidTr="002265B2">
        <w:trPr>
          <w:trHeight w:val="176"/>
        </w:trPr>
        <w:tc>
          <w:tcPr>
            <w:tcW w:w="14029" w:type="dxa"/>
            <w:gridSpan w:val="4"/>
            <w:shd w:val="clear" w:color="auto" w:fill="E7E6E6" w:themeFill="background2"/>
          </w:tcPr>
          <w:p w14:paraId="163B9349" w14:textId="77777777" w:rsidR="00BF5EA3" w:rsidRPr="00CF599B" w:rsidRDefault="00BF5EA3" w:rsidP="002265B2">
            <w:pPr>
              <w:rPr>
                <w:rFonts w:cstheme="minorHAnsi"/>
                <w:b/>
                <w:bCs/>
                <w:sz w:val="20"/>
                <w:szCs w:val="20"/>
              </w:rPr>
            </w:pPr>
            <w:r w:rsidRPr="00CF599B">
              <w:rPr>
                <w:rFonts w:cstheme="minorHAnsi"/>
                <w:b/>
                <w:bCs/>
                <w:sz w:val="20"/>
                <w:szCs w:val="20"/>
              </w:rPr>
              <w:t>Decision tree and Markov initial probabilities</w:t>
            </w:r>
          </w:p>
        </w:tc>
      </w:tr>
      <w:tr w:rsidR="00BF5EA3" w:rsidRPr="00305D05" w14:paraId="57383D75" w14:textId="77777777" w:rsidTr="002265B2">
        <w:trPr>
          <w:trHeight w:val="826"/>
        </w:trPr>
        <w:tc>
          <w:tcPr>
            <w:tcW w:w="5240" w:type="dxa"/>
          </w:tcPr>
          <w:p w14:paraId="13961B4F" w14:textId="5EB1D2DD" w:rsidR="00BF5EA3" w:rsidRPr="00CF599B" w:rsidRDefault="00BF5EA3" w:rsidP="002265B2">
            <w:pPr>
              <w:rPr>
                <w:rFonts w:cstheme="minorHAnsi"/>
                <w:sz w:val="20"/>
                <w:szCs w:val="20"/>
              </w:rPr>
            </w:pPr>
            <w:r w:rsidRPr="00CF599B">
              <w:rPr>
                <w:rFonts w:cstheme="minorHAnsi"/>
                <w:sz w:val="20"/>
                <w:szCs w:val="20"/>
              </w:rPr>
              <w:t>Probability of late detection of CD after FN diagnosis</w:t>
            </w:r>
          </w:p>
        </w:tc>
        <w:tc>
          <w:tcPr>
            <w:tcW w:w="2410" w:type="dxa"/>
          </w:tcPr>
          <w:p w14:paraId="00A26D69" w14:textId="77777777" w:rsidR="00BF5EA3" w:rsidRPr="00CF599B" w:rsidRDefault="00BF5EA3" w:rsidP="002265B2">
            <w:pPr>
              <w:rPr>
                <w:rFonts w:cstheme="minorHAnsi"/>
                <w:sz w:val="20"/>
                <w:szCs w:val="20"/>
              </w:rPr>
            </w:pPr>
            <w:r w:rsidRPr="00CF599B">
              <w:rPr>
                <w:rFonts w:cstheme="minorHAnsi"/>
                <w:sz w:val="20"/>
                <w:szCs w:val="20"/>
              </w:rPr>
              <w:t>Time to diagnosis adults – 10.93 years (SD: 13.10)</w:t>
            </w:r>
          </w:p>
          <w:p w14:paraId="724C0219" w14:textId="77777777" w:rsidR="00BF5EA3" w:rsidRPr="00CF599B" w:rsidRDefault="00BF5EA3" w:rsidP="002265B2">
            <w:pPr>
              <w:rPr>
                <w:rFonts w:cstheme="minorHAnsi"/>
                <w:sz w:val="20"/>
                <w:szCs w:val="20"/>
              </w:rPr>
            </w:pPr>
          </w:p>
          <w:p w14:paraId="68F978AF" w14:textId="77777777" w:rsidR="00BF5EA3" w:rsidRPr="00CF599B" w:rsidRDefault="00BF5EA3" w:rsidP="002265B2">
            <w:pPr>
              <w:rPr>
                <w:rFonts w:cstheme="minorHAnsi"/>
                <w:sz w:val="20"/>
                <w:szCs w:val="20"/>
              </w:rPr>
            </w:pPr>
            <w:r w:rsidRPr="00CF599B">
              <w:rPr>
                <w:rFonts w:cstheme="minorHAnsi"/>
                <w:sz w:val="20"/>
                <w:szCs w:val="20"/>
              </w:rPr>
              <w:t>Time to diagnosis children – 3.34 (SD: 3.71)</w:t>
            </w:r>
          </w:p>
        </w:tc>
        <w:tc>
          <w:tcPr>
            <w:tcW w:w="2410" w:type="dxa"/>
          </w:tcPr>
          <w:p w14:paraId="4597C3D7" w14:textId="77777777" w:rsidR="00BF5EA3" w:rsidRPr="00CF599B" w:rsidRDefault="00BF5EA3" w:rsidP="002265B2">
            <w:pPr>
              <w:rPr>
                <w:rFonts w:cstheme="minorHAnsi"/>
                <w:sz w:val="20"/>
                <w:szCs w:val="20"/>
              </w:rPr>
            </w:pPr>
            <w:r w:rsidRPr="00CF599B">
              <w:rPr>
                <w:rFonts w:cstheme="minorHAnsi"/>
                <w:sz w:val="20"/>
                <w:szCs w:val="20"/>
              </w:rPr>
              <w:t>Normal</w:t>
            </w:r>
          </w:p>
        </w:tc>
        <w:tc>
          <w:tcPr>
            <w:tcW w:w="3969" w:type="dxa"/>
          </w:tcPr>
          <w:p w14:paraId="6A40E904" w14:textId="0F9F97E7" w:rsidR="00BF5EA3" w:rsidRPr="00CF599B" w:rsidRDefault="00BF5EA3" w:rsidP="002265B2">
            <w:pPr>
              <w:rPr>
                <w:rFonts w:cstheme="minorHAnsi"/>
                <w:sz w:val="20"/>
                <w:szCs w:val="20"/>
              </w:rPr>
            </w:pPr>
            <w:r w:rsidRPr="00CF599B">
              <w:rPr>
                <w:rFonts w:cstheme="minorHAnsi"/>
                <w:sz w:val="20"/>
                <w:szCs w:val="20"/>
              </w:rPr>
              <w:t>Violato et al</w:t>
            </w:r>
            <w:r w:rsidRPr="00CF599B">
              <w:rPr>
                <w:rFonts w:cstheme="minorHAnsi"/>
                <w:sz w:val="20"/>
                <w:szCs w:val="20"/>
              </w:rPr>
              <w:fldChar w:fldCharType="begin"/>
            </w:r>
            <w:r w:rsidR="00735CC0">
              <w:rPr>
                <w:rFonts w:cstheme="minorHAnsi"/>
                <w:sz w:val="20"/>
                <w:szCs w:val="20"/>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CF599B">
              <w:rPr>
                <w:rFonts w:cstheme="minorHAnsi"/>
                <w:sz w:val="20"/>
                <w:szCs w:val="20"/>
              </w:rPr>
              <w:fldChar w:fldCharType="separate"/>
            </w:r>
            <w:r w:rsidR="00735CC0" w:rsidRPr="00735CC0">
              <w:rPr>
                <w:rFonts w:cstheme="minorHAnsi"/>
                <w:noProof/>
                <w:sz w:val="20"/>
                <w:szCs w:val="20"/>
                <w:vertAlign w:val="superscript"/>
              </w:rPr>
              <w:t>238</w:t>
            </w:r>
            <w:r w:rsidRPr="00CF599B">
              <w:rPr>
                <w:rFonts w:cstheme="minorHAnsi"/>
                <w:sz w:val="20"/>
                <w:szCs w:val="20"/>
              </w:rPr>
              <w:fldChar w:fldCharType="end"/>
            </w:r>
          </w:p>
        </w:tc>
      </w:tr>
      <w:tr w:rsidR="00BF5EA3" w:rsidRPr="00305D05" w14:paraId="223D2809" w14:textId="77777777" w:rsidTr="002265B2">
        <w:trPr>
          <w:trHeight w:val="826"/>
        </w:trPr>
        <w:tc>
          <w:tcPr>
            <w:tcW w:w="5240" w:type="dxa"/>
          </w:tcPr>
          <w:p w14:paraId="239A86C6" w14:textId="77777777" w:rsidR="00BF5EA3" w:rsidRPr="00CF599B" w:rsidRDefault="00BF5EA3" w:rsidP="002265B2">
            <w:pPr>
              <w:rPr>
                <w:rFonts w:cstheme="minorHAnsi"/>
                <w:sz w:val="20"/>
                <w:szCs w:val="20"/>
              </w:rPr>
            </w:pPr>
            <w:r w:rsidRPr="00CF599B">
              <w:rPr>
                <w:rFonts w:cstheme="minorHAnsi"/>
                <w:sz w:val="20"/>
                <w:szCs w:val="20"/>
              </w:rPr>
              <w:t>Probability confirmatory biopsy needed</w:t>
            </w:r>
          </w:p>
        </w:tc>
        <w:tc>
          <w:tcPr>
            <w:tcW w:w="2410" w:type="dxa"/>
          </w:tcPr>
          <w:p w14:paraId="7A312887" w14:textId="77777777" w:rsidR="00BF5EA3" w:rsidRPr="00CF599B" w:rsidRDefault="00BF5EA3" w:rsidP="002265B2">
            <w:pPr>
              <w:rPr>
                <w:rFonts w:cstheme="minorHAnsi"/>
                <w:sz w:val="20"/>
                <w:szCs w:val="20"/>
              </w:rPr>
            </w:pPr>
            <w:r w:rsidRPr="00CF599B">
              <w:rPr>
                <w:rFonts w:cstheme="minorHAnsi"/>
                <w:sz w:val="20"/>
                <w:szCs w:val="20"/>
              </w:rPr>
              <w:t>0.7 (0.6 – 0.8)</w:t>
            </w:r>
          </w:p>
        </w:tc>
        <w:tc>
          <w:tcPr>
            <w:tcW w:w="2410" w:type="dxa"/>
          </w:tcPr>
          <w:p w14:paraId="4AECB1A3" w14:textId="77777777" w:rsidR="00BF5EA3" w:rsidRPr="00CF599B" w:rsidRDefault="00BF5EA3" w:rsidP="002265B2">
            <w:pPr>
              <w:rPr>
                <w:rFonts w:cstheme="minorHAnsi"/>
                <w:sz w:val="20"/>
                <w:szCs w:val="20"/>
              </w:rPr>
            </w:pPr>
            <w:r w:rsidRPr="00CF599B">
              <w:rPr>
                <w:rFonts w:cstheme="minorHAnsi"/>
                <w:sz w:val="20"/>
                <w:szCs w:val="20"/>
              </w:rPr>
              <w:t>Uniform</w:t>
            </w:r>
          </w:p>
        </w:tc>
        <w:tc>
          <w:tcPr>
            <w:tcW w:w="3969" w:type="dxa"/>
          </w:tcPr>
          <w:p w14:paraId="756797F2" w14:textId="352B6607" w:rsidR="00BF5EA3" w:rsidRPr="00CF599B" w:rsidRDefault="00BF5EA3" w:rsidP="002265B2">
            <w:pPr>
              <w:rPr>
                <w:rFonts w:cstheme="minorHAnsi"/>
                <w:sz w:val="20"/>
                <w:szCs w:val="20"/>
              </w:rPr>
            </w:pPr>
            <w:r w:rsidRPr="00CF599B">
              <w:rPr>
                <w:rFonts w:cstheme="minorHAnsi"/>
                <w:sz w:val="20"/>
                <w:szCs w:val="20"/>
              </w:rPr>
              <w:t xml:space="preserve">Studies on percentage needing biopsy </w:t>
            </w:r>
            <w:r w:rsidRPr="00CF599B">
              <w:rPr>
                <w:rFonts w:cstheme="minorHAnsi"/>
                <w:sz w:val="20"/>
                <w:szCs w:val="20"/>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sz w:val="20"/>
                <w:szCs w:val="20"/>
              </w:rPr>
              <w:instrText xml:space="preserve"> ADDIN EN.CITE </w:instrText>
            </w:r>
            <w:r w:rsidR="00735CC0">
              <w:rPr>
                <w:rFonts w:cstheme="minorHAnsi"/>
                <w:sz w:val="20"/>
                <w:szCs w:val="20"/>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sz w:val="20"/>
                <w:szCs w:val="20"/>
              </w:rPr>
              <w:instrText xml:space="preserve"> ADDIN EN.CITE.DATA </w:instrText>
            </w:r>
            <w:r w:rsidR="00735CC0">
              <w:rPr>
                <w:rFonts w:cstheme="minorHAnsi"/>
                <w:sz w:val="20"/>
                <w:szCs w:val="20"/>
              </w:rPr>
            </w:r>
            <w:r w:rsidR="00735CC0">
              <w:rPr>
                <w:rFonts w:cstheme="minorHAnsi"/>
                <w:sz w:val="20"/>
                <w:szCs w:val="20"/>
              </w:rPr>
              <w:fldChar w:fldCharType="end"/>
            </w:r>
            <w:r w:rsidRPr="00CF599B">
              <w:rPr>
                <w:rFonts w:cstheme="minorHAnsi"/>
                <w:sz w:val="20"/>
                <w:szCs w:val="20"/>
              </w:rPr>
            </w:r>
            <w:r w:rsidRPr="00CF599B">
              <w:rPr>
                <w:rFonts w:cstheme="minorHAnsi"/>
                <w:sz w:val="20"/>
                <w:szCs w:val="20"/>
              </w:rPr>
              <w:fldChar w:fldCharType="separate"/>
            </w:r>
            <w:r w:rsidR="00735CC0" w:rsidRPr="00735CC0">
              <w:rPr>
                <w:rFonts w:cstheme="minorHAnsi"/>
                <w:noProof/>
                <w:sz w:val="20"/>
                <w:szCs w:val="20"/>
                <w:vertAlign w:val="superscript"/>
              </w:rPr>
              <w:t>223-226</w:t>
            </w:r>
            <w:r w:rsidRPr="00CF599B">
              <w:rPr>
                <w:rFonts w:cstheme="minorHAnsi"/>
                <w:sz w:val="20"/>
                <w:szCs w:val="20"/>
              </w:rPr>
              <w:fldChar w:fldCharType="end"/>
            </w:r>
            <w:r w:rsidRPr="00CF599B">
              <w:rPr>
                <w:rFonts w:cstheme="minorHAnsi"/>
                <w:sz w:val="20"/>
                <w:szCs w:val="20"/>
              </w:rPr>
              <w:t xml:space="preserve"> The 60% lower bound is based on the findings of a retrospective analysis of 270 adult patients.</w:t>
            </w:r>
            <w:r w:rsidRPr="00CF599B">
              <w:rPr>
                <w:rFonts w:cstheme="minorHAnsi"/>
                <w:sz w:val="20"/>
                <w:szCs w:val="20"/>
              </w:rPr>
              <w:fldChar w:fldCharType="begin"/>
            </w:r>
            <w:r w:rsidR="00735CC0">
              <w:rPr>
                <w:rFonts w:cstheme="minorHAnsi"/>
                <w:sz w:val="20"/>
                <w:szCs w:val="20"/>
              </w:rPr>
              <w:instrText xml:space="preserve"> ADDIN EN.CITE &lt;EndNote&gt;&lt;Cite&gt;&lt;Author&gt;Holmes&lt;/Author&gt;&lt;Year&gt;2017&lt;/Year&gt;&lt;RecNum&gt;2717&lt;/RecNum&gt;&lt;DisplayText&gt;&lt;style face="superscript"&gt;225&lt;/style&gt;&lt;/DisplayText&gt;&lt;record&gt;&lt;rec-number&gt;28&lt;/rec-number&gt;&lt;foreign-keys&gt;&lt;key app="EN" db-id="w9pwfv0xxa5v9vedxzkp20wvv52efwv0xppv" timestamp="1636614827"&gt;28&lt;/key&gt;&lt;/foreign-keys&gt;&lt;ref-type name="Journal Article"&gt;17&lt;/ref-type&gt;&lt;contributors&gt;&lt;authors&gt;&lt;author&gt;Holmes, G. K. T.&lt;/author&gt;&lt;author&gt;Forsyth, J. M.&lt;/author&gt;&lt;author&gt;Knowles, S.&lt;/author&gt;&lt;author&gt;Seddon, H.&lt;/author&gt;&lt;author&gt;Hill, P. G.&lt;/author&gt;&lt;author&gt;Austin, A. S.&lt;/author&gt;&lt;/authors&gt;&lt;/contributors&gt;&lt;auth-address&gt;aRoyal Derby HospitalbDepartment of PathologycDerby Digestive Diseases Centre, Royal Derby Hospital, Derby, UK.&lt;/auth-address&gt;&lt;titles&gt;&lt;title&gt;Coeliac disease: further evidence that biopsy is not always necessary for diagnosis&lt;/title&gt;&lt;secondary-title&gt;Eur J Gastroenterol Hepatol&lt;/secondary-title&gt;&lt;/titles&gt;&lt;periodical&gt;&lt;full-title&gt;Eur J Gastroenterol Hepatol&lt;/full-title&gt;&lt;/periodical&gt;&lt;pages&gt;640-645&lt;/pages&gt;&lt;volume&gt;29&lt;/volume&gt;&lt;number&gt;6&lt;/number&gt;&lt;edition&gt;2017/04/26&lt;/edition&gt;&lt;keywords&gt;&lt;keyword&gt;Autoantibodies/*blood&lt;/keyword&gt;&lt;keyword&gt;Biomarkers/blood&lt;/keyword&gt;&lt;keyword&gt;Biopsy&lt;/keyword&gt;&lt;keyword&gt;Celiac Disease/blood/*diagnosis/immunology/pathology&lt;/keyword&gt;&lt;keyword&gt;England&lt;/keyword&gt;&lt;keyword&gt;GTP-Binding Proteins/*immunology&lt;/keyword&gt;&lt;keyword&gt;Humans&lt;/keyword&gt;&lt;keyword&gt;Immunoglobulin A/*blood&lt;/keyword&gt;&lt;keyword&gt;Intestine, Small/*immunology/*pathology&lt;/keyword&gt;&lt;keyword&gt;Practice Guidelines as Topic&lt;/keyword&gt;&lt;keyword&gt;Predictive Value of Tests&lt;/keyword&gt;&lt;keyword&gt;Reproducibility of Results&lt;/keyword&gt;&lt;keyword&gt;Retrospective Studies&lt;/keyword&gt;&lt;keyword&gt;*Serologic Tests/standards&lt;/keyword&gt;&lt;keyword&gt;Transglutaminases/*immunology&lt;/keyword&gt;&lt;/keywords&gt;&lt;dates&gt;&lt;year&gt;2017&lt;/year&gt;&lt;pub-dates&gt;&lt;date&gt;Jun&lt;/date&gt;&lt;/pub-dates&gt;&lt;/dates&gt;&lt;isbn&gt;0954-691x&lt;/isbn&gt;&lt;accession-num&gt;28441689&lt;/accession-num&gt;&lt;urls&gt;&lt;/urls&gt;&lt;electronic-resource-num&gt;10.1097/meg.0000000000000841&lt;/electronic-resource-num&gt;&lt;remote-database-provider&gt;NLM&lt;/remote-database-provider&gt;&lt;language&gt;eng&lt;/language&gt;&lt;/record&gt;&lt;/Cite&gt;&lt;/EndNote&gt;</w:instrText>
            </w:r>
            <w:r w:rsidRPr="00CF599B">
              <w:rPr>
                <w:rFonts w:cstheme="minorHAnsi"/>
                <w:sz w:val="20"/>
                <w:szCs w:val="20"/>
              </w:rPr>
              <w:fldChar w:fldCharType="separate"/>
            </w:r>
            <w:r w:rsidR="00735CC0" w:rsidRPr="00735CC0">
              <w:rPr>
                <w:rFonts w:cstheme="minorHAnsi"/>
                <w:noProof/>
                <w:sz w:val="20"/>
                <w:szCs w:val="20"/>
                <w:vertAlign w:val="superscript"/>
              </w:rPr>
              <w:t>225</w:t>
            </w:r>
            <w:r w:rsidRPr="00CF599B">
              <w:rPr>
                <w:rFonts w:cstheme="minorHAnsi"/>
                <w:sz w:val="20"/>
                <w:szCs w:val="20"/>
              </w:rPr>
              <w:fldChar w:fldCharType="end"/>
            </w:r>
            <w:r w:rsidRPr="00CF599B">
              <w:rPr>
                <w:rFonts w:cstheme="minorHAnsi"/>
                <w:sz w:val="20"/>
                <w:szCs w:val="20"/>
              </w:rPr>
              <w:t xml:space="preserve"> </w:t>
            </w:r>
          </w:p>
        </w:tc>
      </w:tr>
      <w:tr w:rsidR="00BF5EA3" w:rsidRPr="00305D05" w14:paraId="6BFA9461" w14:textId="77777777" w:rsidTr="002265B2">
        <w:trPr>
          <w:trHeight w:val="176"/>
        </w:trPr>
        <w:tc>
          <w:tcPr>
            <w:tcW w:w="5240" w:type="dxa"/>
          </w:tcPr>
          <w:p w14:paraId="1F35A455" w14:textId="77777777" w:rsidR="00BF5EA3" w:rsidRPr="00CF599B" w:rsidRDefault="00BF5EA3" w:rsidP="002265B2">
            <w:pPr>
              <w:rPr>
                <w:rFonts w:cstheme="minorHAnsi"/>
                <w:sz w:val="20"/>
                <w:szCs w:val="20"/>
              </w:rPr>
            </w:pPr>
            <w:r w:rsidRPr="00CF599B">
              <w:rPr>
                <w:rFonts w:cstheme="minorHAnsi"/>
                <w:sz w:val="20"/>
                <w:szCs w:val="20"/>
              </w:rPr>
              <w:t>Proportion with osteoporosis NHL or IDA at diagnosis</w:t>
            </w:r>
          </w:p>
        </w:tc>
        <w:tc>
          <w:tcPr>
            <w:tcW w:w="2410" w:type="dxa"/>
          </w:tcPr>
          <w:p w14:paraId="67EE1A28" w14:textId="4159C09A" w:rsidR="00BF5EA3" w:rsidRPr="00CF599B" w:rsidRDefault="00BF5EA3" w:rsidP="002265B2">
            <w:pPr>
              <w:rPr>
                <w:rFonts w:cstheme="minorHAnsi"/>
                <w:sz w:val="20"/>
                <w:szCs w:val="20"/>
              </w:rPr>
            </w:pPr>
            <w:r w:rsidRPr="00CF599B">
              <w:rPr>
                <w:rFonts w:cstheme="minorHAnsi"/>
                <w:sz w:val="20"/>
                <w:szCs w:val="20"/>
              </w:rPr>
              <w:t xml:space="preserve">Age dependent (see </w:t>
            </w:r>
            <w:r w:rsidR="008B55FE">
              <w:rPr>
                <w:rFonts w:cstheme="minorHAnsi"/>
                <w:sz w:val="20"/>
                <w:szCs w:val="20"/>
              </w:rPr>
              <w:t>Supplementary Table S13</w:t>
            </w:r>
            <w:r w:rsidRPr="00CF599B">
              <w:rPr>
                <w:rFonts w:cstheme="minorHAnsi"/>
                <w:sz w:val="20"/>
                <w:szCs w:val="20"/>
              </w:rPr>
              <w:t>)</w:t>
            </w:r>
          </w:p>
        </w:tc>
        <w:tc>
          <w:tcPr>
            <w:tcW w:w="2410" w:type="dxa"/>
          </w:tcPr>
          <w:p w14:paraId="346E6319" w14:textId="77777777" w:rsidR="00BF5EA3" w:rsidRPr="00CF599B" w:rsidRDefault="00BF5EA3" w:rsidP="002265B2">
            <w:pPr>
              <w:rPr>
                <w:rFonts w:cstheme="minorHAnsi"/>
                <w:sz w:val="20"/>
                <w:szCs w:val="20"/>
              </w:rPr>
            </w:pPr>
            <w:r w:rsidRPr="00CF599B">
              <w:rPr>
                <w:rFonts w:cstheme="minorHAnsi"/>
                <w:sz w:val="20"/>
                <w:szCs w:val="20"/>
              </w:rPr>
              <w:t>Independent beta for each condition</w:t>
            </w:r>
          </w:p>
        </w:tc>
        <w:tc>
          <w:tcPr>
            <w:tcW w:w="3969" w:type="dxa"/>
          </w:tcPr>
          <w:p w14:paraId="09DC8582" w14:textId="77777777" w:rsidR="00BF5EA3" w:rsidRPr="00CF599B" w:rsidRDefault="00BF5EA3" w:rsidP="002265B2">
            <w:pPr>
              <w:rPr>
                <w:rFonts w:cstheme="minorHAnsi"/>
                <w:sz w:val="20"/>
                <w:szCs w:val="20"/>
              </w:rPr>
            </w:pPr>
            <w:r w:rsidRPr="00CF599B">
              <w:rPr>
                <w:rFonts w:cstheme="minorHAnsi"/>
                <w:sz w:val="20"/>
                <w:szCs w:val="20"/>
              </w:rPr>
              <w:t xml:space="preserve">CPRD age and gender stratified prevalence. </w:t>
            </w:r>
          </w:p>
        </w:tc>
      </w:tr>
      <w:tr w:rsidR="00BF5EA3" w:rsidRPr="00305D05" w14:paraId="3D00DF2D" w14:textId="77777777" w:rsidTr="002265B2">
        <w:trPr>
          <w:trHeight w:val="176"/>
        </w:trPr>
        <w:tc>
          <w:tcPr>
            <w:tcW w:w="14029" w:type="dxa"/>
            <w:gridSpan w:val="4"/>
            <w:shd w:val="clear" w:color="auto" w:fill="EDEDED" w:themeFill="accent3" w:themeFillTint="33"/>
          </w:tcPr>
          <w:p w14:paraId="071B4A5F" w14:textId="75892915" w:rsidR="00BF5EA3" w:rsidRPr="00CF599B" w:rsidRDefault="00BF5EA3" w:rsidP="002265B2">
            <w:pPr>
              <w:rPr>
                <w:rFonts w:cstheme="minorHAnsi"/>
                <w:b/>
                <w:bCs/>
                <w:sz w:val="20"/>
                <w:szCs w:val="20"/>
              </w:rPr>
            </w:pPr>
            <w:r w:rsidRPr="00CF599B">
              <w:rPr>
                <w:rFonts w:cstheme="minorHAnsi"/>
                <w:b/>
                <w:bCs/>
                <w:sz w:val="20"/>
                <w:szCs w:val="20"/>
              </w:rPr>
              <w:t>Diagnostic accuracy of tests from Chapter 5 and Chapter 6.</w:t>
            </w:r>
          </w:p>
        </w:tc>
      </w:tr>
      <w:tr w:rsidR="00BF5EA3" w:rsidRPr="00305D05" w14:paraId="43AD0246" w14:textId="77777777" w:rsidTr="002265B2">
        <w:trPr>
          <w:trHeight w:val="292"/>
        </w:trPr>
        <w:tc>
          <w:tcPr>
            <w:tcW w:w="14029" w:type="dxa"/>
            <w:gridSpan w:val="4"/>
            <w:shd w:val="clear" w:color="auto" w:fill="E7E6E6" w:themeFill="background2"/>
          </w:tcPr>
          <w:p w14:paraId="657E91D2" w14:textId="77777777" w:rsidR="00BF5EA3" w:rsidRPr="00CF599B" w:rsidRDefault="00BF5EA3" w:rsidP="002265B2">
            <w:pPr>
              <w:rPr>
                <w:rFonts w:eastAsia="Times New Roman" w:cstheme="minorHAnsi"/>
                <w:color w:val="000000"/>
                <w:sz w:val="20"/>
                <w:szCs w:val="20"/>
                <w:lang w:val="es-ES" w:eastAsia="zh-CN"/>
              </w:rPr>
            </w:pPr>
            <w:r w:rsidRPr="00CF599B">
              <w:rPr>
                <w:rFonts w:eastAsia="Times New Roman" w:cstheme="minorHAnsi"/>
                <w:b/>
                <w:bCs/>
                <w:color w:val="000000"/>
                <w:sz w:val="20"/>
                <w:szCs w:val="20"/>
                <w:lang w:val="es-ES" w:eastAsia="zh-CN"/>
              </w:rPr>
              <w:t>Costs</w:t>
            </w:r>
          </w:p>
        </w:tc>
      </w:tr>
      <w:tr w:rsidR="00BF5EA3" w:rsidRPr="00305D05" w14:paraId="3A155CA0" w14:textId="77777777" w:rsidTr="002265B2">
        <w:trPr>
          <w:trHeight w:val="292"/>
        </w:trPr>
        <w:tc>
          <w:tcPr>
            <w:tcW w:w="5240" w:type="dxa"/>
            <w:noWrap/>
          </w:tcPr>
          <w:p w14:paraId="5F3D213A"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Unit cost of IgA EMA</w:t>
            </w:r>
          </w:p>
        </w:tc>
        <w:tc>
          <w:tcPr>
            <w:tcW w:w="2410" w:type="dxa"/>
            <w:noWrap/>
          </w:tcPr>
          <w:p w14:paraId="47309A31"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£14.92 (SE: 1.87) </w:t>
            </w:r>
          </w:p>
        </w:tc>
        <w:tc>
          <w:tcPr>
            <w:tcW w:w="2410" w:type="dxa"/>
          </w:tcPr>
          <w:p w14:paraId="2E9827C3"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Gamma</w:t>
            </w:r>
          </w:p>
        </w:tc>
        <w:tc>
          <w:tcPr>
            <w:tcW w:w="3969" w:type="dxa"/>
          </w:tcPr>
          <w:p w14:paraId="1E3A352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Personal communication with various laboratories offering CD testing in the UK</w:t>
            </w:r>
          </w:p>
        </w:tc>
      </w:tr>
      <w:tr w:rsidR="00BF5EA3" w:rsidRPr="00305D05" w14:paraId="55CBBC80" w14:textId="77777777" w:rsidTr="002265B2">
        <w:trPr>
          <w:trHeight w:val="292"/>
        </w:trPr>
        <w:tc>
          <w:tcPr>
            <w:tcW w:w="5240" w:type="dxa"/>
            <w:noWrap/>
          </w:tcPr>
          <w:p w14:paraId="608F48F4" w14:textId="209DF075"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Unit cost of IgA </w:t>
            </w:r>
            <w:r w:rsidR="00173010">
              <w:rPr>
                <w:rFonts w:eastAsia="Times New Roman" w:cstheme="minorHAnsi"/>
                <w:color w:val="000000"/>
                <w:sz w:val="20"/>
                <w:szCs w:val="20"/>
                <w:lang w:eastAsia="zh-CN"/>
              </w:rPr>
              <w:t>t</w:t>
            </w:r>
            <w:r w:rsidR="00173010" w:rsidRPr="00CF599B">
              <w:rPr>
                <w:rFonts w:eastAsia="Times New Roman" w:cstheme="minorHAnsi"/>
                <w:color w:val="000000"/>
                <w:sz w:val="20"/>
                <w:szCs w:val="20"/>
                <w:lang w:eastAsia="zh-CN"/>
              </w:rPr>
              <w:t>TG</w:t>
            </w:r>
          </w:p>
        </w:tc>
        <w:tc>
          <w:tcPr>
            <w:tcW w:w="2410" w:type="dxa"/>
            <w:noWrap/>
          </w:tcPr>
          <w:p w14:paraId="73EEA8E1"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£10.77 (SE: 2.15)</w:t>
            </w:r>
          </w:p>
        </w:tc>
        <w:tc>
          <w:tcPr>
            <w:tcW w:w="2410" w:type="dxa"/>
          </w:tcPr>
          <w:p w14:paraId="25D1C3B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Gamma </w:t>
            </w:r>
          </w:p>
        </w:tc>
        <w:tc>
          <w:tcPr>
            <w:tcW w:w="3969" w:type="dxa"/>
          </w:tcPr>
          <w:p w14:paraId="7B4D0BD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Personal communication with various laboratories offering CD testing in the UK</w:t>
            </w:r>
          </w:p>
        </w:tc>
      </w:tr>
      <w:tr w:rsidR="00BF5EA3" w:rsidRPr="00305D05" w14:paraId="6404D17C" w14:textId="77777777" w:rsidTr="002265B2">
        <w:trPr>
          <w:trHeight w:val="292"/>
        </w:trPr>
        <w:tc>
          <w:tcPr>
            <w:tcW w:w="5240" w:type="dxa"/>
            <w:noWrap/>
          </w:tcPr>
          <w:p w14:paraId="040B5757"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Unit cost of HLA</w:t>
            </w:r>
          </w:p>
        </w:tc>
        <w:tc>
          <w:tcPr>
            <w:tcW w:w="2410" w:type="dxa"/>
            <w:noWrap/>
          </w:tcPr>
          <w:p w14:paraId="42225A1B" w14:textId="5B58FE4C"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£122.34 (SE 24.47)</w:t>
            </w:r>
          </w:p>
        </w:tc>
        <w:tc>
          <w:tcPr>
            <w:tcW w:w="2410" w:type="dxa"/>
          </w:tcPr>
          <w:p w14:paraId="3AE78BCF"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Gamma</w:t>
            </w:r>
          </w:p>
        </w:tc>
        <w:tc>
          <w:tcPr>
            <w:tcW w:w="3969" w:type="dxa"/>
          </w:tcPr>
          <w:p w14:paraId="5FEB6169"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Personal communication with various laboratories offering CD testing in the UK</w:t>
            </w:r>
          </w:p>
        </w:tc>
      </w:tr>
      <w:tr w:rsidR="00BF5EA3" w:rsidRPr="00305D05" w14:paraId="3C0F1E2D" w14:textId="77777777" w:rsidTr="002265B2">
        <w:trPr>
          <w:trHeight w:val="292"/>
        </w:trPr>
        <w:tc>
          <w:tcPr>
            <w:tcW w:w="5240" w:type="dxa"/>
            <w:noWrap/>
          </w:tcPr>
          <w:p w14:paraId="27E561CF"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Endoscopic biopsy adults - Diagnostic Endoscopic Upper Gastrointestinal Tract Procedures with Biopsy, 19 years and over</w:t>
            </w:r>
          </w:p>
        </w:tc>
        <w:tc>
          <w:tcPr>
            <w:tcW w:w="2410" w:type="dxa"/>
            <w:noWrap/>
          </w:tcPr>
          <w:p w14:paraId="25E5FAE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£530</w:t>
            </w:r>
          </w:p>
        </w:tc>
        <w:tc>
          <w:tcPr>
            <w:tcW w:w="2410" w:type="dxa"/>
          </w:tcPr>
          <w:p w14:paraId="02D7F679"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Fixed </w:t>
            </w:r>
          </w:p>
        </w:tc>
        <w:tc>
          <w:tcPr>
            <w:tcW w:w="3969" w:type="dxa"/>
          </w:tcPr>
          <w:p w14:paraId="32171F0E"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NHS Reference costs (2018/19) FE21Z. </w:t>
            </w:r>
          </w:p>
        </w:tc>
      </w:tr>
      <w:tr w:rsidR="00BF5EA3" w:rsidRPr="00305D05" w14:paraId="43625A5B" w14:textId="77777777" w:rsidTr="002265B2">
        <w:trPr>
          <w:trHeight w:val="292"/>
        </w:trPr>
        <w:tc>
          <w:tcPr>
            <w:tcW w:w="5240" w:type="dxa"/>
            <w:noWrap/>
          </w:tcPr>
          <w:p w14:paraId="2B0576C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Endoscopic biopsy children -Endoscopic or Intermediate, Upper Gastrointestinal Tract Procedures, between 5 and 18 years</w:t>
            </w:r>
          </w:p>
        </w:tc>
        <w:tc>
          <w:tcPr>
            <w:tcW w:w="2410" w:type="dxa"/>
            <w:noWrap/>
          </w:tcPr>
          <w:p w14:paraId="0BAA35E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£823</w:t>
            </w:r>
          </w:p>
        </w:tc>
        <w:tc>
          <w:tcPr>
            <w:tcW w:w="2410" w:type="dxa"/>
          </w:tcPr>
          <w:p w14:paraId="1BE31D63"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Fixed</w:t>
            </w:r>
          </w:p>
        </w:tc>
        <w:tc>
          <w:tcPr>
            <w:tcW w:w="3969" w:type="dxa"/>
          </w:tcPr>
          <w:p w14:paraId="72EB2E76"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NHS Reference costs (2018/19) FE23C</w:t>
            </w:r>
          </w:p>
        </w:tc>
      </w:tr>
      <w:tr w:rsidR="00BF5EA3" w:rsidRPr="00305D05" w14:paraId="4C5030EA" w14:textId="77777777" w:rsidTr="002265B2">
        <w:trPr>
          <w:trHeight w:val="292"/>
        </w:trPr>
        <w:tc>
          <w:tcPr>
            <w:tcW w:w="5240" w:type="dxa"/>
            <w:noWrap/>
          </w:tcPr>
          <w:p w14:paraId="2F3127B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Other diagnosis costs (e.g. (nurse, GP, gastroenterologist, dietician appointments)</w:t>
            </w:r>
          </w:p>
        </w:tc>
        <w:tc>
          <w:tcPr>
            <w:tcW w:w="2410" w:type="dxa"/>
            <w:noWrap/>
          </w:tcPr>
          <w:p w14:paraId="0BCD0BA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£379.27 (SE=37.93)</w:t>
            </w:r>
          </w:p>
        </w:tc>
        <w:tc>
          <w:tcPr>
            <w:tcW w:w="2410" w:type="dxa"/>
          </w:tcPr>
          <w:p w14:paraId="544477F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Gamma</w:t>
            </w:r>
          </w:p>
        </w:tc>
        <w:tc>
          <w:tcPr>
            <w:tcW w:w="3969" w:type="dxa"/>
          </w:tcPr>
          <w:p w14:paraId="61BAC2A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NHS Reference costs (2018/19), PSSRU </w:t>
            </w:r>
          </w:p>
          <w:p w14:paraId="54C95F0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Standard error assumed 1/10</w:t>
            </w:r>
            <w:r w:rsidRPr="003C258B">
              <w:rPr>
                <w:rFonts w:eastAsia="Times New Roman" w:cstheme="minorHAnsi"/>
                <w:color w:val="000000"/>
                <w:sz w:val="20"/>
                <w:szCs w:val="20"/>
                <w:vertAlign w:val="superscript"/>
                <w:lang w:eastAsia="zh-CN"/>
              </w:rPr>
              <w:t>th</w:t>
            </w:r>
            <w:r w:rsidRPr="00CF599B">
              <w:rPr>
                <w:rFonts w:eastAsia="Times New Roman" w:cstheme="minorHAnsi"/>
                <w:color w:val="000000"/>
                <w:sz w:val="20"/>
                <w:szCs w:val="20"/>
                <w:lang w:eastAsia="zh-CN"/>
              </w:rPr>
              <w:t xml:space="preserve"> of mean. Unit costs of Health and Social care 2020</w:t>
            </w:r>
          </w:p>
        </w:tc>
      </w:tr>
      <w:tr w:rsidR="00BF5EA3" w:rsidRPr="00305D05" w14:paraId="5108DEAB" w14:textId="77777777" w:rsidTr="002265B2">
        <w:trPr>
          <w:trHeight w:val="292"/>
        </w:trPr>
        <w:tc>
          <w:tcPr>
            <w:tcW w:w="5240" w:type="dxa"/>
            <w:noWrap/>
          </w:tcPr>
          <w:p w14:paraId="3B716DE1"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lastRenderedPageBreak/>
              <w:t>Annual healthcare usage costs by diagnosis – TP</w:t>
            </w:r>
          </w:p>
        </w:tc>
        <w:tc>
          <w:tcPr>
            <w:tcW w:w="2410" w:type="dxa"/>
            <w:noWrap/>
          </w:tcPr>
          <w:p w14:paraId="099127A9"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Adults - £757 (SE 5.3)</w:t>
            </w:r>
          </w:p>
          <w:p w14:paraId="20AB267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Children - £452 (SE 20.6)</w:t>
            </w:r>
          </w:p>
          <w:p w14:paraId="60F01D57" w14:textId="77777777" w:rsidR="00BF5EA3" w:rsidRPr="00CF599B" w:rsidRDefault="00BF5EA3" w:rsidP="002265B2">
            <w:pPr>
              <w:rPr>
                <w:rFonts w:eastAsia="Times New Roman" w:cstheme="minorHAnsi"/>
                <w:color w:val="000000"/>
                <w:sz w:val="20"/>
                <w:szCs w:val="20"/>
                <w:lang w:eastAsia="zh-CN"/>
              </w:rPr>
            </w:pPr>
          </w:p>
        </w:tc>
        <w:tc>
          <w:tcPr>
            <w:tcW w:w="2410" w:type="dxa"/>
          </w:tcPr>
          <w:p w14:paraId="76A2789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Gamma</w:t>
            </w:r>
          </w:p>
        </w:tc>
        <w:tc>
          <w:tcPr>
            <w:tcW w:w="3969" w:type="dxa"/>
          </w:tcPr>
          <w:p w14:paraId="51F8CE22" w14:textId="0B058A4F"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CPRD analysis based on update of Violato et al 2012</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&lt;EndNote&gt;&lt;Cite&gt;&lt;Author&gt;Violato&lt;/Author&gt;&lt;Year&gt;2012&lt;/Year&gt;&lt;RecNum&gt;573&lt;/RecNum&gt;&lt;DisplayText&gt;&lt;style face="superscript"&gt;51&lt;/style&gt;&lt;/DisplayText&gt;&lt;record&gt;&lt;rec-number&gt;573&lt;/rec-number&gt;&lt;foreign-keys&gt;&lt;key app="EN" db-id="tdwrx9xd1z9eepeevr355w2k959rv0f5zaax" timestamp="1636620393"&gt;573&lt;/key&gt;&lt;/foreign-keys&gt;&lt;ref-type name="Journal Article"&gt;17&lt;/ref-type&gt;&lt;contributors&gt;&lt;authors&gt;&lt;author&gt;Violato, Mara&lt;/author&gt;&lt;author&gt;Gray, Alastair&lt;/author&gt;&lt;author&gt;Papanicolas, Irini&lt;/author&gt;&lt;author&gt;Ouellet, Melissa&lt;/author&gt;&lt;/authors&gt;&lt;/contributors&gt;&lt;titles&gt;&lt;title&gt;Resource Use and Costs Associated with Coeliac Disease before and after Diagnosis in 3,646 Cases: Results of a UK Primary Care Database Analysis&lt;/title&gt;&lt;secondary-title&gt;PLOS ONE&lt;/secondary-title&gt;&lt;/titles&gt;&lt;periodical&gt;&lt;full-title&gt;PLoS ONE&lt;/full-title&gt;&lt;/periodical&gt;&lt;pages&gt;e41308&lt;/pages&gt;&lt;volume&gt;7&lt;/volume&gt;&lt;number&gt;7&lt;/number&gt;&lt;dates&gt;&lt;year&gt;2012&lt;/year&gt;&lt;/dates&gt;&lt;publisher&gt;Public Library of Science&lt;/publisher&gt;&lt;urls&gt;&lt;related-urls&gt;&lt;url&gt;https://doi.org/10.1371/journal.pone.0041308&lt;/url&gt;&lt;/related-urls&gt;&lt;/urls&gt;&lt;electronic-resource-num&gt;10.1371/journal.pone.0041308&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51</w:t>
            </w:r>
            <w:r w:rsidRPr="00CF599B">
              <w:rPr>
                <w:rFonts w:eastAsia="Times New Roman" w:cstheme="minorHAnsi"/>
                <w:color w:val="000000"/>
                <w:sz w:val="20"/>
                <w:szCs w:val="20"/>
                <w:lang w:eastAsia="zh-CN"/>
              </w:rPr>
              <w:fldChar w:fldCharType="end"/>
            </w:r>
          </w:p>
        </w:tc>
      </w:tr>
      <w:tr w:rsidR="00BF5EA3" w:rsidRPr="00305D05" w14:paraId="021F733E" w14:textId="77777777" w:rsidTr="002265B2">
        <w:trPr>
          <w:trHeight w:val="292"/>
        </w:trPr>
        <w:tc>
          <w:tcPr>
            <w:tcW w:w="5240" w:type="dxa"/>
            <w:noWrap/>
          </w:tcPr>
          <w:p w14:paraId="5C532AA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Annual healthcare usage costs by diagnosis – FN</w:t>
            </w:r>
          </w:p>
        </w:tc>
        <w:tc>
          <w:tcPr>
            <w:tcW w:w="2410" w:type="dxa"/>
            <w:noWrap/>
          </w:tcPr>
          <w:p w14:paraId="7D98FF8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Adults - £421 (SE 3.34)</w:t>
            </w:r>
          </w:p>
          <w:p w14:paraId="71906962"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Children - £248 (SE 4.97)</w:t>
            </w:r>
          </w:p>
        </w:tc>
        <w:tc>
          <w:tcPr>
            <w:tcW w:w="2410" w:type="dxa"/>
          </w:tcPr>
          <w:p w14:paraId="4C27D866"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Gamma</w:t>
            </w:r>
          </w:p>
        </w:tc>
        <w:tc>
          <w:tcPr>
            <w:tcW w:w="3969" w:type="dxa"/>
          </w:tcPr>
          <w:p w14:paraId="2FA5AE60" w14:textId="3FCAE99C"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CPRD analysis based on update of Violato et al 2012</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&lt;EndNote&gt;&lt;Cite&gt;&lt;Author&gt;Violato&lt;/Author&gt;&lt;Year&gt;2012&lt;/Year&gt;&lt;RecNum&gt;573&lt;/RecNum&gt;&lt;DisplayText&gt;&lt;style face="superscript"&gt;51&lt;/style&gt;&lt;/DisplayText&gt;&lt;record&gt;&lt;rec-number&gt;573&lt;/rec-number&gt;&lt;foreign-keys&gt;&lt;key app="EN" db-id="tdwrx9xd1z9eepeevr355w2k959rv0f5zaax" timestamp="1636620393"&gt;573&lt;/key&gt;&lt;/foreign-keys&gt;&lt;ref-type name="Journal Article"&gt;17&lt;/ref-type&gt;&lt;contributors&gt;&lt;authors&gt;&lt;author&gt;Violato, Mara&lt;/author&gt;&lt;author&gt;Gray, Alastair&lt;/author&gt;&lt;author&gt;Papanicolas, Irini&lt;/author&gt;&lt;author&gt;Ouellet, Melissa&lt;/author&gt;&lt;/authors&gt;&lt;/contributors&gt;&lt;titles&gt;&lt;title&gt;Resource Use and Costs Associated with Coeliac Disease before and after Diagnosis in 3,646 Cases: Results of a UK Primary Care Database Analysis&lt;/title&gt;&lt;secondary-title&gt;PLOS ONE&lt;/secondary-title&gt;&lt;/titles&gt;&lt;periodical&gt;&lt;full-title&gt;PLoS ONE&lt;/full-title&gt;&lt;/periodical&gt;&lt;pages&gt;e41308&lt;/pages&gt;&lt;volume&gt;7&lt;/volume&gt;&lt;number&gt;7&lt;/number&gt;&lt;dates&gt;&lt;year&gt;2012&lt;/year&gt;&lt;/dates&gt;&lt;publisher&gt;Public Library of Science&lt;/publisher&gt;&lt;urls&gt;&lt;related-urls&gt;&lt;url&gt;https://doi.org/10.1371/journal.pone.0041308&lt;/url&gt;&lt;/related-urls&gt;&lt;/urls&gt;&lt;electronic-resource-num&gt;10.1371/journal.pone.0041308&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51</w:t>
            </w:r>
            <w:r w:rsidRPr="00CF599B">
              <w:rPr>
                <w:rFonts w:eastAsia="Times New Roman" w:cstheme="minorHAnsi"/>
                <w:color w:val="000000"/>
                <w:sz w:val="20"/>
                <w:szCs w:val="20"/>
                <w:lang w:eastAsia="zh-CN"/>
              </w:rPr>
              <w:fldChar w:fldCharType="end"/>
            </w:r>
          </w:p>
        </w:tc>
      </w:tr>
      <w:tr w:rsidR="00BF5EA3" w:rsidRPr="00305D05" w14:paraId="078C7C04" w14:textId="77777777" w:rsidTr="002265B2">
        <w:trPr>
          <w:trHeight w:val="292"/>
        </w:trPr>
        <w:tc>
          <w:tcPr>
            <w:tcW w:w="5240" w:type="dxa"/>
            <w:noWrap/>
          </w:tcPr>
          <w:p w14:paraId="0B94C74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Treatment for NHL</w:t>
            </w:r>
          </w:p>
        </w:tc>
        <w:tc>
          <w:tcPr>
            <w:tcW w:w="2410" w:type="dxa"/>
            <w:noWrap/>
          </w:tcPr>
          <w:p w14:paraId="65AC9EC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£18,396 (18,377–18,415)</w:t>
            </w:r>
          </w:p>
        </w:tc>
        <w:tc>
          <w:tcPr>
            <w:tcW w:w="2410" w:type="dxa"/>
          </w:tcPr>
          <w:p w14:paraId="2A54B997"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Lognormal </w:t>
            </w:r>
          </w:p>
        </w:tc>
        <w:tc>
          <w:tcPr>
            <w:tcW w:w="3969" w:type="dxa"/>
          </w:tcPr>
          <w:p w14:paraId="0F6096F9" w14:textId="69CC99D0"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Wang et al 2017</w:t>
            </w:r>
            <w:r w:rsidRPr="00CF599B">
              <w:rPr>
                <w:rFonts w:eastAsia="Times New Roman" w:cstheme="minorHAnsi"/>
                <w:color w:val="000000"/>
                <w:sz w:val="20"/>
                <w:szCs w:val="20"/>
                <w:lang w:eastAsia="zh-CN"/>
              </w:rPr>
              <w:fldChar w:fldCharType="begin">
                <w:fldData xml:space="preserve">PEVuZE5vdGU+PENpdGU+PEF1dGhvcj5XYW5nPC9BdXRob3I+PFllYXI+MjAxNzwvWWVhcj48UmVj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</w:fldData>
              </w:fldChar>
            </w:r>
            <w:r w:rsidR="00735CC0">
              <w:rPr>
                <w:rFonts w:eastAsia="Times New Roman" w:cstheme="minorHAnsi"/>
                <w:color w:val="000000"/>
                <w:sz w:val="20"/>
                <w:szCs w:val="20"/>
                <w:lang w:eastAsia="zh-CN"/>
              </w:rPr>
              <w:instrText xml:space="preserve"> ADDIN EN.CITE </w:instrText>
            </w:r>
            <w:r w:rsidR="00735CC0">
              <w:rPr>
                <w:rFonts w:eastAsia="Times New Roman" w:cstheme="minorHAnsi"/>
                <w:color w:val="000000"/>
                <w:sz w:val="20"/>
                <w:szCs w:val="20"/>
                <w:lang w:eastAsia="zh-CN"/>
              </w:rPr>
              <w:fldChar w:fldCharType="begin">
                <w:fldData xml:space="preserve">PEVuZE5vdGU+PENpdGU+PEF1dGhvcj5XYW5nPC9BdXRob3I+PFllYXI+MjAxNzwvWWVhcj48UmVj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</w:fldData>
              </w:fldChar>
            </w:r>
            <w:r w:rsidR="00735CC0">
              <w:rPr>
                <w:rFonts w:eastAsia="Times New Roman" w:cstheme="minorHAnsi"/>
                <w:color w:val="000000"/>
                <w:sz w:val="20"/>
                <w:szCs w:val="20"/>
                <w:lang w:eastAsia="zh-CN"/>
              </w:rPr>
              <w:instrText xml:space="preserve"> ADDIN EN.CITE.DATA </w:instrText>
            </w:r>
            <w:r w:rsidR="00735CC0">
              <w:rPr>
                <w:rFonts w:eastAsia="Times New Roman" w:cstheme="minorHAnsi"/>
                <w:color w:val="000000"/>
                <w:sz w:val="20"/>
                <w:szCs w:val="20"/>
                <w:lang w:eastAsia="zh-CN"/>
              </w:rPr>
            </w:r>
            <w:r w:rsidR="00735CC0">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231</w:t>
            </w:r>
            <w:r w:rsidRPr="00CF599B">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t xml:space="preserve">. One-off lifetime cost of treatment. </w:t>
            </w:r>
          </w:p>
        </w:tc>
      </w:tr>
      <w:tr w:rsidR="00BF5EA3" w:rsidRPr="005E607C" w14:paraId="31BF1DA9" w14:textId="77777777" w:rsidTr="002265B2">
        <w:trPr>
          <w:trHeight w:val="292"/>
        </w:trPr>
        <w:tc>
          <w:tcPr>
            <w:tcW w:w="5240" w:type="dxa"/>
            <w:noWrap/>
          </w:tcPr>
          <w:p w14:paraId="337E69B7"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Osteoporosis</w:t>
            </w:r>
          </w:p>
        </w:tc>
        <w:tc>
          <w:tcPr>
            <w:tcW w:w="2410" w:type="dxa"/>
            <w:noWrap/>
          </w:tcPr>
          <w:p w14:paraId="13AA572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£39.04 (SE=0.27)</w:t>
            </w:r>
          </w:p>
        </w:tc>
        <w:tc>
          <w:tcPr>
            <w:tcW w:w="2410" w:type="dxa"/>
          </w:tcPr>
          <w:p w14:paraId="08DEBD41" w14:textId="38856F3A"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Weighted average of Gamma distributions (</w:t>
            </w:r>
            <w:r w:rsidR="00E94BCD">
              <w:rPr>
                <w:rFonts w:eastAsia="Times New Roman" w:cstheme="minorHAnsi"/>
                <w:color w:val="000000"/>
                <w:sz w:val="20"/>
                <w:szCs w:val="20"/>
                <w:lang w:eastAsia="zh-CN"/>
              </w:rPr>
              <w:t xml:space="preserve">Appendix </w:t>
            </w:r>
            <w:r w:rsidR="00E94BCD" w:rsidRPr="000526F1">
              <w:rPr>
                <w:rFonts w:eastAsia="Times New Roman" w:cstheme="minorHAnsi"/>
                <w:color w:val="000000"/>
                <w:sz w:val="18"/>
                <w:szCs w:val="18"/>
                <w:lang w:eastAsia="zh-CN"/>
              </w:rPr>
              <w:t>27</w:t>
            </w:r>
            <w:r w:rsidR="002A09A4" w:rsidRPr="000526F1">
              <w:rPr>
                <w:rFonts w:eastAsia="Times New Roman" w:cstheme="minorHAnsi"/>
                <w:color w:val="000000"/>
                <w:sz w:val="18"/>
                <w:szCs w:val="18"/>
                <w:lang w:eastAsia="zh-CN"/>
              </w:rPr>
              <w:t xml:space="preserve"> </w:t>
            </w:r>
            <w:r w:rsidR="002A09A4" w:rsidRPr="000526F1">
              <w:rPr>
                <w:rFonts w:eastAsia="Times New Roman" w:cstheme="minorHAnsi"/>
                <w:color w:val="000000"/>
                <w:sz w:val="18"/>
                <w:szCs w:val="18"/>
                <w:lang w:eastAsia="zh-CN"/>
              </w:rPr>
              <w:fldChar w:fldCharType="begin"/>
            </w:r>
            <w:r w:rsidR="002A09A4" w:rsidRPr="000526F1">
              <w:rPr>
                <w:rFonts w:eastAsia="Times New Roman" w:cstheme="minorHAnsi"/>
                <w:color w:val="000000"/>
                <w:sz w:val="18"/>
                <w:szCs w:val="18"/>
                <w:lang w:eastAsia="zh-CN"/>
              </w:rPr>
              <w:instrText xml:space="preserve"> REF _Ref95384068 \h </w:instrText>
            </w:r>
            <w:r w:rsidR="002A09A4">
              <w:rPr>
                <w:rFonts w:eastAsia="Times New Roman" w:cstheme="minorHAnsi"/>
                <w:color w:val="000000"/>
                <w:sz w:val="18"/>
                <w:szCs w:val="18"/>
                <w:lang w:eastAsia="zh-CN"/>
              </w:rPr>
              <w:instrText xml:space="preserve"> \* MERGEFORMAT </w:instrText>
            </w:r>
            <w:r w:rsidR="002A09A4" w:rsidRPr="000526F1">
              <w:rPr>
                <w:rFonts w:eastAsia="Times New Roman" w:cstheme="minorHAnsi"/>
                <w:color w:val="000000"/>
                <w:sz w:val="18"/>
                <w:szCs w:val="18"/>
                <w:lang w:eastAsia="zh-CN"/>
              </w:rPr>
            </w:r>
            <w:r w:rsidR="002A09A4" w:rsidRPr="000526F1">
              <w:rPr>
                <w:rFonts w:eastAsia="Times New Roman" w:cstheme="minorHAnsi"/>
                <w:color w:val="000000"/>
                <w:sz w:val="18"/>
                <w:szCs w:val="18"/>
                <w:lang w:eastAsia="zh-CN"/>
              </w:rPr>
              <w:fldChar w:fldCharType="separate"/>
            </w:r>
            <w:r w:rsidR="008B5583" w:rsidRPr="00C34531">
              <w:rPr>
                <w:sz w:val="20"/>
                <w:szCs w:val="20"/>
              </w:rPr>
              <w:t xml:space="preserve">Table </w:t>
            </w:r>
            <w:r w:rsidR="008B5583" w:rsidRPr="00C34531">
              <w:rPr>
                <w:noProof/>
                <w:sz w:val="20"/>
                <w:szCs w:val="20"/>
              </w:rPr>
              <w:t>67</w:t>
            </w:r>
            <w:r w:rsidR="002A09A4" w:rsidRPr="000526F1">
              <w:rPr>
                <w:rFonts w:eastAsia="Times New Roman" w:cstheme="minorHAnsi"/>
                <w:color w:val="000000"/>
                <w:sz w:val="18"/>
                <w:szCs w:val="18"/>
                <w:lang w:eastAsia="zh-CN"/>
              </w:rPr>
              <w:fldChar w:fldCharType="end"/>
            </w:r>
            <w:r w:rsidRPr="000526F1">
              <w:rPr>
                <w:rFonts w:eastAsia="Times New Roman" w:cstheme="minorHAnsi"/>
                <w:color w:val="000000"/>
                <w:sz w:val="18"/>
                <w:szCs w:val="18"/>
                <w:lang w:eastAsia="zh-CN"/>
              </w:rPr>
              <w:t>)</w:t>
            </w:r>
          </w:p>
        </w:tc>
        <w:tc>
          <w:tcPr>
            <w:tcW w:w="3969" w:type="dxa"/>
          </w:tcPr>
          <w:p w14:paraId="640F15AB" w14:textId="3C15F022" w:rsidR="00BF5EA3" w:rsidRPr="00CF599B" w:rsidRDefault="00BF5EA3" w:rsidP="002265B2">
            <w:pPr>
              <w:rPr>
                <w:rFonts w:eastAsia="Times New Roman" w:cstheme="minorHAnsi"/>
                <w:color w:val="000000"/>
                <w:sz w:val="20"/>
                <w:szCs w:val="20"/>
                <w:lang w:val="fr-FR" w:eastAsia="zh-CN"/>
              </w:rPr>
            </w:pPr>
            <w:r w:rsidRPr="00CF599B">
              <w:rPr>
                <w:rFonts w:eastAsia="Times New Roman" w:cstheme="minorHAnsi"/>
                <w:color w:val="000000"/>
                <w:sz w:val="20"/>
                <w:szCs w:val="20"/>
                <w:lang w:val="fr-FR" w:eastAsia="zh-CN"/>
              </w:rPr>
              <w:t>Curtis et al</w:t>
            </w:r>
            <w:r w:rsidRPr="00CF599B">
              <w:rPr>
                <w:rFonts w:eastAsia="Times New Roman" w:cstheme="minorHAnsi"/>
                <w:color w:val="000000"/>
                <w:sz w:val="20"/>
                <w:szCs w:val="20"/>
                <w:lang w:val="fr-FR" w:eastAsia="zh-CN"/>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Pr>
                <w:rFonts w:eastAsia="Times New Roman" w:cstheme="minorHAnsi"/>
                <w:color w:val="000000"/>
                <w:sz w:val="20"/>
                <w:szCs w:val="20"/>
                <w:lang w:val="fr-FR" w:eastAsia="zh-CN"/>
              </w:rPr>
              <w:instrText xml:space="preserve"> ADDIN EN.CITE </w:instrText>
            </w:r>
            <w:r w:rsidR="00735CC0">
              <w:rPr>
                <w:rFonts w:eastAsia="Times New Roman" w:cstheme="minorHAnsi"/>
                <w:color w:val="000000"/>
                <w:sz w:val="20"/>
                <w:szCs w:val="20"/>
                <w:lang w:val="fr-FR" w:eastAsia="zh-CN"/>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Pr>
                <w:rFonts w:eastAsia="Times New Roman" w:cstheme="minorHAnsi"/>
                <w:color w:val="000000"/>
                <w:sz w:val="20"/>
                <w:szCs w:val="20"/>
                <w:lang w:val="fr-FR" w:eastAsia="zh-CN"/>
              </w:rPr>
              <w:instrText xml:space="preserve"> ADDIN EN.CITE.DATA </w:instrText>
            </w:r>
            <w:r w:rsidR="00735CC0">
              <w:rPr>
                <w:rFonts w:eastAsia="Times New Roman" w:cstheme="minorHAnsi"/>
                <w:color w:val="000000"/>
                <w:sz w:val="20"/>
                <w:szCs w:val="20"/>
                <w:lang w:val="fr-FR" w:eastAsia="zh-CN"/>
              </w:rPr>
            </w:r>
            <w:r w:rsidR="00735CC0">
              <w:rPr>
                <w:rFonts w:eastAsia="Times New Roman" w:cstheme="minorHAnsi"/>
                <w:color w:val="000000"/>
                <w:sz w:val="20"/>
                <w:szCs w:val="20"/>
                <w:lang w:val="fr-FR" w:eastAsia="zh-CN"/>
              </w:rPr>
              <w:fldChar w:fldCharType="end"/>
            </w:r>
            <w:r w:rsidRPr="00CF599B">
              <w:rPr>
                <w:rFonts w:eastAsia="Times New Roman" w:cstheme="minorHAnsi"/>
                <w:color w:val="000000"/>
                <w:sz w:val="20"/>
                <w:szCs w:val="20"/>
                <w:lang w:val="fr-FR" w:eastAsia="zh-CN"/>
              </w:rPr>
            </w:r>
            <w:r w:rsidRPr="00CF599B">
              <w:rPr>
                <w:rFonts w:eastAsia="Times New Roman" w:cstheme="minorHAnsi"/>
                <w:color w:val="000000"/>
                <w:sz w:val="20"/>
                <w:szCs w:val="20"/>
                <w:lang w:val="fr-FR" w:eastAsia="zh-CN"/>
              </w:rPr>
              <w:fldChar w:fldCharType="separate"/>
            </w:r>
            <w:r w:rsidR="00735CC0" w:rsidRPr="00735CC0">
              <w:rPr>
                <w:rFonts w:eastAsia="Times New Roman" w:cstheme="minorHAnsi"/>
                <w:noProof/>
                <w:color w:val="000000"/>
                <w:sz w:val="20"/>
                <w:szCs w:val="20"/>
                <w:vertAlign w:val="superscript"/>
                <w:lang w:val="fr-FR" w:eastAsia="zh-CN"/>
              </w:rPr>
              <w:t>232</w:t>
            </w:r>
            <w:r w:rsidRPr="00CF599B">
              <w:rPr>
                <w:rFonts w:eastAsia="Times New Roman" w:cstheme="minorHAnsi"/>
                <w:color w:val="000000"/>
                <w:sz w:val="20"/>
                <w:szCs w:val="20"/>
                <w:lang w:val="fr-FR" w:eastAsia="zh-CN"/>
              </w:rPr>
              <w:fldChar w:fldCharType="end"/>
            </w:r>
            <w:r w:rsidRPr="00CF599B">
              <w:rPr>
                <w:rFonts w:eastAsia="Times New Roman" w:cstheme="minorHAnsi"/>
                <w:color w:val="000000"/>
                <w:sz w:val="20"/>
                <w:szCs w:val="20"/>
                <w:lang w:val="fr-FR" w:eastAsia="zh-CN"/>
              </w:rPr>
              <w:t>, Leal et al 2016</w:t>
            </w:r>
            <w:r w:rsidRPr="00CF599B">
              <w:rPr>
                <w:rFonts w:eastAsia="Times New Roman" w:cstheme="minorHAnsi"/>
                <w:color w:val="000000"/>
                <w:sz w:val="20"/>
                <w:szCs w:val="20"/>
                <w:lang w:val="fr-FR" w:eastAsia="zh-CN"/>
              </w:rPr>
              <w:fldChar w:fldCharType="begin"/>
            </w:r>
            <w:r w:rsidR="00735CC0">
              <w:rPr>
                <w:rFonts w:eastAsia="Times New Roman" w:cstheme="minorHAnsi"/>
                <w:color w:val="000000"/>
                <w:sz w:val="20"/>
                <w:szCs w:val="20"/>
                <w:lang w:val="fr-FR" w:eastAsia="zh-CN"/>
              </w:rPr>
              <w:instrText xml:space="preserve"> ADDIN EN.CITE &lt;EndNote&gt;&lt;Cite&gt;&lt;Author&gt;Leal&lt;/Author&gt;&lt;Year&gt;2016&lt;/Year&gt;&lt;RecNum&gt;2726&lt;/RecNum&gt;&lt;DisplayText&gt;&lt;style face="superscript"&gt;233&lt;/style&gt;&lt;/DisplayText&gt;&lt;record&gt;&lt;rec-number&gt;35&lt;/rec-number&gt;&lt;foreign-keys&gt;&lt;key app="EN" db-id="w9pwfv0xxa5v9vedxzkp20wvv52efwv0xppv" timestamp="1636614827"&gt;35&lt;/key&gt;&lt;/foreign-keys&gt;&lt;ref-type name="Journal Article"&gt;17&lt;/ref-type&gt;&lt;contributors&gt;&lt;authors&gt;&lt;author&gt;Leal, J.&lt;/author&gt;&lt;author&gt;Gray, A. M.&lt;/author&gt;&lt;author&gt;Prieto-Alhambra, D.&lt;/author&gt;&lt;author&gt;Arden, N. K.&lt;/author&gt;&lt;author&gt;Cooper, C.&lt;/author&gt;&lt;author&gt;Javaid, M. K.&lt;/author&gt;&lt;author&gt;Judge, A.&lt;/author&gt;&lt;author&gt;The, REFReSH study group&lt;/author&gt;&lt;/authors&gt;&lt;/contributors&gt;&lt;titles&gt;&lt;title&gt;Impact of hip fracture on hospital care costs: a population-based study&lt;/title&gt;&lt;secondary-title&gt;Osteoporosis International&lt;/secondary-title&gt;&lt;/titles&gt;&lt;periodical&gt;&lt;full-title&gt;Osteoporosis International&lt;/full-title&gt;&lt;/periodical&gt;&lt;pages&gt;549-558&lt;/pages&gt;&lt;volume&gt;27&lt;/volume&gt;&lt;number&gt;2&lt;/number&gt;&lt;dates&gt;&lt;year&gt;2016&lt;/year&gt;&lt;pub-dates&gt;&lt;date&gt;2016/02/01&lt;/date&gt;&lt;/pub-dates&gt;&lt;/dates&gt;&lt;isbn&gt;1433-2965&lt;/isbn&gt;&lt;urls&gt;&lt;related-urls&gt;&lt;url&gt;https://doi.org/10.1007/s00198-015-3277-9&lt;/url&gt;&lt;/related-urls&gt;&lt;/urls&gt;&lt;electronic-resource-num&gt;10.1007/s00198-015-3277-9&lt;/electronic-resource-num&gt;&lt;/record&gt;&lt;/Cite&gt;&lt;/EndNote&gt;</w:instrText>
            </w:r>
            <w:r w:rsidRPr="00CF599B">
              <w:rPr>
                <w:rFonts w:eastAsia="Times New Roman" w:cstheme="minorHAnsi"/>
                <w:color w:val="000000"/>
                <w:sz w:val="20"/>
                <w:szCs w:val="20"/>
                <w:lang w:val="fr-FR" w:eastAsia="zh-CN"/>
              </w:rPr>
              <w:fldChar w:fldCharType="separate"/>
            </w:r>
            <w:r w:rsidR="00735CC0" w:rsidRPr="00735CC0">
              <w:rPr>
                <w:rFonts w:eastAsia="Times New Roman" w:cstheme="minorHAnsi"/>
                <w:noProof/>
                <w:color w:val="000000"/>
                <w:sz w:val="20"/>
                <w:szCs w:val="20"/>
                <w:vertAlign w:val="superscript"/>
                <w:lang w:val="fr-FR" w:eastAsia="zh-CN"/>
              </w:rPr>
              <w:t>233</w:t>
            </w:r>
            <w:r w:rsidRPr="00CF599B">
              <w:rPr>
                <w:rFonts w:eastAsia="Times New Roman" w:cstheme="minorHAnsi"/>
                <w:color w:val="000000"/>
                <w:sz w:val="20"/>
                <w:szCs w:val="20"/>
                <w:lang w:val="fr-FR" w:eastAsia="zh-CN"/>
              </w:rPr>
              <w:fldChar w:fldCharType="end"/>
            </w:r>
            <w:r w:rsidRPr="00CF599B">
              <w:rPr>
                <w:rFonts w:eastAsia="Times New Roman" w:cstheme="minorHAnsi"/>
                <w:color w:val="000000"/>
                <w:sz w:val="20"/>
                <w:szCs w:val="20"/>
                <w:lang w:val="fr-FR" w:eastAsia="zh-CN"/>
              </w:rPr>
              <w:t>, Dolan and Torgerson 1998</w:t>
            </w:r>
            <w:r w:rsidRPr="00CF599B">
              <w:rPr>
                <w:rFonts w:eastAsia="Times New Roman" w:cstheme="minorHAnsi"/>
                <w:color w:val="000000"/>
                <w:sz w:val="20"/>
                <w:szCs w:val="20"/>
                <w:lang w:eastAsia="zh-CN"/>
              </w:rPr>
              <w:fldChar w:fldCharType="begin"/>
            </w:r>
            <w:r w:rsidR="00735CC0" w:rsidRPr="00C34531">
              <w:rPr>
                <w:rFonts w:eastAsia="Times New Roman" w:cstheme="minorHAnsi"/>
                <w:color w:val="000000"/>
                <w:sz w:val="20"/>
                <w:szCs w:val="20"/>
                <w:lang w:val="fr-FR" w:eastAsia="zh-CN"/>
              </w:rPr>
              <w:instrText xml:space="preserve"> ADDIN EN.CITE &lt;EndNote&gt;&lt;Cite&gt;&lt;Author&gt;Dolan&lt;/Author&gt;&lt;Year&gt;1998&lt;/Year&gt;&lt;RecNum&gt;2727&lt;/RecNum&gt;&lt;DisplayText&gt;&lt;style face="superscript"&gt;234&lt;/style&gt;&lt;/DisplayText&gt;&lt;record&gt;&lt;rec-number&gt;36&lt;/rec-number&gt;&lt;foreign-keys&gt;&lt;key app="EN" db-id="w9pwfv0xxa5v9vedxzkp20wvv52efwv0xppv" timestamp="1636614827"&gt;36&lt;/key&gt;&lt;/foreign-keys&gt;&lt;ref-type name="Journal Article"&gt;17&lt;/ref-type&gt;&lt;contributors&gt;&lt;authors&gt;&lt;author&gt;Dolan, P.&lt;/author&gt;&lt;author&gt;Torgerson, D. J.&lt;/author&gt;&lt;/authors&gt;&lt;/contributors&gt;&lt;titles&gt;&lt;title&gt;The Cost of Treating Osteoporotic Fractures in the United Kingdom Female Population&lt;/title&gt;&lt;secondary-title&gt;Osteoporosis International&lt;/secondary-title&gt;&lt;/titles&gt;&lt;periodical&gt;&lt;full-title&gt;Osteoporosis International&lt;/full-title&gt;&lt;/periodical&gt;&lt;pages&gt;611-617&lt;/pages&gt;&lt;volume&gt;8&lt;/volume&gt;&lt;number&gt;6&lt;/number&gt;&lt;dates&gt;&lt;year&gt;1998&lt;/year&gt;&lt;pub-dates&gt;&lt;date&gt;1998/11/01&lt;/date&gt;&lt;/pub-dates&gt;&lt;/dates&gt;&lt;isbn&gt;1433-2965&lt;/isbn&gt;&lt;urls&gt;&lt;related-urls&gt;&lt;url&gt;https://doi.org/10.1007/s001980050107&lt;/url&gt;&lt;/related-urls&gt;&lt;/urls&gt;&lt;electronic-resource-num&gt;10.1007/s001980050107&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val="fr-FR" w:eastAsia="zh-CN"/>
              </w:rPr>
              <w:t>234</w:t>
            </w:r>
            <w:r w:rsidRPr="00CF599B">
              <w:rPr>
                <w:rFonts w:eastAsia="Times New Roman" w:cstheme="minorHAnsi"/>
                <w:color w:val="000000"/>
                <w:sz w:val="20"/>
                <w:szCs w:val="20"/>
                <w:lang w:eastAsia="zh-CN"/>
              </w:rPr>
              <w:fldChar w:fldCharType="end"/>
            </w:r>
          </w:p>
        </w:tc>
      </w:tr>
      <w:tr w:rsidR="00BF5EA3" w:rsidRPr="00305D05" w14:paraId="261D8FFB" w14:textId="77777777" w:rsidTr="002265B2">
        <w:trPr>
          <w:trHeight w:val="983"/>
        </w:trPr>
        <w:tc>
          <w:tcPr>
            <w:tcW w:w="5240" w:type="dxa"/>
            <w:noWrap/>
          </w:tcPr>
          <w:p w14:paraId="0BE19C63"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Anaemia</w:t>
            </w:r>
          </w:p>
        </w:tc>
        <w:tc>
          <w:tcPr>
            <w:tcW w:w="2410" w:type="dxa"/>
            <w:noWrap/>
          </w:tcPr>
          <w:p w14:paraId="69393A1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 under NHS</w:t>
            </w:r>
          </w:p>
          <w:p w14:paraId="537639B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(£17.89 if counting over-the-counter expenses)</w:t>
            </w:r>
          </w:p>
        </w:tc>
        <w:tc>
          <w:tcPr>
            <w:tcW w:w="2410" w:type="dxa"/>
          </w:tcPr>
          <w:p w14:paraId="799094D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Fixed</w:t>
            </w:r>
          </w:p>
        </w:tc>
        <w:tc>
          <w:tcPr>
            <w:tcW w:w="3969" w:type="dxa"/>
          </w:tcPr>
          <w:p w14:paraId="3AA9FB61" w14:textId="5C5D2FF1"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Cost of over-the-counter iron tablets. Costed as 200mg ferrous sulfate tablet twice a day. 1000 tablet pack - £17.89, BNF 2020</w:t>
            </w:r>
            <w:r w:rsidR="00934858">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&lt;EndNote&gt;&lt;Cite&gt;&lt;Author&gt;BNF&lt;/Author&gt;&lt;Year&gt;2020&lt;/Year&gt;&lt;RecNum&gt;512&lt;/RecNum&gt;&lt;DisplayText&gt;&lt;style face="superscript"&gt;251&lt;/style&gt;&lt;/DisplayText&gt;&lt;record&gt;&lt;rec-number&gt;512&lt;/rec-number&gt;&lt;foreign-keys&gt;&lt;key app="EN" db-id="tdwrx9xd1z9eepeevr355w2k959rv0f5zaax" timestamp="1636620393"&gt;512&lt;/key&gt;&lt;/foreign-keys&gt;&lt;ref-type name="Generic"&gt;13&lt;/ref-type&gt;&lt;contributors&gt;&lt;authors&gt;&lt;author&gt;BNF&lt;/author&gt;&lt;/authors&gt;&lt;secondary-authors&gt;&lt;author&gt;BMJ Group and Pharmaceutical Press&lt;/author&gt;&lt;/secondary-authors&gt;&lt;/contributors&gt;&lt;titles&gt;&lt;title&gt;British National Formulary&lt;/title&gt;&lt;/titles&gt;&lt;dates&gt;&lt;year&gt;2020&lt;/year&gt;&lt;/dates&gt;&lt;pub-location&gt;https://bnf.nice.org.uk/ [last accessed 11/11/2021]&lt;/pub-location&gt;&lt;urls&gt;&lt;/urls&gt;&lt;/record&gt;&lt;/Cite&gt;&lt;/EndNote&gt;</w:instrText>
            </w:r>
            <w:r w:rsidR="00934858">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251</w:t>
            </w:r>
            <w:r w:rsidR="00934858">
              <w:rPr>
                <w:rFonts w:eastAsia="Times New Roman" w:cstheme="minorHAnsi"/>
                <w:color w:val="000000"/>
                <w:sz w:val="20"/>
                <w:szCs w:val="20"/>
                <w:lang w:eastAsia="zh-CN"/>
              </w:rPr>
              <w:fldChar w:fldCharType="end"/>
            </w:r>
          </w:p>
        </w:tc>
      </w:tr>
      <w:tr w:rsidR="00BF5EA3" w:rsidRPr="00305D05" w14:paraId="691D6DA3" w14:textId="77777777" w:rsidTr="002265B2">
        <w:trPr>
          <w:trHeight w:val="292"/>
        </w:trPr>
        <w:tc>
          <w:tcPr>
            <w:tcW w:w="14029" w:type="dxa"/>
            <w:gridSpan w:val="4"/>
            <w:shd w:val="clear" w:color="auto" w:fill="E7E6E6" w:themeFill="background2"/>
            <w:noWrap/>
          </w:tcPr>
          <w:p w14:paraId="57295E8F"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b/>
                <w:bCs/>
                <w:color w:val="000000"/>
                <w:sz w:val="20"/>
                <w:szCs w:val="20"/>
                <w:lang w:eastAsia="zh-CN"/>
              </w:rPr>
              <w:t>Utilities</w:t>
            </w:r>
          </w:p>
        </w:tc>
      </w:tr>
      <w:tr w:rsidR="00BF5EA3" w:rsidRPr="00305D05" w14:paraId="64AF60A9" w14:textId="77777777" w:rsidTr="002265B2">
        <w:trPr>
          <w:trHeight w:val="1114"/>
        </w:trPr>
        <w:tc>
          <w:tcPr>
            <w:tcW w:w="5240" w:type="dxa"/>
            <w:noWrap/>
          </w:tcPr>
          <w:p w14:paraId="2903F051" w14:textId="77777777" w:rsidR="00BF5EA3" w:rsidRPr="00CF599B" w:rsidRDefault="00BF5EA3" w:rsidP="002265B2">
            <w:pPr>
              <w:pStyle w:val="Default"/>
              <w:rPr>
                <w:rFonts w:asciiTheme="minorHAnsi" w:hAnsiTheme="minorHAnsi" w:cstheme="minorHAnsi"/>
                <w:sz w:val="20"/>
                <w:szCs w:val="20"/>
              </w:rPr>
            </w:pPr>
            <w:r w:rsidRPr="00CF599B">
              <w:rPr>
                <w:rFonts w:asciiTheme="minorHAnsi" w:eastAsia="Times New Roman" w:hAnsiTheme="minorHAnsi" w:cstheme="minorHAnsi"/>
                <w:sz w:val="20"/>
                <w:szCs w:val="20"/>
                <w:lang w:eastAsia="zh-CN"/>
              </w:rPr>
              <w:t>Diagnosed CD</w:t>
            </w:r>
          </w:p>
        </w:tc>
        <w:tc>
          <w:tcPr>
            <w:tcW w:w="2410" w:type="dxa"/>
            <w:noWrap/>
          </w:tcPr>
          <w:p w14:paraId="17270EB2"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Whole population – 0.85 (0.84, 0.86)</w:t>
            </w:r>
          </w:p>
          <w:p w14:paraId="506B902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Aged&lt;18 – 0.88</w:t>
            </w:r>
          </w:p>
        </w:tc>
        <w:tc>
          <w:tcPr>
            <w:tcW w:w="2410" w:type="dxa"/>
          </w:tcPr>
          <w:p w14:paraId="498587E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Beta</w:t>
            </w:r>
          </w:p>
        </w:tc>
        <w:tc>
          <w:tcPr>
            <w:tcW w:w="3969" w:type="dxa"/>
          </w:tcPr>
          <w:p w14:paraId="22BA6B34" w14:textId="38D67D4B" w:rsidR="00BF5EA3" w:rsidRPr="00CF599B" w:rsidRDefault="00BF5EA3" w:rsidP="002265B2">
            <w:pPr>
              <w:rPr>
                <w:rFonts w:cstheme="minorHAnsi"/>
                <w:sz w:val="20"/>
                <w:szCs w:val="20"/>
              </w:rPr>
            </w:pPr>
            <w:r w:rsidRPr="00CF599B">
              <w:rPr>
                <w:rFonts w:eastAsia="Times New Roman" w:cstheme="minorHAnsi"/>
                <w:color w:val="000000"/>
                <w:sz w:val="20"/>
                <w:szCs w:val="20"/>
                <w:lang w:eastAsia="zh-CN"/>
              </w:rPr>
              <w:t>Violato et al 2019</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238</w:t>
            </w:r>
            <w:r w:rsidRPr="00CF599B">
              <w:rPr>
                <w:rFonts w:eastAsia="Times New Roman" w:cstheme="minorHAnsi"/>
                <w:color w:val="000000"/>
                <w:sz w:val="20"/>
                <w:szCs w:val="20"/>
                <w:lang w:eastAsia="zh-CN"/>
              </w:rPr>
              <w:fldChar w:fldCharType="end"/>
            </w:r>
          </w:p>
        </w:tc>
      </w:tr>
      <w:tr w:rsidR="00BF5EA3" w:rsidRPr="00305D05" w14:paraId="0E368D3A" w14:textId="77777777" w:rsidTr="002265B2">
        <w:trPr>
          <w:trHeight w:val="292"/>
        </w:trPr>
        <w:tc>
          <w:tcPr>
            <w:tcW w:w="5240" w:type="dxa"/>
            <w:noWrap/>
          </w:tcPr>
          <w:p w14:paraId="371C2B21" w14:textId="77777777" w:rsidR="00BF5EA3" w:rsidRPr="00CF599B" w:rsidRDefault="00BF5EA3" w:rsidP="002265B2">
            <w:pPr>
              <w:pStyle w:val="Default"/>
              <w:rPr>
                <w:rFonts w:asciiTheme="minorHAnsi" w:eastAsia="Times New Roman" w:hAnsiTheme="minorHAnsi" w:cstheme="minorHAnsi"/>
                <w:sz w:val="20"/>
                <w:szCs w:val="20"/>
                <w:lang w:eastAsia="zh-CN"/>
              </w:rPr>
            </w:pPr>
            <w:r w:rsidRPr="00CF599B">
              <w:rPr>
                <w:rFonts w:asciiTheme="minorHAnsi" w:eastAsia="Times New Roman" w:hAnsiTheme="minorHAnsi" w:cstheme="minorHAnsi"/>
                <w:sz w:val="20"/>
                <w:szCs w:val="20"/>
                <w:lang w:eastAsia="zh-CN"/>
              </w:rPr>
              <w:t>Undiagnosed CD</w:t>
            </w:r>
          </w:p>
        </w:tc>
        <w:tc>
          <w:tcPr>
            <w:tcW w:w="2410" w:type="dxa"/>
            <w:noWrap/>
          </w:tcPr>
          <w:p w14:paraId="4EAF74DE" w14:textId="77777777" w:rsidR="00BF5EA3" w:rsidRPr="00CF599B" w:rsidRDefault="00BF5EA3" w:rsidP="002265B2">
            <w:pPr>
              <w:rPr>
                <w:rFonts w:eastAsia="Times New Roman" w:cstheme="minorHAnsi"/>
                <w:sz w:val="20"/>
                <w:szCs w:val="20"/>
                <w:lang w:eastAsia="zh-CN"/>
              </w:rPr>
            </w:pPr>
            <w:r w:rsidRPr="00CF599B">
              <w:rPr>
                <w:rFonts w:eastAsia="Times New Roman" w:cstheme="minorHAnsi"/>
                <w:sz w:val="20"/>
                <w:szCs w:val="20"/>
                <w:lang w:eastAsia="zh-CN"/>
              </w:rPr>
              <w:t xml:space="preserve">Whole population – 0.65 </w:t>
            </w:r>
            <w:r w:rsidRPr="00CF599B">
              <w:rPr>
                <w:rFonts w:cstheme="minorHAnsi"/>
                <w:sz w:val="20"/>
                <w:szCs w:val="20"/>
                <w:shd w:val="clear" w:color="auto" w:fill="FFFFFF"/>
              </w:rPr>
              <w:t>(0.63, 0.67)</w:t>
            </w:r>
          </w:p>
          <w:p w14:paraId="3C23475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sz w:val="20"/>
                <w:szCs w:val="20"/>
                <w:lang w:eastAsia="zh-CN"/>
              </w:rPr>
              <w:t>Aged&lt;18 – 0.57</w:t>
            </w:r>
          </w:p>
        </w:tc>
        <w:tc>
          <w:tcPr>
            <w:tcW w:w="2410" w:type="dxa"/>
          </w:tcPr>
          <w:p w14:paraId="30755EAD"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Beta</w:t>
            </w:r>
          </w:p>
        </w:tc>
        <w:tc>
          <w:tcPr>
            <w:tcW w:w="3969" w:type="dxa"/>
          </w:tcPr>
          <w:p w14:paraId="21BDECEA" w14:textId="77AA9098"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Violato et al 2019</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&lt;EndNote&gt;&lt;Cite&gt;&lt;Author&gt;Violato&lt;/Author&gt;&lt;Year&gt;2019&lt;/Year&gt;&lt;RecNum&gt;2729&lt;/RecNum&gt;&lt;DisplayText&gt;&lt;style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238</w:t>
            </w:r>
            <w:r w:rsidRPr="00CF599B">
              <w:rPr>
                <w:rFonts w:eastAsia="Times New Roman" w:cstheme="minorHAnsi"/>
                <w:color w:val="000000"/>
                <w:sz w:val="20"/>
                <w:szCs w:val="20"/>
                <w:lang w:eastAsia="zh-CN"/>
              </w:rPr>
              <w:fldChar w:fldCharType="end"/>
            </w:r>
          </w:p>
        </w:tc>
      </w:tr>
      <w:tr w:rsidR="00BF5EA3" w:rsidRPr="005E607C" w14:paraId="705C65E5" w14:textId="77777777" w:rsidTr="002265B2">
        <w:trPr>
          <w:trHeight w:val="292"/>
        </w:trPr>
        <w:tc>
          <w:tcPr>
            <w:tcW w:w="5240" w:type="dxa"/>
            <w:noWrap/>
          </w:tcPr>
          <w:p w14:paraId="5DD490BB"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Osteoporosis (annual disutility)</w:t>
            </w:r>
          </w:p>
        </w:tc>
        <w:tc>
          <w:tcPr>
            <w:tcW w:w="2410" w:type="dxa"/>
            <w:noWrap/>
          </w:tcPr>
          <w:p w14:paraId="3EC14BA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0.0008 (SE=0.000067)</w:t>
            </w:r>
          </w:p>
        </w:tc>
        <w:tc>
          <w:tcPr>
            <w:tcW w:w="2410" w:type="dxa"/>
          </w:tcPr>
          <w:p w14:paraId="187FE07F" w14:textId="455E3DA8" w:rsidR="00BF5EA3" w:rsidRPr="00CF599B" w:rsidRDefault="00BF5EA3" w:rsidP="002265B2">
            <w:pPr>
              <w:rPr>
                <w:rFonts w:cstheme="minorHAnsi"/>
                <w:sz w:val="20"/>
                <w:szCs w:val="20"/>
              </w:rPr>
            </w:pPr>
            <w:r w:rsidRPr="00CF599B">
              <w:rPr>
                <w:rFonts w:cstheme="minorHAnsi"/>
                <w:sz w:val="20"/>
                <w:szCs w:val="20"/>
              </w:rPr>
              <w:t>Weighted average of Beta distributions (</w:t>
            </w:r>
            <w:r w:rsidR="002A09A4">
              <w:rPr>
                <w:rFonts w:cstheme="minorHAnsi"/>
                <w:sz w:val="20"/>
                <w:szCs w:val="20"/>
              </w:rPr>
              <w:t xml:space="preserve">Appendix 27 </w:t>
            </w:r>
            <w:r w:rsidR="002A09A4" w:rsidRPr="000526F1">
              <w:rPr>
                <w:rFonts w:cstheme="minorHAnsi"/>
                <w:sz w:val="18"/>
                <w:szCs w:val="18"/>
              </w:rPr>
              <w:fldChar w:fldCharType="begin"/>
            </w:r>
            <w:r w:rsidR="002A09A4" w:rsidRPr="000526F1">
              <w:rPr>
                <w:rFonts w:cstheme="minorHAnsi"/>
                <w:sz w:val="18"/>
                <w:szCs w:val="18"/>
              </w:rPr>
              <w:instrText xml:space="preserve"> REF _Ref95384689 \h </w:instrText>
            </w:r>
            <w:r w:rsidR="002A09A4">
              <w:rPr>
                <w:rFonts w:cstheme="minorHAnsi"/>
                <w:sz w:val="18"/>
                <w:szCs w:val="18"/>
              </w:rPr>
              <w:instrText xml:space="preserve"> \* MERGEFORMAT </w:instrText>
            </w:r>
            <w:r w:rsidR="002A09A4" w:rsidRPr="000526F1">
              <w:rPr>
                <w:rFonts w:cstheme="minorHAnsi"/>
                <w:sz w:val="18"/>
                <w:szCs w:val="18"/>
              </w:rPr>
            </w:r>
            <w:r w:rsidR="002A09A4" w:rsidRPr="000526F1">
              <w:rPr>
                <w:rFonts w:cstheme="minorHAnsi"/>
                <w:sz w:val="18"/>
                <w:szCs w:val="18"/>
              </w:rPr>
              <w:fldChar w:fldCharType="separate"/>
            </w:r>
            <w:r w:rsidR="008B5583" w:rsidRPr="00C34531">
              <w:rPr>
                <w:sz w:val="20"/>
                <w:szCs w:val="20"/>
              </w:rPr>
              <w:t xml:space="preserve">Table </w:t>
            </w:r>
            <w:r w:rsidR="008B5583" w:rsidRPr="00C34531">
              <w:rPr>
                <w:noProof/>
                <w:sz w:val="20"/>
                <w:szCs w:val="20"/>
              </w:rPr>
              <w:t>69</w:t>
            </w:r>
            <w:r w:rsidR="002A09A4" w:rsidRPr="000526F1">
              <w:rPr>
                <w:rFonts w:cstheme="minorHAnsi"/>
                <w:sz w:val="18"/>
                <w:szCs w:val="18"/>
              </w:rPr>
              <w:fldChar w:fldCharType="end"/>
            </w:r>
            <w:r w:rsidRPr="00CF599B">
              <w:rPr>
                <w:rFonts w:cstheme="minorHAnsi"/>
                <w:sz w:val="20"/>
                <w:szCs w:val="20"/>
              </w:rPr>
              <w:t>)</w:t>
            </w:r>
          </w:p>
        </w:tc>
        <w:tc>
          <w:tcPr>
            <w:tcW w:w="3969" w:type="dxa"/>
          </w:tcPr>
          <w:p w14:paraId="7CD41CA8" w14:textId="15B41580" w:rsidR="00BF5EA3" w:rsidRPr="00CF599B" w:rsidRDefault="00BF5EA3" w:rsidP="002265B2">
            <w:pPr>
              <w:rPr>
                <w:rFonts w:cstheme="minorHAnsi"/>
                <w:sz w:val="20"/>
                <w:szCs w:val="20"/>
                <w:lang w:val="fr-FR"/>
              </w:rPr>
            </w:pPr>
            <w:r w:rsidRPr="00CF599B">
              <w:rPr>
                <w:rFonts w:cstheme="minorHAnsi"/>
                <w:sz w:val="20"/>
                <w:szCs w:val="20"/>
                <w:lang w:val="fr-FR"/>
              </w:rPr>
              <w:t>Si et al 2014</w:t>
            </w:r>
            <w:r w:rsidRPr="00CF599B">
              <w:rPr>
                <w:rFonts w:cstheme="minorHAnsi"/>
                <w:sz w:val="20"/>
                <w:szCs w:val="20"/>
              </w:rPr>
              <w:fldChar w:fldCharType="begin"/>
            </w:r>
            <w:r w:rsidR="00735CC0" w:rsidRPr="00C34531">
              <w:rPr>
                <w:rFonts w:cstheme="minorHAnsi"/>
                <w:sz w:val="20"/>
                <w:szCs w:val="20"/>
                <w:lang w:val="fr-FR"/>
              </w:rPr>
              <w:instrText xml:space="preserve"> ADDIN EN.CITE &lt;EndNote&gt;&lt;Cite&gt;&lt;Author&gt;Si&lt;/Author&gt;&lt;Year&gt;2014&lt;/Year&gt;&lt;RecNum&gt;2733&lt;/RecNum&gt;&lt;DisplayText&gt;&lt;style face="superscript"&gt;240&lt;/style&gt;&lt;/DisplayText&gt;&lt;record&gt;&lt;rec-number&gt;41&lt;/rec-number&gt;&lt;foreign-keys&gt;&lt;key app="EN" db-id="w9pwfv0xxa5v9vedxzkp20wvv52efwv0xppv" timestamp="1636614827"&gt;41&lt;/key&gt;&lt;/foreign-keys&gt;&lt;ref-type name="Journal Article"&gt;17&lt;/ref-type&gt;&lt;contributors&gt;&lt;authors&gt;&lt;author&gt;Si, L.&lt;/author&gt;&lt;author&gt;Winzenberg, T. M.&lt;/author&gt;&lt;author&gt;de Graaff, B.&lt;/author&gt;&lt;author&gt;Palmer, A. J.&lt;/author&gt;&lt;/authors&gt;&lt;/contributors&gt;&lt;titles&gt;&lt;title&gt;A systematic review and meta-analysis of utility-based quality of life for osteoporosis-related conditions&lt;/title&gt;&lt;secondary-title&gt;Osteoporosis International&lt;/secondary-title&gt;&lt;/titles&gt;&lt;periodical&gt;&lt;full-title&gt;Osteoporosis International&lt;/full-title&gt;&lt;/periodical&gt;&lt;pages&gt;1987-1997&lt;/pages&gt;&lt;volume&gt;25&lt;/volume&gt;&lt;number&gt;8&lt;/number&gt;&lt;dates&gt;&lt;year&gt;2014&lt;/year&gt;&lt;pub-dates&gt;&lt;date&gt;2014/08/01&lt;/date&gt;&lt;/pub-dates&gt;&lt;/dates&gt;&lt;isbn&gt;1433-2965&lt;/isbn&gt;&lt;urls&gt;&lt;related-urls&gt;&lt;url&gt;https://doi.org/10.1007/s00198-014-2636-2&lt;/url&gt;&lt;/related-urls&gt;&lt;/urls&gt;&lt;electronic-resource-num&gt;10.1007/s00198-014-2636-2&lt;/electronic-resource-num&gt;&lt;/record&gt;&lt;/Cite&gt;&lt;/EndNote&gt;</w:instrText>
            </w:r>
            <w:r w:rsidRPr="00CF599B">
              <w:rPr>
                <w:rFonts w:cstheme="minorHAnsi"/>
                <w:sz w:val="20"/>
                <w:szCs w:val="20"/>
              </w:rPr>
              <w:fldChar w:fldCharType="separate"/>
            </w:r>
            <w:r w:rsidR="00735CC0" w:rsidRPr="00735CC0">
              <w:rPr>
                <w:rFonts w:cstheme="minorHAnsi"/>
                <w:noProof/>
                <w:sz w:val="20"/>
                <w:szCs w:val="20"/>
                <w:vertAlign w:val="superscript"/>
                <w:lang w:val="fr-FR"/>
              </w:rPr>
              <w:t>240</w:t>
            </w:r>
            <w:r w:rsidRPr="00CF599B">
              <w:rPr>
                <w:rFonts w:cstheme="minorHAnsi"/>
                <w:sz w:val="20"/>
                <w:szCs w:val="20"/>
              </w:rPr>
              <w:fldChar w:fldCharType="end"/>
            </w:r>
            <w:r w:rsidRPr="00CF599B">
              <w:rPr>
                <w:rFonts w:cstheme="minorHAnsi"/>
                <w:sz w:val="20"/>
                <w:szCs w:val="20"/>
                <w:lang w:val="fr-FR"/>
              </w:rPr>
              <w:t>, Curtis et al 2016</w:t>
            </w:r>
            <w:r w:rsidRPr="00CF599B">
              <w:rPr>
                <w:rFonts w:cstheme="minorHAnsi"/>
                <w:sz w:val="20"/>
                <w:szCs w:val="20"/>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sidRPr="00C34531">
              <w:rPr>
                <w:rFonts w:cstheme="minorHAnsi"/>
                <w:sz w:val="20"/>
                <w:szCs w:val="20"/>
                <w:lang w:val="fr-FR"/>
              </w:rPr>
              <w:instrText xml:space="preserve"> ADDIN EN.CITE </w:instrText>
            </w:r>
            <w:r w:rsidR="00735CC0">
              <w:rPr>
                <w:rFonts w:cstheme="minorHAnsi"/>
                <w:sz w:val="20"/>
                <w:szCs w:val="20"/>
              </w:rPr>
              <w:fldChar w:fldCharType="begin">
                <w:fldData xml:space="preserve">PEVuZE5vdGU+PENpdGU+PEF1dGhvcj5DdXJ0aXM8L0F1dGhvcj48WWVhcj4yMDE2PC9ZZWFyPjxS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</w:fldData>
              </w:fldChar>
            </w:r>
            <w:r w:rsidR="00735CC0" w:rsidRPr="00C34531">
              <w:rPr>
                <w:rFonts w:cstheme="minorHAnsi"/>
                <w:sz w:val="20"/>
                <w:szCs w:val="20"/>
                <w:lang w:val="fr-FR"/>
              </w:rPr>
              <w:instrText xml:space="preserve"> ADDIN EN.CITE.DATA </w:instrText>
            </w:r>
            <w:r w:rsidR="00735CC0">
              <w:rPr>
                <w:rFonts w:cstheme="minorHAnsi"/>
                <w:sz w:val="20"/>
                <w:szCs w:val="20"/>
              </w:rPr>
            </w:r>
            <w:r w:rsidR="00735CC0">
              <w:rPr>
                <w:rFonts w:cstheme="minorHAnsi"/>
                <w:sz w:val="20"/>
                <w:szCs w:val="20"/>
              </w:rPr>
              <w:fldChar w:fldCharType="end"/>
            </w:r>
            <w:r w:rsidRPr="00CF599B">
              <w:rPr>
                <w:rFonts w:cstheme="minorHAnsi"/>
                <w:sz w:val="20"/>
                <w:szCs w:val="20"/>
              </w:rPr>
            </w:r>
            <w:r w:rsidRPr="00CF599B">
              <w:rPr>
                <w:rFonts w:cstheme="minorHAnsi"/>
                <w:sz w:val="20"/>
                <w:szCs w:val="20"/>
              </w:rPr>
              <w:fldChar w:fldCharType="separate"/>
            </w:r>
            <w:r w:rsidR="00735CC0" w:rsidRPr="00735CC0">
              <w:rPr>
                <w:rFonts w:cstheme="minorHAnsi"/>
                <w:noProof/>
                <w:sz w:val="20"/>
                <w:szCs w:val="20"/>
                <w:vertAlign w:val="superscript"/>
                <w:lang w:val="fr-FR"/>
              </w:rPr>
              <w:t>232</w:t>
            </w:r>
            <w:r w:rsidRPr="00CF599B">
              <w:rPr>
                <w:rFonts w:cstheme="minorHAnsi"/>
                <w:sz w:val="20"/>
                <w:szCs w:val="20"/>
              </w:rPr>
              <w:fldChar w:fldCharType="end"/>
            </w:r>
          </w:p>
        </w:tc>
      </w:tr>
      <w:tr w:rsidR="00BF5EA3" w:rsidRPr="00305D05" w14:paraId="65F91CF1" w14:textId="77777777" w:rsidTr="002265B2">
        <w:trPr>
          <w:trHeight w:val="282"/>
        </w:trPr>
        <w:tc>
          <w:tcPr>
            <w:tcW w:w="5240" w:type="dxa"/>
            <w:noWrap/>
          </w:tcPr>
          <w:p w14:paraId="23BDEE9D"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NHL (annual disutility)</w:t>
            </w:r>
          </w:p>
        </w:tc>
        <w:tc>
          <w:tcPr>
            <w:tcW w:w="2410" w:type="dxa"/>
            <w:noWrap/>
          </w:tcPr>
          <w:p w14:paraId="4877D09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0.086 (0.036 - 0.136)</w:t>
            </w:r>
          </w:p>
        </w:tc>
        <w:tc>
          <w:tcPr>
            <w:tcW w:w="2410" w:type="dxa"/>
          </w:tcPr>
          <w:p w14:paraId="3789ABE9" w14:textId="77777777" w:rsidR="00BF5EA3" w:rsidRPr="00CF599B" w:rsidRDefault="00BF5EA3" w:rsidP="002265B2">
            <w:pPr>
              <w:rPr>
                <w:rFonts w:cstheme="minorHAnsi"/>
                <w:sz w:val="20"/>
                <w:szCs w:val="20"/>
              </w:rPr>
            </w:pPr>
            <w:r w:rsidRPr="00CF599B">
              <w:rPr>
                <w:rFonts w:cstheme="minorHAnsi"/>
                <w:sz w:val="20"/>
                <w:szCs w:val="20"/>
              </w:rPr>
              <w:t xml:space="preserve">Uniform </w:t>
            </w:r>
          </w:p>
        </w:tc>
        <w:tc>
          <w:tcPr>
            <w:tcW w:w="3969" w:type="dxa"/>
          </w:tcPr>
          <w:p w14:paraId="3794E3EF" w14:textId="2077959D" w:rsidR="00BF5EA3" w:rsidRPr="00CF599B" w:rsidRDefault="00BF5EA3" w:rsidP="002265B2">
            <w:pPr>
              <w:rPr>
                <w:rFonts w:cstheme="minorHAnsi"/>
                <w:sz w:val="20"/>
                <w:szCs w:val="20"/>
                <w:lang w:val="fr-FR"/>
              </w:rPr>
            </w:pPr>
            <w:r w:rsidRPr="00CF599B">
              <w:rPr>
                <w:rFonts w:cstheme="minorHAnsi"/>
                <w:sz w:val="20"/>
                <w:szCs w:val="20"/>
                <w:lang w:val="fr-FR"/>
              </w:rPr>
              <w:t>Fargier et al 2018</w:t>
            </w:r>
            <w:r w:rsidRPr="00CF599B">
              <w:rPr>
                <w:rFonts w:cstheme="minorHAnsi"/>
                <w:sz w:val="20"/>
                <w:szCs w:val="20"/>
                <w:lang w:val="fr-FR"/>
              </w:rPr>
              <w:fldChar w:fldCharType="begin"/>
            </w:r>
            <w:r w:rsidR="00735CC0">
              <w:rPr>
                <w:rFonts w:cstheme="minorHAnsi"/>
                <w:sz w:val="20"/>
                <w:szCs w:val="20"/>
                <w:lang w:val="fr-FR"/>
              </w:rPr>
              <w:instrText xml:space="preserve"> ADDIN EN.CITE &lt;EndNote&gt;&lt;Cite&gt;&lt;Author&gt;Janssen&lt;/Author&gt;&lt;Year&gt;2014&lt;/Year&gt;&lt;RecNum&gt;16&lt;/RecNum&gt;&lt;DisplayText&gt;&lt;style face="superscript"&gt;237&lt;/style&gt;&lt;/DisplayText&gt;&lt;record&gt;&lt;rec-number&gt;38&lt;/rec-number&gt;&lt;foreign-keys&gt;&lt;key app="EN" db-id="w9pwfv0xxa5v9vedxzkp20wvv52efwv0xppv" timestamp="1636614827"&gt;38&lt;/key&gt;&lt;/foreign-keys&gt;&lt;ref-type name="Book Section"&gt;5&lt;/ref-type&gt;&lt;contributors&gt;&lt;authors&gt;&lt;author&gt;Janssen, Bas&lt;/author&gt;&lt;author&gt;Szende, Agota&lt;/author&gt;&lt;/authors&gt;&lt;secondary-authors&gt;&lt;author&gt;Szende, Agota&lt;/author&gt;&lt;author&gt;Janssen, Bas&lt;/author&gt;&lt;author&gt;Cabases, Juan&lt;/author&gt;&lt;/secondary-authors&gt;&lt;/contributors&gt;&lt;titles&gt;&lt;title&gt;Population Norms for the EQ-5D&lt;/title&gt;&lt;secondary-title&gt;Self-Reported Population Health: An International Perspective based on EQ-5D&lt;/secondary-title&gt;&lt;/titles&gt;&lt;pages&gt;19-30&lt;/pages&gt;&lt;dates&gt;&lt;year&gt;2014&lt;/year&gt;&lt;pub-dates&gt;&lt;date&gt;2014//&lt;/date&gt;&lt;/pub-dates&gt;&lt;/dates&gt;&lt;pub-location&gt;Dordrecht&lt;/pub-location&gt;&lt;publisher&gt;Springer Netherlands&lt;/publisher&gt;&lt;isbn&gt;978-94-007-7596-1&lt;/isbn&gt;&lt;urls&gt;&lt;related-urls&gt;&lt;url&gt;https://doi.org/10.1007/978-94-007-7596-1_3&lt;/url&gt;&lt;/related-urls&gt;&lt;/urls&gt;&lt;electronic-resource-num&gt;10.1007/978-94-007-7596-1_3&lt;/electronic-resource-num&gt;&lt;/record&gt;&lt;/Cite&gt;&lt;/EndNote&gt;</w:instrText>
            </w:r>
            <w:r w:rsidRPr="00CF599B">
              <w:rPr>
                <w:rFonts w:cstheme="minorHAnsi"/>
                <w:sz w:val="20"/>
                <w:szCs w:val="20"/>
                <w:lang w:val="fr-FR"/>
              </w:rPr>
              <w:fldChar w:fldCharType="separate"/>
            </w:r>
            <w:r w:rsidR="00735CC0" w:rsidRPr="00735CC0">
              <w:rPr>
                <w:rFonts w:cstheme="minorHAnsi"/>
                <w:noProof/>
                <w:sz w:val="20"/>
                <w:szCs w:val="20"/>
                <w:vertAlign w:val="superscript"/>
                <w:lang w:val="fr-FR"/>
              </w:rPr>
              <w:t>237</w:t>
            </w:r>
            <w:r w:rsidRPr="00CF599B">
              <w:rPr>
                <w:rFonts w:cstheme="minorHAnsi"/>
                <w:sz w:val="20"/>
                <w:szCs w:val="20"/>
                <w:lang w:val="fr-FR"/>
              </w:rPr>
              <w:fldChar w:fldCharType="end"/>
            </w:r>
          </w:p>
        </w:tc>
      </w:tr>
      <w:tr w:rsidR="00BF5EA3" w:rsidRPr="00305D05" w14:paraId="741A8047" w14:textId="77777777" w:rsidTr="002265B2">
        <w:trPr>
          <w:trHeight w:val="282"/>
        </w:trPr>
        <w:tc>
          <w:tcPr>
            <w:tcW w:w="5240" w:type="dxa"/>
            <w:noWrap/>
          </w:tcPr>
          <w:p w14:paraId="20D83094"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Disutility associated with biopsy in adults</w:t>
            </w:r>
          </w:p>
        </w:tc>
        <w:tc>
          <w:tcPr>
            <w:tcW w:w="2410" w:type="dxa"/>
            <w:noWrap/>
          </w:tcPr>
          <w:p w14:paraId="20CC6E3E"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-0.003 (-0.005 – 0)</w:t>
            </w:r>
          </w:p>
        </w:tc>
        <w:tc>
          <w:tcPr>
            <w:tcW w:w="2410" w:type="dxa"/>
          </w:tcPr>
          <w:p w14:paraId="5DADF725" w14:textId="77777777" w:rsidR="00BF5EA3" w:rsidRPr="00CF599B" w:rsidRDefault="00BF5EA3" w:rsidP="002265B2">
            <w:pPr>
              <w:rPr>
                <w:rFonts w:cstheme="minorHAnsi"/>
                <w:sz w:val="20"/>
                <w:szCs w:val="20"/>
              </w:rPr>
            </w:pPr>
            <w:r w:rsidRPr="00CF599B">
              <w:rPr>
                <w:rFonts w:cstheme="minorHAnsi"/>
                <w:sz w:val="20"/>
                <w:szCs w:val="20"/>
              </w:rPr>
              <w:t>Triangular</w:t>
            </w:r>
          </w:p>
        </w:tc>
        <w:tc>
          <w:tcPr>
            <w:tcW w:w="3969" w:type="dxa"/>
          </w:tcPr>
          <w:p w14:paraId="75EF303D" w14:textId="4B70284D" w:rsidR="00BF5EA3" w:rsidRPr="00CF599B" w:rsidRDefault="00BF5EA3" w:rsidP="002265B2">
            <w:pPr>
              <w:rPr>
                <w:rFonts w:cstheme="minorHAnsi"/>
                <w:sz w:val="20"/>
                <w:szCs w:val="20"/>
              </w:rPr>
            </w:pPr>
            <w:r w:rsidRPr="00CF599B">
              <w:rPr>
                <w:rFonts w:cstheme="minorHAnsi"/>
                <w:sz w:val="20"/>
                <w:szCs w:val="20"/>
              </w:rPr>
              <w:t>NICE guideline</w:t>
            </w:r>
          </w:p>
        </w:tc>
      </w:tr>
      <w:tr w:rsidR="00BF5EA3" w:rsidRPr="00305D05" w14:paraId="1200B7D3" w14:textId="77777777" w:rsidTr="002265B2">
        <w:trPr>
          <w:trHeight w:val="282"/>
        </w:trPr>
        <w:tc>
          <w:tcPr>
            <w:tcW w:w="5240" w:type="dxa"/>
            <w:noWrap/>
          </w:tcPr>
          <w:p w14:paraId="37B82831"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Disutility associated with biopsy in children</w:t>
            </w:r>
          </w:p>
        </w:tc>
        <w:tc>
          <w:tcPr>
            <w:tcW w:w="2410" w:type="dxa"/>
            <w:noWrap/>
          </w:tcPr>
          <w:p w14:paraId="2EEAB82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-0.006 (-0.010 – 0)</w:t>
            </w:r>
          </w:p>
        </w:tc>
        <w:tc>
          <w:tcPr>
            <w:tcW w:w="2410" w:type="dxa"/>
          </w:tcPr>
          <w:p w14:paraId="7DA71CD5" w14:textId="77777777" w:rsidR="00BF5EA3" w:rsidRPr="00CF599B" w:rsidRDefault="00BF5EA3" w:rsidP="002265B2">
            <w:pPr>
              <w:rPr>
                <w:rFonts w:cstheme="minorHAnsi"/>
                <w:sz w:val="20"/>
                <w:szCs w:val="20"/>
              </w:rPr>
            </w:pPr>
            <w:r w:rsidRPr="00CF599B">
              <w:rPr>
                <w:rFonts w:cstheme="minorHAnsi"/>
                <w:sz w:val="20"/>
                <w:szCs w:val="20"/>
              </w:rPr>
              <w:t>Triangular</w:t>
            </w:r>
          </w:p>
        </w:tc>
        <w:tc>
          <w:tcPr>
            <w:tcW w:w="3969" w:type="dxa"/>
          </w:tcPr>
          <w:p w14:paraId="0F0A1CD4" w14:textId="28C6FCBF" w:rsidR="00BF5EA3" w:rsidRPr="00CF599B" w:rsidRDefault="00BF5EA3" w:rsidP="002265B2">
            <w:pPr>
              <w:rPr>
                <w:rFonts w:cstheme="minorHAnsi"/>
                <w:sz w:val="20"/>
                <w:szCs w:val="20"/>
              </w:rPr>
            </w:pPr>
            <w:r w:rsidRPr="00CF599B">
              <w:rPr>
                <w:rFonts w:cstheme="minorHAnsi"/>
                <w:sz w:val="20"/>
                <w:szCs w:val="20"/>
              </w:rPr>
              <w:t>NICE guideline</w:t>
            </w:r>
          </w:p>
        </w:tc>
      </w:tr>
      <w:tr w:rsidR="00BF5EA3" w:rsidRPr="00305D05" w14:paraId="43743397" w14:textId="77777777" w:rsidTr="002265B2">
        <w:trPr>
          <w:trHeight w:val="282"/>
        </w:trPr>
        <w:tc>
          <w:tcPr>
            <w:tcW w:w="5240" w:type="dxa"/>
            <w:noWrap/>
          </w:tcPr>
          <w:p w14:paraId="4098E614"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Disutility associated with waiting for a biopsy</w:t>
            </w:r>
          </w:p>
        </w:tc>
        <w:tc>
          <w:tcPr>
            <w:tcW w:w="2410" w:type="dxa"/>
            <w:noWrap/>
          </w:tcPr>
          <w:p w14:paraId="44BF7198"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-0.023 with 95% CrI (-0.0232, -0.0227)</w:t>
            </w:r>
          </w:p>
        </w:tc>
        <w:tc>
          <w:tcPr>
            <w:tcW w:w="2410" w:type="dxa"/>
          </w:tcPr>
          <w:p w14:paraId="7F75B65F" w14:textId="77777777" w:rsidR="00BF5EA3" w:rsidRPr="00CF599B" w:rsidRDefault="00BF5EA3" w:rsidP="002265B2">
            <w:pPr>
              <w:rPr>
                <w:rFonts w:cstheme="minorHAnsi"/>
                <w:sz w:val="20"/>
                <w:szCs w:val="20"/>
              </w:rPr>
            </w:pPr>
            <w:r w:rsidRPr="00CF599B">
              <w:rPr>
                <w:rFonts w:cstheme="minorHAnsi"/>
                <w:sz w:val="20"/>
                <w:szCs w:val="20"/>
              </w:rPr>
              <w:t>Combination</w:t>
            </w:r>
          </w:p>
        </w:tc>
        <w:tc>
          <w:tcPr>
            <w:tcW w:w="3969" w:type="dxa"/>
          </w:tcPr>
          <w:p w14:paraId="61E258C4" w14:textId="77777777" w:rsidR="00BF5EA3" w:rsidRPr="00CF599B" w:rsidRDefault="00BF5EA3" w:rsidP="002265B2">
            <w:pPr>
              <w:rPr>
                <w:rFonts w:cstheme="minorHAnsi"/>
                <w:sz w:val="20"/>
                <w:szCs w:val="20"/>
              </w:rPr>
            </w:pPr>
            <w:r w:rsidRPr="00CF599B">
              <w:rPr>
                <w:rFonts w:cstheme="minorHAnsi"/>
                <w:sz w:val="20"/>
                <w:szCs w:val="20"/>
              </w:rPr>
              <w:t xml:space="preserve">Assumed equal to difference between utility diagnosed CD and undiagnosed CD for 6 weeks. </w:t>
            </w:r>
          </w:p>
        </w:tc>
      </w:tr>
      <w:tr w:rsidR="00BF5EA3" w:rsidRPr="00305D05" w14:paraId="62005301" w14:textId="77777777" w:rsidTr="002265B2">
        <w:trPr>
          <w:trHeight w:val="282"/>
        </w:trPr>
        <w:tc>
          <w:tcPr>
            <w:tcW w:w="5240" w:type="dxa"/>
            <w:noWrap/>
          </w:tcPr>
          <w:p w14:paraId="5BEC0045"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Disutility associated with false positive diagnosis</w:t>
            </w:r>
          </w:p>
        </w:tc>
        <w:tc>
          <w:tcPr>
            <w:tcW w:w="2410" w:type="dxa"/>
            <w:noWrap/>
          </w:tcPr>
          <w:p w14:paraId="07D33DC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-0.009 (SE=0.004)</w:t>
            </w:r>
          </w:p>
        </w:tc>
        <w:tc>
          <w:tcPr>
            <w:tcW w:w="2410" w:type="dxa"/>
          </w:tcPr>
          <w:p w14:paraId="4DF66FB5" w14:textId="77777777" w:rsidR="00BF5EA3" w:rsidRPr="00CF599B" w:rsidRDefault="00BF5EA3" w:rsidP="002265B2">
            <w:pPr>
              <w:rPr>
                <w:rFonts w:cstheme="minorHAnsi"/>
                <w:sz w:val="20"/>
                <w:szCs w:val="20"/>
              </w:rPr>
            </w:pPr>
            <w:r w:rsidRPr="00CF599B">
              <w:rPr>
                <w:rFonts w:cstheme="minorHAnsi"/>
                <w:sz w:val="20"/>
                <w:szCs w:val="20"/>
              </w:rPr>
              <w:t xml:space="preserve">Product of Normal with mean -8.3 and SE=3.83, </w:t>
            </w:r>
            <w:r w:rsidRPr="00CF599B">
              <w:rPr>
                <w:rFonts w:cstheme="minorHAnsi"/>
                <w:sz w:val="20"/>
                <w:szCs w:val="20"/>
              </w:rPr>
              <w:lastRenderedPageBreak/>
              <w:t>and Normal with mean 0.0011 and SE=0.0002.</w:t>
            </w:r>
          </w:p>
        </w:tc>
        <w:tc>
          <w:tcPr>
            <w:tcW w:w="3969" w:type="dxa"/>
          </w:tcPr>
          <w:p w14:paraId="0228603A" w14:textId="74DAFF01" w:rsidR="00BF5EA3" w:rsidRPr="00CF599B" w:rsidRDefault="00BF5EA3" w:rsidP="002265B2">
            <w:pPr>
              <w:rPr>
                <w:rFonts w:cstheme="minorHAnsi"/>
                <w:sz w:val="20"/>
                <w:szCs w:val="20"/>
              </w:rPr>
            </w:pPr>
            <w:r w:rsidRPr="00CF599B">
              <w:rPr>
                <w:rFonts w:cstheme="minorHAnsi"/>
                <w:sz w:val="20"/>
                <w:szCs w:val="20"/>
              </w:rPr>
              <w:lastRenderedPageBreak/>
              <w:t>NICE guideline combination of social function and mapping to utility score</w:t>
            </w:r>
          </w:p>
        </w:tc>
      </w:tr>
      <w:tr w:rsidR="00BF5EA3" w:rsidRPr="00305D05" w14:paraId="76B6D9CE" w14:textId="77777777" w:rsidTr="002265B2">
        <w:trPr>
          <w:trHeight w:val="292"/>
        </w:trPr>
        <w:tc>
          <w:tcPr>
            <w:tcW w:w="5240" w:type="dxa"/>
            <w:noWrap/>
          </w:tcPr>
          <w:p w14:paraId="417D4793"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Disutility associated with anaemia</w:t>
            </w:r>
          </w:p>
        </w:tc>
        <w:tc>
          <w:tcPr>
            <w:tcW w:w="2410" w:type="dxa"/>
            <w:noWrap/>
          </w:tcPr>
          <w:p w14:paraId="7E2FA6B1"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0</w:t>
            </w:r>
          </w:p>
        </w:tc>
        <w:tc>
          <w:tcPr>
            <w:tcW w:w="2410" w:type="dxa"/>
          </w:tcPr>
          <w:p w14:paraId="051AE1C5" w14:textId="77777777" w:rsidR="00BF5EA3" w:rsidRPr="00CF599B" w:rsidRDefault="00BF5EA3" w:rsidP="002265B2">
            <w:pPr>
              <w:rPr>
                <w:rFonts w:cstheme="minorHAnsi"/>
                <w:sz w:val="20"/>
                <w:szCs w:val="20"/>
              </w:rPr>
            </w:pPr>
            <w:r w:rsidRPr="00CF599B">
              <w:rPr>
                <w:rFonts w:cstheme="minorHAnsi"/>
                <w:sz w:val="20"/>
                <w:szCs w:val="20"/>
              </w:rPr>
              <w:t>Fixed</w:t>
            </w:r>
          </w:p>
        </w:tc>
        <w:tc>
          <w:tcPr>
            <w:tcW w:w="3969" w:type="dxa"/>
          </w:tcPr>
          <w:p w14:paraId="7353F3A4" w14:textId="77777777" w:rsidR="00BF5EA3" w:rsidRPr="00CF599B" w:rsidRDefault="00BF5EA3" w:rsidP="002265B2">
            <w:pPr>
              <w:rPr>
                <w:rFonts w:cstheme="minorHAnsi"/>
                <w:sz w:val="20"/>
                <w:szCs w:val="20"/>
              </w:rPr>
            </w:pPr>
            <w:r w:rsidRPr="00CF599B">
              <w:rPr>
                <w:rFonts w:cstheme="minorHAnsi"/>
                <w:sz w:val="20"/>
                <w:szCs w:val="20"/>
              </w:rPr>
              <w:t>Assumed already captured in overall health state utility values</w:t>
            </w:r>
          </w:p>
        </w:tc>
      </w:tr>
      <w:tr w:rsidR="00BF5EA3" w:rsidRPr="00305D05" w14:paraId="14965B25" w14:textId="77777777" w:rsidTr="002265B2">
        <w:trPr>
          <w:trHeight w:val="292"/>
        </w:trPr>
        <w:tc>
          <w:tcPr>
            <w:tcW w:w="14029" w:type="dxa"/>
            <w:gridSpan w:val="4"/>
            <w:shd w:val="clear" w:color="auto" w:fill="E7E6E6" w:themeFill="background2"/>
            <w:noWrap/>
          </w:tcPr>
          <w:p w14:paraId="5FCE9E28" w14:textId="77777777" w:rsidR="00BF5EA3" w:rsidRPr="00CF599B" w:rsidRDefault="00BF5EA3" w:rsidP="002265B2">
            <w:pPr>
              <w:rPr>
                <w:rFonts w:cstheme="minorHAnsi"/>
                <w:sz w:val="20"/>
                <w:szCs w:val="20"/>
              </w:rPr>
            </w:pPr>
            <w:r w:rsidRPr="00CF599B">
              <w:rPr>
                <w:rFonts w:eastAsia="Times New Roman" w:cstheme="minorHAnsi"/>
                <w:b/>
                <w:bCs/>
                <w:color w:val="000000"/>
                <w:sz w:val="20"/>
                <w:szCs w:val="20"/>
                <w:lang w:eastAsia="zh-CN"/>
              </w:rPr>
              <w:t>Transition probabilities</w:t>
            </w:r>
          </w:p>
        </w:tc>
      </w:tr>
      <w:tr w:rsidR="00BF5EA3" w:rsidRPr="00305D05" w14:paraId="5D2E9EDC" w14:textId="77777777" w:rsidTr="002265B2">
        <w:trPr>
          <w:trHeight w:val="292"/>
        </w:trPr>
        <w:tc>
          <w:tcPr>
            <w:tcW w:w="5240" w:type="dxa"/>
            <w:noWrap/>
          </w:tcPr>
          <w:p w14:paraId="67336285"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Probability of developing osteoporosis with undiagnosed CD</w:t>
            </w:r>
          </w:p>
        </w:tc>
        <w:tc>
          <w:tcPr>
            <w:tcW w:w="2410" w:type="dxa"/>
            <w:noWrap/>
          </w:tcPr>
          <w:p w14:paraId="39577E7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OR v general population 2.59 (1.32, 5.09) </w:t>
            </w:r>
          </w:p>
          <w:p w14:paraId="6C9BF951" w14:textId="77777777" w:rsidR="00BF5EA3" w:rsidRPr="00CF599B" w:rsidRDefault="00BF5EA3" w:rsidP="002265B2">
            <w:pPr>
              <w:rPr>
                <w:rFonts w:eastAsia="Times New Roman" w:cstheme="minorHAnsi"/>
                <w:color w:val="000000"/>
                <w:sz w:val="20"/>
                <w:szCs w:val="20"/>
                <w:lang w:eastAsia="zh-CN"/>
              </w:rPr>
            </w:pPr>
          </w:p>
          <w:p w14:paraId="36B880F4" w14:textId="10192491"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General population rates in </w:t>
            </w:r>
            <w:r w:rsidRPr="00CF599B">
              <w:rPr>
                <w:rFonts w:eastAsia="Times New Roman" w:cstheme="minorHAnsi"/>
                <w:color w:val="000000"/>
                <w:sz w:val="20"/>
                <w:szCs w:val="20"/>
                <w:lang w:eastAsia="zh-CN"/>
              </w:rPr>
              <w:fldChar w:fldCharType="begin"/>
            </w:r>
            <w:r w:rsidRPr="00CF599B">
              <w:rPr>
                <w:rFonts w:eastAsia="Times New Roman" w:cstheme="minorHAnsi"/>
                <w:color w:val="000000"/>
                <w:sz w:val="20"/>
                <w:szCs w:val="20"/>
                <w:lang w:eastAsia="zh-CN"/>
              </w:rPr>
              <w:instrText xml:space="preserve"> REF _Ref61612039 \h </w:instrText>
            </w:r>
            <w:r w:rsidR="00CF599B">
              <w:rPr>
                <w:rFonts w:eastAsia="Times New Roman" w:cstheme="minorHAnsi"/>
                <w:color w:val="000000"/>
                <w:sz w:val="20"/>
                <w:szCs w:val="20"/>
                <w:lang w:eastAsia="zh-CN"/>
              </w:rPr>
              <w:instrText xml:space="preserve"> \* MERGEFORMAT </w:instrText>
            </w:r>
            <w:r w:rsidRPr="00CF599B">
              <w:rPr>
                <w:rFonts w:eastAsia="Times New Roman" w:cstheme="minorHAnsi"/>
                <w:color w:val="000000"/>
                <w:sz w:val="20"/>
                <w:szCs w:val="20"/>
                <w:lang w:eastAsia="zh-CN"/>
              </w:rPr>
            </w:r>
            <w:r w:rsidRPr="00CF599B">
              <w:rPr>
                <w:rFonts w:eastAsia="Times New Roman" w:cstheme="minorHAnsi"/>
                <w:color w:val="000000"/>
                <w:sz w:val="20"/>
                <w:szCs w:val="20"/>
                <w:lang w:eastAsia="zh-CN"/>
              </w:rPr>
              <w:fldChar w:fldCharType="separate"/>
            </w:r>
            <w:r w:rsidR="008B5583" w:rsidRPr="00C34531">
              <w:rPr>
                <w:rFonts w:cstheme="minorHAnsi"/>
                <w:sz w:val="20"/>
                <w:szCs w:val="20"/>
              </w:rPr>
              <w:t xml:space="preserve">Table </w:t>
            </w:r>
            <w:r w:rsidR="008B5583" w:rsidRPr="00C34531">
              <w:rPr>
                <w:rFonts w:cstheme="minorHAnsi"/>
                <w:noProof/>
                <w:sz w:val="20"/>
                <w:szCs w:val="20"/>
              </w:rPr>
              <w:t>15</w:t>
            </w:r>
            <w:r w:rsidRPr="00CF599B">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t>.</w:t>
            </w:r>
          </w:p>
          <w:p w14:paraId="5F37D31A" w14:textId="77777777" w:rsidR="00BF5EA3" w:rsidRPr="00CF599B" w:rsidRDefault="00BF5EA3" w:rsidP="002265B2">
            <w:pPr>
              <w:rPr>
                <w:rFonts w:eastAsia="Times New Roman" w:cstheme="minorHAnsi"/>
                <w:color w:val="000000"/>
                <w:sz w:val="20"/>
                <w:szCs w:val="20"/>
                <w:lang w:eastAsia="zh-CN"/>
              </w:rPr>
            </w:pPr>
          </w:p>
        </w:tc>
        <w:tc>
          <w:tcPr>
            <w:tcW w:w="2410" w:type="dxa"/>
          </w:tcPr>
          <w:p w14:paraId="7BAA6AB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Lognormal on both OR and general population rate</w:t>
            </w:r>
          </w:p>
        </w:tc>
        <w:tc>
          <w:tcPr>
            <w:tcW w:w="3969" w:type="dxa"/>
          </w:tcPr>
          <w:p w14:paraId="53CC688F" w14:textId="1BE1FA69"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Godfrey et al. (2010) </w:t>
            </w:r>
            <w:r w:rsidRPr="00CF599B">
              <w:rPr>
                <w:rFonts w:cstheme="minorHAnsi"/>
                <w:sz w:val="20"/>
                <w:szCs w:val="20"/>
              </w:rPr>
              <w:fldChar w:fldCharType="begin"/>
            </w:r>
            <w:r w:rsidR="00735CC0">
              <w:rPr>
                <w:rFonts w:cstheme="minorHAnsi"/>
                <w:sz w:val="20"/>
                <w:szCs w:val="20"/>
              </w:rPr>
              <w:instrText xml:space="preserve"> ADDIN EN.CITE &lt;EndNote&gt;&lt;Cite&gt;&lt;Author&gt;Godfrey&lt;/Author&gt;&lt;Year&gt;2010&lt;/Year&gt;&lt;RecNum&gt;2736&lt;/RecNum&gt;&lt;DisplayText&gt;&lt;style face="superscript"&gt;243&lt;/style&gt;&lt;/DisplayText&gt;&lt;record&gt;&lt;rec-number&gt;44&lt;/rec-number&gt;&lt;foreign-keys&gt;&lt;key app="EN" db-id="w9pwfv0xxa5v9vedxzkp20wvv52efwv0xppv" timestamp="1636614827"&gt;44&lt;/key&gt;&lt;/foreign-keys&gt;&lt;ref-type name="Journal Article"&gt;17&lt;/ref-type&gt;&lt;contributors&gt;&lt;authors&gt;&lt;author&gt;Godfrey, Jonathan D.&lt;/author&gt;&lt;author&gt;Brantner, Tricia L.&lt;/author&gt;&lt;author&gt;Brinjikji, Waleed&lt;/author&gt;&lt;author&gt;Christensen, Kevin N.&lt;/author&gt;&lt;author&gt;Brogan, Deanna L.&lt;/author&gt;&lt;author&gt;Van Dyke, Carol T.&lt;/author&gt;&lt;author&gt;Lahr, Brian D.&lt;/author&gt;&lt;author&gt;Larson, Joseph J.&lt;/author&gt;&lt;author&gt;Rubio–Tapia, Alberto&lt;/author&gt;&lt;author&gt;Melton, L. Joseph, III&lt;/author&gt;&lt;author&gt;Zinsmeister, Alan R.&lt;/author&gt;&lt;author&gt;Kyle, Robert A.&lt;/author&gt;&lt;author&gt;Murray, Joseph A.&lt;/author&gt;&lt;/authors&gt;&lt;/contributors&gt;&lt;titles&gt;&lt;title&gt;Morbidity and Mortality Among Older Individuals With Undiagnosed Celiac Disease&lt;/title&gt;&lt;secondary-title&gt;Gastroenterology&lt;/secondary-title&gt;&lt;/titles&gt;&lt;periodical&gt;&lt;full-title&gt;Gastroenterology&lt;/full-title&gt;&lt;/periodical&gt;&lt;pages&gt;763-769&lt;/pages&gt;&lt;volume&gt;139&lt;/volume&gt;&lt;number&gt;3&lt;/number&gt;&lt;dates&gt;&lt;year&gt;2010&lt;/year&gt;&lt;/dates&gt;&lt;publisher&gt;Elsevier&lt;/publisher&gt;&lt;isbn&gt;0016-5085&lt;/isbn&gt;&lt;urls&gt;&lt;related-urls&gt;&lt;url&gt;https://doi.org/10.1053/j.gastro.2010.05.041&lt;/url&gt;&lt;/related-urls&gt;&lt;/urls&gt;&lt;electronic-resource-num&gt;10.1053/j.gastro.2010.05.041&lt;/electronic-resource-num&gt;&lt;access-date&gt;2021/02/23&lt;/access-date&gt;&lt;/record&gt;&lt;/Cite&gt;&lt;/EndNote&gt;</w:instrText>
            </w:r>
            <w:r w:rsidRPr="00CF599B">
              <w:rPr>
                <w:rFonts w:cstheme="minorHAnsi"/>
                <w:sz w:val="20"/>
                <w:szCs w:val="20"/>
              </w:rPr>
              <w:fldChar w:fldCharType="separate"/>
            </w:r>
            <w:r w:rsidR="00735CC0" w:rsidRPr="00735CC0">
              <w:rPr>
                <w:rFonts w:cstheme="minorHAnsi"/>
                <w:noProof/>
                <w:sz w:val="20"/>
                <w:szCs w:val="20"/>
                <w:vertAlign w:val="superscript"/>
              </w:rPr>
              <w:t>243</w:t>
            </w:r>
            <w:r w:rsidRPr="00CF599B">
              <w:rPr>
                <w:rFonts w:cstheme="minorHAnsi"/>
                <w:sz w:val="20"/>
                <w:szCs w:val="20"/>
              </w:rPr>
              <w:fldChar w:fldCharType="end"/>
            </w:r>
            <w:r w:rsidRPr="00CF599B" w:rsidDel="00AB5699">
              <w:rPr>
                <w:rFonts w:eastAsia="Times New Roman" w:cstheme="minorHAnsi"/>
                <w:color w:val="000000"/>
                <w:sz w:val="20"/>
                <w:szCs w:val="20"/>
                <w:lang w:eastAsia="zh-CN"/>
              </w:rPr>
              <w:t xml:space="preserve"> </w:t>
            </w:r>
          </w:p>
          <w:p w14:paraId="63D428D0" w14:textId="77777777" w:rsidR="00BF5EA3" w:rsidRPr="00CF599B" w:rsidRDefault="00BF5EA3" w:rsidP="002265B2">
            <w:pPr>
              <w:rPr>
                <w:rFonts w:cstheme="minorHAnsi"/>
                <w:sz w:val="20"/>
                <w:szCs w:val="20"/>
              </w:rPr>
            </w:pPr>
            <w:r w:rsidRPr="00CF599B">
              <w:rPr>
                <w:rFonts w:eastAsia="Times New Roman" w:cstheme="minorHAnsi"/>
                <w:color w:val="000000"/>
                <w:sz w:val="20"/>
                <w:szCs w:val="20"/>
                <w:lang w:eastAsia="zh-CN"/>
              </w:rPr>
              <w:t xml:space="preserve">CPRD rate for general population </w:t>
            </w:r>
          </w:p>
        </w:tc>
      </w:tr>
      <w:tr w:rsidR="00BF5EA3" w:rsidRPr="00305D05" w14:paraId="761B5CD4" w14:textId="77777777" w:rsidTr="002265B2">
        <w:trPr>
          <w:trHeight w:val="292"/>
        </w:trPr>
        <w:tc>
          <w:tcPr>
            <w:tcW w:w="5240" w:type="dxa"/>
            <w:noWrap/>
          </w:tcPr>
          <w:p w14:paraId="60913BF5"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Probability of developing osteoporosis with diagnosed CD</w:t>
            </w:r>
          </w:p>
        </w:tc>
        <w:tc>
          <w:tcPr>
            <w:tcW w:w="2410" w:type="dxa"/>
            <w:tcBorders>
              <w:bottom w:val="single" w:sz="4" w:space="0" w:color="auto"/>
            </w:tcBorders>
            <w:noWrap/>
          </w:tcPr>
          <w:p w14:paraId="3EB5FE45"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OR v general population 1.40 (1.30, 1.50)</w:t>
            </w:r>
          </w:p>
          <w:p w14:paraId="66E875DB" w14:textId="77777777" w:rsidR="00BF5EA3" w:rsidRPr="00CF599B" w:rsidRDefault="00BF5EA3" w:rsidP="002265B2">
            <w:pPr>
              <w:rPr>
                <w:rFonts w:eastAsia="Times New Roman" w:cstheme="minorHAnsi"/>
                <w:color w:val="000000"/>
                <w:sz w:val="20"/>
                <w:szCs w:val="20"/>
                <w:lang w:eastAsia="zh-CN"/>
              </w:rPr>
            </w:pPr>
          </w:p>
          <w:p w14:paraId="7EFE35C3" w14:textId="229E7F51"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General population rates in </w:t>
            </w:r>
            <w:r w:rsidRPr="00CF599B">
              <w:rPr>
                <w:rFonts w:eastAsia="Times New Roman" w:cstheme="minorHAnsi"/>
                <w:color w:val="000000"/>
                <w:sz w:val="20"/>
                <w:szCs w:val="20"/>
                <w:lang w:eastAsia="zh-CN"/>
              </w:rPr>
              <w:fldChar w:fldCharType="begin"/>
            </w:r>
            <w:r w:rsidRPr="00CF599B">
              <w:rPr>
                <w:rFonts w:eastAsia="Times New Roman" w:cstheme="minorHAnsi"/>
                <w:color w:val="000000"/>
                <w:sz w:val="20"/>
                <w:szCs w:val="20"/>
                <w:lang w:eastAsia="zh-CN"/>
              </w:rPr>
              <w:instrText xml:space="preserve"> REF _Ref61612039 \h </w:instrText>
            </w:r>
            <w:r w:rsidR="00CF599B">
              <w:rPr>
                <w:rFonts w:eastAsia="Times New Roman" w:cstheme="minorHAnsi"/>
                <w:color w:val="000000"/>
                <w:sz w:val="20"/>
                <w:szCs w:val="20"/>
                <w:lang w:eastAsia="zh-CN"/>
              </w:rPr>
              <w:instrText xml:space="preserve"> \* MERGEFORMAT </w:instrText>
            </w:r>
            <w:r w:rsidRPr="00CF599B">
              <w:rPr>
                <w:rFonts w:eastAsia="Times New Roman" w:cstheme="minorHAnsi"/>
                <w:color w:val="000000"/>
                <w:sz w:val="20"/>
                <w:szCs w:val="20"/>
                <w:lang w:eastAsia="zh-CN"/>
              </w:rPr>
            </w:r>
            <w:r w:rsidRPr="00CF599B">
              <w:rPr>
                <w:rFonts w:eastAsia="Times New Roman" w:cstheme="minorHAnsi"/>
                <w:color w:val="000000"/>
                <w:sz w:val="20"/>
                <w:szCs w:val="20"/>
                <w:lang w:eastAsia="zh-CN"/>
              </w:rPr>
              <w:fldChar w:fldCharType="separate"/>
            </w:r>
            <w:r w:rsidR="008B5583" w:rsidRPr="00C34531">
              <w:rPr>
                <w:rFonts w:cstheme="minorHAnsi"/>
                <w:sz w:val="20"/>
                <w:szCs w:val="20"/>
              </w:rPr>
              <w:t xml:space="preserve">Table </w:t>
            </w:r>
            <w:r w:rsidR="008B5583" w:rsidRPr="00C34531">
              <w:rPr>
                <w:rFonts w:cstheme="minorHAnsi"/>
                <w:noProof/>
                <w:sz w:val="20"/>
                <w:szCs w:val="20"/>
              </w:rPr>
              <w:t>15</w:t>
            </w:r>
            <w:r w:rsidRPr="00CF599B">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t>.</w:t>
            </w:r>
          </w:p>
          <w:p w14:paraId="7961668F" w14:textId="77777777" w:rsidR="00BF5EA3" w:rsidRPr="00CF599B" w:rsidRDefault="00BF5EA3" w:rsidP="002265B2">
            <w:pPr>
              <w:rPr>
                <w:rFonts w:eastAsia="Times New Roman" w:cstheme="minorHAnsi"/>
                <w:color w:val="000000"/>
                <w:sz w:val="20"/>
                <w:szCs w:val="20"/>
                <w:lang w:eastAsia="zh-CN"/>
              </w:rPr>
            </w:pPr>
          </w:p>
        </w:tc>
        <w:tc>
          <w:tcPr>
            <w:tcW w:w="2410" w:type="dxa"/>
            <w:tcBorders>
              <w:bottom w:val="single" w:sz="4" w:space="0" w:color="auto"/>
            </w:tcBorders>
          </w:tcPr>
          <w:p w14:paraId="28A86B5F"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Lognormal on both OR and general population rate</w:t>
            </w:r>
          </w:p>
        </w:tc>
        <w:tc>
          <w:tcPr>
            <w:tcW w:w="3969" w:type="dxa"/>
            <w:tcBorders>
              <w:bottom w:val="single" w:sz="4" w:space="0" w:color="auto"/>
            </w:tcBorders>
          </w:tcPr>
          <w:p w14:paraId="602BD2E2" w14:textId="0379664A"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Ludvigsson et al. (2007)</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&lt;EndNote&gt;&lt;Cite&gt;&lt;Author&gt;Ludvigsson&lt;/Author&gt;&lt;Year&gt;2007&lt;/Year&gt;&lt;RecNum&gt;2735&lt;/RecNum&gt;&lt;DisplayText&gt;&lt;style face="superscript"&gt;242&lt;/style&gt;&lt;/DisplayText&gt;&lt;record&gt;&lt;rec-number&gt;43&lt;/rec-number&gt;&lt;foreign-keys&gt;&lt;key app="EN" db-id="w9pwfv0xxa5v9vedxzkp20wvv52efwv0xppv" timestamp="1636614827"&gt;43&lt;/key&gt;&lt;/foreign-keys&gt;&lt;ref-type name="Journal Article"&gt;17&lt;/ref-type&gt;&lt;contributors&gt;&lt;authors&gt;&lt;author&gt;Ludvigsson, J. F.&lt;/author&gt;&lt;author&gt;Michaelsson, K.&lt;/author&gt;&lt;author&gt;Ekbom, A.&lt;/author&gt;&lt;author&gt;Montgomery, S. M.&lt;/author&gt;&lt;/authors&gt;&lt;/contributors&gt;&lt;auth-address&gt;Department of Paediatrics, Orebro University Hospital, Orebro, Sweden. jonasludvigsson@yahoo.com&lt;/auth-address&gt;&lt;titles&gt;&lt;title&gt;Coeliac disease and the risk of fractures - a general population-based cohort study&lt;/title&gt;&lt;secondary-title&gt;Aliment Pharmacol Ther&lt;/secondary-title&gt;&lt;/titles&gt;&lt;periodical&gt;&lt;full-title&gt;Aliment Pharmacol Ther&lt;/full-title&gt;&lt;/periodical&gt;&lt;pages&gt;273-85&lt;/pages&gt;&lt;volume&gt;25&lt;/volume&gt;&lt;number&gt;3&lt;/number&gt;&lt;edition&gt;2007/02/03&lt;/edition&gt;&lt;keywords&gt;&lt;keyword&gt;Adolescent&lt;/keyword&gt;&lt;keyword&gt;Adult&lt;/keyword&gt;&lt;keyword&gt;Aged&lt;/keyword&gt;&lt;keyword&gt;Aged, 80 and over&lt;/keyword&gt;&lt;keyword&gt;Celiac Disease/*complications&lt;/keyword&gt;&lt;keyword&gt;Child&lt;/keyword&gt;&lt;keyword&gt;Child, Preschool&lt;/keyword&gt;&lt;keyword&gt;Cohort Studies&lt;/keyword&gt;&lt;keyword&gt;Female&lt;/keyword&gt;&lt;keyword&gt;Fractures, Bone/*etiology&lt;/keyword&gt;&lt;keyword&gt;Humans&lt;/keyword&gt;&lt;keyword&gt;Infant&lt;/keyword&gt;&lt;keyword&gt;Infant, Newborn&lt;/keyword&gt;&lt;keyword&gt;Male&lt;/keyword&gt;&lt;keyword&gt;Middle Aged&lt;/keyword&gt;&lt;keyword&gt;Risk Factors&lt;/keyword&gt;&lt;keyword&gt;Sweden/epidemiology&lt;/keyword&gt;&lt;/keywords&gt;&lt;dates&gt;&lt;year&gt;2007&lt;/year&gt;&lt;pub-dates&gt;&lt;date&gt;Feb 1&lt;/date&gt;&lt;/pub-dates&gt;&lt;/dates&gt;&lt;isbn&gt;0269-2813 (Print)&amp;#xD;0269-2813&lt;/isbn&gt;&lt;accession-num&gt;17269989&lt;/accession-num&gt;&lt;urls&gt;&lt;/urls&gt;&lt;electronic-resource-num&gt;10.1111/j.1365-2036.2006.03203.x&lt;/electronic-resource-num&gt;&lt;remote-database-provider&gt;NLM&lt;/remote-database-provider&gt;&lt;language&gt;eng&lt;/language&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242</w:t>
            </w:r>
            <w:r w:rsidRPr="00CF599B">
              <w:rPr>
                <w:rFonts w:eastAsia="Times New Roman" w:cstheme="minorHAnsi"/>
                <w:color w:val="000000"/>
                <w:sz w:val="20"/>
                <w:szCs w:val="20"/>
                <w:lang w:eastAsia="zh-CN"/>
              </w:rPr>
              <w:fldChar w:fldCharType="end"/>
            </w:r>
          </w:p>
          <w:p w14:paraId="0C460ADC"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CPRD rate for general population</w:t>
            </w:r>
          </w:p>
        </w:tc>
      </w:tr>
      <w:tr w:rsidR="00BF5EA3" w:rsidRPr="00305D05" w14:paraId="1BBB6C14" w14:textId="77777777" w:rsidTr="002265B2">
        <w:trPr>
          <w:trHeight w:val="292"/>
        </w:trPr>
        <w:tc>
          <w:tcPr>
            <w:tcW w:w="5240" w:type="dxa"/>
            <w:noWrap/>
          </w:tcPr>
          <w:p w14:paraId="12C53917"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Probability of developing NHL with undiagnosed CD</w:t>
            </w:r>
          </w:p>
        </w:tc>
        <w:tc>
          <w:tcPr>
            <w:tcW w:w="2410" w:type="dxa"/>
            <w:noWrap/>
          </w:tcPr>
          <w:p w14:paraId="332BD570"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Incidence ratio v general population 4.7 (2.9, 7.3)</w:t>
            </w:r>
          </w:p>
          <w:p w14:paraId="33A7F85D" w14:textId="77777777" w:rsidR="00BF5EA3" w:rsidRPr="00CF599B" w:rsidRDefault="00BF5EA3" w:rsidP="002265B2">
            <w:pPr>
              <w:rPr>
                <w:rFonts w:cstheme="minorHAnsi"/>
                <w:color w:val="000000"/>
                <w:sz w:val="20"/>
                <w:szCs w:val="20"/>
              </w:rPr>
            </w:pPr>
          </w:p>
          <w:p w14:paraId="4DEFD6FC" w14:textId="177E3576"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General population rates in </w:t>
            </w:r>
            <w:r w:rsidRPr="00CF599B">
              <w:rPr>
                <w:rFonts w:eastAsia="Times New Roman" w:cstheme="minorHAnsi"/>
                <w:color w:val="000000"/>
                <w:sz w:val="20"/>
                <w:szCs w:val="20"/>
                <w:lang w:eastAsia="zh-CN"/>
              </w:rPr>
              <w:fldChar w:fldCharType="begin"/>
            </w:r>
            <w:r w:rsidRPr="00CF599B">
              <w:rPr>
                <w:rFonts w:eastAsia="Times New Roman" w:cstheme="minorHAnsi"/>
                <w:color w:val="000000"/>
                <w:sz w:val="20"/>
                <w:szCs w:val="20"/>
                <w:lang w:eastAsia="zh-CN"/>
              </w:rPr>
              <w:instrText xml:space="preserve"> REF _Ref61612039 \h  \* MERGEFORMAT </w:instrText>
            </w:r>
            <w:r w:rsidRPr="00CF599B">
              <w:rPr>
                <w:rFonts w:eastAsia="Times New Roman" w:cstheme="minorHAnsi"/>
                <w:color w:val="000000"/>
                <w:sz w:val="20"/>
                <w:szCs w:val="20"/>
                <w:lang w:eastAsia="zh-CN"/>
              </w:rPr>
            </w:r>
            <w:r w:rsidRPr="00CF599B">
              <w:rPr>
                <w:rFonts w:eastAsia="Times New Roman" w:cstheme="minorHAnsi"/>
                <w:color w:val="000000"/>
                <w:sz w:val="20"/>
                <w:szCs w:val="20"/>
                <w:lang w:eastAsia="zh-CN"/>
              </w:rPr>
              <w:fldChar w:fldCharType="separate"/>
            </w:r>
            <w:r w:rsidR="008B5583" w:rsidRPr="00C34531">
              <w:rPr>
                <w:rFonts w:cstheme="minorHAnsi"/>
                <w:sz w:val="20"/>
                <w:szCs w:val="20"/>
              </w:rPr>
              <w:t xml:space="preserve">Table </w:t>
            </w:r>
            <w:r w:rsidR="008B5583" w:rsidRPr="00C34531">
              <w:rPr>
                <w:rFonts w:cstheme="minorHAnsi"/>
                <w:noProof/>
                <w:sz w:val="20"/>
                <w:szCs w:val="20"/>
              </w:rPr>
              <w:t>15</w:t>
            </w:r>
            <w:r w:rsidRPr="00CF599B">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t xml:space="preserve">, </w:t>
            </w:r>
            <w:r w:rsidR="00127055">
              <w:rPr>
                <w:rFonts w:eastAsia="Times New Roman" w:cstheme="minorHAnsi"/>
                <w:color w:val="000000"/>
                <w:sz w:val="20"/>
                <w:szCs w:val="20"/>
                <w:lang w:eastAsia="zh-CN"/>
              </w:rPr>
              <w:t>Supplementary Tables</w:t>
            </w:r>
            <w:r w:rsidR="00884C7C">
              <w:rPr>
                <w:rFonts w:eastAsia="Times New Roman" w:cstheme="minorHAnsi"/>
                <w:color w:val="000000"/>
                <w:sz w:val="20"/>
                <w:szCs w:val="20"/>
                <w:lang w:eastAsia="zh-CN"/>
              </w:rPr>
              <w:t xml:space="preserve"> </w:t>
            </w:r>
            <w:r w:rsidR="00127055">
              <w:rPr>
                <w:rFonts w:eastAsia="Times New Roman" w:cstheme="minorHAnsi"/>
                <w:color w:val="000000"/>
                <w:sz w:val="20"/>
                <w:szCs w:val="20"/>
                <w:lang w:eastAsia="zh-CN"/>
              </w:rPr>
              <w:t>S14, S15</w:t>
            </w:r>
            <w:r w:rsidR="00884C7C">
              <w:rPr>
                <w:rFonts w:eastAsia="Times New Roman" w:cstheme="minorHAnsi"/>
                <w:color w:val="000000"/>
                <w:sz w:val="20"/>
                <w:szCs w:val="20"/>
                <w:lang w:eastAsia="zh-CN"/>
              </w:rPr>
              <w:t>, S16</w:t>
            </w:r>
            <w:r w:rsidR="00127055">
              <w:rPr>
                <w:rFonts w:eastAsia="Times New Roman" w:cstheme="minorHAnsi"/>
                <w:color w:val="000000"/>
                <w:sz w:val="20"/>
                <w:szCs w:val="20"/>
                <w:lang w:eastAsia="zh-CN"/>
              </w:rPr>
              <w:t>.</w:t>
            </w:r>
          </w:p>
        </w:tc>
        <w:tc>
          <w:tcPr>
            <w:tcW w:w="2410" w:type="dxa"/>
          </w:tcPr>
          <w:p w14:paraId="05175B2A"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Lognormal on both OR and general population rate</w:t>
            </w:r>
          </w:p>
        </w:tc>
        <w:tc>
          <w:tcPr>
            <w:tcW w:w="3969" w:type="dxa"/>
          </w:tcPr>
          <w:p w14:paraId="6C111706" w14:textId="6E96F956"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Silano et al 2007</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&lt;EndNote&gt;&lt;Cite&gt;&lt;Author&gt;Silano&lt;/Author&gt;&lt;Year&gt;2007&lt;/Year&gt;&lt;RecNum&gt;2737&lt;/RecNum&gt;&lt;DisplayText&gt;&lt;style face="superscript"&gt;244&lt;/style&gt;&lt;/DisplayText&gt;&lt;record&gt;&lt;rec-number&gt;45&lt;/rec-number&gt;&lt;foreign-keys&gt;&lt;key app="EN" db-id="w9pwfv0xxa5v9vedxzkp20wvv52efwv0xppv" timestamp="1636614827"&gt;45&lt;/key&gt;&lt;/foreign-keys&gt;&lt;ref-type name="Journal Article"&gt;17&lt;/ref-type&gt;&lt;contributors&gt;&lt;authors&gt;&lt;author&gt;Silano, Marco&lt;/author&gt;&lt;author&gt;Volta, Umberto&lt;/author&gt;&lt;author&gt;Mecchia, Anna Maria&lt;/author&gt;&lt;author&gt;Dessì, Mariarita&lt;/author&gt;&lt;author&gt;Di Benedetto, Rita&lt;/author&gt;&lt;author&gt;De Vincenzi, Massimo&lt;/author&gt;&lt;author&gt;Collaborating centers of the Italian registry of the complications of coeliac, disease&lt;/author&gt;&lt;/authors&gt;&lt;/contributors&gt;&lt;titles&gt;&lt;title&gt;Delayed diagnosis of coeliac disease increases cancer risk&lt;/title&gt;&lt;secondary-title&gt;BMC gastroenterology&lt;/secondary-title&gt;&lt;alt-title&gt;BMC Gastroenterol&lt;/alt-title&gt;&lt;/titles&gt;&lt;periodical&gt;&lt;full-title&gt;BMC Gastroenterology&lt;/full-title&gt;&lt;/periodical&gt;&lt;pages&gt;8-8&lt;/pages&gt;&lt;volume&gt;7&lt;/volume&gt;&lt;keywords&gt;&lt;keyword&gt;Adult&lt;/keyword&gt;&lt;keyword&gt;Age Factors&lt;/keyword&gt;&lt;keyword&gt;Celiac Disease/complications/*diagnosis&lt;/keyword&gt;&lt;keyword&gt;Female&lt;/keyword&gt;&lt;keyword&gt;Humans&lt;/keyword&gt;&lt;keyword&gt;Male&lt;/keyword&gt;&lt;keyword&gt;Middle Aged&lt;/keyword&gt;&lt;keyword&gt;Neoplasms/*etiology&lt;/keyword&gt;&lt;keyword&gt;Registries&lt;/keyword&gt;&lt;keyword&gt;Risk&lt;/keyword&gt;&lt;keyword&gt;Time Factors&lt;/keyword&gt;&lt;/keywords&gt;&lt;dates&gt;&lt;year&gt;2007&lt;/year&gt;&lt;/dates&gt;&lt;publisher&gt;BioMed Central&lt;/publisher&gt;&lt;isbn&gt;1471-230X&lt;/isbn&gt;&lt;accession-num&gt;17349035&lt;/accession-num&gt;&lt;urls&gt;&lt;related-urls&gt;&lt;url&gt;https://pubmed.ncbi.nlm.nih.gov/17349035&lt;/url&gt;&lt;url&gt;https://www.ncbi.nlm.nih.gov/pmc/articles/PMC2140155/&lt;/url&gt;&lt;/related-urls&gt;&lt;/urls&gt;&lt;electronic-resource-num&gt;10.1186/1471-230X-7-8&lt;/electronic-resource-num&gt;&lt;remote-database-name&gt;PubMed&lt;/remote-database-name&gt;&lt;language&gt;eng&lt;/language&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244</w:t>
            </w:r>
            <w:r w:rsidRPr="00CF599B">
              <w:rPr>
                <w:rFonts w:eastAsia="Times New Roman" w:cstheme="minorHAnsi"/>
                <w:color w:val="000000"/>
                <w:sz w:val="20"/>
                <w:szCs w:val="20"/>
                <w:lang w:eastAsia="zh-CN"/>
              </w:rPr>
              <w:fldChar w:fldCharType="end"/>
            </w:r>
          </w:p>
          <w:p w14:paraId="66AD26EE"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CPRD rate for general population </w:t>
            </w:r>
          </w:p>
        </w:tc>
      </w:tr>
      <w:tr w:rsidR="00BF5EA3" w:rsidRPr="00305D05" w14:paraId="1185D027" w14:textId="77777777" w:rsidTr="002265B2">
        <w:trPr>
          <w:trHeight w:val="292"/>
        </w:trPr>
        <w:tc>
          <w:tcPr>
            <w:tcW w:w="5240" w:type="dxa"/>
            <w:noWrap/>
          </w:tcPr>
          <w:p w14:paraId="002DF929"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Probability of developing NHL with diagnosed CD</w:t>
            </w:r>
          </w:p>
        </w:tc>
        <w:tc>
          <w:tcPr>
            <w:tcW w:w="2410" w:type="dxa"/>
            <w:tcBorders>
              <w:top w:val="single" w:sz="4" w:space="0" w:color="auto"/>
            </w:tcBorders>
            <w:noWrap/>
          </w:tcPr>
          <w:p w14:paraId="7EBC4EB7"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 xml:space="preserve">Incidence ratio v general population 3.28 (1.49, 6.28). </w:t>
            </w:r>
          </w:p>
          <w:p w14:paraId="1924C4DC" w14:textId="77777777" w:rsidR="00BF5EA3" w:rsidRPr="00CF599B" w:rsidRDefault="00BF5EA3" w:rsidP="002265B2">
            <w:pPr>
              <w:rPr>
                <w:rFonts w:cstheme="minorHAnsi"/>
                <w:color w:val="000000"/>
                <w:sz w:val="20"/>
                <w:szCs w:val="20"/>
              </w:rPr>
            </w:pPr>
          </w:p>
          <w:p w14:paraId="32A0EFE2" w14:textId="24523CD6" w:rsidR="00BF5EA3" w:rsidRPr="00CF599B" w:rsidRDefault="00BF5EA3" w:rsidP="002265B2">
            <w:pPr>
              <w:rPr>
                <w:rFonts w:cstheme="minorHAnsi"/>
                <w:color w:val="000000"/>
                <w:sz w:val="20"/>
                <w:szCs w:val="20"/>
              </w:rPr>
            </w:pPr>
            <w:r w:rsidRPr="00CF599B">
              <w:rPr>
                <w:rFonts w:eastAsia="Times New Roman" w:cstheme="minorHAnsi"/>
                <w:color w:val="000000"/>
                <w:sz w:val="20"/>
                <w:szCs w:val="20"/>
                <w:lang w:eastAsia="zh-CN"/>
              </w:rPr>
              <w:t xml:space="preserve">General population rates in </w:t>
            </w:r>
            <w:r w:rsidRPr="00CF599B">
              <w:rPr>
                <w:rFonts w:eastAsia="Times New Roman" w:cstheme="minorHAnsi"/>
                <w:color w:val="000000"/>
                <w:sz w:val="20"/>
                <w:szCs w:val="20"/>
                <w:lang w:eastAsia="zh-CN"/>
              </w:rPr>
              <w:fldChar w:fldCharType="begin"/>
            </w:r>
            <w:r w:rsidRPr="00CF599B">
              <w:rPr>
                <w:rFonts w:eastAsia="Times New Roman" w:cstheme="minorHAnsi"/>
                <w:color w:val="000000"/>
                <w:sz w:val="20"/>
                <w:szCs w:val="20"/>
                <w:lang w:eastAsia="zh-CN"/>
              </w:rPr>
              <w:instrText xml:space="preserve"> REF _Ref61612039 \h </w:instrText>
            </w:r>
            <w:r w:rsidR="00CF599B">
              <w:rPr>
                <w:rFonts w:eastAsia="Times New Roman" w:cstheme="minorHAnsi"/>
                <w:color w:val="000000"/>
                <w:sz w:val="20"/>
                <w:szCs w:val="20"/>
                <w:lang w:eastAsia="zh-CN"/>
              </w:rPr>
              <w:instrText xml:space="preserve"> \* MERGEFORMAT </w:instrText>
            </w:r>
            <w:r w:rsidRPr="00CF599B">
              <w:rPr>
                <w:rFonts w:eastAsia="Times New Roman" w:cstheme="minorHAnsi"/>
                <w:color w:val="000000"/>
                <w:sz w:val="20"/>
                <w:szCs w:val="20"/>
                <w:lang w:eastAsia="zh-CN"/>
              </w:rPr>
            </w:r>
            <w:r w:rsidRPr="00CF599B">
              <w:rPr>
                <w:rFonts w:eastAsia="Times New Roman" w:cstheme="minorHAnsi"/>
                <w:color w:val="000000"/>
                <w:sz w:val="20"/>
                <w:szCs w:val="20"/>
                <w:lang w:eastAsia="zh-CN"/>
              </w:rPr>
              <w:fldChar w:fldCharType="separate"/>
            </w:r>
            <w:r w:rsidR="008B5583" w:rsidRPr="00C34531">
              <w:rPr>
                <w:rFonts w:cstheme="minorHAnsi"/>
                <w:sz w:val="20"/>
                <w:szCs w:val="20"/>
              </w:rPr>
              <w:t xml:space="preserve">Table </w:t>
            </w:r>
            <w:r w:rsidR="008B5583" w:rsidRPr="00C34531">
              <w:rPr>
                <w:rFonts w:cstheme="minorHAnsi"/>
                <w:noProof/>
                <w:sz w:val="20"/>
                <w:szCs w:val="20"/>
              </w:rPr>
              <w:t>15</w:t>
            </w:r>
            <w:r w:rsidRPr="00CF599B">
              <w:rPr>
                <w:rFonts w:eastAsia="Times New Roman" w:cstheme="minorHAnsi"/>
                <w:color w:val="000000"/>
                <w:sz w:val="20"/>
                <w:szCs w:val="20"/>
                <w:lang w:eastAsia="zh-CN"/>
              </w:rPr>
              <w:fldChar w:fldCharType="end"/>
            </w:r>
            <w:r w:rsidRPr="00CF599B">
              <w:rPr>
                <w:rFonts w:eastAsia="Times New Roman" w:cstheme="minorHAnsi"/>
                <w:color w:val="000000"/>
                <w:sz w:val="20"/>
                <w:szCs w:val="20"/>
                <w:lang w:eastAsia="zh-CN"/>
              </w:rPr>
              <w:t>.</w:t>
            </w:r>
          </w:p>
        </w:tc>
        <w:tc>
          <w:tcPr>
            <w:tcW w:w="2410" w:type="dxa"/>
            <w:tcBorders>
              <w:top w:val="single" w:sz="4" w:space="0" w:color="auto"/>
            </w:tcBorders>
          </w:tcPr>
          <w:p w14:paraId="631F8146"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Lognormal on both OR and general population rate</w:t>
            </w:r>
          </w:p>
        </w:tc>
        <w:tc>
          <w:tcPr>
            <w:tcW w:w="3969" w:type="dxa"/>
            <w:tcBorders>
              <w:top w:val="single" w:sz="4" w:space="0" w:color="auto"/>
            </w:tcBorders>
          </w:tcPr>
          <w:p w14:paraId="4AAF41E8" w14:textId="5BDC49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Goldacre et al 2008</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&lt;EndNote&gt;&lt;Cite&gt;&lt;Author&gt;Goldacre&lt;/Author&gt;&lt;Year&gt;2008&lt;/Year&gt;&lt;RecNum&gt;2741&lt;/RecNum&gt;&lt;DisplayText&gt;&lt;style face="superscript"&gt;245&lt;/style&gt;&lt;/DisplayText&gt;&lt;record&gt;&lt;rec-number&gt;53&lt;/rec-number&gt;&lt;foreign-keys&gt;&lt;key app="EN" db-id="w9pwfv0xxa5v9vedxzkp20wvv52efwv0xppv" timestamp="1636614828"&gt;53&lt;/key&gt;&lt;/foreign-keys&gt;&lt;ref-type name="Journal Article"&gt;17&lt;/ref-type&gt;&lt;contributors&gt;&lt;authors&gt;&lt;author&gt;Goldacre, Michael J.&lt;/author&gt;&lt;author&gt;Wotton, Clare J.&lt;/author&gt;&lt;author&gt;Yeates, David&lt;/author&gt;&lt;author&gt;Seagroatt, Valerie&lt;/author&gt;&lt;author&gt;Jewell, Derek&lt;/author&gt;&lt;/authors&gt;&lt;/contributors&gt;&lt;titles&gt;&lt;title&gt;Cancer in patients with ulcerative colitis, Crohn&amp;apos;s disease and coeliac disease: record linkage study&lt;/title&gt;&lt;secondary-title&gt;European Journal of Gastroenterology &amp;amp; Hepatology&lt;/secondary-title&gt;&lt;/titles&gt;&lt;periodical&gt;&lt;full-title&gt;European Journal of Gastroenterology &amp;amp; Hepatology&lt;/full-title&gt;&lt;/periodical&gt;&lt;volume&gt;20&lt;/volume&gt;&lt;number&gt;4&lt;/number&gt;&lt;keywords&gt;&lt;keyword&gt;cancer&lt;/keyword&gt;&lt;keyword&gt;coeliac disease&lt;/keyword&gt;&lt;keyword&gt;Crohn&amp;apos;s disease&lt;/keyword&gt;&lt;keyword&gt;inflammatory bowel disease&lt;/keyword&gt;&lt;keyword&gt;record linkage&lt;/keyword&gt;&lt;keyword&gt;ulcerative colitis&lt;/keyword&gt;&lt;/keywords&gt;&lt;dates&gt;&lt;year&gt;2008&lt;/year&gt;&lt;/dates&gt;&lt;isbn&gt;0954-691X&lt;/isbn&gt;&lt;urls&gt;&lt;related-urls&gt;&lt;url&gt;https://journals.lww.com/eurojgh/Fulltext/2008/04000/Cancer_in_patients_with_ulcerative_colitis,.9.aspx&lt;/url&gt;&lt;/related-urls&gt;&lt;/urls&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245</w:t>
            </w:r>
            <w:r w:rsidRPr="00CF599B">
              <w:rPr>
                <w:rFonts w:eastAsia="Times New Roman" w:cstheme="minorHAnsi"/>
                <w:color w:val="000000"/>
                <w:sz w:val="20"/>
                <w:szCs w:val="20"/>
                <w:lang w:eastAsia="zh-CN"/>
              </w:rPr>
              <w:fldChar w:fldCharType="end"/>
            </w:r>
          </w:p>
          <w:p w14:paraId="40803534"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CPRD rate for general population</w:t>
            </w:r>
          </w:p>
        </w:tc>
      </w:tr>
      <w:tr w:rsidR="00BF5EA3" w:rsidRPr="00305D05" w14:paraId="1815B213" w14:textId="77777777" w:rsidTr="002265B2">
        <w:trPr>
          <w:trHeight w:val="292"/>
        </w:trPr>
        <w:tc>
          <w:tcPr>
            <w:tcW w:w="5240" w:type="dxa"/>
            <w:noWrap/>
          </w:tcPr>
          <w:p w14:paraId="558F2DDA"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t>Mortality probability from osteoporosis</w:t>
            </w:r>
          </w:p>
        </w:tc>
        <w:tc>
          <w:tcPr>
            <w:tcW w:w="2410" w:type="dxa"/>
            <w:noWrap/>
          </w:tcPr>
          <w:p w14:paraId="70DEDB2F"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HR 3.5 (95% CI: 3.28–3.74) for male hip fracture patients than controls and 2.4 (95% CI: 2.31–2.50) for females</w:t>
            </w:r>
          </w:p>
        </w:tc>
        <w:tc>
          <w:tcPr>
            <w:tcW w:w="2410" w:type="dxa"/>
          </w:tcPr>
          <w:p w14:paraId="308B95DB"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Normal distributions on log hazard ratios</w:t>
            </w:r>
          </w:p>
        </w:tc>
        <w:tc>
          <w:tcPr>
            <w:tcW w:w="3969" w:type="dxa"/>
          </w:tcPr>
          <w:p w14:paraId="7600CF18" w14:textId="6CA0B6D5" w:rsidR="00BF5EA3" w:rsidRPr="00CF599B" w:rsidRDefault="00BF5EA3" w:rsidP="002265B2">
            <w:pPr>
              <w:rPr>
                <w:rFonts w:eastAsia="Times New Roman" w:cstheme="minorHAnsi"/>
                <w:color w:val="000000"/>
                <w:sz w:val="20"/>
                <w:szCs w:val="20"/>
                <w:lang w:val="fr-FR" w:eastAsia="zh-CN"/>
              </w:rPr>
            </w:pPr>
            <w:r w:rsidRPr="00CF599B">
              <w:rPr>
                <w:rFonts w:eastAsia="Times New Roman" w:cstheme="minorHAnsi"/>
                <w:color w:val="000000"/>
                <w:sz w:val="20"/>
                <w:szCs w:val="20"/>
                <w:lang w:val="fr-FR" w:eastAsia="zh-CN"/>
              </w:rPr>
              <w:t>Klop et al 2014</w:t>
            </w:r>
            <w:r w:rsidRPr="00CF599B">
              <w:rPr>
                <w:rFonts w:eastAsia="Times New Roman" w:cstheme="minorHAnsi"/>
                <w:color w:val="000000"/>
                <w:sz w:val="20"/>
                <w:szCs w:val="20"/>
                <w:lang w:eastAsia="zh-CN"/>
              </w:rPr>
              <w:fldChar w:fldCharType="begin"/>
            </w:r>
            <w:r w:rsidR="00735CC0">
              <w:rPr>
                <w:rFonts w:eastAsia="Times New Roman" w:cstheme="minorHAnsi"/>
                <w:color w:val="000000"/>
                <w:sz w:val="20"/>
                <w:szCs w:val="20"/>
                <w:lang w:eastAsia="zh-CN"/>
              </w:rPr>
              <w:instrText xml:space="preserve"> ADDIN EN.CITE &lt;EndNote&gt;&lt;Cite&gt;&lt;Author&gt;Klop&lt;/Author&gt;&lt;Year&gt;2014&lt;/Year&gt;&lt;RecNum&gt;2739&lt;/RecNum&gt;&lt;DisplayText&gt;&lt;style face="superscript"&gt;250&lt;/style&gt;&lt;/DisplayText&gt;&lt;record&gt;&lt;rec-number&gt;50&lt;/rec-number&gt;&lt;foreign-keys&gt;&lt;key app="EN" db-id="w9pwfv0xxa5v9vedxzkp20wvv52efwv0xppv" timestamp="1636614827"&gt;50&lt;/key&gt;&lt;/foreign-keys&gt;&lt;ref-type name="Journal Article"&gt;17&lt;/ref-type&gt;&lt;contributors&gt;&lt;authors&gt;&lt;author&gt;Klop, Corinne&lt;/author&gt;&lt;author&gt;Welsing, Paco M. J.&lt;/author&gt;&lt;author&gt;Cooper, Cyrus&lt;/author&gt;&lt;author&gt;Harvey, Nicholas C.&lt;/author&gt;&lt;author&gt;Elders, Petra J. M.&lt;/author&gt;&lt;author&gt;Bijlsma, Johannes W. J.&lt;/author&gt;&lt;author&gt;Leufkens, Hubert G. M.&lt;/author&gt;&lt;author&gt;de Vries, Frank&lt;/author&gt;&lt;/authors&gt;&lt;/contributors&gt;&lt;titles&gt;&lt;title&gt;Mortality in British hip fracture patients, 2000–2010: A population-based retrospective cohort study&lt;/title&gt;&lt;secondary-title&gt;Bone&lt;/secondary-title&gt;&lt;/titles&gt;&lt;periodical&gt;&lt;full-title&gt;Bone&lt;/full-title&gt;&lt;/periodical&gt;&lt;pages&gt;171-177&lt;/pages&gt;&lt;volume&gt;66&lt;/volume&gt;&lt;keywords&gt;&lt;keyword&gt;Osteoporosis&lt;/keyword&gt;&lt;keyword&gt;Osteoporotic fracture&lt;/keyword&gt;&lt;keyword&gt;Hip fracture&lt;/keyword&gt;&lt;keyword&gt;Mortality&lt;/keyword&gt;&lt;keyword&gt;Epidemiology&lt;/keyword&gt;&lt;/keywords&gt;&lt;dates&gt;&lt;year&gt;2014&lt;/year&gt;&lt;pub-dates&gt;&lt;date&gt;2014/09/01/&lt;/date&gt;&lt;/pub-dates&gt;&lt;/dates&gt;&lt;isbn&gt;8756-3282&lt;/isbn&gt;&lt;urls&gt;&lt;related-urls&gt;&lt;url&gt;http://www.sciencedirect.com/science/article/pii/S8756328214002208&lt;/url&gt;&lt;/related-urls&gt;&lt;/urls&gt;&lt;electronic-resource-num&gt;https://doi.org/10.1016/j.bone.2014.06.011&lt;/electronic-resource-num&gt;&lt;/record&gt;&lt;/Cite&gt;&lt;/EndNote&gt;</w:instrText>
            </w:r>
            <w:r w:rsidRPr="00CF599B">
              <w:rPr>
                <w:rFonts w:eastAsia="Times New Roman" w:cstheme="minorHAnsi"/>
                <w:color w:val="000000"/>
                <w:sz w:val="20"/>
                <w:szCs w:val="20"/>
                <w:lang w:eastAsia="zh-CN"/>
              </w:rPr>
              <w:fldChar w:fldCharType="separate"/>
            </w:r>
            <w:r w:rsidR="00735CC0" w:rsidRPr="00735CC0">
              <w:rPr>
                <w:rFonts w:eastAsia="Times New Roman" w:cstheme="minorHAnsi"/>
                <w:noProof/>
                <w:color w:val="000000"/>
                <w:sz w:val="20"/>
                <w:szCs w:val="20"/>
                <w:vertAlign w:val="superscript"/>
                <w:lang w:eastAsia="zh-CN"/>
              </w:rPr>
              <w:t>250</w:t>
            </w:r>
            <w:r w:rsidRPr="00CF599B">
              <w:rPr>
                <w:rFonts w:eastAsia="Times New Roman" w:cstheme="minorHAnsi"/>
                <w:color w:val="000000"/>
                <w:sz w:val="20"/>
                <w:szCs w:val="20"/>
                <w:lang w:eastAsia="zh-CN"/>
              </w:rPr>
              <w:fldChar w:fldCharType="end"/>
            </w:r>
            <w:r w:rsidRPr="00CF599B" w:rsidDel="00AB5699">
              <w:rPr>
                <w:rFonts w:eastAsia="Times New Roman" w:cstheme="minorHAnsi"/>
                <w:color w:val="000000"/>
                <w:sz w:val="20"/>
                <w:szCs w:val="20"/>
                <w:lang w:val="fr-FR" w:eastAsia="zh-CN"/>
              </w:rPr>
              <w:t xml:space="preserve"> </w:t>
            </w:r>
          </w:p>
        </w:tc>
      </w:tr>
      <w:tr w:rsidR="00BF5EA3" w:rsidRPr="00305D05" w14:paraId="2D277261" w14:textId="77777777" w:rsidTr="002265B2">
        <w:trPr>
          <w:trHeight w:val="292"/>
        </w:trPr>
        <w:tc>
          <w:tcPr>
            <w:tcW w:w="5240" w:type="dxa"/>
            <w:noWrap/>
          </w:tcPr>
          <w:p w14:paraId="135D3B2D" w14:textId="77777777" w:rsidR="00BF5EA3" w:rsidRPr="00CF599B" w:rsidRDefault="00BF5EA3" w:rsidP="002265B2">
            <w:pPr>
              <w:pStyle w:val="Default"/>
              <w:rPr>
                <w:rFonts w:asciiTheme="minorHAnsi" w:hAnsiTheme="minorHAnsi" w:cstheme="minorHAnsi"/>
                <w:sz w:val="20"/>
                <w:szCs w:val="20"/>
              </w:rPr>
            </w:pPr>
            <w:r w:rsidRPr="00CF599B">
              <w:rPr>
                <w:rFonts w:asciiTheme="minorHAnsi" w:hAnsiTheme="minorHAnsi" w:cstheme="minorHAnsi"/>
                <w:sz w:val="20"/>
                <w:szCs w:val="20"/>
              </w:rPr>
              <w:lastRenderedPageBreak/>
              <w:t>Mortality probability from NHL</w:t>
            </w:r>
          </w:p>
        </w:tc>
        <w:tc>
          <w:tcPr>
            <w:tcW w:w="2410" w:type="dxa"/>
            <w:noWrap/>
          </w:tcPr>
          <w:p w14:paraId="7AB3F0A1" w14:textId="77777777" w:rsidR="00BF5EA3" w:rsidRPr="00CF599B" w:rsidRDefault="00BF5EA3" w:rsidP="002265B2">
            <w:pPr>
              <w:rPr>
                <w:rFonts w:eastAsia="Times New Roman" w:cstheme="minorHAnsi"/>
                <w:color w:val="000000"/>
                <w:sz w:val="20"/>
                <w:szCs w:val="20"/>
                <w:lang w:eastAsia="zh-CN"/>
              </w:rPr>
            </w:pPr>
            <w:r w:rsidRPr="00CF599B">
              <w:rPr>
                <w:rFonts w:eastAsia="Times New Roman" w:cstheme="minorHAnsi"/>
                <w:color w:val="000000"/>
                <w:sz w:val="20"/>
                <w:szCs w:val="20"/>
                <w:lang w:eastAsia="zh-CN"/>
              </w:rPr>
              <w:t>Log hazard 2.092 (sd = 0.006378)</w:t>
            </w:r>
          </w:p>
        </w:tc>
        <w:tc>
          <w:tcPr>
            <w:tcW w:w="2410" w:type="dxa"/>
          </w:tcPr>
          <w:p w14:paraId="64235509" w14:textId="77777777" w:rsidR="00BF5EA3" w:rsidRPr="00CF599B" w:rsidRDefault="00BF5EA3" w:rsidP="002265B2">
            <w:pPr>
              <w:rPr>
                <w:rFonts w:eastAsia="Times New Roman" w:cstheme="minorHAnsi"/>
                <w:color w:val="000000"/>
                <w:sz w:val="20"/>
                <w:szCs w:val="20"/>
                <w:lang w:val="fr-FR" w:eastAsia="zh-CN"/>
              </w:rPr>
            </w:pPr>
            <w:r w:rsidRPr="00CF599B">
              <w:rPr>
                <w:rFonts w:eastAsia="Times New Roman" w:cstheme="minorHAnsi"/>
                <w:color w:val="000000"/>
                <w:sz w:val="20"/>
                <w:szCs w:val="20"/>
                <w:lang w:val="fr-FR" w:eastAsia="zh-CN"/>
              </w:rPr>
              <w:t>Normal</w:t>
            </w:r>
          </w:p>
        </w:tc>
        <w:tc>
          <w:tcPr>
            <w:tcW w:w="3969" w:type="dxa"/>
          </w:tcPr>
          <w:p w14:paraId="3A82208C" w14:textId="00C7A309" w:rsidR="00BF5EA3" w:rsidRPr="00CF599B" w:rsidRDefault="00BF5EA3" w:rsidP="002265B2">
            <w:pPr>
              <w:rPr>
                <w:rFonts w:eastAsia="Times New Roman" w:cstheme="minorHAnsi"/>
                <w:color w:val="000000"/>
                <w:sz w:val="20"/>
                <w:szCs w:val="20"/>
                <w:lang w:val="fr-FR" w:eastAsia="zh-CN"/>
              </w:rPr>
            </w:pPr>
            <w:r w:rsidRPr="00CF599B">
              <w:rPr>
                <w:rFonts w:eastAsia="Times New Roman" w:cstheme="minorHAnsi"/>
                <w:color w:val="000000"/>
                <w:sz w:val="20"/>
                <w:szCs w:val="20"/>
                <w:lang w:eastAsia="zh-CN"/>
              </w:rPr>
              <w:t>ONS 2018</w:t>
            </w:r>
            <w:r w:rsidRPr="00CF599B">
              <w:rPr>
                <w:rFonts w:cstheme="minorHAnsi"/>
                <w:sz w:val="20"/>
                <w:szCs w:val="20"/>
                <w:lang w:eastAsia="zh-CN"/>
              </w:rPr>
              <w:t>.</w:t>
            </w:r>
            <w:r w:rsidRPr="00CF599B">
              <w:rPr>
                <w:rFonts w:cstheme="minorHAnsi"/>
                <w:sz w:val="20"/>
                <w:szCs w:val="20"/>
                <w:lang w:eastAsia="zh-CN"/>
              </w:rPr>
              <w:fldChar w:fldCharType="begin"/>
            </w:r>
            <w:r w:rsidR="00735CC0">
              <w:rPr>
                <w:rFonts w:cstheme="minorHAnsi"/>
                <w:sz w:val="20"/>
                <w:szCs w:val="20"/>
                <w:lang w:eastAsia="zh-CN"/>
              </w:rPr>
              <w:instrText xml:space="preserve"> ADDIN EN.CITE &lt;EndNote&gt;&lt;Cite&gt;&lt;Author&gt;ONS&lt;/Author&gt;&lt;Year&gt;2018&lt;/Year&gt;&lt;RecNum&gt;2738&lt;/RecNum&gt;&lt;DisplayText&gt;&lt;style face="superscript"&gt;248&lt;/style&gt;&lt;/DisplayText&gt;&lt;record&gt;&lt;rec-number&gt;48&lt;/rec-number&gt;&lt;foreign-keys&gt;&lt;key app="EN" db-id="w9pwfv0xxa5v9vedxzkp20wvv52efwv0xppv" timestamp="1636614827"&gt;48&lt;/key&gt;&lt;/foreign-keys&gt;&lt;ref-type name="Journal Article"&gt;17&lt;/ref-type&gt;&lt;contributors&gt;&lt;authors&gt;&lt;author&gt;ONS &lt;/author&gt;&lt;/authors&gt;&lt;/contributors&gt;&lt;titles&gt;&lt;title&gt;Cancer Survival in England: adults diagnosed between 2013 and 2017 and followed up to 2018&lt;/title&gt;&lt;/titles&gt;&lt;dates&gt;&lt;year&gt;2018&lt;/year&gt;&lt;/dates&gt;&lt;urls&gt;&lt;/urls&gt;&lt;/record&gt;&lt;/Cite&gt;&lt;/EndNote&gt;</w:instrText>
            </w:r>
            <w:r w:rsidRPr="00CF599B">
              <w:rPr>
                <w:rFonts w:cstheme="minorHAnsi"/>
                <w:sz w:val="20"/>
                <w:szCs w:val="20"/>
                <w:lang w:eastAsia="zh-CN"/>
              </w:rPr>
              <w:fldChar w:fldCharType="separate"/>
            </w:r>
            <w:r w:rsidR="00735CC0" w:rsidRPr="00735CC0">
              <w:rPr>
                <w:rFonts w:cstheme="minorHAnsi"/>
                <w:noProof/>
                <w:sz w:val="20"/>
                <w:szCs w:val="20"/>
                <w:vertAlign w:val="superscript"/>
                <w:lang w:eastAsia="zh-CN"/>
              </w:rPr>
              <w:t>248</w:t>
            </w:r>
            <w:r w:rsidRPr="00CF599B">
              <w:rPr>
                <w:rFonts w:cstheme="minorHAnsi"/>
                <w:sz w:val="20"/>
                <w:szCs w:val="20"/>
                <w:lang w:eastAsia="zh-CN"/>
              </w:rPr>
              <w:fldChar w:fldCharType="end"/>
            </w:r>
          </w:p>
        </w:tc>
      </w:tr>
    </w:tbl>
    <w:p w14:paraId="5D5BACB5" w14:textId="77777777" w:rsidR="00BF5EA3" w:rsidRPr="00305D05" w:rsidRDefault="00BF5EA3" w:rsidP="00A57828">
      <w:pPr>
        <w:pStyle w:val="Heading1"/>
        <w:sectPr w:rsidR="00BF5EA3" w:rsidRPr="00305D05" w:rsidSect="002265B2">
          <w:headerReference w:type="first" r:id="rId39"/>
          <w:pgSz w:w="16838" w:h="11906" w:orient="landscape"/>
          <w:pgMar w:top="1440" w:right="1440" w:bottom="1440" w:left="1440" w:header="709" w:footer="709" w:gutter="0"/>
          <w:cols w:space="708"/>
          <w:titlePg/>
          <w:docGrid w:linePitch="360"/>
        </w:sectPr>
      </w:pPr>
    </w:p>
    <w:p w14:paraId="20FD81CF" w14:textId="77777777" w:rsidR="00BF5EA3" w:rsidRPr="00305D05" w:rsidRDefault="00BF5EA3" w:rsidP="003C258B">
      <w:pPr>
        <w:pStyle w:val="Heading3"/>
        <w:rPr>
          <w:lang w:eastAsia="ko-KR"/>
        </w:rPr>
      </w:pPr>
      <w:bookmarkStart w:id="276" w:name="_Toc87507193"/>
      <w:bookmarkStart w:id="277" w:name="_Toc99539901"/>
      <w:r>
        <w:rPr>
          <w:lang w:eastAsia="ko-KR"/>
        </w:rPr>
        <w:lastRenderedPageBreak/>
        <w:t>Analyses</w:t>
      </w:r>
      <w:bookmarkEnd w:id="276"/>
      <w:bookmarkEnd w:id="277"/>
    </w:p>
    <w:p w14:paraId="3869A4D0" w14:textId="77777777" w:rsidR="00BF5EA3" w:rsidRPr="00305D05" w:rsidRDefault="00BF5EA3" w:rsidP="003C258B">
      <w:pPr>
        <w:pStyle w:val="Heading4"/>
        <w:rPr>
          <w:lang w:eastAsia="ko-KR"/>
        </w:rPr>
      </w:pPr>
      <w:bookmarkStart w:id="278" w:name="_Toc87507194"/>
      <w:r w:rsidRPr="00305D05">
        <w:rPr>
          <w:lang w:eastAsia="ko-KR"/>
        </w:rPr>
        <w:t>Cost-benefit analysis to identify optimal screening strategy</w:t>
      </w:r>
      <w:bookmarkEnd w:id="278"/>
    </w:p>
    <w:p w14:paraId="47E48565" w14:textId="20F0E447" w:rsidR="00BF5EA3" w:rsidRDefault="00BF5EA3" w:rsidP="00BF5EA3">
      <w:pPr>
        <w:spacing w:line="276" w:lineRule="auto"/>
        <w:rPr>
          <w:rFonts w:cstheme="minorHAnsi"/>
          <w:lang w:eastAsia="ko-KR"/>
        </w:rPr>
      </w:pPr>
      <w:r w:rsidRPr="00C815FD">
        <w:rPr>
          <w:rFonts w:cstheme="minorHAnsi"/>
          <w:lang w:eastAsia="ko-KR"/>
        </w:rPr>
        <w:t xml:space="preserve">The objective of the model </w:t>
      </w:r>
      <w:r>
        <w:rPr>
          <w:rFonts w:cstheme="minorHAnsi"/>
          <w:lang w:eastAsia="ko-KR"/>
        </w:rPr>
        <w:t>was</w:t>
      </w:r>
      <w:r w:rsidRPr="00C815FD">
        <w:rPr>
          <w:rFonts w:cstheme="minorHAnsi"/>
          <w:lang w:eastAsia="ko-KR"/>
        </w:rPr>
        <w:t xml:space="preserve"> to calculate the expected costs and health outcomes over a patient’s lifetime for all screening strategies. Risk prediction strategies with sensitivity and specificities combinations of 0.5, 0.6, 0.7, 0.8, 0.9 and 1.0 were explored followed by serological testing alone</w:t>
      </w:r>
      <w:r>
        <w:rPr>
          <w:rFonts w:cstheme="minorHAnsi"/>
          <w:lang w:eastAsia="ko-KR"/>
        </w:rPr>
        <w:t xml:space="preserve"> (IgA tTG alone, IgA tTG plus IgA EMA, and IgA EMA alone)</w:t>
      </w:r>
      <w:r w:rsidRPr="00C815FD">
        <w:rPr>
          <w:rFonts w:cstheme="minorHAnsi"/>
          <w:lang w:eastAsia="ko-KR"/>
        </w:rPr>
        <w:t>, combination of serological testing with genetic testing</w:t>
      </w:r>
      <w:r>
        <w:rPr>
          <w:rFonts w:cstheme="minorHAnsi"/>
          <w:lang w:eastAsia="ko-KR"/>
        </w:rPr>
        <w:t xml:space="preserve"> (HLA before or after the three serological testing strategies, with double testing only in those with 90% post-test probability after the first test) </w:t>
      </w:r>
      <w:r w:rsidRPr="00C815FD">
        <w:rPr>
          <w:rFonts w:cstheme="minorHAnsi"/>
          <w:lang w:eastAsia="ko-KR"/>
        </w:rPr>
        <w:t xml:space="preserve">and no screening (routine diagnosis only) in </w:t>
      </w:r>
      <w:r>
        <w:rPr>
          <w:rFonts w:cstheme="minorHAnsi"/>
          <w:lang w:eastAsia="ko-KR"/>
        </w:rPr>
        <w:t>adult men, adult women.</w:t>
      </w:r>
      <w:r w:rsidRPr="00C815FD">
        <w:rPr>
          <w:rFonts w:cstheme="minorHAnsi"/>
          <w:lang w:eastAsia="ko-KR"/>
        </w:rPr>
        <w:t xml:space="preserve"> and children</w:t>
      </w:r>
      <w:r>
        <w:rPr>
          <w:rFonts w:cstheme="minorHAnsi"/>
          <w:lang w:eastAsia="ko-KR"/>
        </w:rPr>
        <w:t xml:space="preserve">. </w:t>
      </w:r>
      <w:r w:rsidRPr="00C815FD">
        <w:rPr>
          <w:rFonts w:cstheme="minorHAnsi"/>
          <w:lang w:eastAsia="ko-KR"/>
        </w:rPr>
        <w:t>Half-cycle corrections are applied to the Markov model</w:t>
      </w:r>
      <w:r>
        <w:rPr>
          <w:rFonts w:cstheme="minorHAnsi"/>
          <w:lang w:eastAsia="ko-KR"/>
        </w:rPr>
        <w:t xml:space="preserve"> while c</w:t>
      </w:r>
      <w:r w:rsidRPr="00C815FD">
        <w:rPr>
          <w:rFonts w:cstheme="minorHAnsi"/>
          <w:lang w:eastAsia="ko-KR"/>
        </w:rPr>
        <w:t xml:space="preserve">osts and QALYs </w:t>
      </w:r>
      <w:r>
        <w:rPr>
          <w:rFonts w:cstheme="minorHAnsi"/>
          <w:lang w:eastAsia="ko-KR"/>
        </w:rPr>
        <w:t>were</w:t>
      </w:r>
      <w:r w:rsidRPr="00C815FD">
        <w:rPr>
          <w:rFonts w:cstheme="minorHAnsi"/>
          <w:lang w:eastAsia="ko-KR"/>
        </w:rPr>
        <w:t xml:space="preserve"> discounted at 3.5% as recommended by </w:t>
      </w:r>
      <w:r>
        <w:rPr>
          <w:rFonts w:cstheme="minorHAnsi"/>
          <w:lang w:eastAsia="ko-KR"/>
        </w:rPr>
        <w:t>NICE.</w:t>
      </w:r>
      <w:r>
        <w:rPr>
          <w:rFonts w:cstheme="minorHAnsi"/>
          <w:lang w:eastAsia="ko-KR"/>
        </w:rPr>
        <w:fldChar w:fldCharType="begin"/>
      </w:r>
      <w:r w:rsidR="00735CC0">
        <w:rPr>
          <w:rFonts w:cstheme="minorHAnsi"/>
          <w:lang w:eastAsia="ko-KR"/>
        </w:rPr>
        <w:instrText xml:space="preserve"> ADDIN EN.CITE &lt;EndNote&gt;&lt;Cite&gt;&lt;Author&gt;National Institute for Health and Care Excellence&lt;/Author&gt;&lt;Year&gt;2013&lt;/Year&gt;&lt;RecNum&gt;551&lt;/RecNum&gt;&lt;DisplayText&gt;&lt;style face="superscript"&gt;252&lt;/style&gt;&lt;/DisplayText&gt;&lt;record&gt;&lt;rec-number&gt;551&lt;/rec-number&gt;&lt;foreign-keys&gt;&lt;key app="EN" db-id="tdwrx9xd1z9eepeevr355w2k959rv0f5zaax" timestamp="1636620393"&gt;551&lt;/key&gt;&lt;/foreign-keys&gt;&lt;ref-type name="Journal Article"&gt;17&lt;/ref-type&gt;&lt;contributors&gt;&lt;authors&gt;&lt;author&gt;National Institute for Health and Care Excellence,&lt;/author&gt;&lt;/authors&gt;&lt;/contributors&gt;&lt;titles&gt;&lt;title&gt;Guide to the methods of technology appraisal&lt;/title&gt;&lt;secondary-title&gt;Process and methods guides, http://publications.nice.org.uk/pmg9&lt;/secondary-title&gt;&lt;/titles&gt;&lt;periodical&gt;&lt;full-title&gt;Process and methods guides, http://publications.nice.org.uk/pmg9&lt;/full-title&gt;&lt;/periodical&gt;&lt;edition&gt;4th April 2013&lt;/edition&gt;&lt;dates&gt;&lt;year&gt;2013&lt;/year&gt;&lt;/dates&gt;&lt;urls&gt;&lt;/urls&gt;&lt;/record&gt;&lt;/Cite&gt;&lt;/EndNote&gt;</w:instrText>
      </w:r>
      <w:r>
        <w:rPr>
          <w:rFonts w:cstheme="minorHAnsi"/>
          <w:lang w:eastAsia="ko-KR"/>
        </w:rPr>
        <w:fldChar w:fldCharType="separate"/>
      </w:r>
      <w:r w:rsidR="00735CC0" w:rsidRPr="00735CC0">
        <w:rPr>
          <w:rFonts w:cstheme="minorHAnsi"/>
          <w:noProof/>
          <w:vertAlign w:val="superscript"/>
          <w:lang w:eastAsia="ko-KR"/>
        </w:rPr>
        <w:t>252</w:t>
      </w:r>
      <w:r>
        <w:rPr>
          <w:rFonts w:cstheme="minorHAnsi"/>
          <w:lang w:eastAsia="ko-KR"/>
        </w:rPr>
        <w:fldChar w:fldCharType="end"/>
      </w:r>
      <w:r>
        <w:rPr>
          <w:rFonts w:cstheme="minorHAnsi"/>
          <w:lang w:eastAsia="ko-KR"/>
        </w:rPr>
        <w:t xml:space="preserve"> The analysis was fully probabilistic with 1000 samples being generated for each population and no deterministic results are presented as the Markov model is non-linear.</w:t>
      </w:r>
      <w:r>
        <w:rPr>
          <w:rFonts w:cstheme="minorHAnsi"/>
          <w:lang w:eastAsia="ko-KR"/>
        </w:rPr>
        <w:fldChar w:fldCharType="begin"/>
      </w:r>
      <w:r w:rsidR="00735CC0">
        <w:rPr>
          <w:rFonts w:cstheme="minorHAnsi"/>
          <w:lang w:eastAsia="ko-KR"/>
        </w:rPr>
        <w:instrText xml:space="preserve"> ADDIN EN.CITE &lt;EndNote&gt;&lt;Cite&gt;&lt;Author&gt;Wilson&lt;/Author&gt;&lt;Year&gt;2021&lt;/Year&gt;&lt;RecNum&gt;577&lt;/RecNum&gt;&lt;DisplayText&gt;&lt;style face="superscript"&gt;253&lt;/style&gt;&lt;/DisplayText&gt;&lt;record&gt;&lt;rec-number&gt;577&lt;/rec-number&gt;&lt;foreign-keys&gt;&lt;key app="EN" db-id="tdwrx9xd1z9eepeevr355w2k959rv0f5zaax" timestamp="1636620393"&gt;577&lt;/key&gt;&lt;/foreign-keys&gt;&lt;ref-type name="Journal Article"&gt;17&lt;/ref-type&gt;&lt;contributors&gt;&lt;authors&gt;&lt;author&gt;Wilson, E. C. F.&lt;/author&gt;&lt;/authors&gt;&lt;/contributors&gt;&lt;auth-address&gt;Health Economics Group, Norwich Medical School, University of East Anglia, Norwich, NR2 3PB, UK. ed.wilson@phmr.com.&amp;#xD;PHMR Ltd, Berkeley Works, Berkley Grove, London, NW1 8XY, UK. ed.wilson@phmr.com.&lt;/auth-address&gt;&lt;titles&gt;&lt;title&gt;Methodological Note: Reporting Deterministic versus Probabilistic Results of Markov, Partitioned Survival and Other Non-Linear Models&lt;/title&gt;&lt;secondary-title&gt;Appl Health Econ Health Policy&lt;/secondary-title&gt;&lt;/titles&gt;&lt;periodical&gt;&lt;full-title&gt;Appl Health Econ Health Policy&lt;/full-title&gt;&lt;/periodical&gt;&lt;pages&gt;789-795&lt;/pages&gt;&lt;volume&gt;19&lt;/volume&gt;&lt;number&gt;6&lt;/number&gt;&lt;dates&gt;&lt;year&gt;2021&lt;/year&gt;&lt;pub-dates&gt;&lt;date&gt;Jul 14&lt;/date&gt;&lt;/pub-dates&gt;&lt;/dates&gt;&lt;isbn&gt;1179-1896 (Electronic)&amp;#xD;1175-5652 (Linking)&lt;/isbn&gt;&lt;accession-num&gt;34258732&lt;/accession-num&gt;&lt;urls&gt;&lt;related-urls&gt;&lt;url&gt;https://www.ncbi.nlm.nih.gov/pubmed/34258732&lt;/url&gt;&lt;/related-urls&gt;&lt;/urls&gt;&lt;electronic-resource-num&gt;10.1007/s40258-021-00664-2&lt;/electronic-resource-num&gt;&lt;/record&gt;&lt;/Cite&gt;&lt;/EndNote&gt;</w:instrText>
      </w:r>
      <w:r>
        <w:rPr>
          <w:rFonts w:cstheme="minorHAnsi"/>
          <w:lang w:eastAsia="ko-KR"/>
        </w:rPr>
        <w:fldChar w:fldCharType="separate"/>
      </w:r>
      <w:r w:rsidR="00735CC0" w:rsidRPr="00735CC0">
        <w:rPr>
          <w:rFonts w:cstheme="minorHAnsi"/>
          <w:noProof/>
          <w:vertAlign w:val="superscript"/>
          <w:lang w:eastAsia="ko-KR"/>
        </w:rPr>
        <w:t>253</w:t>
      </w:r>
      <w:r>
        <w:rPr>
          <w:rFonts w:cstheme="minorHAnsi"/>
          <w:lang w:eastAsia="ko-KR"/>
        </w:rPr>
        <w:fldChar w:fldCharType="end"/>
      </w:r>
    </w:p>
    <w:p w14:paraId="24DE589F" w14:textId="76258EDB" w:rsidR="00BF5EA3" w:rsidRDefault="00BF5EA3" w:rsidP="00BF5EA3">
      <w:pPr>
        <w:spacing w:line="276" w:lineRule="auto"/>
        <w:rPr>
          <w:rFonts w:cstheme="minorHAnsi"/>
          <w:lang w:eastAsia="ko-KR"/>
        </w:rPr>
      </w:pPr>
      <w:r>
        <w:rPr>
          <w:rFonts w:cstheme="minorHAnsi"/>
          <w:lang w:eastAsia="ko-KR"/>
        </w:rPr>
        <w:t xml:space="preserve">Total costs and </w:t>
      </w:r>
      <w:r w:rsidRPr="00C815FD">
        <w:rPr>
          <w:rFonts w:cstheme="minorHAnsi"/>
          <w:lang w:eastAsia="ko-KR"/>
        </w:rPr>
        <w:t>Quality Adjusted Life Year</w:t>
      </w:r>
      <w:r>
        <w:rPr>
          <w:rFonts w:cstheme="minorHAnsi"/>
          <w:lang w:eastAsia="ko-KR"/>
        </w:rPr>
        <w:t>s</w:t>
      </w:r>
      <w:r w:rsidRPr="00C815FD">
        <w:rPr>
          <w:rFonts w:cstheme="minorHAnsi"/>
          <w:lang w:eastAsia="ko-KR"/>
        </w:rPr>
        <w:t xml:space="preserve"> (QALY)</w:t>
      </w:r>
      <w:r>
        <w:rPr>
          <w:rFonts w:cstheme="minorHAnsi"/>
          <w:lang w:eastAsia="ko-KR"/>
        </w:rPr>
        <w:t xml:space="preserve"> were calculated for each of these strategies, along with the net benefit at £20,000/QALY (i.e. total QALYs multiplied by £20,000/QALY minus the total costs)</w:t>
      </w:r>
      <w:r w:rsidRPr="00C815FD">
        <w:rPr>
          <w:rFonts w:cstheme="minorHAnsi"/>
          <w:lang w:eastAsia="ko-KR"/>
        </w:rPr>
        <w:t xml:space="preserve">. </w:t>
      </w:r>
      <w:r>
        <w:rPr>
          <w:rFonts w:cstheme="minorHAnsi"/>
          <w:lang w:eastAsia="ko-KR"/>
        </w:rPr>
        <w:t xml:space="preserve">Incremental costs, QALYs and net benefit were calculated relative to no screening. The probabilistic samples were summarised by their means and </w:t>
      </w:r>
      <w:r w:rsidR="00150712">
        <w:rPr>
          <w:rFonts w:cstheme="minorHAnsi"/>
          <w:lang w:eastAsia="ko-KR"/>
        </w:rPr>
        <w:t xml:space="preserve">Bayesian </w:t>
      </w:r>
      <w:r>
        <w:rPr>
          <w:rFonts w:cstheme="minorHAnsi"/>
          <w:lang w:eastAsia="ko-KR"/>
        </w:rPr>
        <w:t xml:space="preserve">95% credible intervals (CrI). </w:t>
      </w:r>
      <w:r w:rsidRPr="00C815FD">
        <w:rPr>
          <w:rFonts w:cstheme="minorHAnsi"/>
          <w:lang w:eastAsia="ko-KR"/>
        </w:rPr>
        <w:t xml:space="preserve">The probability of each decision being cost-effective </w:t>
      </w:r>
      <w:r>
        <w:rPr>
          <w:rFonts w:cstheme="minorHAnsi"/>
          <w:lang w:eastAsia="ko-KR"/>
        </w:rPr>
        <w:t>compared to no screening at £20,000/QALY was calculated by counting the proportion of samples for which the incremental net benefit was positive.</w:t>
      </w:r>
    </w:p>
    <w:p w14:paraId="00FA98F1" w14:textId="239587EA" w:rsidR="00BF5EA3" w:rsidRPr="00C815FD" w:rsidRDefault="00BF5EA3" w:rsidP="00BF5EA3">
      <w:pPr>
        <w:spacing w:line="276" w:lineRule="auto"/>
        <w:rPr>
          <w:rFonts w:cstheme="minorHAnsi"/>
          <w:lang w:eastAsia="ko-KR"/>
        </w:rPr>
      </w:pPr>
      <w:r>
        <w:rPr>
          <w:rFonts w:cstheme="minorHAnsi"/>
          <w:lang w:eastAsia="ko-KR"/>
        </w:rPr>
        <w:t>Further investigation was conducted in the testing combinations (e.g. IgA EMA plus HLA or IgA tTG) with greatest net benefit and probability of being cost-effective for each population. If cost-effectiveness was similar to other tests, IgA tTG alone was selected due to its greater availability in UK laboratories.</w:t>
      </w:r>
      <w:r>
        <w:rPr>
          <w:rFonts w:cstheme="minorHAnsi"/>
          <w:lang w:eastAsia="ko-KR"/>
        </w:rPr>
        <w:fldChar w:fldCharType="begin"/>
      </w:r>
      <w:r w:rsidR="00735CC0">
        <w:rPr>
          <w:rFonts w:cstheme="minorHAnsi"/>
          <w:lang w:eastAsia="ko-KR"/>
        </w:rPr>
        <w:instrText xml:space="preserve"> ADDIN EN.CITE &lt;EndNote&gt;&lt;Cite&gt;&lt;Author&gt;Paul&lt;/Author&gt;&lt;Year&gt;2017&lt;/Year&gt;&lt;RecNum&gt;559&lt;/RecNum&gt;&lt;DisplayText&gt;&lt;style face="superscript"&gt;254&lt;/style&gt;&lt;/DisplayText&gt;&lt;record&gt;&lt;rec-number&gt;559&lt;/rec-number&gt;&lt;foreign-keys&gt;&lt;key app="EN" db-id="tdwrx9xd1z9eepeevr355w2k959rv0f5zaax" timestamp="1636620393"&gt;559&lt;/key&gt;&lt;/foreign-keys&gt;&lt;ref-type name="Journal Article"&gt;17&lt;/ref-type&gt;&lt;contributors&gt;&lt;authors&gt;&lt;author&gt;Paul, S. P.&lt;/author&gt;&lt;author&gt;Harries, S. L.&lt;/author&gt;&lt;author&gt;Basude, D.&lt;/author&gt;&lt;/authors&gt;&lt;/contributors&gt;&lt;auth-address&gt;Department of Paediatric Gastroenterology, Bristol Royal Hospital for Children, Bristol, UK.&amp;#xD;Medical School, University of Bristol, Bristol, UK.&lt;/auth-address&gt;&lt;titles&gt;&lt;title&gt;Barriers to implementing the revised ESPGHAN guidelines for coeliac disease in children: a cross-sectional survey of coeliac screen reporting in laboratories in England&lt;/title&gt;&lt;secondary-title&gt;Arch Dis Child&lt;/secondary-title&gt;&lt;/titles&gt;&lt;periodical&gt;&lt;full-title&gt;Arch Dis Child&lt;/full-title&gt;&lt;/periodical&gt;&lt;pages&gt;942-946&lt;/pages&gt;&lt;volume&gt;102&lt;/volume&gt;&lt;number&gt;10&lt;/number&gt;&lt;keywords&gt;&lt;keyword&gt;Celiac Disease/*diagnosis&lt;/keyword&gt;&lt;keyword&gt;Child&lt;/keyword&gt;&lt;keyword&gt;Cross-Sectional Studies&lt;/keyword&gt;&lt;keyword&gt;Databases, Factual&lt;/keyword&gt;&lt;keyword&gt;England&lt;/keyword&gt;&lt;keyword&gt;Female&lt;/keyword&gt;&lt;keyword&gt;Guidelines as Topic&lt;/keyword&gt;&lt;keyword&gt;Humans&lt;/keyword&gt;&lt;keyword&gt;Male&lt;/keyword&gt;&lt;keyword&gt;Mass Screening/*methods/statistics &amp;amp; numerical data&lt;/keyword&gt;&lt;keyword&gt;*Anti-tissue transglutaminase&lt;/keyword&gt;&lt;keyword&gt;*Coeliac disease&lt;/keyword&gt;&lt;keyword&gt;*ESPGHAN guidelines&lt;/keyword&gt;&lt;keyword&gt;*Gastroenterology&lt;/keyword&gt;&lt;keyword&gt;*General Paediatrics&lt;/keyword&gt;&lt;keyword&gt;*Laboratory medicine&lt;/keyword&gt;&lt;/keywords&gt;&lt;dates&gt;&lt;year&gt;2017&lt;/year&gt;&lt;pub-dates&gt;&lt;date&gt;Oct&lt;/date&gt;&lt;/pub-dates&gt;&lt;/dates&gt;&lt;isbn&gt;1468-2044 (Electronic)&amp;#xD;0003-9888 (Linking)&lt;/isbn&gt;&lt;accession-num&gt;28483757&lt;/accession-num&gt;&lt;urls&gt;&lt;related-urls&gt;&lt;url&gt;https://www.ncbi.nlm.nih.gov/pubmed/28483757&lt;/url&gt;&lt;/related-urls&gt;&lt;/urls&gt;&lt;electronic-resource-num&gt;10.1136/archdischild-2016-312027&lt;/electronic-resource-num&gt;&lt;/record&gt;&lt;/Cite&gt;&lt;/EndNote&gt;</w:instrText>
      </w:r>
      <w:r>
        <w:rPr>
          <w:rFonts w:cstheme="minorHAnsi"/>
          <w:lang w:eastAsia="ko-KR"/>
        </w:rPr>
        <w:fldChar w:fldCharType="separate"/>
      </w:r>
      <w:r w:rsidR="00735CC0" w:rsidRPr="00735CC0">
        <w:rPr>
          <w:rFonts w:cstheme="minorHAnsi"/>
          <w:noProof/>
          <w:vertAlign w:val="superscript"/>
          <w:lang w:eastAsia="ko-KR"/>
        </w:rPr>
        <w:t>254</w:t>
      </w:r>
      <w:r>
        <w:rPr>
          <w:rFonts w:cstheme="minorHAnsi"/>
          <w:lang w:eastAsia="ko-KR"/>
        </w:rPr>
        <w:fldChar w:fldCharType="end"/>
      </w:r>
      <w:r>
        <w:rPr>
          <w:rFonts w:cstheme="minorHAnsi"/>
          <w:lang w:eastAsia="ko-KR"/>
        </w:rPr>
        <w:t xml:space="preserve"> These testing combinations were applied to the risk prediction strategies identified in </w:t>
      </w:r>
      <w:r w:rsidR="007976A4" w:rsidRPr="008430E3">
        <w:rPr>
          <w:rFonts w:cstheme="minorHAnsi"/>
          <w:lang w:eastAsia="ko-KR"/>
        </w:rPr>
        <w:fldChar w:fldCharType="begin"/>
      </w:r>
      <w:r w:rsidR="007976A4" w:rsidRPr="008430E3">
        <w:rPr>
          <w:rFonts w:cstheme="minorHAnsi"/>
          <w:lang w:eastAsia="ko-KR"/>
        </w:rPr>
        <w:instrText xml:space="preserve"> REF _Ref83908603 \h </w:instrText>
      </w:r>
      <w:r w:rsidR="008430E3">
        <w:rPr>
          <w:rFonts w:cstheme="minorHAnsi"/>
          <w:lang w:eastAsia="ko-KR"/>
        </w:rPr>
        <w:instrText xml:space="preserve"> \* MERGEFORMAT </w:instrText>
      </w:r>
      <w:r w:rsidR="007976A4" w:rsidRPr="008430E3">
        <w:rPr>
          <w:rFonts w:cstheme="minorHAnsi"/>
          <w:lang w:eastAsia="ko-KR"/>
        </w:rPr>
      </w:r>
      <w:r w:rsidR="007976A4" w:rsidRPr="008430E3">
        <w:rPr>
          <w:rFonts w:cstheme="minorHAnsi"/>
          <w:lang w:eastAsia="ko-KR"/>
        </w:rPr>
        <w:fldChar w:fldCharType="separate"/>
      </w:r>
      <w:r w:rsidR="008B5583" w:rsidRPr="00734942">
        <w:t xml:space="preserve">Table </w:t>
      </w:r>
      <w:r w:rsidR="008B5583">
        <w:rPr>
          <w:noProof/>
        </w:rPr>
        <w:t>5</w:t>
      </w:r>
      <w:r w:rsidR="007976A4" w:rsidRPr="008430E3">
        <w:rPr>
          <w:rFonts w:cstheme="minorHAnsi"/>
          <w:lang w:eastAsia="ko-KR"/>
        </w:rPr>
        <w:fldChar w:fldCharType="end"/>
      </w:r>
      <w:r w:rsidR="00FA38EC">
        <w:rPr>
          <w:rFonts w:cstheme="minorHAnsi"/>
          <w:lang w:eastAsia="ko-KR"/>
        </w:rPr>
        <w:t xml:space="preserve"> </w:t>
      </w:r>
      <w:r w:rsidRPr="008430E3">
        <w:rPr>
          <w:rFonts w:cstheme="minorHAnsi"/>
          <w:lang w:eastAsia="ko-KR"/>
        </w:rPr>
        <w:t>in Chapter 4.</w:t>
      </w:r>
      <w:r>
        <w:rPr>
          <w:rFonts w:cstheme="minorHAnsi"/>
          <w:lang w:eastAsia="ko-KR"/>
        </w:rPr>
        <w:t xml:space="preserve"> </w:t>
      </w:r>
      <w:r w:rsidRPr="00C815FD">
        <w:rPr>
          <w:rFonts w:cstheme="minorHAnsi"/>
          <w:lang w:eastAsia="ko-KR"/>
        </w:rPr>
        <w:t xml:space="preserve">These were strategies with pre-test probabilities for blood test of 1%, </w:t>
      </w:r>
      <w:r>
        <w:rPr>
          <w:rFonts w:cstheme="minorHAnsi"/>
          <w:lang w:eastAsia="ko-KR"/>
        </w:rPr>
        <w:t xml:space="preserve">1.5%, </w:t>
      </w:r>
      <w:r w:rsidRPr="00C815FD">
        <w:rPr>
          <w:rFonts w:cstheme="minorHAnsi"/>
          <w:lang w:eastAsia="ko-KR"/>
        </w:rPr>
        <w:t>2%, 5%, 10%, and 20%</w:t>
      </w:r>
      <w:r>
        <w:rPr>
          <w:rFonts w:cstheme="minorHAnsi"/>
          <w:lang w:eastAsia="ko-KR"/>
        </w:rPr>
        <w:t xml:space="preserve"> with implied sensitivities </w:t>
      </w:r>
      <w:r w:rsidR="009C1650" w:rsidRPr="009C1650">
        <w:rPr>
          <w:rFonts w:cstheme="minorHAnsi"/>
          <w:lang w:eastAsia="ko-KR"/>
        </w:rPr>
        <w:t xml:space="preserve">(i.e. proportion of those with CD who have the </w:t>
      </w:r>
      <w:r w:rsidR="0062395E">
        <w:rPr>
          <w:rFonts w:cstheme="minorHAnsi"/>
          <w:lang w:eastAsia="ko-KR"/>
        </w:rPr>
        <w:t>diagnostic indicator</w:t>
      </w:r>
      <w:r w:rsidR="009C1650" w:rsidRPr="009C1650">
        <w:rPr>
          <w:rFonts w:cstheme="minorHAnsi"/>
          <w:lang w:eastAsia="ko-KR"/>
        </w:rPr>
        <w:t xml:space="preserve"> combination) and specificities (i.e. proportion of those without CD who would have the </w:t>
      </w:r>
      <w:r w:rsidR="0062395E">
        <w:rPr>
          <w:rFonts w:cstheme="minorHAnsi"/>
          <w:lang w:eastAsia="ko-KR"/>
        </w:rPr>
        <w:t>diagnostic indicator</w:t>
      </w:r>
      <w:r w:rsidR="009C1650" w:rsidRPr="009C1650">
        <w:rPr>
          <w:rFonts w:cstheme="minorHAnsi"/>
          <w:lang w:eastAsia="ko-KR"/>
        </w:rPr>
        <w:t xml:space="preserve"> combination)</w:t>
      </w:r>
      <w:r w:rsidR="009C1650">
        <w:rPr>
          <w:rFonts w:cstheme="minorHAnsi"/>
          <w:lang w:eastAsia="ko-KR"/>
        </w:rPr>
        <w:t xml:space="preserve"> </w:t>
      </w:r>
      <w:r>
        <w:rPr>
          <w:rFonts w:cstheme="minorHAnsi"/>
          <w:lang w:eastAsia="ko-KR"/>
        </w:rPr>
        <w:t>that can be run through the economic model</w:t>
      </w:r>
      <w:r w:rsidRPr="00C815FD">
        <w:rPr>
          <w:rFonts w:cstheme="minorHAnsi"/>
          <w:lang w:eastAsia="ko-KR"/>
        </w:rPr>
        <w:t>.</w:t>
      </w:r>
      <w:r>
        <w:rPr>
          <w:rStyle w:val="CommentReference"/>
        </w:rPr>
        <w:t xml:space="preserve"> </w:t>
      </w:r>
      <w:r>
        <w:rPr>
          <w:rFonts w:cstheme="minorHAnsi"/>
          <w:lang w:eastAsia="ko-KR"/>
        </w:rPr>
        <w:t>The cost-effectiveness of these strategies of interest were compared by total costs, QALYs and net benefits. The probability that each strategies has the greatest net benefit at various willingness-to-pay thresholds</w:t>
      </w:r>
      <w:r w:rsidRPr="00C815FD">
        <w:rPr>
          <w:rFonts w:cstheme="minorHAnsi"/>
          <w:lang w:eastAsia="ko-KR"/>
        </w:rPr>
        <w:t xml:space="preserve"> </w:t>
      </w:r>
      <w:r>
        <w:rPr>
          <w:rFonts w:cstheme="minorHAnsi"/>
          <w:lang w:eastAsia="ko-KR"/>
        </w:rPr>
        <w:t>was also plotted, which is the cost-</w:t>
      </w:r>
      <w:r w:rsidRPr="00C815FD">
        <w:rPr>
          <w:rFonts w:cstheme="minorHAnsi"/>
          <w:lang w:eastAsia="ko-KR"/>
        </w:rPr>
        <w:t>effectiveness acceptability curve (CEAC).</w:t>
      </w:r>
    </w:p>
    <w:p w14:paraId="6A4D5D44" w14:textId="77777777" w:rsidR="00BF5EA3" w:rsidRPr="00305D05" w:rsidRDefault="00BF5EA3" w:rsidP="009C1D44">
      <w:pPr>
        <w:pStyle w:val="Heading4"/>
      </w:pPr>
      <w:bookmarkStart w:id="279" w:name="_Toc87507195"/>
      <w:r w:rsidRPr="00305D05">
        <w:t>Value of information analysis to identify further research priorities</w:t>
      </w:r>
      <w:bookmarkEnd w:id="279"/>
    </w:p>
    <w:p w14:paraId="34FFE0D8" w14:textId="3A8BF1E1" w:rsidR="00BF5EA3" w:rsidRDefault="00BF5EA3" w:rsidP="00BF5EA3">
      <w:pPr>
        <w:rPr>
          <w:rFonts w:cstheme="minorHAnsi"/>
        </w:rPr>
      </w:pPr>
      <w:r>
        <w:rPr>
          <w:rFonts w:cstheme="minorHAnsi"/>
        </w:rPr>
        <w:t>Decision uncertainty was quantified using a value of information analysis following the best practice recommendations of the International Society for Pharmacoeconomics and Outcomes Research (ISPOR).</w:t>
      </w:r>
      <w:r>
        <w:rPr>
          <w:rFonts w:cstheme="minorHAnsi"/>
        </w:rPr>
        <w:fldChar w:fldCharType="begin">
          <w:fldData xml:space="preserve">PEVuZE5vdGU+PENpdGU+PEF1dGhvcj5CYXJ0b248L0F1dGhvcj48WWVhcj4yMDA4PC9ZZWFyPjxS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</w:fldData>
        </w:fldChar>
      </w:r>
      <w:r w:rsidR="00735CC0">
        <w:rPr>
          <w:rFonts w:cstheme="minorHAnsi"/>
        </w:rPr>
        <w:instrText xml:space="preserve"> ADDIN EN.CITE </w:instrText>
      </w:r>
      <w:r w:rsidR="00735CC0">
        <w:rPr>
          <w:rFonts w:cstheme="minorHAnsi"/>
        </w:rPr>
        <w:fldChar w:fldCharType="begin">
          <w:fldData xml:space="preserve">PEVuZE5vdGU+PENpdGU+PEF1dGhvcj5CYXJ0b248L0F1dGhvcj48WWVhcj4yMDA4PC9ZZWFyPjxS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Pr>
          <w:rFonts w:cstheme="minorHAnsi"/>
        </w:rPr>
      </w:r>
      <w:r>
        <w:rPr>
          <w:rFonts w:cstheme="minorHAnsi"/>
        </w:rPr>
        <w:fldChar w:fldCharType="separate"/>
      </w:r>
      <w:r w:rsidR="00735CC0" w:rsidRPr="00735CC0">
        <w:rPr>
          <w:rFonts w:cstheme="minorHAnsi"/>
          <w:noProof/>
          <w:vertAlign w:val="superscript"/>
        </w:rPr>
        <w:t>255-257</w:t>
      </w:r>
      <w:r>
        <w:rPr>
          <w:rFonts w:cstheme="minorHAnsi"/>
        </w:rPr>
        <w:fldChar w:fldCharType="end"/>
      </w:r>
      <w:r>
        <w:rPr>
          <w:rFonts w:cstheme="minorHAnsi"/>
        </w:rPr>
        <w:t xml:space="preserve"> The total decision uncertainty was quantified using the expected value of perfect information (EVPI) while decision uncertainty related to a single parameter, or subset of parameters, was quantified using the expected value of partial perfect information (</w:t>
      </w:r>
      <w:r w:rsidRPr="00C815FD">
        <w:rPr>
          <w:rFonts w:cstheme="minorHAnsi"/>
        </w:rPr>
        <w:t>EVPPI</w:t>
      </w:r>
      <w:r>
        <w:rPr>
          <w:rFonts w:cstheme="minorHAnsi"/>
        </w:rPr>
        <w:t>). The ratio of EVPPI for each parameter to the total EVPI was calculated to represent the relative importance of each parameter.</w:t>
      </w:r>
      <w:r>
        <w:rPr>
          <w:rFonts w:cstheme="minorHAnsi"/>
        </w:rPr>
        <w:fldChar w:fldCharType="begin"/>
      </w:r>
      <w:r w:rsidR="00735CC0">
        <w:rPr>
          <w:rFonts w:cstheme="minorHAnsi"/>
        </w:rPr>
        <w:instrText xml:space="preserve"> ADDIN EN.CITE &lt;EndNote&gt;&lt;Cite&gt;&lt;Author&gt;Baio&lt;/Author&gt;&lt;Year&gt;2015&lt;/Year&gt;&lt;RecNum&gt;508&lt;/RecNum&gt;&lt;DisplayText&gt;&lt;style face="superscript"&gt;258&lt;/style&gt;&lt;/DisplayText&gt;&lt;record&gt;&lt;rec-number&gt;508&lt;/rec-number&gt;&lt;foreign-keys&gt;&lt;key app="EN" db-id="tdwrx9xd1z9eepeevr355w2k959rv0f5zaax" timestamp="1636620393"&gt;508&lt;/key&gt;&lt;/foreign-keys&gt;&lt;ref-type name="Journal Article"&gt;17&lt;/ref-type&gt;&lt;contributors&gt;&lt;authors&gt;&lt;author&gt;Baio, G.&lt;/author&gt;&lt;author&gt;Dawid, A. P.&lt;/author&gt;&lt;/authors&gt;&lt;/contributors&gt;&lt;auth-address&gt;Department of Statistical Science, University College London, London, UK. Department of Statistics, University of Milano Bicocca, Milan, Italy. gianluca@stats.ucl.ac.uk.&amp;#xD;Statistical Laboratory, Department of Pure Mathematics and Mathematical Statistics, University of Cambridge, Cambridge, UK.&lt;/auth-address&gt;&lt;titles&gt;&lt;title&gt;Probabilistic sensitivity analysis in health economics&lt;/title&gt;&lt;secondary-title&gt;Stat Methods Med Res&lt;/secondary-title&gt;&lt;/titles&gt;&lt;periodical&gt;&lt;full-title&gt;Stat Methods Med Res&lt;/full-title&gt;&lt;/periodical&gt;&lt;pages&gt;615-34&lt;/pages&gt;&lt;volume&gt;24&lt;/volume&gt;&lt;number&gt;6&lt;/number&gt;&lt;keywords&gt;&lt;keyword&gt;Bayes Theorem&lt;/keyword&gt;&lt;keyword&gt;Decision Making&lt;/keyword&gt;&lt;keyword&gt;Delivery of Health Care/*economics&lt;/keyword&gt;&lt;keyword&gt;Humans&lt;/keyword&gt;&lt;keyword&gt;*Models, Statistical&lt;/keyword&gt;&lt;keyword&gt;Probability&lt;/keyword&gt;&lt;keyword&gt;Uncertainty&lt;/keyword&gt;&lt;keyword&gt;Bayesian decision theory&lt;/keyword&gt;&lt;keyword&gt;health economic evaluation&lt;/keyword&gt;&lt;keyword&gt;sensitivity analysis&lt;/keyword&gt;&lt;/keywords&gt;&lt;dates&gt;&lt;year&gt;2015&lt;/year&gt;&lt;pub-dates&gt;&lt;date&gt;Dec&lt;/date&gt;&lt;/pub-dates&gt;&lt;/dates&gt;&lt;isbn&gt;1477-0334 (Electronic)&amp;#xD;0962-2802 (Linking)&lt;/isbn&gt;&lt;accession-num&gt;21930515&lt;/accession-num&gt;&lt;urls&gt;&lt;related-urls&gt;&lt;url&gt;https://www.ncbi.nlm.nih.gov/pubmed/21930515&lt;/url&gt;&lt;/related-urls&gt;&lt;/urls&gt;&lt;electronic-resource-num&gt;10.1177/0962280211419832&lt;/electronic-resource-num&gt;&lt;/record&gt;&lt;/Cite&gt;&lt;/EndNote&gt;</w:instrText>
      </w:r>
      <w:r>
        <w:rPr>
          <w:rFonts w:cstheme="minorHAnsi"/>
        </w:rPr>
        <w:fldChar w:fldCharType="separate"/>
      </w:r>
      <w:r w:rsidR="00735CC0" w:rsidRPr="00735CC0">
        <w:rPr>
          <w:rFonts w:cstheme="minorHAnsi"/>
          <w:noProof/>
          <w:vertAlign w:val="superscript"/>
        </w:rPr>
        <w:t>258</w:t>
      </w:r>
      <w:r>
        <w:rPr>
          <w:rFonts w:cstheme="minorHAnsi"/>
        </w:rPr>
        <w:fldChar w:fldCharType="end"/>
      </w:r>
      <w:r>
        <w:rPr>
          <w:rFonts w:cstheme="minorHAnsi"/>
        </w:rPr>
        <w:t xml:space="preserve"> Generalised additive models were used to approximate the EVPPI for each parameter when calculating ratios with EVPI.</w:t>
      </w:r>
      <w:r>
        <w:rPr>
          <w:rFonts w:cstheme="minorHAnsi"/>
        </w:rPr>
        <w:fldChar w:fldCharType="begin">
          <w:fldData xml:space="preserve">PEVuZE5vdGU+PENpdGU+PEF1dGhvcj5TdHJvbmc8L0F1dGhvcj48WWVhcj4yMDE0PC9ZZWFyPjxS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</w:fldData>
        </w:fldChar>
      </w:r>
      <w:r w:rsidR="00735CC0">
        <w:rPr>
          <w:rFonts w:cstheme="minorHAnsi"/>
        </w:rPr>
        <w:instrText xml:space="preserve"> ADDIN EN.CITE </w:instrText>
      </w:r>
      <w:r w:rsidR="00735CC0">
        <w:rPr>
          <w:rFonts w:cstheme="minorHAnsi"/>
        </w:rPr>
        <w:fldChar w:fldCharType="begin">
          <w:fldData xml:space="preserve">PEVuZE5vdGU+PENpdGU+PEF1dGhvcj5TdHJvbmc8L0F1dGhvcj48WWVhcj4yMDE0PC9ZZWFyPjxS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Pr>
          <w:rFonts w:cstheme="minorHAnsi"/>
        </w:rPr>
      </w:r>
      <w:r>
        <w:rPr>
          <w:rFonts w:cstheme="minorHAnsi"/>
        </w:rPr>
        <w:fldChar w:fldCharType="separate"/>
      </w:r>
      <w:r w:rsidR="00735CC0" w:rsidRPr="00735CC0">
        <w:rPr>
          <w:rFonts w:cstheme="minorHAnsi"/>
          <w:noProof/>
          <w:vertAlign w:val="superscript"/>
        </w:rPr>
        <w:t>259, 260</w:t>
      </w:r>
      <w:r>
        <w:rPr>
          <w:rFonts w:cstheme="minorHAnsi"/>
        </w:rPr>
        <w:fldChar w:fldCharType="end"/>
      </w:r>
      <w:r>
        <w:rPr>
          <w:rFonts w:cstheme="minorHAnsi"/>
        </w:rPr>
        <w:t xml:space="preserve"> As the exact values of the EVPPI may not be reliable, EVPPI for parameters and parameter sets of interest were further estimated using multilevel Monte Carlo (MLMC)</w:t>
      </w:r>
      <w:r w:rsidRPr="00C815FD">
        <w:rPr>
          <w:rFonts w:cstheme="minorHAnsi"/>
        </w:rPr>
        <w:t>.</w:t>
      </w:r>
      <w:r>
        <w:rPr>
          <w:rFonts w:cstheme="minorHAnsi"/>
        </w:rPr>
        <w:fldChar w:fldCharType="begin"/>
      </w:r>
      <w:r w:rsidR="00735CC0">
        <w:rPr>
          <w:rFonts w:cstheme="minorHAnsi"/>
        </w:rPr>
        <w:instrText xml:space="preserve"> ADDIN EN.CITE &lt;EndNote&gt;&lt;Cite&gt;&lt;Author&gt;Fang&lt;/Author&gt;&lt;Year&gt;2021&lt;/Year&gt;&lt;RecNum&gt;522&lt;/RecNum&gt;&lt;DisplayText&gt;&lt;style face="superscript"&gt;261&lt;/style&gt;&lt;/DisplayText&gt;&lt;record&gt;&lt;rec-number&gt;522&lt;/rec-number&gt;&lt;foreign-keys&gt;&lt;key app="EN" db-id="tdwrx9xd1z9eepeevr355w2k959rv0f5zaax" timestamp="1636620393"&gt;522&lt;/key&gt;&lt;/foreign-keys&gt;&lt;ref-type name="Journal Article"&gt;17&lt;/ref-type&gt;&lt;contributors&gt;&lt;authors&gt;&lt;author&gt;Fang, W.&lt;/author&gt;&lt;author&gt;Wang, Z.&lt;/author&gt;&lt;author&gt;Giles, M. B.&lt;/author&gt;&lt;author&gt;Jackson, C. H.&lt;/author&gt;&lt;author&gt;Welton, N. J.&lt;/author&gt;&lt;author&gt;Andrieu, C.&lt;/author&gt;&lt;author&gt;Thom, H.&lt;/author&gt;&lt;/authors&gt;&lt;/contributors&gt;&lt;auth-address&gt;Mathematical Institute, University of Oxford, Oxford, Oxfordshire, UK.&amp;#xD;MRC Biostatistics Unit, University of Cambridge, Cambridge, Cambridgeshire, UK.&amp;#xD;Population Health Science, Bristol Medical School, University of Bristol, Bristol, UK.&amp;#xD;School of Mathematics, University of Bristol, Bristol, UK.&lt;/auth-address&gt;&lt;titles&gt;&lt;title&gt;Multilevel and Quasi Monte Carlo Methods for the Calculation of the Expected Value of Partial Perfect Information&lt;/title&gt;&lt;secondary-title&gt;Med Decis Making&lt;/secondary-title&gt;&lt;/titles&gt;&lt;periodical&gt;&lt;full-title&gt;Med Decis Making&lt;/full-title&gt;&lt;/periodical&gt;&lt;pages&gt;272989X211026305&lt;/pages&gt;&lt;keywords&gt;&lt;keyword&gt;expected value of partial perfect information&lt;/keyword&gt;&lt;keyword&gt;multilevel Monte Carlo&lt;/keyword&gt;&lt;keyword&gt;nested expectations&lt;/keyword&gt;&lt;keyword&gt;quasi Monte Carlo&lt;/keyword&gt;&lt;/keywords&gt;&lt;dates&gt;&lt;year&gt;2021&lt;/year&gt;&lt;pub-dates&gt;&lt;date&gt;Jul 7&lt;/date&gt;&lt;/pub-dates&gt;&lt;/dates&gt;&lt;isbn&gt;1552-681X (Electronic)&amp;#xD;0272-989X (Linking)&lt;/isbn&gt;&lt;accession-num&gt;34231446&lt;/accession-num&gt;&lt;urls&gt;&lt;related-urls&gt;&lt;url&gt;https://www.ncbi.nlm.nih.gov/pubmed/34231446&lt;/url&gt;&lt;/related-urls&gt;&lt;/urls&gt;&lt;electronic-resource-num&gt;10.1177/0272989X211026305&lt;/electronic-resource-num&gt;&lt;/record&gt;&lt;/Cite&gt;&lt;/EndNote&gt;</w:instrText>
      </w:r>
      <w:r>
        <w:rPr>
          <w:rFonts w:cstheme="minorHAnsi"/>
        </w:rPr>
        <w:fldChar w:fldCharType="separate"/>
      </w:r>
      <w:r w:rsidR="00735CC0" w:rsidRPr="00735CC0">
        <w:rPr>
          <w:rFonts w:cstheme="minorHAnsi"/>
          <w:noProof/>
          <w:vertAlign w:val="superscript"/>
        </w:rPr>
        <w:t>261</w:t>
      </w:r>
      <w:r>
        <w:rPr>
          <w:rFonts w:cstheme="minorHAnsi"/>
        </w:rPr>
        <w:fldChar w:fldCharType="end"/>
      </w:r>
      <w:r w:rsidR="005A2FBA">
        <w:rPr>
          <w:rFonts w:cstheme="minorHAnsi"/>
        </w:rPr>
        <w:t xml:space="preserve"> </w:t>
      </w:r>
    </w:p>
    <w:p w14:paraId="57618640" w14:textId="24E203D1" w:rsidR="00BF5EA3" w:rsidRDefault="00BF5EA3" w:rsidP="00BF5EA3">
      <w:pPr>
        <w:rPr>
          <w:rFonts w:cstheme="minorHAnsi"/>
        </w:rPr>
      </w:pPr>
      <w:r>
        <w:rPr>
          <w:rFonts w:cstheme="minorHAnsi"/>
        </w:rPr>
        <w:t xml:space="preserve">The EVPI and EVPPI are per person and must be scaled to the size of the population of interest. In </w:t>
      </w:r>
      <w:r w:rsidR="002A34EB">
        <w:rPr>
          <w:rFonts w:cstheme="minorHAnsi"/>
        </w:rPr>
        <w:t>CD</w:t>
      </w:r>
      <w:r>
        <w:rPr>
          <w:rFonts w:cstheme="minorHAnsi"/>
        </w:rPr>
        <w:t xml:space="preserve"> this is the total population of the UK, or </w:t>
      </w:r>
      <w:r w:rsidRPr="00BD58F9">
        <w:rPr>
          <w:rFonts w:cstheme="minorHAnsi"/>
        </w:rPr>
        <w:t>67</w:t>
      </w:r>
      <w:r>
        <w:rPr>
          <w:rFonts w:cstheme="minorHAnsi"/>
        </w:rPr>
        <w:t>,</w:t>
      </w:r>
      <w:r w:rsidRPr="00BD58F9">
        <w:rPr>
          <w:rFonts w:cstheme="minorHAnsi"/>
        </w:rPr>
        <w:t>081</w:t>
      </w:r>
      <w:r>
        <w:rPr>
          <w:rFonts w:cstheme="minorHAnsi"/>
        </w:rPr>
        <w:t>,</w:t>
      </w:r>
      <w:r w:rsidRPr="00BD58F9">
        <w:rPr>
          <w:rFonts w:cstheme="minorHAnsi"/>
        </w:rPr>
        <w:t>000</w:t>
      </w:r>
      <w:r>
        <w:rPr>
          <w:rFonts w:cstheme="minorHAnsi"/>
        </w:rPr>
        <w:t xml:space="preserve"> as of 2020.</w:t>
      </w:r>
      <w:r>
        <w:rPr>
          <w:rFonts w:cstheme="minorHAnsi"/>
        </w:rPr>
        <w:fldChar w:fldCharType="begin"/>
      </w:r>
      <w:r w:rsidR="00735CC0">
        <w:rPr>
          <w:rFonts w:cstheme="minorHAnsi"/>
        </w:rPr>
        <w:instrText xml:space="preserve"> ADDIN EN.CITE &lt;EndNote&gt;&lt;Cite&gt;&lt;Author&gt;gov.uk&lt;/Author&gt;&lt;Year&gt;2020&lt;/Year&gt;&lt;RecNum&gt;529&lt;/RecNum&gt;&lt;DisplayText&gt;&lt;style face="superscript"&gt;262&lt;/style&gt;&lt;/DisplayText&gt;&lt;record&gt;&lt;rec-number&gt;529&lt;/rec-number&gt;&lt;foreign-keys&gt;&lt;key app="EN" db-id="tdwrx9xd1z9eepeevr355w2k959rv0f5zaax" timestamp="1636620393"&gt;529&lt;/key&gt;&lt;/foreign-keys&gt;&lt;ref-type name="Journal Article"&gt;17&lt;/ref-type&gt;&lt;contributors&gt;&lt;authors&gt;&lt;author&gt;gov.uk&lt;/author&gt;&lt;/authors&gt;&lt;/contributors&gt;&lt;titles&gt;&lt;title&gt;Population estimates. https://www.ons.gov.uk/peoplepopulationandcommunity/populationandmigration/populationestimates (accessed 10-November-2021)&lt;/title&gt;&lt;/titles&gt;&lt;dates&gt;&lt;year&gt;2020&lt;/year&gt;&lt;/dates&gt;&lt;urls&gt;&lt;/urls&gt;&lt;/record&gt;&lt;/Cite&gt;&lt;/EndNote&gt;</w:instrText>
      </w:r>
      <w:r>
        <w:rPr>
          <w:rFonts w:cstheme="minorHAnsi"/>
        </w:rPr>
        <w:fldChar w:fldCharType="separate"/>
      </w:r>
      <w:r w:rsidR="00735CC0" w:rsidRPr="00735CC0">
        <w:rPr>
          <w:rFonts w:cstheme="minorHAnsi"/>
          <w:noProof/>
          <w:vertAlign w:val="superscript"/>
        </w:rPr>
        <w:t>262</w:t>
      </w:r>
      <w:r>
        <w:rPr>
          <w:rFonts w:cstheme="minorHAnsi"/>
        </w:rPr>
        <w:fldChar w:fldCharType="end"/>
      </w:r>
      <w:r>
        <w:rPr>
          <w:rFonts w:cstheme="minorHAnsi"/>
        </w:rPr>
        <w:t xml:space="preserve"> </w:t>
      </w:r>
      <w:r w:rsidRPr="009419C2">
        <w:rPr>
          <w:rFonts w:cstheme="minorHAnsi"/>
        </w:rPr>
        <w:t xml:space="preserve">It was assumed that 79% are 18 </w:t>
      </w:r>
      <w:r w:rsidRPr="009419C2">
        <w:rPr>
          <w:rFonts w:cstheme="minorHAnsi"/>
        </w:rPr>
        <w:lastRenderedPageBreak/>
        <w:t>years old or more and that 50% were female.</w:t>
      </w:r>
      <w:r>
        <w:rPr>
          <w:rFonts w:cstheme="minorHAnsi"/>
        </w:rPr>
        <w:fldChar w:fldCharType="begin"/>
      </w:r>
      <w:r w:rsidR="00EF35F3">
        <w:rPr>
          <w:rFonts w:cstheme="minorHAnsi"/>
        </w:rPr>
        <w:instrText xml:space="preserve"> ADDIN EN.CITE &lt;EndNote&gt;&lt;Cite&gt;&lt;Author&gt;gov.uk&lt;/Author&gt;&lt;Year&gt;2020&lt;/Year&gt;&lt;RecNum&gt;530&lt;/RecNum&gt;&lt;DisplayText&gt;&lt;style face="superscript"&gt;263&lt;/style&gt;&lt;/DisplayText&gt;&lt;record&gt;&lt;rec-number&gt;530&lt;/rec-number&gt;&lt;foreign-keys&gt;&lt;key app="EN" db-id="tdwrx9xd1z9eepeevr355w2k959rv0f5zaax" timestamp="1636620393"&gt;530&lt;/key&gt;&lt;/foreign-keys&gt;&lt;ref-type name="Journal Article"&gt;17&lt;/ref-type&gt;&lt;contributors&gt;&lt;authors&gt;&lt;author&gt;gov.uk&lt;/author&gt;&lt;/authors&gt;&lt;/contributors&gt;&lt;titles&gt;&lt;title&gt;UK population by ethnicity. Age groups. Published 22 August 2018. Last updated 17 August 2020.&lt;/title&gt;&lt;/titles&gt;&lt;dates&gt;&lt;year&gt;2020&lt;/year&gt;&lt;/dates&gt;&lt;urls&gt;&lt;related-urls&gt;&lt;url&gt;https://www.ethnicity-facts-figures.service.gov.uk/uk-population-by-ethnicity/demographics/age-groups/latest#:~:text=by%20ethnicity%20Summary-,The%20data%20shows%20that%3A,aged%2060%20years%20and%20over [last accessed 10/11/2021]&lt;/url&gt;&lt;/related-urls&gt;&lt;/urls&gt;&lt;/record&gt;&lt;/Cite&gt;&lt;/EndNote&gt;</w:instrText>
      </w:r>
      <w:r>
        <w:rPr>
          <w:rFonts w:cstheme="minorHAnsi"/>
        </w:rPr>
        <w:fldChar w:fldCharType="separate"/>
      </w:r>
      <w:r w:rsidR="00735CC0" w:rsidRPr="00735CC0">
        <w:rPr>
          <w:rFonts w:cstheme="minorHAnsi"/>
          <w:noProof/>
          <w:vertAlign w:val="superscript"/>
        </w:rPr>
        <w:t>263</w:t>
      </w:r>
      <w:r>
        <w:rPr>
          <w:rFonts w:cstheme="minorHAnsi"/>
        </w:rPr>
        <w:fldChar w:fldCharType="end"/>
      </w:r>
      <w:r w:rsidRPr="009419C2">
        <w:rPr>
          <w:rFonts w:cstheme="minorHAnsi"/>
        </w:rPr>
        <w:t xml:space="preserve"> The prevalence of CD was taken as 1%.</w:t>
      </w:r>
      <w:r>
        <w:rPr>
          <w:rFonts w:cstheme="minorHAnsi"/>
        </w:rPr>
        <w:fldChar w:fldCharType="begin"/>
      </w:r>
      <w:r w:rsidR="00160C21">
        <w:rPr>
          <w:rFonts w:cstheme="minorHAnsi"/>
        </w:rPr>
        <w:instrText xml:space="preserve"> ADDIN EN.CITE &lt;EndNote&gt;&lt;Cite&gt;&lt;Author&gt;Bingley&lt;/Author&gt;&lt;Year&gt;2004&lt;/Year&gt;&lt;RecNum&gt;2756&lt;/RecNum&gt;&lt;DisplayText&gt;&lt;style face="superscript"&gt;2&lt;/style&gt;&lt;/DisplayText&gt;&lt;record&gt;&lt;rec-number&gt;66&lt;/rec-number&gt;&lt;foreign-keys&gt;&lt;key app="EN" db-id="w9pwfv0xxa5v9vedxzkp20wvv52efwv0xppv" timestamp="1636614828"&gt;66&lt;/key&gt;&lt;/foreign-keys&gt;&lt;ref-type name="Journal Article"&gt;17&lt;/ref-type&gt;&lt;contributors&gt;&lt;authors&gt;&lt;author&gt;Bingley, P. J.&lt;/author&gt;&lt;author&gt;Williams, A. J.&lt;/author&gt;&lt;author&gt;Norcross, A. J.&lt;/author&gt;&lt;author&gt;Unsworth, D. J.&lt;/author&gt;&lt;author&gt;Lock, R. J.&lt;/author&gt;&lt;author&gt;Ness, A. R.&lt;/author&gt;&lt;author&gt;Jones, R. W.&lt;/author&gt;&lt;author&gt;Avon Longitudinal Study of, Parents&lt;/author&gt;&lt;author&gt;Children Study, Team&lt;/author&gt;&lt;/authors&gt;&lt;/contributors&gt;&lt;auth-address&gt;Division of Medicine, University of Bristol, Southmead Hospital, Bristol BS10 5NB. polly.bingley@bristol.ac.uk&lt;/auth-address&gt;&lt;titles&gt;&lt;title&gt;Undiagnosed coeliac disease at age seven: population based prospective birth cohort study&lt;/title&gt;&lt;secondary-title&gt;BMJ&lt;/secondary-title&gt;&lt;/titles&gt;&lt;periodical&gt;&lt;full-title&gt;BMJ&lt;/full-title&gt;&lt;/periodical&gt;&lt;pages&gt;322-3&lt;/pages&gt;&lt;volume&gt;328&lt;/volume&gt;&lt;number&gt;7435&lt;/number&gt;&lt;keywords&gt;&lt;keyword&gt;Celiac Disease/*diagnosis/epidemiology/immunology&lt;/keyword&gt;&lt;keyword&gt;Child&lt;/keyword&gt;&lt;keyword&gt;Cohort Studies&lt;/keyword&gt;&lt;keyword&gt;Female&lt;/keyword&gt;&lt;keyword&gt;Humans&lt;/keyword&gt;&lt;keyword&gt;Immunoglobulin A/analysis&lt;/keyword&gt;&lt;keyword&gt;Male&lt;/keyword&gt;&lt;keyword&gt;Muscle, Smooth/immunology&lt;/keyword&gt;&lt;keyword&gt;Prospective Studies&lt;/keyword&gt;&lt;keyword&gt;Sex Characteristics&lt;/keyword&gt;&lt;keyword&gt;United Kingdom/epidemiology&lt;/keyword&gt;&lt;/keywords&gt;&lt;dates&gt;&lt;year&gt;2004&lt;/year&gt;&lt;pub-dates&gt;&lt;date&gt;Feb 7&lt;/date&gt;&lt;/pub-dates&gt;&lt;/dates&gt;&lt;isbn&gt;1756-1833 (Electronic)&amp;#xD;0959-8138 (Linking)&lt;/isbn&gt;&lt;accession-num&gt;14764493&lt;/accession-num&gt;&lt;urls&gt;&lt;related-urls&gt;&lt;url&gt;https://www.ncbi.nlm.nih.gov/pubmed/14764493&lt;/url&gt;&lt;/related-urls&gt;&lt;/urls&gt;&lt;custom2&gt;PMC338097&lt;/custom2&gt;&lt;electronic-resource-num&gt;10.1136/bmj.328.7435.322&lt;/electronic-resource-num&gt;&lt;/record&gt;&lt;/Cite&gt;&lt;/EndNote&gt;</w:instrText>
      </w:r>
      <w:r>
        <w:rPr>
          <w:rFonts w:cstheme="minorHAnsi"/>
        </w:rPr>
        <w:fldChar w:fldCharType="separate"/>
      </w:r>
      <w:r w:rsidR="00160C21" w:rsidRPr="00160C21">
        <w:rPr>
          <w:rFonts w:cstheme="minorHAnsi"/>
          <w:noProof/>
          <w:vertAlign w:val="superscript"/>
        </w:rPr>
        <w:t>2</w:t>
      </w:r>
      <w:r>
        <w:rPr>
          <w:rFonts w:cstheme="minorHAnsi"/>
        </w:rPr>
        <w:fldChar w:fldCharType="end"/>
      </w:r>
      <w:r>
        <w:rPr>
          <w:rFonts w:cstheme="minorHAnsi"/>
        </w:rPr>
        <w:t xml:space="preserve"> </w:t>
      </w:r>
      <w:r w:rsidRPr="009419C2">
        <w:rPr>
          <w:rFonts w:cstheme="minorHAnsi"/>
        </w:rPr>
        <w:t xml:space="preserve">This gives a total population </w:t>
      </w:r>
      <w:r>
        <w:rPr>
          <w:rFonts w:cstheme="minorHAnsi"/>
        </w:rPr>
        <w:t xml:space="preserve">of </w:t>
      </w:r>
      <w:r w:rsidRPr="002138B5">
        <w:rPr>
          <w:rFonts w:cstheme="minorHAnsi"/>
        </w:rPr>
        <w:t>263</w:t>
      </w:r>
      <w:r>
        <w:rPr>
          <w:rFonts w:cstheme="minorHAnsi"/>
        </w:rPr>
        <w:t>,</w:t>
      </w:r>
      <w:r w:rsidRPr="002138B5">
        <w:rPr>
          <w:rFonts w:cstheme="minorHAnsi"/>
        </w:rPr>
        <w:t>465</w:t>
      </w:r>
      <w:r>
        <w:rPr>
          <w:rFonts w:cstheme="minorHAnsi"/>
        </w:rPr>
        <w:t xml:space="preserve"> in </w:t>
      </w:r>
      <w:r w:rsidRPr="009419C2">
        <w:rPr>
          <w:rFonts w:cstheme="minorHAnsi"/>
        </w:rPr>
        <w:t xml:space="preserve">adult men </w:t>
      </w:r>
      <w:r>
        <w:rPr>
          <w:rFonts w:cstheme="minorHAnsi"/>
        </w:rPr>
        <w:t xml:space="preserve">or adult women, and of 140,070 </w:t>
      </w:r>
      <w:r w:rsidRPr="009419C2">
        <w:rPr>
          <w:rFonts w:cstheme="minorHAnsi"/>
        </w:rPr>
        <w:t>in children</w:t>
      </w:r>
      <w:r>
        <w:rPr>
          <w:rFonts w:cstheme="minorHAnsi"/>
        </w:rPr>
        <w:t>.</w:t>
      </w:r>
    </w:p>
    <w:p w14:paraId="53681F8A" w14:textId="77777777" w:rsidR="00BF5EA3" w:rsidRDefault="00BF5EA3" w:rsidP="00BF5EA3">
      <w:pPr>
        <w:rPr>
          <w:rFonts w:cstheme="minorHAnsi"/>
        </w:rPr>
      </w:pPr>
      <w:r>
        <w:rPr>
          <w:rFonts w:cstheme="minorHAnsi"/>
        </w:rPr>
        <w:t>They must also be summed, with discounting at 3.5%, over a “technology horizon”, which is the length of time for which the screening strategy recommendations are likely to remain relevant before newer testing techniques emerge. The technology horizon was conservatively set at 10 years.</w:t>
      </w:r>
      <w:r w:rsidRPr="00C815FD">
        <w:rPr>
          <w:rFonts w:cstheme="minorHAnsi"/>
        </w:rPr>
        <w:t xml:space="preserve"> </w:t>
      </w:r>
      <w:r>
        <w:rPr>
          <w:rFonts w:cstheme="minorHAnsi"/>
        </w:rPr>
        <w:t xml:space="preserve">This gives a 10-year discounted total population of </w:t>
      </w:r>
      <w:r w:rsidRPr="00193331">
        <w:rPr>
          <w:rFonts w:cstheme="minorHAnsi"/>
        </w:rPr>
        <w:t>2</w:t>
      </w:r>
      <w:r>
        <w:rPr>
          <w:rFonts w:cstheme="minorHAnsi"/>
        </w:rPr>
        <w:t>,</w:t>
      </w:r>
      <w:r w:rsidRPr="00193331">
        <w:rPr>
          <w:rFonts w:cstheme="minorHAnsi"/>
        </w:rPr>
        <w:t>267</w:t>
      </w:r>
      <w:r>
        <w:rPr>
          <w:rFonts w:cstheme="minorHAnsi"/>
        </w:rPr>
        <w:t>,</w:t>
      </w:r>
      <w:r w:rsidRPr="00193331">
        <w:rPr>
          <w:rFonts w:cstheme="minorHAnsi"/>
        </w:rPr>
        <w:t>824</w:t>
      </w:r>
      <w:r>
        <w:rPr>
          <w:rFonts w:cstheme="minorHAnsi"/>
        </w:rPr>
        <w:t xml:space="preserve"> in adult men or adult women, and of </w:t>
      </w:r>
      <w:r w:rsidRPr="007A2777">
        <w:rPr>
          <w:rFonts w:cstheme="minorHAnsi"/>
        </w:rPr>
        <w:t>1</w:t>
      </w:r>
      <w:r>
        <w:rPr>
          <w:rFonts w:cstheme="minorHAnsi"/>
        </w:rPr>
        <w:t>,</w:t>
      </w:r>
      <w:r w:rsidRPr="007A2777">
        <w:rPr>
          <w:rFonts w:cstheme="minorHAnsi"/>
        </w:rPr>
        <w:t>205</w:t>
      </w:r>
      <w:r>
        <w:rPr>
          <w:rFonts w:cstheme="minorHAnsi"/>
        </w:rPr>
        <w:t>,</w:t>
      </w:r>
      <w:r w:rsidRPr="007A2777">
        <w:rPr>
          <w:rFonts w:cstheme="minorHAnsi"/>
        </w:rPr>
        <w:t>679</w:t>
      </w:r>
      <w:r>
        <w:rPr>
          <w:rFonts w:cstheme="minorHAnsi"/>
        </w:rPr>
        <w:t xml:space="preserve"> in children.</w:t>
      </w:r>
    </w:p>
    <w:p w14:paraId="5C8EC640" w14:textId="3D70DC58" w:rsidR="00BF5EA3" w:rsidRPr="00C815FD" w:rsidRDefault="00BF5EA3" w:rsidP="00BF5EA3">
      <w:pPr>
        <w:rPr>
          <w:rFonts w:cstheme="minorHAnsi"/>
        </w:rPr>
      </w:pPr>
      <w:r>
        <w:rPr>
          <w:rFonts w:cstheme="minorHAnsi"/>
        </w:rPr>
        <w:t xml:space="preserve">The total population EVPI over 10 years was calculated. The total population EVPPI was also calculated for all utilities and disutilities; all rates of osteoporosis and NHL; all parameters related to a </w:t>
      </w:r>
      <w:r w:rsidR="00693CFF">
        <w:t xml:space="preserve">gluten-free diet </w:t>
      </w:r>
      <w:r w:rsidR="006A3DCC">
        <w:rPr>
          <w:rFonts w:cstheme="minorHAnsi"/>
        </w:rPr>
        <w:t xml:space="preserve">(i.e. </w:t>
      </w:r>
      <w:r w:rsidR="00E87422">
        <w:rPr>
          <w:rFonts w:cstheme="minorHAnsi"/>
        </w:rPr>
        <w:t>utility</w:t>
      </w:r>
      <w:r w:rsidR="006A3DCC">
        <w:rPr>
          <w:rFonts w:cstheme="minorHAnsi"/>
        </w:rPr>
        <w:t xml:space="preserve"> and effects </w:t>
      </w:r>
      <w:r w:rsidR="00E87422">
        <w:rPr>
          <w:rFonts w:cstheme="minorHAnsi"/>
        </w:rPr>
        <w:t xml:space="preserve">of </w:t>
      </w:r>
      <w:r w:rsidR="00693CFF">
        <w:t xml:space="preserve">gluten-free diet </w:t>
      </w:r>
      <w:r w:rsidR="006A3DCC">
        <w:rPr>
          <w:rFonts w:cstheme="minorHAnsi"/>
        </w:rPr>
        <w:t>on NHL and osteoporosis rates)</w:t>
      </w:r>
      <w:r>
        <w:rPr>
          <w:rFonts w:cstheme="minorHAnsi"/>
        </w:rPr>
        <w:t xml:space="preserve">; </w:t>
      </w:r>
      <w:r w:rsidR="006A3DCC">
        <w:rPr>
          <w:rFonts w:cstheme="minorHAnsi"/>
        </w:rPr>
        <w:t>sensitivity and specificity of tests used in selected strategies of interest</w:t>
      </w:r>
      <w:r>
        <w:rPr>
          <w:rFonts w:cstheme="minorHAnsi"/>
        </w:rPr>
        <w:t xml:space="preserve">; and the probability of late diagnosis. </w:t>
      </w:r>
    </w:p>
    <w:p w14:paraId="5AFCFDD6" w14:textId="77777777" w:rsidR="00BF5EA3" w:rsidRPr="00305D05" w:rsidRDefault="00BF5EA3" w:rsidP="009C1D44">
      <w:pPr>
        <w:pStyle w:val="Heading3"/>
      </w:pPr>
      <w:bookmarkStart w:id="280" w:name="_Toc87507196"/>
      <w:bookmarkStart w:id="281" w:name="_Toc99539902"/>
      <w:r>
        <w:t>Software</w:t>
      </w:r>
      <w:bookmarkEnd w:id="280"/>
      <w:bookmarkEnd w:id="281"/>
    </w:p>
    <w:p w14:paraId="36A2F27A" w14:textId="1B9421BF" w:rsidR="00BF5EA3" w:rsidRPr="00C815FD" w:rsidRDefault="00BF5EA3" w:rsidP="00BF5EA3">
      <w:pPr>
        <w:rPr>
          <w:rFonts w:cstheme="minorHAnsi"/>
          <w:lang w:eastAsia="ko-KR"/>
        </w:rPr>
      </w:pPr>
      <w:r w:rsidRPr="00C815FD">
        <w:rPr>
          <w:rFonts w:cstheme="minorHAnsi"/>
        </w:rPr>
        <w:t>The model is implemented in the R statistical programming language</w:t>
      </w:r>
      <w:r w:rsidR="00F162BE">
        <w:rPr>
          <w:rFonts w:cstheme="minorHAnsi"/>
        </w:rPr>
        <w:t xml:space="preserve"> and utilised the lower level C/C++ programming language for optimisation</w:t>
      </w:r>
      <w:r w:rsidRPr="00C815FD">
        <w:rPr>
          <w:rFonts w:cstheme="minorHAnsi"/>
        </w:rPr>
        <w:t>.</w:t>
      </w:r>
      <w:r w:rsidRPr="00C815FD">
        <w:rPr>
          <w:rFonts w:cstheme="minorHAnsi"/>
        </w:rPr>
        <w:fldChar w:fldCharType="begin"/>
      </w:r>
      <w:r w:rsidR="00735CC0">
        <w:rPr>
          <w:rFonts w:cstheme="minorHAnsi"/>
        </w:rPr>
        <w:instrText xml:space="preserve"> ADDIN EN.CITE &lt;EndNote&gt;&lt;Cite&gt;&lt;Author&gt;Team&lt;/Author&gt;&lt;Year&gt;2013&lt;/Year&gt;&lt;RecNum&gt;2742&lt;/RecNum&gt;&lt;DisplayText&gt;&lt;style face="superscript"&gt;264&lt;/style&gt;&lt;/DisplayText&gt;&lt;record&gt;&lt;rec-number&gt;67&lt;/rec-number&gt;&lt;foreign-keys&gt;&lt;key app="EN" db-id="w9pwfv0xxa5v9vedxzkp20wvv52efwv0xppv" timestamp="1636614828"&gt;67&lt;/key&gt;&lt;/foreign-keys&gt;&lt;ref-type name="Journal Article"&gt;17&lt;/ref-type&gt;&lt;contributors&gt;&lt;authors&gt;&lt;author&gt;Team, R Core&lt;/author&gt;&lt;/authors&gt;&lt;/contributors&gt;&lt;titles&gt;&lt;title&gt;R: A language and environment for statistical computing&lt;/title&gt;&lt;/titles&gt;&lt;dates&gt;&lt;year&gt;2013&lt;/year&gt;&lt;/dates&gt;&lt;urls&gt;&lt;/urls&gt;&lt;/record&gt;&lt;/Cite&gt;&lt;/EndNote&gt;</w:instrText>
      </w:r>
      <w:r w:rsidRPr="00C815FD">
        <w:rPr>
          <w:rFonts w:cstheme="minorHAnsi"/>
        </w:rPr>
        <w:fldChar w:fldCharType="separate"/>
      </w:r>
      <w:r w:rsidR="00735CC0" w:rsidRPr="00735CC0">
        <w:rPr>
          <w:rFonts w:cstheme="minorHAnsi"/>
          <w:noProof/>
          <w:vertAlign w:val="superscript"/>
        </w:rPr>
        <w:t>264</w:t>
      </w:r>
      <w:r w:rsidRPr="00C815FD">
        <w:rPr>
          <w:rFonts w:cstheme="minorHAnsi"/>
        </w:rPr>
        <w:fldChar w:fldCharType="end"/>
      </w:r>
      <w:r w:rsidRPr="00C815FD">
        <w:rPr>
          <w:rFonts w:cstheme="minorHAnsi"/>
        </w:rPr>
        <w:t xml:space="preserve"> This has well document</w:t>
      </w:r>
      <w:r>
        <w:rPr>
          <w:rFonts w:cstheme="minorHAnsi"/>
        </w:rPr>
        <w:t>ed</w:t>
      </w:r>
      <w:r w:rsidRPr="00C815FD">
        <w:rPr>
          <w:rFonts w:cstheme="minorHAnsi"/>
        </w:rPr>
        <w:t xml:space="preserve"> advantages of efficiency, transparency, and flexibility over the more commonly employed Microsoft Excel.</w:t>
      </w:r>
      <w:r w:rsidRPr="00C815FD">
        <w:rPr>
          <w:rFonts w:cstheme="minorHAnsi"/>
        </w:rPr>
        <w:fldChar w:fldCharType="begin"/>
      </w:r>
      <w:r w:rsidR="00735CC0">
        <w:rPr>
          <w:rFonts w:cstheme="minorHAnsi"/>
        </w:rPr>
        <w:instrText xml:space="preserve"> ADDIN EN.CITE &lt;EndNote&gt;&lt;Cite&gt;&lt;Author&gt;Incerti&lt;/Author&gt;&lt;Year&gt;2019&lt;/Year&gt;&lt;RecNum&gt;5171&lt;/RecNum&gt;&lt;DisplayText&gt;&lt;style face="superscript"&gt;265&lt;/style&gt;&lt;/DisplayText&gt;&lt;record&gt;&lt;rec-number&gt;68&lt;/rec-number&gt;&lt;foreign-keys&gt;&lt;key app="EN" db-id="w9pwfv0xxa5v9vedxzkp20wvv52efwv0xppv" timestamp="1636614828"&gt;68&lt;/key&gt;&lt;/foreign-keys&gt;&lt;ref-type name="Journal Article"&gt;17&lt;/ref-type&gt;&lt;contributors&gt;&lt;authors&gt;&lt;author&gt;Incerti, Devin&lt;/author&gt;&lt;author&gt;Thom, Howard&lt;/author&gt;&lt;author&gt;Baio, Gianluca&lt;/author&gt;&lt;author&gt;Jansen, Jeroen P&lt;/author&gt;&lt;/authors&gt;&lt;/contributors&gt;&lt;titles&gt;&lt;title&gt;R you still using Excel? the advantages of modern software tools for health technology assessment&lt;/title&gt;&lt;secondary-title&gt;Value in Health&lt;/secondary-title&gt;&lt;/titles&gt;&lt;periodical&gt;&lt;full-title&gt;Value in Health&lt;/full-title&gt;&lt;/periodical&gt;&lt;pages&gt;575-579&lt;/pages&gt;&lt;volume&gt;22&lt;/volume&gt;&lt;number&gt;5&lt;/number&gt;&lt;dates&gt;&lt;year&gt;2019&lt;/year&gt;&lt;/dates&gt;&lt;isbn&gt;1098-3015&lt;/isbn&gt;&lt;urls&gt;&lt;/urls&gt;&lt;/record&gt;&lt;/Cite&gt;&lt;/EndNote&gt;</w:instrText>
      </w:r>
      <w:r w:rsidRPr="00C815FD">
        <w:rPr>
          <w:rFonts w:cstheme="minorHAnsi"/>
        </w:rPr>
        <w:fldChar w:fldCharType="separate"/>
      </w:r>
      <w:r w:rsidR="00735CC0" w:rsidRPr="00735CC0">
        <w:rPr>
          <w:rFonts w:cstheme="minorHAnsi"/>
          <w:noProof/>
          <w:vertAlign w:val="superscript"/>
        </w:rPr>
        <w:t>265</w:t>
      </w:r>
      <w:r w:rsidRPr="00C815FD">
        <w:rPr>
          <w:rFonts w:cstheme="minorHAnsi"/>
        </w:rPr>
        <w:fldChar w:fldCharType="end"/>
      </w:r>
      <w:r w:rsidRPr="00C815FD">
        <w:rPr>
          <w:rFonts w:cstheme="minorHAnsi"/>
        </w:rPr>
        <w:t xml:space="preserve"> </w:t>
      </w:r>
      <w:r>
        <w:rPr>
          <w:rFonts w:cstheme="minorHAnsi"/>
        </w:rPr>
        <w:t>The R package Bayesian Cost-Effectiveness Analysis (BCEA) was used to generate CEACs and estimate EVPPI via generalised additive models (GAMs) for individual parameters. BCEA was also used to plot the ratios of EVPPI to EVPI for each parameter using the info.rank() function.</w:t>
      </w:r>
    </w:p>
    <w:p w14:paraId="5689813C" w14:textId="77777777" w:rsidR="00BF5EA3" w:rsidRDefault="00BF5EA3" w:rsidP="009C1D44">
      <w:pPr>
        <w:pStyle w:val="Heading3"/>
      </w:pPr>
      <w:bookmarkStart w:id="282" w:name="_Toc87507197"/>
      <w:bookmarkStart w:id="283" w:name="_Toc99539903"/>
      <w:r>
        <w:t>Summary of modelling a</w:t>
      </w:r>
      <w:r w:rsidRPr="00305D05">
        <w:t>ssumptions</w:t>
      </w:r>
      <w:bookmarkEnd w:id="282"/>
      <w:bookmarkEnd w:id="283"/>
    </w:p>
    <w:p w14:paraId="689B7B92" w14:textId="0765CE3F" w:rsidR="00BF5EA3" w:rsidRDefault="00BF5EA3" w:rsidP="00BF5EA3">
      <w:r>
        <w:t xml:space="preserve">A summary of modelling assumptions is provided in </w:t>
      </w:r>
      <w:r>
        <w:fldChar w:fldCharType="begin"/>
      </w:r>
      <w:r>
        <w:instrText xml:space="preserve"> REF _Ref84001753 \h </w:instrText>
      </w:r>
      <w:r>
        <w:fldChar w:fldCharType="separate"/>
      </w:r>
      <w:r w:rsidR="008B5583">
        <w:t xml:space="preserve">Table </w:t>
      </w:r>
      <w:r w:rsidR="008B5583">
        <w:rPr>
          <w:noProof/>
        </w:rPr>
        <w:t>18</w:t>
      </w:r>
      <w:r>
        <w:fldChar w:fldCharType="end"/>
      </w:r>
      <w:r>
        <w:t>.</w:t>
      </w:r>
    </w:p>
    <w:p w14:paraId="5139182A" w14:textId="2A3F5DCA" w:rsidR="00BF5EA3" w:rsidRDefault="00BF5EA3" w:rsidP="00BF5EA3">
      <w:pPr>
        <w:pStyle w:val="Caption"/>
      </w:pPr>
      <w:bookmarkStart w:id="284" w:name="_Ref84001753"/>
      <w:bookmarkStart w:id="285" w:name="_Toc99720729"/>
      <w:r>
        <w:t xml:space="preserve">Table </w:t>
      </w:r>
      <w:r>
        <w:fldChar w:fldCharType="begin"/>
      </w:r>
      <w:r>
        <w:instrText>SEQ Table \* ARABIC</w:instrText>
      </w:r>
      <w:r>
        <w:fldChar w:fldCharType="separate"/>
      </w:r>
      <w:r w:rsidR="008B5583">
        <w:rPr>
          <w:noProof/>
        </w:rPr>
        <w:t>18</w:t>
      </w:r>
      <w:r>
        <w:fldChar w:fldCharType="end"/>
      </w:r>
      <w:bookmarkEnd w:id="284"/>
      <w:r>
        <w:t xml:space="preserve"> Key assumptions of the cost-effectiveness model.</w:t>
      </w:r>
      <w:bookmarkEnd w:id="285"/>
    </w:p>
    <w:tbl>
      <w:tblPr>
        <w:tblStyle w:val="TableGrid"/>
        <w:tblW w:w="5000" w:type="pct"/>
        <w:tblLook w:val="04A0" w:firstRow="1" w:lastRow="0" w:firstColumn="1" w:lastColumn="0" w:noHBand="0" w:noVBand="1"/>
      </w:tblPr>
      <w:tblGrid>
        <w:gridCol w:w="3002"/>
        <w:gridCol w:w="6014"/>
      </w:tblGrid>
      <w:tr w:rsidR="00BF5EA3" w:rsidRPr="009C1D44" w14:paraId="39D4F9DB" w14:textId="77777777" w:rsidTr="008430E3">
        <w:trPr>
          <w:tblHeader/>
        </w:trPr>
        <w:tc>
          <w:tcPr>
            <w:tcW w:w="1665" w:type="pct"/>
          </w:tcPr>
          <w:p w14:paraId="1660F0BB" w14:textId="77777777" w:rsidR="00BF5EA3" w:rsidRPr="009C1D44" w:rsidRDefault="00BF5EA3" w:rsidP="002265B2">
            <w:pPr>
              <w:rPr>
                <w:rFonts w:cstheme="minorHAnsi"/>
                <w:b/>
                <w:bCs/>
                <w:sz w:val="20"/>
                <w:szCs w:val="20"/>
              </w:rPr>
            </w:pPr>
            <w:r w:rsidRPr="009C1D44">
              <w:rPr>
                <w:rFonts w:cstheme="minorHAnsi"/>
                <w:b/>
                <w:bCs/>
                <w:sz w:val="20"/>
                <w:szCs w:val="20"/>
              </w:rPr>
              <w:t>Assumption</w:t>
            </w:r>
          </w:p>
        </w:tc>
        <w:tc>
          <w:tcPr>
            <w:tcW w:w="3335" w:type="pct"/>
          </w:tcPr>
          <w:p w14:paraId="1FFFF7DF" w14:textId="77777777" w:rsidR="00BF5EA3" w:rsidRPr="009C1D44" w:rsidRDefault="00BF5EA3" w:rsidP="002265B2">
            <w:pPr>
              <w:rPr>
                <w:rFonts w:cstheme="minorHAnsi"/>
                <w:b/>
                <w:bCs/>
                <w:sz w:val="20"/>
                <w:szCs w:val="20"/>
              </w:rPr>
            </w:pPr>
            <w:r w:rsidRPr="009C1D44">
              <w:rPr>
                <w:rFonts w:cstheme="minorHAnsi"/>
                <w:b/>
                <w:bCs/>
                <w:sz w:val="20"/>
                <w:szCs w:val="20"/>
              </w:rPr>
              <w:t>Justification</w:t>
            </w:r>
          </w:p>
        </w:tc>
      </w:tr>
      <w:tr w:rsidR="00BF5EA3" w:rsidRPr="009C1D44" w14:paraId="700D7AA2" w14:textId="77777777" w:rsidTr="009C1D44">
        <w:tc>
          <w:tcPr>
            <w:tcW w:w="1665" w:type="pct"/>
          </w:tcPr>
          <w:p w14:paraId="3A822A37" w14:textId="77777777" w:rsidR="00BF5EA3" w:rsidRPr="009C1D44" w:rsidRDefault="00BF5EA3" w:rsidP="002265B2">
            <w:pPr>
              <w:rPr>
                <w:rFonts w:cstheme="minorHAnsi"/>
                <w:sz w:val="20"/>
                <w:szCs w:val="20"/>
              </w:rPr>
            </w:pPr>
            <w:r w:rsidRPr="009C1D44">
              <w:rPr>
                <w:rFonts w:cstheme="minorHAnsi"/>
                <w:sz w:val="20"/>
                <w:szCs w:val="20"/>
              </w:rPr>
              <w:t>Biopsy is not associated with any major complications or death.</w:t>
            </w:r>
          </w:p>
        </w:tc>
        <w:tc>
          <w:tcPr>
            <w:tcW w:w="3335" w:type="pct"/>
          </w:tcPr>
          <w:p w14:paraId="2E9A49C9" w14:textId="7A1A24EA" w:rsidR="00BF5EA3" w:rsidRPr="009C1D44" w:rsidRDefault="00BF5EA3" w:rsidP="002265B2">
            <w:pPr>
              <w:rPr>
                <w:rFonts w:cstheme="minorHAnsi"/>
                <w:sz w:val="20"/>
                <w:szCs w:val="20"/>
              </w:rPr>
            </w:pPr>
            <w:r w:rsidRPr="009C1D44">
              <w:rPr>
                <w:rFonts w:cstheme="minorHAnsi"/>
                <w:sz w:val="20"/>
                <w:szCs w:val="20"/>
              </w:rPr>
              <w:t>No recent studies which give evidence of major complications or death. One recent study of 13,233 patients undergoing outpatient esophagogastroduodenoscopy (EGD) with biopsy over 5 years in the US concluded that no patient was admitted due to complications (15).</w:t>
            </w:r>
            <w:r w:rsidR="009C1650">
              <w:rPr>
                <w:rFonts w:cstheme="minorHAnsi"/>
                <w:sz w:val="20"/>
                <w:szCs w:val="20"/>
              </w:rPr>
              <w:t xml:space="preserve"> Small disutility assed due to procedure and waiting time for diagnosis. </w:t>
            </w:r>
          </w:p>
        </w:tc>
      </w:tr>
      <w:tr w:rsidR="00BF5EA3" w:rsidRPr="009C1D44" w14:paraId="0F49F80D" w14:textId="77777777" w:rsidTr="009C1D44">
        <w:tc>
          <w:tcPr>
            <w:tcW w:w="1665" w:type="pct"/>
          </w:tcPr>
          <w:p w14:paraId="50269827" w14:textId="77777777" w:rsidR="00BF5EA3" w:rsidRPr="009C1D44" w:rsidRDefault="00BF5EA3" w:rsidP="002265B2">
            <w:pPr>
              <w:rPr>
                <w:rFonts w:cstheme="minorHAnsi"/>
                <w:sz w:val="20"/>
                <w:szCs w:val="20"/>
              </w:rPr>
            </w:pPr>
            <w:r w:rsidRPr="009C1D44">
              <w:rPr>
                <w:rFonts w:cstheme="minorHAnsi"/>
                <w:sz w:val="20"/>
                <w:szCs w:val="20"/>
              </w:rPr>
              <w:t>Biopsy is perfectly accurate</w:t>
            </w:r>
          </w:p>
        </w:tc>
        <w:tc>
          <w:tcPr>
            <w:tcW w:w="3335" w:type="pct"/>
          </w:tcPr>
          <w:p w14:paraId="73A80162" w14:textId="77777777" w:rsidR="00BF5EA3" w:rsidRPr="009C1D44" w:rsidRDefault="00BF5EA3" w:rsidP="002265B2">
            <w:pPr>
              <w:rPr>
                <w:rFonts w:cstheme="minorHAnsi"/>
                <w:sz w:val="20"/>
                <w:szCs w:val="20"/>
              </w:rPr>
            </w:pPr>
            <w:r w:rsidRPr="009C1D44">
              <w:rPr>
                <w:rFonts w:cstheme="minorHAnsi"/>
                <w:sz w:val="20"/>
                <w:szCs w:val="20"/>
              </w:rPr>
              <w:t xml:space="preserve">In reality, biopsy will not always provide perfect results, however it is the current gold standard and people are treated on the basis of their biopsy results. The recent NICE health economic analysis of screening strategies also made this assumption. </w:t>
            </w:r>
          </w:p>
        </w:tc>
      </w:tr>
      <w:tr w:rsidR="00BF5EA3" w:rsidRPr="009C1D44" w14:paraId="7D64773C" w14:textId="77777777" w:rsidTr="009C1D44">
        <w:tc>
          <w:tcPr>
            <w:tcW w:w="1665" w:type="pct"/>
          </w:tcPr>
          <w:p w14:paraId="23BDD07C" w14:textId="62F69769" w:rsidR="00BF5EA3" w:rsidRPr="009C1D44" w:rsidRDefault="00B35D60" w:rsidP="002265B2">
            <w:pPr>
              <w:rPr>
                <w:rFonts w:cstheme="minorHAnsi"/>
                <w:sz w:val="20"/>
                <w:szCs w:val="20"/>
              </w:rPr>
            </w:pPr>
            <w:r>
              <w:rPr>
                <w:rFonts w:cstheme="minorHAnsi"/>
                <w:sz w:val="20"/>
                <w:szCs w:val="20"/>
              </w:rPr>
              <w:t>It is assumed that some percentage of undiagnosed patients are diagnosed through routine care and that some the p</w:t>
            </w:r>
            <w:r w:rsidR="00BF5EA3" w:rsidRPr="009C1D44">
              <w:rPr>
                <w:rFonts w:cstheme="minorHAnsi"/>
                <w:sz w:val="20"/>
                <w:szCs w:val="20"/>
              </w:rPr>
              <w:t xml:space="preserve">ercentage of patients being diagnosed with CD after screening (i.e. initially missed) requiring a confirmatory biopsy before diagnosis is 70% in late diagnosis. </w:t>
            </w:r>
          </w:p>
        </w:tc>
        <w:tc>
          <w:tcPr>
            <w:tcW w:w="3335" w:type="pct"/>
          </w:tcPr>
          <w:p w14:paraId="43F3DCA5" w14:textId="2D4A4932" w:rsidR="00BF5EA3" w:rsidRPr="009C1D44" w:rsidRDefault="00BF5EA3" w:rsidP="002265B2">
            <w:pPr>
              <w:rPr>
                <w:rFonts w:cstheme="minorHAnsi"/>
                <w:sz w:val="20"/>
                <w:szCs w:val="20"/>
              </w:rPr>
            </w:pPr>
            <w:r w:rsidRPr="009C1D44">
              <w:rPr>
                <w:rFonts w:cstheme="minorHAnsi"/>
                <w:sz w:val="20"/>
                <w:szCs w:val="20"/>
              </w:rPr>
              <w:t>Based on clinical advice that 30%, with a plausible range, of patients diagnosed with CD do not require a confirmatory biopsy. This is in accordance with recent research indicating high diagnostic accuracy of tests alone.</w:t>
            </w:r>
            <w:r w:rsidRPr="009C1D44">
              <w:rPr>
                <w:rFonts w:cstheme="minorHAnsi"/>
                <w:sz w:val="20"/>
                <w:szCs w:val="20"/>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sz w:val="20"/>
                <w:szCs w:val="20"/>
              </w:rPr>
              <w:instrText xml:space="preserve"> ADDIN EN.CITE </w:instrText>
            </w:r>
            <w:r w:rsidR="00735CC0">
              <w:rPr>
                <w:rFonts w:cstheme="minorHAnsi"/>
                <w:sz w:val="20"/>
                <w:szCs w:val="20"/>
              </w:rPr>
              <w:fldChar w:fldCharType="begin">
                <w:fldData xml:space="preserve">PEVuZE5vdGU+PENpdGU+PEF1dGhvcj5GdWNoczwvQXV0aG9yPjxZZWFyPjIwMTk8L1llYXI+PFJl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=
</w:fldData>
              </w:fldChar>
            </w:r>
            <w:r w:rsidR="00735CC0">
              <w:rPr>
                <w:rFonts w:cstheme="minorHAnsi"/>
                <w:sz w:val="20"/>
                <w:szCs w:val="20"/>
              </w:rPr>
              <w:instrText xml:space="preserve"> ADDIN EN.CITE.DATA </w:instrText>
            </w:r>
            <w:r w:rsidR="00735CC0">
              <w:rPr>
                <w:rFonts w:cstheme="minorHAnsi"/>
                <w:sz w:val="20"/>
                <w:szCs w:val="20"/>
              </w:rPr>
            </w:r>
            <w:r w:rsidR="00735CC0">
              <w:rPr>
                <w:rFonts w:cstheme="minorHAnsi"/>
                <w:sz w:val="20"/>
                <w:szCs w:val="20"/>
              </w:rPr>
              <w:fldChar w:fldCharType="end"/>
            </w:r>
            <w:r w:rsidRPr="009C1D44">
              <w:rPr>
                <w:rFonts w:cstheme="minorHAnsi"/>
                <w:sz w:val="20"/>
                <w:szCs w:val="20"/>
              </w:rPr>
            </w:r>
            <w:r w:rsidRPr="009C1D44">
              <w:rPr>
                <w:rFonts w:cstheme="minorHAnsi"/>
                <w:sz w:val="20"/>
                <w:szCs w:val="20"/>
              </w:rPr>
              <w:fldChar w:fldCharType="separate"/>
            </w:r>
            <w:r w:rsidR="00735CC0" w:rsidRPr="00735CC0">
              <w:rPr>
                <w:rFonts w:cstheme="minorHAnsi"/>
                <w:noProof/>
                <w:sz w:val="20"/>
                <w:szCs w:val="20"/>
                <w:vertAlign w:val="superscript"/>
              </w:rPr>
              <w:t>223-226</w:t>
            </w:r>
            <w:r w:rsidRPr="009C1D44">
              <w:rPr>
                <w:rFonts w:cstheme="minorHAnsi"/>
                <w:sz w:val="20"/>
                <w:szCs w:val="20"/>
              </w:rPr>
              <w:fldChar w:fldCharType="end"/>
            </w:r>
          </w:p>
        </w:tc>
      </w:tr>
      <w:tr w:rsidR="00BF5EA3" w:rsidRPr="009C1D44" w14:paraId="182A30EB" w14:textId="77777777" w:rsidTr="009C1D44">
        <w:tc>
          <w:tcPr>
            <w:tcW w:w="1665" w:type="pct"/>
          </w:tcPr>
          <w:p w14:paraId="123F3C13" w14:textId="77777777" w:rsidR="00BF5EA3" w:rsidRPr="009C1D44" w:rsidRDefault="00BF5EA3" w:rsidP="002265B2">
            <w:pPr>
              <w:rPr>
                <w:rFonts w:cstheme="minorHAnsi"/>
                <w:sz w:val="20"/>
                <w:szCs w:val="20"/>
              </w:rPr>
            </w:pPr>
            <w:r w:rsidRPr="009C1D44">
              <w:rPr>
                <w:rFonts w:cstheme="minorHAnsi"/>
                <w:sz w:val="20"/>
                <w:szCs w:val="20"/>
              </w:rPr>
              <w:t>Only additional costs incurred by people with false positive diagnosis of CD are cost of GFD for a short period of time.</w:t>
            </w:r>
          </w:p>
          <w:p w14:paraId="1EF0615F" w14:textId="4A24FA62" w:rsidR="00BF5EA3" w:rsidRPr="009C1D44" w:rsidRDefault="00BF5EA3" w:rsidP="002265B2">
            <w:pPr>
              <w:rPr>
                <w:rFonts w:cstheme="minorHAnsi"/>
                <w:sz w:val="20"/>
                <w:szCs w:val="20"/>
              </w:rPr>
            </w:pPr>
            <w:r w:rsidRPr="009C1D44">
              <w:rPr>
                <w:rFonts w:cstheme="minorHAnsi"/>
                <w:sz w:val="20"/>
                <w:szCs w:val="20"/>
              </w:rPr>
              <w:t>No further costs are incurred by people with a true negative diagnosis.</w:t>
            </w:r>
          </w:p>
        </w:tc>
        <w:tc>
          <w:tcPr>
            <w:tcW w:w="3335" w:type="pct"/>
          </w:tcPr>
          <w:p w14:paraId="06D44365" w14:textId="77777777" w:rsidR="00BF5EA3" w:rsidRPr="009C1D44" w:rsidRDefault="00BF5EA3" w:rsidP="002265B2">
            <w:pPr>
              <w:rPr>
                <w:rFonts w:cstheme="minorHAnsi"/>
                <w:sz w:val="20"/>
                <w:szCs w:val="20"/>
              </w:rPr>
            </w:pPr>
            <w:r w:rsidRPr="009C1D44">
              <w:rPr>
                <w:rFonts w:cstheme="minorHAnsi"/>
                <w:sz w:val="20"/>
                <w:szCs w:val="20"/>
              </w:rPr>
              <w:t>Patients without CD who are screened for CD are assumed not to have different costs or health outcomes to other non-CD patients who were not screened for CD. As such, we only model long-term consequences of patients who have CD (whether diagnosed or undiagnosed).</w:t>
            </w:r>
          </w:p>
        </w:tc>
      </w:tr>
      <w:tr w:rsidR="00BF5EA3" w:rsidRPr="009C1D44" w14:paraId="25A25F95" w14:textId="77777777" w:rsidTr="009C1D44">
        <w:tc>
          <w:tcPr>
            <w:tcW w:w="1665" w:type="pct"/>
          </w:tcPr>
          <w:p w14:paraId="25A355D4" w14:textId="07A6535A" w:rsidR="00BF5EA3" w:rsidRPr="009C1D44" w:rsidRDefault="00BF5EA3" w:rsidP="002265B2">
            <w:pPr>
              <w:rPr>
                <w:rFonts w:cstheme="minorHAnsi"/>
                <w:sz w:val="20"/>
                <w:szCs w:val="20"/>
              </w:rPr>
            </w:pPr>
            <w:r w:rsidRPr="009C1D44">
              <w:rPr>
                <w:rFonts w:cstheme="minorHAnsi"/>
                <w:sz w:val="20"/>
                <w:szCs w:val="20"/>
              </w:rPr>
              <w:lastRenderedPageBreak/>
              <w:t>NHL is associated with a one-off lifetime cost of £18,396 (18,377–18,415) with a lognormal distribution.</w:t>
            </w:r>
          </w:p>
        </w:tc>
        <w:tc>
          <w:tcPr>
            <w:tcW w:w="3335" w:type="pct"/>
          </w:tcPr>
          <w:p w14:paraId="0620712C" w14:textId="77777777" w:rsidR="00BF5EA3" w:rsidRPr="009C1D44" w:rsidRDefault="00BF5EA3" w:rsidP="002265B2">
            <w:pPr>
              <w:rPr>
                <w:rFonts w:cstheme="minorHAnsi"/>
                <w:sz w:val="20"/>
                <w:szCs w:val="20"/>
              </w:rPr>
            </w:pPr>
            <w:r w:rsidRPr="009C1D44">
              <w:rPr>
                <w:rFonts w:cstheme="minorHAnsi"/>
                <w:sz w:val="20"/>
                <w:szCs w:val="20"/>
              </w:rPr>
              <w:t>Treatment for NHL is usually complete within 5 years, with most costs estimated to fall within 5 years. The model used to estimate costs factors in different survival times when estimating the treatment costs, so patients would incur fewer costs if they died within a shorter time.</w:t>
            </w:r>
          </w:p>
        </w:tc>
      </w:tr>
      <w:tr w:rsidR="00BF5EA3" w:rsidRPr="009C1D44" w14:paraId="1208E92C" w14:textId="77777777" w:rsidTr="009C1D44">
        <w:tc>
          <w:tcPr>
            <w:tcW w:w="1665" w:type="pct"/>
          </w:tcPr>
          <w:p w14:paraId="61398C40" w14:textId="77777777" w:rsidR="00BF5EA3" w:rsidRPr="009C1D44" w:rsidRDefault="00BF5EA3" w:rsidP="002265B2">
            <w:pPr>
              <w:rPr>
                <w:rFonts w:cstheme="minorHAnsi"/>
                <w:sz w:val="20"/>
                <w:szCs w:val="20"/>
              </w:rPr>
            </w:pPr>
            <w:r w:rsidRPr="009C1D44">
              <w:rPr>
                <w:rFonts w:cstheme="minorHAnsi"/>
                <w:sz w:val="20"/>
                <w:szCs w:val="20"/>
              </w:rPr>
              <w:t>Annual cost/disutility of osteoporosis is equal to annual probability of hip, vertebral and wrist fracture multiplied by cost/disutility of each type of fracture</w:t>
            </w:r>
          </w:p>
        </w:tc>
        <w:tc>
          <w:tcPr>
            <w:tcW w:w="3335" w:type="pct"/>
          </w:tcPr>
          <w:p w14:paraId="77C66B22" w14:textId="77777777" w:rsidR="00BF5EA3" w:rsidRPr="009C1D44" w:rsidRDefault="00BF5EA3" w:rsidP="002265B2">
            <w:pPr>
              <w:rPr>
                <w:rFonts w:cstheme="minorHAnsi"/>
                <w:sz w:val="20"/>
                <w:szCs w:val="20"/>
              </w:rPr>
            </w:pPr>
            <w:r w:rsidRPr="009C1D44">
              <w:rPr>
                <w:rFonts w:cstheme="minorHAnsi"/>
                <w:sz w:val="20"/>
                <w:szCs w:val="20"/>
              </w:rPr>
              <w:t xml:space="preserve">This is the approach taken in the NICE model. The cost and disutility of osteoporosis mainly relates to the risk of fracture, of which hip, vertebral and wrist are common types. </w:t>
            </w:r>
          </w:p>
        </w:tc>
      </w:tr>
      <w:tr w:rsidR="00BF5EA3" w:rsidRPr="009C1D44" w14:paraId="58D5447B" w14:textId="77777777" w:rsidTr="009C1D44">
        <w:tc>
          <w:tcPr>
            <w:tcW w:w="1665" w:type="pct"/>
          </w:tcPr>
          <w:p w14:paraId="7AE5ED29" w14:textId="77777777" w:rsidR="00BF5EA3" w:rsidRPr="009C1D44" w:rsidRDefault="00BF5EA3" w:rsidP="002265B2">
            <w:pPr>
              <w:rPr>
                <w:rFonts w:cstheme="minorHAnsi"/>
                <w:sz w:val="20"/>
                <w:szCs w:val="20"/>
              </w:rPr>
            </w:pPr>
            <w:r w:rsidRPr="009C1D44">
              <w:rPr>
                <w:rFonts w:cstheme="minorHAnsi"/>
                <w:sz w:val="20"/>
                <w:szCs w:val="20"/>
              </w:rPr>
              <w:t>Treatment for IDA in CD patients is by over-the-counter iron tablets only.</w:t>
            </w:r>
          </w:p>
        </w:tc>
        <w:tc>
          <w:tcPr>
            <w:tcW w:w="3335" w:type="pct"/>
          </w:tcPr>
          <w:p w14:paraId="61C8363A" w14:textId="77777777" w:rsidR="00BF5EA3" w:rsidRPr="009C1D44" w:rsidRDefault="00BF5EA3" w:rsidP="002265B2">
            <w:pPr>
              <w:rPr>
                <w:rFonts w:cstheme="minorHAnsi"/>
                <w:sz w:val="20"/>
                <w:szCs w:val="20"/>
              </w:rPr>
            </w:pPr>
            <w:r w:rsidRPr="009C1D44">
              <w:rPr>
                <w:rFonts w:cstheme="minorHAnsi"/>
                <w:sz w:val="20"/>
                <w:szCs w:val="20"/>
              </w:rPr>
              <w:t>This was based on clinical opinion</w:t>
            </w:r>
          </w:p>
        </w:tc>
      </w:tr>
      <w:tr w:rsidR="00BF5EA3" w:rsidRPr="009C1D44" w14:paraId="7C0B5AC4" w14:textId="77777777" w:rsidTr="009C1D44">
        <w:tc>
          <w:tcPr>
            <w:tcW w:w="1665" w:type="pct"/>
          </w:tcPr>
          <w:p w14:paraId="08B114BA" w14:textId="77777777" w:rsidR="00BF5EA3" w:rsidRPr="009C1D44" w:rsidRDefault="00BF5EA3" w:rsidP="002265B2">
            <w:pPr>
              <w:rPr>
                <w:rFonts w:cstheme="minorHAnsi"/>
                <w:sz w:val="20"/>
                <w:szCs w:val="20"/>
              </w:rPr>
            </w:pPr>
            <w:r w:rsidRPr="009C1D44">
              <w:rPr>
                <w:rFonts w:cstheme="minorHAnsi"/>
                <w:sz w:val="20"/>
                <w:szCs w:val="20"/>
              </w:rPr>
              <w:t>IDA disutility is already captured in utility values for undiagnosed CD/diagnosed CD sourced from Violato et al 2019(26)</w:t>
            </w:r>
          </w:p>
        </w:tc>
        <w:tc>
          <w:tcPr>
            <w:tcW w:w="3335" w:type="pct"/>
          </w:tcPr>
          <w:p w14:paraId="0C74E895" w14:textId="77777777" w:rsidR="00BF5EA3" w:rsidRPr="009C1D44" w:rsidRDefault="00BF5EA3" w:rsidP="002265B2">
            <w:pPr>
              <w:rPr>
                <w:rFonts w:cstheme="minorHAnsi"/>
                <w:sz w:val="20"/>
                <w:szCs w:val="20"/>
              </w:rPr>
            </w:pPr>
            <w:r w:rsidRPr="009C1D44">
              <w:rPr>
                <w:rFonts w:cstheme="minorHAnsi"/>
                <w:sz w:val="20"/>
                <w:szCs w:val="20"/>
              </w:rPr>
              <w:t>Violato et al reported that 64.8% of their population had anaemia prior to diagnosis and 14.5% after.</w:t>
            </w:r>
          </w:p>
        </w:tc>
      </w:tr>
      <w:tr w:rsidR="00BF5EA3" w:rsidRPr="009C1D44" w14:paraId="64C56FB5" w14:textId="77777777" w:rsidTr="009C1D44">
        <w:tc>
          <w:tcPr>
            <w:tcW w:w="1665" w:type="pct"/>
          </w:tcPr>
          <w:p w14:paraId="5AA60BB6" w14:textId="77777777" w:rsidR="00BF5EA3" w:rsidRPr="009C1D44" w:rsidRDefault="00BF5EA3" w:rsidP="002265B2">
            <w:pPr>
              <w:rPr>
                <w:rFonts w:cstheme="minorHAnsi"/>
                <w:sz w:val="20"/>
                <w:szCs w:val="20"/>
              </w:rPr>
            </w:pPr>
            <w:r w:rsidRPr="009C1D44">
              <w:rPr>
                <w:rFonts w:cstheme="minorHAnsi"/>
                <w:sz w:val="20"/>
                <w:szCs w:val="20"/>
              </w:rPr>
              <w:t>Mortality in model is equal to general population mortality with excess mortality assigned to patients who develop NHL or osteoporosis</w:t>
            </w:r>
          </w:p>
        </w:tc>
        <w:tc>
          <w:tcPr>
            <w:tcW w:w="3335" w:type="pct"/>
          </w:tcPr>
          <w:p w14:paraId="2F1C1E5C" w14:textId="77777777" w:rsidR="00BF5EA3" w:rsidRPr="009C1D44" w:rsidRDefault="00BF5EA3" w:rsidP="002265B2">
            <w:pPr>
              <w:rPr>
                <w:rFonts w:cstheme="minorHAnsi"/>
                <w:sz w:val="20"/>
                <w:szCs w:val="20"/>
              </w:rPr>
            </w:pPr>
          </w:p>
        </w:tc>
      </w:tr>
      <w:tr w:rsidR="00BF5EA3" w:rsidRPr="009C1D44" w14:paraId="02D76CC5" w14:textId="77777777" w:rsidTr="009C1D44">
        <w:tc>
          <w:tcPr>
            <w:tcW w:w="1665" w:type="pct"/>
          </w:tcPr>
          <w:p w14:paraId="055B6D1E" w14:textId="77777777" w:rsidR="00BF5EA3" w:rsidRPr="009C1D44" w:rsidRDefault="00BF5EA3" w:rsidP="002265B2">
            <w:pPr>
              <w:rPr>
                <w:rFonts w:cstheme="minorHAnsi"/>
                <w:sz w:val="20"/>
                <w:szCs w:val="20"/>
              </w:rPr>
            </w:pPr>
            <w:r w:rsidRPr="009C1D44">
              <w:rPr>
                <w:rFonts w:cstheme="minorHAnsi"/>
                <w:sz w:val="20"/>
                <w:szCs w:val="20"/>
              </w:rPr>
              <w:t>To get to a diagnosis of CD a person’s first appointment is either with a Nurse or a GP, with a 50% chance of this being with one or the other. This is followed by an appointment with a phlebotomist/nurse and then by another GP appointment. Following that, a patient has on average one gastroenterologist and two dietician appointments before diagnosis.</w:t>
            </w:r>
          </w:p>
        </w:tc>
        <w:tc>
          <w:tcPr>
            <w:tcW w:w="3335" w:type="pct"/>
          </w:tcPr>
          <w:p w14:paraId="1F75BCC4" w14:textId="12D85DB1" w:rsidR="00BF5EA3" w:rsidRPr="009C1D44" w:rsidRDefault="00BF5EA3" w:rsidP="002265B2">
            <w:pPr>
              <w:rPr>
                <w:rFonts w:cstheme="minorHAnsi"/>
                <w:sz w:val="20"/>
                <w:szCs w:val="20"/>
              </w:rPr>
            </w:pPr>
            <w:r w:rsidRPr="009C1D44">
              <w:rPr>
                <w:rFonts w:cstheme="minorHAnsi"/>
                <w:sz w:val="20"/>
                <w:szCs w:val="20"/>
              </w:rPr>
              <w:t>This was the most common route to diagnosis as agreed by clinicians and patients on research team.</w:t>
            </w:r>
          </w:p>
        </w:tc>
      </w:tr>
    </w:tbl>
    <w:p w14:paraId="43CF021F" w14:textId="77777777" w:rsidR="00BF5EA3" w:rsidRPr="00305D05" w:rsidRDefault="00BF5EA3" w:rsidP="00BF5EA3">
      <w:pPr>
        <w:rPr>
          <w:rFonts w:cstheme="minorHAnsi"/>
        </w:rPr>
      </w:pPr>
    </w:p>
    <w:p w14:paraId="77913E6B" w14:textId="77777777" w:rsidR="00BF5EA3" w:rsidRPr="00305D05" w:rsidRDefault="00BF5EA3" w:rsidP="009C1D44">
      <w:pPr>
        <w:pStyle w:val="Heading3"/>
      </w:pPr>
      <w:bookmarkStart w:id="286" w:name="_Toc87507198"/>
      <w:bookmarkStart w:id="287" w:name="_Toc99539904"/>
      <w:r w:rsidRPr="00305D05">
        <w:t>Results</w:t>
      </w:r>
      <w:bookmarkEnd w:id="286"/>
      <w:bookmarkEnd w:id="287"/>
    </w:p>
    <w:p w14:paraId="1A1482F0" w14:textId="77777777" w:rsidR="00BF5EA3" w:rsidRPr="00305D05" w:rsidRDefault="00BF5EA3" w:rsidP="00BF5EA3">
      <w:pPr>
        <w:rPr>
          <w:rFonts w:cstheme="minorHAnsi"/>
        </w:rPr>
      </w:pPr>
      <w:r>
        <w:rPr>
          <w:rFonts w:cstheme="minorHAnsi"/>
        </w:rPr>
        <w:t xml:space="preserve">In this section we present all results of the cost-effectiveness analysis of case-finding strategies in adult men, adult women, and children. </w:t>
      </w:r>
    </w:p>
    <w:p w14:paraId="1FEFF29A" w14:textId="77777777" w:rsidR="00BF5EA3" w:rsidRPr="00E01766" w:rsidRDefault="00BF5EA3" w:rsidP="009C1D44">
      <w:pPr>
        <w:pStyle w:val="Heading4"/>
      </w:pPr>
      <w:bookmarkStart w:id="288" w:name="_Toc87507199"/>
      <w:r w:rsidRPr="00305D05">
        <w:t>Adult men</w:t>
      </w:r>
      <w:bookmarkEnd w:id="288"/>
    </w:p>
    <w:p w14:paraId="533AC760" w14:textId="29421040" w:rsidR="00BF5EA3" w:rsidRPr="00305D05" w:rsidRDefault="00BF5EA3" w:rsidP="00BF5EA3">
      <w:pPr>
        <w:rPr>
          <w:rFonts w:cstheme="minorHAnsi"/>
        </w:rPr>
      </w:pPr>
      <w:r w:rsidRPr="00305D05">
        <w:rPr>
          <w:rFonts w:cstheme="minorHAnsi"/>
        </w:rPr>
        <w:t xml:space="preserve">We first compared a range of combinations of sensitivities and specificities for a hypothetical </w:t>
      </w:r>
      <w:r w:rsidR="00E25065">
        <w:rPr>
          <w:rFonts w:cstheme="minorHAnsi"/>
        </w:rPr>
        <w:t xml:space="preserve">diagnostic indicator (or indicator combinations) </w:t>
      </w:r>
      <w:r w:rsidRPr="00305D05">
        <w:rPr>
          <w:rFonts w:cstheme="minorHAnsi"/>
        </w:rPr>
        <w:t xml:space="preserve">in the adult men population. </w:t>
      </w:r>
      <w:r w:rsidR="00CE0B73">
        <w:rPr>
          <w:rFonts w:cstheme="minorHAnsi"/>
        </w:rPr>
        <w:fldChar w:fldCharType="begin"/>
      </w:r>
      <w:r w:rsidR="00CE0B73">
        <w:rPr>
          <w:rFonts w:cstheme="minorHAnsi"/>
        </w:rPr>
        <w:instrText xml:space="preserve"> REF _Ref87622612 \h </w:instrText>
      </w:r>
      <w:r w:rsidR="00CE0B73">
        <w:rPr>
          <w:rFonts w:cstheme="minorHAnsi"/>
        </w:rPr>
      </w:r>
      <w:r w:rsidR="00CE0B73">
        <w:rPr>
          <w:rFonts w:cstheme="minorHAnsi"/>
        </w:rPr>
        <w:fldChar w:fldCharType="separate"/>
      </w:r>
      <w:r w:rsidR="008B5583">
        <w:t xml:space="preserve">Figure </w:t>
      </w:r>
      <w:r w:rsidR="008B5583">
        <w:rPr>
          <w:noProof/>
        </w:rPr>
        <w:t>14</w:t>
      </w:r>
      <w:r w:rsidR="00CE0B73">
        <w:rPr>
          <w:rFonts w:cstheme="minorHAnsi"/>
        </w:rPr>
        <w:fldChar w:fldCharType="end"/>
      </w:r>
      <w:r w:rsidR="00CE0B73">
        <w:rPr>
          <w:rFonts w:cstheme="minorHAnsi"/>
        </w:rPr>
        <w:t xml:space="preserve"> </w:t>
      </w:r>
      <w:r w:rsidRPr="00305D05">
        <w:rPr>
          <w:rFonts w:cstheme="minorHAnsi"/>
        </w:rPr>
        <w:t>plots the incremental net benefit at £20,000/QALY of each sensitivity/specificity combination of a</w:t>
      </w:r>
      <w:r w:rsidR="00E25065">
        <w:rPr>
          <w:rFonts w:cstheme="minorHAnsi"/>
        </w:rPr>
        <w:t>n indicator</w:t>
      </w:r>
      <w:r w:rsidRPr="00305D05">
        <w:rPr>
          <w:rFonts w:cstheme="minorHAnsi"/>
        </w:rPr>
        <w:t xml:space="preserve"> combined with each serological test</w:t>
      </w:r>
      <w:r w:rsidR="001D5152">
        <w:rPr>
          <w:rFonts w:cstheme="minorHAnsi"/>
        </w:rPr>
        <w:t xml:space="preserve">ing </w:t>
      </w:r>
      <w:r w:rsidR="007976A4">
        <w:rPr>
          <w:rFonts w:cstheme="minorHAnsi"/>
        </w:rPr>
        <w:t>strategy</w:t>
      </w:r>
      <w:r w:rsidRPr="00305D05">
        <w:rPr>
          <w:rFonts w:cstheme="minorHAnsi"/>
        </w:rPr>
        <w:t xml:space="preserve">, compared to no screening, in adult men. The central estimates are the mean incremental net benefit with the upper and lower confidence intervals represented by the upper and lower lines. </w:t>
      </w:r>
    </w:p>
    <w:p w14:paraId="10FF8804" w14:textId="68F7794E" w:rsidR="00BF5EA3" w:rsidRPr="00305D05" w:rsidRDefault="00BF5EA3" w:rsidP="00BF5EA3">
      <w:pPr>
        <w:rPr>
          <w:rFonts w:cstheme="minorHAnsi"/>
        </w:rPr>
      </w:pPr>
      <w:r w:rsidRPr="00305D05">
        <w:rPr>
          <w:rFonts w:cstheme="minorHAnsi"/>
        </w:rPr>
        <w:t xml:space="preserve">The figure shows that for </w:t>
      </w:r>
      <w:r>
        <w:rPr>
          <w:rFonts w:cstheme="minorHAnsi"/>
        </w:rPr>
        <w:t>strategies using only serological tests (i.e. without</w:t>
      </w:r>
      <w:r w:rsidRPr="00305D05">
        <w:rPr>
          <w:rFonts w:cstheme="minorHAnsi"/>
        </w:rPr>
        <w:t xml:space="preserve"> HLA</w:t>
      </w:r>
      <w:r>
        <w:rPr>
          <w:rFonts w:cstheme="minorHAnsi"/>
        </w:rPr>
        <w:t>)</w:t>
      </w:r>
      <w:r w:rsidRPr="00305D05">
        <w:rPr>
          <w:rFonts w:cstheme="minorHAnsi"/>
        </w:rPr>
        <w:t xml:space="preserve"> incremental net benefit is only positive when </w:t>
      </w:r>
      <w:r w:rsidR="001D5152">
        <w:rPr>
          <w:rFonts w:cstheme="minorHAnsi"/>
        </w:rPr>
        <w:t xml:space="preserve">diagnostic indicator </w:t>
      </w:r>
      <w:r w:rsidRPr="00305D05">
        <w:rPr>
          <w:rFonts w:cstheme="minorHAnsi"/>
        </w:rPr>
        <w:t xml:space="preserve">sensitivity is above 0.9 or both the specificity and sensitivity are above 0.8. For the </w:t>
      </w:r>
      <w:r w:rsidR="001D5152">
        <w:rPr>
          <w:rFonts w:cstheme="minorHAnsi"/>
        </w:rPr>
        <w:t xml:space="preserve">serological </w:t>
      </w:r>
      <w:r w:rsidRPr="00305D05">
        <w:rPr>
          <w:rFonts w:cstheme="minorHAnsi"/>
        </w:rPr>
        <w:t xml:space="preserve">tests including HLA, incremental net benefit is positive regardless of the accuracy of the </w:t>
      </w:r>
      <w:r w:rsidR="001D5152">
        <w:rPr>
          <w:rFonts w:cstheme="minorHAnsi"/>
        </w:rPr>
        <w:t>diagnostic indicator</w:t>
      </w:r>
      <w:r w:rsidRPr="00305D05">
        <w:rPr>
          <w:rFonts w:cstheme="minorHAnsi"/>
        </w:rPr>
        <w:t xml:space="preserve">, although the lower </w:t>
      </w:r>
      <w:r>
        <w:rPr>
          <w:rFonts w:cstheme="minorHAnsi"/>
        </w:rPr>
        <w:t>limit of the 95% CrI</w:t>
      </w:r>
      <w:r w:rsidRPr="00305D05">
        <w:rPr>
          <w:rFonts w:cstheme="minorHAnsi"/>
        </w:rPr>
        <w:t xml:space="preserve"> show that there is some uncertainty</w:t>
      </w:r>
      <w:r>
        <w:rPr>
          <w:rFonts w:cstheme="minorHAnsi"/>
        </w:rPr>
        <w:t xml:space="preserve">. The combinations using only the IgA EMA serological test plus HLA </w:t>
      </w:r>
      <w:r>
        <w:rPr>
          <w:rFonts w:cstheme="minorHAnsi"/>
        </w:rPr>
        <w:lastRenderedPageBreak/>
        <w:t xml:space="preserve">(i.e. </w:t>
      </w:r>
      <w:r w:rsidRPr="00EF284E">
        <w:rPr>
          <w:rFonts w:cstheme="minorHAnsi"/>
        </w:rPr>
        <w:t>IgA EMA plus HLA or HLA plus IgA EMA</w:t>
      </w:r>
      <w:r>
        <w:rPr>
          <w:rFonts w:cstheme="minorHAnsi"/>
        </w:rPr>
        <w:t xml:space="preserve">) are more cost-effective than strategies using IgA tTG plus HLA and comparable in cost-effectiveness to tests using all </w:t>
      </w:r>
      <w:r w:rsidR="00897786">
        <w:rPr>
          <w:rFonts w:cstheme="minorHAnsi"/>
        </w:rPr>
        <w:t>three of</w:t>
      </w:r>
      <w:r>
        <w:rPr>
          <w:rFonts w:cstheme="minorHAnsi"/>
        </w:rPr>
        <w:t xml:space="preserve"> IgA EMA, IgA tTG and </w:t>
      </w:r>
      <w:r w:rsidR="00930117">
        <w:rPr>
          <w:rFonts w:cstheme="minorHAnsi"/>
        </w:rPr>
        <w:t>HLA</w:t>
      </w:r>
      <w:r>
        <w:rPr>
          <w:rFonts w:cstheme="minorHAnsi"/>
        </w:rPr>
        <w:t>. HLA being administered before or (as confirmation</w:t>
      </w:r>
      <w:r w:rsidR="00C4320A">
        <w:rPr>
          <w:rFonts w:cstheme="minorHAnsi"/>
        </w:rPr>
        <w:t xml:space="preserve"> if post-test probability &lt;90%</w:t>
      </w:r>
      <w:r>
        <w:rPr>
          <w:rFonts w:cstheme="minorHAnsi"/>
        </w:rPr>
        <w:t xml:space="preserve">) after </w:t>
      </w:r>
      <w:r w:rsidR="00C63A6A">
        <w:rPr>
          <w:rFonts w:cstheme="minorHAnsi"/>
        </w:rPr>
        <w:t>IgA EMA</w:t>
      </w:r>
      <w:r>
        <w:rPr>
          <w:rFonts w:cstheme="minorHAnsi"/>
        </w:rPr>
        <w:t xml:space="preserve"> </w:t>
      </w:r>
      <w:r w:rsidR="00A564C5">
        <w:rPr>
          <w:rFonts w:cstheme="minorHAnsi"/>
        </w:rPr>
        <w:t>or IgA tTG plus EMA</w:t>
      </w:r>
      <w:r>
        <w:rPr>
          <w:rFonts w:cstheme="minorHAnsi"/>
        </w:rPr>
        <w:t xml:space="preserve"> does not affect cost-effectiveness</w:t>
      </w:r>
      <w:r w:rsidR="00C63A6A">
        <w:rPr>
          <w:rFonts w:cstheme="minorHAnsi"/>
        </w:rPr>
        <w:t xml:space="preserve"> but it is most cost-</w:t>
      </w:r>
      <w:r w:rsidR="001134B8">
        <w:rPr>
          <w:rFonts w:cstheme="minorHAnsi"/>
        </w:rPr>
        <w:t>effective</w:t>
      </w:r>
      <w:r w:rsidR="00C63A6A">
        <w:rPr>
          <w:rFonts w:cstheme="minorHAnsi"/>
        </w:rPr>
        <w:t xml:space="preserve"> if used before IgA tTG.</w:t>
      </w:r>
    </w:p>
    <w:p w14:paraId="09A0EBB5" w14:textId="77777777" w:rsidR="005976D8" w:rsidRDefault="005976D8" w:rsidP="00BF5EA3">
      <w:pPr>
        <w:rPr>
          <w:rFonts w:cstheme="minorHAnsi"/>
        </w:rPr>
      </w:pPr>
    </w:p>
    <w:p w14:paraId="240D416B" w14:textId="78F5A396" w:rsidR="005976D8" w:rsidRDefault="00A4571D" w:rsidP="00A92C39">
      <w:pPr>
        <w:keepNext/>
      </w:pPr>
      <w:r>
        <w:rPr>
          <w:noProof/>
        </w:rPr>
        <w:drawing>
          <wp:inline distT="0" distB="0" distL="0" distR="0" wp14:anchorId="10AE8290" wp14:editId="3296474E">
            <wp:extent cx="5726430" cy="5071110"/>
            <wp:effectExtent l="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6430" cy="5071110"/>
                    </a:xfrm>
                    <a:prstGeom prst="rect">
                      <a:avLst/>
                    </a:prstGeom>
                    <a:noFill/>
                    <a:ln>
                      <a:noFill/>
                    </a:ln>
                  </pic:spPr>
                </pic:pic>
              </a:graphicData>
            </a:graphic>
          </wp:inline>
        </w:drawing>
      </w:r>
    </w:p>
    <w:p w14:paraId="2E747881" w14:textId="0A10FCD7" w:rsidR="005976D8" w:rsidRPr="00305D05" w:rsidRDefault="005976D8" w:rsidP="00A92C39">
      <w:pPr>
        <w:pStyle w:val="Caption"/>
        <w:rPr>
          <w:rFonts w:cstheme="minorHAnsi"/>
        </w:rPr>
      </w:pPr>
      <w:bookmarkStart w:id="289" w:name="_Ref87622612"/>
      <w:bookmarkStart w:id="290" w:name="_Toc99720795"/>
      <w:r>
        <w:t xml:space="preserve">Figure </w:t>
      </w:r>
      <w:r>
        <w:fldChar w:fldCharType="begin"/>
      </w:r>
      <w:r>
        <w:instrText>SEQ Figure \* ARABIC</w:instrText>
      </w:r>
      <w:r>
        <w:fldChar w:fldCharType="separate"/>
      </w:r>
      <w:r w:rsidR="008B5583">
        <w:rPr>
          <w:noProof/>
        </w:rPr>
        <w:t>14</w:t>
      </w:r>
      <w:r>
        <w:fldChar w:fldCharType="end"/>
      </w:r>
      <w:bookmarkEnd w:id="289"/>
      <w:r>
        <w:t xml:space="preserve"> </w:t>
      </w:r>
      <w:r w:rsidRPr="00061960">
        <w:t>Incremental net benefit at £20,000/QALY compared to no screening at each combination of sensitivity (x-axis) and specificity (line colour) in adult men. Thick lines are mean and narrow lines are 95% CrI.</w:t>
      </w:r>
      <w:bookmarkEnd w:id="290"/>
    </w:p>
    <w:p w14:paraId="634ADE1E" w14:textId="5C821712" w:rsidR="00BF5EA3" w:rsidRPr="00305D05" w:rsidRDefault="00BF5EA3" w:rsidP="00BF5EA3">
      <w:pPr>
        <w:rPr>
          <w:rFonts w:cstheme="minorHAnsi"/>
        </w:rPr>
      </w:pPr>
    </w:p>
    <w:p w14:paraId="65701993" w14:textId="7AFF5557" w:rsidR="00BF5EA3" w:rsidRPr="00305D05" w:rsidRDefault="00467974" w:rsidP="00BF5EA3">
      <w:pPr>
        <w:rPr>
          <w:rFonts w:cstheme="minorHAnsi"/>
        </w:rPr>
      </w:pPr>
      <w:r>
        <w:rPr>
          <w:rFonts w:cstheme="minorHAnsi"/>
        </w:rPr>
        <w:fldChar w:fldCharType="begin"/>
      </w:r>
      <w:r>
        <w:rPr>
          <w:rFonts w:cstheme="minorHAnsi"/>
        </w:rPr>
        <w:instrText xml:space="preserve"> REF _Ref87622718 \h </w:instrText>
      </w:r>
      <w:r>
        <w:rPr>
          <w:rFonts w:cstheme="minorHAnsi"/>
        </w:rPr>
      </w:r>
      <w:r>
        <w:rPr>
          <w:rFonts w:cstheme="minorHAnsi"/>
        </w:rPr>
        <w:fldChar w:fldCharType="separate"/>
      </w:r>
      <w:r w:rsidR="008B5583">
        <w:t xml:space="preserve">Figure </w:t>
      </w:r>
      <w:r w:rsidR="008B5583">
        <w:rPr>
          <w:i/>
          <w:iCs/>
          <w:noProof/>
        </w:rPr>
        <w:t>15</w:t>
      </w:r>
      <w:r>
        <w:rPr>
          <w:rFonts w:cstheme="minorHAnsi"/>
        </w:rPr>
        <w:fldChar w:fldCharType="end"/>
      </w:r>
      <w:r>
        <w:rPr>
          <w:rFonts w:cstheme="minorHAnsi"/>
        </w:rPr>
        <w:t xml:space="preserve"> </w:t>
      </w:r>
      <w:r w:rsidR="00BF5EA3" w:rsidRPr="00305D05">
        <w:rPr>
          <w:rFonts w:cstheme="minorHAnsi"/>
        </w:rPr>
        <w:t xml:space="preserve">plots the probability that each combination of </w:t>
      </w:r>
      <w:r w:rsidR="00263E0B">
        <w:rPr>
          <w:rFonts w:cstheme="minorHAnsi"/>
        </w:rPr>
        <w:t xml:space="preserve">diagnostic indicator </w:t>
      </w:r>
      <w:r w:rsidR="00BF5EA3" w:rsidRPr="00305D05">
        <w:rPr>
          <w:rFonts w:cstheme="minorHAnsi"/>
        </w:rPr>
        <w:t xml:space="preserve">sensitivity and specificity is cost-effective for each </w:t>
      </w:r>
      <w:r w:rsidR="00BF5EA3">
        <w:rPr>
          <w:rFonts w:cstheme="minorHAnsi"/>
        </w:rPr>
        <w:t>test combination</w:t>
      </w:r>
      <w:r w:rsidR="00BF5EA3" w:rsidRPr="00305D05">
        <w:rPr>
          <w:rFonts w:cstheme="minorHAnsi"/>
        </w:rPr>
        <w:t xml:space="preserve"> test</w:t>
      </w:r>
      <w:r w:rsidR="00BF5EA3">
        <w:rPr>
          <w:rFonts w:cstheme="minorHAnsi"/>
        </w:rPr>
        <w:t xml:space="preserve"> at £20,000/QALY</w:t>
      </w:r>
      <w:r w:rsidR="00BF5EA3" w:rsidRPr="00305D05">
        <w:rPr>
          <w:rFonts w:cstheme="minorHAnsi"/>
        </w:rPr>
        <w:t xml:space="preserve"> (i.e. proportion of simulations having a positive incremental net benefit </w:t>
      </w:r>
      <w:r w:rsidR="00BF5EA3">
        <w:rPr>
          <w:rFonts w:cstheme="minorHAnsi"/>
        </w:rPr>
        <w:t xml:space="preserve">at £20,000/QALY </w:t>
      </w:r>
      <w:r w:rsidR="00BF5EA3" w:rsidRPr="00305D05">
        <w:rPr>
          <w:rFonts w:cstheme="minorHAnsi"/>
        </w:rPr>
        <w:t xml:space="preserve">compared to no screening). It again shows that the only </w:t>
      </w:r>
      <w:r w:rsidR="00BF5EA3">
        <w:rPr>
          <w:rFonts w:cstheme="minorHAnsi"/>
        </w:rPr>
        <w:t>strategies using only serological tests</w:t>
      </w:r>
      <w:r w:rsidR="00BF5EA3" w:rsidRPr="00305D05">
        <w:rPr>
          <w:rFonts w:cstheme="minorHAnsi"/>
        </w:rPr>
        <w:t xml:space="preserve"> with probability greater than 50% of being cost-effective are those </w:t>
      </w:r>
      <w:r w:rsidR="008937FE">
        <w:rPr>
          <w:rFonts w:cstheme="minorHAnsi"/>
        </w:rPr>
        <w:t xml:space="preserve">diagnostic indicators </w:t>
      </w:r>
      <w:r w:rsidR="00BF5EA3" w:rsidRPr="00305D05">
        <w:rPr>
          <w:rFonts w:cstheme="minorHAnsi"/>
        </w:rPr>
        <w:t xml:space="preserve">with sensitivity above 0.9 or both the specificity and sensitivity above 0.8. As expected, the combinations </w:t>
      </w:r>
      <w:r w:rsidR="00DC5FB9">
        <w:rPr>
          <w:rFonts w:cstheme="minorHAnsi"/>
        </w:rPr>
        <w:t>of tests</w:t>
      </w:r>
      <w:r w:rsidR="00BF5EA3" w:rsidRPr="00305D05">
        <w:rPr>
          <w:rFonts w:cstheme="minorHAnsi"/>
        </w:rPr>
        <w:t xml:space="preserve"> with the highest probability of being cost-effective are those with a specificity of 0.9 and a sensitivity of 0.9 or 1. The serological tests including HLA have a high probability of being cost-effective regardless of the combination of </w:t>
      </w:r>
      <w:r w:rsidR="00BF5EA3" w:rsidRPr="00305D05">
        <w:rPr>
          <w:rFonts w:cstheme="minorHAnsi"/>
        </w:rPr>
        <w:lastRenderedPageBreak/>
        <w:t xml:space="preserve">sensitivity and specificity of the </w:t>
      </w:r>
      <w:r w:rsidR="008937FE">
        <w:rPr>
          <w:rFonts w:cstheme="minorHAnsi"/>
        </w:rPr>
        <w:t>diagnostic indicator</w:t>
      </w:r>
      <w:r w:rsidR="00BF5EA3" w:rsidRPr="00305D05">
        <w:rPr>
          <w:rFonts w:cstheme="minorHAnsi"/>
        </w:rPr>
        <w:t xml:space="preserve">. </w:t>
      </w:r>
      <w:r w:rsidR="00BF5EA3">
        <w:rPr>
          <w:rFonts w:cstheme="minorHAnsi"/>
        </w:rPr>
        <w:t xml:space="preserve">Strategies using IgA EMA </w:t>
      </w:r>
      <w:r w:rsidR="00A33F13">
        <w:rPr>
          <w:rFonts w:cstheme="minorHAnsi"/>
        </w:rPr>
        <w:t>or IgA tTG alone with</w:t>
      </w:r>
      <w:r w:rsidR="00BF5EA3">
        <w:rPr>
          <w:rFonts w:cstheme="minorHAnsi"/>
        </w:rPr>
        <w:t xml:space="preserve"> HLA have similar probability of cost-effectiveness to combinations using </w:t>
      </w:r>
      <w:r w:rsidR="00A33F13">
        <w:rPr>
          <w:rFonts w:cstheme="minorHAnsi"/>
        </w:rPr>
        <w:t xml:space="preserve">all three of </w:t>
      </w:r>
      <w:r w:rsidR="00BF5EA3">
        <w:rPr>
          <w:rFonts w:cstheme="minorHAnsi"/>
        </w:rPr>
        <w:t>IgA EMA, HLA and IgA tTG.</w:t>
      </w:r>
    </w:p>
    <w:p w14:paraId="0B2D5BCF" w14:textId="29F036F2" w:rsidR="00467974" w:rsidRDefault="0075567E" w:rsidP="00A92C39">
      <w:pPr>
        <w:keepNext/>
      </w:pPr>
      <w:r>
        <w:rPr>
          <w:noProof/>
        </w:rPr>
        <w:drawing>
          <wp:inline distT="0" distB="0" distL="0" distR="0" wp14:anchorId="474E95C5" wp14:editId="00F02BFC">
            <wp:extent cx="5726430" cy="5071110"/>
            <wp:effectExtent l="0" t="0" r="762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26430" cy="5071110"/>
                    </a:xfrm>
                    <a:prstGeom prst="rect">
                      <a:avLst/>
                    </a:prstGeom>
                    <a:noFill/>
                    <a:ln>
                      <a:noFill/>
                    </a:ln>
                  </pic:spPr>
                </pic:pic>
              </a:graphicData>
            </a:graphic>
          </wp:inline>
        </w:drawing>
      </w:r>
    </w:p>
    <w:p w14:paraId="5176B349" w14:textId="3079F287" w:rsidR="00467974" w:rsidRPr="00305D05" w:rsidRDefault="00467974" w:rsidP="000526F1">
      <w:pPr>
        <w:pStyle w:val="Caption"/>
      </w:pPr>
      <w:bookmarkStart w:id="291" w:name="_Ref87622718"/>
      <w:bookmarkStart w:id="292" w:name="_Toc99720796"/>
      <w:r>
        <w:t xml:space="preserve">Figure </w:t>
      </w:r>
      <w:r w:rsidR="00065FD8">
        <w:rPr>
          <w:i w:val="0"/>
        </w:rPr>
        <w:fldChar w:fldCharType="begin"/>
      </w:r>
      <w:r w:rsidR="00065FD8">
        <w:rPr>
          <w:i w:val="0"/>
          <w:iCs w:val="0"/>
        </w:rPr>
        <w:instrText xml:space="preserve"> SEQ Figure \* ARABIC </w:instrText>
      </w:r>
      <w:r w:rsidR="00065FD8">
        <w:rPr>
          <w:i w:val="0"/>
        </w:rPr>
        <w:fldChar w:fldCharType="separate"/>
      </w:r>
      <w:r w:rsidR="008B5583">
        <w:rPr>
          <w:i w:val="0"/>
          <w:iCs w:val="0"/>
          <w:noProof/>
        </w:rPr>
        <w:t>15</w:t>
      </w:r>
      <w:r w:rsidR="00065FD8">
        <w:rPr>
          <w:i w:val="0"/>
        </w:rPr>
        <w:fldChar w:fldCharType="end"/>
      </w:r>
      <w:bookmarkEnd w:id="291"/>
      <w:r>
        <w:t xml:space="preserve"> </w:t>
      </w:r>
      <w:r w:rsidRPr="00026BE1">
        <w:t>Probability cost-effective at £20,000/QALY compared to no screening at each combination of sensitivity (x-axis) and specificity (line colour) in adult men</w:t>
      </w:r>
      <w:bookmarkEnd w:id="292"/>
    </w:p>
    <w:p w14:paraId="24960554" w14:textId="77777777" w:rsidR="00D93A47" w:rsidRDefault="00D93A47" w:rsidP="00BF5EA3">
      <w:pPr>
        <w:rPr>
          <w:rFonts w:cstheme="minorHAnsi"/>
        </w:rPr>
      </w:pPr>
    </w:p>
    <w:p w14:paraId="70867C1B" w14:textId="5815CB19" w:rsidR="00BF5EA3" w:rsidRPr="00305D05" w:rsidRDefault="00BF5EA3" w:rsidP="00BF5EA3">
      <w:pPr>
        <w:rPr>
          <w:rFonts w:cstheme="minorHAnsi"/>
        </w:rPr>
      </w:pPr>
      <w:r w:rsidRPr="00305D05">
        <w:rPr>
          <w:rFonts w:cstheme="minorHAnsi"/>
        </w:rPr>
        <w:t xml:space="preserve">In general strategies employing IgA </w:t>
      </w:r>
      <w:r>
        <w:rPr>
          <w:rFonts w:cstheme="minorHAnsi"/>
        </w:rPr>
        <w:t>t</w:t>
      </w:r>
      <w:r w:rsidRPr="00305D05">
        <w:rPr>
          <w:rFonts w:cstheme="minorHAnsi"/>
        </w:rPr>
        <w:t>TG and IgA EMA have similar incremental net benefit and probability of being cost-effective</w:t>
      </w:r>
      <w:r>
        <w:rPr>
          <w:rFonts w:cstheme="minorHAnsi"/>
        </w:rPr>
        <w:t>; given the greater availability of IgA tTG in the UK, we choose this as one of our strategies of interest</w:t>
      </w:r>
      <w:r>
        <w:rPr>
          <w:rFonts w:cstheme="minorHAnsi"/>
        </w:rPr>
        <w:fldChar w:fldCharType="begin"/>
      </w:r>
      <w:r w:rsidR="00735CC0">
        <w:rPr>
          <w:rFonts w:cstheme="minorHAnsi"/>
        </w:rPr>
        <w:instrText xml:space="preserve"> ADDIN EN.CITE &lt;EndNote&gt;&lt;Cite&gt;&lt;Author&gt;Paul&lt;/Author&gt;&lt;Year&gt;2017&lt;/Year&gt;&lt;RecNum&gt;559&lt;/RecNum&gt;&lt;DisplayText&gt;&lt;style face="superscript"&gt;254&lt;/style&gt;&lt;/DisplayText&gt;&lt;record&gt;&lt;rec-number&gt;559&lt;/rec-number&gt;&lt;foreign-keys&gt;&lt;key app="EN" db-id="tdwrx9xd1z9eepeevr355w2k959rv0f5zaax" timestamp="1636620393"&gt;559&lt;/key&gt;&lt;/foreign-keys&gt;&lt;ref-type name="Journal Article"&gt;17&lt;/ref-type&gt;&lt;contributors&gt;&lt;authors&gt;&lt;author&gt;Paul, S. P.&lt;/author&gt;&lt;author&gt;Harries, S. L.&lt;/author&gt;&lt;author&gt;Basude, D.&lt;/author&gt;&lt;/authors&gt;&lt;/contributors&gt;&lt;auth-address&gt;Department of Paediatric Gastroenterology, Bristol Royal Hospital for Children, Bristol, UK.&amp;#xD;Medical School, University of Bristol, Bristol, UK.&lt;/auth-address&gt;&lt;titles&gt;&lt;title&gt;Barriers to implementing the revised ESPGHAN guidelines for coeliac disease in children: a cross-sectional survey of coeliac screen reporting in laboratories in England&lt;/title&gt;&lt;secondary-title&gt;Arch Dis Child&lt;/secondary-title&gt;&lt;/titles&gt;&lt;periodical&gt;&lt;full-title&gt;Arch Dis Child&lt;/full-title&gt;&lt;/periodical&gt;&lt;pages&gt;942-946&lt;/pages&gt;&lt;volume&gt;102&lt;/volume&gt;&lt;number&gt;10&lt;/number&gt;&lt;keywords&gt;&lt;keyword&gt;Celiac Disease/*diagnosis&lt;/keyword&gt;&lt;keyword&gt;Child&lt;/keyword&gt;&lt;keyword&gt;Cross-Sectional Studies&lt;/keyword&gt;&lt;keyword&gt;Databases, Factual&lt;/keyword&gt;&lt;keyword&gt;England&lt;/keyword&gt;&lt;keyword&gt;Female&lt;/keyword&gt;&lt;keyword&gt;Guidelines as Topic&lt;/keyword&gt;&lt;keyword&gt;Humans&lt;/keyword&gt;&lt;keyword&gt;Male&lt;/keyword&gt;&lt;keyword&gt;Mass Screening/*methods/statistics &amp;amp; numerical data&lt;/keyword&gt;&lt;keyword&gt;*Anti-tissue transglutaminase&lt;/keyword&gt;&lt;keyword&gt;*Coeliac disease&lt;/keyword&gt;&lt;keyword&gt;*ESPGHAN guidelines&lt;/keyword&gt;&lt;keyword&gt;*Gastroenterology&lt;/keyword&gt;&lt;keyword&gt;*General Paediatrics&lt;/keyword&gt;&lt;keyword&gt;*Laboratory medicine&lt;/keyword&gt;&lt;/keywords&gt;&lt;dates&gt;&lt;year&gt;2017&lt;/year&gt;&lt;pub-dates&gt;&lt;date&gt;Oct&lt;/date&gt;&lt;/pub-dates&gt;&lt;/dates&gt;&lt;isbn&gt;1468-2044 (Electronic)&amp;#xD;0003-9888 (Linking)&lt;/isbn&gt;&lt;accession-num&gt;28483757&lt;/accession-num&gt;&lt;urls&gt;&lt;related-urls&gt;&lt;url&gt;https://www.ncbi.nlm.nih.gov/pubmed/28483757&lt;/url&gt;&lt;/related-urls&gt;&lt;/urls&gt;&lt;electronic-resource-num&gt;10.1136/archdischild-2016-312027&lt;/electronic-resource-num&gt;&lt;/record&gt;&lt;/Cite&gt;&lt;/EndNote&gt;</w:instrText>
      </w:r>
      <w:r>
        <w:rPr>
          <w:rFonts w:cstheme="minorHAnsi"/>
        </w:rPr>
        <w:fldChar w:fldCharType="separate"/>
      </w:r>
      <w:r w:rsidR="00735CC0" w:rsidRPr="00735CC0">
        <w:rPr>
          <w:rFonts w:cstheme="minorHAnsi"/>
          <w:noProof/>
          <w:vertAlign w:val="superscript"/>
        </w:rPr>
        <w:t>254</w:t>
      </w:r>
      <w:r>
        <w:rPr>
          <w:rFonts w:cstheme="minorHAnsi"/>
        </w:rPr>
        <w:fldChar w:fldCharType="end"/>
      </w:r>
      <w:r w:rsidRPr="00305D05">
        <w:rPr>
          <w:rFonts w:cstheme="minorHAnsi"/>
        </w:rPr>
        <w:t xml:space="preserve">. While all strategies employing HLA have higher incremental net benefit and probability of cost-effectiveness, IgA </w:t>
      </w:r>
      <w:r>
        <w:rPr>
          <w:rFonts w:cstheme="minorHAnsi"/>
        </w:rPr>
        <w:t>t</w:t>
      </w:r>
      <w:r w:rsidRPr="00305D05">
        <w:rPr>
          <w:rFonts w:cstheme="minorHAnsi"/>
        </w:rPr>
        <w:t xml:space="preserve">TG plus HLA performs worst. </w:t>
      </w:r>
      <w:r>
        <w:rPr>
          <w:rFonts w:cstheme="minorHAnsi"/>
        </w:rPr>
        <w:t>There is also limited benefit to adding IgA tTG to strategies using IgA EMA and HLA</w:t>
      </w:r>
      <w:r w:rsidRPr="00305D05">
        <w:rPr>
          <w:rFonts w:cstheme="minorHAnsi"/>
        </w:rPr>
        <w:t xml:space="preserve"> </w:t>
      </w:r>
      <w:r>
        <w:rPr>
          <w:rFonts w:cstheme="minorHAnsi"/>
        </w:rPr>
        <w:t xml:space="preserve">and limited difference between using IgA EMA or HLA first, </w:t>
      </w:r>
      <w:r w:rsidRPr="00305D05">
        <w:rPr>
          <w:rFonts w:cstheme="minorHAnsi"/>
        </w:rPr>
        <w:t>so we</w:t>
      </w:r>
      <w:r>
        <w:rPr>
          <w:rFonts w:cstheme="minorHAnsi"/>
        </w:rPr>
        <w:t xml:space="preserve"> used</w:t>
      </w:r>
      <w:r w:rsidRPr="00305D05">
        <w:rPr>
          <w:rFonts w:cstheme="minorHAnsi"/>
        </w:rPr>
        <w:t xml:space="preserve"> </w:t>
      </w:r>
      <w:r>
        <w:rPr>
          <w:rFonts w:cstheme="minorHAnsi"/>
        </w:rPr>
        <w:t xml:space="preserve">IgA EMA </w:t>
      </w:r>
      <w:r w:rsidR="00F55158">
        <w:rPr>
          <w:rFonts w:cstheme="minorHAnsi"/>
        </w:rPr>
        <w:t>followed by HLA</w:t>
      </w:r>
      <w:r>
        <w:rPr>
          <w:rFonts w:cstheme="minorHAnsi"/>
        </w:rPr>
        <w:t xml:space="preserve"> for our second testing combination of interest</w:t>
      </w:r>
      <w:r w:rsidRPr="00305D05">
        <w:rPr>
          <w:rFonts w:cstheme="minorHAnsi"/>
        </w:rPr>
        <w:t xml:space="preserve">. </w:t>
      </w:r>
      <w:r w:rsidR="00715A38">
        <w:rPr>
          <w:rFonts w:cstheme="minorHAnsi"/>
        </w:rPr>
        <w:t xml:space="preserve">Again due to its wide availability, and its having high incremental net benefit and probability of cost-effectiveness, we choose HLA plus IgA tTG as a final test of interest. </w:t>
      </w:r>
      <w:r w:rsidRPr="00305D05">
        <w:rPr>
          <w:rFonts w:cstheme="minorHAnsi"/>
        </w:rPr>
        <w:t>These selections were combined with the risk prediction strategies of</w:t>
      </w:r>
      <w:r w:rsidR="00D43C00">
        <w:rPr>
          <w:rFonts w:cstheme="minorHAnsi"/>
        </w:rPr>
        <w:t xml:space="preserve"> </w:t>
      </w:r>
      <w:r w:rsidR="00D43C00">
        <w:rPr>
          <w:rFonts w:cstheme="minorHAnsi"/>
        </w:rPr>
        <w:fldChar w:fldCharType="begin"/>
      </w:r>
      <w:r w:rsidR="00D43C00">
        <w:rPr>
          <w:rFonts w:cstheme="minorHAnsi"/>
        </w:rPr>
        <w:instrText xml:space="preserve"> REF _Ref83908603 \h </w:instrText>
      </w:r>
      <w:r w:rsidR="00D43C00">
        <w:rPr>
          <w:rFonts w:cstheme="minorHAnsi"/>
        </w:rPr>
      </w:r>
      <w:r w:rsidR="00D43C00">
        <w:rPr>
          <w:rFonts w:cstheme="minorHAnsi"/>
        </w:rPr>
        <w:fldChar w:fldCharType="separate"/>
      </w:r>
      <w:r w:rsidR="008B5583" w:rsidRPr="00734942">
        <w:t xml:space="preserve">Table </w:t>
      </w:r>
      <w:r w:rsidR="008B5583">
        <w:rPr>
          <w:noProof/>
        </w:rPr>
        <w:t>5</w:t>
      </w:r>
      <w:r w:rsidR="00D43C00">
        <w:rPr>
          <w:rFonts w:cstheme="minorHAnsi"/>
        </w:rPr>
        <w:fldChar w:fldCharType="end"/>
      </w:r>
      <w:r w:rsidRPr="00305D05">
        <w:rPr>
          <w:rFonts w:cstheme="minorHAnsi"/>
        </w:rPr>
        <w:t>.</w:t>
      </w:r>
    </w:p>
    <w:p w14:paraId="00926221" w14:textId="1DE21D6E" w:rsidR="001F0F87" w:rsidRDefault="00BF5EA3" w:rsidP="00155408">
      <w:pPr>
        <w:rPr>
          <w:rFonts w:cstheme="minorHAnsi"/>
        </w:rPr>
      </w:pPr>
      <w:r w:rsidRPr="006F5710">
        <w:rPr>
          <w:rFonts w:cstheme="minorHAnsi"/>
        </w:rPr>
        <w:fldChar w:fldCharType="begin"/>
      </w:r>
      <w:r w:rsidRPr="006F5710">
        <w:rPr>
          <w:rFonts w:cstheme="minorHAnsi"/>
        </w:rPr>
        <w:instrText xml:space="preserve"> REF _Ref83888239 \h  \* MERGEFORMAT </w:instrText>
      </w:r>
      <w:r w:rsidRPr="006F5710">
        <w:rPr>
          <w:rFonts w:cstheme="minorHAnsi"/>
        </w:rPr>
      </w:r>
      <w:r w:rsidRPr="006F5710">
        <w:rPr>
          <w:rFonts w:cstheme="minorHAnsi"/>
        </w:rPr>
        <w:fldChar w:fldCharType="separate"/>
      </w:r>
      <w:r w:rsidR="008B5583" w:rsidRPr="00305D05">
        <w:rPr>
          <w:rFonts w:cstheme="minorHAnsi"/>
        </w:rPr>
        <w:t xml:space="preserve">Table </w:t>
      </w:r>
      <w:r w:rsidR="008B5583">
        <w:rPr>
          <w:rFonts w:cstheme="minorHAnsi"/>
          <w:noProof/>
        </w:rPr>
        <w:t>19</w:t>
      </w:r>
      <w:r w:rsidRPr="006F5710">
        <w:rPr>
          <w:rFonts w:cstheme="minorHAnsi"/>
        </w:rPr>
        <w:fldChar w:fldCharType="end"/>
      </w:r>
      <w:r w:rsidRPr="006F5710">
        <w:rPr>
          <w:rFonts w:cstheme="minorHAnsi"/>
        </w:rPr>
        <w:t xml:space="preserve"> shows</w:t>
      </w:r>
      <w:r w:rsidRPr="00305D05">
        <w:rPr>
          <w:rFonts w:cstheme="minorHAnsi"/>
        </w:rPr>
        <w:t xml:space="preserve"> the estimated costs, quality adjusted life years and incremental net benefit versus no screening for each of these strategies of interest. All combinations</w:t>
      </w:r>
      <w:r w:rsidR="00C76E7C">
        <w:rPr>
          <w:rFonts w:cstheme="minorHAnsi"/>
        </w:rPr>
        <w:t xml:space="preserve"> </w:t>
      </w:r>
      <w:r w:rsidRPr="00305D05">
        <w:rPr>
          <w:rFonts w:cstheme="minorHAnsi"/>
        </w:rPr>
        <w:t>have positive incremental net benefit compared to no screening.</w:t>
      </w:r>
      <w:r w:rsidR="001F0F87">
        <w:rPr>
          <w:rFonts w:cstheme="minorHAnsi"/>
        </w:rPr>
        <w:t xml:space="preserve"> </w:t>
      </w:r>
      <w:r w:rsidRPr="00305D05">
        <w:rPr>
          <w:rFonts w:cstheme="minorHAnsi"/>
        </w:rPr>
        <w:t>If using only</w:t>
      </w:r>
      <w:r w:rsidR="00375F54">
        <w:rPr>
          <w:rFonts w:cstheme="minorHAnsi"/>
        </w:rPr>
        <w:t xml:space="preserve"> the serological test</w:t>
      </w:r>
      <w:r w:rsidRPr="00305D05">
        <w:rPr>
          <w:rFonts w:cstheme="minorHAnsi"/>
        </w:rPr>
        <w:t xml:space="preserve"> IgA </w:t>
      </w:r>
      <w:r>
        <w:rPr>
          <w:rFonts w:cstheme="minorHAnsi"/>
        </w:rPr>
        <w:t>tTG</w:t>
      </w:r>
      <w:r w:rsidR="00375F54">
        <w:rPr>
          <w:rFonts w:cstheme="minorHAnsi"/>
        </w:rPr>
        <w:t>,</w:t>
      </w:r>
      <w:r w:rsidR="007E10C2">
        <w:rPr>
          <w:rFonts w:cstheme="minorHAnsi"/>
        </w:rPr>
        <w:t xml:space="preserve"> with</w:t>
      </w:r>
      <w:r w:rsidRPr="00305D05">
        <w:rPr>
          <w:rFonts w:cstheme="minorHAnsi"/>
        </w:rPr>
        <w:t xml:space="preserve"> a pre-test </w:t>
      </w:r>
      <w:r w:rsidRPr="00305D05">
        <w:rPr>
          <w:rFonts w:cstheme="minorHAnsi"/>
        </w:rPr>
        <w:lastRenderedPageBreak/>
        <w:t>probability of 1% is the most cost-effective strategy (greatest incremental net benefit at £20,000/QALY) with highest costs but also highest QALY</w:t>
      </w:r>
      <w:r w:rsidR="008C6EC8">
        <w:rPr>
          <w:rFonts w:cstheme="minorHAnsi"/>
        </w:rPr>
        <w:t>s</w:t>
      </w:r>
      <w:r w:rsidRPr="00305D05">
        <w:rPr>
          <w:rFonts w:cstheme="minorHAnsi"/>
        </w:rPr>
        <w:t>.</w:t>
      </w:r>
      <w:r w:rsidR="001F0F87">
        <w:rPr>
          <w:rFonts w:cstheme="minorHAnsi"/>
        </w:rPr>
        <w:t xml:space="preserve"> The net benefits of IgA EMA plus HLA and HLA plus IgA tTG strategies are very similar to </w:t>
      </w:r>
      <w:r w:rsidR="005C20BD">
        <w:rPr>
          <w:rFonts w:cstheme="minorHAnsi"/>
        </w:rPr>
        <w:t xml:space="preserve">each other and to </w:t>
      </w:r>
      <w:r w:rsidR="001F0F87">
        <w:rPr>
          <w:rFonts w:cstheme="minorHAnsi"/>
        </w:rPr>
        <w:t xml:space="preserve">IgA tTG with </w:t>
      </w:r>
      <w:r w:rsidR="005C20BD">
        <w:rPr>
          <w:rFonts w:cstheme="minorHAnsi"/>
        </w:rPr>
        <w:t>pre-test probability of 1%, while</w:t>
      </w:r>
      <w:r w:rsidR="00262226">
        <w:rPr>
          <w:rFonts w:cstheme="minorHAnsi"/>
        </w:rPr>
        <w:t xml:space="preserve"> the</w:t>
      </w:r>
      <w:r w:rsidR="001F0F87">
        <w:rPr>
          <w:rFonts w:cstheme="minorHAnsi"/>
        </w:rPr>
        <w:t xml:space="preserve"> 95% CrI are </w:t>
      </w:r>
      <w:r w:rsidR="00262226">
        <w:rPr>
          <w:rFonts w:cstheme="minorHAnsi"/>
        </w:rPr>
        <w:t xml:space="preserve">completely </w:t>
      </w:r>
      <w:r w:rsidR="001F0F87">
        <w:rPr>
          <w:rFonts w:cstheme="minorHAnsi"/>
        </w:rPr>
        <w:t>overlapping</w:t>
      </w:r>
      <w:r w:rsidR="005C20BD">
        <w:rPr>
          <w:rFonts w:cstheme="minorHAnsi"/>
        </w:rPr>
        <w:t>. This indicates there is little or no</w:t>
      </w:r>
      <w:r w:rsidR="001F0F87">
        <w:rPr>
          <w:rFonts w:cstheme="minorHAnsi"/>
        </w:rPr>
        <w:t xml:space="preserve"> difference between </w:t>
      </w:r>
      <w:r w:rsidR="005C20BD">
        <w:rPr>
          <w:rFonts w:cstheme="minorHAnsi"/>
        </w:rPr>
        <w:t>these strategies in cost-effectiveness</w:t>
      </w:r>
      <w:r w:rsidR="001D6D52">
        <w:rPr>
          <w:rFonts w:cstheme="minorHAnsi"/>
        </w:rPr>
        <w:t>.</w:t>
      </w:r>
    </w:p>
    <w:p w14:paraId="20047303" w14:textId="77777777" w:rsidR="00BF5EA3" w:rsidRPr="00305D05" w:rsidRDefault="00BF5EA3" w:rsidP="00BF5EA3">
      <w:pPr>
        <w:rPr>
          <w:rFonts w:cstheme="minorHAnsi"/>
        </w:rPr>
      </w:pPr>
    </w:p>
    <w:p w14:paraId="65BCEDDD" w14:textId="77777777" w:rsidR="00BF5EA3" w:rsidRPr="00305D05" w:rsidRDefault="00BF5EA3" w:rsidP="00BF5EA3">
      <w:pPr>
        <w:pStyle w:val="Caption"/>
        <w:rPr>
          <w:rFonts w:cstheme="minorHAnsi"/>
        </w:rPr>
        <w:sectPr w:rsidR="00BF5EA3" w:rsidRPr="00305D05" w:rsidSect="00BA0084">
          <w:pgSz w:w="11906" w:h="16838"/>
          <w:pgMar w:top="1440" w:right="1440" w:bottom="1440" w:left="1440" w:header="708" w:footer="708" w:gutter="0"/>
          <w:cols w:space="708"/>
          <w:titlePg/>
          <w:docGrid w:linePitch="360"/>
        </w:sectPr>
      </w:pPr>
    </w:p>
    <w:p w14:paraId="1BFE24D5" w14:textId="3564F80F" w:rsidR="00BF5EA3" w:rsidRPr="00305D05" w:rsidRDefault="00BF5EA3" w:rsidP="00BF5EA3">
      <w:pPr>
        <w:pStyle w:val="Caption"/>
        <w:rPr>
          <w:rFonts w:cstheme="minorHAnsi"/>
        </w:rPr>
      </w:pPr>
      <w:bookmarkStart w:id="293" w:name="_Ref83888239"/>
      <w:bookmarkStart w:id="294" w:name="_Toc99720730"/>
      <w:r w:rsidRPr="00305D05">
        <w:rPr>
          <w:rFonts w:cstheme="minorHAnsi"/>
        </w:rPr>
        <w:lastRenderedPageBreak/>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19</w:t>
      </w:r>
      <w:r w:rsidRPr="00305D05">
        <w:rPr>
          <w:rFonts w:cstheme="minorHAnsi"/>
          <w:noProof/>
        </w:rPr>
        <w:fldChar w:fldCharType="end"/>
      </w:r>
      <w:bookmarkEnd w:id="293"/>
      <w:r w:rsidRPr="00305D05">
        <w:rPr>
          <w:rFonts w:cstheme="minorHAnsi"/>
        </w:rPr>
        <w:t xml:space="preserve"> Costs, QALYs and incremental net benefit associated with strategies of interest in adult men. Mean estimates with 95% confidence intervals.</w:t>
      </w:r>
      <w:bookmarkEnd w:id="294"/>
    </w:p>
    <w:tbl>
      <w:tblPr>
        <w:tblStyle w:val="TableGrid"/>
        <w:tblW w:w="14391" w:type="dxa"/>
        <w:tblLook w:val="04A0" w:firstRow="1" w:lastRow="0" w:firstColumn="1" w:lastColumn="0" w:noHBand="0" w:noVBand="1"/>
      </w:tblPr>
      <w:tblGrid>
        <w:gridCol w:w="2077"/>
        <w:gridCol w:w="1560"/>
        <w:gridCol w:w="1265"/>
        <w:gridCol w:w="2039"/>
        <w:gridCol w:w="2268"/>
        <w:gridCol w:w="2515"/>
        <w:gridCol w:w="2667"/>
      </w:tblGrid>
      <w:tr w:rsidR="00E76B67" w:rsidRPr="00D43C00" w14:paraId="42D6A9E1" w14:textId="77777777" w:rsidTr="00836DF8">
        <w:tc>
          <w:tcPr>
            <w:tcW w:w="2077" w:type="dxa"/>
            <w:shd w:val="clear" w:color="auto" w:fill="E7E6E6" w:themeFill="background2"/>
            <w:vAlign w:val="center"/>
          </w:tcPr>
          <w:p w14:paraId="7FD7C848" w14:textId="79C94CFC" w:rsidR="00E76B67" w:rsidRPr="00D43C00" w:rsidRDefault="00E76B67" w:rsidP="00E76B67">
            <w:pPr>
              <w:jc w:val="center"/>
              <w:rPr>
                <w:rFonts w:cstheme="minorHAnsi"/>
                <w:b/>
                <w:bCs/>
                <w:sz w:val="20"/>
                <w:szCs w:val="20"/>
              </w:rPr>
            </w:pPr>
            <w:r w:rsidRPr="00D43C00">
              <w:rPr>
                <w:rFonts w:cstheme="minorHAnsi"/>
                <w:b/>
                <w:bCs/>
                <w:color w:val="000000"/>
                <w:sz w:val="20"/>
                <w:szCs w:val="20"/>
              </w:rPr>
              <w:t>Pre-test probability for blood test</w:t>
            </w:r>
            <w:r>
              <w:rPr>
                <w:rFonts w:cstheme="minorHAnsi"/>
                <w:b/>
                <w:bCs/>
                <w:color w:val="000000"/>
                <w:sz w:val="20"/>
                <w:szCs w:val="20"/>
              </w:rPr>
              <w:t xml:space="preserve"> </w:t>
            </w:r>
          </w:p>
        </w:tc>
        <w:tc>
          <w:tcPr>
            <w:tcW w:w="1560" w:type="dxa"/>
            <w:shd w:val="clear" w:color="auto" w:fill="E7E6E6" w:themeFill="background2"/>
            <w:vAlign w:val="center"/>
          </w:tcPr>
          <w:p w14:paraId="520E4BA0" w14:textId="157358E7" w:rsidR="00E76B67" w:rsidRPr="00D43C00" w:rsidRDefault="00E76B67" w:rsidP="00E76B67">
            <w:pPr>
              <w:jc w:val="center"/>
              <w:rPr>
                <w:rFonts w:cstheme="minorHAnsi"/>
                <w:b/>
                <w:bCs/>
                <w:color w:val="000000"/>
                <w:sz w:val="20"/>
                <w:szCs w:val="20"/>
              </w:rPr>
            </w:pPr>
            <w:r w:rsidRPr="00D43C00">
              <w:rPr>
                <w:rFonts w:cstheme="minorHAnsi"/>
                <w:b/>
                <w:bCs/>
                <w:color w:val="000000"/>
                <w:sz w:val="20"/>
                <w:szCs w:val="20"/>
              </w:rPr>
              <w:t>Sensitivity</w:t>
            </w:r>
            <w:r>
              <w:rPr>
                <w:rFonts w:cstheme="minorHAnsi"/>
                <w:b/>
                <w:bCs/>
                <w:color w:val="000000"/>
                <w:sz w:val="20"/>
                <w:szCs w:val="20"/>
              </w:rPr>
              <w:t xml:space="preserve"> of indicator</w:t>
            </w:r>
          </w:p>
        </w:tc>
        <w:tc>
          <w:tcPr>
            <w:tcW w:w="1265" w:type="dxa"/>
            <w:shd w:val="clear" w:color="auto" w:fill="E7E6E6" w:themeFill="background2"/>
            <w:vAlign w:val="center"/>
          </w:tcPr>
          <w:p w14:paraId="09781B6F" w14:textId="0B7E8F49" w:rsidR="00E76B67" w:rsidRPr="00D43C00" w:rsidRDefault="00E76B67" w:rsidP="00E76B67">
            <w:pPr>
              <w:jc w:val="center"/>
              <w:rPr>
                <w:rFonts w:cstheme="minorHAnsi"/>
                <w:b/>
                <w:bCs/>
                <w:color w:val="000000"/>
                <w:sz w:val="20"/>
                <w:szCs w:val="20"/>
              </w:rPr>
            </w:pPr>
            <w:r w:rsidRPr="00D43C00">
              <w:rPr>
                <w:rFonts w:cstheme="minorHAnsi"/>
                <w:b/>
                <w:bCs/>
                <w:color w:val="000000"/>
                <w:sz w:val="20"/>
                <w:szCs w:val="20"/>
              </w:rPr>
              <w:t>Specificity</w:t>
            </w:r>
            <w:r>
              <w:rPr>
                <w:rFonts w:cstheme="minorHAnsi"/>
                <w:b/>
                <w:bCs/>
                <w:color w:val="000000"/>
                <w:sz w:val="20"/>
                <w:szCs w:val="20"/>
              </w:rPr>
              <w:t xml:space="preserve"> of indicator</w:t>
            </w:r>
          </w:p>
        </w:tc>
        <w:tc>
          <w:tcPr>
            <w:tcW w:w="2039" w:type="dxa"/>
            <w:shd w:val="clear" w:color="auto" w:fill="E7E6E6" w:themeFill="background2"/>
            <w:vAlign w:val="center"/>
          </w:tcPr>
          <w:p w14:paraId="142B683F" w14:textId="77777777" w:rsidR="00E76B67" w:rsidRPr="00D43C00" w:rsidRDefault="00E76B67" w:rsidP="00E76B67">
            <w:pPr>
              <w:jc w:val="center"/>
              <w:rPr>
                <w:rFonts w:cstheme="minorHAnsi"/>
                <w:b/>
                <w:bCs/>
                <w:sz w:val="20"/>
                <w:szCs w:val="20"/>
              </w:rPr>
            </w:pPr>
            <w:r w:rsidRPr="00D43C00">
              <w:rPr>
                <w:rFonts w:cstheme="minorHAnsi"/>
                <w:b/>
                <w:bCs/>
                <w:color w:val="000000"/>
                <w:sz w:val="20"/>
                <w:szCs w:val="20"/>
              </w:rPr>
              <w:t>Test</w:t>
            </w:r>
          </w:p>
        </w:tc>
        <w:tc>
          <w:tcPr>
            <w:tcW w:w="2268" w:type="dxa"/>
            <w:shd w:val="clear" w:color="auto" w:fill="E7E6E6" w:themeFill="background2"/>
            <w:vAlign w:val="center"/>
          </w:tcPr>
          <w:p w14:paraId="00F40C07" w14:textId="48768026" w:rsidR="00E76B67" w:rsidRPr="00D43C00" w:rsidRDefault="00E76B67" w:rsidP="00E76B67">
            <w:pPr>
              <w:jc w:val="center"/>
              <w:rPr>
                <w:rFonts w:cstheme="minorHAnsi"/>
                <w:b/>
                <w:bCs/>
                <w:sz w:val="20"/>
                <w:szCs w:val="20"/>
              </w:rPr>
            </w:pPr>
            <w:r w:rsidRPr="00D43C00">
              <w:rPr>
                <w:rFonts w:cstheme="minorHAnsi"/>
                <w:b/>
                <w:bCs/>
                <w:color w:val="000000"/>
                <w:sz w:val="20"/>
                <w:szCs w:val="20"/>
              </w:rPr>
              <w:t>Costs</w:t>
            </w:r>
            <w:r w:rsidR="001B59D0">
              <w:rPr>
                <w:rFonts w:cstheme="minorHAnsi"/>
                <w:b/>
                <w:bCs/>
                <w:color w:val="000000"/>
                <w:sz w:val="20"/>
                <w:szCs w:val="20"/>
              </w:rPr>
              <w:t xml:space="preserve"> (£)</w:t>
            </w:r>
          </w:p>
        </w:tc>
        <w:tc>
          <w:tcPr>
            <w:tcW w:w="2515" w:type="dxa"/>
            <w:shd w:val="clear" w:color="auto" w:fill="E7E6E6" w:themeFill="background2"/>
            <w:vAlign w:val="center"/>
          </w:tcPr>
          <w:p w14:paraId="2D7E1CFF" w14:textId="5D8D60FB" w:rsidR="00E76B67" w:rsidRPr="00D43C00" w:rsidRDefault="00E76B67" w:rsidP="00E76B67">
            <w:pPr>
              <w:jc w:val="center"/>
              <w:rPr>
                <w:rFonts w:cstheme="minorHAnsi"/>
                <w:b/>
                <w:bCs/>
                <w:sz w:val="20"/>
                <w:szCs w:val="20"/>
              </w:rPr>
            </w:pPr>
            <w:r w:rsidRPr="00D43C00">
              <w:rPr>
                <w:rFonts w:cstheme="minorHAnsi"/>
                <w:b/>
                <w:bCs/>
                <w:color w:val="000000"/>
                <w:sz w:val="20"/>
                <w:szCs w:val="20"/>
              </w:rPr>
              <w:t>QALYs</w:t>
            </w:r>
          </w:p>
        </w:tc>
        <w:tc>
          <w:tcPr>
            <w:tcW w:w="2667" w:type="dxa"/>
            <w:shd w:val="clear" w:color="auto" w:fill="E7E6E6" w:themeFill="background2"/>
            <w:vAlign w:val="center"/>
          </w:tcPr>
          <w:p w14:paraId="5A2B1BCF" w14:textId="77777777" w:rsidR="00E76B67" w:rsidRPr="00D43C00" w:rsidRDefault="00E76B67" w:rsidP="00E76B67">
            <w:pPr>
              <w:jc w:val="center"/>
              <w:rPr>
                <w:rFonts w:cstheme="minorHAnsi"/>
                <w:b/>
                <w:bCs/>
                <w:sz w:val="20"/>
                <w:szCs w:val="20"/>
              </w:rPr>
            </w:pPr>
            <w:r w:rsidRPr="00D43C00">
              <w:rPr>
                <w:rFonts w:cstheme="minorHAnsi"/>
                <w:b/>
                <w:bCs/>
                <w:color w:val="000000"/>
                <w:sz w:val="20"/>
                <w:szCs w:val="20"/>
              </w:rPr>
              <w:t>Incremental net benefit at £20,000/QALY vs no screening</w:t>
            </w:r>
          </w:p>
        </w:tc>
      </w:tr>
      <w:tr w:rsidR="002370BF" w:rsidRPr="00D43C00" w14:paraId="05403F04" w14:textId="77777777" w:rsidTr="00CE1FA0">
        <w:tc>
          <w:tcPr>
            <w:tcW w:w="6941" w:type="dxa"/>
            <w:gridSpan w:val="4"/>
            <w:vAlign w:val="center"/>
          </w:tcPr>
          <w:p w14:paraId="4643DCC1" w14:textId="269AEEB8" w:rsidR="002370BF" w:rsidRPr="00D43C00" w:rsidRDefault="002370BF" w:rsidP="002370BF">
            <w:pPr>
              <w:jc w:val="center"/>
              <w:rPr>
                <w:rFonts w:cstheme="minorHAnsi"/>
                <w:color w:val="000000"/>
                <w:sz w:val="20"/>
                <w:szCs w:val="20"/>
              </w:rPr>
            </w:pPr>
            <w:r w:rsidRPr="00D43C00">
              <w:rPr>
                <w:rFonts w:cstheme="minorHAnsi"/>
                <w:color w:val="000000"/>
                <w:sz w:val="20"/>
                <w:szCs w:val="20"/>
              </w:rPr>
              <w:t>No screening</w:t>
            </w:r>
          </w:p>
        </w:tc>
        <w:tc>
          <w:tcPr>
            <w:tcW w:w="2268" w:type="dxa"/>
            <w:vAlign w:val="bottom"/>
          </w:tcPr>
          <w:p w14:paraId="72112FDB" w14:textId="2D873686" w:rsidR="002370BF" w:rsidRPr="000526F1" w:rsidRDefault="002370BF" w:rsidP="002370BF">
            <w:pPr>
              <w:jc w:val="center"/>
              <w:rPr>
                <w:rFonts w:cstheme="minorHAnsi"/>
                <w:color w:val="000000"/>
                <w:sz w:val="20"/>
                <w:szCs w:val="20"/>
              </w:rPr>
            </w:pPr>
            <w:r w:rsidRPr="000526F1">
              <w:rPr>
                <w:rFonts w:cstheme="minorHAnsi"/>
                <w:color w:val="000000"/>
                <w:sz w:val="20"/>
                <w:szCs w:val="20"/>
              </w:rPr>
              <w:t>17389 (14011, 19332)</w:t>
            </w:r>
          </w:p>
        </w:tc>
        <w:tc>
          <w:tcPr>
            <w:tcW w:w="2515" w:type="dxa"/>
            <w:vAlign w:val="bottom"/>
          </w:tcPr>
          <w:p w14:paraId="1865D999" w14:textId="37437C09" w:rsidR="002370BF" w:rsidRPr="000526F1" w:rsidRDefault="002370BF" w:rsidP="002370BF">
            <w:pPr>
              <w:jc w:val="center"/>
              <w:rPr>
                <w:rFonts w:cstheme="minorHAnsi"/>
                <w:color w:val="000000"/>
                <w:sz w:val="20"/>
                <w:szCs w:val="20"/>
              </w:rPr>
            </w:pPr>
            <w:r w:rsidRPr="000526F1">
              <w:rPr>
                <w:rFonts w:cstheme="minorHAnsi"/>
                <w:color w:val="000000"/>
                <w:sz w:val="20"/>
                <w:szCs w:val="20"/>
              </w:rPr>
              <w:t>18.31 (16.39, 19.54)</w:t>
            </w:r>
          </w:p>
        </w:tc>
        <w:tc>
          <w:tcPr>
            <w:tcW w:w="2667" w:type="dxa"/>
            <w:vAlign w:val="bottom"/>
          </w:tcPr>
          <w:p w14:paraId="165991EF" w14:textId="32FA3871" w:rsidR="002370BF" w:rsidRPr="000526F1" w:rsidRDefault="002370BF" w:rsidP="002370BF">
            <w:pPr>
              <w:jc w:val="center"/>
              <w:rPr>
                <w:rFonts w:cstheme="minorHAnsi"/>
                <w:color w:val="000000"/>
                <w:sz w:val="20"/>
                <w:szCs w:val="20"/>
              </w:rPr>
            </w:pPr>
            <w:r w:rsidRPr="000526F1">
              <w:rPr>
                <w:rFonts w:cstheme="minorHAnsi"/>
                <w:color w:val="000000"/>
                <w:sz w:val="20"/>
                <w:szCs w:val="20"/>
              </w:rPr>
              <w:t>0 (0, 0)</w:t>
            </w:r>
          </w:p>
        </w:tc>
      </w:tr>
      <w:tr w:rsidR="005623A6" w:rsidRPr="00D43C00" w14:paraId="50435285" w14:textId="77777777" w:rsidTr="00837221">
        <w:tc>
          <w:tcPr>
            <w:tcW w:w="2077" w:type="dxa"/>
            <w:vAlign w:val="center"/>
          </w:tcPr>
          <w:p w14:paraId="0CBE30FB" w14:textId="77777777" w:rsidR="005623A6" w:rsidRPr="00D43C00" w:rsidRDefault="005623A6" w:rsidP="005623A6">
            <w:pPr>
              <w:jc w:val="center"/>
              <w:rPr>
                <w:rFonts w:cstheme="minorHAnsi"/>
                <w:sz w:val="20"/>
                <w:szCs w:val="20"/>
              </w:rPr>
            </w:pPr>
            <w:r w:rsidRPr="00D43C00">
              <w:rPr>
                <w:rFonts w:cstheme="minorHAnsi"/>
                <w:color w:val="000000"/>
                <w:sz w:val="20"/>
                <w:szCs w:val="20"/>
              </w:rPr>
              <w:t>1%</w:t>
            </w:r>
          </w:p>
        </w:tc>
        <w:tc>
          <w:tcPr>
            <w:tcW w:w="1560" w:type="dxa"/>
            <w:vAlign w:val="center"/>
          </w:tcPr>
          <w:p w14:paraId="75E48100" w14:textId="6CCD34BA"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1</w:t>
            </w:r>
          </w:p>
        </w:tc>
        <w:tc>
          <w:tcPr>
            <w:tcW w:w="1265" w:type="dxa"/>
            <w:vAlign w:val="center"/>
          </w:tcPr>
          <w:p w14:paraId="5A35D0EA" w14:textId="176CAB20"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w:t>
            </w:r>
          </w:p>
        </w:tc>
        <w:tc>
          <w:tcPr>
            <w:tcW w:w="2039" w:type="dxa"/>
            <w:vAlign w:val="center"/>
          </w:tcPr>
          <w:p w14:paraId="7769CD52"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2E70D90A" w14:textId="4454125B" w:rsidR="005623A6" w:rsidRPr="000526F1" w:rsidRDefault="005623A6" w:rsidP="005623A6">
            <w:pPr>
              <w:jc w:val="center"/>
              <w:rPr>
                <w:rFonts w:cstheme="minorHAnsi"/>
                <w:color w:val="000000"/>
                <w:sz w:val="20"/>
                <w:szCs w:val="20"/>
              </w:rPr>
            </w:pPr>
            <w:r w:rsidRPr="000526F1">
              <w:rPr>
                <w:rFonts w:cstheme="minorHAnsi"/>
                <w:color w:val="000000"/>
                <w:sz w:val="20"/>
                <w:szCs w:val="20"/>
              </w:rPr>
              <w:t>20468 (20152, 20778)</w:t>
            </w:r>
          </w:p>
        </w:tc>
        <w:tc>
          <w:tcPr>
            <w:tcW w:w="2515" w:type="dxa"/>
            <w:vAlign w:val="bottom"/>
          </w:tcPr>
          <w:p w14:paraId="3A432EED" w14:textId="6850F596" w:rsidR="005623A6" w:rsidRPr="000526F1" w:rsidRDefault="005623A6" w:rsidP="005623A6">
            <w:pPr>
              <w:jc w:val="center"/>
              <w:rPr>
                <w:rFonts w:cstheme="minorHAnsi"/>
                <w:color w:val="000000"/>
                <w:sz w:val="20"/>
                <w:szCs w:val="20"/>
              </w:rPr>
            </w:pPr>
            <w:r w:rsidRPr="000526F1">
              <w:rPr>
                <w:rFonts w:cstheme="minorHAnsi"/>
                <w:color w:val="000000"/>
                <w:sz w:val="20"/>
                <w:szCs w:val="20"/>
              </w:rPr>
              <w:t>19.68 (19.14, 20.04)</w:t>
            </w:r>
          </w:p>
        </w:tc>
        <w:tc>
          <w:tcPr>
            <w:tcW w:w="2667" w:type="dxa"/>
            <w:vAlign w:val="bottom"/>
          </w:tcPr>
          <w:p w14:paraId="3E6BFFDB" w14:textId="04EA751B" w:rsidR="005623A6" w:rsidRPr="000526F1" w:rsidRDefault="005623A6" w:rsidP="005623A6">
            <w:pPr>
              <w:jc w:val="center"/>
              <w:rPr>
                <w:rFonts w:cstheme="minorHAnsi"/>
                <w:color w:val="000000"/>
                <w:sz w:val="20"/>
                <w:szCs w:val="20"/>
              </w:rPr>
            </w:pPr>
            <w:r w:rsidRPr="000526F1">
              <w:rPr>
                <w:rFonts w:cstheme="minorHAnsi"/>
                <w:color w:val="000000"/>
                <w:sz w:val="20"/>
                <w:szCs w:val="20"/>
              </w:rPr>
              <w:t>24331 (5080, 56493)</w:t>
            </w:r>
          </w:p>
        </w:tc>
      </w:tr>
      <w:tr w:rsidR="005623A6" w:rsidRPr="00D43C00" w14:paraId="09F08175" w14:textId="77777777" w:rsidTr="00837221">
        <w:tc>
          <w:tcPr>
            <w:tcW w:w="2077" w:type="dxa"/>
            <w:vAlign w:val="center"/>
          </w:tcPr>
          <w:p w14:paraId="41C1899D" w14:textId="45A34E43" w:rsidR="005623A6" w:rsidRPr="00D43C00" w:rsidRDefault="005623A6" w:rsidP="005623A6">
            <w:pPr>
              <w:jc w:val="center"/>
              <w:rPr>
                <w:rFonts w:cstheme="minorHAnsi"/>
                <w:sz w:val="20"/>
                <w:szCs w:val="20"/>
              </w:rPr>
            </w:pPr>
            <w:r w:rsidRPr="00D43C00">
              <w:rPr>
                <w:rFonts w:cstheme="minorHAnsi"/>
                <w:color w:val="000000"/>
                <w:sz w:val="20"/>
                <w:szCs w:val="20"/>
              </w:rPr>
              <w:t>1.5%</w:t>
            </w:r>
          </w:p>
        </w:tc>
        <w:tc>
          <w:tcPr>
            <w:tcW w:w="1560" w:type="dxa"/>
            <w:vAlign w:val="center"/>
          </w:tcPr>
          <w:p w14:paraId="571029D6" w14:textId="3EED9F4D"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0.87</w:t>
            </w:r>
          </w:p>
        </w:tc>
        <w:tc>
          <w:tcPr>
            <w:tcW w:w="1265" w:type="dxa"/>
            <w:vAlign w:val="center"/>
          </w:tcPr>
          <w:p w14:paraId="2221E8DC" w14:textId="3D051B0C"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0.431</w:t>
            </w:r>
          </w:p>
        </w:tc>
        <w:tc>
          <w:tcPr>
            <w:tcW w:w="2039" w:type="dxa"/>
            <w:vAlign w:val="center"/>
          </w:tcPr>
          <w:p w14:paraId="38C928F2"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568AD14A" w14:textId="319B38B8" w:rsidR="005623A6" w:rsidRPr="000526F1" w:rsidRDefault="005623A6" w:rsidP="005623A6">
            <w:pPr>
              <w:jc w:val="center"/>
              <w:rPr>
                <w:rFonts w:cstheme="minorHAnsi"/>
                <w:color w:val="000000"/>
                <w:sz w:val="20"/>
                <w:szCs w:val="20"/>
              </w:rPr>
            </w:pPr>
            <w:r w:rsidRPr="000526F1">
              <w:rPr>
                <w:rFonts w:cstheme="minorHAnsi"/>
                <w:color w:val="000000"/>
                <w:sz w:val="20"/>
                <w:szCs w:val="20"/>
              </w:rPr>
              <w:t>18325 (15069, 20186)</w:t>
            </w:r>
          </w:p>
        </w:tc>
        <w:tc>
          <w:tcPr>
            <w:tcW w:w="2515" w:type="dxa"/>
            <w:vAlign w:val="bottom"/>
          </w:tcPr>
          <w:p w14:paraId="268BD8B4" w14:textId="2ADBAF41" w:rsidR="005623A6" w:rsidRPr="000526F1" w:rsidRDefault="005623A6" w:rsidP="005623A6">
            <w:pPr>
              <w:jc w:val="center"/>
              <w:rPr>
                <w:rFonts w:cstheme="minorHAnsi"/>
                <w:color w:val="000000"/>
                <w:sz w:val="20"/>
                <w:szCs w:val="20"/>
              </w:rPr>
            </w:pPr>
            <w:r w:rsidRPr="000526F1">
              <w:rPr>
                <w:rFonts w:cstheme="minorHAnsi"/>
                <w:color w:val="000000"/>
                <w:sz w:val="20"/>
                <w:szCs w:val="20"/>
              </w:rPr>
              <w:t>18.36 (16.52, 19.56)</w:t>
            </w:r>
          </w:p>
        </w:tc>
        <w:tc>
          <w:tcPr>
            <w:tcW w:w="2667" w:type="dxa"/>
            <w:vAlign w:val="bottom"/>
          </w:tcPr>
          <w:p w14:paraId="5E053C8B" w14:textId="48DF243C" w:rsidR="005623A6" w:rsidRPr="000526F1" w:rsidRDefault="005623A6" w:rsidP="005623A6">
            <w:pPr>
              <w:jc w:val="center"/>
              <w:rPr>
                <w:rFonts w:cstheme="minorHAnsi"/>
                <w:color w:val="000000"/>
                <w:sz w:val="20"/>
                <w:szCs w:val="20"/>
              </w:rPr>
            </w:pPr>
            <w:r w:rsidRPr="000526F1">
              <w:rPr>
                <w:rFonts w:cstheme="minorHAnsi"/>
                <w:color w:val="000000"/>
                <w:sz w:val="20"/>
                <w:szCs w:val="20"/>
              </w:rPr>
              <w:t>161 (-676, 1530)</w:t>
            </w:r>
          </w:p>
        </w:tc>
      </w:tr>
      <w:tr w:rsidR="005623A6" w:rsidRPr="00D43C00" w14:paraId="06BE959B" w14:textId="77777777" w:rsidTr="00837221">
        <w:tc>
          <w:tcPr>
            <w:tcW w:w="2077" w:type="dxa"/>
            <w:vAlign w:val="center"/>
          </w:tcPr>
          <w:p w14:paraId="6AA31AA0" w14:textId="77777777" w:rsidR="005623A6" w:rsidRPr="00D43C00" w:rsidRDefault="005623A6" w:rsidP="005623A6">
            <w:pPr>
              <w:jc w:val="center"/>
              <w:rPr>
                <w:rFonts w:cstheme="minorHAnsi"/>
                <w:sz w:val="20"/>
                <w:szCs w:val="20"/>
              </w:rPr>
            </w:pPr>
            <w:r w:rsidRPr="00D43C00">
              <w:rPr>
                <w:rFonts w:cstheme="minorHAnsi"/>
                <w:color w:val="000000"/>
                <w:sz w:val="20"/>
                <w:szCs w:val="20"/>
              </w:rPr>
              <w:t>2%</w:t>
            </w:r>
          </w:p>
        </w:tc>
        <w:tc>
          <w:tcPr>
            <w:tcW w:w="1560" w:type="dxa"/>
            <w:vAlign w:val="center"/>
          </w:tcPr>
          <w:p w14:paraId="518C1EE5" w14:textId="07EB7F8B"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0.79</w:t>
            </w:r>
          </w:p>
        </w:tc>
        <w:tc>
          <w:tcPr>
            <w:tcW w:w="1265" w:type="dxa"/>
            <w:vAlign w:val="center"/>
          </w:tcPr>
          <w:p w14:paraId="078A28B6" w14:textId="7088A559"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0.61</w:t>
            </w:r>
          </w:p>
        </w:tc>
        <w:tc>
          <w:tcPr>
            <w:tcW w:w="2039" w:type="dxa"/>
            <w:vAlign w:val="center"/>
          </w:tcPr>
          <w:p w14:paraId="0E416403"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053B32E3" w14:textId="337DE08C" w:rsidR="005623A6" w:rsidRPr="000526F1" w:rsidRDefault="005623A6" w:rsidP="005623A6">
            <w:pPr>
              <w:jc w:val="center"/>
              <w:rPr>
                <w:rFonts w:cstheme="minorHAnsi"/>
                <w:color w:val="000000"/>
                <w:sz w:val="20"/>
                <w:szCs w:val="20"/>
              </w:rPr>
            </w:pPr>
            <w:r w:rsidRPr="000526F1">
              <w:rPr>
                <w:rFonts w:cstheme="minorHAnsi"/>
                <w:color w:val="000000"/>
                <w:sz w:val="20"/>
                <w:szCs w:val="20"/>
              </w:rPr>
              <w:t>18236 (14990, 20091)</w:t>
            </w:r>
          </w:p>
        </w:tc>
        <w:tc>
          <w:tcPr>
            <w:tcW w:w="2515" w:type="dxa"/>
            <w:vAlign w:val="bottom"/>
          </w:tcPr>
          <w:p w14:paraId="4B1BE922" w14:textId="7F1C3106" w:rsidR="005623A6" w:rsidRPr="000526F1" w:rsidRDefault="005623A6" w:rsidP="005623A6">
            <w:pPr>
              <w:jc w:val="center"/>
              <w:rPr>
                <w:rFonts w:cstheme="minorHAnsi"/>
                <w:color w:val="000000"/>
                <w:sz w:val="20"/>
                <w:szCs w:val="20"/>
              </w:rPr>
            </w:pPr>
            <w:r w:rsidRPr="000526F1">
              <w:rPr>
                <w:rFonts w:cstheme="minorHAnsi"/>
                <w:color w:val="000000"/>
                <w:sz w:val="20"/>
                <w:szCs w:val="20"/>
              </w:rPr>
              <w:t>18.37 (16.53, 19.56)</w:t>
            </w:r>
          </w:p>
        </w:tc>
        <w:tc>
          <w:tcPr>
            <w:tcW w:w="2667" w:type="dxa"/>
            <w:vAlign w:val="bottom"/>
          </w:tcPr>
          <w:p w14:paraId="08CB9FD0" w14:textId="7791AF08" w:rsidR="005623A6" w:rsidRPr="000526F1" w:rsidRDefault="005623A6" w:rsidP="005623A6">
            <w:pPr>
              <w:jc w:val="center"/>
              <w:rPr>
                <w:rFonts w:cstheme="minorHAnsi"/>
                <w:color w:val="000000"/>
                <w:sz w:val="20"/>
                <w:szCs w:val="20"/>
              </w:rPr>
            </w:pPr>
            <w:r w:rsidRPr="000526F1">
              <w:rPr>
                <w:rFonts w:cstheme="minorHAnsi"/>
                <w:color w:val="000000"/>
                <w:sz w:val="20"/>
                <w:szCs w:val="20"/>
              </w:rPr>
              <w:t>355 (-549, 1838)</w:t>
            </w:r>
          </w:p>
        </w:tc>
      </w:tr>
      <w:tr w:rsidR="005623A6" w:rsidRPr="00D43C00" w14:paraId="5125C903" w14:textId="77777777" w:rsidTr="00837221">
        <w:tc>
          <w:tcPr>
            <w:tcW w:w="2077" w:type="dxa"/>
            <w:vAlign w:val="center"/>
          </w:tcPr>
          <w:p w14:paraId="587E00C6" w14:textId="77777777" w:rsidR="005623A6" w:rsidRPr="00D43C00" w:rsidRDefault="005623A6" w:rsidP="005623A6">
            <w:pPr>
              <w:jc w:val="center"/>
              <w:rPr>
                <w:rFonts w:cstheme="minorHAnsi"/>
                <w:sz w:val="20"/>
                <w:szCs w:val="20"/>
              </w:rPr>
            </w:pPr>
            <w:r w:rsidRPr="00D43C00">
              <w:rPr>
                <w:rFonts w:cstheme="minorHAnsi"/>
                <w:color w:val="000000"/>
                <w:sz w:val="20"/>
                <w:szCs w:val="20"/>
              </w:rPr>
              <w:t>5%</w:t>
            </w:r>
          </w:p>
        </w:tc>
        <w:tc>
          <w:tcPr>
            <w:tcW w:w="1560" w:type="dxa"/>
            <w:vAlign w:val="center"/>
          </w:tcPr>
          <w:p w14:paraId="687046D4" w14:textId="453C4DD4"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0.579</w:t>
            </w:r>
          </w:p>
        </w:tc>
        <w:tc>
          <w:tcPr>
            <w:tcW w:w="1265" w:type="dxa"/>
            <w:vAlign w:val="center"/>
          </w:tcPr>
          <w:p w14:paraId="365A2FD9" w14:textId="358299A7"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0.889</w:t>
            </w:r>
          </w:p>
        </w:tc>
        <w:tc>
          <w:tcPr>
            <w:tcW w:w="2039" w:type="dxa"/>
            <w:vAlign w:val="center"/>
          </w:tcPr>
          <w:p w14:paraId="74F07EDF"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5559AD89" w14:textId="2AF4CFDA" w:rsidR="005623A6" w:rsidRPr="000526F1" w:rsidRDefault="005623A6" w:rsidP="005623A6">
            <w:pPr>
              <w:jc w:val="center"/>
              <w:rPr>
                <w:rFonts w:cstheme="minorHAnsi"/>
                <w:color w:val="000000"/>
                <w:sz w:val="20"/>
                <w:szCs w:val="20"/>
              </w:rPr>
            </w:pPr>
            <w:r w:rsidRPr="000526F1">
              <w:rPr>
                <w:rFonts w:cstheme="minorHAnsi"/>
                <w:color w:val="000000"/>
                <w:sz w:val="20"/>
                <w:szCs w:val="20"/>
              </w:rPr>
              <w:t>18270 (15286, 19963)</w:t>
            </w:r>
          </w:p>
        </w:tc>
        <w:tc>
          <w:tcPr>
            <w:tcW w:w="2515" w:type="dxa"/>
            <w:vAlign w:val="bottom"/>
          </w:tcPr>
          <w:p w14:paraId="6C63355C" w14:textId="0CD6A11C" w:rsidR="005623A6" w:rsidRPr="000526F1" w:rsidRDefault="005623A6" w:rsidP="005623A6">
            <w:pPr>
              <w:jc w:val="center"/>
              <w:rPr>
                <w:rFonts w:cstheme="minorHAnsi"/>
                <w:color w:val="000000"/>
                <w:sz w:val="20"/>
                <w:szCs w:val="20"/>
              </w:rPr>
            </w:pPr>
            <w:r w:rsidRPr="000526F1">
              <w:rPr>
                <w:rFonts w:cstheme="minorHAnsi"/>
                <w:color w:val="000000"/>
                <w:sz w:val="20"/>
                <w:szCs w:val="20"/>
              </w:rPr>
              <w:t>18.49 (16.83, 19.6)</w:t>
            </w:r>
          </w:p>
        </w:tc>
        <w:tc>
          <w:tcPr>
            <w:tcW w:w="2667" w:type="dxa"/>
            <w:vAlign w:val="bottom"/>
          </w:tcPr>
          <w:p w14:paraId="35030D66" w14:textId="1BD61E66" w:rsidR="005623A6" w:rsidRPr="000526F1" w:rsidRDefault="005623A6" w:rsidP="005623A6">
            <w:pPr>
              <w:jc w:val="center"/>
              <w:rPr>
                <w:rFonts w:cstheme="minorHAnsi"/>
                <w:color w:val="000000"/>
                <w:sz w:val="20"/>
                <w:szCs w:val="20"/>
              </w:rPr>
            </w:pPr>
            <w:r w:rsidRPr="000526F1">
              <w:rPr>
                <w:rFonts w:cstheme="minorHAnsi"/>
                <w:color w:val="000000"/>
                <w:sz w:val="20"/>
                <w:szCs w:val="20"/>
              </w:rPr>
              <w:t>2838 (187, 7218)</w:t>
            </w:r>
          </w:p>
        </w:tc>
      </w:tr>
      <w:tr w:rsidR="005623A6" w:rsidRPr="00D43C00" w14:paraId="771AE652" w14:textId="77777777" w:rsidTr="00837221">
        <w:tc>
          <w:tcPr>
            <w:tcW w:w="2077" w:type="dxa"/>
            <w:vAlign w:val="center"/>
          </w:tcPr>
          <w:p w14:paraId="319D5274" w14:textId="77777777" w:rsidR="005623A6" w:rsidRPr="00D43C00" w:rsidRDefault="005623A6" w:rsidP="005623A6">
            <w:pPr>
              <w:jc w:val="center"/>
              <w:rPr>
                <w:rFonts w:cstheme="minorHAnsi"/>
                <w:sz w:val="20"/>
                <w:szCs w:val="20"/>
              </w:rPr>
            </w:pPr>
            <w:r w:rsidRPr="00D43C00">
              <w:rPr>
                <w:rFonts w:cstheme="minorHAnsi"/>
                <w:color w:val="000000"/>
                <w:sz w:val="20"/>
                <w:szCs w:val="20"/>
              </w:rPr>
              <w:t>10%</w:t>
            </w:r>
          </w:p>
        </w:tc>
        <w:tc>
          <w:tcPr>
            <w:tcW w:w="1560" w:type="dxa"/>
            <w:vAlign w:val="center"/>
          </w:tcPr>
          <w:p w14:paraId="634DCBCF" w14:textId="6E4D7B20"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0.322</w:t>
            </w:r>
          </w:p>
        </w:tc>
        <w:tc>
          <w:tcPr>
            <w:tcW w:w="1265" w:type="dxa"/>
            <w:vAlign w:val="center"/>
          </w:tcPr>
          <w:p w14:paraId="3A90BD0F" w14:textId="2D796433"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0.971</w:t>
            </w:r>
          </w:p>
        </w:tc>
        <w:tc>
          <w:tcPr>
            <w:tcW w:w="2039" w:type="dxa"/>
            <w:vAlign w:val="center"/>
          </w:tcPr>
          <w:p w14:paraId="7B710839"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20E0D796" w14:textId="0058FDBC" w:rsidR="005623A6" w:rsidRPr="000526F1" w:rsidRDefault="005623A6" w:rsidP="005623A6">
            <w:pPr>
              <w:jc w:val="center"/>
              <w:rPr>
                <w:rFonts w:cstheme="minorHAnsi"/>
                <w:color w:val="000000"/>
                <w:sz w:val="20"/>
                <w:szCs w:val="20"/>
              </w:rPr>
            </w:pPr>
            <w:r w:rsidRPr="000526F1">
              <w:rPr>
                <w:rFonts w:cstheme="minorHAnsi"/>
                <w:color w:val="000000"/>
                <w:sz w:val="20"/>
                <w:szCs w:val="20"/>
              </w:rPr>
              <w:t>18567 (16137, 19955)</w:t>
            </w:r>
          </w:p>
        </w:tc>
        <w:tc>
          <w:tcPr>
            <w:tcW w:w="2515" w:type="dxa"/>
            <w:vAlign w:val="bottom"/>
          </w:tcPr>
          <w:p w14:paraId="6CBB6AD5" w14:textId="710ABE21" w:rsidR="005623A6" w:rsidRPr="000526F1" w:rsidRDefault="005623A6" w:rsidP="005623A6">
            <w:pPr>
              <w:jc w:val="center"/>
              <w:rPr>
                <w:rFonts w:cstheme="minorHAnsi"/>
                <w:color w:val="000000"/>
                <w:sz w:val="20"/>
                <w:szCs w:val="20"/>
              </w:rPr>
            </w:pPr>
            <w:r w:rsidRPr="000526F1">
              <w:rPr>
                <w:rFonts w:cstheme="minorHAnsi"/>
                <w:color w:val="000000"/>
                <w:sz w:val="20"/>
                <w:szCs w:val="20"/>
              </w:rPr>
              <w:t>18.72 (17.37, 19.66)</w:t>
            </w:r>
          </w:p>
        </w:tc>
        <w:tc>
          <w:tcPr>
            <w:tcW w:w="2667" w:type="dxa"/>
            <w:vAlign w:val="bottom"/>
          </w:tcPr>
          <w:p w14:paraId="6CFE694F" w14:textId="442CF7F8" w:rsidR="005623A6" w:rsidRPr="000526F1" w:rsidRDefault="005623A6" w:rsidP="005623A6">
            <w:pPr>
              <w:jc w:val="center"/>
              <w:rPr>
                <w:rFonts w:cstheme="minorHAnsi"/>
                <w:color w:val="000000"/>
                <w:sz w:val="20"/>
                <w:szCs w:val="20"/>
              </w:rPr>
            </w:pPr>
            <w:r w:rsidRPr="000526F1">
              <w:rPr>
                <w:rFonts w:cstheme="minorHAnsi"/>
                <w:color w:val="000000"/>
                <w:sz w:val="20"/>
                <w:szCs w:val="20"/>
              </w:rPr>
              <w:t>7179 (1292, 16949)</w:t>
            </w:r>
          </w:p>
        </w:tc>
      </w:tr>
      <w:tr w:rsidR="005623A6" w:rsidRPr="00D43C00" w14:paraId="047F0002" w14:textId="77777777" w:rsidTr="00837221">
        <w:tc>
          <w:tcPr>
            <w:tcW w:w="2077" w:type="dxa"/>
            <w:vAlign w:val="center"/>
          </w:tcPr>
          <w:p w14:paraId="5E02C3E9" w14:textId="77777777" w:rsidR="005623A6" w:rsidRPr="00D43C00" w:rsidRDefault="005623A6" w:rsidP="005623A6">
            <w:pPr>
              <w:jc w:val="center"/>
              <w:rPr>
                <w:rFonts w:cstheme="minorHAnsi"/>
                <w:sz w:val="20"/>
                <w:szCs w:val="20"/>
              </w:rPr>
            </w:pPr>
            <w:r w:rsidRPr="00D43C00">
              <w:rPr>
                <w:rFonts w:cstheme="minorHAnsi"/>
                <w:color w:val="000000"/>
                <w:sz w:val="20"/>
                <w:szCs w:val="20"/>
              </w:rPr>
              <w:t>20%</w:t>
            </w:r>
          </w:p>
        </w:tc>
        <w:tc>
          <w:tcPr>
            <w:tcW w:w="1560" w:type="dxa"/>
            <w:vAlign w:val="center"/>
          </w:tcPr>
          <w:p w14:paraId="0E57A5A1" w14:textId="2505CFD2"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0.107</w:t>
            </w:r>
          </w:p>
        </w:tc>
        <w:tc>
          <w:tcPr>
            <w:tcW w:w="1265" w:type="dxa"/>
            <w:vAlign w:val="center"/>
          </w:tcPr>
          <w:p w14:paraId="5379CF87" w14:textId="6B027637"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0.996</w:t>
            </w:r>
          </w:p>
        </w:tc>
        <w:tc>
          <w:tcPr>
            <w:tcW w:w="2039" w:type="dxa"/>
            <w:vAlign w:val="center"/>
          </w:tcPr>
          <w:p w14:paraId="2B229FAE" w14:textId="77777777" w:rsidR="005623A6" w:rsidRPr="00D43C00" w:rsidRDefault="005623A6" w:rsidP="005623A6">
            <w:pPr>
              <w:jc w:val="center"/>
              <w:rPr>
                <w:rFonts w:cstheme="minorHAnsi"/>
                <w:sz w:val="20"/>
                <w:szCs w:val="20"/>
              </w:rPr>
            </w:pPr>
            <w:r w:rsidRPr="00D43C00">
              <w:rPr>
                <w:rFonts w:cstheme="minorHAnsi"/>
                <w:color w:val="000000"/>
                <w:sz w:val="20"/>
                <w:szCs w:val="20"/>
              </w:rPr>
              <w:t>IgA tTG</w:t>
            </w:r>
          </w:p>
        </w:tc>
        <w:tc>
          <w:tcPr>
            <w:tcW w:w="2268" w:type="dxa"/>
            <w:vAlign w:val="bottom"/>
          </w:tcPr>
          <w:p w14:paraId="6738B060" w14:textId="0C31B040" w:rsidR="005623A6" w:rsidRPr="000526F1" w:rsidRDefault="005623A6" w:rsidP="005623A6">
            <w:pPr>
              <w:jc w:val="center"/>
              <w:rPr>
                <w:rFonts w:cstheme="minorHAnsi"/>
                <w:color w:val="000000"/>
                <w:sz w:val="20"/>
                <w:szCs w:val="20"/>
              </w:rPr>
            </w:pPr>
            <w:r w:rsidRPr="000526F1">
              <w:rPr>
                <w:rFonts w:cstheme="minorHAnsi"/>
                <w:color w:val="000000"/>
                <w:sz w:val="20"/>
                <w:szCs w:val="20"/>
              </w:rPr>
              <w:t>19267 (18020, 20053)</w:t>
            </w:r>
          </w:p>
        </w:tc>
        <w:tc>
          <w:tcPr>
            <w:tcW w:w="2515" w:type="dxa"/>
            <w:vAlign w:val="bottom"/>
          </w:tcPr>
          <w:p w14:paraId="04D33F9A" w14:textId="5441D6F5" w:rsidR="005623A6" w:rsidRPr="000526F1" w:rsidRDefault="005623A6" w:rsidP="005623A6">
            <w:pPr>
              <w:jc w:val="center"/>
              <w:rPr>
                <w:rFonts w:cstheme="minorHAnsi"/>
                <w:color w:val="000000"/>
                <w:sz w:val="20"/>
                <w:szCs w:val="20"/>
              </w:rPr>
            </w:pPr>
            <w:r w:rsidRPr="000526F1">
              <w:rPr>
                <w:rFonts w:cstheme="minorHAnsi"/>
                <w:color w:val="000000"/>
                <w:sz w:val="20"/>
                <w:szCs w:val="20"/>
              </w:rPr>
              <w:t>19.21 (18.43, 19.82)</w:t>
            </w:r>
          </w:p>
        </w:tc>
        <w:tc>
          <w:tcPr>
            <w:tcW w:w="2667" w:type="dxa"/>
            <w:vAlign w:val="bottom"/>
          </w:tcPr>
          <w:p w14:paraId="373B9990" w14:textId="7CE04686" w:rsidR="005623A6" w:rsidRPr="000526F1" w:rsidRDefault="005623A6" w:rsidP="005623A6">
            <w:pPr>
              <w:jc w:val="center"/>
              <w:rPr>
                <w:rFonts w:cstheme="minorHAnsi"/>
                <w:color w:val="000000"/>
                <w:sz w:val="20"/>
                <w:szCs w:val="20"/>
              </w:rPr>
            </w:pPr>
            <w:r w:rsidRPr="000526F1">
              <w:rPr>
                <w:rFonts w:cstheme="minorHAnsi"/>
                <w:color w:val="000000"/>
                <w:sz w:val="20"/>
                <w:szCs w:val="20"/>
              </w:rPr>
              <w:t>16114 (3482, 37161)</w:t>
            </w:r>
          </w:p>
        </w:tc>
      </w:tr>
      <w:tr w:rsidR="005623A6" w:rsidRPr="00D43C00" w14:paraId="3EE8D450" w14:textId="77777777" w:rsidTr="00837221">
        <w:tc>
          <w:tcPr>
            <w:tcW w:w="2077" w:type="dxa"/>
            <w:vAlign w:val="center"/>
          </w:tcPr>
          <w:p w14:paraId="17300646" w14:textId="77777777" w:rsidR="005623A6" w:rsidRPr="00D43C00" w:rsidRDefault="005623A6" w:rsidP="005623A6">
            <w:pPr>
              <w:jc w:val="center"/>
              <w:rPr>
                <w:rFonts w:cstheme="minorHAnsi"/>
                <w:sz w:val="20"/>
                <w:szCs w:val="20"/>
              </w:rPr>
            </w:pPr>
            <w:r w:rsidRPr="00D43C00">
              <w:rPr>
                <w:rFonts w:cstheme="minorHAnsi"/>
                <w:color w:val="000000"/>
                <w:sz w:val="20"/>
                <w:szCs w:val="20"/>
              </w:rPr>
              <w:t>1%</w:t>
            </w:r>
          </w:p>
        </w:tc>
        <w:tc>
          <w:tcPr>
            <w:tcW w:w="1560" w:type="dxa"/>
            <w:vAlign w:val="center"/>
          </w:tcPr>
          <w:p w14:paraId="2DF43362" w14:textId="587E0E65"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1</w:t>
            </w:r>
          </w:p>
        </w:tc>
        <w:tc>
          <w:tcPr>
            <w:tcW w:w="1265" w:type="dxa"/>
            <w:vAlign w:val="center"/>
          </w:tcPr>
          <w:p w14:paraId="0C6403C8" w14:textId="76FB209D"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w:t>
            </w:r>
          </w:p>
        </w:tc>
        <w:tc>
          <w:tcPr>
            <w:tcW w:w="2039" w:type="dxa"/>
            <w:vAlign w:val="center"/>
          </w:tcPr>
          <w:p w14:paraId="286D7217" w14:textId="2D9718FE" w:rsidR="005623A6" w:rsidRPr="00D43C00" w:rsidRDefault="005623A6" w:rsidP="005623A6">
            <w:pPr>
              <w:jc w:val="center"/>
              <w:rPr>
                <w:rFonts w:cstheme="minorHAnsi"/>
                <w:sz w:val="20"/>
                <w:szCs w:val="20"/>
              </w:rPr>
            </w:pPr>
            <w:r w:rsidRPr="00D43C00">
              <w:rPr>
                <w:rFonts w:cstheme="minorHAnsi"/>
                <w:color w:val="000000"/>
                <w:sz w:val="20"/>
                <w:szCs w:val="20"/>
              </w:rPr>
              <w:t>IgA EMA plus HLA</w:t>
            </w:r>
          </w:p>
        </w:tc>
        <w:tc>
          <w:tcPr>
            <w:tcW w:w="2268" w:type="dxa"/>
            <w:vAlign w:val="bottom"/>
          </w:tcPr>
          <w:p w14:paraId="77FD8A09" w14:textId="42FE747F" w:rsidR="005623A6" w:rsidRPr="000526F1" w:rsidRDefault="005623A6" w:rsidP="005623A6">
            <w:pPr>
              <w:jc w:val="center"/>
              <w:rPr>
                <w:rFonts w:cstheme="minorHAnsi"/>
                <w:color w:val="000000"/>
                <w:sz w:val="20"/>
                <w:szCs w:val="20"/>
              </w:rPr>
            </w:pPr>
            <w:r w:rsidRPr="000526F1">
              <w:rPr>
                <w:rFonts w:cstheme="minorHAnsi"/>
                <w:color w:val="000000"/>
                <w:sz w:val="20"/>
                <w:szCs w:val="20"/>
              </w:rPr>
              <w:t>20841 (20546, 21147)</w:t>
            </w:r>
          </w:p>
        </w:tc>
        <w:tc>
          <w:tcPr>
            <w:tcW w:w="2515" w:type="dxa"/>
            <w:vAlign w:val="bottom"/>
          </w:tcPr>
          <w:p w14:paraId="54A58091" w14:textId="36C802AE" w:rsidR="005623A6" w:rsidRPr="000526F1" w:rsidRDefault="005623A6" w:rsidP="005623A6">
            <w:pPr>
              <w:jc w:val="center"/>
              <w:rPr>
                <w:rFonts w:cstheme="minorHAnsi"/>
                <w:color w:val="000000"/>
                <w:sz w:val="20"/>
                <w:szCs w:val="20"/>
              </w:rPr>
            </w:pPr>
            <w:r w:rsidRPr="000526F1">
              <w:rPr>
                <w:rFonts w:cstheme="minorHAnsi"/>
                <w:color w:val="000000"/>
                <w:sz w:val="20"/>
                <w:szCs w:val="20"/>
              </w:rPr>
              <w:t>19.73 (19.19, 20.1)</w:t>
            </w:r>
          </w:p>
        </w:tc>
        <w:tc>
          <w:tcPr>
            <w:tcW w:w="2667" w:type="dxa"/>
            <w:vAlign w:val="bottom"/>
          </w:tcPr>
          <w:p w14:paraId="6C4219E8" w14:textId="321B9F2F" w:rsidR="005623A6" w:rsidRPr="000526F1" w:rsidRDefault="005623A6" w:rsidP="005623A6">
            <w:pPr>
              <w:jc w:val="center"/>
              <w:rPr>
                <w:rFonts w:cstheme="minorHAnsi"/>
                <w:color w:val="000000"/>
                <w:sz w:val="20"/>
                <w:szCs w:val="20"/>
              </w:rPr>
            </w:pPr>
            <w:r w:rsidRPr="000526F1">
              <w:rPr>
                <w:rFonts w:cstheme="minorHAnsi"/>
                <w:color w:val="000000"/>
                <w:sz w:val="20"/>
                <w:szCs w:val="20"/>
              </w:rPr>
              <w:t>25060 (5050, 58568)</w:t>
            </w:r>
          </w:p>
        </w:tc>
      </w:tr>
      <w:tr w:rsidR="005623A6" w:rsidRPr="00D43C00" w14:paraId="0976DEF8" w14:textId="77777777" w:rsidTr="00837221">
        <w:tc>
          <w:tcPr>
            <w:tcW w:w="2077" w:type="dxa"/>
            <w:vAlign w:val="center"/>
          </w:tcPr>
          <w:p w14:paraId="0525E4CC" w14:textId="6FB7CA74" w:rsidR="005623A6" w:rsidRPr="00D43C00" w:rsidRDefault="005623A6" w:rsidP="005623A6">
            <w:pPr>
              <w:jc w:val="center"/>
              <w:rPr>
                <w:rFonts w:cstheme="minorHAnsi"/>
                <w:sz w:val="20"/>
                <w:szCs w:val="20"/>
              </w:rPr>
            </w:pPr>
            <w:r w:rsidRPr="00D43C00">
              <w:rPr>
                <w:rFonts w:cstheme="minorHAnsi"/>
                <w:color w:val="000000"/>
                <w:sz w:val="20"/>
                <w:szCs w:val="20"/>
              </w:rPr>
              <w:t>1.5%</w:t>
            </w:r>
          </w:p>
        </w:tc>
        <w:tc>
          <w:tcPr>
            <w:tcW w:w="1560" w:type="dxa"/>
            <w:vAlign w:val="center"/>
          </w:tcPr>
          <w:p w14:paraId="7F150497" w14:textId="1B1F24C4"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0.87</w:t>
            </w:r>
          </w:p>
        </w:tc>
        <w:tc>
          <w:tcPr>
            <w:tcW w:w="1265" w:type="dxa"/>
            <w:vAlign w:val="center"/>
          </w:tcPr>
          <w:p w14:paraId="645DFE94" w14:textId="14D24541"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0.431</w:t>
            </w:r>
          </w:p>
        </w:tc>
        <w:tc>
          <w:tcPr>
            <w:tcW w:w="2039" w:type="dxa"/>
            <w:vAlign w:val="center"/>
          </w:tcPr>
          <w:p w14:paraId="19C71085" w14:textId="77777777" w:rsidR="005623A6" w:rsidRPr="00D43C00" w:rsidRDefault="005623A6" w:rsidP="005623A6">
            <w:pPr>
              <w:jc w:val="center"/>
              <w:rPr>
                <w:rFonts w:cstheme="minorHAnsi"/>
                <w:sz w:val="20"/>
                <w:szCs w:val="20"/>
              </w:rPr>
            </w:pPr>
            <w:r w:rsidRPr="00D43C00">
              <w:rPr>
                <w:rFonts w:cstheme="minorHAnsi"/>
                <w:color w:val="000000"/>
                <w:sz w:val="20"/>
                <w:szCs w:val="20"/>
              </w:rPr>
              <w:t>IgA EMA plus HLA</w:t>
            </w:r>
          </w:p>
        </w:tc>
        <w:tc>
          <w:tcPr>
            <w:tcW w:w="2268" w:type="dxa"/>
            <w:vAlign w:val="bottom"/>
          </w:tcPr>
          <w:p w14:paraId="729E02FE" w14:textId="68B69CF9" w:rsidR="005623A6" w:rsidRPr="000526F1" w:rsidRDefault="005623A6" w:rsidP="005623A6">
            <w:pPr>
              <w:jc w:val="center"/>
              <w:rPr>
                <w:rFonts w:cstheme="minorHAnsi"/>
                <w:color w:val="000000"/>
                <w:sz w:val="20"/>
                <w:szCs w:val="20"/>
              </w:rPr>
            </w:pPr>
            <w:r w:rsidRPr="000526F1">
              <w:rPr>
                <w:rFonts w:cstheme="minorHAnsi"/>
                <w:color w:val="000000"/>
                <w:sz w:val="20"/>
                <w:szCs w:val="20"/>
              </w:rPr>
              <w:t>20535 (20229, 20844)</w:t>
            </w:r>
          </w:p>
        </w:tc>
        <w:tc>
          <w:tcPr>
            <w:tcW w:w="2515" w:type="dxa"/>
            <w:vAlign w:val="bottom"/>
          </w:tcPr>
          <w:p w14:paraId="32E5C096" w14:textId="40B0E090" w:rsidR="005623A6" w:rsidRPr="000526F1" w:rsidRDefault="005623A6" w:rsidP="005623A6">
            <w:pPr>
              <w:jc w:val="center"/>
              <w:rPr>
                <w:rFonts w:cstheme="minorHAnsi"/>
                <w:color w:val="000000"/>
                <w:sz w:val="20"/>
                <w:szCs w:val="20"/>
              </w:rPr>
            </w:pPr>
            <w:r w:rsidRPr="000526F1">
              <w:rPr>
                <w:rFonts w:cstheme="minorHAnsi"/>
                <w:color w:val="000000"/>
                <w:sz w:val="20"/>
                <w:szCs w:val="20"/>
              </w:rPr>
              <w:t>19.71 (19.17, 20.08)</w:t>
            </w:r>
          </w:p>
        </w:tc>
        <w:tc>
          <w:tcPr>
            <w:tcW w:w="2667" w:type="dxa"/>
            <w:vAlign w:val="bottom"/>
          </w:tcPr>
          <w:p w14:paraId="331A0D24" w14:textId="5CA3C190" w:rsidR="005623A6" w:rsidRPr="000526F1" w:rsidRDefault="005623A6" w:rsidP="005623A6">
            <w:pPr>
              <w:jc w:val="center"/>
              <w:rPr>
                <w:rFonts w:cstheme="minorHAnsi"/>
                <w:color w:val="000000"/>
                <w:sz w:val="20"/>
                <w:szCs w:val="20"/>
              </w:rPr>
            </w:pPr>
            <w:r w:rsidRPr="000526F1">
              <w:rPr>
                <w:rFonts w:cstheme="minorHAnsi"/>
                <w:color w:val="000000"/>
                <w:sz w:val="20"/>
                <w:szCs w:val="20"/>
              </w:rPr>
              <w:t>24884 (5204, 57564)</w:t>
            </w:r>
          </w:p>
        </w:tc>
      </w:tr>
      <w:tr w:rsidR="005623A6" w:rsidRPr="00D43C00" w14:paraId="37E70C8B" w14:textId="77777777" w:rsidTr="00837221">
        <w:tc>
          <w:tcPr>
            <w:tcW w:w="2077" w:type="dxa"/>
            <w:vAlign w:val="center"/>
          </w:tcPr>
          <w:p w14:paraId="30548F1C" w14:textId="77777777" w:rsidR="005623A6" w:rsidRPr="00D43C00" w:rsidRDefault="005623A6" w:rsidP="005623A6">
            <w:pPr>
              <w:jc w:val="center"/>
              <w:rPr>
                <w:rFonts w:cstheme="minorHAnsi"/>
                <w:sz w:val="20"/>
                <w:szCs w:val="20"/>
              </w:rPr>
            </w:pPr>
            <w:r w:rsidRPr="00D43C00">
              <w:rPr>
                <w:rFonts w:cstheme="minorHAnsi"/>
                <w:color w:val="000000"/>
                <w:sz w:val="20"/>
                <w:szCs w:val="20"/>
              </w:rPr>
              <w:t>2%</w:t>
            </w:r>
          </w:p>
        </w:tc>
        <w:tc>
          <w:tcPr>
            <w:tcW w:w="1560" w:type="dxa"/>
            <w:vAlign w:val="center"/>
          </w:tcPr>
          <w:p w14:paraId="3BCC7673" w14:textId="61B77E1E"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0.79</w:t>
            </w:r>
          </w:p>
        </w:tc>
        <w:tc>
          <w:tcPr>
            <w:tcW w:w="1265" w:type="dxa"/>
            <w:vAlign w:val="center"/>
          </w:tcPr>
          <w:p w14:paraId="2DE8E754" w14:textId="576E24E1"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0.61</w:t>
            </w:r>
          </w:p>
        </w:tc>
        <w:tc>
          <w:tcPr>
            <w:tcW w:w="2039" w:type="dxa"/>
            <w:vAlign w:val="center"/>
          </w:tcPr>
          <w:p w14:paraId="3702F5CC" w14:textId="77777777" w:rsidR="005623A6" w:rsidRPr="00D43C00" w:rsidRDefault="005623A6" w:rsidP="005623A6">
            <w:pPr>
              <w:jc w:val="center"/>
              <w:rPr>
                <w:rFonts w:cstheme="minorHAnsi"/>
                <w:sz w:val="20"/>
                <w:szCs w:val="20"/>
              </w:rPr>
            </w:pPr>
            <w:r w:rsidRPr="00D43C00">
              <w:rPr>
                <w:rFonts w:cstheme="minorHAnsi"/>
                <w:color w:val="000000"/>
                <w:sz w:val="20"/>
                <w:szCs w:val="20"/>
              </w:rPr>
              <w:t>IgA EMA plus HLA</w:t>
            </w:r>
          </w:p>
        </w:tc>
        <w:tc>
          <w:tcPr>
            <w:tcW w:w="2268" w:type="dxa"/>
            <w:vAlign w:val="bottom"/>
          </w:tcPr>
          <w:p w14:paraId="7E4505B7" w14:textId="11459592" w:rsidR="005623A6" w:rsidRPr="000526F1" w:rsidRDefault="005623A6" w:rsidP="005623A6">
            <w:pPr>
              <w:jc w:val="center"/>
              <w:rPr>
                <w:rFonts w:cstheme="minorHAnsi"/>
                <w:color w:val="000000"/>
                <w:sz w:val="20"/>
                <w:szCs w:val="20"/>
              </w:rPr>
            </w:pPr>
            <w:r w:rsidRPr="000526F1">
              <w:rPr>
                <w:rFonts w:cstheme="minorHAnsi"/>
                <w:color w:val="000000"/>
                <w:sz w:val="20"/>
                <w:szCs w:val="20"/>
              </w:rPr>
              <w:t>20430 (20123, 20737)</w:t>
            </w:r>
          </w:p>
        </w:tc>
        <w:tc>
          <w:tcPr>
            <w:tcW w:w="2515" w:type="dxa"/>
            <w:vAlign w:val="bottom"/>
          </w:tcPr>
          <w:p w14:paraId="38F93AC3" w14:textId="3587B6DD" w:rsidR="005623A6" w:rsidRPr="000526F1" w:rsidRDefault="005623A6" w:rsidP="005623A6">
            <w:pPr>
              <w:jc w:val="center"/>
              <w:rPr>
                <w:rFonts w:cstheme="minorHAnsi"/>
                <w:color w:val="000000"/>
                <w:sz w:val="20"/>
                <w:szCs w:val="20"/>
              </w:rPr>
            </w:pPr>
            <w:r w:rsidRPr="000526F1">
              <w:rPr>
                <w:rFonts w:cstheme="minorHAnsi"/>
                <w:color w:val="000000"/>
                <w:sz w:val="20"/>
                <w:szCs w:val="20"/>
              </w:rPr>
              <w:t>19.71 (19.17, 20.08)</w:t>
            </w:r>
          </w:p>
        </w:tc>
        <w:tc>
          <w:tcPr>
            <w:tcW w:w="2667" w:type="dxa"/>
            <w:vAlign w:val="bottom"/>
          </w:tcPr>
          <w:p w14:paraId="4C50194A" w14:textId="327F184C" w:rsidR="005623A6" w:rsidRPr="000526F1" w:rsidRDefault="005623A6" w:rsidP="005623A6">
            <w:pPr>
              <w:jc w:val="center"/>
              <w:rPr>
                <w:rFonts w:cstheme="minorHAnsi"/>
                <w:color w:val="000000"/>
                <w:sz w:val="20"/>
                <w:szCs w:val="20"/>
              </w:rPr>
            </w:pPr>
            <w:r w:rsidRPr="000526F1">
              <w:rPr>
                <w:rFonts w:cstheme="minorHAnsi"/>
                <w:color w:val="000000"/>
                <w:sz w:val="20"/>
                <w:szCs w:val="20"/>
              </w:rPr>
              <w:t>24981 (5300, 57672)</w:t>
            </w:r>
          </w:p>
        </w:tc>
      </w:tr>
      <w:tr w:rsidR="005623A6" w:rsidRPr="00D43C00" w14:paraId="055F2FD3" w14:textId="77777777" w:rsidTr="00837221">
        <w:tc>
          <w:tcPr>
            <w:tcW w:w="2077" w:type="dxa"/>
            <w:vAlign w:val="center"/>
          </w:tcPr>
          <w:p w14:paraId="35D8F01C" w14:textId="77777777" w:rsidR="005623A6" w:rsidRPr="00D43C00" w:rsidRDefault="005623A6" w:rsidP="005623A6">
            <w:pPr>
              <w:jc w:val="center"/>
              <w:rPr>
                <w:rFonts w:cstheme="minorHAnsi"/>
                <w:sz w:val="20"/>
                <w:szCs w:val="20"/>
              </w:rPr>
            </w:pPr>
            <w:r w:rsidRPr="00D43C00">
              <w:rPr>
                <w:rFonts w:cstheme="minorHAnsi"/>
                <w:color w:val="000000"/>
                <w:sz w:val="20"/>
                <w:szCs w:val="20"/>
              </w:rPr>
              <w:t>5%</w:t>
            </w:r>
          </w:p>
        </w:tc>
        <w:tc>
          <w:tcPr>
            <w:tcW w:w="1560" w:type="dxa"/>
            <w:vAlign w:val="center"/>
          </w:tcPr>
          <w:p w14:paraId="293DCC2D" w14:textId="3789BFBA"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0.579</w:t>
            </w:r>
          </w:p>
        </w:tc>
        <w:tc>
          <w:tcPr>
            <w:tcW w:w="1265" w:type="dxa"/>
            <w:vAlign w:val="center"/>
          </w:tcPr>
          <w:p w14:paraId="42CEA99F" w14:textId="3A8D234E"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0.889</w:t>
            </w:r>
          </w:p>
        </w:tc>
        <w:tc>
          <w:tcPr>
            <w:tcW w:w="2039" w:type="dxa"/>
            <w:vAlign w:val="center"/>
          </w:tcPr>
          <w:p w14:paraId="5E80442D" w14:textId="77777777" w:rsidR="005623A6" w:rsidRPr="00D43C00" w:rsidRDefault="005623A6" w:rsidP="005623A6">
            <w:pPr>
              <w:jc w:val="center"/>
              <w:rPr>
                <w:rFonts w:cstheme="minorHAnsi"/>
                <w:sz w:val="20"/>
                <w:szCs w:val="20"/>
              </w:rPr>
            </w:pPr>
            <w:r w:rsidRPr="00D43C00">
              <w:rPr>
                <w:rFonts w:cstheme="minorHAnsi"/>
                <w:color w:val="000000"/>
                <w:sz w:val="20"/>
                <w:szCs w:val="20"/>
              </w:rPr>
              <w:t>IgA EMA plus HLA</w:t>
            </w:r>
          </w:p>
        </w:tc>
        <w:tc>
          <w:tcPr>
            <w:tcW w:w="2268" w:type="dxa"/>
            <w:vAlign w:val="bottom"/>
          </w:tcPr>
          <w:p w14:paraId="5F87E5E9" w14:textId="50D3F78C" w:rsidR="005623A6" w:rsidRPr="000526F1" w:rsidRDefault="005623A6" w:rsidP="005623A6">
            <w:pPr>
              <w:jc w:val="center"/>
              <w:rPr>
                <w:rFonts w:cstheme="minorHAnsi"/>
                <w:color w:val="000000"/>
                <w:sz w:val="20"/>
                <w:szCs w:val="20"/>
              </w:rPr>
            </w:pPr>
            <w:r w:rsidRPr="000526F1">
              <w:rPr>
                <w:rFonts w:cstheme="minorHAnsi"/>
                <w:color w:val="000000"/>
                <w:sz w:val="20"/>
                <w:szCs w:val="20"/>
              </w:rPr>
              <w:t>20330 (20034, 20641)</w:t>
            </w:r>
          </w:p>
        </w:tc>
        <w:tc>
          <w:tcPr>
            <w:tcW w:w="2515" w:type="dxa"/>
            <w:vAlign w:val="bottom"/>
          </w:tcPr>
          <w:p w14:paraId="7B8BF52E" w14:textId="6ECC8AD3" w:rsidR="005623A6" w:rsidRPr="000526F1" w:rsidRDefault="005623A6" w:rsidP="005623A6">
            <w:pPr>
              <w:jc w:val="center"/>
              <w:rPr>
                <w:rFonts w:cstheme="minorHAnsi"/>
                <w:color w:val="000000"/>
                <w:sz w:val="20"/>
                <w:szCs w:val="20"/>
              </w:rPr>
            </w:pPr>
            <w:r w:rsidRPr="000526F1">
              <w:rPr>
                <w:rFonts w:cstheme="minorHAnsi"/>
                <w:color w:val="000000"/>
                <w:sz w:val="20"/>
                <w:szCs w:val="20"/>
              </w:rPr>
              <w:t>19.72 (19.18, 20.09)</w:t>
            </w:r>
          </w:p>
        </w:tc>
        <w:tc>
          <w:tcPr>
            <w:tcW w:w="2667" w:type="dxa"/>
            <w:vAlign w:val="bottom"/>
          </w:tcPr>
          <w:p w14:paraId="4349E83C" w14:textId="37F6C01B" w:rsidR="005623A6" w:rsidRPr="000526F1" w:rsidRDefault="005623A6" w:rsidP="005623A6">
            <w:pPr>
              <w:jc w:val="center"/>
              <w:rPr>
                <w:rFonts w:cstheme="minorHAnsi"/>
                <w:color w:val="000000"/>
                <w:sz w:val="20"/>
                <w:szCs w:val="20"/>
              </w:rPr>
            </w:pPr>
            <w:r w:rsidRPr="000526F1">
              <w:rPr>
                <w:rFonts w:cstheme="minorHAnsi"/>
                <w:color w:val="000000"/>
                <w:sz w:val="20"/>
                <w:szCs w:val="20"/>
              </w:rPr>
              <w:t>25262 (5415, 58394)</w:t>
            </w:r>
          </w:p>
        </w:tc>
      </w:tr>
      <w:tr w:rsidR="005623A6" w:rsidRPr="00D43C00" w14:paraId="3928EA0D" w14:textId="77777777" w:rsidTr="00837221">
        <w:tc>
          <w:tcPr>
            <w:tcW w:w="2077" w:type="dxa"/>
            <w:vAlign w:val="center"/>
          </w:tcPr>
          <w:p w14:paraId="2FBA65F4" w14:textId="77777777" w:rsidR="005623A6" w:rsidRPr="00D43C00" w:rsidRDefault="005623A6" w:rsidP="005623A6">
            <w:pPr>
              <w:jc w:val="center"/>
              <w:rPr>
                <w:rFonts w:cstheme="minorHAnsi"/>
                <w:color w:val="000000"/>
                <w:sz w:val="20"/>
                <w:szCs w:val="20"/>
              </w:rPr>
            </w:pPr>
            <w:r w:rsidRPr="00D43C00">
              <w:rPr>
                <w:rFonts w:cstheme="minorHAnsi"/>
                <w:color w:val="000000"/>
                <w:sz w:val="20"/>
                <w:szCs w:val="20"/>
              </w:rPr>
              <w:t>10%</w:t>
            </w:r>
          </w:p>
        </w:tc>
        <w:tc>
          <w:tcPr>
            <w:tcW w:w="1560" w:type="dxa"/>
            <w:vAlign w:val="center"/>
          </w:tcPr>
          <w:p w14:paraId="4CFE1ADB" w14:textId="53902DEB"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0.322</w:t>
            </w:r>
          </w:p>
        </w:tc>
        <w:tc>
          <w:tcPr>
            <w:tcW w:w="1265" w:type="dxa"/>
            <w:vAlign w:val="center"/>
          </w:tcPr>
          <w:p w14:paraId="4B592BA2" w14:textId="5D3E6E41"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0.971</w:t>
            </w:r>
          </w:p>
        </w:tc>
        <w:tc>
          <w:tcPr>
            <w:tcW w:w="2039" w:type="dxa"/>
            <w:vAlign w:val="center"/>
          </w:tcPr>
          <w:p w14:paraId="1CE6133D" w14:textId="77777777" w:rsidR="005623A6" w:rsidRPr="00D43C00" w:rsidRDefault="005623A6" w:rsidP="005623A6">
            <w:pPr>
              <w:jc w:val="center"/>
              <w:rPr>
                <w:rFonts w:cstheme="minorHAnsi"/>
                <w:color w:val="000000"/>
                <w:sz w:val="20"/>
                <w:szCs w:val="20"/>
              </w:rPr>
            </w:pPr>
            <w:r w:rsidRPr="00D43C00">
              <w:rPr>
                <w:rFonts w:cstheme="minorHAnsi"/>
                <w:color w:val="000000"/>
                <w:sz w:val="20"/>
                <w:szCs w:val="20"/>
              </w:rPr>
              <w:t>IgA EMA plus HLA</w:t>
            </w:r>
          </w:p>
        </w:tc>
        <w:tc>
          <w:tcPr>
            <w:tcW w:w="2268" w:type="dxa"/>
            <w:vAlign w:val="bottom"/>
          </w:tcPr>
          <w:p w14:paraId="2BBA66B3" w14:textId="4E9B64C9" w:rsidR="005623A6" w:rsidRPr="00D43C00" w:rsidRDefault="005623A6" w:rsidP="005623A6">
            <w:pPr>
              <w:jc w:val="center"/>
              <w:rPr>
                <w:rFonts w:cstheme="minorHAnsi"/>
                <w:color w:val="000000"/>
                <w:sz w:val="20"/>
                <w:szCs w:val="20"/>
              </w:rPr>
            </w:pPr>
            <w:r w:rsidRPr="000526F1">
              <w:rPr>
                <w:rFonts w:cstheme="minorHAnsi"/>
                <w:color w:val="000000"/>
                <w:sz w:val="20"/>
                <w:szCs w:val="20"/>
              </w:rPr>
              <w:t>20350 (20053, 20655)</w:t>
            </w:r>
          </w:p>
        </w:tc>
        <w:tc>
          <w:tcPr>
            <w:tcW w:w="2515" w:type="dxa"/>
            <w:vAlign w:val="bottom"/>
          </w:tcPr>
          <w:p w14:paraId="2902B0AE" w14:textId="3A765FBE" w:rsidR="005623A6" w:rsidRPr="00D43C00" w:rsidRDefault="005623A6" w:rsidP="005623A6">
            <w:pPr>
              <w:jc w:val="center"/>
              <w:rPr>
                <w:rFonts w:cstheme="minorHAnsi"/>
                <w:color w:val="000000"/>
                <w:sz w:val="20"/>
                <w:szCs w:val="20"/>
              </w:rPr>
            </w:pPr>
            <w:r w:rsidRPr="000526F1">
              <w:rPr>
                <w:rFonts w:cstheme="minorHAnsi"/>
                <w:color w:val="000000"/>
                <w:sz w:val="20"/>
                <w:szCs w:val="20"/>
              </w:rPr>
              <w:t>19.72 (19.18, 20.09)</w:t>
            </w:r>
          </w:p>
        </w:tc>
        <w:tc>
          <w:tcPr>
            <w:tcW w:w="2667" w:type="dxa"/>
            <w:vAlign w:val="bottom"/>
          </w:tcPr>
          <w:p w14:paraId="6740B9E8" w14:textId="6A43C500" w:rsidR="005623A6" w:rsidRPr="00D43C00" w:rsidRDefault="005623A6" w:rsidP="005623A6">
            <w:pPr>
              <w:jc w:val="center"/>
              <w:rPr>
                <w:rFonts w:cstheme="minorHAnsi"/>
                <w:color w:val="000000"/>
                <w:sz w:val="20"/>
                <w:szCs w:val="20"/>
              </w:rPr>
            </w:pPr>
            <w:r w:rsidRPr="000526F1">
              <w:rPr>
                <w:rFonts w:cstheme="minorHAnsi"/>
                <w:color w:val="000000"/>
                <w:sz w:val="20"/>
                <w:szCs w:val="20"/>
              </w:rPr>
              <w:t>25237 (5331, 58488)</w:t>
            </w:r>
          </w:p>
        </w:tc>
      </w:tr>
      <w:tr w:rsidR="005623A6" w:rsidRPr="00D43C00" w14:paraId="4F580DDA" w14:textId="77777777" w:rsidTr="00837221">
        <w:tc>
          <w:tcPr>
            <w:tcW w:w="2077" w:type="dxa"/>
            <w:vAlign w:val="center"/>
          </w:tcPr>
          <w:p w14:paraId="71A7B65B" w14:textId="77777777" w:rsidR="005623A6" w:rsidRPr="00D43C00" w:rsidRDefault="005623A6" w:rsidP="005623A6">
            <w:pPr>
              <w:jc w:val="center"/>
              <w:rPr>
                <w:rFonts w:cstheme="minorHAnsi"/>
                <w:color w:val="000000"/>
                <w:sz w:val="20"/>
                <w:szCs w:val="20"/>
              </w:rPr>
            </w:pPr>
            <w:r w:rsidRPr="00D43C00">
              <w:rPr>
                <w:rFonts w:cstheme="minorHAnsi"/>
                <w:color w:val="000000"/>
                <w:sz w:val="20"/>
                <w:szCs w:val="20"/>
              </w:rPr>
              <w:t>20%</w:t>
            </w:r>
          </w:p>
        </w:tc>
        <w:tc>
          <w:tcPr>
            <w:tcW w:w="1560" w:type="dxa"/>
            <w:vAlign w:val="center"/>
          </w:tcPr>
          <w:p w14:paraId="5A093114" w14:textId="3F18A44E"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0.107</w:t>
            </w:r>
          </w:p>
        </w:tc>
        <w:tc>
          <w:tcPr>
            <w:tcW w:w="1265" w:type="dxa"/>
            <w:vAlign w:val="center"/>
          </w:tcPr>
          <w:p w14:paraId="2DACBCA9" w14:textId="2F64255F" w:rsidR="005623A6" w:rsidRPr="00D43C00" w:rsidRDefault="005623A6" w:rsidP="005623A6">
            <w:pPr>
              <w:jc w:val="center"/>
              <w:rPr>
                <w:rFonts w:ascii="Calibri" w:hAnsi="Calibri" w:cs="Calibri"/>
                <w:color w:val="000000"/>
                <w:sz w:val="20"/>
                <w:szCs w:val="20"/>
              </w:rPr>
            </w:pPr>
            <w:r w:rsidRPr="00D43C00">
              <w:rPr>
                <w:rFonts w:ascii="Calibri" w:hAnsi="Calibri" w:cs="Calibri"/>
                <w:color w:val="000000"/>
                <w:sz w:val="20"/>
                <w:szCs w:val="20"/>
              </w:rPr>
              <w:t>0.996</w:t>
            </w:r>
          </w:p>
        </w:tc>
        <w:tc>
          <w:tcPr>
            <w:tcW w:w="2039" w:type="dxa"/>
            <w:vAlign w:val="center"/>
          </w:tcPr>
          <w:p w14:paraId="4A0BC5C2" w14:textId="77777777" w:rsidR="005623A6" w:rsidRPr="00D43C00" w:rsidRDefault="005623A6" w:rsidP="005623A6">
            <w:pPr>
              <w:jc w:val="center"/>
              <w:rPr>
                <w:rFonts w:cstheme="minorHAnsi"/>
                <w:color w:val="000000"/>
                <w:sz w:val="20"/>
                <w:szCs w:val="20"/>
              </w:rPr>
            </w:pPr>
            <w:r w:rsidRPr="00D43C00">
              <w:rPr>
                <w:rFonts w:cstheme="minorHAnsi"/>
                <w:color w:val="000000"/>
                <w:sz w:val="20"/>
                <w:szCs w:val="20"/>
              </w:rPr>
              <w:t>IgA EMA plus HLA</w:t>
            </w:r>
          </w:p>
        </w:tc>
        <w:tc>
          <w:tcPr>
            <w:tcW w:w="2268" w:type="dxa"/>
            <w:vAlign w:val="bottom"/>
          </w:tcPr>
          <w:p w14:paraId="19C68FF8" w14:textId="44E98E0E" w:rsidR="005623A6" w:rsidRPr="00D43C00" w:rsidRDefault="005623A6" w:rsidP="005623A6">
            <w:pPr>
              <w:jc w:val="center"/>
              <w:rPr>
                <w:rFonts w:cstheme="minorHAnsi"/>
                <w:color w:val="000000"/>
                <w:sz w:val="20"/>
                <w:szCs w:val="20"/>
              </w:rPr>
            </w:pPr>
            <w:r w:rsidRPr="000526F1">
              <w:rPr>
                <w:rFonts w:cstheme="minorHAnsi"/>
                <w:color w:val="000000"/>
                <w:sz w:val="20"/>
                <w:szCs w:val="20"/>
              </w:rPr>
              <w:t>20412 (20123, 20716)</w:t>
            </w:r>
          </w:p>
        </w:tc>
        <w:tc>
          <w:tcPr>
            <w:tcW w:w="2515" w:type="dxa"/>
            <w:vAlign w:val="bottom"/>
          </w:tcPr>
          <w:p w14:paraId="718DD5D0" w14:textId="4EFB8EFE" w:rsidR="005623A6" w:rsidRPr="00D43C00" w:rsidRDefault="005623A6" w:rsidP="005623A6">
            <w:pPr>
              <w:jc w:val="center"/>
              <w:rPr>
                <w:rFonts w:cstheme="minorHAnsi"/>
                <w:color w:val="000000"/>
                <w:sz w:val="20"/>
                <w:szCs w:val="20"/>
              </w:rPr>
            </w:pPr>
            <w:r w:rsidRPr="000526F1">
              <w:rPr>
                <w:rFonts w:cstheme="minorHAnsi"/>
                <w:color w:val="000000"/>
                <w:sz w:val="20"/>
                <w:szCs w:val="20"/>
              </w:rPr>
              <w:t>19.71 (19.18, 20.09)</w:t>
            </w:r>
          </w:p>
        </w:tc>
        <w:tc>
          <w:tcPr>
            <w:tcW w:w="2667" w:type="dxa"/>
            <w:vAlign w:val="bottom"/>
          </w:tcPr>
          <w:p w14:paraId="695079A8" w14:textId="3B84891A" w:rsidR="005623A6" w:rsidRPr="00D43C00" w:rsidRDefault="005623A6" w:rsidP="005623A6">
            <w:pPr>
              <w:jc w:val="center"/>
              <w:rPr>
                <w:rFonts w:cstheme="minorHAnsi"/>
                <w:color w:val="000000"/>
                <w:sz w:val="20"/>
                <w:szCs w:val="20"/>
              </w:rPr>
            </w:pPr>
            <w:r w:rsidRPr="000526F1">
              <w:rPr>
                <w:rFonts w:cstheme="minorHAnsi"/>
                <w:color w:val="000000"/>
                <w:sz w:val="20"/>
                <w:szCs w:val="20"/>
              </w:rPr>
              <w:t>25135 (5186, 58444)</w:t>
            </w:r>
          </w:p>
        </w:tc>
      </w:tr>
      <w:tr w:rsidR="005623A6" w14:paraId="5BE4144E" w14:textId="77777777" w:rsidTr="000526F1">
        <w:tc>
          <w:tcPr>
            <w:tcW w:w="2077" w:type="dxa"/>
            <w:vAlign w:val="center"/>
          </w:tcPr>
          <w:p w14:paraId="18B28344" w14:textId="33D6BD83" w:rsidR="005623A6" w:rsidRDefault="005623A6" w:rsidP="005623A6">
            <w:pPr>
              <w:jc w:val="center"/>
              <w:rPr>
                <w:color w:val="000000" w:themeColor="text1"/>
                <w:sz w:val="20"/>
                <w:szCs w:val="20"/>
              </w:rPr>
            </w:pPr>
            <w:r w:rsidRPr="00D43C00">
              <w:rPr>
                <w:rFonts w:cstheme="minorHAnsi"/>
                <w:color w:val="000000"/>
                <w:sz w:val="20"/>
                <w:szCs w:val="20"/>
              </w:rPr>
              <w:t>1%</w:t>
            </w:r>
          </w:p>
        </w:tc>
        <w:tc>
          <w:tcPr>
            <w:tcW w:w="1560" w:type="dxa"/>
            <w:vAlign w:val="center"/>
          </w:tcPr>
          <w:p w14:paraId="334CE4BE" w14:textId="50311418"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1</w:t>
            </w:r>
          </w:p>
        </w:tc>
        <w:tc>
          <w:tcPr>
            <w:tcW w:w="1265" w:type="dxa"/>
            <w:vAlign w:val="center"/>
          </w:tcPr>
          <w:p w14:paraId="4720BF5F" w14:textId="05DCBDD4"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w:t>
            </w:r>
          </w:p>
        </w:tc>
        <w:tc>
          <w:tcPr>
            <w:tcW w:w="2039" w:type="dxa"/>
            <w:vAlign w:val="bottom"/>
          </w:tcPr>
          <w:p w14:paraId="5996A136" w14:textId="668C70A7"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2885404E" w14:textId="16F7EE3C"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20837 (20545, 21148)</w:t>
            </w:r>
          </w:p>
        </w:tc>
        <w:tc>
          <w:tcPr>
            <w:tcW w:w="2515" w:type="dxa"/>
            <w:vAlign w:val="bottom"/>
          </w:tcPr>
          <w:p w14:paraId="0E9A2D93" w14:textId="501F67CB" w:rsidR="005623A6" w:rsidRPr="000526F1" w:rsidRDefault="005623A6" w:rsidP="005623A6">
            <w:pPr>
              <w:jc w:val="center"/>
              <w:rPr>
                <w:rFonts w:cstheme="minorHAnsi"/>
                <w:color w:val="000000"/>
                <w:sz w:val="20"/>
                <w:szCs w:val="20"/>
              </w:rPr>
            </w:pPr>
            <w:r w:rsidRPr="000526F1">
              <w:rPr>
                <w:rFonts w:cstheme="minorHAnsi"/>
                <w:color w:val="000000"/>
                <w:sz w:val="20"/>
                <w:szCs w:val="20"/>
              </w:rPr>
              <w:t>19.73 (19.19, 20.1)</w:t>
            </w:r>
          </w:p>
        </w:tc>
        <w:tc>
          <w:tcPr>
            <w:tcW w:w="2667" w:type="dxa"/>
            <w:vAlign w:val="bottom"/>
          </w:tcPr>
          <w:p w14:paraId="784C0205" w14:textId="5A4FF3AF" w:rsidR="005623A6" w:rsidRPr="000526F1" w:rsidRDefault="005623A6" w:rsidP="005623A6">
            <w:pPr>
              <w:jc w:val="center"/>
              <w:rPr>
                <w:rFonts w:cstheme="minorHAnsi"/>
                <w:color w:val="000000"/>
                <w:sz w:val="20"/>
                <w:szCs w:val="20"/>
              </w:rPr>
            </w:pPr>
            <w:r w:rsidRPr="000526F1">
              <w:rPr>
                <w:rFonts w:cstheme="minorHAnsi"/>
                <w:color w:val="000000"/>
                <w:sz w:val="20"/>
                <w:szCs w:val="20"/>
              </w:rPr>
              <w:t>25059 (5055, 58561)</w:t>
            </w:r>
          </w:p>
        </w:tc>
      </w:tr>
      <w:tr w:rsidR="005623A6" w14:paraId="267AF32B" w14:textId="77777777" w:rsidTr="000526F1">
        <w:tc>
          <w:tcPr>
            <w:tcW w:w="2077" w:type="dxa"/>
            <w:vAlign w:val="center"/>
          </w:tcPr>
          <w:p w14:paraId="1AAFD52C" w14:textId="006B3115" w:rsidR="005623A6" w:rsidRDefault="005623A6" w:rsidP="005623A6">
            <w:pPr>
              <w:jc w:val="center"/>
              <w:rPr>
                <w:color w:val="000000" w:themeColor="text1"/>
                <w:sz w:val="20"/>
                <w:szCs w:val="20"/>
              </w:rPr>
            </w:pPr>
            <w:r w:rsidRPr="00D43C00">
              <w:rPr>
                <w:rFonts w:cstheme="minorHAnsi"/>
                <w:color w:val="000000"/>
                <w:sz w:val="20"/>
                <w:szCs w:val="20"/>
              </w:rPr>
              <w:t>1.5%</w:t>
            </w:r>
          </w:p>
        </w:tc>
        <w:tc>
          <w:tcPr>
            <w:tcW w:w="1560" w:type="dxa"/>
            <w:vAlign w:val="center"/>
          </w:tcPr>
          <w:p w14:paraId="0580B985" w14:textId="2B46958C"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0.87</w:t>
            </w:r>
          </w:p>
        </w:tc>
        <w:tc>
          <w:tcPr>
            <w:tcW w:w="1265" w:type="dxa"/>
            <w:vAlign w:val="center"/>
          </w:tcPr>
          <w:p w14:paraId="1D7371EA" w14:textId="4DE3E810"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0.431</w:t>
            </w:r>
          </w:p>
        </w:tc>
        <w:tc>
          <w:tcPr>
            <w:tcW w:w="2039" w:type="dxa"/>
          </w:tcPr>
          <w:p w14:paraId="3C7A21C9" w14:textId="04164EEC"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0C812430" w14:textId="1B4D8780"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20541 (20235, 20850)</w:t>
            </w:r>
          </w:p>
        </w:tc>
        <w:tc>
          <w:tcPr>
            <w:tcW w:w="2515" w:type="dxa"/>
            <w:vAlign w:val="bottom"/>
          </w:tcPr>
          <w:p w14:paraId="4FE97081" w14:textId="0366EE00" w:rsidR="005623A6" w:rsidRPr="000526F1" w:rsidRDefault="005623A6" w:rsidP="005623A6">
            <w:pPr>
              <w:jc w:val="center"/>
              <w:rPr>
                <w:rFonts w:cstheme="minorHAnsi"/>
                <w:color w:val="000000"/>
                <w:sz w:val="20"/>
                <w:szCs w:val="20"/>
              </w:rPr>
            </w:pPr>
            <w:r w:rsidRPr="000526F1">
              <w:rPr>
                <w:rFonts w:cstheme="minorHAnsi"/>
                <w:color w:val="000000"/>
                <w:sz w:val="20"/>
                <w:szCs w:val="20"/>
              </w:rPr>
              <w:t>19.71 (19.18, 20.08)</w:t>
            </w:r>
          </w:p>
        </w:tc>
        <w:tc>
          <w:tcPr>
            <w:tcW w:w="2667" w:type="dxa"/>
            <w:vAlign w:val="bottom"/>
          </w:tcPr>
          <w:p w14:paraId="73CD152E" w14:textId="0C426597" w:rsidR="005623A6" w:rsidRPr="000526F1" w:rsidRDefault="005623A6" w:rsidP="005623A6">
            <w:pPr>
              <w:jc w:val="center"/>
              <w:rPr>
                <w:rFonts w:cstheme="minorHAnsi"/>
                <w:color w:val="000000"/>
                <w:sz w:val="20"/>
                <w:szCs w:val="20"/>
              </w:rPr>
            </w:pPr>
            <w:r w:rsidRPr="000526F1">
              <w:rPr>
                <w:rFonts w:cstheme="minorHAnsi"/>
                <w:color w:val="000000"/>
                <w:sz w:val="20"/>
                <w:szCs w:val="20"/>
              </w:rPr>
              <w:t>24957 (5217, 57825)</w:t>
            </w:r>
          </w:p>
        </w:tc>
      </w:tr>
      <w:tr w:rsidR="005623A6" w14:paraId="191201D2" w14:textId="77777777" w:rsidTr="000526F1">
        <w:tc>
          <w:tcPr>
            <w:tcW w:w="2077" w:type="dxa"/>
            <w:vAlign w:val="center"/>
          </w:tcPr>
          <w:p w14:paraId="5C301594" w14:textId="3B4A88BD" w:rsidR="005623A6" w:rsidRDefault="005623A6" w:rsidP="005623A6">
            <w:pPr>
              <w:jc w:val="center"/>
              <w:rPr>
                <w:color w:val="000000" w:themeColor="text1"/>
                <w:sz w:val="20"/>
                <w:szCs w:val="20"/>
              </w:rPr>
            </w:pPr>
            <w:r w:rsidRPr="00D43C00">
              <w:rPr>
                <w:rFonts w:cstheme="minorHAnsi"/>
                <w:color w:val="000000"/>
                <w:sz w:val="20"/>
                <w:szCs w:val="20"/>
              </w:rPr>
              <w:t>2%</w:t>
            </w:r>
          </w:p>
        </w:tc>
        <w:tc>
          <w:tcPr>
            <w:tcW w:w="1560" w:type="dxa"/>
            <w:vAlign w:val="center"/>
          </w:tcPr>
          <w:p w14:paraId="2711012A" w14:textId="356C916E"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0.79</w:t>
            </w:r>
          </w:p>
        </w:tc>
        <w:tc>
          <w:tcPr>
            <w:tcW w:w="1265" w:type="dxa"/>
            <w:vAlign w:val="center"/>
          </w:tcPr>
          <w:p w14:paraId="4B9377BF" w14:textId="2113E97A"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0.61</w:t>
            </w:r>
          </w:p>
        </w:tc>
        <w:tc>
          <w:tcPr>
            <w:tcW w:w="2039" w:type="dxa"/>
          </w:tcPr>
          <w:p w14:paraId="503D14AB" w14:textId="7CA61A3C"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5F333D71" w14:textId="78869B64"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20437 (20131, 20747)</w:t>
            </w:r>
          </w:p>
        </w:tc>
        <w:tc>
          <w:tcPr>
            <w:tcW w:w="2515" w:type="dxa"/>
            <w:vAlign w:val="bottom"/>
          </w:tcPr>
          <w:p w14:paraId="3A3C1C41" w14:textId="37C860A5" w:rsidR="005623A6" w:rsidRPr="000526F1" w:rsidRDefault="005623A6" w:rsidP="005623A6">
            <w:pPr>
              <w:jc w:val="center"/>
              <w:rPr>
                <w:rFonts w:cstheme="minorHAnsi"/>
                <w:color w:val="000000"/>
                <w:sz w:val="20"/>
                <w:szCs w:val="20"/>
              </w:rPr>
            </w:pPr>
            <w:r w:rsidRPr="000526F1">
              <w:rPr>
                <w:rFonts w:cstheme="minorHAnsi"/>
                <w:color w:val="000000"/>
                <w:sz w:val="20"/>
                <w:szCs w:val="20"/>
              </w:rPr>
              <w:t>19.71 (19.18, 20.08)</w:t>
            </w:r>
          </w:p>
        </w:tc>
        <w:tc>
          <w:tcPr>
            <w:tcW w:w="2667" w:type="dxa"/>
            <w:vAlign w:val="bottom"/>
          </w:tcPr>
          <w:p w14:paraId="410A8887" w14:textId="62E59EB8" w:rsidR="005623A6" w:rsidRPr="000526F1" w:rsidRDefault="005623A6" w:rsidP="005623A6">
            <w:pPr>
              <w:jc w:val="center"/>
              <w:rPr>
                <w:rFonts w:cstheme="minorHAnsi"/>
                <w:color w:val="000000"/>
                <w:sz w:val="20"/>
                <w:szCs w:val="20"/>
              </w:rPr>
            </w:pPr>
            <w:r w:rsidRPr="000526F1">
              <w:rPr>
                <w:rFonts w:cstheme="minorHAnsi"/>
                <w:color w:val="000000"/>
                <w:sz w:val="20"/>
                <w:szCs w:val="20"/>
              </w:rPr>
              <w:t>25048 (5311, 57918)</w:t>
            </w:r>
          </w:p>
        </w:tc>
      </w:tr>
      <w:tr w:rsidR="005623A6" w14:paraId="7F8C09BF" w14:textId="77777777" w:rsidTr="000526F1">
        <w:tc>
          <w:tcPr>
            <w:tcW w:w="2077" w:type="dxa"/>
            <w:vAlign w:val="center"/>
          </w:tcPr>
          <w:p w14:paraId="31B24F86" w14:textId="13F0AFDC" w:rsidR="005623A6" w:rsidRDefault="005623A6" w:rsidP="005623A6">
            <w:pPr>
              <w:jc w:val="center"/>
              <w:rPr>
                <w:color w:val="000000" w:themeColor="text1"/>
                <w:sz w:val="20"/>
                <w:szCs w:val="20"/>
              </w:rPr>
            </w:pPr>
            <w:r w:rsidRPr="00D43C00">
              <w:rPr>
                <w:rFonts w:cstheme="minorHAnsi"/>
                <w:color w:val="000000"/>
                <w:sz w:val="20"/>
                <w:szCs w:val="20"/>
              </w:rPr>
              <w:t>5%</w:t>
            </w:r>
          </w:p>
        </w:tc>
        <w:tc>
          <w:tcPr>
            <w:tcW w:w="1560" w:type="dxa"/>
            <w:vAlign w:val="center"/>
          </w:tcPr>
          <w:p w14:paraId="2F1CECB3" w14:textId="139749CA"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0.579</w:t>
            </w:r>
          </w:p>
        </w:tc>
        <w:tc>
          <w:tcPr>
            <w:tcW w:w="1265" w:type="dxa"/>
            <w:vAlign w:val="center"/>
          </w:tcPr>
          <w:p w14:paraId="3C4970F8" w14:textId="2DF68D12"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0.889</w:t>
            </w:r>
          </w:p>
        </w:tc>
        <w:tc>
          <w:tcPr>
            <w:tcW w:w="2039" w:type="dxa"/>
          </w:tcPr>
          <w:p w14:paraId="573E6FFF" w14:textId="1AF30668"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310B8436" w14:textId="223FEAA8"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20338 (20035, 20645)</w:t>
            </w:r>
          </w:p>
        </w:tc>
        <w:tc>
          <w:tcPr>
            <w:tcW w:w="2515" w:type="dxa"/>
            <w:vAlign w:val="bottom"/>
          </w:tcPr>
          <w:p w14:paraId="592E17E0" w14:textId="0AC9C757" w:rsidR="005623A6" w:rsidRPr="000526F1" w:rsidRDefault="005623A6" w:rsidP="005623A6">
            <w:pPr>
              <w:jc w:val="center"/>
              <w:rPr>
                <w:rFonts w:cstheme="minorHAnsi"/>
                <w:color w:val="000000"/>
                <w:sz w:val="20"/>
                <w:szCs w:val="20"/>
              </w:rPr>
            </w:pPr>
            <w:r w:rsidRPr="000526F1">
              <w:rPr>
                <w:rFonts w:cstheme="minorHAnsi"/>
                <w:color w:val="000000"/>
                <w:sz w:val="20"/>
                <w:szCs w:val="20"/>
              </w:rPr>
              <w:t>19.72 (19.18, 20.09)</w:t>
            </w:r>
          </w:p>
        </w:tc>
        <w:tc>
          <w:tcPr>
            <w:tcW w:w="2667" w:type="dxa"/>
            <w:vAlign w:val="bottom"/>
          </w:tcPr>
          <w:p w14:paraId="78A632DE" w14:textId="2DF84900" w:rsidR="005623A6" w:rsidRPr="000526F1" w:rsidRDefault="005623A6" w:rsidP="005623A6">
            <w:pPr>
              <w:jc w:val="center"/>
              <w:rPr>
                <w:rFonts w:cstheme="minorHAnsi"/>
                <w:color w:val="000000"/>
                <w:sz w:val="20"/>
                <w:szCs w:val="20"/>
              </w:rPr>
            </w:pPr>
            <w:r w:rsidRPr="000526F1">
              <w:rPr>
                <w:rFonts w:cstheme="minorHAnsi"/>
                <w:color w:val="000000"/>
                <w:sz w:val="20"/>
                <w:szCs w:val="20"/>
              </w:rPr>
              <w:t>25273 (5409, 58467)</w:t>
            </w:r>
          </w:p>
        </w:tc>
      </w:tr>
      <w:tr w:rsidR="005623A6" w14:paraId="6DF27F5B" w14:textId="77777777" w:rsidTr="000526F1">
        <w:tc>
          <w:tcPr>
            <w:tcW w:w="2077" w:type="dxa"/>
            <w:vAlign w:val="center"/>
          </w:tcPr>
          <w:p w14:paraId="578C79E9" w14:textId="668EB857" w:rsidR="005623A6" w:rsidRDefault="005623A6" w:rsidP="005623A6">
            <w:pPr>
              <w:jc w:val="center"/>
              <w:rPr>
                <w:color w:val="000000" w:themeColor="text1"/>
                <w:sz w:val="20"/>
                <w:szCs w:val="20"/>
              </w:rPr>
            </w:pPr>
            <w:r w:rsidRPr="00D43C00">
              <w:rPr>
                <w:rFonts w:cstheme="minorHAnsi"/>
                <w:color w:val="000000"/>
                <w:sz w:val="20"/>
                <w:szCs w:val="20"/>
              </w:rPr>
              <w:t>10%</w:t>
            </w:r>
          </w:p>
        </w:tc>
        <w:tc>
          <w:tcPr>
            <w:tcW w:w="1560" w:type="dxa"/>
            <w:vAlign w:val="center"/>
          </w:tcPr>
          <w:p w14:paraId="5C6C61DB" w14:textId="0C42C26B"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0.322</w:t>
            </w:r>
          </w:p>
        </w:tc>
        <w:tc>
          <w:tcPr>
            <w:tcW w:w="1265" w:type="dxa"/>
            <w:vAlign w:val="center"/>
          </w:tcPr>
          <w:p w14:paraId="0BC9068B" w14:textId="78292A0E"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0.971</w:t>
            </w:r>
          </w:p>
        </w:tc>
        <w:tc>
          <w:tcPr>
            <w:tcW w:w="2039" w:type="dxa"/>
          </w:tcPr>
          <w:p w14:paraId="52FF6C27" w14:textId="35A78E31"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102E1123" w14:textId="3DA16A8B"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20358 (20056, 20665)</w:t>
            </w:r>
          </w:p>
        </w:tc>
        <w:tc>
          <w:tcPr>
            <w:tcW w:w="2515" w:type="dxa"/>
            <w:vAlign w:val="bottom"/>
          </w:tcPr>
          <w:p w14:paraId="3BB47A0D" w14:textId="34292CAD" w:rsidR="005623A6" w:rsidRPr="000526F1" w:rsidRDefault="005623A6" w:rsidP="005623A6">
            <w:pPr>
              <w:jc w:val="center"/>
              <w:rPr>
                <w:rFonts w:cstheme="minorHAnsi"/>
                <w:color w:val="000000"/>
                <w:sz w:val="20"/>
                <w:szCs w:val="20"/>
              </w:rPr>
            </w:pPr>
            <w:r w:rsidRPr="000526F1">
              <w:rPr>
                <w:rFonts w:cstheme="minorHAnsi"/>
                <w:color w:val="000000"/>
                <w:sz w:val="20"/>
                <w:szCs w:val="20"/>
              </w:rPr>
              <w:t>19.72 (19.18, 20.09)</w:t>
            </w:r>
          </w:p>
        </w:tc>
        <w:tc>
          <w:tcPr>
            <w:tcW w:w="2667" w:type="dxa"/>
            <w:vAlign w:val="bottom"/>
          </w:tcPr>
          <w:p w14:paraId="347A2737" w14:textId="640C92AA" w:rsidR="005623A6" w:rsidRPr="000526F1" w:rsidRDefault="005623A6" w:rsidP="005623A6">
            <w:pPr>
              <w:jc w:val="center"/>
              <w:rPr>
                <w:rFonts w:cstheme="minorHAnsi"/>
                <w:color w:val="000000"/>
                <w:sz w:val="20"/>
                <w:szCs w:val="20"/>
              </w:rPr>
            </w:pPr>
            <w:r w:rsidRPr="000526F1">
              <w:rPr>
                <w:rFonts w:cstheme="minorHAnsi"/>
                <w:color w:val="000000"/>
                <w:sz w:val="20"/>
                <w:szCs w:val="20"/>
              </w:rPr>
              <w:t>25231 (5316, 58506)</w:t>
            </w:r>
          </w:p>
        </w:tc>
      </w:tr>
      <w:tr w:rsidR="005623A6" w14:paraId="0BFF161B" w14:textId="77777777" w:rsidTr="000526F1">
        <w:tc>
          <w:tcPr>
            <w:tcW w:w="2077" w:type="dxa"/>
            <w:vAlign w:val="center"/>
          </w:tcPr>
          <w:p w14:paraId="50495FC1" w14:textId="5E3F5B36" w:rsidR="005623A6" w:rsidRDefault="005623A6" w:rsidP="005623A6">
            <w:pPr>
              <w:jc w:val="center"/>
              <w:rPr>
                <w:color w:val="000000" w:themeColor="text1"/>
                <w:sz w:val="20"/>
                <w:szCs w:val="20"/>
              </w:rPr>
            </w:pPr>
            <w:r w:rsidRPr="00D43C00">
              <w:rPr>
                <w:rFonts w:cstheme="minorHAnsi"/>
                <w:color w:val="000000"/>
                <w:sz w:val="20"/>
                <w:szCs w:val="20"/>
              </w:rPr>
              <w:t>20%</w:t>
            </w:r>
          </w:p>
        </w:tc>
        <w:tc>
          <w:tcPr>
            <w:tcW w:w="1560" w:type="dxa"/>
            <w:vAlign w:val="center"/>
          </w:tcPr>
          <w:p w14:paraId="29EB5F48" w14:textId="3F9B17D6"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0.107</w:t>
            </w:r>
          </w:p>
        </w:tc>
        <w:tc>
          <w:tcPr>
            <w:tcW w:w="1265" w:type="dxa"/>
            <w:vAlign w:val="center"/>
          </w:tcPr>
          <w:p w14:paraId="45B323C6" w14:textId="3BEE31D4" w:rsidR="005623A6" w:rsidRDefault="005623A6" w:rsidP="005623A6">
            <w:pPr>
              <w:jc w:val="center"/>
              <w:rPr>
                <w:rFonts w:ascii="Calibri" w:hAnsi="Calibri" w:cs="Calibri"/>
                <w:color w:val="000000" w:themeColor="text1"/>
                <w:sz w:val="20"/>
                <w:szCs w:val="20"/>
              </w:rPr>
            </w:pPr>
            <w:r w:rsidRPr="00D43C00">
              <w:rPr>
                <w:rFonts w:ascii="Calibri" w:hAnsi="Calibri" w:cs="Calibri"/>
                <w:color w:val="000000"/>
                <w:sz w:val="20"/>
                <w:szCs w:val="20"/>
              </w:rPr>
              <w:t>0.996</w:t>
            </w:r>
          </w:p>
        </w:tc>
        <w:tc>
          <w:tcPr>
            <w:tcW w:w="2039" w:type="dxa"/>
          </w:tcPr>
          <w:p w14:paraId="04703BE0" w14:textId="36DAF39D"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HLA plus IgA tTG</w:t>
            </w:r>
          </w:p>
        </w:tc>
        <w:tc>
          <w:tcPr>
            <w:tcW w:w="2268" w:type="dxa"/>
            <w:vAlign w:val="bottom"/>
          </w:tcPr>
          <w:p w14:paraId="60B5A4CA" w14:textId="2EF15366" w:rsidR="005623A6" w:rsidRPr="000526F1" w:rsidRDefault="005623A6" w:rsidP="005623A6">
            <w:pPr>
              <w:jc w:val="center"/>
              <w:rPr>
                <w:rFonts w:ascii="Calibri" w:hAnsi="Calibri" w:cs="Calibri"/>
                <w:color w:val="000000"/>
                <w:sz w:val="20"/>
                <w:szCs w:val="20"/>
              </w:rPr>
            </w:pPr>
            <w:r w:rsidRPr="000526F1">
              <w:rPr>
                <w:rFonts w:ascii="Calibri" w:hAnsi="Calibri" w:cs="Calibri"/>
                <w:color w:val="000000"/>
                <w:sz w:val="20"/>
                <w:szCs w:val="20"/>
              </w:rPr>
              <w:t>20417 (20124, 20726)</w:t>
            </w:r>
          </w:p>
        </w:tc>
        <w:tc>
          <w:tcPr>
            <w:tcW w:w="2515" w:type="dxa"/>
            <w:vAlign w:val="bottom"/>
          </w:tcPr>
          <w:p w14:paraId="337FBDDD" w14:textId="6E82EBCD" w:rsidR="005623A6" w:rsidRPr="000526F1" w:rsidRDefault="005623A6" w:rsidP="005623A6">
            <w:pPr>
              <w:jc w:val="center"/>
              <w:rPr>
                <w:rFonts w:cstheme="minorHAnsi"/>
                <w:color w:val="000000"/>
                <w:sz w:val="20"/>
                <w:szCs w:val="20"/>
              </w:rPr>
            </w:pPr>
            <w:r w:rsidRPr="000526F1">
              <w:rPr>
                <w:rFonts w:cstheme="minorHAnsi"/>
                <w:color w:val="000000"/>
                <w:sz w:val="20"/>
                <w:szCs w:val="20"/>
              </w:rPr>
              <w:t>19.71 (19.18, 20.09)</w:t>
            </w:r>
          </w:p>
        </w:tc>
        <w:tc>
          <w:tcPr>
            <w:tcW w:w="2667" w:type="dxa"/>
            <w:vAlign w:val="bottom"/>
          </w:tcPr>
          <w:p w14:paraId="46A39104" w14:textId="34ED8446" w:rsidR="005623A6" w:rsidRPr="000526F1" w:rsidRDefault="005623A6" w:rsidP="005623A6">
            <w:pPr>
              <w:jc w:val="center"/>
              <w:rPr>
                <w:rFonts w:cstheme="minorHAnsi"/>
                <w:color w:val="000000"/>
                <w:sz w:val="20"/>
                <w:szCs w:val="20"/>
              </w:rPr>
            </w:pPr>
            <w:r w:rsidRPr="000526F1">
              <w:rPr>
                <w:rFonts w:cstheme="minorHAnsi"/>
                <w:color w:val="000000"/>
                <w:sz w:val="20"/>
                <w:szCs w:val="20"/>
              </w:rPr>
              <w:t>25126 (5176, 58438)</w:t>
            </w:r>
          </w:p>
        </w:tc>
      </w:tr>
    </w:tbl>
    <w:p w14:paraId="00184CA6" w14:textId="77777777" w:rsidR="00BF5EA3" w:rsidRPr="00305D05" w:rsidRDefault="00BF5EA3" w:rsidP="00BF5EA3">
      <w:pPr>
        <w:rPr>
          <w:rFonts w:cstheme="minorHAnsi"/>
        </w:rPr>
        <w:sectPr w:rsidR="00BF5EA3" w:rsidRPr="00305D05" w:rsidSect="00BA0084">
          <w:pgSz w:w="16838" w:h="11906" w:orient="landscape"/>
          <w:pgMar w:top="1440" w:right="1440" w:bottom="1440" w:left="1440" w:header="709" w:footer="709" w:gutter="0"/>
          <w:cols w:space="708"/>
          <w:titlePg/>
          <w:docGrid w:linePitch="360"/>
        </w:sectPr>
      </w:pPr>
    </w:p>
    <w:p w14:paraId="3F4137B9" w14:textId="281FC744" w:rsidR="00BF5EA3" w:rsidRPr="00305D05" w:rsidRDefault="00BF5EA3" w:rsidP="00BF5EA3">
      <w:pPr>
        <w:rPr>
          <w:rFonts w:cstheme="minorHAnsi"/>
        </w:rPr>
      </w:pPr>
      <w:r w:rsidRPr="00305D05">
        <w:rPr>
          <w:rFonts w:cstheme="minorHAnsi"/>
        </w:rPr>
        <w:lastRenderedPageBreak/>
        <w:fldChar w:fldCharType="begin"/>
      </w:r>
      <w:r w:rsidRPr="00305D05">
        <w:rPr>
          <w:rFonts w:cstheme="minorHAnsi"/>
        </w:rPr>
        <w:instrText xml:space="preserve"> REF _Ref78291118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Figure </w:t>
      </w:r>
      <w:r w:rsidR="008B5583">
        <w:rPr>
          <w:rFonts w:cstheme="minorHAnsi"/>
          <w:noProof/>
        </w:rPr>
        <w:t>16</w:t>
      </w:r>
      <w:r w:rsidRPr="00305D05">
        <w:rPr>
          <w:rFonts w:cstheme="minorHAnsi"/>
        </w:rPr>
        <w:fldChar w:fldCharType="end"/>
      </w:r>
      <w:r w:rsidRPr="00305D05">
        <w:rPr>
          <w:rFonts w:cstheme="minorHAnsi"/>
        </w:rPr>
        <w:t xml:space="preserve"> plots the cost-effectiveness acceptability curves which show the probability that each testing strategy is optimal (i.e. highest net benefit) at each willingness to pay threshold for an additional QALY.</w:t>
      </w:r>
      <w:r w:rsidR="0011741C">
        <w:rPr>
          <w:rFonts w:cstheme="minorHAnsi"/>
        </w:rPr>
        <w:t xml:space="preserve"> None of the probabilities are above 60% suggesting limited </w:t>
      </w:r>
      <w:r w:rsidR="00153738">
        <w:rPr>
          <w:rFonts w:cstheme="minorHAnsi"/>
        </w:rPr>
        <w:t>certainty that any of the strategies are most cost-effective. A</w:t>
      </w:r>
      <w:r w:rsidR="00F81990">
        <w:rPr>
          <w:rFonts w:cstheme="minorHAnsi"/>
        </w:rPr>
        <w:t>t</w:t>
      </w:r>
      <w:r w:rsidRPr="00305D05">
        <w:rPr>
          <w:rFonts w:cstheme="minorHAnsi"/>
        </w:rPr>
        <w:t xml:space="preserve"> £10,000</w:t>
      </w:r>
      <w:r w:rsidR="00F81990">
        <w:rPr>
          <w:rFonts w:cstheme="minorHAnsi"/>
        </w:rPr>
        <w:t>-30,000</w:t>
      </w:r>
      <w:r w:rsidRPr="00305D05">
        <w:rPr>
          <w:rFonts w:cstheme="minorHAnsi"/>
        </w:rPr>
        <w:t>/QALY the strategy with greatest probability of being cost-effective is</w:t>
      </w:r>
      <w:r w:rsidR="00F81990">
        <w:rPr>
          <w:rFonts w:cstheme="minorHAnsi"/>
        </w:rPr>
        <w:t xml:space="preserve"> 5% HLA plus IgA tTG</w:t>
      </w:r>
      <w:r w:rsidR="00153738">
        <w:rPr>
          <w:rFonts w:cstheme="minorHAnsi"/>
        </w:rPr>
        <w:t xml:space="preserve"> and above this range</w:t>
      </w:r>
      <w:r w:rsidR="00C73853">
        <w:rPr>
          <w:rFonts w:cstheme="minorHAnsi"/>
        </w:rPr>
        <w:t xml:space="preserve"> 1% IgA EMA plus HLA has greatest probability of being cost-effective.</w:t>
      </w:r>
      <w:r w:rsidR="00153738">
        <w:rPr>
          <w:rFonts w:cstheme="minorHAnsi"/>
        </w:rPr>
        <w:t xml:space="preserve"> </w:t>
      </w:r>
      <w:r w:rsidR="00A7030D">
        <w:rPr>
          <w:rFonts w:cstheme="minorHAnsi"/>
        </w:rPr>
        <w:t>However, t</w:t>
      </w:r>
      <w:r w:rsidR="003C0611">
        <w:rPr>
          <w:rFonts w:cstheme="minorHAnsi"/>
        </w:rPr>
        <w:t xml:space="preserve">he cost-effectiveness acceptability curve </w:t>
      </w:r>
      <w:r w:rsidR="00A7030D">
        <w:rPr>
          <w:rFonts w:cstheme="minorHAnsi"/>
        </w:rPr>
        <w:t xml:space="preserve">does not account for the magnitude of differences between net benefits which, as reported in </w:t>
      </w:r>
      <w:r w:rsidR="00A7030D" w:rsidRPr="006F5710">
        <w:rPr>
          <w:rFonts w:cstheme="minorHAnsi"/>
        </w:rPr>
        <w:fldChar w:fldCharType="begin"/>
      </w:r>
      <w:r w:rsidR="00A7030D" w:rsidRPr="006F5710">
        <w:rPr>
          <w:rFonts w:cstheme="minorHAnsi"/>
        </w:rPr>
        <w:instrText xml:space="preserve"> REF _Ref83888239 \h  \* MERGEFORMAT </w:instrText>
      </w:r>
      <w:r w:rsidR="00A7030D" w:rsidRPr="006F5710">
        <w:rPr>
          <w:rFonts w:cstheme="minorHAnsi"/>
        </w:rPr>
      </w:r>
      <w:r w:rsidR="00A7030D" w:rsidRPr="006F5710">
        <w:rPr>
          <w:rFonts w:cstheme="minorHAnsi"/>
        </w:rPr>
        <w:fldChar w:fldCharType="separate"/>
      </w:r>
      <w:r w:rsidR="008B5583" w:rsidRPr="00305D05">
        <w:rPr>
          <w:rFonts w:cstheme="minorHAnsi"/>
        </w:rPr>
        <w:t xml:space="preserve">Table </w:t>
      </w:r>
      <w:r w:rsidR="008B5583">
        <w:rPr>
          <w:rFonts w:cstheme="minorHAnsi"/>
          <w:noProof/>
        </w:rPr>
        <w:t>19</w:t>
      </w:r>
      <w:r w:rsidR="00A7030D" w:rsidRPr="006F5710">
        <w:rPr>
          <w:rFonts w:cstheme="minorHAnsi"/>
        </w:rPr>
        <w:fldChar w:fldCharType="end"/>
      </w:r>
      <w:r w:rsidR="00A7030D">
        <w:rPr>
          <w:rFonts w:cstheme="minorHAnsi"/>
        </w:rPr>
        <w:t>, are negligible with overlapping 95% CrI.</w:t>
      </w:r>
    </w:p>
    <w:p w14:paraId="44038F9F" w14:textId="1C45F343" w:rsidR="00BF5EA3" w:rsidRPr="00305D05" w:rsidRDefault="00BF5EA3" w:rsidP="00BF5EA3">
      <w:pPr>
        <w:pStyle w:val="Caption"/>
        <w:rPr>
          <w:rFonts w:cstheme="minorHAnsi"/>
        </w:rPr>
      </w:pPr>
      <w:bookmarkStart w:id="295" w:name="_Ref78291118"/>
      <w:bookmarkStart w:id="296" w:name="_Toc99720797"/>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16</w:t>
      </w:r>
      <w:r w:rsidRPr="00305D05">
        <w:rPr>
          <w:rFonts w:cstheme="minorHAnsi"/>
          <w:noProof/>
        </w:rPr>
        <w:fldChar w:fldCharType="end"/>
      </w:r>
      <w:bookmarkEnd w:id="295"/>
      <w:r w:rsidRPr="00305D05">
        <w:rPr>
          <w:rFonts w:cstheme="minorHAnsi"/>
        </w:rPr>
        <w:t>. Cost-effectiveness acceptability curves for strategies of interest in adult men</w:t>
      </w:r>
      <w:bookmarkEnd w:id="296"/>
    </w:p>
    <w:p w14:paraId="441B1771" w14:textId="690B567C" w:rsidR="00C1160A" w:rsidRPr="00305D05" w:rsidRDefault="00C1160A" w:rsidP="00BF5EA3">
      <w:pPr>
        <w:rPr>
          <w:rFonts w:cstheme="minorHAnsi"/>
        </w:rPr>
      </w:pPr>
      <w:r>
        <w:rPr>
          <w:rFonts w:cstheme="minorHAnsi"/>
          <w:noProof/>
        </w:rPr>
        <w:drawing>
          <wp:inline distT="0" distB="0" distL="0" distR="0" wp14:anchorId="1A21A216" wp14:editId="7D56509C">
            <wp:extent cx="3345180" cy="3360748"/>
            <wp:effectExtent l="0" t="0" r="762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56948" cy="3372571"/>
                    </a:xfrm>
                    <a:prstGeom prst="rect">
                      <a:avLst/>
                    </a:prstGeom>
                    <a:noFill/>
                    <a:ln>
                      <a:noFill/>
                    </a:ln>
                  </pic:spPr>
                </pic:pic>
              </a:graphicData>
            </a:graphic>
          </wp:inline>
        </w:drawing>
      </w:r>
    </w:p>
    <w:p w14:paraId="2143C877" w14:textId="77777777" w:rsidR="00BF5EA3" w:rsidRPr="00305D05" w:rsidRDefault="00BF5EA3" w:rsidP="00BF5EA3">
      <w:pPr>
        <w:rPr>
          <w:rFonts w:cstheme="minorHAnsi"/>
        </w:rPr>
      </w:pPr>
    </w:p>
    <w:p w14:paraId="2FDBE04F" w14:textId="70A81E8B" w:rsidR="00BF5EA3" w:rsidRPr="00305D05" w:rsidRDefault="00750961" w:rsidP="00BF5EA3">
      <w:pPr>
        <w:rPr>
          <w:rFonts w:cstheme="minorHAnsi"/>
        </w:rPr>
      </w:pPr>
      <w:r>
        <w:rPr>
          <w:rFonts w:cstheme="minorHAnsi"/>
        </w:rPr>
        <w:t xml:space="preserve">Supplementary </w:t>
      </w:r>
      <w:r w:rsidR="00DC53A5">
        <w:rPr>
          <w:rFonts w:cstheme="minorHAnsi"/>
        </w:rPr>
        <w:t>T</w:t>
      </w:r>
      <w:r>
        <w:rPr>
          <w:rFonts w:cstheme="minorHAnsi"/>
        </w:rPr>
        <w:t>able S19</w:t>
      </w:r>
      <w:r w:rsidR="00BF5EA3" w:rsidRPr="00305D05">
        <w:rPr>
          <w:rFonts w:cstheme="minorHAnsi"/>
        </w:rPr>
        <w:t xml:space="preserve"> provides the proportion of time spent in each state for adult </w:t>
      </w:r>
      <w:r w:rsidR="00BF5EA3">
        <w:rPr>
          <w:rFonts w:cstheme="minorHAnsi"/>
        </w:rPr>
        <w:t>men</w:t>
      </w:r>
      <w:r w:rsidR="00BF5EA3" w:rsidRPr="00305D05">
        <w:rPr>
          <w:rFonts w:cstheme="minorHAnsi"/>
        </w:rPr>
        <w:t xml:space="preserve"> on the strategies of interest. Compared to other pre-test probability strategies with the same serological tests, the 1% </w:t>
      </w:r>
      <w:r w:rsidR="000D56A1">
        <w:rPr>
          <w:rFonts w:cstheme="minorHAnsi"/>
        </w:rPr>
        <w:t>IgA EMA strategy has</w:t>
      </w:r>
      <w:r w:rsidR="00BF5EA3" w:rsidRPr="00305D05">
        <w:rPr>
          <w:rFonts w:cstheme="minorHAnsi"/>
        </w:rPr>
        <w:t xml:space="preserve"> the greatest proportion of time on the CD </w:t>
      </w:r>
      <w:r w:rsidR="004D7464">
        <w:rPr>
          <w:rFonts w:cstheme="minorHAnsi"/>
        </w:rPr>
        <w:t>gluten-free diet</w:t>
      </w:r>
      <w:r w:rsidR="004D7464" w:rsidRPr="00305D05">
        <w:rPr>
          <w:rFonts w:cstheme="minorHAnsi"/>
        </w:rPr>
        <w:t xml:space="preserve"> </w:t>
      </w:r>
      <w:r w:rsidR="00BF5EA3" w:rsidRPr="00305D05">
        <w:rPr>
          <w:rFonts w:cstheme="minorHAnsi"/>
        </w:rPr>
        <w:t xml:space="preserve">no complications state and least time in the undiagnosed states. Osteoporosis appears to be the complication most patients spend time in, </w:t>
      </w:r>
      <w:r w:rsidR="00102BE9">
        <w:rPr>
          <w:rFonts w:cstheme="minorHAnsi"/>
        </w:rPr>
        <w:t xml:space="preserve">with </w:t>
      </w:r>
      <w:r w:rsidR="00BF5EA3" w:rsidRPr="00305D05">
        <w:rPr>
          <w:rFonts w:cstheme="minorHAnsi"/>
        </w:rPr>
        <w:t>NHL</w:t>
      </w:r>
      <w:r w:rsidR="00102BE9">
        <w:rPr>
          <w:rFonts w:cstheme="minorHAnsi"/>
        </w:rPr>
        <w:t xml:space="preserve"> being up to 6 times less common</w:t>
      </w:r>
      <w:r w:rsidR="00BF5EA3" w:rsidRPr="00305D05">
        <w:rPr>
          <w:rFonts w:cstheme="minorHAnsi"/>
        </w:rPr>
        <w:t xml:space="preserve">. </w:t>
      </w:r>
      <w:r w:rsidR="005D564E" w:rsidRPr="00305D05">
        <w:rPr>
          <w:rFonts w:cstheme="minorHAnsi"/>
        </w:rPr>
        <w:t xml:space="preserve">The HLA strategies </w:t>
      </w:r>
      <w:r w:rsidR="005D564E">
        <w:rPr>
          <w:rFonts w:cstheme="minorHAnsi"/>
        </w:rPr>
        <w:t>have greater proportion of time in CD gluten-free diet no complications and less time in the undiagnosed states than any IgA EMA strategies. These</w:t>
      </w:r>
      <w:r w:rsidR="00102BE9">
        <w:rPr>
          <w:rFonts w:cstheme="minorHAnsi"/>
        </w:rPr>
        <w:t xml:space="preserve"> strategies all have very</w:t>
      </w:r>
      <w:r w:rsidR="00BF5EA3" w:rsidRPr="00305D05">
        <w:rPr>
          <w:rFonts w:cstheme="minorHAnsi"/>
        </w:rPr>
        <w:t xml:space="preserve"> similar proportions of time across the different pre-test probabilities, with only minor differences between the CD </w:t>
      </w:r>
      <w:r w:rsidR="004D7464">
        <w:rPr>
          <w:rFonts w:cstheme="minorHAnsi"/>
        </w:rPr>
        <w:t>gluten-free diet</w:t>
      </w:r>
      <w:r w:rsidR="004D7464" w:rsidRPr="00305D05">
        <w:rPr>
          <w:rFonts w:cstheme="minorHAnsi"/>
        </w:rPr>
        <w:t xml:space="preserve"> </w:t>
      </w:r>
      <w:r w:rsidR="00BF5EA3" w:rsidRPr="00305D05">
        <w:rPr>
          <w:rFonts w:cstheme="minorHAnsi"/>
        </w:rPr>
        <w:t xml:space="preserve">and undiagnosed CD no complications states. Overall, cost-effectiveness appears mostly driven by time spent in the CD </w:t>
      </w:r>
      <w:r w:rsidR="004D7464">
        <w:rPr>
          <w:rFonts w:cstheme="minorHAnsi"/>
        </w:rPr>
        <w:t>gluten-free diet</w:t>
      </w:r>
      <w:r w:rsidR="004D7464" w:rsidRPr="00305D05">
        <w:rPr>
          <w:rFonts w:cstheme="minorHAnsi"/>
        </w:rPr>
        <w:t xml:space="preserve"> </w:t>
      </w:r>
      <w:r w:rsidR="00BF5EA3" w:rsidRPr="00305D05">
        <w:rPr>
          <w:rFonts w:cstheme="minorHAnsi"/>
        </w:rPr>
        <w:t xml:space="preserve">no complications states and CD </w:t>
      </w:r>
      <w:r w:rsidR="004D7464">
        <w:rPr>
          <w:rFonts w:cstheme="minorHAnsi"/>
        </w:rPr>
        <w:t>gluten-free diet</w:t>
      </w:r>
      <w:r w:rsidR="004D7464" w:rsidRPr="00305D05">
        <w:rPr>
          <w:rFonts w:cstheme="minorHAnsi"/>
        </w:rPr>
        <w:t xml:space="preserve"> </w:t>
      </w:r>
      <w:r w:rsidR="00BF5EA3" w:rsidRPr="00305D05">
        <w:rPr>
          <w:rFonts w:cstheme="minorHAnsi"/>
        </w:rPr>
        <w:t xml:space="preserve">and undiagnosed CD osteoporosis </w:t>
      </w:r>
      <w:r w:rsidR="002B6C20">
        <w:rPr>
          <w:rFonts w:cstheme="minorHAnsi"/>
        </w:rPr>
        <w:t>states.</w:t>
      </w:r>
    </w:p>
    <w:p w14:paraId="1B859D63" w14:textId="4A03939C" w:rsidR="00BF5EA3" w:rsidRDefault="002B6C20" w:rsidP="00BF5EA3">
      <w:pPr>
        <w:spacing w:line="240" w:lineRule="auto"/>
        <w:rPr>
          <w:rFonts w:cstheme="minorHAnsi"/>
        </w:rPr>
      </w:pPr>
      <w:r>
        <w:rPr>
          <w:rFonts w:cstheme="minorHAnsi"/>
        </w:rPr>
        <w:t xml:space="preserve">The </w:t>
      </w:r>
      <w:r w:rsidR="00BF5EA3">
        <w:rPr>
          <w:rFonts w:cstheme="minorHAnsi"/>
        </w:rPr>
        <w:t xml:space="preserve">ratio of EVPPI to EVPI for each parameter is illustrated in </w:t>
      </w:r>
      <w:r w:rsidR="00BF5EA3">
        <w:rPr>
          <w:rFonts w:cstheme="minorHAnsi"/>
        </w:rPr>
        <w:fldChar w:fldCharType="begin"/>
      </w:r>
      <w:r w:rsidR="00BF5EA3">
        <w:rPr>
          <w:rFonts w:cstheme="minorHAnsi"/>
        </w:rPr>
        <w:instrText xml:space="preserve"> REF _Ref87470967 \h </w:instrText>
      </w:r>
      <w:r w:rsidR="00BF5EA3">
        <w:rPr>
          <w:rFonts w:cstheme="minorHAnsi"/>
        </w:rPr>
      </w:r>
      <w:r w:rsidR="00BF5EA3">
        <w:rPr>
          <w:rFonts w:cstheme="minorHAnsi"/>
        </w:rPr>
        <w:fldChar w:fldCharType="separate"/>
      </w:r>
      <w:r w:rsidR="008B5583">
        <w:t xml:space="preserve">Figure </w:t>
      </w:r>
      <w:r w:rsidR="008B5583">
        <w:rPr>
          <w:noProof/>
        </w:rPr>
        <w:t>17</w:t>
      </w:r>
      <w:r w:rsidR="00BF5EA3">
        <w:rPr>
          <w:rFonts w:cstheme="minorHAnsi"/>
        </w:rPr>
        <w:fldChar w:fldCharType="end"/>
      </w:r>
      <w:r w:rsidR="00BF5EA3">
        <w:rPr>
          <w:rFonts w:cstheme="minorHAnsi"/>
        </w:rPr>
        <w:t xml:space="preserve">. </w:t>
      </w:r>
      <w:r w:rsidR="00BF5EA3" w:rsidRPr="004B6410">
        <w:rPr>
          <w:rFonts w:cstheme="minorHAnsi"/>
        </w:rPr>
        <w:t xml:space="preserve">Probability of late diagnosis </w:t>
      </w:r>
      <w:r w:rsidR="00F43526">
        <w:rPr>
          <w:rFonts w:cstheme="minorHAnsi"/>
        </w:rPr>
        <w:t xml:space="preserve">and the sensitivity of HLA are </w:t>
      </w:r>
      <w:r w:rsidR="00BF5EA3" w:rsidRPr="004B6410">
        <w:rPr>
          <w:rFonts w:cstheme="minorHAnsi"/>
        </w:rPr>
        <w:t>the most influential parameter</w:t>
      </w:r>
      <w:r w:rsidR="00F43526">
        <w:rPr>
          <w:rFonts w:cstheme="minorHAnsi"/>
        </w:rPr>
        <w:t>s</w:t>
      </w:r>
      <w:r w:rsidR="00BF5EA3" w:rsidRPr="004B6410">
        <w:rPr>
          <w:rFonts w:cstheme="minorHAnsi"/>
        </w:rPr>
        <w:t xml:space="preserve">. </w:t>
      </w:r>
      <w:r w:rsidR="001510C4">
        <w:rPr>
          <w:rFonts w:cstheme="minorHAnsi"/>
        </w:rPr>
        <w:t>The impact of gluten</w:t>
      </w:r>
      <w:r w:rsidR="00197390">
        <w:rPr>
          <w:rFonts w:cstheme="minorHAnsi"/>
        </w:rPr>
        <w:t>-</w:t>
      </w:r>
      <w:r w:rsidR="001510C4">
        <w:rPr>
          <w:rFonts w:cstheme="minorHAnsi"/>
        </w:rPr>
        <w:t>free diet on the probability of developing osteoporosis and the accuracy</w:t>
      </w:r>
      <w:r w:rsidR="00BF5EA3" w:rsidRPr="004B6410">
        <w:rPr>
          <w:rFonts w:cstheme="minorHAnsi"/>
        </w:rPr>
        <w:t xml:space="preserve"> of IgA EMA</w:t>
      </w:r>
      <w:r w:rsidR="00BF5EA3">
        <w:rPr>
          <w:rFonts w:cstheme="minorHAnsi"/>
        </w:rPr>
        <w:t xml:space="preserve"> </w:t>
      </w:r>
      <w:r w:rsidR="00BF5EA3" w:rsidRPr="004B6410">
        <w:rPr>
          <w:rFonts w:cstheme="minorHAnsi"/>
        </w:rPr>
        <w:t>have low influence while all other parameters appear to have no influence on the results.</w:t>
      </w:r>
    </w:p>
    <w:p w14:paraId="4BFF40CA" w14:textId="5CC3F800" w:rsidR="004D5735" w:rsidRPr="004B6410" w:rsidRDefault="004D5735" w:rsidP="00BF5EA3">
      <w:pPr>
        <w:spacing w:line="240" w:lineRule="auto"/>
        <w:rPr>
          <w:rFonts w:cstheme="minorHAnsi"/>
        </w:rPr>
      </w:pPr>
      <w:r>
        <w:rPr>
          <w:rFonts w:cstheme="minorHAnsi"/>
          <w:noProof/>
        </w:rPr>
        <w:lastRenderedPageBreak/>
        <w:drawing>
          <wp:inline distT="0" distB="0" distL="0" distR="0" wp14:anchorId="650E0505" wp14:editId="01931D11">
            <wp:extent cx="4229100" cy="3806191"/>
            <wp:effectExtent l="0" t="0" r="0" b="381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bar char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37291" cy="3813563"/>
                    </a:xfrm>
                    <a:prstGeom prst="rect">
                      <a:avLst/>
                    </a:prstGeom>
                    <a:noFill/>
                    <a:ln>
                      <a:noFill/>
                    </a:ln>
                  </pic:spPr>
                </pic:pic>
              </a:graphicData>
            </a:graphic>
          </wp:inline>
        </w:drawing>
      </w:r>
    </w:p>
    <w:p w14:paraId="6FF398F5" w14:textId="67FBDD0B" w:rsidR="00BF5EA3" w:rsidRDefault="00BF5EA3" w:rsidP="00BF5EA3">
      <w:pPr>
        <w:pStyle w:val="Caption"/>
      </w:pPr>
      <w:bookmarkStart w:id="297" w:name="_Ref87470967"/>
      <w:bookmarkStart w:id="298" w:name="_Toc99720798"/>
      <w:r>
        <w:t xml:space="preserve">Figure </w:t>
      </w:r>
      <w:r>
        <w:fldChar w:fldCharType="begin"/>
      </w:r>
      <w:r>
        <w:instrText>SEQ Figure \* ARABIC</w:instrText>
      </w:r>
      <w:r>
        <w:fldChar w:fldCharType="separate"/>
      </w:r>
      <w:r w:rsidR="008B5583">
        <w:rPr>
          <w:noProof/>
        </w:rPr>
        <w:t>17</w:t>
      </w:r>
      <w:r>
        <w:fldChar w:fldCharType="end"/>
      </w:r>
      <w:bookmarkEnd w:id="297"/>
      <w:r>
        <w:t xml:space="preserve"> Ratio of EVPPI for each parameter to total EVPI in adult men. Only ten most influential parameters included. Remaining parameters have minimal influence on results</w:t>
      </w:r>
      <w:r w:rsidR="001510C4">
        <w:t>*</w:t>
      </w:r>
      <w:bookmarkEnd w:id="298"/>
    </w:p>
    <w:p w14:paraId="6F3FDF78" w14:textId="28AA2938" w:rsidR="00BF5EA3" w:rsidRDefault="00BF5EA3" w:rsidP="00BF5EA3">
      <w:pPr>
        <w:spacing w:line="240" w:lineRule="auto"/>
        <w:rPr>
          <w:rFonts w:cstheme="minorHAnsi"/>
        </w:rPr>
      </w:pPr>
    </w:p>
    <w:p w14:paraId="6E8DD95E" w14:textId="662C382B" w:rsidR="001510C4" w:rsidRDefault="001510C4" w:rsidP="00BF5EA3">
      <w:pPr>
        <w:spacing w:line="240" w:lineRule="auto"/>
        <w:rPr>
          <w:rFonts w:cstheme="minorHAnsi"/>
        </w:rPr>
      </w:pPr>
      <w:r>
        <w:rPr>
          <w:rFonts w:cstheme="minorHAnsi"/>
        </w:rPr>
        <w:t xml:space="preserve">*log_or_osteoporosis_noGFD = </w:t>
      </w:r>
      <w:r w:rsidR="003C160A">
        <w:rPr>
          <w:rFonts w:cstheme="minorHAnsi"/>
        </w:rPr>
        <w:t>l</w:t>
      </w:r>
      <w:r>
        <w:rPr>
          <w:rFonts w:cstheme="minorHAnsi"/>
        </w:rPr>
        <w:t xml:space="preserve">og odds ratio of </w:t>
      </w:r>
      <w:r w:rsidR="003C160A">
        <w:rPr>
          <w:rFonts w:cstheme="minorHAnsi"/>
        </w:rPr>
        <w:t xml:space="preserve">developing </w:t>
      </w:r>
      <w:r>
        <w:rPr>
          <w:rFonts w:cstheme="minorHAnsi"/>
        </w:rPr>
        <w:t xml:space="preserve">osteoporosis </w:t>
      </w:r>
      <w:r w:rsidR="003C160A">
        <w:rPr>
          <w:rFonts w:cstheme="minorHAnsi"/>
        </w:rPr>
        <w:t>not on GFD compared to being on GFD;</w:t>
      </w:r>
      <w:r w:rsidR="00A92019">
        <w:rPr>
          <w:rFonts w:cstheme="minorHAnsi"/>
        </w:rPr>
        <w:t xml:space="preserve"> </w:t>
      </w:r>
      <w:r w:rsidR="003C160A">
        <w:rPr>
          <w:rFonts w:cstheme="minorHAnsi"/>
        </w:rPr>
        <w:t>log_rr_NHL_noGFD = log risk ratio of developing NHL not on GFD compared to being on GFD</w:t>
      </w:r>
      <w:r w:rsidR="007F1105">
        <w:rPr>
          <w:rFonts w:cstheme="minorHAnsi"/>
        </w:rPr>
        <w:t xml:space="preserve"> for coeliac patients</w:t>
      </w:r>
      <w:r w:rsidR="003C160A">
        <w:rPr>
          <w:rFonts w:cstheme="minorHAnsi"/>
        </w:rPr>
        <w:t>.</w:t>
      </w:r>
    </w:p>
    <w:p w14:paraId="006CF12A" w14:textId="77AE30DE" w:rsidR="00BF5EA3" w:rsidRDefault="00BF5EA3" w:rsidP="00BF5EA3">
      <w:pPr>
        <w:spacing w:line="240" w:lineRule="auto"/>
        <w:rPr>
          <w:rFonts w:cstheme="minorHAnsi"/>
        </w:rPr>
      </w:pPr>
      <w:r w:rsidRPr="006F5710">
        <w:rPr>
          <w:rFonts w:cstheme="minorHAnsi"/>
        </w:rPr>
        <w:t xml:space="preserve">The total EVPI and EVPPI for parameter sets of interest are summarised in </w:t>
      </w:r>
      <w:r w:rsidRPr="006F5710">
        <w:rPr>
          <w:rFonts w:cstheme="minorHAnsi"/>
        </w:rPr>
        <w:fldChar w:fldCharType="begin"/>
      </w:r>
      <w:r w:rsidRPr="006F5710">
        <w:rPr>
          <w:rFonts w:cstheme="minorHAnsi"/>
        </w:rPr>
        <w:instrText xml:space="preserve"> REF _Ref87506706 \h  \* MERGEFORMAT </w:instrText>
      </w:r>
      <w:r w:rsidRPr="006F5710">
        <w:rPr>
          <w:rFonts w:cstheme="minorHAnsi"/>
        </w:rPr>
      </w:r>
      <w:r w:rsidRPr="006F5710">
        <w:rPr>
          <w:rFonts w:cstheme="minorHAnsi"/>
        </w:rPr>
        <w:fldChar w:fldCharType="separate"/>
      </w:r>
      <w:r w:rsidR="008B5583" w:rsidRPr="006F5710">
        <w:t xml:space="preserve">Table </w:t>
      </w:r>
      <w:r w:rsidR="008B5583">
        <w:t>20</w:t>
      </w:r>
      <w:r w:rsidRPr="006F5710">
        <w:rPr>
          <w:rFonts w:cstheme="minorHAnsi"/>
        </w:rPr>
        <w:fldChar w:fldCharType="end"/>
      </w:r>
      <w:r w:rsidRPr="006F5710">
        <w:rPr>
          <w:rFonts w:cstheme="minorHAnsi"/>
        </w:rPr>
        <w:t>. The total population EVPI is £</w:t>
      </w:r>
      <w:r w:rsidR="00A7030D">
        <w:rPr>
          <w:rFonts w:cstheme="minorHAnsi"/>
        </w:rPr>
        <w:t>25.7</w:t>
      </w:r>
      <w:r w:rsidRPr="006F5710">
        <w:rPr>
          <w:rFonts w:cstheme="minorHAnsi"/>
        </w:rPr>
        <w:t>million, indicating potential value in conducting further research.</w:t>
      </w:r>
      <w:r w:rsidR="00CC70E7">
        <w:rPr>
          <w:rFonts w:cstheme="minorHAnsi"/>
        </w:rPr>
        <w:t xml:space="preserve"> </w:t>
      </w:r>
      <w:r w:rsidR="00DB0383">
        <w:rPr>
          <w:rFonts w:cstheme="minorHAnsi"/>
        </w:rPr>
        <w:t xml:space="preserve">The EVPPI for parameter sets indicates the greatest potential value </w:t>
      </w:r>
      <w:r w:rsidR="00C0209A">
        <w:rPr>
          <w:rFonts w:cstheme="minorHAnsi"/>
        </w:rPr>
        <w:t>lies in a study of probabilities of late diagnosis</w:t>
      </w:r>
      <w:r w:rsidR="0014337C">
        <w:rPr>
          <w:rFonts w:cstheme="minorHAnsi"/>
        </w:rPr>
        <w:t xml:space="preserve"> or on test-accuracy parameters. This aligns with the ranking of </w:t>
      </w:r>
      <w:r w:rsidR="0014337C">
        <w:rPr>
          <w:rFonts w:cstheme="minorHAnsi"/>
        </w:rPr>
        <w:fldChar w:fldCharType="begin"/>
      </w:r>
      <w:r w:rsidR="0014337C">
        <w:rPr>
          <w:rFonts w:cstheme="minorHAnsi"/>
        </w:rPr>
        <w:instrText xml:space="preserve"> REF _Ref87470967 \h </w:instrText>
      </w:r>
      <w:r w:rsidR="0014337C">
        <w:rPr>
          <w:rFonts w:cstheme="minorHAnsi"/>
        </w:rPr>
      </w:r>
      <w:r w:rsidR="0014337C">
        <w:rPr>
          <w:rFonts w:cstheme="minorHAnsi"/>
        </w:rPr>
        <w:fldChar w:fldCharType="separate"/>
      </w:r>
      <w:r w:rsidR="008B5583">
        <w:t xml:space="preserve">Figure </w:t>
      </w:r>
      <w:r w:rsidR="008B5583">
        <w:rPr>
          <w:noProof/>
        </w:rPr>
        <w:t>17</w:t>
      </w:r>
      <w:r w:rsidR="0014337C">
        <w:rPr>
          <w:rFonts w:cstheme="minorHAnsi"/>
        </w:rPr>
        <w:fldChar w:fldCharType="end"/>
      </w:r>
      <w:r w:rsidR="0014337C">
        <w:rPr>
          <w:rFonts w:cstheme="minorHAnsi"/>
        </w:rPr>
        <w:t>.</w:t>
      </w:r>
    </w:p>
    <w:p w14:paraId="6E6C8164" w14:textId="4BCEB316" w:rsidR="00BF5EA3" w:rsidRPr="006F5710" w:rsidRDefault="00BF5EA3" w:rsidP="00F81C9E">
      <w:pPr>
        <w:pStyle w:val="Caption"/>
      </w:pPr>
      <w:bookmarkStart w:id="299" w:name="_Ref87506706"/>
      <w:bookmarkStart w:id="300" w:name="_Toc99720731"/>
      <w:r w:rsidRPr="006F5710">
        <w:t xml:space="preserve">Table </w:t>
      </w:r>
      <w:r>
        <w:fldChar w:fldCharType="begin"/>
      </w:r>
      <w:r>
        <w:instrText>SEQ Table \* ARABIC</w:instrText>
      </w:r>
      <w:r>
        <w:fldChar w:fldCharType="separate"/>
      </w:r>
      <w:r w:rsidR="008B5583">
        <w:rPr>
          <w:noProof/>
        </w:rPr>
        <w:t>20</w:t>
      </w:r>
      <w:r>
        <w:fldChar w:fldCharType="end"/>
      </w:r>
      <w:bookmarkEnd w:id="299"/>
      <w:r w:rsidRPr="006F5710">
        <w:t xml:space="preserve"> EVPI and EVPPI for parameter sets of interest</w:t>
      </w:r>
      <w:r w:rsidR="00CC70E7" w:rsidRPr="006F5710">
        <w:t>. Adult men and women</w:t>
      </w:r>
      <w:r w:rsidRPr="006F5710">
        <w:t xml:space="preserve"> estimated by MLMC</w:t>
      </w:r>
      <w:r w:rsidR="00CC70E7" w:rsidRPr="006F5710">
        <w:t xml:space="preserve"> while Gaussian process estimates are presented for children</w:t>
      </w:r>
      <w:r w:rsidRPr="006F5710">
        <w:t>. All EVPI and EVPPI in £GBP. Higher values indicate greater impact on results and greater value in conducting further research</w:t>
      </w:r>
      <w:bookmarkEnd w:id="300"/>
    </w:p>
    <w:tbl>
      <w:tblPr>
        <w:tblStyle w:val="TableGrid"/>
        <w:tblW w:w="0" w:type="auto"/>
        <w:tblLook w:val="04A0" w:firstRow="1" w:lastRow="0" w:firstColumn="1" w:lastColumn="0" w:noHBand="0" w:noVBand="1"/>
      </w:tblPr>
      <w:tblGrid>
        <w:gridCol w:w="1283"/>
        <w:gridCol w:w="1035"/>
        <w:gridCol w:w="1827"/>
        <w:gridCol w:w="1036"/>
        <w:gridCol w:w="1827"/>
        <w:gridCol w:w="790"/>
        <w:gridCol w:w="1218"/>
      </w:tblGrid>
      <w:tr w:rsidR="00CE7E2E" w:rsidRPr="00693CFF" w14:paraId="79079030" w14:textId="77777777" w:rsidTr="00481EE6">
        <w:tc>
          <w:tcPr>
            <w:tcW w:w="1171" w:type="dxa"/>
            <w:vMerge w:val="restart"/>
            <w:shd w:val="clear" w:color="auto" w:fill="E7E6E6" w:themeFill="background2"/>
          </w:tcPr>
          <w:p w14:paraId="53ACCED1" w14:textId="77777777" w:rsidR="00BF5EA3" w:rsidRPr="00693CFF" w:rsidRDefault="00BF5EA3" w:rsidP="00D860FB">
            <w:pPr>
              <w:rPr>
                <w:rFonts w:cstheme="minorHAnsi"/>
                <w:b/>
                <w:sz w:val="20"/>
                <w:szCs w:val="20"/>
              </w:rPr>
            </w:pPr>
            <w:r w:rsidRPr="00693CFF">
              <w:rPr>
                <w:rFonts w:cstheme="minorHAnsi"/>
                <w:b/>
                <w:sz w:val="20"/>
                <w:szCs w:val="20"/>
              </w:rPr>
              <w:t>Parameter set</w:t>
            </w:r>
          </w:p>
        </w:tc>
        <w:tc>
          <w:tcPr>
            <w:tcW w:w="2996" w:type="dxa"/>
            <w:gridSpan w:val="2"/>
            <w:shd w:val="clear" w:color="auto" w:fill="E7E6E6" w:themeFill="background2"/>
          </w:tcPr>
          <w:p w14:paraId="2787061D"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Men</w:t>
            </w:r>
          </w:p>
        </w:tc>
        <w:tc>
          <w:tcPr>
            <w:tcW w:w="2996" w:type="dxa"/>
            <w:gridSpan w:val="2"/>
            <w:shd w:val="clear" w:color="auto" w:fill="E7E6E6" w:themeFill="background2"/>
          </w:tcPr>
          <w:p w14:paraId="02024661"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Women</w:t>
            </w:r>
          </w:p>
        </w:tc>
        <w:tc>
          <w:tcPr>
            <w:tcW w:w="1853" w:type="dxa"/>
            <w:gridSpan w:val="2"/>
            <w:shd w:val="clear" w:color="auto" w:fill="E7E6E6" w:themeFill="background2"/>
          </w:tcPr>
          <w:p w14:paraId="2C52A16D" w14:textId="60CBDC68" w:rsidR="00BF5EA3" w:rsidRPr="00693CFF" w:rsidRDefault="00BF5EA3" w:rsidP="00D860FB">
            <w:pPr>
              <w:jc w:val="right"/>
              <w:rPr>
                <w:rFonts w:cstheme="minorHAnsi"/>
                <w:b/>
                <w:sz w:val="20"/>
                <w:szCs w:val="20"/>
              </w:rPr>
            </w:pPr>
            <w:r w:rsidRPr="00693CFF">
              <w:rPr>
                <w:rFonts w:cstheme="minorHAnsi"/>
                <w:b/>
                <w:sz w:val="20"/>
                <w:szCs w:val="20"/>
              </w:rPr>
              <w:t>Children</w:t>
            </w:r>
            <w:r w:rsidR="00CC70E7" w:rsidRPr="00693CFF">
              <w:rPr>
                <w:rFonts w:cstheme="minorHAnsi"/>
                <w:b/>
                <w:sz w:val="20"/>
                <w:szCs w:val="20"/>
              </w:rPr>
              <w:t>*</w:t>
            </w:r>
          </w:p>
        </w:tc>
      </w:tr>
      <w:tr w:rsidR="0076677F" w:rsidRPr="00693CFF" w14:paraId="2A1F1575" w14:textId="77777777" w:rsidTr="00481EE6">
        <w:tc>
          <w:tcPr>
            <w:tcW w:w="1171" w:type="dxa"/>
            <w:vMerge/>
            <w:shd w:val="clear" w:color="auto" w:fill="E7E6E6" w:themeFill="background2"/>
          </w:tcPr>
          <w:p w14:paraId="32337E1F" w14:textId="77777777" w:rsidR="00BF5EA3" w:rsidRPr="00693CFF" w:rsidRDefault="00BF5EA3" w:rsidP="00D860FB">
            <w:pPr>
              <w:rPr>
                <w:rFonts w:cstheme="minorHAnsi"/>
                <w:b/>
                <w:sz w:val="20"/>
                <w:szCs w:val="20"/>
              </w:rPr>
            </w:pPr>
          </w:p>
        </w:tc>
        <w:tc>
          <w:tcPr>
            <w:tcW w:w="1074" w:type="dxa"/>
            <w:shd w:val="clear" w:color="auto" w:fill="E7E6E6" w:themeFill="background2"/>
          </w:tcPr>
          <w:p w14:paraId="7C7A2853"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Per person</w:t>
            </w:r>
          </w:p>
        </w:tc>
        <w:tc>
          <w:tcPr>
            <w:tcW w:w="1922" w:type="dxa"/>
            <w:shd w:val="clear" w:color="auto" w:fill="E7E6E6" w:themeFill="background2"/>
          </w:tcPr>
          <w:p w14:paraId="7569F9C6"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Population</w:t>
            </w:r>
          </w:p>
        </w:tc>
        <w:tc>
          <w:tcPr>
            <w:tcW w:w="1074" w:type="dxa"/>
            <w:shd w:val="clear" w:color="auto" w:fill="E7E6E6" w:themeFill="background2"/>
          </w:tcPr>
          <w:p w14:paraId="7DA02A6B"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Per person</w:t>
            </w:r>
          </w:p>
        </w:tc>
        <w:tc>
          <w:tcPr>
            <w:tcW w:w="1922" w:type="dxa"/>
            <w:shd w:val="clear" w:color="auto" w:fill="E7E6E6" w:themeFill="background2"/>
          </w:tcPr>
          <w:p w14:paraId="04885711"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Population</w:t>
            </w:r>
          </w:p>
        </w:tc>
        <w:tc>
          <w:tcPr>
            <w:tcW w:w="730" w:type="dxa"/>
            <w:shd w:val="clear" w:color="auto" w:fill="E7E6E6" w:themeFill="background2"/>
          </w:tcPr>
          <w:p w14:paraId="7D80D4F4"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Per person</w:t>
            </w:r>
          </w:p>
        </w:tc>
        <w:tc>
          <w:tcPr>
            <w:tcW w:w="1123" w:type="dxa"/>
            <w:shd w:val="clear" w:color="auto" w:fill="E7E6E6" w:themeFill="background2"/>
          </w:tcPr>
          <w:p w14:paraId="5276942B" w14:textId="77777777" w:rsidR="00BF5EA3" w:rsidRPr="00693CFF" w:rsidRDefault="00BF5EA3" w:rsidP="00D860FB">
            <w:pPr>
              <w:jc w:val="right"/>
              <w:rPr>
                <w:rFonts w:cstheme="minorHAnsi"/>
                <w:b/>
                <w:sz w:val="20"/>
                <w:szCs w:val="20"/>
              </w:rPr>
            </w:pPr>
            <w:r w:rsidRPr="00693CFF">
              <w:rPr>
                <w:rFonts w:ascii="Calibri" w:hAnsi="Calibri" w:cs="Calibri"/>
                <w:b/>
                <w:color w:val="000000"/>
                <w:sz w:val="20"/>
                <w:szCs w:val="20"/>
              </w:rPr>
              <w:t>Population</w:t>
            </w:r>
          </w:p>
        </w:tc>
      </w:tr>
      <w:tr w:rsidR="00BF5EA3" w:rsidRPr="00693CFF" w14:paraId="43A0D5C3" w14:textId="77777777" w:rsidTr="00481EE6">
        <w:tc>
          <w:tcPr>
            <w:tcW w:w="1171" w:type="dxa"/>
            <w:shd w:val="clear" w:color="auto" w:fill="E7E6E6" w:themeFill="background2"/>
          </w:tcPr>
          <w:p w14:paraId="0586E932" w14:textId="77777777" w:rsidR="00BF5EA3" w:rsidRPr="00693CFF" w:rsidRDefault="00BF5EA3" w:rsidP="00D860FB">
            <w:pPr>
              <w:rPr>
                <w:rFonts w:cstheme="minorHAnsi"/>
                <w:b/>
                <w:sz w:val="20"/>
                <w:szCs w:val="20"/>
              </w:rPr>
            </w:pPr>
            <w:r w:rsidRPr="00693CFF">
              <w:rPr>
                <w:rFonts w:ascii="Calibri" w:hAnsi="Calibri" w:cs="Calibri"/>
                <w:b/>
                <w:color w:val="000000"/>
                <w:sz w:val="20"/>
                <w:szCs w:val="20"/>
              </w:rPr>
              <w:t>Total population size</w:t>
            </w:r>
          </w:p>
        </w:tc>
        <w:tc>
          <w:tcPr>
            <w:tcW w:w="2996" w:type="dxa"/>
            <w:gridSpan w:val="2"/>
          </w:tcPr>
          <w:p w14:paraId="23ACE5C7"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263,465</w:t>
            </w:r>
          </w:p>
        </w:tc>
        <w:tc>
          <w:tcPr>
            <w:tcW w:w="2996" w:type="dxa"/>
            <w:gridSpan w:val="2"/>
          </w:tcPr>
          <w:p w14:paraId="3AF7C920"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263,465</w:t>
            </w:r>
          </w:p>
        </w:tc>
        <w:tc>
          <w:tcPr>
            <w:tcW w:w="1853" w:type="dxa"/>
            <w:gridSpan w:val="2"/>
          </w:tcPr>
          <w:p w14:paraId="4EEBB58E"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140,070</w:t>
            </w:r>
          </w:p>
        </w:tc>
      </w:tr>
      <w:tr w:rsidR="00BF5EA3" w:rsidRPr="00693CFF" w14:paraId="672C5498" w14:textId="77777777" w:rsidTr="00481EE6">
        <w:tc>
          <w:tcPr>
            <w:tcW w:w="1171" w:type="dxa"/>
            <w:shd w:val="clear" w:color="auto" w:fill="E7E6E6" w:themeFill="background2"/>
          </w:tcPr>
          <w:p w14:paraId="0C357721" w14:textId="77777777" w:rsidR="00BF5EA3" w:rsidRPr="00693CFF" w:rsidRDefault="00BF5EA3" w:rsidP="00D860FB">
            <w:pPr>
              <w:rPr>
                <w:rFonts w:cstheme="minorHAnsi"/>
                <w:b/>
                <w:sz w:val="20"/>
                <w:szCs w:val="20"/>
              </w:rPr>
            </w:pPr>
            <w:r w:rsidRPr="00693CFF">
              <w:rPr>
                <w:rFonts w:ascii="Calibri" w:hAnsi="Calibri" w:cs="Calibri"/>
                <w:b/>
                <w:color w:val="000000"/>
                <w:sz w:val="20"/>
                <w:szCs w:val="20"/>
              </w:rPr>
              <w:t>Discounted population size</w:t>
            </w:r>
          </w:p>
        </w:tc>
        <w:tc>
          <w:tcPr>
            <w:tcW w:w="2996" w:type="dxa"/>
            <w:gridSpan w:val="2"/>
          </w:tcPr>
          <w:p w14:paraId="7A27E5EE"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2,267,824</w:t>
            </w:r>
          </w:p>
        </w:tc>
        <w:tc>
          <w:tcPr>
            <w:tcW w:w="2996" w:type="dxa"/>
            <w:gridSpan w:val="2"/>
          </w:tcPr>
          <w:p w14:paraId="67ACDD76"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2,267,824</w:t>
            </w:r>
          </w:p>
        </w:tc>
        <w:tc>
          <w:tcPr>
            <w:tcW w:w="1853" w:type="dxa"/>
            <w:gridSpan w:val="2"/>
          </w:tcPr>
          <w:p w14:paraId="6DB8D766" w14:textId="77777777" w:rsidR="00BF5EA3" w:rsidRPr="00693CFF" w:rsidRDefault="00BF5EA3" w:rsidP="00D860FB">
            <w:pPr>
              <w:jc w:val="right"/>
              <w:rPr>
                <w:rFonts w:cstheme="minorHAnsi"/>
                <w:sz w:val="20"/>
                <w:szCs w:val="20"/>
              </w:rPr>
            </w:pPr>
            <w:r w:rsidRPr="00693CFF">
              <w:rPr>
                <w:rFonts w:ascii="Calibri" w:hAnsi="Calibri" w:cs="Calibri"/>
                <w:color w:val="000000"/>
                <w:sz w:val="20"/>
                <w:szCs w:val="20"/>
              </w:rPr>
              <w:t>1,205,679</w:t>
            </w:r>
          </w:p>
        </w:tc>
      </w:tr>
      <w:tr w:rsidR="00481EE6" w:rsidRPr="00693CFF" w14:paraId="50C74008" w14:textId="77777777" w:rsidTr="000526F1">
        <w:tc>
          <w:tcPr>
            <w:tcW w:w="1171" w:type="dxa"/>
            <w:shd w:val="clear" w:color="auto" w:fill="E7E6E6" w:themeFill="background2"/>
          </w:tcPr>
          <w:p w14:paraId="2AB644D4"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t>Total EVPI</w:t>
            </w:r>
          </w:p>
        </w:tc>
        <w:tc>
          <w:tcPr>
            <w:tcW w:w="1074" w:type="dxa"/>
            <w:vAlign w:val="bottom"/>
          </w:tcPr>
          <w:p w14:paraId="2D7B4B4A" w14:textId="4E36014A" w:rsidR="00481EE6" w:rsidRPr="00693CFF" w:rsidRDefault="00481EE6" w:rsidP="00481EE6">
            <w:pPr>
              <w:jc w:val="right"/>
              <w:rPr>
                <w:rFonts w:cstheme="minorHAnsi"/>
                <w:sz w:val="20"/>
                <w:szCs w:val="20"/>
              </w:rPr>
            </w:pPr>
            <w:r>
              <w:rPr>
                <w:rFonts w:ascii="Calibri" w:hAnsi="Calibri" w:cs="Calibri"/>
                <w:color w:val="000000"/>
              </w:rPr>
              <w:t>11.32</w:t>
            </w:r>
          </w:p>
        </w:tc>
        <w:tc>
          <w:tcPr>
            <w:tcW w:w="1922" w:type="dxa"/>
            <w:vAlign w:val="bottom"/>
          </w:tcPr>
          <w:p w14:paraId="6E041A4A" w14:textId="08DC6255" w:rsidR="00481EE6" w:rsidRPr="00693CFF" w:rsidRDefault="00481EE6" w:rsidP="00481EE6">
            <w:pPr>
              <w:jc w:val="right"/>
              <w:rPr>
                <w:rFonts w:cstheme="minorHAnsi"/>
                <w:sz w:val="20"/>
                <w:szCs w:val="20"/>
              </w:rPr>
            </w:pPr>
            <w:r>
              <w:rPr>
                <w:rFonts w:ascii="Calibri" w:hAnsi="Calibri" w:cs="Calibri"/>
                <w:color w:val="000000"/>
              </w:rPr>
              <w:t>25,679,685</w:t>
            </w:r>
          </w:p>
        </w:tc>
        <w:tc>
          <w:tcPr>
            <w:tcW w:w="1074" w:type="dxa"/>
            <w:vAlign w:val="bottom"/>
          </w:tcPr>
          <w:p w14:paraId="2E7182DE" w14:textId="09B50051" w:rsidR="00481EE6" w:rsidRPr="00693CFF" w:rsidRDefault="00481EE6" w:rsidP="00481EE6">
            <w:pPr>
              <w:jc w:val="right"/>
              <w:rPr>
                <w:rFonts w:cstheme="minorHAnsi"/>
                <w:sz w:val="20"/>
                <w:szCs w:val="20"/>
              </w:rPr>
            </w:pPr>
            <w:r>
              <w:rPr>
                <w:rFonts w:ascii="Calibri" w:hAnsi="Calibri" w:cs="Calibri"/>
                <w:color w:val="000000"/>
              </w:rPr>
              <w:t>34.85</w:t>
            </w:r>
          </w:p>
        </w:tc>
        <w:tc>
          <w:tcPr>
            <w:tcW w:w="1922" w:type="dxa"/>
            <w:vAlign w:val="bottom"/>
          </w:tcPr>
          <w:p w14:paraId="53B64D66" w14:textId="7FD9E80E" w:rsidR="00481EE6" w:rsidRPr="00693CFF" w:rsidRDefault="00481EE6" w:rsidP="00481EE6">
            <w:pPr>
              <w:jc w:val="right"/>
              <w:rPr>
                <w:rFonts w:cstheme="minorHAnsi"/>
                <w:sz w:val="20"/>
                <w:szCs w:val="20"/>
              </w:rPr>
            </w:pPr>
            <w:r>
              <w:rPr>
                <w:rFonts w:ascii="Calibri" w:hAnsi="Calibri" w:cs="Calibri"/>
                <w:color w:val="000000"/>
              </w:rPr>
              <w:t>79,040,182</w:t>
            </w:r>
          </w:p>
        </w:tc>
        <w:tc>
          <w:tcPr>
            <w:tcW w:w="730" w:type="dxa"/>
            <w:vAlign w:val="bottom"/>
          </w:tcPr>
          <w:p w14:paraId="13C4183A" w14:textId="65A86FF9" w:rsidR="00481EE6" w:rsidRPr="00693CFF" w:rsidRDefault="00481EE6" w:rsidP="00481EE6">
            <w:pPr>
              <w:jc w:val="right"/>
              <w:rPr>
                <w:rFonts w:cstheme="minorHAnsi"/>
                <w:sz w:val="20"/>
                <w:szCs w:val="20"/>
              </w:rPr>
            </w:pPr>
            <w:r>
              <w:rPr>
                <w:rFonts w:ascii="Calibri" w:hAnsi="Calibri" w:cs="Calibri"/>
                <w:color w:val="000000"/>
              </w:rPr>
              <w:t>15.28</w:t>
            </w:r>
          </w:p>
        </w:tc>
        <w:tc>
          <w:tcPr>
            <w:tcW w:w="1123" w:type="dxa"/>
            <w:vAlign w:val="bottom"/>
          </w:tcPr>
          <w:p w14:paraId="64E21833" w14:textId="09DC8C49" w:rsidR="00481EE6" w:rsidRPr="00693CFF" w:rsidRDefault="00481EE6" w:rsidP="00481EE6">
            <w:pPr>
              <w:jc w:val="right"/>
              <w:rPr>
                <w:rFonts w:cstheme="minorHAnsi"/>
                <w:sz w:val="20"/>
                <w:szCs w:val="20"/>
              </w:rPr>
            </w:pPr>
            <w:r>
              <w:rPr>
                <w:rFonts w:ascii="Calibri" w:hAnsi="Calibri" w:cs="Calibri"/>
                <w:color w:val="000000"/>
              </w:rPr>
              <w:t>18,420,293</w:t>
            </w:r>
          </w:p>
        </w:tc>
      </w:tr>
      <w:tr w:rsidR="00481EE6" w:rsidRPr="00693CFF" w14:paraId="60B11176" w14:textId="77777777" w:rsidTr="000526F1">
        <w:tc>
          <w:tcPr>
            <w:tcW w:w="1171" w:type="dxa"/>
            <w:shd w:val="clear" w:color="auto" w:fill="E7E6E6" w:themeFill="background2"/>
          </w:tcPr>
          <w:p w14:paraId="06F05524"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t>Utilities and disutilities</w:t>
            </w:r>
          </w:p>
        </w:tc>
        <w:tc>
          <w:tcPr>
            <w:tcW w:w="1074" w:type="dxa"/>
            <w:vAlign w:val="bottom"/>
          </w:tcPr>
          <w:p w14:paraId="4CFEFE93" w14:textId="6CFE846A" w:rsidR="00481EE6" w:rsidRPr="00693CFF" w:rsidRDefault="00481EE6" w:rsidP="00481EE6">
            <w:pPr>
              <w:jc w:val="right"/>
              <w:rPr>
                <w:rFonts w:cstheme="minorHAnsi"/>
                <w:sz w:val="20"/>
                <w:szCs w:val="20"/>
              </w:rPr>
            </w:pPr>
            <w:r>
              <w:rPr>
                <w:rFonts w:ascii="Calibri" w:hAnsi="Calibri" w:cs="Calibri"/>
                <w:color w:val="000000"/>
              </w:rPr>
              <w:t>3.72</w:t>
            </w:r>
          </w:p>
        </w:tc>
        <w:tc>
          <w:tcPr>
            <w:tcW w:w="1922" w:type="dxa"/>
            <w:vAlign w:val="bottom"/>
          </w:tcPr>
          <w:p w14:paraId="6D792597" w14:textId="7B2AC3AD" w:rsidR="00481EE6" w:rsidRPr="00693CFF" w:rsidRDefault="00481EE6" w:rsidP="00481EE6">
            <w:pPr>
              <w:jc w:val="right"/>
              <w:rPr>
                <w:rFonts w:cstheme="minorHAnsi"/>
                <w:sz w:val="20"/>
                <w:szCs w:val="20"/>
              </w:rPr>
            </w:pPr>
            <w:r>
              <w:rPr>
                <w:rFonts w:ascii="Calibri" w:hAnsi="Calibri" w:cs="Calibri"/>
                <w:color w:val="000000"/>
              </w:rPr>
              <w:t>8,425,612</w:t>
            </w:r>
          </w:p>
        </w:tc>
        <w:tc>
          <w:tcPr>
            <w:tcW w:w="1074" w:type="dxa"/>
            <w:vAlign w:val="bottom"/>
          </w:tcPr>
          <w:p w14:paraId="5BA40A0A" w14:textId="32A1B6B7" w:rsidR="00481EE6" w:rsidRPr="00693CFF" w:rsidRDefault="00481EE6" w:rsidP="00481EE6">
            <w:pPr>
              <w:jc w:val="right"/>
              <w:rPr>
                <w:rFonts w:cstheme="minorHAnsi"/>
                <w:sz w:val="20"/>
                <w:szCs w:val="20"/>
              </w:rPr>
            </w:pPr>
            <w:r>
              <w:rPr>
                <w:rFonts w:ascii="Calibri" w:hAnsi="Calibri" w:cs="Calibri"/>
                <w:color w:val="000000"/>
              </w:rPr>
              <w:t>1.62</w:t>
            </w:r>
          </w:p>
        </w:tc>
        <w:tc>
          <w:tcPr>
            <w:tcW w:w="1922" w:type="dxa"/>
            <w:vAlign w:val="bottom"/>
          </w:tcPr>
          <w:p w14:paraId="3F2208F6" w14:textId="00EB4F7E" w:rsidR="00481EE6" w:rsidRPr="00693CFF" w:rsidRDefault="00481EE6" w:rsidP="00481EE6">
            <w:pPr>
              <w:jc w:val="right"/>
              <w:rPr>
                <w:rFonts w:cstheme="minorHAnsi"/>
                <w:sz w:val="20"/>
                <w:szCs w:val="20"/>
              </w:rPr>
            </w:pPr>
            <w:r>
              <w:rPr>
                <w:rFonts w:ascii="Calibri" w:hAnsi="Calibri" w:cs="Calibri"/>
                <w:color w:val="000000"/>
              </w:rPr>
              <w:t>3,663,585</w:t>
            </w:r>
          </w:p>
        </w:tc>
        <w:tc>
          <w:tcPr>
            <w:tcW w:w="730" w:type="dxa"/>
            <w:vAlign w:val="bottom"/>
          </w:tcPr>
          <w:p w14:paraId="17BE8B5A" w14:textId="5E555369" w:rsidR="00481EE6" w:rsidRPr="00693CFF" w:rsidRDefault="00481EE6" w:rsidP="00481EE6">
            <w:pPr>
              <w:jc w:val="right"/>
              <w:rPr>
                <w:rFonts w:cstheme="minorHAnsi"/>
                <w:sz w:val="20"/>
                <w:szCs w:val="20"/>
              </w:rPr>
            </w:pPr>
            <w:r>
              <w:rPr>
                <w:rFonts w:ascii="Calibri" w:hAnsi="Calibri" w:cs="Calibri"/>
                <w:color w:val="000000"/>
              </w:rPr>
              <w:t>0.93</w:t>
            </w:r>
          </w:p>
        </w:tc>
        <w:tc>
          <w:tcPr>
            <w:tcW w:w="1123" w:type="dxa"/>
            <w:vAlign w:val="bottom"/>
          </w:tcPr>
          <w:p w14:paraId="03F4C833" w14:textId="0A6DDDA8" w:rsidR="00481EE6" w:rsidRPr="00693CFF" w:rsidRDefault="00481EE6" w:rsidP="00481EE6">
            <w:pPr>
              <w:jc w:val="right"/>
              <w:rPr>
                <w:rFonts w:cstheme="minorHAnsi"/>
                <w:sz w:val="20"/>
                <w:szCs w:val="20"/>
              </w:rPr>
            </w:pPr>
            <w:r>
              <w:rPr>
                <w:rFonts w:ascii="Calibri" w:hAnsi="Calibri" w:cs="Calibri"/>
                <w:color w:val="000000"/>
              </w:rPr>
              <w:t>1,117,066</w:t>
            </w:r>
          </w:p>
        </w:tc>
      </w:tr>
      <w:tr w:rsidR="00481EE6" w:rsidRPr="00693CFF" w14:paraId="6142C3F2" w14:textId="77777777" w:rsidTr="000526F1">
        <w:tc>
          <w:tcPr>
            <w:tcW w:w="1171" w:type="dxa"/>
            <w:shd w:val="clear" w:color="auto" w:fill="E7E6E6" w:themeFill="background2"/>
          </w:tcPr>
          <w:p w14:paraId="03F7B9E8"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t>Rates of osteoporosis and NHL</w:t>
            </w:r>
          </w:p>
        </w:tc>
        <w:tc>
          <w:tcPr>
            <w:tcW w:w="1074" w:type="dxa"/>
            <w:vAlign w:val="bottom"/>
          </w:tcPr>
          <w:p w14:paraId="51A3AB2F" w14:textId="33DD344C" w:rsidR="00481EE6" w:rsidRPr="00693CFF" w:rsidRDefault="00481EE6" w:rsidP="00481EE6">
            <w:pPr>
              <w:jc w:val="right"/>
              <w:rPr>
                <w:rFonts w:cstheme="minorHAnsi"/>
                <w:sz w:val="20"/>
                <w:szCs w:val="20"/>
              </w:rPr>
            </w:pPr>
            <w:r>
              <w:rPr>
                <w:rFonts w:ascii="Calibri" w:hAnsi="Calibri" w:cs="Calibri"/>
                <w:color w:val="000000"/>
              </w:rPr>
              <w:t>2.84</w:t>
            </w:r>
          </w:p>
        </w:tc>
        <w:tc>
          <w:tcPr>
            <w:tcW w:w="1922" w:type="dxa"/>
            <w:vAlign w:val="bottom"/>
          </w:tcPr>
          <w:p w14:paraId="0EEB02DE" w14:textId="482C1F46" w:rsidR="00481EE6" w:rsidRPr="00693CFF" w:rsidRDefault="00481EE6" w:rsidP="00481EE6">
            <w:pPr>
              <w:jc w:val="right"/>
              <w:rPr>
                <w:rFonts w:cstheme="minorHAnsi"/>
                <w:sz w:val="20"/>
                <w:szCs w:val="20"/>
              </w:rPr>
            </w:pPr>
            <w:r>
              <w:rPr>
                <w:rFonts w:ascii="Calibri" w:hAnsi="Calibri" w:cs="Calibri"/>
                <w:color w:val="000000"/>
              </w:rPr>
              <w:t>6,449,814</w:t>
            </w:r>
          </w:p>
        </w:tc>
        <w:tc>
          <w:tcPr>
            <w:tcW w:w="1074" w:type="dxa"/>
            <w:vAlign w:val="bottom"/>
          </w:tcPr>
          <w:p w14:paraId="68D9BB7D" w14:textId="5FB8AE33" w:rsidR="00481EE6" w:rsidRPr="00693CFF" w:rsidRDefault="00481EE6" w:rsidP="00481EE6">
            <w:pPr>
              <w:jc w:val="right"/>
              <w:rPr>
                <w:rFonts w:cstheme="minorHAnsi"/>
                <w:sz w:val="20"/>
                <w:szCs w:val="20"/>
              </w:rPr>
            </w:pPr>
            <w:r>
              <w:rPr>
                <w:rFonts w:ascii="Calibri" w:hAnsi="Calibri" w:cs="Calibri"/>
                <w:color w:val="000000"/>
              </w:rPr>
              <w:t>10.08</w:t>
            </w:r>
          </w:p>
        </w:tc>
        <w:tc>
          <w:tcPr>
            <w:tcW w:w="1922" w:type="dxa"/>
            <w:vAlign w:val="bottom"/>
          </w:tcPr>
          <w:p w14:paraId="03FA9723" w14:textId="4AFFB856" w:rsidR="00481EE6" w:rsidRPr="00693CFF" w:rsidRDefault="00481EE6" w:rsidP="00481EE6">
            <w:pPr>
              <w:jc w:val="right"/>
              <w:rPr>
                <w:rFonts w:cstheme="minorHAnsi"/>
                <w:sz w:val="20"/>
                <w:szCs w:val="20"/>
              </w:rPr>
            </w:pPr>
            <w:r>
              <w:rPr>
                <w:rFonts w:ascii="Calibri" w:hAnsi="Calibri" w:cs="Calibri"/>
                <w:color w:val="000000"/>
              </w:rPr>
              <w:t>22,849,058</w:t>
            </w:r>
          </w:p>
        </w:tc>
        <w:tc>
          <w:tcPr>
            <w:tcW w:w="730" w:type="dxa"/>
            <w:vAlign w:val="bottom"/>
          </w:tcPr>
          <w:p w14:paraId="3F84BC55" w14:textId="4F4FA4F7" w:rsidR="00481EE6" w:rsidRPr="00693CFF" w:rsidRDefault="00481EE6" w:rsidP="00481EE6">
            <w:pPr>
              <w:jc w:val="right"/>
              <w:rPr>
                <w:rFonts w:cstheme="minorHAnsi"/>
                <w:sz w:val="20"/>
                <w:szCs w:val="20"/>
              </w:rPr>
            </w:pPr>
            <w:r>
              <w:rPr>
                <w:rFonts w:ascii="Calibri" w:hAnsi="Calibri" w:cs="Calibri"/>
                <w:color w:val="000000"/>
              </w:rPr>
              <w:t>0.40</w:t>
            </w:r>
          </w:p>
        </w:tc>
        <w:tc>
          <w:tcPr>
            <w:tcW w:w="1123" w:type="dxa"/>
            <w:vAlign w:val="bottom"/>
          </w:tcPr>
          <w:p w14:paraId="6239DF92" w14:textId="3D787CE2" w:rsidR="00481EE6" w:rsidRPr="00693CFF" w:rsidRDefault="00481EE6" w:rsidP="00481EE6">
            <w:pPr>
              <w:jc w:val="right"/>
              <w:rPr>
                <w:rFonts w:cstheme="minorHAnsi"/>
                <w:sz w:val="20"/>
                <w:szCs w:val="20"/>
              </w:rPr>
            </w:pPr>
            <w:r>
              <w:rPr>
                <w:rFonts w:ascii="Calibri" w:hAnsi="Calibri" w:cs="Calibri"/>
                <w:color w:val="000000"/>
              </w:rPr>
              <w:t>486,521</w:t>
            </w:r>
          </w:p>
        </w:tc>
      </w:tr>
      <w:tr w:rsidR="00481EE6" w:rsidRPr="00693CFF" w14:paraId="6AC4E41F" w14:textId="77777777" w:rsidTr="000526F1">
        <w:tc>
          <w:tcPr>
            <w:tcW w:w="1171" w:type="dxa"/>
            <w:shd w:val="clear" w:color="auto" w:fill="E7E6E6" w:themeFill="background2"/>
          </w:tcPr>
          <w:p w14:paraId="596407EF"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lastRenderedPageBreak/>
              <w:t>GFD effect</w:t>
            </w:r>
          </w:p>
        </w:tc>
        <w:tc>
          <w:tcPr>
            <w:tcW w:w="1074" w:type="dxa"/>
            <w:vAlign w:val="bottom"/>
          </w:tcPr>
          <w:p w14:paraId="6D9140AD" w14:textId="525BCC2F" w:rsidR="00481EE6" w:rsidRPr="00693CFF" w:rsidRDefault="00481EE6" w:rsidP="00481EE6">
            <w:pPr>
              <w:jc w:val="right"/>
              <w:rPr>
                <w:rFonts w:cstheme="minorHAnsi"/>
                <w:sz w:val="20"/>
                <w:szCs w:val="20"/>
              </w:rPr>
            </w:pPr>
            <w:r>
              <w:rPr>
                <w:rFonts w:ascii="Calibri" w:hAnsi="Calibri" w:cs="Calibri"/>
                <w:color w:val="000000"/>
              </w:rPr>
              <w:t>3.02</w:t>
            </w:r>
          </w:p>
        </w:tc>
        <w:tc>
          <w:tcPr>
            <w:tcW w:w="1922" w:type="dxa"/>
            <w:vAlign w:val="bottom"/>
          </w:tcPr>
          <w:p w14:paraId="786B196A" w14:textId="26B4F800" w:rsidR="00481EE6" w:rsidRPr="00693CFF" w:rsidRDefault="00481EE6" w:rsidP="00481EE6">
            <w:pPr>
              <w:jc w:val="right"/>
              <w:rPr>
                <w:rFonts w:cstheme="minorHAnsi"/>
                <w:sz w:val="20"/>
                <w:szCs w:val="20"/>
              </w:rPr>
            </w:pPr>
            <w:r>
              <w:rPr>
                <w:rFonts w:ascii="Calibri" w:hAnsi="Calibri" w:cs="Calibri"/>
                <w:color w:val="000000"/>
              </w:rPr>
              <w:t>6,850,323</w:t>
            </w:r>
          </w:p>
        </w:tc>
        <w:tc>
          <w:tcPr>
            <w:tcW w:w="1074" w:type="dxa"/>
            <w:vAlign w:val="bottom"/>
          </w:tcPr>
          <w:p w14:paraId="3FBAFF5A" w14:textId="079AD213" w:rsidR="00481EE6" w:rsidRPr="00693CFF" w:rsidRDefault="00481EE6" w:rsidP="00481EE6">
            <w:pPr>
              <w:jc w:val="right"/>
              <w:rPr>
                <w:rFonts w:cstheme="minorHAnsi"/>
                <w:sz w:val="20"/>
                <w:szCs w:val="20"/>
              </w:rPr>
            </w:pPr>
            <w:r>
              <w:rPr>
                <w:rFonts w:ascii="Calibri" w:hAnsi="Calibri" w:cs="Calibri"/>
                <w:color w:val="000000"/>
              </w:rPr>
              <w:t>10.89</w:t>
            </w:r>
          </w:p>
        </w:tc>
        <w:tc>
          <w:tcPr>
            <w:tcW w:w="1922" w:type="dxa"/>
            <w:vAlign w:val="bottom"/>
          </w:tcPr>
          <w:p w14:paraId="03E305AD" w14:textId="5979CD9C" w:rsidR="00481EE6" w:rsidRPr="00693CFF" w:rsidRDefault="00481EE6" w:rsidP="00481EE6">
            <w:pPr>
              <w:jc w:val="right"/>
              <w:rPr>
                <w:rFonts w:cstheme="minorHAnsi"/>
                <w:sz w:val="20"/>
                <w:szCs w:val="20"/>
              </w:rPr>
            </w:pPr>
            <w:r>
              <w:rPr>
                <w:rFonts w:ascii="Calibri" w:hAnsi="Calibri" w:cs="Calibri"/>
                <w:color w:val="000000"/>
              </w:rPr>
              <w:t>24,702,170</w:t>
            </w:r>
          </w:p>
        </w:tc>
        <w:tc>
          <w:tcPr>
            <w:tcW w:w="730" w:type="dxa"/>
            <w:vAlign w:val="bottom"/>
          </w:tcPr>
          <w:p w14:paraId="375D797E" w14:textId="30D1C80B" w:rsidR="00481EE6" w:rsidRPr="00693CFF" w:rsidRDefault="00481EE6" w:rsidP="00481EE6">
            <w:pPr>
              <w:jc w:val="right"/>
              <w:rPr>
                <w:rFonts w:cstheme="minorHAnsi"/>
                <w:sz w:val="20"/>
                <w:szCs w:val="20"/>
              </w:rPr>
            </w:pPr>
            <w:r>
              <w:rPr>
                <w:rFonts w:ascii="Calibri" w:hAnsi="Calibri" w:cs="Calibri"/>
                <w:color w:val="000000"/>
              </w:rPr>
              <w:t>0.26</w:t>
            </w:r>
          </w:p>
        </w:tc>
        <w:tc>
          <w:tcPr>
            <w:tcW w:w="1123" w:type="dxa"/>
            <w:vAlign w:val="bottom"/>
          </w:tcPr>
          <w:p w14:paraId="180AA0BB" w14:textId="7AF416D3" w:rsidR="00481EE6" w:rsidRPr="00693CFF" w:rsidRDefault="00481EE6" w:rsidP="00481EE6">
            <w:pPr>
              <w:jc w:val="right"/>
              <w:rPr>
                <w:rFonts w:cstheme="minorHAnsi"/>
                <w:sz w:val="20"/>
                <w:szCs w:val="20"/>
              </w:rPr>
            </w:pPr>
            <w:r>
              <w:rPr>
                <w:rFonts w:ascii="Calibri" w:hAnsi="Calibri" w:cs="Calibri"/>
                <w:color w:val="000000"/>
              </w:rPr>
              <w:t>316,551</w:t>
            </w:r>
          </w:p>
        </w:tc>
      </w:tr>
      <w:tr w:rsidR="00481EE6" w:rsidRPr="00693CFF" w14:paraId="0EC234B5" w14:textId="77777777" w:rsidTr="000526F1">
        <w:tc>
          <w:tcPr>
            <w:tcW w:w="1171" w:type="dxa"/>
            <w:shd w:val="clear" w:color="auto" w:fill="E7E6E6" w:themeFill="background2"/>
          </w:tcPr>
          <w:p w14:paraId="1E707053"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t>Test accuracies</w:t>
            </w:r>
          </w:p>
        </w:tc>
        <w:tc>
          <w:tcPr>
            <w:tcW w:w="1074" w:type="dxa"/>
            <w:vAlign w:val="bottom"/>
          </w:tcPr>
          <w:p w14:paraId="5A91EBC1" w14:textId="011C8BC6" w:rsidR="00481EE6" w:rsidRPr="00693CFF" w:rsidRDefault="00481EE6" w:rsidP="00481EE6">
            <w:pPr>
              <w:jc w:val="right"/>
              <w:rPr>
                <w:rFonts w:cstheme="minorHAnsi"/>
                <w:sz w:val="20"/>
                <w:szCs w:val="20"/>
              </w:rPr>
            </w:pPr>
            <w:r>
              <w:rPr>
                <w:rFonts w:ascii="Calibri" w:hAnsi="Calibri" w:cs="Calibri"/>
                <w:color w:val="000000"/>
              </w:rPr>
              <w:t>6.81</w:t>
            </w:r>
          </w:p>
        </w:tc>
        <w:tc>
          <w:tcPr>
            <w:tcW w:w="1922" w:type="dxa"/>
            <w:vAlign w:val="bottom"/>
          </w:tcPr>
          <w:p w14:paraId="2B0E2F85" w14:textId="3F2AECCB" w:rsidR="00481EE6" w:rsidRPr="00693CFF" w:rsidRDefault="00481EE6" w:rsidP="00481EE6">
            <w:pPr>
              <w:jc w:val="right"/>
              <w:rPr>
                <w:rFonts w:cstheme="minorHAnsi"/>
                <w:sz w:val="20"/>
                <w:szCs w:val="20"/>
              </w:rPr>
            </w:pPr>
            <w:r>
              <w:rPr>
                <w:rFonts w:ascii="Calibri" w:hAnsi="Calibri" w:cs="Calibri"/>
                <w:color w:val="000000"/>
              </w:rPr>
              <w:t>15,447,753</w:t>
            </w:r>
          </w:p>
        </w:tc>
        <w:tc>
          <w:tcPr>
            <w:tcW w:w="1074" w:type="dxa"/>
            <w:vAlign w:val="bottom"/>
          </w:tcPr>
          <w:p w14:paraId="5A41C414" w14:textId="6CCAF49F" w:rsidR="00481EE6" w:rsidRPr="00693CFF" w:rsidRDefault="00481EE6" w:rsidP="00481EE6">
            <w:pPr>
              <w:jc w:val="right"/>
              <w:rPr>
                <w:rFonts w:cstheme="minorHAnsi"/>
                <w:sz w:val="20"/>
                <w:szCs w:val="20"/>
              </w:rPr>
            </w:pPr>
            <w:r>
              <w:rPr>
                <w:rFonts w:ascii="Calibri" w:hAnsi="Calibri" w:cs="Calibri"/>
                <w:color w:val="000000"/>
              </w:rPr>
              <w:t>18.98</w:t>
            </w:r>
          </w:p>
        </w:tc>
        <w:tc>
          <w:tcPr>
            <w:tcW w:w="1922" w:type="dxa"/>
            <w:vAlign w:val="bottom"/>
          </w:tcPr>
          <w:p w14:paraId="280C070A" w14:textId="41176B00" w:rsidR="00481EE6" w:rsidRPr="00693CFF" w:rsidRDefault="00481EE6" w:rsidP="00481EE6">
            <w:pPr>
              <w:jc w:val="right"/>
              <w:rPr>
                <w:rFonts w:cstheme="minorHAnsi"/>
                <w:sz w:val="20"/>
                <w:szCs w:val="20"/>
              </w:rPr>
            </w:pPr>
            <w:r>
              <w:rPr>
                <w:rFonts w:ascii="Calibri" w:hAnsi="Calibri" w:cs="Calibri"/>
                <w:color w:val="000000"/>
              </w:rPr>
              <w:t>43,035,778</w:t>
            </w:r>
          </w:p>
        </w:tc>
        <w:tc>
          <w:tcPr>
            <w:tcW w:w="730" w:type="dxa"/>
            <w:vAlign w:val="bottom"/>
          </w:tcPr>
          <w:p w14:paraId="7076C0F4" w14:textId="3A70C6ED" w:rsidR="00481EE6" w:rsidRPr="00693CFF" w:rsidRDefault="00481EE6" w:rsidP="00481EE6">
            <w:pPr>
              <w:jc w:val="right"/>
              <w:rPr>
                <w:rFonts w:cstheme="minorHAnsi"/>
                <w:sz w:val="20"/>
                <w:szCs w:val="20"/>
              </w:rPr>
            </w:pPr>
            <w:r>
              <w:rPr>
                <w:rFonts w:ascii="Calibri" w:hAnsi="Calibri" w:cs="Calibri"/>
                <w:color w:val="000000"/>
              </w:rPr>
              <w:t>6.48</w:t>
            </w:r>
          </w:p>
        </w:tc>
        <w:tc>
          <w:tcPr>
            <w:tcW w:w="1123" w:type="dxa"/>
            <w:vAlign w:val="bottom"/>
          </w:tcPr>
          <w:p w14:paraId="16D544EF" w14:textId="138C4978" w:rsidR="00481EE6" w:rsidRPr="00693CFF" w:rsidRDefault="00481EE6" w:rsidP="00481EE6">
            <w:pPr>
              <w:jc w:val="right"/>
              <w:rPr>
                <w:rFonts w:cstheme="minorHAnsi"/>
                <w:sz w:val="20"/>
                <w:szCs w:val="20"/>
              </w:rPr>
            </w:pPr>
            <w:r>
              <w:rPr>
                <w:rFonts w:ascii="Calibri" w:hAnsi="Calibri" w:cs="Calibri"/>
                <w:color w:val="000000"/>
              </w:rPr>
              <w:t>7,812,603</w:t>
            </w:r>
          </w:p>
        </w:tc>
      </w:tr>
      <w:tr w:rsidR="00481EE6" w:rsidRPr="00693CFF" w14:paraId="4697E27C" w14:textId="77777777" w:rsidTr="000526F1">
        <w:tc>
          <w:tcPr>
            <w:tcW w:w="1171" w:type="dxa"/>
            <w:shd w:val="clear" w:color="auto" w:fill="E7E6E6" w:themeFill="background2"/>
          </w:tcPr>
          <w:p w14:paraId="4B6CB9DA" w14:textId="77777777" w:rsidR="00481EE6" w:rsidRPr="00693CFF" w:rsidRDefault="00481EE6" w:rsidP="00481EE6">
            <w:pPr>
              <w:rPr>
                <w:rFonts w:cstheme="minorHAnsi"/>
                <w:b/>
                <w:sz w:val="20"/>
                <w:szCs w:val="20"/>
              </w:rPr>
            </w:pPr>
            <w:r w:rsidRPr="00693CFF">
              <w:rPr>
                <w:rFonts w:ascii="Calibri" w:hAnsi="Calibri" w:cs="Calibri"/>
                <w:b/>
                <w:color w:val="000000"/>
                <w:sz w:val="20"/>
                <w:szCs w:val="20"/>
              </w:rPr>
              <w:t>Probability of late diagnosis</w:t>
            </w:r>
          </w:p>
        </w:tc>
        <w:tc>
          <w:tcPr>
            <w:tcW w:w="1074" w:type="dxa"/>
            <w:vAlign w:val="bottom"/>
          </w:tcPr>
          <w:p w14:paraId="2522BF95" w14:textId="07EB2C21" w:rsidR="00481EE6" w:rsidRPr="00693CFF" w:rsidRDefault="00481EE6" w:rsidP="00481EE6">
            <w:pPr>
              <w:jc w:val="right"/>
              <w:rPr>
                <w:rFonts w:cstheme="minorHAnsi"/>
                <w:sz w:val="20"/>
                <w:szCs w:val="20"/>
              </w:rPr>
            </w:pPr>
            <w:r>
              <w:rPr>
                <w:rFonts w:ascii="Calibri" w:hAnsi="Calibri" w:cs="Calibri"/>
                <w:color w:val="000000"/>
              </w:rPr>
              <w:t>8.01</w:t>
            </w:r>
          </w:p>
        </w:tc>
        <w:tc>
          <w:tcPr>
            <w:tcW w:w="1922" w:type="dxa"/>
            <w:vAlign w:val="bottom"/>
          </w:tcPr>
          <w:p w14:paraId="411C735F" w14:textId="6408B5EB" w:rsidR="00481EE6" w:rsidRPr="00693CFF" w:rsidRDefault="00481EE6" w:rsidP="00481EE6">
            <w:pPr>
              <w:jc w:val="right"/>
              <w:rPr>
                <w:rFonts w:cstheme="minorHAnsi"/>
                <w:sz w:val="20"/>
                <w:szCs w:val="20"/>
              </w:rPr>
            </w:pPr>
            <w:r>
              <w:rPr>
                <w:rFonts w:ascii="Calibri" w:hAnsi="Calibri" w:cs="Calibri"/>
                <w:color w:val="000000"/>
              </w:rPr>
              <w:t>18,159,091</w:t>
            </w:r>
          </w:p>
        </w:tc>
        <w:tc>
          <w:tcPr>
            <w:tcW w:w="1074" w:type="dxa"/>
            <w:vAlign w:val="bottom"/>
          </w:tcPr>
          <w:p w14:paraId="7B82DED9" w14:textId="3D37E099" w:rsidR="00481EE6" w:rsidRPr="00693CFF" w:rsidRDefault="00481EE6" w:rsidP="00481EE6">
            <w:pPr>
              <w:jc w:val="right"/>
              <w:rPr>
                <w:rFonts w:cstheme="minorHAnsi"/>
                <w:sz w:val="20"/>
                <w:szCs w:val="20"/>
              </w:rPr>
            </w:pPr>
            <w:r>
              <w:rPr>
                <w:rFonts w:ascii="Calibri" w:hAnsi="Calibri" w:cs="Calibri"/>
                <w:color w:val="000000"/>
              </w:rPr>
              <w:t>30.22</w:t>
            </w:r>
          </w:p>
        </w:tc>
        <w:tc>
          <w:tcPr>
            <w:tcW w:w="1922" w:type="dxa"/>
            <w:vAlign w:val="bottom"/>
          </w:tcPr>
          <w:p w14:paraId="66AC14C7" w14:textId="23B01A76" w:rsidR="00481EE6" w:rsidRPr="00693CFF" w:rsidRDefault="00481EE6" w:rsidP="00481EE6">
            <w:pPr>
              <w:jc w:val="right"/>
              <w:rPr>
                <w:rFonts w:cstheme="minorHAnsi"/>
                <w:sz w:val="20"/>
                <w:szCs w:val="20"/>
              </w:rPr>
            </w:pPr>
            <w:r>
              <w:rPr>
                <w:rFonts w:ascii="Calibri" w:hAnsi="Calibri" w:cs="Calibri"/>
                <w:color w:val="000000"/>
              </w:rPr>
              <w:t>68,534,495</w:t>
            </w:r>
          </w:p>
        </w:tc>
        <w:tc>
          <w:tcPr>
            <w:tcW w:w="730" w:type="dxa"/>
            <w:vAlign w:val="bottom"/>
          </w:tcPr>
          <w:p w14:paraId="72A61080" w14:textId="35F3E248" w:rsidR="00481EE6" w:rsidRPr="00693CFF" w:rsidRDefault="00481EE6" w:rsidP="00481EE6">
            <w:pPr>
              <w:jc w:val="right"/>
              <w:rPr>
                <w:rFonts w:cstheme="minorHAnsi"/>
                <w:sz w:val="20"/>
                <w:szCs w:val="20"/>
              </w:rPr>
            </w:pPr>
            <w:r>
              <w:rPr>
                <w:rFonts w:ascii="Calibri" w:hAnsi="Calibri" w:cs="Calibri"/>
                <w:color w:val="000000"/>
              </w:rPr>
              <w:t>8.76</w:t>
            </w:r>
          </w:p>
        </w:tc>
        <w:tc>
          <w:tcPr>
            <w:tcW w:w="1123" w:type="dxa"/>
            <w:vAlign w:val="bottom"/>
          </w:tcPr>
          <w:p w14:paraId="67D3E227" w14:textId="683CAD95" w:rsidR="00481EE6" w:rsidRPr="00693CFF" w:rsidRDefault="00481EE6" w:rsidP="00481EE6">
            <w:pPr>
              <w:jc w:val="right"/>
              <w:rPr>
                <w:rFonts w:cstheme="minorHAnsi"/>
                <w:sz w:val="20"/>
                <w:szCs w:val="20"/>
              </w:rPr>
            </w:pPr>
            <w:r>
              <w:rPr>
                <w:rFonts w:ascii="Calibri" w:hAnsi="Calibri" w:cs="Calibri"/>
                <w:color w:val="000000"/>
              </w:rPr>
              <w:t>10,561,800</w:t>
            </w:r>
          </w:p>
        </w:tc>
      </w:tr>
    </w:tbl>
    <w:p w14:paraId="4EA34BA4" w14:textId="7332972D" w:rsidR="00BF5EA3" w:rsidRPr="00693CFF" w:rsidRDefault="00CC70E7" w:rsidP="00BF5EA3">
      <w:pPr>
        <w:rPr>
          <w:rFonts w:cstheme="minorHAnsi"/>
          <w:sz w:val="18"/>
          <w:szCs w:val="18"/>
        </w:rPr>
      </w:pPr>
      <w:r w:rsidRPr="00693CFF">
        <w:rPr>
          <w:rFonts w:cstheme="minorHAnsi"/>
          <w:sz w:val="18"/>
          <w:szCs w:val="18"/>
        </w:rPr>
        <w:t>*</w:t>
      </w:r>
      <w:r w:rsidR="00971D12" w:rsidRPr="00693CFF">
        <w:rPr>
          <w:rFonts w:cstheme="minorHAnsi"/>
          <w:sz w:val="18"/>
          <w:szCs w:val="18"/>
        </w:rPr>
        <w:t>NR=Not reported</w:t>
      </w:r>
      <w:r w:rsidR="00693CFF">
        <w:rPr>
          <w:rFonts w:cstheme="minorHAnsi"/>
          <w:sz w:val="18"/>
          <w:szCs w:val="18"/>
        </w:rPr>
        <w:t>, GFD=</w:t>
      </w:r>
      <w:r w:rsidR="00693CFF" w:rsidRPr="00693CFF">
        <w:t xml:space="preserve"> </w:t>
      </w:r>
      <w:r w:rsidR="00693CFF" w:rsidRPr="00693CFF">
        <w:rPr>
          <w:rFonts w:cstheme="minorHAnsi"/>
          <w:sz w:val="18"/>
          <w:szCs w:val="18"/>
        </w:rPr>
        <w:t>gluten-free diet</w:t>
      </w:r>
      <w:r w:rsidR="00971D12" w:rsidRPr="00693CFF">
        <w:rPr>
          <w:rFonts w:cstheme="minorHAnsi"/>
          <w:sz w:val="18"/>
          <w:szCs w:val="18"/>
        </w:rPr>
        <w:t xml:space="preserve">. </w:t>
      </w:r>
      <w:r w:rsidRPr="00693CFF">
        <w:rPr>
          <w:rFonts w:cstheme="minorHAnsi"/>
          <w:sz w:val="18"/>
          <w:szCs w:val="18"/>
        </w:rPr>
        <w:t xml:space="preserve">MLMC estimates in children failed to converge. Gaussian process </w:t>
      </w:r>
      <w:r w:rsidR="004314FE" w:rsidRPr="00693CFF">
        <w:rPr>
          <w:rFonts w:cstheme="minorHAnsi"/>
          <w:sz w:val="18"/>
          <w:szCs w:val="18"/>
        </w:rPr>
        <w:t>estimates</w:t>
      </w:r>
      <w:r w:rsidRPr="00693CFF">
        <w:rPr>
          <w:rFonts w:cstheme="minorHAnsi"/>
          <w:sz w:val="18"/>
          <w:szCs w:val="18"/>
        </w:rPr>
        <w:t xml:space="preserve"> presented but </w:t>
      </w:r>
      <w:r w:rsidR="00233EAA" w:rsidRPr="00693CFF">
        <w:rPr>
          <w:rFonts w:cstheme="minorHAnsi"/>
          <w:sz w:val="18"/>
          <w:szCs w:val="18"/>
        </w:rPr>
        <w:t xml:space="preserve">only </w:t>
      </w:r>
      <w:r w:rsidR="00971D12" w:rsidRPr="00693CFF">
        <w:rPr>
          <w:rFonts w:cstheme="minorHAnsi"/>
          <w:sz w:val="18"/>
          <w:szCs w:val="18"/>
        </w:rPr>
        <w:t xml:space="preserve">ran on the utilities estimate and in this set were also unstable. </w:t>
      </w:r>
    </w:p>
    <w:p w14:paraId="6999C478" w14:textId="77777777" w:rsidR="00BF5EA3" w:rsidRPr="00E01766" w:rsidRDefault="00BF5EA3" w:rsidP="00AC2A52">
      <w:pPr>
        <w:pStyle w:val="Heading4"/>
      </w:pPr>
      <w:bookmarkStart w:id="301" w:name="_Toc87507200"/>
      <w:r w:rsidRPr="00E01766">
        <w:t>Adult women</w:t>
      </w:r>
      <w:bookmarkEnd w:id="301"/>
    </w:p>
    <w:p w14:paraId="4B130D07" w14:textId="69612BD4" w:rsidR="00BF5EA3" w:rsidRPr="00305D05" w:rsidRDefault="00F437DA" w:rsidP="00BF5EA3">
      <w:pPr>
        <w:rPr>
          <w:rFonts w:cstheme="minorHAnsi"/>
        </w:rPr>
      </w:pPr>
      <w:r>
        <w:rPr>
          <w:rFonts w:cstheme="minorHAnsi"/>
        </w:rPr>
        <w:fldChar w:fldCharType="begin"/>
      </w:r>
      <w:r>
        <w:rPr>
          <w:rFonts w:cstheme="minorHAnsi"/>
        </w:rPr>
        <w:instrText xml:space="preserve"> REF _Ref87515413 \h </w:instrText>
      </w:r>
      <w:r>
        <w:rPr>
          <w:rFonts w:cstheme="minorHAnsi"/>
        </w:rPr>
      </w:r>
      <w:r>
        <w:rPr>
          <w:rFonts w:cstheme="minorHAnsi"/>
        </w:rPr>
        <w:fldChar w:fldCharType="separate"/>
      </w:r>
      <w:r w:rsidR="008B5583">
        <w:t xml:space="preserve">Figure </w:t>
      </w:r>
      <w:r w:rsidR="008B5583">
        <w:rPr>
          <w:noProof/>
        </w:rPr>
        <w:t>18</w:t>
      </w:r>
      <w:r>
        <w:rPr>
          <w:rFonts w:cstheme="minorHAnsi"/>
        </w:rPr>
        <w:fldChar w:fldCharType="end"/>
      </w:r>
      <w:r>
        <w:rPr>
          <w:rFonts w:cstheme="minorHAnsi"/>
        </w:rPr>
        <w:t xml:space="preserve"> </w:t>
      </w:r>
      <w:r w:rsidR="00BF5EA3" w:rsidRPr="00305D05">
        <w:rPr>
          <w:rFonts w:cstheme="minorHAnsi"/>
        </w:rPr>
        <w:t xml:space="preserve">plots the incremental net benefit of each sensitivity/specificity combination of a </w:t>
      </w:r>
      <w:r w:rsidR="00AA3041">
        <w:rPr>
          <w:rFonts w:cstheme="minorHAnsi"/>
        </w:rPr>
        <w:t>diagnostic indicator (or combination of indicators)</w:t>
      </w:r>
      <w:r w:rsidR="00BF5EA3" w:rsidRPr="00305D05">
        <w:rPr>
          <w:rFonts w:cstheme="minorHAnsi"/>
        </w:rPr>
        <w:t xml:space="preserve"> combined with each serological test, compared to no screening, in adult women. The central estimates are the mean incremental net benefit with the upper and lower confidence intervals represented by the upper and lower lines. </w:t>
      </w:r>
    </w:p>
    <w:p w14:paraId="34E7B2CA" w14:textId="5632851B" w:rsidR="00BF5EA3" w:rsidRPr="00305D05" w:rsidRDefault="00BF5EA3" w:rsidP="00BF5EA3">
      <w:pPr>
        <w:rPr>
          <w:rFonts w:cstheme="minorHAnsi"/>
        </w:rPr>
      </w:pPr>
      <w:r w:rsidRPr="00305D05">
        <w:rPr>
          <w:rFonts w:cstheme="minorHAnsi"/>
        </w:rPr>
        <w:t xml:space="preserve">Results are extremely similar to those in adult </w:t>
      </w:r>
      <w:r>
        <w:rPr>
          <w:rFonts w:cstheme="minorHAnsi"/>
        </w:rPr>
        <w:t>men</w:t>
      </w:r>
      <w:r w:rsidRPr="00305D05">
        <w:rPr>
          <w:rFonts w:cstheme="minorHAnsi"/>
        </w:rPr>
        <w:t xml:space="preserve">. The figure shows that for the serological tests without HLA incremental net benefit at £20,000/QALY is only positive when </w:t>
      </w:r>
      <w:r w:rsidR="006F4B79">
        <w:rPr>
          <w:rFonts w:cstheme="minorHAnsi"/>
        </w:rPr>
        <w:t xml:space="preserve">diagnostic indicator </w:t>
      </w:r>
      <w:r w:rsidRPr="00305D05">
        <w:rPr>
          <w:rFonts w:cstheme="minorHAnsi"/>
        </w:rPr>
        <w:t xml:space="preserve">sensitivity is above 0.9 or both the specificity and sensitivity are above 0.8. For the </w:t>
      </w:r>
      <w:r w:rsidR="006F4B79">
        <w:rPr>
          <w:rFonts w:cstheme="minorHAnsi"/>
        </w:rPr>
        <w:t xml:space="preserve">serological </w:t>
      </w:r>
      <w:r w:rsidRPr="00305D05">
        <w:rPr>
          <w:rFonts w:cstheme="minorHAnsi"/>
        </w:rPr>
        <w:t xml:space="preserve">tests including HLA, incremental net benefit is positive regardless of the accuracy of the </w:t>
      </w:r>
      <w:r w:rsidR="006F4B79">
        <w:rPr>
          <w:rFonts w:cstheme="minorHAnsi"/>
        </w:rPr>
        <w:t>diagnostic indicator</w:t>
      </w:r>
      <w:r>
        <w:rPr>
          <w:rFonts w:cstheme="minorHAnsi"/>
        </w:rPr>
        <w:t xml:space="preserve">. The combinations using only the IgA EMA serological test plus HLA are more cost-effective than strategies using IgA tTG plus HLA and comparable in cost-effectiveness to tests using all of EMA, </w:t>
      </w:r>
      <w:r w:rsidR="007A5D93">
        <w:rPr>
          <w:rFonts w:cstheme="minorHAnsi"/>
        </w:rPr>
        <w:t>t</w:t>
      </w:r>
      <w:r>
        <w:rPr>
          <w:rFonts w:cstheme="minorHAnsi"/>
        </w:rPr>
        <w:t xml:space="preserve">TG and </w:t>
      </w:r>
      <w:r w:rsidR="007A5D93">
        <w:rPr>
          <w:rFonts w:cstheme="minorHAnsi"/>
        </w:rPr>
        <w:t>HLA</w:t>
      </w:r>
      <w:r>
        <w:rPr>
          <w:rFonts w:cstheme="minorHAnsi"/>
        </w:rPr>
        <w:t xml:space="preserve">. </w:t>
      </w:r>
      <w:r w:rsidR="007A5D93">
        <w:rPr>
          <w:rFonts w:cstheme="minorHAnsi"/>
        </w:rPr>
        <w:t>Using</w:t>
      </w:r>
      <w:r>
        <w:rPr>
          <w:rFonts w:cstheme="minorHAnsi"/>
        </w:rPr>
        <w:t xml:space="preserve"> HLA before or after </w:t>
      </w:r>
      <w:r w:rsidR="007A5D93">
        <w:rPr>
          <w:rFonts w:cstheme="minorHAnsi"/>
        </w:rPr>
        <w:t xml:space="preserve">EMA </w:t>
      </w:r>
      <w:r w:rsidR="00A564C5">
        <w:rPr>
          <w:rFonts w:cstheme="minorHAnsi"/>
        </w:rPr>
        <w:t xml:space="preserve">or tTG plus EMA </w:t>
      </w:r>
      <w:r>
        <w:rPr>
          <w:rFonts w:cstheme="minorHAnsi"/>
        </w:rPr>
        <w:t>does not affect cost-effectiveness</w:t>
      </w:r>
      <w:r w:rsidR="007A5D93">
        <w:rPr>
          <w:rFonts w:cstheme="minorHAnsi"/>
        </w:rPr>
        <w:t xml:space="preserve"> but appears to be most cost-effective if used </w:t>
      </w:r>
      <w:r w:rsidR="00C63A6A">
        <w:rPr>
          <w:rFonts w:cstheme="minorHAnsi"/>
        </w:rPr>
        <w:t>before</w:t>
      </w:r>
      <w:r w:rsidR="007A5D93">
        <w:rPr>
          <w:rFonts w:cstheme="minorHAnsi"/>
        </w:rPr>
        <w:t xml:space="preserve"> IgA tTG</w:t>
      </w:r>
      <w:r w:rsidR="00A564C5">
        <w:rPr>
          <w:rFonts w:cstheme="minorHAnsi"/>
        </w:rPr>
        <w:t xml:space="preserve"> alone</w:t>
      </w:r>
      <w:r>
        <w:rPr>
          <w:rFonts w:cstheme="minorHAnsi"/>
        </w:rPr>
        <w:t xml:space="preserve">. </w:t>
      </w:r>
    </w:p>
    <w:p w14:paraId="508DDBC8" w14:textId="6B293140" w:rsidR="00F437DA" w:rsidRDefault="00A37A94" w:rsidP="00F437DA">
      <w:pPr>
        <w:keepNext/>
      </w:pPr>
      <w:bookmarkStart w:id="302" w:name="_Ref83903280"/>
      <w:r>
        <w:rPr>
          <w:noProof/>
        </w:rPr>
        <w:lastRenderedPageBreak/>
        <w:drawing>
          <wp:inline distT="0" distB="0" distL="0" distR="0" wp14:anchorId="085DF04E" wp14:editId="47E5475B">
            <wp:extent cx="5726430" cy="5071110"/>
            <wp:effectExtent l="0" t="0" r="762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26430" cy="5071110"/>
                    </a:xfrm>
                    <a:prstGeom prst="rect">
                      <a:avLst/>
                    </a:prstGeom>
                    <a:noFill/>
                    <a:ln>
                      <a:noFill/>
                    </a:ln>
                  </pic:spPr>
                </pic:pic>
              </a:graphicData>
            </a:graphic>
          </wp:inline>
        </w:drawing>
      </w:r>
    </w:p>
    <w:p w14:paraId="6F4E09FF" w14:textId="6B765786" w:rsidR="00F437DA" w:rsidRPr="00305D05" w:rsidRDefault="00F437DA" w:rsidP="00F437DA">
      <w:pPr>
        <w:pStyle w:val="Caption"/>
        <w:rPr>
          <w:rFonts w:cstheme="minorHAnsi"/>
        </w:rPr>
      </w:pPr>
      <w:bookmarkStart w:id="303" w:name="_Ref87515413"/>
      <w:bookmarkStart w:id="304" w:name="_Toc99720799"/>
      <w:r>
        <w:t xml:space="preserve">Figure </w:t>
      </w:r>
      <w:r>
        <w:fldChar w:fldCharType="begin"/>
      </w:r>
      <w:r>
        <w:instrText>SEQ Figure \* ARABIC</w:instrText>
      </w:r>
      <w:r>
        <w:fldChar w:fldCharType="separate"/>
      </w:r>
      <w:r w:rsidR="008B5583">
        <w:rPr>
          <w:noProof/>
        </w:rPr>
        <w:t>18</w:t>
      </w:r>
      <w:r>
        <w:fldChar w:fldCharType="end"/>
      </w:r>
      <w:bookmarkEnd w:id="303"/>
      <w:r>
        <w:t xml:space="preserve"> </w:t>
      </w:r>
      <w:r w:rsidRPr="00C14864">
        <w:t>Incremental net benefit at £20,000/QALY compared to no screening at each combination of sensitivity (x-axis) and specificity (line colour) in adult women. Thick lines are mean and narrow lines are 95% CrI.</w:t>
      </w:r>
      <w:bookmarkEnd w:id="304"/>
    </w:p>
    <w:bookmarkEnd w:id="302"/>
    <w:p w14:paraId="1F330D08" w14:textId="77777777" w:rsidR="00BF5EA3" w:rsidRPr="00305D05" w:rsidRDefault="00BF5EA3" w:rsidP="00BF5EA3">
      <w:pPr>
        <w:rPr>
          <w:rFonts w:cstheme="minorHAnsi"/>
        </w:rPr>
      </w:pPr>
    </w:p>
    <w:p w14:paraId="0487C048" w14:textId="39874988" w:rsidR="00BF5EA3" w:rsidRPr="00305D05" w:rsidRDefault="00BF5EA3" w:rsidP="00BF5EA3">
      <w:pPr>
        <w:rPr>
          <w:rFonts w:cstheme="minorHAnsi"/>
        </w:rPr>
      </w:pPr>
      <w:r w:rsidRPr="00305D05">
        <w:rPr>
          <w:rFonts w:cstheme="minorHAnsi"/>
        </w:rPr>
        <w:fldChar w:fldCharType="begin"/>
      </w:r>
      <w:r w:rsidRPr="00305D05">
        <w:rPr>
          <w:rFonts w:cstheme="minorHAnsi"/>
        </w:rPr>
        <w:instrText xml:space="preserve"> REF _Ref83903265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Figure </w:t>
      </w:r>
      <w:r w:rsidR="008B5583">
        <w:rPr>
          <w:rFonts w:cstheme="minorHAnsi"/>
          <w:noProof/>
        </w:rPr>
        <w:t>19</w:t>
      </w:r>
      <w:r w:rsidRPr="00305D05">
        <w:rPr>
          <w:rFonts w:cstheme="minorHAnsi"/>
        </w:rPr>
        <w:fldChar w:fldCharType="end"/>
      </w:r>
      <w:r w:rsidRPr="00305D05">
        <w:rPr>
          <w:rFonts w:cstheme="minorHAnsi"/>
        </w:rPr>
        <w:t xml:space="preserve"> plots the probability that each combination of </w:t>
      </w:r>
      <w:r w:rsidR="006F4B79">
        <w:rPr>
          <w:rFonts w:cstheme="minorHAnsi"/>
        </w:rPr>
        <w:t xml:space="preserve">diagnostic indicator </w:t>
      </w:r>
      <w:r w:rsidRPr="00305D05">
        <w:rPr>
          <w:rFonts w:cstheme="minorHAnsi"/>
        </w:rPr>
        <w:t xml:space="preserve">sensitivity and specificity is cost-effective for each </w:t>
      </w:r>
      <w:r>
        <w:rPr>
          <w:rFonts w:cstheme="minorHAnsi"/>
        </w:rPr>
        <w:t>test combination.</w:t>
      </w:r>
      <w:r w:rsidRPr="00305D05">
        <w:rPr>
          <w:rFonts w:cstheme="minorHAnsi"/>
        </w:rPr>
        <w:t xml:space="preserve"> </w:t>
      </w:r>
      <w:r>
        <w:rPr>
          <w:rFonts w:cstheme="minorHAnsi"/>
        </w:rPr>
        <w:t>Results are again nearly identical to those in adult men.</w:t>
      </w:r>
      <w:r w:rsidRPr="00305D05">
        <w:rPr>
          <w:rFonts w:cstheme="minorHAnsi"/>
        </w:rPr>
        <w:t xml:space="preserve"> The serological tests including HLA have a high probability of being cost-effective regardless of the combination of sensitivity and specificity of the risk test. </w:t>
      </w:r>
      <w:r>
        <w:rPr>
          <w:rFonts w:cstheme="minorHAnsi"/>
        </w:rPr>
        <w:t>Strategies using IgA EMA</w:t>
      </w:r>
      <w:r w:rsidR="00DF7970">
        <w:rPr>
          <w:rFonts w:cstheme="minorHAnsi"/>
        </w:rPr>
        <w:t xml:space="preserve"> or IgA tTG alone</w:t>
      </w:r>
      <w:r>
        <w:rPr>
          <w:rFonts w:cstheme="minorHAnsi"/>
        </w:rPr>
        <w:t xml:space="preserve"> and HLA have similar probability of cost-effectiveness to combinations using</w:t>
      </w:r>
      <w:r w:rsidR="00DF7970">
        <w:rPr>
          <w:rFonts w:cstheme="minorHAnsi"/>
        </w:rPr>
        <w:t xml:space="preserve"> all three of</w:t>
      </w:r>
      <w:r>
        <w:rPr>
          <w:rFonts w:cstheme="minorHAnsi"/>
        </w:rPr>
        <w:t xml:space="preserve"> IgA EMA, HLA and IgA tTG.</w:t>
      </w:r>
    </w:p>
    <w:p w14:paraId="66E82B7F" w14:textId="77777777" w:rsidR="00BF5EA3" w:rsidRPr="00305D05" w:rsidRDefault="00BF5EA3" w:rsidP="00BF5EA3">
      <w:pPr>
        <w:rPr>
          <w:rFonts w:cstheme="minorHAnsi"/>
        </w:rPr>
      </w:pPr>
    </w:p>
    <w:p w14:paraId="7EFB7186" w14:textId="45A06B59" w:rsidR="00BF5EA3" w:rsidRDefault="00624D11" w:rsidP="00BF5EA3">
      <w:pPr>
        <w:rPr>
          <w:rFonts w:cstheme="minorHAnsi"/>
        </w:rPr>
      </w:pPr>
      <w:r>
        <w:rPr>
          <w:rFonts w:cstheme="minorHAnsi"/>
          <w:noProof/>
        </w:rPr>
        <w:lastRenderedPageBreak/>
        <w:drawing>
          <wp:inline distT="0" distB="0" distL="0" distR="0" wp14:anchorId="133A117B" wp14:editId="13AFDC3B">
            <wp:extent cx="5726430" cy="4964430"/>
            <wp:effectExtent l="0" t="0" r="762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26430" cy="4964430"/>
                    </a:xfrm>
                    <a:prstGeom prst="rect">
                      <a:avLst/>
                    </a:prstGeom>
                    <a:noFill/>
                    <a:ln>
                      <a:noFill/>
                    </a:ln>
                  </pic:spPr>
                </pic:pic>
              </a:graphicData>
            </a:graphic>
          </wp:inline>
        </w:drawing>
      </w:r>
    </w:p>
    <w:p w14:paraId="22E4A4B1" w14:textId="196A0B55" w:rsidR="00F437DA" w:rsidRPr="00305D05" w:rsidRDefault="00F437DA" w:rsidP="00F437DA">
      <w:pPr>
        <w:pStyle w:val="Caption"/>
        <w:rPr>
          <w:rFonts w:cstheme="minorHAnsi"/>
        </w:rPr>
      </w:pPr>
      <w:bookmarkStart w:id="305" w:name="_Ref83903265"/>
      <w:bookmarkStart w:id="306" w:name="_Toc99720800"/>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19</w:t>
      </w:r>
      <w:r w:rsidRPr="00305D05">
        <w:rPr>
          <w:rFonts w:cstheme="minorHAnsi"/>
          <w:noProof/>
        </w:rPr>
        <w:fldChar w:fldCharType="end"/>
      </w:r>
      <w:bookmarkEnd w:id="305"/>
      <w:r w:rsidRPr="00305D05">
        <w:rPr>
          <w:rFonts w:cstheme="minorHAnsi"/>
        </w:rPr>
        <w:t xml:space="preserve">. </w:t>
      </w:r>
      <w:r w:rsidRPr="00DF0708">
        <w:rPr>
          <w:rFonts w:cstheme="minorHAnsi"/>
        </w:rPr>
        <w:t xml:space="preserve">Probability cost-effective at £20,000/QALY compared to no screening at each combination of sensitivity (x-axis) and specificity (line colour) in adult </w:t>
      </w:r>
      <w:r>
        <w:rPr>
          <w:rFonts w:cstheme="minorHAnsi"/>
        </w:rPr>
        <w:t>women</w:t>
      </w:r>
      <w:bookmarkEnd w:id="306"/>
      <w:r w:rsidRPr="00DF0708" w:rsidDel="00DF0708">
        <w:rPr>
          <w:rFonts w:cstheme="minorHAnsi"/>
        </w:rPr>
        <w:t xml:space="preserve"> </w:t>
      </w:r>
    </w:p>
    <w:p w14:paraId="1793CA0E" w14:textId="77777777" w:rsidR="00F437DA" w:rsidRPr="00305D05" w:rsidRDefault="00F437DA" w:rsidP="00BF5EA3">
      <w:pPr>
        <w:rPr>
          <w:rFonts w:cstheme="minorHAnsi"/>
        </w:rPr>
      </w:pPr>
    </w:p>
    <w:p w14:paraId="0F3F2EC6" w14:textId="4AD75E8E" w:rsidR="00BF5EA3" w:rsidRPr="00305D05" w:rsidRDefault="00BF5EA3" w:rsidP="00BF5EA3">
      <w:pPr>
        <w:rPr>
          <w:rFonts w:cstheme="minorHAnsi"/>
        </w:rPr>
      </w:pPr>
      <w:r w:rsidRPr="00305D05">
        <w:rPr>
          <w:rFonts w:cstheme="minorHAnsi"/>
        </w:rPr>
        <w:t xml:space="preserve">As in adult men, we select the testing strategies IgA </w:t>
      </w:r>
      <w:r>
        <w:rPr>
          <w:rFonts w:cstheme="minorHAnsi"/>
        </w:rPr>
        <w:t>tTG</w:t>
      </w:r>
      <w:r w:rsidRPr="00305D05">
        <w:rPr>
          <w:rFonts w:cstheme="minorHAnsi"/>
        </w:rPr>
        <w:t xml:space="preserve"> alone</w:t>
      </w:r>
      <w:r w:rsidR="00A33F13">
        <w:rPr>
          <w:rFonts w:cstheme="minorHAnsi"/>
        </w:rPr>
        <w:t xml:space="preserve">, </w:t>
      </w:r>
      <w:r w:rsidRPr="00305D05">
        <w:rPr>
          <w:rFonts w:cstheme="minorHAnsi"/>
        </w:rPr>
        <w:t>IgA EMA plus HLA</w:t>
      </w:r>
      <w:r w:rsidR="00A33F13">
        <w:rPr>
          <w:rFonts w:cstheme="minorHAnsi"/>
        </w:rPr>
        <w:t>, and HLA plus IgA tTG</w:t>
      </w:r>
      <w:r w:rsidRPr="00305D05">
        <w:rPr>
          <w:rFonts w:cstheme="minorHAnsi"/>
        </w:rPr>
        <w:t xml:space="preserve"> to combine with the various risk prediction strategies of </w:t>
      </w:r>
      <w:r w:rsidR="004D61A6">
        <w:rPr>
          <w:rFonts w:cstheme="minorHAnsi"/>
          <w:highlight w:val="yellow"/>
        </w:rPr>
        <w:fldChar w:fldCharType="begin"/>
      </w:r>
      <w:r w:rsidR="004D61A6">
        <w:rPr>
          <w:rFonts w:cstheme="minorHAnsi"/>
          <w:highlight w:val="yellow"/>
        </w:rPr>
        <w:instrText xml:space="preserve"> REF _Ref83908603 \h </w:instrText>
      </w:r>
      <w:r w:rsidR="004D61A6">
        <w:rPr>
          <w:rFonts w:cstheme="minorHAnsi"/>
          <w:highlight w:val="yellow"/>
        </w:rPr>
      </w:r>
      <w:r w:rsidR="004D61A6">
        <w:rPr>
          <w:rFonts w:cstheme="minorHAnsi"/>
          <w:highlight w:val="yellow"/>
        </w:rPr>
        <w:fldChar w:fldCharType="separate"/>
      </w:r>
      <w:r w:rsidR="008B5583" w:rsidRPr="00734942">
        <w:t xml:space="preserve">Table </w:t>
      </w:r>
      <w:r w:rsidR="008B5583">
        <w:rPr>
          <w:noProof/>
        </w:rPr>
        <w:t>5</w:t>
      </w:r>
      <w:r w:rsidR="004D61A6">
        <w:rPr>
          <w:rFonts w:cstheme="minorHAnsi"/>
          <w:highlight w:val="yellow"/>
        </w:rPr>
        <w:fldChar w:fldCharType="end"/>
      </w:r>
      <w:r w:rsidRPr="00305D05">
        <w:rPr>
          <w:rFonts w:cstheme="minorHAnsi"/>
        </w:rPr>
        <w:t xml:space="preserve">. This is again justified as strategies using IgA </w:t>
      </w:r>
      <w:r>
        <w:rPr>
          <w:rFonts w:cstheme="minorHAnsi"/>
        </w:rPr>
        <w:t>t</w:t>
      </w:r>
      <w:r w:rsidRPr="00305D05">
        <w:rPr>
          <w:rFonts w:cstheme="minorHAnsi"/>
        </w:rPr>
        <w:t xml:space="preserve">TG and IgA EMA have similar incremental net benefit and probability of being cost-effective, IgA </w:t>
      </w:r>
      <w:r w:rsidR="00DD115E">
        <w:rPr>
          <w:rFonts w:cstheme="minorHAnsi"/>
        </w:rPr>
        <w:t>t</w:t>
      </w:r>
      <w:r w:rsidR="00DD115E" w:rsidRPr="00305D05">
        <w:rPr>
          <w:rFonts w:cstheme="minorHAnsi"/>
        </w:rPr>
        <w:t xml:space="preserve">TG </w:t>
      </w:r>
      <w:r w:rsidRPr="00305D05">
        <w:rPr>
          <w:rFonts w:cstheme="minorHAnsi"/>
        </w:rPr>
        <w:t xml:space="preserve">plus HLA performs worst among strategies with HLA, there is limited difference between IgA </w:t>
      </w:r>
      <w:r w:rsidR="00DD115E">
        <w:rPr>
          <w:rFonts w:cstheme="minorHAnsi"/>
        </w:rPr>
        <w:t>t</w:t>
      </w:r>
      <w:r w:rsidR="00DD115E" w:rsidRPr="00305D05">
        <w:rPr>
          <w:rFonts w:cstheme="minorHAnsi"/>
        </w:rPr>
        <w:t xml:space="preserve">TG </w:t>
      </w:r>
      <w:r w:rsidRPr="00305D05">
        <w:rPr>
          <w:rFonts w:cstheme="minorHAnsi"/>
        </w:rPr>
        <w:t xml:space="preserve">plus EMA plus HLA and IgA EMA plus HLA (i.e. not employing </w:t>
      </w:r>
      <w:r w:rsidR="00440B6B">
        <w:rPr>
          <w:rFonts w:cstheme="minorHAnsi"/>
        </w:rPr>
        <w:t>t</w:t>
      </w:r>
      <w:r w:rsidR="00440B6B" w:rsidRPr="00305D05">
        <w:rPr>
          <w:rFonts w:cstheme="minorHAnsi"/>
        </w:rPr>
        <w:t>TG</w:t>
      </w:r>
      <w:r w:rsidRPr="00305D05">
        <w:rPr>
          <w:rFonts w:cstheme="minorHAnsi"/>
        </w:rPr>
        <w:t>)</w:t>
      </w:r>
      <w:r w:rsidR="00EF2C85">
        <w:rPr>
          <w:rFonts w:cstheme="minorHAnsi"/>
        </w:rPr>
        <w:t xml:space="preserve">, HLA plus the widely available IgA tTG has similar cost-effectiveness to other strategies. </w:t>
      </w:r>
      <w:r>
        <w:rPr>
          <w:rFonts w:cstheme="minorHAnsi"/>
        </w:rPr>
        <w:t xml:space="preserve">There is also limited difference between strategies applying HLA before or </w:t>
      </w:r>
      <w:r w:rsidR="005A1EDC">
        <w:rPr>
          <w:rFonts w:cstheme="minorHAnsi"/>
        </w:rPr>
        <w:t xml:space="preserve">after serological tests </w:t>
      </w:r>
      <w:r>
        <w:rPr>
          <w:rFonts w:cstheme="minorHAnsi"/>
        </w:rPr>
        <w:t>.</w:t>
      </w:r>
    </w:p>
    <w:p w14:paraId="60DBD945" w14:textId="66003C31" w:rsidR="00D02FC3" w:rsidRDefault="00BF5EA3" w:rsidP="00BF5EA3">
      <w:pPr>
        <w:rPr>
          <w:rFonts w:cstheme="minorHAnsi"/>
        </w:rPr>
      </w:pPr>
      <w:r w:rsidRPr="00305D05">
        <w:rPr>
          <w:rFonts w:cstheme="minorHAnsi"/>
        </w:rPr>
        <w:fldChar w:fldCharType="begin"/>
      </w:r>
      <w:r w:rsidRPr="00305D05">
        <w:rPr>
          <w:rFonts w:cstheme="minorHAnsi"/>
        </w:rPr>
        <w:instrText xml:space="preserve"> REF _Ref83903248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Table </w:t>
      </w:r>
      <w:r w:rsidR="008B5583">
        <w:rPr>
          <w:rFonts w:cstheme="minorHAnsi"/>
          <w:noProof/>
        </w:rPr>
        <w:t>21</w:t>
      </w:r>
      <w:r w:rsidRPr="00305D05">
        <w:rPr>
          <w:rFonts w:cstheme="minorHAnsi"/>
        </w:rPr>
        <w:fldChar w:fldCharType="end"/>
      </w:r>
      <w:r w:rsidRPr="00305D05">
        <w:rPr>
          <w:rFonts w:cstheme="minorHAnsi"/>
        </w:rPr>
        <w:t xml:space="preserve"> shows the estimated costs, quality adjusted life years and incremental net benefit versus no screening for each of these strategies of interest. All combinations, apart from pre-test probabilit</w:t>
      </w:r>
      <w:r>
        <w:rPr>
          <w:rFonts w:cstheme="minorHAnsi"/>
        </w:rPr>
        <w:t xml:space="preserve">ies 1.5% </w:t>
      </w:r>
      <w:r w:rsidRPr="00305D05">
        <w:rPr>
          <w:rFonts w:cstheme="minorHAnsi"/>
        </w:rPr>
        <w:t xml:space="preserve">with IgA </w:t>
      </w:r>
      <w:r>
        <w:rPr>
          <w:rFonts w:cstheme="minorHAnsi"/>
        </w:rPr>
        <w:t>tTG</w:t>
      </w:r>
      <w:r w:rsidRPr="00305D05">
        <w:rPr>
          <w:rFonts w:cstheme="minorHAnsi"/>
        </w:rPr>
        <w:t xml:space="preserve">, have positive incremental net benefit compared to no screening. If using only IgA </w:t>
      </w:r>
      <w:r>
        <w:rPr>
          <w:rFonts w:cstheme="minorHAnsi"/>
        </w:rPr>
        <w:t>tTG</w:t>
      </w:r>
      <w:r w:rsidRPr="00305D05">
        <w:rPr>
          <w:rFonts w:cstheme="minorHAnsi"/>
        </w:rPr>
        <w:t xml:space="preserve"> a pre-test probability of 1% is the most cost-effective strategy (greatest incremental net benefit at £20,000/QALY) with highest costs but also highest QALY</w:t>
      </w:r>
      <w:r w:rsidR="008C6EC8">
        <w:rPr>
          <w:rFonts w:cstheme="minorHAnsi"/>
        </w:rPr>
        <w:t>s</w:t>
      </w:r>
      <w:r w:rsidRPr="00305D05">
        <w:rPr>
          <w:rFonts w:cstheme="minorHAnsi"/>
        </w:rPr>
        <w:t>.</w:t>
      </w:r>
      <w:r w:rsidR="00D02FC3" w:rsidRPr="00D02FC3">
        <w:rPr>
          <w:rFonts w:cstheme="minorHAnsi"/>
        </w:rPr>
        <w:t xml:space="preserve"> </w:t>
      </w:r>
      <w:r w:rsidR="00D02FC3">
        <w:rPr>
          <w:rFonts w:cstheme="minorHAnsi"/>
        </w:rPr>
        <w:t>As in men, the net benefits of all IgA EMA plus HLA and HLA plus IgA tTG strategies are very similar to each other and to IgA tTG with pre-test probability 1%, while the 95% CrI are completely overlapping. This again indicates little difference between the cost-effectiveness of these strategies.</w:t>
      </w:r>
    </w:p>
    <w:p w14:paraId="335A0663" w14:textId="77777777" w:rsidR="00BF5EA3" w:rsidRPr="00305D05" w:rsidRDefault="00BF5EA3" w:rsidP="00BF5EA3">
      <w:pPr>
        <w:rPr>
          <w:rFonts w:cstheme="minorHAnsi"/>
        </w:rPr>
      </w:pPr>
    </w:p>
    <w:p w14:paraId="1FB3C1C8" w14:textId="77777777" w:rsidR="00BF5EA3" w:rsidRPr="00305D05" w:rsidRDefault="00BF5EA3" w:rsidP="00BF5EA3">
      <w:pPr>
        <w:pStyle w:val="Caption"/>
        <w:rPr>
          <w:rFonts w:cstheme="minorHAnsi"/>
        </w:rPr>
        <w:sectPr w:rsidR="00BF5EA3" w:rsidRPr="00305D05" w:rsidSect="00BA0084">
          <w:pgSz w:w="11906" w:h="16838"/>
          <w:pgMar w:top="1440" w:right="1440" w:bottom="1440" w:left="1440" w:header="708" w:footer="708" w:gutter="0"/>
          <w:cols w:space="708"/>
          <w:titlePg/>
          <w:docGrid w:linePitch="360"/>
        </w:sectPr>
      </w:pPr>
    </w:p>
    <w:p w14:paraId="4E1DE9E0" w14:textId="34E29858" w:rsidR="00BF5EA3" w:rsidRPr="00305D05" w:rsidRDefault="00BF5EA3" w:rsidP="00BF5EA3">
      <w:pPr>
        <w:pStyle w:val="Caption"/>
        <w:rPr>
          <w:rFonts w:cstheme="minorHAnsi"/>
        </w:rPr>
      </w:pPr>
      <w:bookmarkStart w:id="307" w:name="_Ref83903248"/>
      <w:bookmarkStart w:id="308" w:name="_Toc99720732"/>
      <w:r w:rsidRPr="00305D05">
        <w:rPr>
          <w:rFonts w:cstheme="minorHAnsi"/>
        </w:rPr>
        <w:lastRenderedPageBreak/>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21</w:t>
      </w:r>
      <w:r w:rsidRPr="00305D05">
        <w:rPr>
          <w:rFonts w:cstheme="minorHAnsi"/>
          <w:noProof/>
        </w:rPr>
        <w:fldChar w:fldCharType="end"/>
      </w:r>
      <w:bookmarkEnd w:id="307"/>
      <w:r w:rsidRPr="00305D05">
        <w:rPr>
          <w:rFonts w:cstheme="minorHAnsi"/>
        </w:rPr>
        <w:t xml:space="preserve"> Costs, QALYs and incremental net benefit at £20,000/QALY associated with strategies of interest in adult women. Mean estimates with 95% confidence intervals.</w:t>
      </w:r>
      <w:bookmarkEnd w:id="308"/>
    </w:p>
    <w:tbl>
      <w:tblPr>
        <w:tblStyle w:val="TableGrid"/>
        <w:tblW w:w="13887" w:type="dxa"/>
        <w:tblLook w:val="04A0" w:firstRow="1" w:lastRow="0" w:firstColumn="1" w:lastColumn="0" w:noHBand="0" w:noVBand="1"/>
      </w:tblPr>
      <w:tblGrid>
        <w:gridCol w:w="1980"/>
        <w:gridCol w:w="1074"/>
        <w:gridCol w:w="1061"/>
        <w:gridCol w:w="1834"/>
        <w:gridCol w:w="2126"/>
        <w:gridCol w:w="2552"/>
        <w:gridCol w:w="3260"/>
      </w:tblGrid>
      <w:tr w:rsidR="006F4B79" w:rsidRPr="004D61A6" w14:paraId="62ADBE45" w14:textId="77777777" w:rsidTr="00E175F9">
        <w:tc>
          <w:tcPr>
            <w:tcW w:w="1980" w:type="dxa"/>
            <w:shd w:val="clear" w:color="auto" w:fill="E7E6E6" w:themeFill="background2"/>
            <w:vAlign w:val="center"/>
          </w:tcPr>
          <w:p w14:paraId="6CA21681" w14:textId="77777777" w:rsidR="006F4B79" w:rsidRPr="004D61A6" w:rsidRDefault="006F4B79" w:rsidP="006F4B79">
            <w:pPr>
              <w:jc w:val="center"/>
              <w:rPr>
                <w:rFonts w:cstheme="minorHAnsi"/>
                <w:b/>
                <w:sz w:val="20"/>
                <w:szCs w:val="20"/>
              </w:rPr>
            </w:pPr>
            <w:r w:rsidRPr="004D61A6">
              <w:rPr>
                <w:rFonts w:cstheme="minorHAnsi"/>
                <w:b/>
                <w:color w:val="000000"/>
                <w:sz w:val="20"/>
                <w:szCs w:val="20"/>
              </w:rPr>
              <w:t>Pre-test probability for blood test</w:t>
            </w:r>
          </w:p>
        </w:tc>
        <w:tc>
          <w:tcPr>
            <w:tcW w:w="0" w:type="auto"/>
            <w:shd w:val="clear" w:color="auto" w:fill="E7E6E6" w:themeFill="background2"/>
            <w:vAlign w:val="center"/>
          </w:tcPr>
          <w:p w14:paraId="3F76476C" w14:textId="5EDB0FDE" w:rsidR="006F4B79" w:rsidRPr="004D61A6" w:rsidRDefault="006F4B79" w:rsidP="006F4B79">
            <w:pPr>
              <w:jc w:val="center"/>
              <w:rPr>
                <w:rFonts w:cstheme="minorHAnsi"/>
                <w:b/>
                <w:color w:val="000000"/>
                <w:sz w:val="20"/>
                <w:szCs w:val="20"/>
              </w:rPr>
            </w:pPr>
            <w:r w:rsidRPr="004D61A6">
              <w:rPr>
                <w:rFonts w:cstheme="minorHAnsi"/>
                <w:b/>
                <w:color w:val="000000"/>
                <w:sz w:val="20"/>
                <w:szCs w:val="20"/>
              </w:rPr>
              <w:t>Sensitivity</w:t>
            </w:r>
          </w:p>
        </w:tc>
        <w:tc>
          <w:tcPr>
            <w:tcW w:w="0" w:type="auto"/>
            <w:shd w:val="clear" w:color="auto" w:fill="E7E6E6" w:themeFill="background2"/>
            <w:vAlign w:val="center"/>
          </w:tcPr>
          <w:p w14:paraId="379EC949" w14:textId="14FCA1D3" w:rsidR="006F4B79" w:rsidRPr="004D61A6" w:rsidRDefault="006F4B79" w:rsidP="006F4B79">
            <w:pPr>
              <w:jc w:val="center"/>
              <w:rPr>
                <w:rFonts w:cstheme="minorHAnsi"/>
                <w:b/>
                <w:color w:val="000000"/>
                <w:sz w:val="20"/>
                <w:szCs w:val="20"/>
              </w:rPr>
            </w:pPr>
            <w:r w:rsidRPr="004D61A6">
              <w:rPr>
                <w:rFonts w:cstheme="minorHAnsi"/>
                <w:b/>
                <w:color w:val="000000"/>
                <w:sz w:val="20"/>
                <w:szCs w:val="20"/>
              </w:rPr>
              <w:t>Specificity</w:t>
            </w:r>
          </w:p>
        </w:tc>
        <w:tc>
          <w:tcPr>
            <w:tcW w:w="1834" w:type="dxa"/>
            <w:shd w:val="clear" w:color="auto" w:fill="E7E6E6" w:themeFill="background2"/>
            <w:vAlign w:val="center"/>
          </w:tcPr>
          <w:p w14:paraId="214654CB" w14:textId="2CB88FED" w:rsidR="006F4B79" w:rsidRPr="004D61A6" w:rsidRDefault="006F4B79" w:rsidP="006F4B79">
            <w:pPr>
              <w:jc w:val="center"/>
              <w:rPr>
                <w:rFonts w:cstheme="minorHAnsi"/>
                <w:b/>
                <w:sz w:val="20"/>
                <w:szCs w:val="20"/>
              </w:rPr>
            </w:pPr>
            <w:r w:rsidRPr="004D61A6">
              <w:rPr>
                <w:rFonts w:cstheme="minorHAnsi"/>
                <w:b/>
                <w:color w:val="000000"/>
                <w:sz w:val="20"/>
                <w:szCs w:val="20"/>
              </w:rPr>
              <w:t>Test</w:t>
            </w:r>
          </w:p>
        </w:tc>
        <w:tc>
          <w:tcPr>
            <w:tcW w:w="2126" w:type="dxa"/>
            <w:shd w:val="clear" w:color="auto" w:fill="E7E6E6" w:themeFill="background2"/>
            <w:vAlign w:val="center"/>
          </w:tcPr>
          <w:p w14:paraId="58DD2B60" w14:textId="1499999E" w:rsidR="006F4B79" w:rsidRPr="004D61A6" w:rsidRDefault="006F4B79" w:rsidP="006F4B79">
            <w:pPr>
              <w:jc w:val="center"/>
              <w:rPr>
                <w:rFonts w:cstheme="minorHAnsi"/>
                <w:b/>
                <w:sz w:val="20"/>
                <w:szCs w:val="20"/>
              </w:rPr>
            </w:pPr>
            <w:r w:rsidRPr="004D61A6">
              <w:rPr>
                <w:rFonts w:cstheme="minorHAnsi"/>
                <w:b/>
                <w:color w:val="000000"/>
                <w:sz w:val="20"/>
                <w:szCs w:val="20"/>
              </w:rPr>
              <w:t>Costs</w:t>
            </w:r>
            <w:r w:rsidR="00570164">
              <w:rPr>
                <w:rFonts w:cstheme="minorHAnsi"/>
                <w:b/>
                <w:color w:val="000000"/>
                <w:sz w:val="20"/>
                <w:szCs w:val="20"/>
              </w:rPr>
              <w:t xml:space="preserve"> (£)</w:t>
            </w:r>
          </w:p>
        </w:tc>
        <w:tc>
          <w:tcPr>
            <w:tcW w:w="2552" w:type="dxa"/>
            <w:shd w:val="clear" w:color="auto" w:fill="E7E6E6" w:themeFill="background2"/>
            <w:vAlign w:val="center"/>
          </w:tcPr>
          <w:p w14:paraId="37D5F078" w14:textId="77777777" w:rsidR="006F4B79" w:rsidRPr="004D61A6" w:rsidRDefault="006F4B79" w:rsidP="006F4B79">
            <w:pPr>
              <w:jc w:val="center"/>
              <w:rPr>
                <w:rFonts w:cstheme="minorHAnsi"/>
                <w:b/>
                <w:sz w:val="20"/>
                <w:szCs w:val="20"/>
              </w:rPr>
            </w:pPr>
            <w:r w:rsidRPr="004D61A6">
              <w:rPr>
                <w:rFonts w:cstheme="minorHAnsi"/>
                <w:b/>
                <w:color w:val="000000"/>
                <w:sz w:val="20"/>
                <w:szCs w:val="20"/>
              </w:rPr>
              <w:t>QALYs</w:t>
            </w:r>
          </w:p>
        </w:tc>
        <w:tc>
          <w:tcPr>
            <w:tcW w:w="3260" w:type="dxa"/>
            <w:shd w:val="clear" w:color="auto" w:fill="E7E6E6" w:themeFill="background2"/>
            <w:vAlign w:val="center"/>
          </w:tcPr>
          <w:p w14:paraId="25770955" w14:textId="77777777" w:rsidR="006F4B79" w:rsidRPr="004D61A6" w:rsidRDefault="006F4B79" w:rsidP="006F4B79">
            <w:pPr>
              <w:jc w:val="center"/>
              <w:rPr>
                <w:rFonts w:cstheme="minorHAnsi"/>
                <w:b/>
                <w:sz w:val="20"/>
                <w:szCs w:val="20"/>
              </w:rPr>
            </w:pPr>
            <w:r w:rsidRPr="004D61A6">
              <w:rPr>
                <w:rFonts w:cstheme="minorHAnsi"/>
                <w:b/>
                <w:color w:val="000000"/>
                <w:sz w:val="20"/>
                <w:szCs w:val="20"/>
              </w:rPr>
              <w:t>Incremental net benefit at £20,000/QALY vs no screening</w:t>
            </w:r>
          </w:p>
        </w:tc>
      </w:tr>
      <w:tr w:rsidR="001B60F9" w:rsidRPr="004D61A6" w14:paraId="73206C98" w14:textId="77777777" w:rsidTr="00760A71">
        <w:tc>
          <w:tcPr>
            <w:tcW w:w="5949" w:type="dxa"/>
            <w:gridSpan w:val="4"/>
            <w:vAlign w:val="center"/>
          </w:tcPr>
          <w:p w14:paraId="67BC594F" w14:textId="53ED67CC" w:rsidR="001B60F9" w:rsidRPr="004D61A6" w:rsidRDefault="001B60F9" w:rsidP="001B60F9">
            <w:pPr>
              <w:jc w:val="center"/>
              <w:rPr>
                <w:rFonts w:cstheme="minorHAnsi"/>
                <w:sz w:val="20"/>
                <w:szCs w:val="20"/>
              </w:rPr>
            </w:pPr>
            <w:r w:rsidRPr="004D61A6">
              <w:rPr>
                <w:rFonts w:cstheme="minorHAnsi"/>
                <w:color w:val="000000"/>
                <w:sz w:val="20"/>
                <w:szCs w:val="20"/>
              </w:rPr>
              <w:t>No screening</w:t>
            </w:r>
          </w:p>
        </w:tc>
        <w:tc>
          <w:tcPr>
            <w:tcW w:w="2126" w:type="dxa"/>
            <w:vAlign w:val="bottom"/>
          </w:tcPr>
          <w:p w14:paraId="4FBEC81E" w14:textId="196E1DBE" w:rsidR="001B60F9" w:rsidRPr="000526F1" w:rsidRDefault="001B60F9" w:rsidP="001B60F9">
            <w:pPr>
              <w:jc w:val="center"/>
              <w:rPr>
                <w:rFonts w:cstheme="minorHAnsi"/>
                <w:color w:val="000000"/>
                <w:sz w:val="20"/>
                <w:szCs w:val="20"/>
              </w:rPr>
            </w:pPr>
            <w:r w:rsidRPr="000526F1">
              <w:rPr>
                <w:rFonts w:cstheme="minorHAnsi"/>
                <w:color w:val="000000"/>
                <w:sz w:val="20"/>
                <w:szCs w:val="20"/>
              </w:rPr>
              <w:t>17673 (14159, 19645)</w:t>
            </w:r>
          </w:p>
        </w:tc>
        <w:tc>
          <w:tcPr>
            <w:tcW w:w="2552" w:type="dxa"/>
            <w:vAlign w:val="bottom"/>
          </w:tcPr>
          <w:p w14:paraId="65100083" w14:textId="3077B38D" w:rsidR="001B60F9" w:rsidRPr="000526F1" w:rsidRDefault="001B60F9" w:rsidP="001B60F9">
            <w:pPr>
              <w:jc w:val="center"/>
              <w:rPr>
                <w:rFonts w:cstheme="minorHAnsi"/>
                <w:color w:val="000000"/>
                <w:sz w:val="20"/>
                <w:szCs w:val="20"/>
              </w:rPr>
            </w:pPr>
            <w:r w:rsidRPr="000526F1">
              <w:rPr>
                <w:rFonts w:cstheme="minorHAnsi"/>
                <w:color w:val="000000"/>
                <w:sz w:val="20"/>
                <w:szCs w:val="20"/>
              </w:rPr>
              <w:t>18.68 (16.72, 19.9)</w:t>
            </w:r>
          </w:p>
        </w:tc>
        <w:tc>
          <w:tcPr>
            <w:tcW w:w="3260" w:type="dxa"/>
            <w:vAlign w:val="bottom"/>
          </w:tcPr>
          <w:p w14:paraId="31F084B9" w14:textId="7B300488" w:rsidR="001B60F9" w:rsidRPr="000526F1" w:rsidRDefault="001B60F9" w:rsidP="001B60F9">
            <w:pPr>
              <w:jc w:val="center"/>
              <w:rPr>
                <w:rFonts w:cstheme="minorHAnsi"/>
                <w:color w:val="000000"/>
                <w:sz w:val="20"/>
                <w:szCs w:val="20"/>
              </w:rPr>
            </w:pPr>
            <w:r w:rsidRPr="000526F1">
              <w:rPr>
                <w:rFonts w:cstheme="minorHAnsi"/>
                <w:color w:val="000000"/>
                <w:sz w:val="20"/>
                <w:szCs w:val="20"/>
              </w:rPr>
              <w:t>0 (0, 0)</w:t>
            </w:r>
          </w:p>
        </w:tc>
      </w:tr>
      <w:tr w:rsidR="001B60F9" w:rsidRPr="004D61A6" w14:paraId="1199B47F" w14:textId="77777777" w:rsidTr="00691F6A">
        <w:tc>
          <w:tcPr>
            <w:tcW w:w="1980" w:type="dxa"/>
            <w:vAlign w:val="center"/>
          </w:tcPr>
          <w:p w14:paraId="3DF2F6AF" w14:textId="77777777" w:rsidR="001B60F9" w:rsidRPr="004D61A6" w:rsidRDefault="001B60F9" w:rsidP="001B60F9">
            <w:pPr>
              <w:jc w:val="center"/>
              <w:rPr>
                <w:rFonts w:cstheme="minorHAnsi"/>
                <w:sz w:val="20"/>
                <w:szCs w:val="20"/>
              </w:rPr>
            </w:pPr>
            <w:r w:rsidRPr="004D61A6">
              <w:rPr>
                <w:rFonts w:cstheme="minorHAnsi"/>
                <w:color w:val="000000"/>
                <w:sz w:val="20"/>
                <w:szCs w:val="20"/>
              </w:rPr>
              <w:t>1%</w:t>
            </w:r>
          </w:p>
        </w:tc>
        <w:tc>
          <w:tcPr>
            <w:tcW w:w="0" w:type="auto"/>
            <w:vAlign w:val="center"/>
          </w:tcPr>
          <w:p w14:paraId="5F05257E" w14:textId="3AD8DDE4"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0" w:type="auto"/>
            <w:vAlign w:val="center"/>
          </w:tcPr>
          <w:p w14:paraId="637C3EBE" w14:textId="2CC53D2F" w:rsidR="001B60F9" w:rsidRPr="004D61A6" w:rsidRDefault="001B60F9" w:rsidP="001B60F9">
            <w:pPr>
              <w:jc w:val="center"/>
              <w:rPr>
                <w:rFonts w:cstheme="minorHAnsi"/>
                <w:color w:val="000000"/>
                <w:sz w:val="20"/>
                <w:szCs w:val="20"/>
              </w:rPr>
            </w:pPr>
            <w:r w:rsidRPr="004D61A6">
              <w:rPr>
                <w:rFonts w:cstheme="minorHAnsi"/>
                <w:color w:val="000000"/>
                <w:sz w:val="20"/>
                <w:szCs w:val="20"/>
              </w:rPr>
              <w:t>0</w:t>
            </w:r>
          </w:p>
        </w:tc>
        <w:tc>
          <w:tcPr>
            <w:tcW w:w="1834" w:type="dxa"/>
            <w:vAlign w:val="center"/>
          </w:tcPr>
          <w:p w14:paraId="2CEE6DF8" w14:textId="3F37E97D" w:rsidR="001B60F9" w:rsidRPr="004D61A6" w:rsidRDefault="001B60F9" w:rsidP="001B60F9">
            <w:pPr>
              <w:jc w:val="center"/>
              <w:rPr>
                <w:rFonts w:cstheme="minorHAnsi"/>
                <w:sz w:val="20"/>
                <w:szCs w:val="20"/>
              </w:rPr>
            </w:pPr>
            <w:r w:rsidRPr="004D61A6">
              <w:rPr>
                <w:rFonts w:cstheme="minorHAnsi"/>
                <w:color w:val="000000"/>
                <w:sz w:val="20"/>
                <w:szCs w:val="20"/>
              </w:rPr>
              <w:t>IgA tTG</w:t>
            </w:r>
          </w:p>
        </w:tc>
        <w:tc>
          <w:tcPr>
            <w:tcW w:w="2126" w:type="dxa"/>
            <w:vAlign w:val="bottom"/>
          </w:tcPr>
          <w:p w14:paraId="5A17D958" w14:textId="7C2ACD37" w:rsidR="001B60F9" w:rsidRPr="000526F1" w:rsidRDefault="001B60F9" w:rsidP="001B60F9">
            <w:pPr>
              <w:jc w:val="center"/>
              <w:rPr>
                <w:rFonts w:cstheme="minorHAnsi"/>
                <w:color w:val="000000"/>
                <w:sz w:val="20"/>
                <w:szCs w:val="20"/>
              </w:rPr>
            </w:pPr>
            <w:r w:rsidRPr="000526F1">
              <w:rPr>
                <w:rFonts w:cstheme="minorHAnsi"/>
                <w:color w:val="000000"/>
                <w:sz w:val="20"/>
                <w:szCs w:val="20"/>
              </w:rPr>
              <w:t>20771 (20469, 21082)</w:t>
            </w:r>
          </w:p>
        </w:tc>
        <w:tc>
          <w:tcPr>
            <w:tcW w:w="2552" w:type="dxa"/>
            <w:vAlign w:val="bottom"/>
          </w:tcPr>
          <w:p w14:paraId="5FF9D943" w14:textId="1FC2FC8D" w:rsidR="001B60F9" w:rsidRPr="000526F1" w:rsidRDefault="001B60F9" w:rsidP="001B60F9">
            <w:pPr>
              <w:jc w:val="center"/>
              <w:rPr>
                <w:rFonts w:cstheme="minorHAnsi"/>
                <w:color w:val="000000"/>
                <w:sz w:val="20"/>
                <w:szCs w:val="20"/>
              </w:rPr>
            </w:pPr>
            <w:r w:rsidRPr="000526F1">
              <w:rPr>
                <w:rFonts w:cstheme="minorHAnsi"/>
                <w:color w:val="000000"/>
                <w:sz w:val="20"/>
                <w:szCs w:val="20"/>
              </w:rPr>
              <w:t>20.05 (19.59, 20.42)</w:t>
            </w:r>
          </w:p>
        </w:tc>
        <w:tc>
          <w:tcPr>
            <w:tcW w:w="3260" w:type="dxa"/>
            <w:vAlign w:val="bottom"/>
          </w:tcPr>
          <w:p w14:paraId="0F10C672" w14:textId="165F7AB4" w:rsidR="001B60F9" w:rsidRPr="000526F1" w:rsidRDefault="001B60F9" w:rsidP="001B60F9">
            <w:pPr>
              <w:jc w:val="center"/>
              <w:rPr>
                <w:rFonts w:cstheme="minorHAnsi"/>
                <w:color w:val="000000"/>
                <w:sz w:val="20"/>
                <w:szCs w:val="20"/>
              </w:rPr>
            </w:pPr>
            <w:r w:rsidRPr="000526F1">
              <w:rPr>
                <w:rFonts w:cstheme="minorHAnsi"/>
                <w:color w:val="000000"/>
                <w:sz w:val="20"/>
                <w:szCs w:val="20"/>
              </w:rPr>
              <w:t>24382 (4829, 59154)</w:t>
            </w:r>
          </w:p>
        </w:tc>
      </w:tr>
      <w:tr w:rsidR="001B60F9" w:rsidRPr="004D61A6" w14:paraId="57AE7049" w14:textId="77777777" w:rsidTr="00691F6A">
        <w:tc>
          <w:tcPr>
            <w:tcW w:w="1980" w:type="dxa"/>
            <w:vAlign w:val="center"/>
          </w:tcPr>
          <w:p w14:paraId="50AE1EA3" w14:textId="77777777" w:rsidR="001B60F9" w:rsidRPr="004D61A6" w:rsidRDefault="001B60F9" w:rsidP="001B60F9">
            <w:pPr>
              <w:jc w:val="center"/>
              <w:rPr>
                <w:rFonts w:cstheme="minorHAnsi"/>
                <w:sz w:val="20"/>
                <w:szCs w:val="20"/>
              </w:rPr>
            </w:pPr>
            <w:r w:rsidRPr="004D61A6">
              <w:rPr>
                <w:rFonts w:cstheme="minorHAnsi"/>
                <w:color w:val="000000"/>
                <w:sz w:val="20"/>
                <w:szCs w:val="20"/>
              </w:rPr>
              <w:t>1.50%</w:t>
            </w:r>
          </w:p>
        </w:tc>
        <w:tc>
          <w:tcPr>
            <w:tcW w:w="0" w:type="auto"/>
            <w:vAlign w:val="center"/>
          </w:tcPr>
          <w:p w14:paraId="2CD37D2C" w14:textId="25C9073F" w:rsidR="001B60F9" w:rsidRPr="004D61A6" w:rsidRDefault="001B60F9" w:rsidP="001B60F9">
            <w:pPr>
              <w:jc w:val="center"/>
              <w:rPr>
                <w:rFonts w:cstheme="minorHAnsi"/>
                <w:color w:val="000000"/>
                <w:sz w:val="20"/>
                <w:szCs w:val="20"/>
              </w:rPr>
            </w:pPr>
            <w:r w:rsidRPr="004D61A6">
              <w:rPr>
                <w:rFonts w:cstheme="minorHAnsi"/>
                <w:color w:val="000000"/>
                <w:sz w:val="20"/>
                <w:szCs w:val="20"/>
              </w:rPr>
              <w:t>0.841</w:t>
            </w:r>
          </w:p>
        </w:tc>
        <w:tc>
          <w:tcPr>
            <w:tcW w:w="0" w:type="auto"/>
            <w:vAlign w:val="center"/>
          </w:tcPr>
          <w:p w14:paraId="4875CDB6" w14:textId="2C27C731" w:rsidR="001B60F9" w:rsidRPr="004D61A6" w:rsidRDefault="001B60F9" w:rsidP="001B60F9">
            <w:pPr>
              <w:jc w:val="center"/>
              <w:rPr>
                <w:rFonts w:cstheme="minorHAnsi"/>
                <w:color w:val="000000"/>
                <w:sz w:val="20"/>
                <w:szCs w:val="20"/>
              </w:rPr>
            </w:pPr>
            <w:r w:rsidRPr="004D61A6">
              <w:rPr>
                <w:rFonts w:cstheme="minorHAnsi"/>
                <w:color w:val="000000"/>
                <w:sz w:val="20"/>
                <w:szCs w:val="20"/>
              </w:rPr>
              <w:t>0.448</w:t>
            </w:r>
          </w:p>
        </w:tc>
        <w:tc>
          <w:tcPr>
            <w:tcW w:w="1834" w:type="dxa"/>
            <w:vAlign w:val="center"/>
          </w:tcPr>
          <w:p w14:paraId="42DA3D63" w14:textId="09FF93BD" w:rsidR="001B60F9" w:rsidRPr="004D61A6" w:rsidRDefault="001B60F9" w:rsidP="001B60F9">
            <w:pPr>
              <w:jc w:val="center"/>
              <w:rPr>
                <w:rFonts w:cstheme="minorHAnsi"/>
                <w:sz w:val="20"/>
                <w:szCs w:val="20"/>
              </w:rPr>
            </w:pPr>
            <w:r w:rsidRPr="004D61A6">
              <w:rPr>
                <w:rFonts w:cstheme="minorHAnsi"/>
                <w:color w:val="000000"/>
                <w:sz w:val="20"/>
                <w:szCs w:val="20"/>
              </w:rPr>
              <w:t>IgA tTG</w:t>
            </w:r>
          </w:p>
        </w:tc>
        <w:tc>
          <w:tcPr>
            <w:tcW w:w="2126" w:type="dxa"/>
            <w:vAlign w:val="bottom"/>
          </w:tcPr>
          <w:p w14:paraId="31295914" w14:textId="67F2F7D2" w:rsidR="001B60F9" w:rsidRPr="000526F1" w:rsidRDefault="001B60F9" w:rsidP="001B60F9">
            <w:pPr>
              <w:jc w:val="center"/>
              <w:rPr>
                <w:rFonts w:cstheme="minorHAnsi"/>
                <w:color w:val="000000"/>
                <w:sz w:val="20"/>
                <w:szCs w:val="20"/>
              </w:rPr>
            </w:pPr>
            <w:r w:rsidRPr="000526F1">
              <w:rPr>
                <w:rFonts w:cstheme="minorHAnsi"/>
                <w:color w:val="000000"/>
                <w:sz w:val="20"/>
                <w:szCs w:val="20"/>
              </w:rPr>
              <w:t>18585 (15184, 20501)</w:t>
            </w:r>
          </w:p>
        </w:tc>
        <w:tc>
          <w:tcPr>
            <w:tcW w:w="2552" w:type="dxa"/>
            <w:vAlign w:val="bottom"/>
          </w:tcPr>
          <w:p w14:paraId="1A4B1F92" w14:textId="6F1A2879" w:rsidR="001B60F9" w:rsidRPr="000526F1" w:rsidRDefault="001B60F9" w:rsidP="001B60F9">
            <w:pPr>
              <w:jc w:val="center"/>
              <w:rPr>
                <w:rFonts w:cstheme="minorHAnsi"/>
                <w:color w:val="000000"/>
                <w:sz w:val="20"/>
                <w:szCs w:val="20"/>
              </w:rPr>
            </w:pPr>
            <w:r w:rsidRPr="000526F1">
              <w:rPr>
                <w:rFonts w:cstheme="minorHAnsi"/>
                <w:color w:val="000000"/>
                <w:sz w:val="20"/>
                <w:szCs w:val="20"/>
              </w:rPr>
              <w:t>18.72 (16.84, 19.91)</w:t>
            </w:r>
          </w:p>
        </w:tc>
        <w:tc>
          <w:tcPr>
            <w:tcW w:w="3260" w:type="dxa"/>
            <w:vAlign w:val="bottom"/>
          </w:tcPr>
          <w:p w14:paraId="4F06EC92" w14:textId="598FAD74" w:rsidR="001B60F9" w:rsidRPr="000526F1" w:rsidRDefault="001B60F9" w:rsidP="001B60F9">
            <w:pPr>
              <w:jc w:val="center"/>
              <w:rPr>
                <w:rFonts w:cstheme="minorHAnsi"/>
                <w:color w:val="000000"/>
                <w:sz w:val="20"/>
                <w:szCs w:val="20"/>
              </w:rPr>
            </w:pPr>
            <w:r w:rsidRPr="000526F1">
              <w:rPr>
                <w:rFonts w:cstheme="minorHAnsi"/>
                <w:color w:val="000000"/>
                <w:sz w:val="20"/>
                <w:szCs w:val="20"/>
              </w:rPr>
              <w:t>-27 (-716, 1197)</w:t>
            </w:r>
          </w:p>
        </w:tc>
      </w:tr>
      <w:tr w:rsidR="001B60F9" w:rsidRPr="004D61A6" w14:paraId="7A5B61B7" w14:textId="77777777" w:rsidTr="00691F6A">
        <w:tc>
          <w:tcPr>
            <w:tcW w:w="1980" w:type="dxa"/>
            <w:vAlign w:val="center"/>
          </w:tcPr>
          <w:p w14:paraId="5A1672CA" w14:textId="77777777" w:rsidR="001B60F9" w:rsidRPr="004D61A6" w:rsidRDefault="001B60F9" w:rsidP="001B60F9">
            <w:pPr>
              <w:jc w:val="center"/>
              <w:rPr>
                <w:rFonts w:cstheme="minorHAnsi"/>
                <w:sz w:val="20"/>
                <w:szCs w:val="20"/>
              </w:rPr>
            </w:pPr>
            <w:r w:rsidRPr="004D61A6">
              <w:rPr>
                <w:rFonts w:cstheme="minorHAnsi"/>
                <w:color w:val="000000"/>
                <w:sz w:val="20"/>
                <w:szCs w:val="20"/>
              </w:rPr>
              <w:t>2%</w:t>
            </w:r>
          </w:p>
        </w:tc>
        <w:tc>
          <w:tcPr>
            <w:tcW w:w="0" w:type="auto"/>
            <w:vAlign w:val="center"/>
          </w:tcPr>
          <w:p w14:paraId="3783A063" w14:textId="0D116B56" w:rsidR="001B60F9" w:rsidRPr="004D61A6" w:rsidRDefault="001B60F9" w:rsidP="001B60F9">
            <w:pPr>
              <w:jc w:val="center"/>
              <w:rPr>
                <w:rFonts w:cstheme="minorHAnsi"/>
                <w:color w:val="000000"/>
                <w:sz w:val="20"/>
                <w:szCs w:val="20"/>
              </w:rPr>
            </w:pPr>
            <w:r w:rsidRPr="004D61A6">
              <w:rPr>
                <w:rFonts w:cstheme="minorHAnsi"/>
                <w:color w:val="000000"/>
                <w:sz w:val="20"/>
                <w:szCs w:val="20"/>
              </w:rPr>
              <w:t>0.758</w:t>
            </w:r>
          </w:p>
        </w:tc>
        <w:tc>
          <w:tcPr>
            <w:tcW w:w="0" w:type="auto"/>
            <w:vAlign w:val="center"/>
          </w:tcPr>
          <w:p w14:paraId="4FACC1B7" w14:textId="704F6F1F" w:rsidR="001B60F9" w:rsidRPr="004D61A6" w:rsidRDefault="001B60F9" w:rsidP="001B60F9">
            <w:pPr>
              <w:jc w:val="center"/>
              <w:rPr>
                <w:rFonts w:cstheme="minorHAnsi"/>
                <w:color w:val="000000"/>
                <w:sz w:val="20"/>
                <w:szCs w:val="20"/>
              </w:rPr>
            </w:pPr>
            <w:r w:rsidRPr="004D61A6">
              <w:rPr>
                <w:rFonts w:cstheme="minorHAnsi"/>
                <w:color w:val="000000"/>
                <w:sz w:val="20"/>
                <w:szCs w:val="20"/>
              </w:rPr>
              <w:t>0.628</w:t>
            </w:r>
          </w:p>
        </w:tc>
        <w:tc>
          <w:tcPr>
            <w:tcW w:w="1834" w:type="dxa"/>
            <w:vAlign w:val="center"/>
          </w:tcPr>
          <w:p w14:paraId="2A3E9A28" w14:textId="522D863C" w:rsidR="001B60F9" w:rsidRPr="004D61A6" w:rsidRDefault="001B60F9" w:rsidP="001B60F9">
            <w:pPr>
              <w:jc w:val="center"/>
              <w:rPr>
                <w:rFonts w:cstheme="minorHAnsi"/>
                <w:sz w:val="20"/>
                <w:szCs w:val="20"/>
              </w:rPr>
            </w:pPr>
            <w:r w:rsidRPr="004D61A6">
              <w:rPr>
                <w:rFonts w:cstheme="minorHAnsi"/>
                <w:color w:val="000000"/>
                <w:sz w:val="20"/>
                <w:szCs w:val="20"/>
              </w:rPr>
              <w:t>IgA tTG</w:t>
            </w:r>
          </w:p>
        </w:tc>
        <w:tc>
          <w:tcPr>
            <w:tcW w:w="2126" w:type="dxa"/>
            <w:vAlign w:val="bottom"/>
          </w:tcPr>
          <w:p w14:paraId="33F43F8A" w14:textId="77FE32F3" w:rsidR="001B60F9" w:rsidRPr="000526F1" w:rsidRDefault="001B60F9" w:rsidP="001B60F9">
            <w:pPr>
              <w:jc w:val="center"/>
              <w:rPr>
                <w:rFonts w:cstheme="minorHAnsi"/>
                <w:color w:val="000000"/>
                <w:sz w:val="20"/>
                <w:szCs w:val="20"/>
              </w:rPr>
            </w:pPr>
            <w:r w:rsidRPr="000526F1">
              <w:rPr>
                <w:rFonts w:cstheme="minorHAnsi"/>
                <w:color w:val="000000"/>
                <w:sz w:val="20"/>
                <w:szCs w:val="20"/>
              </w:rPr>
              <w:t>18500 (15118, 20407)</w:t>
            </w:r>
          </w:p>
        </w:tc>
        <w:tc>
          <w:tcPr>
            <w:tcW w:w="2552" w:type="dxa"/>
            <w:vAlign w:val="bottom"/>
          </w:tcPr>
          <w:p w14:paraId="3C3666A0" w14:textId="6DF57F1F" w:rsidR="001B60F9" w:rsidRPr="000526F1" w:rsidRDefault="001B60F9" w:rsidP="001B60F9">
            <w:pPr>
              <w:jc w:val="center"/>
              <w:rPr>
                <w:rFonts w:cstheme="minorHAnsi"/>
                <w:color w:val="000000"/>
                <w:sz w:val="20"/>
                <w:szCs w:val="20"/>
              </w:rPr>
            </w:pPr>
            <w:r w:rsidRPr="000526F1">
              <w:rPr>
                <w:rFonts w:cstheme="minorHAnsi"/>
                <w:color w:val="000000"/>
                <w:sz w:val="20"/>
                <w:szCs w:val="20"/>
              </w:rPr>
              <w:t>18.73 (16.86, 19.91)</w:t>
            </w:r>
          </w:p>
        </w:tc>
        <w:tc>
          <w:tcPr>
            <w:tcW w:w="3260" w:type="dxa"/>
            <w:vAlign w:val="bottom"/>
          </w:tcPr>
          <w:p w14:paraId="0E0BEBA2" w14:textId="7E1AC95C" w:rsidR="001B60F9" w:rsidRPr="000526F1" w:rsidRDefault="001B60F9" w:rsidP="001B60F9">
            <w:pPr>
              <w:jc w:val="center"/>
              <w:rPr>
                <w:rFonts w:cstheme="minorHAnsi"/>
                <w:color w:val="000000"/>
                <w:sz w:val="20"/>
                <w:szCs w:val="20"/>
              </w:rPr>
            </w:pPr>
            <w:r w:rsidRPr="000526F1">
              <w:rPr>
                <w:rFonts w:cstheme="minorHAnsi"/>
                <w:color w:val="000000"/>
                <w:sz w:val="20"/>
                <w:szCs w:val="20"/>
              </w:rPr>
              <w:t>228 (-575, 1660)</w:t>
            </w:r>
          </w:p>
        </w:tc>
      </w:tr>
      <w:tr w:rsidR="001B60F9" w:rsidRPr="004D61A6" w14:paraId="4DE1BBCA" w14:textId="77777777" w:rsidTr="00691F6A">
        <w:tc>
          <w:tcPr>
            <w:tcW w:w="1980" w:type="dxa"/>
            <w:vAlign w:val="center"/>
          </w:tcPr>
          <w:p w14:paraId="1EC0AEB5" w14:textId="77777777" w:rsidR="001B60F9" w:rsidRPr="004D61A6" w:rsidRDefault="001B60F9" w:rsidP="001B60F9">
            <w:pPr>
              <w:jc w:val="center"/>
              <w:rPr>
                <w:rFonts w:cstheme="minorHAnsi"/>
                <w:sz w:val="20"/>
                <w:szCs w:val="20"/>
              </w:rPr>
            </w:pPr>
            <w:r w:rsidRPr="004D61A6">
              <w:rPr>
                <w:rFonts w:cstheme="minorHAnsi"/>
                <w:color w:val="000000"/>
                <w:sz w:val="20"/>
                <w:szCs w:val="20"/>
              </w:rPr>
              <w:t>5%</w:t>
            </w:r>
          </w:p>
        </w:tc>
        <w:tc>
          <w:tcPr>
            <w:tcW w:w="0" w:type="auto"/>
            <w:vAlign w:val="center"/>
          </w:tcPr>
          <w:p w14:paraId="06A7AE83" w14:textId="3266F0E6" w:rsidR="001B60F9" w:rsidRPr="004D61A6" w:rsidRDefault="001B60F9" w:rsidP="001B60F9">
            <w:pPr>
              <w:jc w:val="center"/>
              <w:rPr>
                <w:rFonts w:cstheme="minorHAnsi"/>
                <w:color w:val="000000"/>
                <w:sz w:val="20"/>
                <w:szCs w:val="20"/>
              </w:rPr>
            </w:pPr>
            <w:r w:rsidRPr="004D61A6">
              <w:rPr>
                <w:rFonts w:cstheme="minorHAnsi"/>
                <w:color w:val="000000"/>
                <w:sz w:val="20"/>
                <w:szCs w:val="20"/>
              </w:rPr>
              <w:t>0.387</w:t>
            </w:r>
          </w:p>
        </w:tc>
        <w:tc>
          <w:tcPr>
            <w:tcW w:w="0" w:type="auto"/>
            <w:vAlign w:val="center"/>
          </w:tcPr>
          <w:p w14:paraId="69DE7C4D" w14:textId="32346C1E" w:rsidR="001B60F9" w:rsidRPr="004D61A6" w:rsidRDefault="001B60F9" w:rsidP="001B60F9">
            <w:pPr>
              <w:jc w:val="center"/>
              <w:rPr>
                <w:rFonts w:cstheme="minorHAnsi"/>
                <w:color w:val="000000"/>
                <w:sz w:val="20"/>
                <w:szCs w:val="20"/>
              </w:rPr>
            </w:pPr>
            <w:r w:rsidRPr="004D61A6">
              <w:rPr>
                <w:rFonts w:cstheme="minorHAnsi"/>
                <w:color w:val="000000"/>
                <w:sz w:val="20"/>
                <w:szCs w:val="20"/>
              </w:rPr>
              <w:t>0.926</w:t>
            </w:r>
          </w:p>
        </w:tc>
        <w:tc>
          <w:tcPr>
            <w:tcW w:w="1834" w:type="dxa"/>
            <w:vAlign w:val="center"/>
          </w:tcPr>
          <w:p w14:paraId="60FB07BB" w14:textId="69A55480" w:rsidR="001B60F9" w:rsidRPr="004D61A6" w:rsidRDefault="001B60F9" w:rsidP="001B60F9">
            <w:pPr>
              <w:jc w:val="center"/>
              <w:rPr>
                <w:rFonts w:cstheme="minorHAnsi"/>
                <w:sz w:val="20"/>
                <w:szCs w:val="20"/>
              </w:rPr>
            </w:pPr>
            <w:r w:rsidRPr="004D61A6">
              <w:rPr>
                <w:rFonts w:cstheme="minorHAnsi"/>
                <w:color w:val="000000"/>
                <w:sz w:val="20"/>
                <w:szCs w:val="20"/>
              </w:rPr>
              <w:t>IgA tTG</w:t>
            </w:r>
          </w:p>
        </w:tc>
        <w:tc>
          <w:tcPr>
            <w:tcW w:w="2126" w:type="dxa"/>
            <w:vAlign w:val="bottom"/>
          </w:tcPr>
          <w:p w14:paraId="77F53DB2" w14:textId="64ABCD6C" w:rsidR="001B60F9" w:rsidRPr="000526F1" w:rsidRDefault="001B60F9" w:rsidP="001B60F9">
            <w:pPr>
              <w:jc w:val="center"/>
              <w:rPr>
                <w:rFonts w:cstheme="minorHAnsi"/>
                <w:color w:val="000000"/>
                <w:sz w:val="20"/>
                <w:szCs w:val="20"/>
              </w:rPr>
            </w:pPr>
            <w:r w:rsidRPr="000526F1">
              <w:rPr>
                <w:rFonts w:cstheme="minorHAnsi"/>
                <w:color w:val="000000"/>
                <w:sz w:val="20"/>
                <w:szCs w:val="20"/>
              </w:rPr>
              <w:t>18458 (15268, 20262)</w:t>
            </w:r>
          </w:p>
        </w:tc>
        <w:tc>
          <w:tcPr>
            <w:tcW w:w="2552" w:type="dxa"/>
            <w:vAlign w:val="bottom"/>
          </w:tcPr>
          <w:p w14:paraId="164CC17D" w14:textId="2DF4A3F1" w:rsidR="001B60F9" w:rsidRPr="000526F1" w:rsidRDefault="001B60F9" w:rsidP="001B60F9">
            <w:pPr>
              <w:jc w:val="center"/>
              <w:rPr>
                <w:rFonts w:cstheme="minorHAnsi"/>
                <w:color w:val="000000"/>
                <w:sz w:val="20"/>
                <w:szCs w:val="20"/>
              </w:rPr>
            </w:pPr>
            <w:r w:rsidRPr="000526F1">
              <w:rPr>
                <w:rFonts w:cstheme="minorHAnsi"/>
                <w:color w:val="000000"/>
                <w:sz w:val="20"/>
                <w:szCs w:val="20"/>
              </w:rPr>
              <w:t>18.81 (17.05, 19.93)</w:t>
            </w:r>
          </w:p>
        </w:tc>
        <w:tc>
          <w:tcPr>
            <w:tcW w:w="3260" w:type="dxa"/>
            <w:vAlign w:val="bottom"/>
          </w:tcPr>
          <w:p w14:paraId="19A79A93" w14:textId="0E56AB60" w:rsidR="001B60F9" w:rsidRPr="000526F1" w:rsidRDefault="001B60F9" w:rsidP="001B60F9">
            <w:pPr>
              <w:jc w:val="center"/>
              <w:rPr>
                <w:rFonts w:cstheme="minorHAnsi"/>
                <w:color w:val="000000"/>
                <w:sz w:val="20"/>
                <w:szCs w:val="20"/>
              </w:rPr>
            </w:pPr>
            <w:r w:rsidRPr="000526F1">
              <w:rPr>
                <w:rFonts w:cstheme="minorHAnsi"/>
                <w:color w:val="000000"/>
                <w:sz w:val="20"/>
                <w:szCs w:val="20"/>
              </w:rPr>
              <w:t>1880 (-63, 5360)</w:t>
            </w:r>
          </w:p>
        </w:tc>
      </w:tr>
      <w:tr w:rsidR="001B60F9" w:rsidRPr="004D61A6" w14:paraId="1C45F7C6" w14:textId="77777777" w:rsidTr="00691F6A">
        <w:tc>
          <w:tcPr>
            <w:tcW w:w="1980" w:type="dxa"/>
            <w:vAlign w:val="center"/>
          </w:tcPr>
          <w:p w14:paraId="67EE0BAC" w14:textId="77777777" w:rsidR="001B60F9" w:rsidRPr="004D61A6" w:rsidRDefault="001B60F9" w:rsidP="001B60F9">
            <w:pPr>
              <w:jc w:val="center"/>
              <w:rPr>
                <w:rFonts w:cstheme="minorHAnsi"/>
                <w:sz w:val="20"/>
                <w:szCs w:val="20"/>
              </w:rPr>
            </w:pPr>
            <w:r w:rsidRPr="004D61A6">
              <w:rPr>
                <w:rFonts w:cstheme="minorHAnsi"/>
                <w:color w:val="000000"/>
                <w:sz w:val="20"/>
                <w:szCs w:val="20"/>
              </w:rPr>
              <w:t>10%</w:t>
            </w:r>
          </w:p>
        </w:tc>
        <w:tc>
          <w:tcPr>
            <w:tcW w:w="0" w:type="auto"/>
            <w:vAlign w:val="center"/>
          </w:tcPr>
          <w:p w14:paraId="01D1F2F7" w14:textId="20247618" w:rsidR="001B60F9" w:rsidRPr="004D61A6" w:rsidRDefault="001B60F9" w:rsidP="001B60F9">
            <w:pPr>
              <w:jc w:val="center"/>
              <w:rPr>
                <w:rFonts w:cstheme="minorHAnsi"/>
                <w:color w:val="000000"/>
                <w:sz w:val="20"/>
                <w:szCs w:val="20"/>
              </w:rPr>
            </w:pPr>
            <w:r w:rsidRPr="004D61A6">
              <w:rPr>
                <w:rFonts w:cstheme="minorHAnsi"/>
                <w:color w:val="000000"/>
                <w:sz w:val="20"/>
                <w:szCs w:val="20"/>
              </w:rPr>
              <w:t>0.107</w:t>
            </w:r>
          </w:p>
        </w:tc>
        <w:tc>
          <w:tcPr>
            <w:tcW w:w="0" w:type="auto"/>
            <w:vAlign w:val="center"/>
          </w:tcPr>
          <w:p w14:paraId="6E62930B" w14:textId="31D33D3A" w:rsidR="001B60F9" w:rsidRPr="004D61A6" w:rsidRDefault="001B60F9" w:rsidP="001B60F9">
            <w:pPr>
              <w:jc w:val="center"/>
              <w:rPr>
                <w:rFonts w:cstheme="minorHAnsi"/>
                <w:color w:val="000000"/>
                <w:sz w:val="20"/>
                <w:szCs w:val="20"/>
              </w:rPr>
            </w:pPr>
            <w:r w:rsidRPr="004D61A6">
              <w:rPr>
                <w:rFonts w:cstheme="minorHAnsi"/>
                <w:color w:val="000000"/>
                <w:sz w:val="20"/>
                <w:szCs w:val="20"/>
              </w:rPr>
              <w:t>0.99</w:t>
            </w:r>
          </w:p>
        </w:tc>
        <w:tc>
          <w:tcPr>
            <w:tcW w:w="1834" w:type="dxa"/>
            <w:vAlign w:val="center"/>
          </w:tcPr>
          <w:p w14:paraId="3242B6C7" w14:textId="257482FD" w:rsidR="001B60F9" w:rsidRPr="004D61A6" w:rsidRDefault="001B60F9" w:rsidP="001B60F9">
            <w:pPr>
              <w:jc w:val="center"/>
              <w:rPr>
                <w:rFonts w:cstheme="minorHAnsi"/>
                <w:sz w:val="20"/>
                <w:szCs w:val="20"/>
              </w:rPr>
            </w:pPr>
            <w:r w:rsidRPr="004D61A6">
              <w:rPr>
                <w:rFonts w:cstheme="minorHAnsi"/>
                <w:color w:val="000000"/>
                <w:sz w:val="20"/>
                <w:szCs w:val="20"/>
              </w:rPr>
              <w:t>IgA tTG</w:t>
            </w:r>
          </w:p>
        </w:tc>
        <w:tc>
          <w:tcPr>
            <w:tcW w:w="2126" w:type="dxa"/>
            <w:vAlign w:val="bottom"/>
          </w:tcPr>
          <w:p w14:paraId="1BAA3FB1" w14:textId="2DF939A0" w:rsidR="001B60F9" w:rsidRPr="000526F1" w:rsidRDefault="001B60F9" w:rsidP="001B60F9">
            <w:pPr>
              <w:jc w:val="center"/>
              <w:rPr>
                <w:rFonts w:cstheme="minorHAnsi"/>
                <w:color w:val="000000"/>
                <w:sz w:val="20"/>
                <w:szCs w:val="20"/>
              </w:rPr>
            </w:pPr>
            <w:r w:rsidRPr="000526F1">
              <w:rPr>
                <w:rFonts w:cstheme="minorHAnsi"/>
                <w:color w:val="000000"/>
                <w:sz w:val="20"/>
                <w:szCs w:val="20"/>
              </w:rPr>
              <w:t>18706 (15970, 20247)</w:t>
            </w:r>
          </w:p>
        </w:tc>
        <w:tc>
          <w:tcPr>
            <w:tcW w:w="2552" w:type="dxa"/>
            <w:vAlign w:val="bottom"/>
          </w:tcPr>
          <w:p w14:paraId="6D5A18F4" w14:textId="4D2467FF" w:rsidR="001B60F9" w:rsidRPr="000526F1" w:rsidRDefault="001B60F9" w:rsidP="001B60F9">
            <w:pPr>
              <w:jc w:val="center"/>
              <w:rPr>
                <w:rFonts w:cstheme="minorHAnsi"/>
                <w:color w:val="000000"/>
                <w:sz w:val="20"/>
                <w:szCs w:val="20"/>
              </w:rPr>
            </w:pPr>
            <w:r w:rsidRPr="000526F1">
              <w:rPr>
                <w:rFonts w:cstheme="minorHAnsi"/>
                <w:color w:val="000000"/>
                <w:sz w:val="20"/>
                <w:szCs w:val="20"/>
              </w:rPr>
              <w:t>19 (17.48, 19.98)</w:t>
            </w:r>
          </w:p>
        </w:tc>
        <w:tc>
          <w:tcPr>
            <w:tcW w:w="3260" w:type="dxa"/>
            <w:vAlign w:val="bottom"/>
          </w:tcPr>
          <w:p w14:paraId="347C3690" w14:textId="08B6764F" w:rsidR="001B60F9" w:rsidRPr="000526F1" w:rsidRDefault="001B60F9" w:rsidP="001B60F9">
            <w:pPr>
              <w:jc w:val="center"/>
              <w:rPr>
                <w:rFonts w:cstheme="minorHAnsi"/>
                <w:color w:val="000000"/>
                <w:sz w:val="20"/>
                <w:szCs w:val="20"/>
              </w:rPr>
            </w:pPr>
            <w:r w:rsidRPr="000526F1">
              <w:rPr>
                <w:rFonts w:cstheme="minorHAnsi"/>
                <w:color w:val="000000"/>
                <w:sz w:val="20"/>
                <w:szCs w:val="20"/>
              </w:rPr>
              <w:t>5428 (807, 13728)</w:t>
            </w:r>
          </w:p>
        </w:tc>
      </w:tr>
      <w:tr w:rsidR="001B60F9" w:rsidRPr="004D61A6" w14:paraId="63807838" w14:textId="77777777" w:rsidTr="00691F6A">
        <w:tc>
          <w:tcPr>
            <w:tcW w:w="1980" w:type="dxa"/>
            <w:vAlign w:val="center"/>
          </w:tcPr>
          <w:p w14:paraId="433F2904" w14:textId="77777777" w:rsidR="001B60F9" w:rsidRPr="000526F1" w:rsidRDefault="001B60F9" w:rsidP="001B60F9">
            <w:pPr>
              <w:jc w:val="center"/>
              <w:rPr>
                <w:rFonts w:cstheme="minorHAnsi"/>
                <w:color w:val="000000"/>
                <w:sz w:val="20"/>
                <w:szCs w:val="20"/>
              </w:rPr>
            </w:pPr>
            <w:r w:rsidRPr="004D61A6">
              <w:rPr>
                <w:rFonts w:cstheme="minorHAnsi"/>
                <w:color w:val="000000"/>
                <w:sz w:val="20"/>
                <w:szCs w:val="20"/>
              </w:rPr>
              <w:t>20%</w:t>
            </w:r>
          </w:p>
        </w:tc>
        <w:tc>
          <w:tcPr>
            <w:tcW w:w="0" w:type="auto"/>
            <w:vAlign w:val="center"/>
          </w:tcPr>
          <w:p w14:paraId="008839AA" w14:textId="0FE0B0FE" w:rsidR="001B60F9" w:rsidRPr="004D61A6" w:rsidRDefault="001B60F9" w:rsidP="001B60F9">
            <w:pPr>
              <w:jc w:val="center"/>
              <w:rPr>
                <w:rFonts w:cstheme="minorHAnsi"/>
                <w:color w:val="000000"/>
                <w:sz w:val="20"/>
                <w:szCs w:val="20"/>
              </w:rPr>
            </w:pPr>
            <w:r w:rsidRPr="004D61A6">
              <w:rPr>
                <w:rFonts w:cstheme="minorHAnsi"/>
                <w:color w:val="000000"/>
                <w:sz w:val="20"/>
                <w:szCs w:val="20"/>
              </w:rPr>
              <w:t>0.002</w:t>
            </w:r>
          </w:p>
        </w:tc>
        <w:tc>
          <w:tcPr>
            <w:tcW w:w="0" w:type="auto"/>
            <w:vAlign w:val="center"/>
          </w:tcPr>
          <w:p w14:paraId="0518E815" w14:textId="39F2A85C"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1834" w:type="dxa"/>
            <w:vAlign w:val="center"/>
          </w:tcPr>
          <w:p w14:paraId="6915603B" w14:textId="7AD60B9B" w:rsidR="001B60F9" w:rsidRPr="000526F1" w:rsidRDefault="001B60F9" w:rsidP="001B60F9">
            <w:pPr>
              <w:jc w:val="center"/>
              <w:rPr>
                <w:rFonts w:cstheme="minorHAnsi"/>
                <w:color w:val="000000"/>
                <w:sz w:val="20"/>
                <w:szCs w:val="20"/>
              </w:rPr>
            </w:pPr>
            <w:r w:rsidRPr="004D61A6">
              <w:rPr>
                <w:rFonts w:cstheme="minorHAnsi"/>
                <w:color w:val="000000"/>
                <w:sz w:val="20"/>
                <w:szCs w:val="20"/>
              </w:rPr>
              <w:t>IgA tTG</w:t>
            </w:r>
          </w:p>
        </w:tc>
        <w:tc>
          <w:tcPr>
            <w:tcW w:w="2126" w:type="dxa"/>
            <w:vAlign w:val="bottom"/>
          </w:tcPr>
          <w:p w14:paraId="37FCC2A2" w14:textId="5AE571EA" w:rsidR="001B60F9" w:rsidRPr="000526F1" w:rsidRDefault="001B60F9" w:rsidP="001B60F9">
            <w:pPr>
              <w:jc w:val="center"/>
              <w:rPr>
                <w:rFonts w:cstheme="minorHAnsi"/>
                <w:color w:val="000000"/>
                <w:sz w:val="20"/>
                <w:szCs w:val="20"/>
              </w:rPr>
            </w:pPr>
            <w:r w:rsidRPr="000526F1">
              <w:rPr>
                <w:rFonts w:cstheme="minorHAnsi"/>
                <w:color w:val="000000"/>
                <w:sz w:val="20"/>
                <w:szCs w:val="20"/>
              </w:rPr>
              <w:t>19214 (17329, 20319)</w:t>
            </w:r>
          </w:p>
        </w:tc>
        <w:tc>
          <w:tcPr>
            <w:tcW w:w="2552" w:type="dxa"/>
            <w:vAlign w:val="bottom"/>
          </w:tcPr>
          <w:p w14:paraId="76C39DE9" w14:textId="2C3156FE" w:rsidR="001B60F9" w:rsidRPr="000526F1" w:rsidRDefault="001B60F9" w:rsidP="001B60F9">
            <w:pPr>
              <w:jc w:val="center"/>
              <w:rPr>
                <w:rFonts w:cstheme="minorHAnsi"/>
                <w:color w:val="000000"/>
                <w:sz w:val="20"/>
                <w:szCs w:val="20"/>
              </w:rPr>
            </w:pPr>
            <w:r w:rsidRPr="000526F1">
              <w:rPr>
                <w:rFonts w:cstheme="minorHAnsi"/>
                <w:color w:val="000000"/>
                <w:sz w:val="20"/>
                <w:szCs w:val="20"/>
              </w:rPr>
              <w:t>19.35 (18.28, 20.1)</w:t>
            </w:r>
          </w:p>
        </w:tc>
        <w:tc>
          <w:tcPr>
            <w:tcW w:w="3260" w:type="dxa"/>
            <w:vAlign w:val="bottom"/>
          </w:tcPr>
          <w:p w14:paraId="498DE469" w14:textId="7BE326D6" w:rsidR="001B60F9" w:rsidRPr="000526F1" w:rsidRDefault="001B60F9" w:rsidP="001B60F9">
            <w:pPr>
              <w:jc w:val="center"/>
              <w:rPr>
                <w:rFonts w:cstheme="minorHAnsi"/>
                <w:color w:val="000000"/>
                <w:sz w:val="20"/>
                <w:szCs w:val="20"/>
              </w:rPr>
            </w:pPr>
            <w:r w:rsidRPr="000526F1">
              <w:rPr>
                <w:rFonts w:cstheme="minorHAnsi"/>
                <w:color w:val="000000"/>
                <w:sz w:val="20"/>
                <w:szCs w:val="20"/>
              </w:rPr>
              <w:t>11835 (2322, 28874)</w:t>
            </w:r>
          </w:p>
        </w:tc>
      </w:tr>
      <w:tr w:rsidR="001B60F9" w:rsidRPr="004D61A6" w14:paraId="4CC899A5" w14:textId="77777777" w:rsidTr="00691F6A">
        <w:tc>
          <w:tcPr>
            <w:tcW w:w="1980" w:type="dxa"/>
            <w:vAlign w:val="center"/>
          </w:tcPr>
          <w:p w14:paraId="5290E1A5" w14:textId="77777777" w:rsidR="001B60F9" w:rsidRPr="000526F1" w:rsidRDefault="001B60F9" w:rsidP="001B60F9">
            <w:pPr>
              <w:jc w:val="center"/>
              <w:rPr>
                <w:rFonts w:cstheme="minorHAnsi"/>
                <w:color w:val="000000"/>
                <w:sz w:val="20"/>
                <w:szCs w:val="20"/>
              </w:rPr>
            </w:pPr>
            <w:r w:rsidRPr="004D61A6">
              <w:rPr>
                <w:rFonts w:cstheme="minorHAnsi"/>
                <w:color w:val="000000"/>
                <w:sz w:val="20"/>
                <w:szCs w:val="20"/>
              </w:rPr>
              <w:t>1%</w:t>
            </w:r>
          </w:p>
        </w:tc>
        <w:tc>
          <w:tcPr>
            <w:tcW w:w="0" w:type="auto"/>
            <w:vAlign w:val="center"/>
          </w:tcPr>
          <w:p w14:paraId="6F80520C" w14:textId="2D31B215"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0" w:type="auto"/>
            <w:vAlign w:val="center"/>
          </w:tcPr>
          <w:p w14:paraId="28D88794" w14:textId="66898F3E" w:rsidR="001B60F9" w:rsidRPr="004D61A6" w:rsidRDefault="001B60F9" w:rsidP="001B60F9">
            <w:pPr>
              <w:jc w:val="center"/>
              <w:rPr>
                <w:rFonts w:cstheme="minorHAnsi"/>
                <w:color w:val="000000"/>
                <w:sz w:val="20"/>
                <w:szCs w:val="20"/>
              </w:rPr>
            </w:pPr>
            <w:r w:rsidRPr="004D61A6">
              <w:rPr>
                <w:rFonts w:cstheme="minorHAnsi"/>
                <w:color w:val="000000"/>
                <w:sz w:val="20"/>
                <w:szCs w:val="20"/>
              </w:rPr>
              <w:t>0</w:t>
            </w:r>
          </w:p>
        </w:tc>
        <w:tc>
          <w:tcPr>
            <w:tcW w:w="1834" w:type="dxa"/>
            <w:vAlign w:val="center"/>
          </w:tcPr>
          <w:p w14:paraId="1B2D66F6" w14:textId="2AD604BB" w:rsidR="001B60F9" w:rsidRPr="000526F1"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0A40CB87" w14:textId="5455D468" w:rsidR="001B60F9" w:rsidRPr="000526F1" w:rsidRDefault="001B60F9" w:rsidP="001B60F9">
            <w:pPr>
              <w:jc w:val="center"/>
              <w:rPr>
                <w:rFonts w:cstheme="minorHAnsi"/>
                <w:color w:val="000000"/>
                <w:sz w:val="20"/>
                <w:szCs w:val="20"/>
              </w:rPr>
            </w:pPr>
            <w:r w:rsidRPr="000526F1">
              <w:rPr>
                <w:rFonts w:cstheme="minorHAnsi"/>
                <w:color w:val="000000"/>
                <w:sz w:val="20"/>
                <w:szCs w:val="20"/>
              </w:rPr>
              <w:t>21143 (20863, 21447)</w:t>
            </w:r>
          </w:p>
        </w:tc>
        <w:tc>
          <w:tcPr>
            <w:tcW w:w="2552" w:type="dxa"/>
            <w:vAlign w:val="bottom"/>
          </w:tcPr>
          <w:p w14:paraId="72CCBF33" w14:textId="7BC26C93" w:rsidR="001B60F9" w:rsidRPr="000526F1" w:rsidRDefault="001B60F9" w:rsidP="001B60F9">
            <w:pPr>
              <w:jc w:val="center"/>
              <w:rPr>
                <w:rFonts w:cstheme="minorHAnsi"/>
                <w:color w:val="000000"/>
                <w:sz w:val="20"/>
                <w:szCs w:val="20"/>
              </w:rPr>
            </w:pPr>
            <w:r w:rsidRPr="000526F1">
              <w:rPr>
                <w:rFonts w:cstheme="minorHAnsi"/>
                <w:color w:val="000000"/>
                <w:sz w:val="20"/>
                <w:szCs w:val="20"/>
              </w:rPr>
              <w:t>20.11 (19.62, 20.46)</w:t>
            </w:r>
          </w:p>
        </w:tc>
        <w:tc>
          <w:tcPr>
            <w:tcW w:w="3260" w:type="dxa"/>
            <w:vAlign w:val="bottom"/>
          </w:tcPr>
          <w:p w14:paraId="33CFFA78" w14:textId="6CCC3896" w:rsidR="001B60F9" w:rsidRPr="000526F1" w:rsidRDefault="001B60F9" w:rsidP="001B60F9">
            <w:pPr>
              <w:jc w:val="center"/>
              <w:rPr>
                <w:rFonts w:cstheme="minorHAnsi"/>
                <w:color w:val="000000"/>
                <w:sz w:val="20"/>
                <w:szCs w:val="20"/>
              </w:rPr>
            </w:pPr>
            <w:r w:rsidRPr="000526F1">
              <w:rPr>
                <w:rFonts w:cstheme="minorHAnsi"/>
                <w:color w:val="000000"/>
                <w:sz w:val="20"/>
                <w:szCs w:val="20"/>
              </w:rPr>
              <w:t>25115 (4766, 61286)</w:t>
            </w:r>
          </w:p>
        </w:tc>
      </w:tr>
      <w:tr w:rsidR="001B60F9" w:rsidRPr="004D61A6" w14:paraId="2C9FDEA3" w14:textId="77777777" w:rsidTr="00691F6A">
        <w:tc>
          <w:tcPr>
            <w:tcW w:w="1980" w:type="dxa"/>
            <w:vAlign w:val="center"/>
          </w:tcPr>
          <w:p w14:paraId="46BB36CB" w14:textId="77777777" w:rsidR="001B60F9" w:rsidRPr="000526F1" w:rsidRDefault="001B60F9" w:rsidP="001B60F9">
            <w:pPr>
              <w:jc w:val="center"/>
              <w:rPr>
                <w:rFonts w:cstheme="minorHAnsi"/>
                <w:color w:val="000000"/>
                <w:sz w:val="20"/>
                <w:szCs w:val="20"/>
              </w:rPr>
            </w:pPr>
            <w:r w:rsidRPr="004D61A6">
              <w:rPr>
                <w:rFonts w:cstheme="minorHAnsi"/>
                <w:color w:val="000000"/>
                <w:sz w:val="20"/>
                <w:szCs w:val="20"/>
              </w:rPr>
              <w:t>1.50%</w:t>
            </w:r>
          </w:p>
        </w:tc>
        <w:tc>
          <w:tcPr>
            <w:tcW w:w="0" w:type="auto"/>
            <w:vAlign w:val="center"/>
          </w:tcPr>
          <w:p w14:paraId="0D5F38AB" w14:textId="46491F88" w:rsidR="001B60F9" w:rsidRPr="004D61A6" w:rsidRDefault="001B60F9" w:rsidP="001B60F9">
            <w:pPr>
              <w:jc w:val="center"/>
              <w:rPr>
                <w:rFonts w:cstheme="minorHAnsi"/>
                <w:color w:val="000000"/>
                <w:sz w:val="20"/>
                <w:szCs w:val="20"/>
              </w:rPr>
            </w:pPr>
            <w:r w:rsidRPr="004D61A6">
              <w:rPr>
                <w:rFonts w:cstheme="minorHAnsi"/>
                <w:color w:val="000000"/>
                <w:sz w:val="20"/>
                <w:szCs w:val="20"/>
              </w:rPr>
              <w:t>0.841</w:t>
            </w:r>
          </w:p>
        </w:tc>
        <w:tc>
          <w:tcPr>
            <w:tcW w:w="0" w:type="auto"/>
            <w:vAlign w:val="center"/>
          </w:tcPr>
          <w:p w14:paraId="190DAA67" w14:textId="7E4B6E5B" w:rsidR="001B60F9" w:rsidRPr="004D61A6" w:rsidRDefault="001B60F9" w:rsidP="001B60F9">
            <w:pPr>
              <w:jc w:val="center"/>
              <w:rPr>
                <w:rFonts w:cstheme="minorHAnsi"/>
                <w:color w:val="000000"/>
                <w:sz w:val="20"/>
                <w:szCs w:val="20"/>
              </w:rPr>
            </w:pPr>
            <w:r w:rsidRPr="004D61A6">
              <w:rPr>
                <w:rFonts w:cstheme="minorHAnsi"/>
                <w:color w:val="000000"/>
                <w:sz w:val="20"/>
                <w:szCs w:val="20"/>
              </w:rPr>
              <w:t>0.448</w:t>
            </w:r>
          </w:p>
        </w:tc>
        <w:tc>
          <w:tcPr>
            <w:tcW w:w="1834" w:type="dxa"/>
            <w:vAlign w:val="center"/>
          </w:tcPr>
          <w:p w14:paraId="1731DA26" w14:textId="0B606DC1" w:rsidR="001B60F9" w:rsidRPr="000526F1"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4106640E" w14:textId="71A3D5FD" w:rsidR="001B60F9" w:rsidRPr="000526F1" w:rsidRDefault="001B60F9" w:rsidP="001B60F9">
            <w:pPr>
              <w:jc w:val="center"/>
              <w:rPr>
                <w:rFonts w:cstheme="minorHAnsi"/>
                <w:color w:val="000000"/>
                <w:sz w:val="20"/>
                <w:szCs w:val="20"/>
              </w:rPr>
            </w:pPr>
            <w:r w:rsidRPr="000526F1">
              <w:rPr>
                <w:rFonts w:cstheme="minorHAnsi"/>
                <w:color w:val="000000"/>
                <w:sz w:val="20"/>
                <w:szCs w:val="20"/>
              </w:rPr>
              <w:t>20817 (20522, 21131)</w:t>
            </w:r>
          </w:p>
        </w:tc>
        <w:tc>
          <w:tcPr>
            <w:tcW w:w="2552" w:type="dxa"/>
            <w:vAlign w:val="bottom"/>
          </w:tcPr>
          <w:p w14:paraId="2D39558A" w14:textId="355542B9" w:rsidR="001B60F9" w:rsidRPr="000526F1" w:rsidRDefault="001B60F9" w:rsidP="001B60F9">
            <w:pPr>
              <w:jc w:val="center"/>
              <w:rPr>
                <w:rFonts w:cstheme="minorHAnsi"/>
                <w:color w:val="000000"/>
                <w:sz w:val="20"/>
                <w:szCs w:val="20"/>
              </w:rPr>
            </w:pPr>
            <w:r w:rsidRPr="000526F1">
              <w:rPr>
                <w:rFonts w:cstheme="minorHAnsi"/>
                <w:color w:val="000000"/>
                <w:sz w:val="20"/>
                <w:szCs w:val="20"/>
              </w:rPr>
              <w:t>20.08 (19.6, 20.44)</w:t>
            </w:r>
          </w:p>
        </w:tc>
        <w:tc>
          <w:tcPr>
            <w:tcW w:w="3260" w:type="dxa"/>
            <w:vAlign w:val="bottom"/>
          </w:tcPr>
          <w:p w14:paraId="0B934A8E" w14:textId="22ED77C5" w:rsidR="001B60F9" w:rsidRPr="000526F1" w:rsidRDefault="001B60F9" w:rsidP="001B60F9">
            <w:pPr>
              <w:jc w:val="center"/>
              <w:rPr>
                <w:rFonts w:cstheme="minorHAnsi"/>
                <w:color w:val="000000"/>
                <w:sz w:val="20"/>
                <w:szCs w:val="20"/>
              </w:rPr>
            </w:pPr>
            <w:r w:rsidRPr="000526F1">
              <w:rPr>
                <w:rFonts w:cstheme="minorHAnsi"/>
                <w:color w:val="000000"/>
                <w:sz w:val="20"/>
                <w:szCs w:val="20"/>
              </w:rPr>
              <w:t>24844 (4934, 60463)</w:t>
            </w:r>
          </w:p>
        </w:tc>
      </w:tr>
      <w:tr w:rsidR="001B60F9" w:rsidRPr="004D61A6" w14:paraId="2B49253E" w14:textId="77777777" w:rsidTr="00691F6A">
        <w:tc>
          <w:tcPr>
            <w:tcW w:w="1980" w:type="dxa"/>
            <w:vAlign w:val="center"/>
          </w:tcPr>
          <w:p w14:paraId="0C2CDDC6" w14:textId="77777777" w:rsidR="001B60F9" w:rsidRPr="000526F1" w:rsidRDefault="001B60F9" w:rsidP="001B60F9">
            <w:pPr>
              <w:jc w:val="center"/>
              <w:rPr>
                <w:rFonts w:cstheme="minorHAnsi"/>
                <w:color w:val="000000"/>
                <w:sz w:val="20"/>
                <w:szCs w:val="20"/>
              </w:rPr>
            </w:pPr>
            <w:r w:rsidRPr="004D61A6">
              <w:rPr>
                <w:rFonts w:cstheme="minorHAnsi"/>
                <w:color w:val="000000"/>
                <w:sz w:val="20"/>
                <w:szCs w:val="20"/>
              </w:rPr>
              <w:t>2%</w:t>
            </w:r>
          </w:p>
        </w:tc>
        <w:tc>
          <w:tcPr>
            <w:tcW w:w="0" w:type="auto"/>
            <w:vAlign w:val="center"/>
          </w:tcPr>
          <w:p w14:paraId="421A7FB4" w14:textId="2ED5A3FA" w:rsidR="001B60F9" w:rsidRPr="004D61A6" w:rsidRDefault="001B60F9" w:rsidP="001B60F9">
            <w:pPr>
              <w:jc w:val="center"/>
              <w:rPr>
                <w:rFonts w:cstheme="minorHAnsi"/>
                <w:color w:val="000000"/>
                <w:sz w:val="20"/>
                <w:szCs w:val="20"/>
              </w:rPr>
            </w:pPr>
            <w:r w:rsidRPr="004D61A6">
              <w:rPr>
                <w:rFonts w:cstheme="minorHAnsi"/>
                <w:color w:val="000000"/>
                <w:sz w:val="20"/>
                <w:szCs w:val="20"/>
              </w:rPr>
              <w:t>0.758</w:t>
            </w:r>
          </w:p>
        </w:tc>
        <w:tc>
          <w:tcPr>
            <w:tcW w:w="0" w:type="auto"/>
            <w:vAlign w:val="center"/>
          </w:tcPr>
          <w:p w14:paraId="0DA1FF26" w14:textId="55007EAB" w:rsidR="001B60F9" w:rsidRPr="004D61A6" w:rsidRDefault="001B60F9" w:rsidP="001B60F9">
            <w:pPr>
              <w:jc w:val="center"/>
              <w:rPr>
                <w:rFonts w:cstheme="minorHAnsi"/>
                <w:color w:val="000000"/>
                <w:sz w:val="20"/>
                <w:szCs w:val="20"/>
              </w:rPr>
            </w:pPr>
            <w:r w:rsidRPr="004D61A6">
              <w:rPr>
                <w:rFonts w:cstheme="minorHAnsi"/>
                <w:color w:val="000000"/>
                <w:sz w:val="20"/>
                <w:szCs w:val="20"/>
              </w:rPr>
              <w:t>0.628</w:t>
            </w:r>
          </w:p>
        </w:tc>
        <w:tc>
          <w:tcPr>
            <w:tcW w:w="1834" w:type="dxa"/>
            <w:vAlign w:val="center"/>
          </w:tcPr>
          <w:p w14:paraId="30449E24" w14:textId="67D71A58" w:rsidR="001B60F9" w:rsidRPr="000526F1"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54F6D9DA" w14:textId="0B187BC3" w:rsidR="001B60F9" w:rsidRPr="000526F1" w:rsidRDefault="001B60F9" w:rsidP="001B60F9">
            <w:pPr>
              <w:jc w:val="center"/>
              <w:rPr>
                <w:rFonts w:cstheme="minorHAnsi"/>
                <w:color w:val="000000"/>
                <w:sz w:val="20"/>
                <w:szCs w:val="20"/>
              </w:rPr>
            </w:pPr>
            <w:r w:rsidRPr="000526F1">
              <w:rPr>
                <w:rFonts w:cstheme="minorHAnsi"/>
                <w:color w:val="000000"/>
                <w:sz w:val="20"/>
                <w:szCs w:val="20"/>
              </w:rPr>
              <w:t>20714 (20419, 21030)</w:t>
            </w:r>
          </w:p>
        </w:tc>
        <w:tc>
          <w:tcPr>
            <w:tcW w:w="2552" w:type="dxa"/>
            <w:vAlign w:val="bottom"/>
          </w:tcPr>
          <w:p w14:paraId="1D10620E" w14:textId="4550AE59" w:rsidR="001B60F9" w:rsidRPr="000526F1" w:rsidRDefault="001B60F9" w:rsidP="001B60F9">
            <w:pPr>
              <w:jc w:val="center"/>
              <w:rPr>
                <w:rFonts w:cstheme="minorHAnsi"/>
                <w:color w:val="000000"/>
                <w:sz w:val="20"/>
                <w:szCs w:val="20"/>
              </w:rPr>
            </w:pPr>
            <w:r w:rsidRPr="000526F1">
              <w:rPr>
                <w:rFonts w:cstheme="minorHAnsi"/>
                <w:color w:val="000000"/>
                <w:sz w:val="20"/>
                <w:szCs w:val="20"/>
              </w:rPr>
              <w:t>20.08 (19.6, 20.44)</w:t>
            </w:r>
          </w:p>
        </w:tc>
        <w:tc>
          <w:tcPr>
            <w:tcW w:w="3260" w:type="dxa"/>
            <w:vAlign w:val="bottom"/>
          </w:tcPr>
          <w:p w14:paraId="188E6F1B" w14:textId="433D6340" w:rsidR="001B60F9" w:rsidRPr="000526F1" w:rsidRDefault="001B60F9" w:rsidP="001B60F9">
            <w:pPr>
              <w:jc w:val="center"/>
              <w:rPr>
                <w:rFonts w:cstheme="minorHAnsi"/>
                <w:color w:val="000000"/>
                <w:sz w:val="20"/>
                <w:szCs w:val="20"/>
              </w:rPr>
            </w:pPr>
            <w:r w:rsidRPr="000526F1">
              <w:rPr>
                <w:rFonts w:cstheme="minorHAnsi"/>
                <w:color w:val="000000"/>
                <w:sz w:val="20"/>
                <w:szCs w:val="20"/>
              </w:rPr>
              <w:t>24981 (5033, 60663)</w:t>
            </w:r>
          </w:p>
        </w:tc>
      </w:tr>
      <w:tr w:rsidR="001B60F9" w:rsidRPr="004D61A6" w14:paraId="149CF730" w14:textId="77777777" w:rsidTr="00691F6A">
        <w:tc>
          <w:tcPr>
            <w:tcW w:w="1980" w:type="dxa"/>
            <w:vAlign w:val="center"/>
          </w:tcPr>
          <w:p w14:paraId="30268B79" w14:textId="77777777" w:rsidR="001B60F9" w:rsidRPr="000526F1" w:rsidRDefault="001B60F9" w:rsidP="001B60F9">
            <w:pPr>
              <w:jc w:val="center"/>
              <w:rPr>
                <w:rFonts w:cstheme="minorHAnsi"/>
                <w:color w:val="000000"/>
                <w:sz w:val="20"/>
                <w:szCs w:val="20"/>
              </w:rPr>
            </w:pPr>
            <w:r w:rsidRPr="004D61A6">
              <w:rPr>
                <w:rFonts w:cstheme="minorHAnsi"/>
                <w:color w:val="000000"/>
                <w:sz w:val="20"/>
                <w:szCs w:val="20"/>
              </w:rPr>
              <w:t>5%</w:t>
            </w:r>
          </w:p>
        </w:tc>
        <w:tc>
          <w:tcPr>
            <w:tcW w:w="0" w:type="auto"/>
            <w:vAlign w:val="center"/>
          </w:tcPr>
          <w:p w14:paraId="6D442EC6" w14:textId="0F083F97" w:rsidR="001B60F9" w:rsidRPr="004D61A6" w:rsidRDefault="001B60F9" w:rsidP="001B60F9">
            <w:pPr>
              <w:jc w:val="center"/>
              <w:rPr>
                <w:rFonts w:cstheme="minorHAnsi"/>
                <w:color w:val="000000"/>
                <w:sz w:val="20"/>
                <w:szCs w:val="20"/>
              </w:rPr>
            </w:pPr>
            <w:r w:rsidRPr="004D61A6">
              <w:rPr>
                <w:rFonts w:cstheme="minorHAnsi"/>
                <w:color w:val="000000"/>
                <w:sz w:val="20"/>
                <w:szCs w:val="20"/>
              </w:rPr>
              <w:t>0.387</w:t>
            </w:r>
          </w:p>
        </w:tc>
        <w:tc>
          <w:tcPr>
            <w:tcW w:w="0" w:type="auto"/>
            <w:vAlign w:val="center"/>
          </w:tcPr>
          <w:p w14:paraId="6BC3577D" w14:textId="4A7C32AF" w:rsidR="001B60F9" w:rsidRPr="004D61A6" w:rsidRDefault="001B60F9" w:rsidP="001B60F9">
            <w:pPr>
              <w:jc w:val="center"/>
              <w:rPr>
                <w:rFonts w:cstheme="minorHAnsi"/>
                <w:color w:val="000000"/>
                <w:sz w:val="20"/>
                <w:szCs w:val="20"/>
              </w:rPr>
            </w:pPr>
            <w:r w:rsidRPr="004D61A6">
              <w:rPr>
                <w:rFonts w:cstheme="minorHAnsi"/>
                <w:color w:val="000000"/>
                <w:sz w:val="20"/>
                <w:szCs w:val="20"/>
              </w:rPr>
              <w:t>0.926</w:t>
            </w:r>
          </w:p>
        </w:tc>
        <w:tc>
          <w:tcPr>
            <w:tcW w:w="1834" w:type="dxa"/>
            <w:vAlign w:val="center"/>
          </w:tcPr>
          <w:p w14:paraId="51C17387" w14:textId="61CF6AE1" w:rsidR="001B60F9" w:rsidRPr="000526F1"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1D1D9DEB" w14:textId="25155CB4" w:rsidR="001B60F9" w:rsidRPr="000526F1" w:rsidRDefault="001B60F9" w:rsidP="001B60F9">
            <w:pPr>
              <w:jc w:val="center"/>
              <w:rPr>
                <w:rFonts w:cstheme="minorHAnsi"/>
                <w:color w:val="000000"/>
                <w:sz w:val="20"/>
                <w:szCs w:val="20"/>
              </w:rPr>
            </w:pPr>
            <w:r w:rsidRPr="000526F1">
              <w:rPr>
                <w:rFonts w:cstheme="minorHAnsi"/>
                <w:color w:val="000000"/>
                <w:sz w:val="20"/>
                <w:szCs w:val="20"/>
              </w:rPr>
              <w:t>20598 (20319, 20904)</w:t>
            </w:r>
          </w:p>
        </w:tc>
        <w:tc>
          <w:tcPr>
            <w:tcW w:w="2552" w:type="dxa"/>
            <w:vAlign w:val="bottom"/>
          </w:tcPr>
          <w:p w14:paraId="14400875" w14:textId="3F921FAF" w:rsidR="001B60F9" w:rsidRPr="000526F1" w:rsidRDefault="001B60F9" w:rsidP="001B60F9">
            <w:pPr>
              <w:jc w:val="center"/>
              <w:rPr>
                <w:rFonts w:cstheme="minorHAnsi"/>
                <w:color w:val="000000"/>
                <w:sz w:val="20"/>
                <w:szCs w:val="20"/>
              </w:rPr>
            </w:pPr>
            <w:r w:rsidRPr="000526F1">
              <w:rPr>
                <w:rFonts w:cstheme="minorHAnsi"/>
                <w:color w:val="000000"/>
                <w:sz w:val="20"/>
                <w:szCs w:val="20"/>
              </w:rPr>
              <w:t>20.09 (19.61, 20.44)</w:t>
            </w:r>
          </w:p>
        </w:tc>
        <w:tc>
          <w:tcPr>
            <w:tcW w:w="3260" w:type="dxa"/>
            <w:vAlign w:val="bottom"/>
          </w:tcPr>
          <w:p w14:paraId="779119F0" w14:textId="63D6628D" w:rsidR="001B60F9" w:rsidRPr="000526F1" w:rsidRDefault="001B60F9" w:rsidP="001B60F9">
            <w:pPr>
              <w:jc w:val="center"/>
              <w:rPr>
                <w:rFonts w:cstheme="minorHAnsi"/>
                <w:color w:val="000000"/>
                <w:sz w:val="20"/>
                <w:szCs w:val="20"/>
              </w:rPr>
            </w:pPr>
            <w:r w:rsidRPr="000526F1">
              <w:rPr>
                <w:rFonts w:cstheme="minorHAnsi"/>
                <w:color w:val="000000"/>
                <w:sz w:val="20"/>
                <w:szCs w:val="20"/>
              </w:rPr>
              <w:t>25244 (5118, 61069)</w:t>
            </w:r>
          </w:p>
        </w:tc>
      </w:tr>
      <w:tr w:rsidR="001B60F9" w:rsidRPr="004D61A6" w14:paraId="519C506B" w14:textId="77777777" w:rsidTr="00691F6A">
        <w:tc>
          <w:tcPr>
            <w:tcW w:w="1980" w:type="dxa"/>
            <w:vAlign w:val="center"/>
          </w:tcPr>
          <w:p w14:paraId="64C3AE99" w14:textId="77777777" w:rsidR="001B60F9" w:rsidRPr="004D61A6" w:rsidRDefault="001B60F9" w:rsidP="001B60F9">
            <w:pPr>
              <w:jc w:val="center"/>
              <w:rPr>
                <w:rFonts w:cstheme="minorHAnsi"/>
                <w:color w:val="000000"/>
                <w:sz w:val="20"/>
                <w:szCs w:val="20"/>
              </w:rPr>
            </w:pPr>
            <w:r w:rsidRPr="004D61A6">
              <w:rPr>
                <w:rFonts w:cstheme="minorHAnsi"/>
                <w:color w:val="000000"/>
                <w:sz w:val="20"/>
                <w:szCs w:val="20"/>
              </w:rPr>
              <w:t>10%</w:t>
            </w:r>
          </w:p>
        </w:tc>
        <w:tc>
          <w:tcPr>
            <w:tcW w:w="0" w:type="auto"/>
            <w:vAlign w:val="center"/>
          </w:tcPr>
          <w:p w14:paraId="00EE5E28" w14:textId="19B15192" w:rsidR="001B60F9" w:rsidRPr="004D61A6" w:rsidRDefault="001B60F9" w:rsidP="001B60F9">
            <w:pPr>
              <w:jc w:val="center"/>
              <w:rPr>
                <w:rFonts w:cstheme="minorHAnsi"/>
                <w:color w:val="000000"/>
                <w:sz w:val="20"/>
                <w:szCs w:val="20"/>
              </w:rPr>
            </w:pPr>
            <w:r w:rsidRPr="004D61A6">
              <w:rPr>
                <w:rFonts w:cstheme="minorHAnsi"/>
                <w:color w:val="000000"/>
                <w:sz w:val="20"/>
                <w:szCs w:val="20"/>
              </w:rPr>
              <w:t>0.107</w:t>
            </w:r>
          </w:p>
        </w:tc>
        <w:tc>
          <w:tcPr>
            <w:tcW w:w="0" w:type="auto"/>
            <w:vAlign w:val="center"/>
          </w:tcPr>
          <w:p w14:paraId="539ED156" w14:textId="42931A64" w:rsidR="001B60F9" w:rsidRPr="004D61A6" w:rsidRDefault="001B60F9" w:rsidP="001B60F9">
            <w:pPr>
              <w:jc w:val="center"/>
              <w:rPr>
                <w:rFonts w:cstheme="minorHAnsi"/>
                <w:color w:val="000000"/>
                <w:sz w:val="20"/>
                <w:szCs w:val="20"/>
              </w:rPr>
            </w:pPr>
            <w:r w:rsidRPr="004D61A6">
              <w:rPr>
                <w:rFonts w:cstheme="minorHAnsi"/>
                <w:color w:val="000000"/>
                <w:sz w:val="20"/>
                <w:szCs w:val="20"/>
              </w:rPr>
              <w:t>0.99</w:t>
            </w:r>
          </w:p>
        </w:tc>
        <w:tc>
          <w:tcPr>
            <w:tcW w:w="1834" w:type="dxa"/>
            <w:vAlign w:val="center"/>
          </w:tcPr>
          <w:p w14:paraId="420E0C55" w14:textId="29A3833C" w:rsidR="001B60F9" w:rsidRPr="004D61A6"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0EC5E710" w14:textId="4A8FAA63" w:rsidR="001B60F9" w:rsidRPr="004D61A6" w:rsidRDefault="001B60F9" w:rsidP="001B60F9">
            <w:pPr>
              <w:jc w:val="center"/>
              <w:rPr>
                <w:rFonts w:cstheme="minorHAnsi"/>
                <w:color w:val="000000"/>
                <w:sz w:val="20"/>
                <w:szCs w:val="20"/>
              </w:rPr>
            </w:pPr>
            <w:r w:rsidRPr="000526F1">
              <w:rPr>
                <w:rFonts w:cstheme="minorHAnsi"/>
                <w:color w:val="000000"/>
                <w:sz w:val="20"/>
                <w:szCs w:val="20"/>
              </w:rPr>
              <w:t>20629 (20358, 20927)</w:t>
            </w:r>
          </w:p>
        </w:tc>
        <w:tc>
          <w:tcPr>
            <w:tcW w:w="2552" w:type="dxa"/>
            <w:vAlign w:val="bottom"/>
          </w:tcPr>
          <w:p w14:paraId="593E1260" w14:textId="04887C86" w:rsidR="001B60F9" w:rsidRPr="004D61A6" w:rsidRDefault="001B60F9" w:rsidP="001B60F9">
            <w:pPr>
              <w:jc w:val="center"/>
              <w:rPr>
                <w:rFonts w:cstheme="minorHAnsi"/>
                <w:color w:val="000000"/>
                <w:sz w:val="20"/>
                <w:szCs w:val="20"/>
              </w:rPr>
            </w:pPr>
            <w:r w:rsidRPr="000526F1">
              <w:rPr>
                <w:rFonts w:cstheme="minorHAnsi"/>
                <w:color w:val="000000"/>
                <w:sz w:val="20"/>
                <w:szCs w:val="20"/>
              </w:rPr>
              <w:t>20.09 (19.61, 20.45)</w:t>
            </w:r>
          </w:p>
        </w:tc>
        <w:tc>
          <w:tcPr>
            <w:tcW w:w="3260" w:type="dxa"/>
            <w:vAlign w:val="bottom"/>
          </w:tcPr>
          <w:p w14:paraId="3D53C43E" w14:textId="031DCB05" w:rsidR="001B60F9" w:rsidRPr="004D61A6" w:rsidRDefault="001B60F9" w:rsidP="001B60F9">
            <w:pPr>
              <w:jc w:val="center"/>
              <w:rPr>
                <w:rFonts w:cstheme="minorHAnsi"/>
                <w:color w:val="000000"/>
                <w:sz w:val="20"/>
                <w:szCs w:val="20"/>
              </w:rPr>
            </w:pPr>
            <w:r w:rsidRPr="000526F1">
              <w:rPr>
                <w:rFonts w:cstheme="minorHAnsi"/>
                <w:color w:val="000000"/>
                <w:sz w:val="20"/>
                <w:szCs w:val="20"/>
              </w:rPr>
              <w:t>25259 (5033, 61175)</w:t>
            </w:r>
          </w:p>
        </w:tc>
      </w:tr>
      <w:tr w:rsidR="001B60F9" w:rsidRPr="004D61A6" w14:paraId="5FD1C29E" w14:textId="77777777" w:rsidTr="00691F6A">
        <w:trPr>
          <w:trHeight w:val="34"/>
        </w:trPr>
        <w:tc>
          <w:tcPr>
            <w:tcW w:w="1980" w:type="dxa"/>
            <w:vAlign w:val="center"/>
          </w:tcPr>
          <w:p w14:paraId="74C6072A" w14:textId="77777777" w:rsidR="001B60F9" w:rsidRPr="004D61A6" w:rsidRDefault="001B60F9" w:rsidP="001B60F9">
            <w:pPr>
              <w:jc w:val="center"/>
              <w:rPr>
                <w:rFonts w:cstheme="minorHAnsi"/>
                <w:color w:val="000000"/>
                <w:sz w:val="20"/>
                <w:szCs w:val="20"/>
              </w:rPr>
            </w:pPr>
            <w:r w:rsidRPr="004D61A6">
              <w:rPr>
                <w:rFonts w:cstheme="minorHAnsi"/>
                <w:color w:val="000000"/>
                <w:sz w:val="20"/>
                <w:szCs w:val="20"/>
              </w:rPr>
              <w:t>20%</w:t>
            </w:r>
          </w:p>
        </w:tc>
        <w:tc>
          <w:tcPr>
            <w:tcW w:w="0" w:type="auto"/>
            <w:vAlign w:val="center"/>
          </w:tcPr>
          <w:p w14:paraId="1955DFC4" w14:textId="20684BB1" w:rsidR="001B60F9" w:rsidRPr="004D61A6" w:rsidRDefault="001B60F9" w:rsidP="001B60F9">
            <w:pPr>
              <w:jc w:val="center"/>
              <w:rPr>
                <w:rFonts w:cstheme="minorHAnsi"/>
                <w:color w:val="000000"/>
                <w:sz w:val="20"/>
                <w:szCs w:val="20"/>
              </w:rPr>
            </w:pPr>
            <w:r w:rsidRPr="004D61A6">
              <w:rPr>
                <w:rFonts w:cstheme="minorHAnsi"/>
                <w:color w:val="000000"/>
                <w:sz w:val="20"/>
                <w:szCs w:val="20"/>
              </w:rPr>
              <w:t>0.002</w:t>
            </w:r>
          </w:p>
        </w:tc>
        <w:tc>
          <w:tcPr>
            <w:tcW w:w="0" w:type="auto"/>
            <w:vAlign w:val="center"/>
          </w:tcPr>
          <w:p w14:paraId="0E761336" w14:textId="5C2C8537"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1834" w:type="dxa"/>
            <w:vAlign w:val="center"/>
          </w:tcPr>
          <w:p w14:paraId="6C0DBE7B" w14:textId="0EDEEDCF" w:rsidR="001B60F9" w:rsidRPr="004D61A6" w:rsidRDefault="001B60F9" w:rsidP="001B60F9">
            <w:pPr>
              <w:jc w:val="center"/>
              <w:rPr>
                <w:rFonts w:cstheme="minorHAnsi"/>
                <w:color w:val="000000"/>
                <w:sz w:val="20"/>
                <w:szCs w:val="20"/>
              </w:rPr>
            </w:pPr>
            <w:r w:rsidRPr="004D61A6">
              <w:rPr>
                <w:rFonts w:cstheme="minorHAnsi"/>
                <w:color w:val="000000"/>
                <w:sz w:val="20"/>
                <w:szCs w:val="20"/>
              </w:rPr>
              <w:t>IgA EMA plus HLA</w:t>
            </w:r>
          </w:p>
        </w:tc>
        <w:tc>
          <w:tcPr>
            <w:tcW w:w="2126" w:type="dxa"/>
            <w:vAlign w:val="bottom"/>
          </w:tcPr>
          <w:p w14:paraId="5C25A4C8" w14:textId="290223FC" w:rsidR="001B60F9" w:rsidRPr="004D61A6" w:rsidRDefault="001B60F9" w:rsidP="001B60F9">
            <w:pPr>
              <w:jc w:val="center"/>
              <w:rPr>
                <w:rFonts w:cstheme="minorHAnsi"/>
                <w:color w:val="000000"/>
                <w:sz w:val="20"/>
                <w:szCs w:val="20"/>
              </w:rPr>
            </w:pPr>
            <w:r w:rsidRPr="000526F1">
              <w:rPr>
                <w:rFonts w:cstheme="minorHAnsi"/>
                <w:color w:val="000000"/>
                <w:sz w:val="20"/>
                <w:szCs w:val="20"/>
              </w:rPr>
              <w:t>20683 (20407, 20993)</w:t>
            </w:r>
          </w:p>
        </w:tc>
        <w:tc>
          <w:tcPr>
            <w:tcW w:w="2552" w:type="dxa"/>
            <w:vAlign w:val="bottom"/>
          </w:tcPr>
          <w:p w14:paraId="2B2F630D" w14:textId="522B319F" w:rsidR="001B60F9" w:rsidRPr="004D61A6" w:rsidRDefault="001B60F9" w:rsidP="001B60F9">
            <w:pPr>
              <w:jc w:val="center"/>
              <w:rPr>
                <w:rFonts w:cstheme="minorHAnsi"/>
                <w:color w:val="000000"/>
                <w:sz w:val="20"/>
                <w:szCs w:val="20"/>
              </w:rPr>
            </w:pPr>
            <w:r w:rsidRPr="000526F1">
              <w:rPr>
                <w:rFonts w:cstheme="minorHAnsi"/>
                <w:color w:val="000000"/>
                <w:sz w:val="20"/>
                <w:szCs w:val="20"/>
              </w:rPr>
              <w:t>20.09 (19.61, 20.44)</w:t>
            </w:r>
          </w:p>
        </w:tc>
        <w:tc>
          <w:tcPr>
            <w:tcW w:w="3260" w:type="dxa"/>
            <w:vAlign w:val="bottom"/>
          </w:tcPr>
          <w:p w14:paraId="53F7ADC2" w14:textId="5FD670A2" w:rsidR="001B60F9" w:rsidRPr="004D61A6" w:rsidRDefault="001B60F9" w:rsidP="001B60F9">
            <w:pPr>
              <w:jc w:val="center"/>
              <w:rPr>
                <w:rFonts w:cstheme="minorHAnsi"/>
                <w:color w:val="000000"/>
                <w:sz w:val="20"/>
                <w:szCs w:val="20"/>
              </w:rPr>
            </w:pPr>
            <w:r w:rsidRPr="000526F1">
              <w:rPr>
                <w:rFonts w:cstheme="minorHAnsi"/>
                <w:color w:val="000000"/>
                <w:sz w:val="20"/>
                <w:szCs w:val="20"/>
              </w:rPr>
              <w:t>25210 (4927, 61189)</w:t>
            </w:r>
          </w:p>
        </w:tc>
      </w:tr>
      <w:tr w:rsidR="001B60F9" w:rsidRPr="004D61A6" w14:paraId="460AFFA4" w14:textId="77777777" w:rsidTr="000526F1">
        <w:trPr>
          <w:trHeight w:val="34"/>
        </w:trPr>
        <w:tc>
          <w:tcPr>
            <w:tcW w:w="1980" w:type="dxa"/>
            <w:vAlign w:val="center"/>
          </w:tcPr>
          <w:p w14:paraId="66E2DD2B" w14:textId="45296914"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0" w:type="auto"/>
            <w:vAlign w:val="center"/>
          </w:tcPr>
          <w:p w14:paraId="284BB73B" w14:textId="60B0EAEC"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0" w:type="auto"/>
            <w:vAlign w:val="center"/>
          </w:tcPr>
          <w:p w14:paraId="7BC10887" w14:textId="7E314496" w:rsidR="001B60F9" w:rsidRPr="004D61A6" w:rsidRDefault="001B60F9" w:rsidP="001B60F9">
            <w:pPr>
              <w:jc w:val="center"/>
              <w:rPr>
                <w:rFonts w:cstheme="minorHAnsi"/>
                <w:color w:val="000000"/>
                <w:sz w:val="20"/>
                <w:szCs w:val="20"/>
              </w:rPr>
            </w:pPr>
            <w:r w:rsidRPr="004D61A6">
              <w:rPr>
                <w:rFonts w:cstheme="minorHAnsi"/>
                <w:color w:val="000000"/>
                <w:sz w:val="20"/>
                <w:szCs w:val="20"/>
              </w:rPr>
              <w:t>0</w:t>
            </w:r>
          </w:p>
        </w:tc>
        <w:tc>
          <w:tcPr>
            <w:tcW w:w="1834" w:type="dxa"/>
            <w:vAlign w:val="bottom"/>
          </w:tcPr>
          <w:p w14:paraId="377128CA" w14:textId="40ABD7E2"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0B36B011" w14:textId="19EB86EF" w:rsidR="001B60F9" w:rsidRPr="000526F1" w:rsidRDefault="001B60F9" w:rsidP="001B60F9">
            <w:pPr>
              <w:jc w:val="center"/>
              <w:rPr>
                <w:rFonts w:cstheme="minorHAnsi"/>
                <w:color w:val="000000"/>
                <w:sz w:val="20"/>
                <w:szCs w:val="20"/>
              </w:rPr>
            </w:pPr>
            <w:r w:rsidRPr="000526F1">
              <w:rPr>
                <w:rFonts w:cstheme="minorHAnsi"/>
                <w:color w:val="000000"/>
                <w:sz w:val="20"/>
                <w:szCs w:val="20"/>
              </w:rPr>
              <w:t>21139 (20856, 21442)</w:t>
            </w:r>
          </w:p>
        </w:tc>
        <w:tc>
          <w:tcPr>
            <w:tcW w:w="2552" w:type="dxa"/>
            <w:vAlign w:val="bottom"/>
          </w:tcPr>
          <w:p w14:paraId="4C0D381E" w14:textId="7BA4482D" w:rsidR="001B60F9" w:rsidRPr="000526F1" w:rsidRDefault="001B60F9" w:rsidP="001B60F9">
            <w:pPr>
              <w:jc w:val="center"/>
              <w:rPr>
                <w:rFonts w:cstheme="minorHAnsi"/>
                <w:color w:val="000000"/>
                <w:sz w:val="20"/>
                <w:szCs w:val="20"/>
              </w:rPr>
            </w:pPr>
            <w:r w:rsidRPr="000526F1">
              <w:rPr>
                <w:rFonts w:cstheme="minorHAnsi"/>
                <w:color w:val="000000"/>
                <w:sz w:val="20"/>
                <w:szCs w:val="20"/>
              </w:rPr>
              <w:t>20.11 (19.62, 20.46)</w:t>
            </w:r>
          </w:p>
        </w:tc>
        <w:tc>
          <w:tcPr>
            <w:tcW w:w="3260" w:type="dxa"/>
            <w:vAlign w:val="bottom"/>
          </w:tcPr>
          <w:p w14:paraId="322EBCBA" w14:textId="6871DFE1" w:rsidR="001B60F9" w:rsidRPr="000526F1" w:rsidRDefault="001B60F9" w:rsidP="001B60F9">
            <w:pPr>
              <w:jc w:val="center"/>
              <w:rPr>
                <w:rFonts w:cstheme="minorHAnsi"/>
                <w:color w:val="000000"/>
                <w:sz w:val="20"/>
                <w:szCs w:val="20"/>
              </w:rPr>
            </w:pPr>
            <w:r w:rsidRPr="000526F1">
              <w:rPr>
                <w:rFonts w:cstheme="minorHAnsi"/>
                <w:color w:val="000000"/>
                <w:sz w:val="20"/>
                <w:szCs w:val="20"/>
              </w:rPr>
              <w:t>25114 (4770, 61277)</w:t>
            </w:r>
          </w:p>
        </w:tc>
      </w:tr>
      <w:tr w:rsidR="001B60F9" w:rsidRPr="004D61A6" w14:paraId="16C28C93" w14:textId="77777777" w:rsidTr="000526F1">
        <w:trPr>
          <w:trHeight w:val="34"/>
        </w:trPr>
        <w:tc>
          <w:tcPr>
            <w:tcW w:w="1980" w:type="dxa"/>
            <w:vAlign w:val="center"/>
          </w:tcPr>
          <w:p w14:paraId="4A0BC9C4" w14:textId="43211B10" w:rsidR="001B60F9" w:rsidRPr="004D61A6" w:rsidRDefault="001B60F9" w:rsidP="001B60F9">
            <w:pPr>
              <w:jc w:val="center"/>
              <w:rPr>
                <w:rFonts w:cstheme="minorHAnsi"/>
                <w:color w:val="000000"/>
                <w:sz w:val="20"/>
                <w:szCs w:val="20"/>
              </w:rPr>
            </w:pPr>
            <w:r w:rsidRPr="004D61A6">
              <w:rPr>
                <w:rFonts w:cstheme="minorHAnsi"/>
                <w:color w:val="000000"/>
                <w:sz w:val="20"/>
                <w:szCs w:val="20"/>
              </w:rPr>
              <w:t>1.50%</w:t>
            </w:r>
          </w:p>
        </w:tc>
        <w:tc>
          <w:tcPr>
            <w:tcW w:w="0" w:type="auto"/>
            <w:vAlign w:val="center"/>
          </w:tcPr>
          <w:p w14:paraId="41484097" w14:textId="6818164B" w:rsidR="001B60F9" w:rsidRPr="004D61A6" w:rsidRDefault="001B60F9" w:rsidP="001B60F9">
            <w:pPr>
              <w:jc w:val="center"/>
              <w:rPr>
                <w:rFonts w:cstheme="minorHAnsi"/>
                <w:color w:val="000000"/>
                <w:sz w:val="20"/>
                <w:szCs w:val="20"/>
              </w:rPr>
            </w:pPr>
            <w:r w:rsidRPr="004D61A6">
              <w:rPr>
                <w:rFonts w:cstheme="minorHAnsi"/>
                <w:color w:val="000000"/>
                <w:sz w:val="20"/>
                <w:szCs w:val="20"/>
              </w:rPr>
              <w:t>0.841</w:t>
            </w:r>
          </w:p>
        </w:tc>
        <w:tc>
          <w:tcPr>
            <w:tcW w:w="0" w:type="auto"/>
            <w:vAlign w:val="center"/>
          </w:tcPr>
          <w:p w14:paraId="0BE2B946" w14:textId="7F1C2125" w:rsidR="001B60F9" w:rsidRPr="004D61A6" w:rsidRDefault="001B60F9" w:rsidP="001B60F9">
            <w:pPr>
              <w:jc w:val="center"/>
              <w:rPr>
                <w:rFonts w:cstheme="minorHAnsi"/>
                <w:color w:val="000000"/>
                <w:sz w:val="20"/>
                <w:szCs w:val="20"/>
              </w:rPr>
            </w:pPr>
            <w:r w:rsidRPr="004D61A6">
              <w:rPr>
                <w:rFonts w:cstheme="minorHAnsi"/>
                <w:color w:val="000000"/>
                <w:sz w:val="20"/>
                <w:szCs w:val="20"/>
              </w:rPr>
              <w:t>0.448</w:t>
            </w:r>
          </w:p>
        </w:tc>
        <w:tc>
          <w:tcPr>
            <w:tcW w:w="1834" w:type="dxa"/>
          </w:tcPr>
          <w:p w14:paraId="13EA72CC" w14:textId="1CE0ABA9"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2442B0B6" w14:textId="73A6AC8D" w:rsidR="001B60F9" w:rsidRPr="000526F1" w:rsidRDefault="001B60F9" w:rsidP="001B60F9">
            <w:pPr>
              <w:jc w:val="center"/>
              <w:rPr>
                <w:rFonts w:cstheme="minorHAnsi"/>
                <w:color w:val="000000"/>
                <w:sz w:val="20"/>
                <w:szCs w:val="20"/>
              </w:rPr>
            </w:pPr>
            <w:r w:rsidRPr="000526F1">
              <w:rPr>
                <w:rFonts w:cstheme="minorHAnsi"/>
                <w:color w:val="000000"/>
                <w:sz w:val="20"/>
                <w:szCs w:val="20"/>
              </w:rPr>
              <w:t>20824 (20533, 21138)</w:t>
            </w:r>
          </w:p>
        </w:tc>
        <w:tc>
          <w:tcPr>
            <w:tcW w:w="2552" w:type="dxa"/>
            <w:vAlign w:val="bottom"/>
          </w:tcPr>
          <w:p w14:paraId="2D81FD3A" w14:textId="5C369A0D" w:rsidR="001B60F9" w:rsidRPr="000526F1" w:rsidRDefault="001B60F9" w:rsidP="001B60F9">
            <w:pPr>
              <w:jc w:val="center"/>
              <w:rPr>
                <w:rFonts w:cstheme="minorHAnsi"/>
                <w:color w:val="000000"/>
                <w:sz w:val="20"/>
                <w:szCs w:val="20"/>
              </w:rPr>
            </w:pPr>
            <w:r w:rsidRPr="000526F1">
              <w:rPr>
                <w:rFonts w:cstheme="minorHAnsi"/>
                <w:color w:val="000000"/>
                <w:sz w:val="20"/>
                <w:szCs w:val="20"/>
              </w:rPr>
              <w:t>20.08 (19.61, 20.44)</w:t>
            </w:r>
          </w:p>
        </w:tc>
        <w:tc>
          <w:tcPr>
            <w:tcW w:w="3260" w:type="dxa"/>
            <w:vAlign w:val="bottom"/>
          </w:tcPr>
          <w:p w14:paraId="6EDC5C01" w14:textId="35C0D63D" w:rsidR="001B60F9" w:rsidRPr="000526F1" w:rsidRDefault="001B60F9" w:rsidP="001B60F9">
            <w:pPr>
              <w:jc w:val="center"/>
              <w:rPr>
                <w:rFonts w:cstheme="minorHAnsi"/>
                <w:color w:val="000000"/>
                <w:sz w:val="20"/>
                <w:szCs w:val="20"/>
              </w:rPr>
            </w:pPr>
            <w:r w:rsidRPr="000526F1">
              <w:rPr>
                <w:rFonts w:cstheme="minorHAnsi"/>
                <w:color w:val="000000"/>
                <w:sz w:val="20"/>
                <w:szCs w:val="20"/>
              </w:rPr>
              <w:t>24935 (4951, 60666)</w:t>
            </w:r>
          </w:p>
        </w:tc>
      </w:tr>
      <w:tr w:rsidR="001B60F9" w:rsidRPr="004D61A6" w14:paraId="2EB946D8" w14:textId="77777777" w:rsidTr="000526F1">
        <w:trPr>
          <w:trHeight w:val="34"/>
        </w:trPr>
        <w:tc>
          <w:tcPr>
            <w:tcW w:w="1980" w:type="dxa"/>
            <w:vAlign w:val="center"/>
          </w:tcPr>
          <w:p w14:paraId="2E8B26D3" w14:textId="753089D7" w:rsidR="001B60F9" w:rsidRPr="004D61A6" w:rsidRDefault="001B60F9" w:rsidP="001B60F9">
            <w:pPr>
              <w:jc w:val="center"/>
              <w:rPr>
                <w:rFonts w:cstheme="minorHAnsi"/>
                <w:color w:val="000000"/>
                <w:sz w:val="20"/>
                <w:szCs w:val="20"/>
              </w:rPr>
            </w:pPr>
            <w:r w:rsidRPr="004D61A6">
              <w:rPr>
                <w:rFonts w:cstheme="minorHAnsi"/>
                <w:color w:val="000000"/>
                <w:sz w:val="20"/>
                <w:szCs w:val="20"/>
              </w:rPr>
              <w:t>2%</w:t>
            </w:r>
          </w:p>
        </w:tc>
        <w:tc>
          <w:tcPr>
            <w:tcW w:w="0" w:type="auto"/>
            <w:vAlign w:val="center"/>
          </w:tcPr>
          <w:p w14:paraId="2B5D44B2" w14:textId="6224F19E" w:rsidR="001B60F9" w:rsidRPr="004D61A6" w:rsidRDefault="001B60F9" w:rsidP="001B60F9">
            <w:pPr>
              <w:jc w:val="center"/>
              <w:rPr>
                <w:rFonts w:cstheme="minorHAnsi"/>
                <w:color w:val="000000"/>
                <w:sz w:val="20"/>
                <w:szCs w:val="20"/>
              </w:rPr>
            </w:pPr>
            <w:r w:rsidRPr="004D61A6">
              <w:rPr>
                <w:rFonts w:cstheme="minorHAnsi"/>
                <w:color w:val="000000"/>
                <w:sz w:val="20"/>
                <w:szCs w:val="20"/>
              </w:rPr>
              <w:t>0.758</w:t>
            </w:r>
          </w:p>
        </w:tc>
        <w:tc>
          <w:tcPr>
            <w:tcW w:w="0" w:type="auto"/>
            <w:vAlign w:val="center"/>
          </w:tcPr>
          <w:p w14:paraId="3421248D" w14:textId="3E56259F" w:rsidR="001B60F9" w:rsidRPr="004D61A6" w:rsidRDefault="001B60F9" w:rsidP="001B60F9">
            <w:pPr>
              <w:jc w:val="center"/>
              <w:rPr>
                <w:rFonts w:cstheme="minorHAnsi"/>
                <w:color w:val="000000"/>
                <w:sz w:val="20"/>
                <w:szCs w:val="20"/>
              </w:rPr>
            </w:pPr>
            <w:r w:rsidRPr="004D61A6">
              <w:rPr>
                <w:rFonts w:cstheme="minorHAnsi"/>
                <w:color w:val="000000"/>
                <w:sz w:val="20"/>
                <w:szCs w:val="20"/>
              </w:rPr>
              <w:t>0.628</w:t>
            </w:r>
          </w:p>
        </w:tc>
        <w:tc>
          <w:tcPr>
            <w:tcW w:w="1834" w:type="dxa"/>
          </w:tcPr>
          <w:p w14:paraId="7683FE6D" w14:textId="3DB5801B"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40C48732" w14:textId="41E7C31E" w:rsidR="001B60F9" w:rsidRPr="000526F1" w:rsidRDefault="001B60F9" w:rsidP="001B60F9">
            <w:pPr>
              <w:jc w:val="center"/>
              <w:rPr>
                <w:rFonts w:cstheme="minorHAnsi"/>
                <w:color w:val="000000"/>
                <w:sz w:val="20"/>
                <w:szCs w:val="20"/>
              </w:rPr>
            </w:pPr>
            <w:r w:rsidRPr="000526F1">
              <w:rPr>
                <w:rFonts w:cstheme="minorHAnsi"/>
                <w:color w:val="000000"/>
                <w:sz w:val="20"/>
                <w:szCs w:val="20"/>
              </w:rPr>
              <w:t>20722 (20434, 21030)</w:t>
            </w:r>
          </w:p>
        </w:tc>
        <w:tc>
          <w:tcPr>
            <w:tcW w:w="2552" w:type="dxa"/>
            <w:vAlign w:val="bottom"/>
          </w:tcPr>
          <w:p w14:paraId="4E835CB5" w14:textId="73353162" w:rsidR="001B60F9" w:rsidRPr="000526F1" w:rsidRDefault="001B60F9" w:rsidP="001B60F9">
            <w:pPr>
              <w:jc w:val="center"/>
              <w:rPr>
                <w:rFonts w:cstheme="minorHAnsi"/>
                <w:color w:val="000000"/>
                <w:sz w:val="20"/>
                <w:szCs w:val="20"/>
              </w:rPr>
            </w:pPr>
            <w:r w:rsidRPr="000526F1">
              <w:rPr>
                <w:rFonts w:cstheme="minorHAnsi"/>
                <w:color w:val="000000"/>
                <w:sz w:val="20"/>
                <w:szCs w:val="20"/>
              </w:rPr>
              <w:t>20.08 (19.61, 20.44)</w:t>
            </w:r>
          </w:p>
        </w:tc>
        <w:tc>
          <w:tcPr>
            <w:tcW w:w="3260" w:type="dxa"/>
            <w:vAlign w:val="bottom"/>
          </w:tcPr>
          <w:p w14:paraId="208879E7" w14:textId="5AB4747C" w:rsidR="001B60F9" w:rsidRPr="000526F1" w:rsidRDefault="001B60F9" w:rsidP="001B60F9">
            <w:pPr>
              <w:jc w:val="center"/>
              <w:rPr>
                <w:rFonts w:cstheme="minorHAnsi"/>
                <w:color w:val="000000"/>
                <w:sz w:val="20"/>
                <w:szCs w:val="20"/>
              </w:rPr>
            </w:pPr>
            <w:r w:rsidRPr="000526F1">
              <w:rPr>
                <w:rFonts w:cstheme="minorHAnsi"/>
                <w:color w:val="000000"/>
                <w:sz w:val="20"/>
                <w:szCs w:val="20"/>
              </w:rPr>
              <w:t>25058 (5043, 60805)</w:t>
            </w:r>
          </w:p>
        </w:tc>
      </w:tr>
      <w:tr w:rsidR="001B60F9" w:rsidRPr="004D61A6" w14:paraId="435B9C21" w14:textId="77777777" w:rsidTr="000526F1">
        <w:trPr>
          <w:trHeight w:val="34"/>
        </w:trPr>
        <w:tc>
          <w:tcPr>
            <w:tcW w:w="1980" w:type="dxa"/>
            <w:vAlign w:val="center"/>
          </w:tcPr>
          <w:p w14:paraId="070C36ED" w14:textId="09EE1BD5" w:rsidR="001B60F9" w:rsidRPr="004D61A6" w:rsidRDefault="001B60F9" w:rsidP="001B60F9">
            <w:pPr>
              <w:jc w:val="center"/>
              <w:rPr>
                <w:rFonts w:cstheme="minorHAnsi"/>
                <w:color w:val="000000"/>
                <w:sz w:val="20"/>
                <w:szCs w:val="20"/>
              </w:rPr>
            </w:pPr>
            <w:r w:rsidRPr="004D61A6">
              <w:rPr>
                <w:rFonts w:cstheme="minorHAnsi"/>
                <w:color w:val="000000"/>
                <w:sz w:val="20"/>
                <w:szCs w:val="20"/>
              </w:rPr>
              <w:t>5%</w:t>
            </w:r>
          </w:p>
        </w:tc>
        <w:tc>
          <w:tcPr>
            <w:tcW w:w="0" w:type="auto"/>
            <w:vAlign w:val="center"/>
          </w:tcPr>
          <w:p w14:paraId="7AA3C682" w14:textId="0EAE7068" w:rsidR="001B60F9" w:rsidRPr="004D61A6" w:rsidRDefault="001B60F9" w:rsidP="001B60F9">
            <w:pPr>
              <w:jc w:val="center"/>
              <w:rPr>
                <w:rFonts w:cstheme="minorHAnsi"/>
                <w:color w:val="000000"/>
                <w:sz w:val="20"/>
                <w:szCs w:val="20"/>
              </w:rPr>
            </w:pPr>
            <w:r w:rsidRPr="004D61A6">
              <w:rPr>
                <w:rFonts w:cstheme="minorHAnsi"/>
                <w:color w:val="000000"/>
                <w:sz w:val="20"/>
                <w:szCs w:val="20"/>
              </w:rPr>
              <w:t>0.387</w:t>
            </w:r>
          </w:p>
        </w:tc>
        <w:tc>
          <w:tcPr>
            <w:tcW w:w="0" w:type="auto"/>
            <w:vAlign w:val="center"/>
          </w:tcPr>
          <w:p w14:paraId="78037411" w14:textId="551AF7D5" w:rsidR="001B60F9" w:rsidRPr="004D61A6" w:rsidRDefault="001B60F9" w:rsidP="001B60F9">
            <w:pPr>
              <w:jc w:val="center"/>
              <w:rPr>
                <w:rFonts w:cstheme="minorHAnsi"/>
                <w:color w:val="000000"/>
                <w:sz w:val="20"/>
                <w:szCs w:val="20"/>
              </w:rPr>
            </w:pPr>
            <w:r w:rsidRPr="004D61A6">
              <w:rPr>
                <w:rFonts w:cstheme="minorHAnsi"/>
                <w:color w:val="000000"/>
                <w:sz w:val="20"/>
                <w:szCs w:val="20"/>
              </w:rPr>
              <w:t>0.926</w:t>
            </w:r>
          </w:p>
        </w:tc>
        <w:tc>
          <w:tcPr>
            <w:tcW w:w="1834" w:type="dxa"/>
          </w:tcPr>
          <w:p w14:paraId="3788A058" w14:textId="639EF61D"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0F7C26AA" w14:textId="57E5AADD" w:rsidR="001B60F9" w:rsidRPr="000526F1" w:rsidRDefault="001B60F9" w:rsidP="001B60F9">
            <w:pPr>
              <w:jc w:val="center"/>
              <w:rPr>
                <w:rFonts w:cstheme="minorHAnsi"/>
                <w:color w:val="000000"/>
                <w:sz w:val="20"/>
                <w:szCs w:val="20"/>
              </w:rPr>
            </w:pPr>
            <w:r w:rsidRPr="000526F1">
              <w:rPr>
                <w:rFonts w:cstheme="minorHAnsi"/>
                <w:color w:val="000000"/>
                <w:sz w:val="20"/>
                <w:szCs w:val="20"/>
              </w:rPr>
              <w:t>20607 (20333, 20915)</w:t>
            </w:r>
          </w:p>
        </w:tc>
        <w:tc>
          <w:tcPr>
            <w:tcW w:w="2552" w:type="dxa"/>
            <w:vAlign w:val="bottom"/>
          </w:tcPr>
          <w:p w14:paraId="28E4014E" w14:textId="20D8B6C1" w:rsidR="001B60F9" w:rsidRPr="000526F1" w:rsidRDefault="001B60F9" w:rsidP="001B60F9">
            <w:pPr>
              <w:jc w:val="center"/>
              <w:rPr>
                <w:rFonts w:cstheme="minorHAnsi"/>
                <w:color w:val="000000"/>
                <w:sz w:val="20"/>
                <w:szCs w:val="20"/>
              </w:rPr>
            </w:pPr>
            <w:r w:rsidRPr="000526F1">
              <w:rPr>
                <w:rFonts w:cstheme="minorHAnsi"/>
                <w:color w:val="000000"/>
                <w:sz w:val="20"/>
                <w:szCs w:val="20"/>
              </w:rPr>
              <w:t>20.09 (19.61, 20.45)</w:t>
            </w:r>
          </w:p>
        </w:tc>
        <w:tc>
          <w:tcPr>
            <w:tcW w:w="3260" w:type="dxa"/>
            <w:vAlign w:val="bottom"/>
          </w:tcPr>
          <w:p w14:paraId="4E12D3FE" w14:textId="34E7D51E" w:rsidR="001B60F9" w:rsidRPr="000526F1" w:rsidRDefault="001B60F9" w:rsidP="001B60F9">
            <w:pPr>
              <w:jc w:val="center"/>
              <w:rPr>
                <w:rFonts w:cstheme="minorHAnsi"/>
                <w:color w:val="000000"/>
                <w:sz w:val="20"/>
                <w:szCs w:val="20"/>
              </w:rPr>
            </w:pPr>
            <w:r w:rsidRPr="000526F1">
              <w:rPr>
                <w:rFonts w:cstheme="minorHAnsi"/>
                <w:color w:val="000000"/>
                <w:sz w:val="20"/>
                <w:szCs w:val="20"/>
              </w:rPr>
              <w:t>25268 (5110, 61127)</w:t>
            </w:r>
          </w:p>
        </w:tc>
      </w:tr>
      <w:tr w:rsidR="001B60F9" w:rsidRPr="004D61A6" w14:paraId="2204D840" w14:textId="77777777" w:rsidTr="000526F1">
        <w:trPr>
          <w:trHeight w:val="34"/>
        </w:trPr>
        <w:tc>
          <w:tcPr>
            <w:tcW w:w="1980" w:type="dxa"/>
            <w:vAlign w:val="center"/>
          </w:tcPr>
          <w:p w14:paraId="6348784F" w14:textId="06A28D1C" w:rsidR="001B60F9" w:rsidRPr="004D61A6" w:rsidRDefault="001B60F9" w:rsidP="001B60F9">
            <w:pPr>
              <w:jc w:val="center"/>
              <w:rPr>
                <w:rFonts w:cstheme="minorHAnsi"/>
                <w:color w:val="000000"/>
                <w:sz w:val="20"/>
                <w:szCs w:val="20"/>
              </w:rPr>
            </w:pPr>
            <w:r w:rsidRPr="004D61A6">
              <w:rPr>
                <w:rFonts w:cstheme="minorHAnsi"/>
                <w:color w:val="000000"/>
                <w:sz w:val="20"/>
                <w:szCs w:val="20"/>
              </w:rPr>
              <w:t>10%</w:t>
            </w:r>
          </w:p>
        </w:tc>
        <w:tc>
          <w:tcPr>
            <w:tcW w:w="0" w:type="auto"/>
            <w:vAlign w:val="center"/>
          </w:tcPr>
          <w:p w14:paraId="6E3C6ADA" w14:textId="250C1FC6" w:rsidR="001B60F9" w:rsidRPr="004D61A6" w:rsidRDefault="001B60F9" w:rsidP="001B60F9">
            <w:pPr>
              <w:jc w:val="center"/>
              <w:rPr>
                <w:rFonts w:cstheme="minorHAnsi"/>
                <w:color w:val="000000"/>
                <w:sz w:val="20"/>
                <w:szCs w:val="20"/>
              </w:rPr>
            </w:pPr>
            <w:r w:rsidRPr="004D61A6">
              <w:rPr>
                <w:rFonts w:cstheme="minorHAnsi"/>
                <w:color w:val="000000"/>
                <w:sz w:val="20"/>
                <w:szCs w:val="20"/>
              </w:rPr>
              <w:t>0.107</w:t>
            </w:r>
          </w:p>
        </w:tc>
        <w:tc>
          <w:tcPr>
            <w:tcW w:w="0" w:type="auto"/>
            <w:vAlign w:val="center"/>
          </w:tcPr>
          <w:p w14:paraId="1EDC2C93" w14:textId="5D2BB609" w:rsidR="001B60F9" w:rsidRPr="004D61A6" w:rsidRDefault="001B60F9" w:rsidP="001B60F9">
            <w:pPr>
              <w:jc w:val="center"/>
              <w:rPr>
                <w:rFonts w:cstheme="minorHAnsi"/>
                <w:color w:val="000000"/>
                <w:sz w:val="20"/>
                <w:szCs w:val="20"/>
              </w:rPr>
            </w:pPr>
            <w:r w:rsidRPr="004D61A6">
              <w:rPr>
                <w:rFonts w:cstheme="minorHAnsi"/>
                <w:color w:val="000000"/>
                <w:sz w:val="20"/>
                <w:szCs w:val="20"/>
              </w:rPr>
              <w:t>0.99</w:t>
            </w:r>
          </w:p>
        </w:tc>
        <w:tc>
          <w:tcPr>
            <w:tcW w:w="1834" w:type="dxa"/>
          </w:tcPr>
          <w:p w14:paraId="7FA6D525" w14:textId="20524994"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3E4BF32A" w14:textId="3CE7B2EB" w:rsidR="001B60F9" w:rsidRPr="000526F1" w:rsidRDefault="001B60F9" w:rsidP="001B60F9">
            <w:pPr>
              <w:jc w:val="center"/>
              <w:rPr>
                <w:rFonts w:cstheme="minorHAnsi"/>
                <w:color w:val="000000"/>
                <w:sz w:val="20"/>
                <w:szCs w:val="20"/>
              </w:rPr>
            </w:pPr>
            <w:r w:rsidRPr="000526F1">
              <w:rPr>
                <w:rFonts w:cstheme="minorHAnsi"/>
                <w:color w:val="000000"/>
                <w:sz w:val="20"/>
                <w:szCs w:val="20"/>
              </w:rPr>
              <w:t>20638 (20366, 20938)</w:t>
            </w:r>
          </w:p>
        </w:tc>
        <w:tc>
          <w:tcPr>
            <w:tcW w:w="2552" w:type="dxa"/>
            <w:vAlign w:val="bottom"/>
          </w:tcPr>
          <w:p w14:paraId="02BC5C84" w14:textId="1FC7C51A" w:rsidR="001B60F9" w:rsidRPr="000526F1" w:rsidRDefault="001B60F9" w:rsidP="001B60F9">
            <w:pPr>
              <w:jc w:val="center"/>
              <w:rPr>
                <w:rFonts w:cstheme="minorHAnsi"/>
                <w:color w:val="000000"/>
                <w:sz w:val="20"/>
                <w:szCs w:val="20"/>
              </w:rPr>
            </w:pPr>
            <w:r w:rsidRPr="000526F1">
              <w:rPr>
                <w:rFonts w:cstheme="minorHAnsi"/>
                <w:color w:val="000000"/>
                <w:sz w:val="20"/>
                <w:szCs w:val="20"/>
              </w:rPr>
              <w:t>20.09 (19.61, 20.45)</w:t>
            </w:r>
          </w:p>
        </w:tc>
        <w:tc>
          <w:tcPr>
            <w:tcW w:w="3260" w:type="dxa"/>
            <w:vAlign w:val="bottom"/>
          </w:tcPr>
          <w:p w14:paraId="0F35E7A8" w14:textId="4DE14738" w:rsidR="001B60F9" w:rsidRPr="000526F1" w:rsidRDefault="001B60F9" w:rsidP="001B60F9">
            <w:pPr>
              <w:jc w:val="center"/>
              <w:rPr>
                <w:rFonts w:cstheme="minorHAnsi"/>
                <w:color w:val="000000"/>
                <w:sz w:val="20"/>
                <w:szCs w:val="20"/>
              </w:rPr>
            </w:pPr>
            <w:r w:rsidRPr="000526F1">
              <w:rPr>
                <w:rFonts w:cstheme="minorHAnsi"/>
                <w:color w:val="000000"/>
                <w:sz w:val="20"/>
                <w:szCs w:val="20"/>
              </w:rPr>
              <w:t>25259 (5018, 61192)</w:t>
            </w:r>
          </w:p>
        </w:tc>
      </w:tr>
      <w:tr w:rsidR="001B60F9" w:rsidRPr="004D61A6" w14:paraId="75EA7344" w14:textId="77777777" w:rsidTr="000526F1">
        <w:trPr>
          <w:trHeight w:val="34"/>
        </w:trPr>
        <w:tc>
          <w:tcPr>
            <w:tcW w:w="1980" w:type="dxa"/>
            <w:vAlign w:val="center"/>
          </w:tcPr>
          <w:p w14:paraId="0822C8F2" w14:textId="70F35F91" w:rsidR="001B60F9" w:rsidRPr="004D61A6" w:rsidRDefault="001B60F9" w:rsidP="001B60F9">
            <w:pPr>
              <w:jc w:val="center"/>
              <w:rPr>
                <w:rFonts w:cstheme="minorHAnsi"/>
                <w:color w:val="000000"/>
                <w:sz w:val="20"/>
                <w:szCs w:val="20"/>
              </w:rPr>
            </w:pPr>
            <w:r w:rsidRPr="004D61A6">
              <w:rPr>
                <w:rFonts w:cstheme="minorHAnsi"/>
                <w:color w:val="000000"/>
                <w:sz w:val="20"/>
                <w:szCs w:val="20"/>
              </w:rPr>
              <w:t>20%</w:t>
            </w:r>
          </w:p>
        </w:tc>
        <w:tc>
          <w:tcPr>
            <w:tcW w:w="0" w:type="auto"/>
            <w:vAlign w:val="center"/>
          </w:tcPr>
          <w:p w14:paraId="3983AC21" w14:textId="43A637E2" w:rsidR="001B60F9" w:rsidRPr="004D61A6" w:rsidRDefault="001B60F9" w:rsidP="001B60F9">
            <w:pPr>
              <w:jc w:val="center"/>
              <w:rPr>
                <w:rFonts w:cstheme="minorHAnsi"/>
                <w:color w:val="000000"/>
                <w:sz w:val="20"/>
                <w:szCs w:val="20"/>
              </w:rPr>
            </w:pPr>
            <w:r w:rsidRPr="004D61A6">
              <w:rPr>
                <w:rFonts w:cstheme="minorHAnsi"/>
                <w:color w:val="000000"/>
                <w:sz w:val="20"/>
                <w:szCs w:val="20"/>
              </w:rPr>
              <w:t>0.002</w:t>
            </w:r>
          </w:p>
        </w:tc>
        <w:tc>
          <w:tcPr>
            <w:tcW w:w="0" w:type="auto"/>
            <w:vAlign w:val="center"/>
          </w:tcPr>
          <w:p w14:paraId="0B6F3B05" w14:textId="5ABABCD4" w:rsidR="001B60F9" w:rsidRPr="004D61A6" w:rsidRDefault="001B60F9" w:rsidP="001B60F9">
            <w:pPr>
              <w:jc w:val="center"/>
              <w:rPr>
                <w:rFonts w:cstheme="minorHAnsi"/>
                <w:color w:val="000000"/>
                <w:sz w:val="20"/>
                <w:szCs w:val="20"/>
              </w:rPr>
            </w:pPr>
            <w:r w:rsidRPr="004D61A6">
              <w:rPr>
                <w:rFonts w:cstheme="minorHAnsi"/>
                <w:color w:val="000000"/>
                <w:sz w:val="20"/>
                <w:szCs w:val="20"/>
              </w:rPr>
              <w:t>1</w:t>
            </w:r>
          </w:p>
        </w:tc>
        <w:tc>
          <w:tcPr>
            <w:tcW w:w="1834" w:type="dxa"/>
          </w:tcPr>
          <w:p w14:paraId="4537D7CD" w14:textId="3BADE9F0" w:rsidR="001B60F9" w:rsidRPr="004D61A6" w:rsidRDefault="001B60F9" w:rsidP="001B60F9">
            <w:pPr>
              <w:jc w:val="center"/>
              <w:rPr>
                <w:rFonts w:cstheme="minorHAnsi"/>
                <w:color w:val="000000"/>
                <w:sz w:val="20"/>
                <w:szCs w:val="20"/>
              </w:rPr>
            </w:pPr>
            <w:r w:rsidRPr="000526F1">
              <w:rPr>
                <w:rFonts w:cstheme="minorHAnsi"/>
                <w:color w:val="000000"/>
                <w:sz w:val="20"/>
                <w:szCs w:val="20"/>
              </w:rPr>
              <w:t>HLA plus IgA tTG</w:t>
            </w:r>
          </w:p>
        </w:tc>
        <w:tc>
          <w:tcPr>
            <w:tcW w:w="2126" w:type="dxa"/>
            <w:vAlign w:val="bottom"/>
          </w:tcPr>
          <w:p w14:paraId="0A5EBB07" w14:textId="567601D7" w:rsidR="001B60F9" w:rsidRPr="000526F1" w:rsidRDefault="001B60F9" w:rsidP="001B60F9">
            <w:pPr>
              <w:jc w:val="center"/>
              <w:rPr>
                <w:rFonts w:cstheme="minorHAnsi"/>
                <w:color w:val="000000"/>
                <w:sz w:val="20"/>
                <w:szCs w:val="20"/>
              </w:rPr>
            </w:pPr>
            <w:r w:rsidRPr="000526F1">
              <w:rPr>
                <w:rFonts w:cstheme="minorHAnsi"/>
                <w:color w:val="000000"/>
                <w:sz w:val="20"/>
                <w:szCs w:val="20"/>
              </w:rPr>
              <w:t>20690 (20415, 20998)</w:t>
            </w:r>
          </w:p>
        </w:tc>
        <w:tc>
          <w:tcPr>
            <w:tcW w:w="2552" w:type="dxa"/>
            <w:vAlign w:val="bottom"/>
          </w:tcPr>
          <w:p w14:paraId="6F39B011" w14:textId="08316E6C" w:rsidR="001B60F9" w:rsidRPr="000526F1" w:rsidRDefault="001B60F9" w:rsidP="001B60F9">
            <w:pPr>
              <w:jc w:val="center"/>
              <w:rPr>
                <w:rFonts w:cstheme="minorHAnsi"/>
                <w:color w:val="000000"/>
                <w:sz w:val="20"/>
                <w:szCs w:val="20"/>
              </w:rPr>
            </w:pPr>
            <w:r w:rsidRPr="000526F1">
              <w:rPr>
                <w:rFonts w:cstheme="minorHAnsi"/>
                <w:color w:val="000000"/>
                <w:sz w:val="20"/>
                <w:szCs w:val="20"/>
              </w:rPr>
              <w:t>20.09 (19.61, 20.44)</w:t>
            </w:r>
          </w:p>
        </w:tc>
        <w:tc>
          <w:tcPr>
            <w:tcW w:w="3260" w:type="dxa"/>
            <w:vAlign w:val="bottom"/>
          </w:tcPr>
          <w:p w14:paraId="132462AE" w14:textId="6B65EC7D" w:rsidR="001B60F9" w:rsidRPr="000526F1" w:rsidRDefault="001B60F9" w:rsidP="001B60F9">
            <w:pPr>
              <w:jc w:val="center"/>
              <w:rPr>
                <w:rFonts w:cstheme="minorHAnsi"/>
                <w:color w:val="000000"/>
                <w:sz w:val="20"/>
                <w:szCs w:val="20"/>
              </w:rPr>
            </w:pPr>
            <w:r w:rsidRPr="000526F1">
              <w:rPr>
                <w:rFonts w:cstheme="minorHAnsi"/>
                <w:color w:val="000000"/>
                <w:sz w:val="20"/>
                <w:szCs w:val="20"/>
              </w:rPr>
              <w:t>25203 (4914, 61189)</w:t>
            </w:r>
          </w:p>
        </w:tc>
      </w:tr>
    </w:tbl>
    <w:p w14:paraId="0D240AC2" w14:textId="77777777" w:rsidR="00BF5EA3" w:rsidRPr="00305D05" w:rsidRDefault="00BF5EA3" w:rsidP="00BF5EA3">
      <w:pPr>
        <w:rPr>
          <w:rFonts w:cstheme="minorHAnsi"/>
        </w:rPr>
        <w:sectPr w:rsidR="00BF5EA3" w:rsidRPr="00305D05" w:rsidSect="00BA0084">
          <w:pgSz w:w="16838" w:h="11906" w:orient="landscape"/>
          <w:pgMar w:top="1440" w:right="1440" w:bottom="1440" w:left="1440" w:header="709" w:footer="709" w:gutter="0"/>
          <w:cols w:space="708"/>
          <w:titlePg/>
          <w:docGrid w:linePitch="360"/>
        </w:sectPr>
      </w:pPr>
    </w:p>
    <w:p w14:paraId="0E7516E3" w14:textId="20C7D7FE" w:rsidR="00BF5EA3" w:rsidRPr="00305D05" w:rsidRDefault="00BF5EA3" w:rsidP="00BF5EA3">
      <w:pPr>
        <w:rPr>
          <w:rFonts w:cstheme="minorHAnsi"/>
        </w:rPr>
      </w:pPr>
      <w:r w:rsidRPr="00305D05">
        <w:rPr>
          <w:rFonts w:cstheme="minorHAnsi"/>
        </w:rPr>
        <w:lastRenderedPageBreak/>
        <w:fldChar w:fldCharType="begin"/>
      </w:r>
      <w:r w:rsidRPr="00305D05">
        <w:rPr>
          <w:rFonts w:cstheme="minorHAnsi"/>
        </w:rPr>
        <w:instrText xml:space="preserve"> REF _Ref83903229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Figure </w:t>
      </w:r>
      <w:r w:rsidR="008B5583">
        <w:rPr>
          <w:rFonts w:cstheme="minorHAnsi"/>
          <w:noProof/>
        </w:rPr>
        <w:t>20</w:t>
      </w:r>
      <w:r w:rsidRPr="00305D05">
        <w:rPr>
          <w:rFonts w:cstheme="minorHAnsi"/>
        </w:rPr>
        <w:fldChar w:fldCharType="end"/>
      </w:r>
      <w:r w:rsidRPr="00305D05">
        <w:rPr>
          <w:rFonts w:cstheme="minorHAnsi"/>
        </w:rPr>
        <w:t xml:space="preserve"> plots the cost-effectiveness acceptability curves which show the probability that each testing strategy is optimal (i.e. highest net benefit) at each willingness to pay threshold for an additional QALY.</w:t>
      </w:r>
      <w:r>
        <w:rPr>
          <w:rFonts w:cstheme="minorHAnsi"/>
        </w:rPr>
        <w:t xml:space="preserve"> </w:t>
      </w:r>
      <w:r w:rsidR="00D02FC3">
        <w:rPr>
          <w:rFonts w:cstheme="minorHAnsi"/>
        </w:rPr>
        <w:t xml:space="preserve">None of the probabilities exceed 50% indicating little certainty that IgA tTG 1% or the IgA EMA plus HLA or HLA plus IgA tTG strategies differ in cost-effectiveness. </w:t>
      </w:r>
      <w:r w:rsidR="00AF1DBA">
        <w:rPr>
          <w:rFonts w:cstheme="minorHAnsi"/>
        </w:rPr>
        <w:t>At</w:t>
      </w:r>
      <w:r w:rsidRPr="00305D05">
        <w:rPr>
          <w:rFonts w:cstheme="minorHAnsi"/>
        </w:rPr>
        <w:t xml:space="preserve"> £10,000</w:t>
      </w:r>
      <w:r w:rsidR="00C00FDE">
        <w:rPr>
          <w:rFonts w:cstheme="minorHAnsi"/>
        </w:rPr>
        <w:t>-30,000</w:t>
      </w:r>
      <w:r w:rsidRPr="00305D05">
        <w:rPr>
          <w:rFonts w:cstheme="minorHAnsi"/>
        </w:rPr>
        <w:t xml:space="preserve">/QALY the strategy with greatest probability of being cost-effective is </w:t>
      </w:r>
      <w:r w:rsidR="00C00FDE">
        <w:rPr>
          <w:rFonts w:cstheme="minorHAnsi"/>
        </w:rPr>
        <w:t>5</w:t>
      </w:r>
      <w:r w:rsidRPr="00305D05">
        <w:rPr>
          <w:rFonts w:cstheme="minorHAnsi"/>
        </w:rPr>
        <w:t xml:space="preserve">% pre-test probability with </w:t>
      </w:r>
      <w:r w:rsidR="00C00FDE">
        <w:rPr>
          <w:rFonts w:cstheme="minorHAnsi"/>
        </w:rPr>
        <w:t>HLA plus IgA tTG</w:t>
      </w:r>
      <w:r w:rsidR="00AF1DBA">
        <w:rPr>
          <w:rFonts w:cstheme="minorHAnsi"/>
        </w:rPr>
        <w:t xml:space="preserve"> and above this range </w:t>
      </w:r>
      <w:r w:rsidR="005511E2">
        <w:rPr>
          <w:rFonts w:cstheme="minorHAnsi"/>
        </w:rPr>
        <w:t xml:space="preserve">1% IgA tTG has greatest probability of being cost-effective. </w:t>
      </w:r>
      <w:r w:rsidR="00AF1DBA">
        <w:rPr>
          <w:rFonts w:cstheme="minorHAnsi"/>
        </w:rPr>
        <w:t xml:space="preserve">However, the cost-effectiveness acceptability curve does not account for the magnitude of differences between net benefits which, as reported in </w:t>
      </w:r>
      <w:r w:rsidR="00AF1DBA" w:rsidRPr="00305D05">
        <w:rPr>
          <w:rFonts w:cstheme="minorHAnsi"/>
        </w:rPr>
        <w:fldChar w:fldCharType="begin"/>
      </w:r>
      <w:r w:rsidR="00AF1DBA" w:rsidRPr="00305D05">
        <w:rPr>
          <w:rFonts w:cstheme="minorHAnsi"/>
        </w:rPr>
        <w:instrText xml:space="preserve"> REF _Ref83903248 \h </w:instrText>
      </w:r>
      <w:r w:rsidR="00AF1DBA">
        <w:rPr>
          <w:rFonts w:cstheme="minorHAnsi"/>
        </w:rPr>
        <w:instrText xml:space="preserve"> \* MERGEFORMAT </w:instrText>
      </w:r>
      <w:r w:rsidR="00AF1DBA" w:rsidRPr="00305D05">
        <w:rPr>
          <w:rFonts w:cstheme="minorHAnsi"/>
        </w:rPr>
      </w:r>
      <w:r w:rsidR="00AF1DBA" w:rsidRPr="00305D05">
        <w:rPr>
          <w:rFonts w:cstheme="minorHAnsi"/>
        </w:rPr>
        <w:fldChar w:fldCharType="separate"/>
      </w:r>
      <w:r w:rsidR="008B5583" w:rsidRPr="00305D05">
        <w:rPr>
          <w:rFonts w:cstheme="minorHAnsi"/>
        </w:rPr>
        <w:t xml:space="preserve">Table </w:t>
      </w:r>
      <w:r w:rsidR="008B5583">
        <w:rPr>
          <w:rFonts w:cstheme="minorHAnsi"/>
          <w:noProof/>
        </w:rPr>
        <w:t>21</w:t>
      </w:r>
      <w:r w:rsidR="00AF1DBA" w:rsidRPr="00305D05">
        <w:rPr>
          <w:rFonts w:cstheme="minorHAnsi"/>
        </w:rPr>
        <w:fldChar w:fldCharType="end"/>
      </w:r>
      <w:r w:rsidR="00AF1DBA">
        <w:rPr>
          <w:rFonts w:cstheme="minorHAnsi"/>
        </w:rPr>
        <w:t>, are negligible with overlapping 95% CrI.</w:t>
      </w:r>
    </w:p>
    <w:p w14:paraId="1F23B45D" w14:textId="71BA01E0" w:rsidR="00BF5EA3" w:rsidRPr="00305D05" w:rsidRDefault="00750373" w:rsidP="00BF5EA3">
      <w:pPr>
        <w:rPr>
          <w:rFonts w:cstheme="minorHAnsi"/>
        </w:rPr>
      </w:pPr>
      <w:r>
        <w:rPr>
          <w:rFonts w:cstheme="minorHAnsi"/>
          <w:noProof/>
        </w:rPr>
        <w:drawing>
          <wp:inline distT="0" distB="0" distL="0" distR="0" wp14:anchorId="32170532" wp14:editId="77F5A467">
            <wp:extent cx="3887285" cy="389763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89787" cy="3900139"/>
                    </a:xfrm>
                    <a:prstGeom prst="rect">
                      <a:avLst/>
                    </a:prstGeom>
                    <a:noFill/>
                    <a:ln>
                      <a:noFill/>
                    </a:ln>
                  </pic:spPr>
                </pic:pic>
              </a:graphicData>
            </a:graphic>
          </wp:inline>
        </w:drawing>
      </w:r>
    </w:p>
    <w:p w14:paraId="3928BA14" w14:textId="0C6F8A8D" w:rsidR="00460702" w:rsidRPr="00305D05" w:rsidRDefault="00460702" w:rsidP="00460702">
      <w:pPr>
        <w:pStyle w:val="Caption"/>
        <w:rPr>
          <w:rFonts w:cstheme="minorHAnsi"/>
        </w:rPr>
      </w:pPr>
      <w:bookmarkStart w:id="309" w:name="_Ref83903229"/>
      <w:bookmarkStart w:id="310" w:name="_Toc99720801"/>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20</w:t>
      </w:r>
      <w:r w:rsidRPr="00305D05">
        <w:rPr>
          <w:rFonts w:cstheme="minorHAnsi"/>
          <w:noProof/>
        </w:rPr>
        <w:fldChar w:fldCharType="end"/>
      </w:r>
      <w:bookmarkEnd w:id="309"/>
      <w:r w:rsidRPr="00305D05">
        <w:rPr>
          <w:rFonts w:cstheme="minorHAnsi"/>
        </w:rPr>
        <w:t>. Cost-effectiveness acceptability curves for strategies of interest in adult women</w:t>
      </w:r>
      <w:bookmarkEnd w:id="310"/>
    </w:p>
    <w:p w14:paraId="51014747" w14:textId="77777777" w:rsidR="00460702" w:rsidRPr="00305D05" w:rsidRDefault="00460702" w:rsidP="00BF5EA3">
      <w:pPr>
        <w:rPr>
          <w:rFonts w:cstheme="minorHAnsi"/>
        </w:rPr>
      </w:pPr>
    </w:p>
    <w:p w14:paraId="37CB1799" w14:textId="01563E93" w:rsidR="00BF5EA3" w:rsidRPr="00305D05" w:rsidRDefault="00735105" w:rsidP="00BF5EA3">
      <w:pPr>
        <w:rPr>
          <w:rFonts w:cstheme="minorHAnsi"/>
        </w:rPr>
      </w:pPr>
      <w:r>
        <w:rPr>
          <w:rFonts w:cstheme="minorHAnsi"/>
        </w:rPr>
        <w:t>Supplementary Table S20</w:t>
      </w:r>
      <w:r w:rsidR="00BF5EA3" w:rsidRPr="00305D05">
        <w:rPr>
          <w:rFonts w:cstheme="minorHAnsi"/>
        </w:rPr>
        <w:t xml:space="preserve"> provides the proportion of time spent in each state for adult women on the strategies of interest. Compared to other pre-test probability strategies with the same serological tests, the 1% </w:t>
      </w:r>
      <w:r w:rsidR="005B0ECA">
        <w:rPr>
          <w:rFonts w:cstheme="minorHAnsi"/>
        </w:rPr>
        <w:t>IgA EMA strategy</w:t>
      </w:r>
      <w:r w:rsidR="005B0ECA" w:rsidRPr="00305D05">
        <w:rPr>
          <w:rFonts w:cstheme="minorHAnsi"/>
        </w:rPr>
        <w:t xml:space="preserve"> </w:t>
      </w:r>
      <w:r w:rsidR="005B0ECA">
        <w:rPr>
          <w:rFonts w:cstheme="minorHAnsi"/>
        </w:rPr>
        <w:t>has</w:t>
      </w:r>
      <w:r w:rsidR="005B0ECA" w:rsidRPr="00305D05">
        <w:rPr>
          <w:rFonts w:cstheme="minorHAnsi"/>
        </w:rPr>
        <w:t xml:space="preserve"> </w:t>
      </w:r>
      <w:r w:rsidR="00BF5EA3" w:rsidRPr="00305D05">
        <w:rPr>
          <w:rFonts w:cstheme="minorHAnsi"/>
        </w:rPr>
        <w:t xml:space="preserve">the greatest proportions of time on the CD </w:t>
      </w:r>
      <w:r w:rsidR="00693CFF">
        <w:t xml:space="preserve">gluten-free diet </w:t>
      </w:r>
      <w:r w:rsidR="00BF5EA3" w:rsidRPr="00305D05">
        <w:rPr>
          <w:rFonts w:cstheme="minorHAnsi"/>
        </w:rPr>
        <w:t>no complications state and least time in the undiagnosed states. Osteoporosis appears to be the complication most patients spend time</w:t>
      </w:r>
      <w:r w:rsidR="006D7E06">
        <w:rPr>
          <w:rFonts w:cstheme="minorHAnsi"/>
        </w:rPr>
        <w:t xml:space="preserve"> and women appear to spend up to four times as much time with this complication than men</w:t>
      </w:r>
      <w:r w:rsidR="00BF5EA3" w:rsidRPr="00305D05">
        <w:rPr>
          <w:rFonts w:cstheme="minorHAnsi"/>
        </w:rPr>
        <w:t xml:space="preserve">. The HLA strategies </w:t>
      </w:r>
      <w:r w:rsidR="005D564E">
        <w:rPr>
          <w:rFonts w:cstheme="minorHAnsi"/>
        </w:rPr>
        <w:t xml:space="preserve">have greater proportion of time in CD gluten-free diet no complications and less time in the undiagnosed states than any IgA EMA strategies. They </w:t>
      </w:r>
      <w:r w:rsidR="00BF5EA3" w:rsidRPr="00305D05">
        <w:rPr>
          <w:rFonts w:cstheme="minorHAnsi"/>
        </w:rPr>
        <w:t xml:space="preserve">have almost identical proportions of time across the different pre-test probabilities, with only minor differences between the undiagnosed CD no complications and osteoporosis states. Overall, cost-effectiveness appears mostly driven by time spent in the CD </w:t>
      </w:r>
      <w:r w:rsidR="00693CFF">
        <w:t xml:space="preserve">gluten-free diet </w:t>
      </w:r>
      <w:r w:rsidR="00BF5EA3" w:rsidRPr="00305D05">
        <w:rPr>
          <w:rFonts w:cstheme="minorHAnsi"/>
        </w:rPr>
        <w:t xml:space="preserve">no complications states and CD </w:t>
      </w:r>
      <w:r w:rsidR="00693CFF">
        <w:t xml:space="preserve">gluten-free diet </w:t>
      </w:r>
      <w:r w:rsidR="00BF5EA3" w:rsidRPr="00305D05">
        <w:rPr>
          <w:rFonts w:cstheme="minorHAnsi"/>
        </w:rPr>
        <w:t>and undiagnosed CD osteoporosis states.</w:t>
      </w:r>
    </w:p>
    <w:p w14:paraId="7F4A6BF8" w14:textId="2DB5E438" w:rsidR="00BF5EA3" w:rsidRPr="00305D05" w:rsidRDefault="00BF5EA3" w:rsidP="00BF5EA3">
      <w:pPr>
        <w:spacing w:line="240" w:lineRule="auto"/>
        <w:rPr>
          <w:rFonts w:cstheme="minorHAnsi"/>
        </w:rPr>
      </w:pPr>
      <w:r>
        <w:rPr>
          <w:rFonts w:cstheme="minorHAnsi"/>
        </w:rPr>
        <w:t xml:space="preserve">The ratio of EVPPI to EVPI for each parameter is illustrated in </w:t>
      </w:r>
      <w:r>
        <w:rPr>
          <w:rFonts w:cstheme="minorHAnsi"/>
        </w:rPr>
        <w:fldChar w:fldCharType="begin"/>
      </w:r>
      <w:r>
        <w:rPr>
          <w:rFonts w:cstheme="minorHAnsi"/>
        </w:rPr>
        <w:instrText xml:space="preserve"> REF _Ref87471000 \h </w:instrText>
      </w:r>
      <w:r>
        <w:rPr>
          <w:rFonts w:cstheme="minorHAnsi"/>
        </w:rPr>
      </w:r>
      <w:r>
        <w:rPr>
          <w:rFonts w:cstheme="minorHAnsi"/>
        </w:rPr>
        <w:fldChar w:fldCharType="separate"/>
      </w:r>
      <w:r w:rsidR="008B5583">
        <w:t xml:space="preserve">Figure </w:t>
      </w:r>
      <w:r w:rsidR="008B5583">
        <w:rPr>
          <w:noProof/>
        </w:rPr>
        <w:t>21</w:t>
      </w:r>
      <w:r>
        <w:rPr>
          <w:rFonts w:cstheme="minorHAnsi"/>
        </w:rPr>
        <w:fldChar w:fldCharType="end"/>
      </w:r>
      <w:r>
        <w:rPr>
          <w:rFonts w:cstheme="minorHAnsi"/>
        </w:rPr>
        <w:t xml:space="preserve">. </w:t>
      </w:r>
      <w:r w:rsidRPr="004B6410">
        <w:rPr>
          <w:rFonts w:cstheme="minorHAnsi"/>
        </w:rPr>
        <w:t>As in the population of adult men, probability of late diagnosis</w:t>
      </w:r>
      <w:r w:rsidR="005511E2">
        <w:rPr>
          <w:rFonts w:cstheme="minorHAnsi"/>
        </w:rPr>
        <w:t xml:space="preserve"> and sensitivity of HLA are</w:t>
      </w:r>
      <w:r w:rsidRPr="004B6410">
        <w:rPr>
          <w:rFonts w:cstheme="minorHAnsi"/>
        </w:rPr>
        <w:t xml:space="preserve"> important parameter</w:t>
      </w:r>
      <w:r w:rsidR="005511E2">
        <w:rPr>
          <w:rFonts w:cstheme="minorHAnsi"/>
        </w:rPr>
        <w:t>s</w:t>
      </w:r>
      <w:r w:rsidRPr="004B6410">
        <w:rPr>
          <w:rFonts w:cstheme="minorHAnsi"/>
        </w:rPr>
        <w:t xml:space="preserve">. However, </w:t>
      </w:r>
      <w:r w:rsidR="005511E2">
        <w:rPr>
          <w:rFonts w:cstheme="minorHAnsi"/>
        </w:rPr>
        <w:lastRenderedPageBreak/>
        <w:t>specificity of IgA EMA in adults is also important</w:t>
      </w:r>
      <w:r w:rsidRPr="004B6410">
        <w:rPr>
          <w:rFonts w:cstheme="minorHAnsi"/>
        </w:rPr>
        <w:t xml:space="preserve">. Test cost of IgA </w:t>
      </w:r>
      <w:r w:rsidR="00DD115E">
        <w:rPr>
          <w:rFonts w:cstheme="minorHAnsi"/>
        </w:rPr>
        <w:t>t</w:t>
      </w:r>
      <w:r w:rsidR="00DD115E" w:rsidRPr="004B6410">
        <w:rPr>
          <w:rFonts w:cstheme="minorHAnsi"/>
        </w:rPr>
        <w:t>TG</w:t>
      </w:r>
      <w:r w:rsidRPr="004B6410">
        <w:rPr>
          <w:rFonts w:cstheme="minorHAnsi"/>
        </w:rPr>
        <w:t>, the disutility of biop</w:t>
      </w:r>
      <w:r>
        <w:rPr>
          <w:rFonts w:cstheme="minorHAnsi"/>
        </w:rPr>
        <w:t>s</w:t>
      </w:r>
      <w:r w:rsidRPr="004B6410">
        <w:rPr>
          <w:rFonts w:cstheme="minorHAnsi"/>
        </w:rPr>
        <w:t>y, and sensitivity of HLA have low influence and remaining parameters have almost no influence on results.</w:t>
      </w:r>
    </w:p>
    <w:p w14:paraId="270B8E26" w14:textId="326E6AEE" w:rsidR="00BF5EA3" w:rsidRPr="00305D05" w:rsidRDefault="004D5735" w:rsidP="00BF5EA3">
      <w:pPr>
        <w:spacing w:line="240" w:lineRule="auto"/>
        <w:rPr>
          <w:rFonts w:cstheme="minorHAnsi"/>
        </w:rPr>
      </w:pPr>
      <w:r>
        <w:rPr>
          <w:rFonts w:cstheme="minorHAnsi"/>
          <w:noProof/>
        </w:rPr>
        <w:drawing>
          <wp:inline distT="0" distB="0" distL="0" distR="0" wp14:anchorId="65D61E80" wp14:editId="6480B60F">
            <wp:extent cx="4608251" cy="4145280"/>
            <wp:effectExtent l="0" t="0" r="1905"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09037" cy="4145987"/>
                    </a:xfrm>
                    <a:prstGeom prst="rect">
                      <a:avLst/>
                    </a:prstGeom>
                    <a:noFill/>
                    <a:ln>
                      <a:noFill/>
                    </a:ln>
                  </pic:spPr>
                </pic:pic>
              </a:graphicData>
            </a:graphic>
          </wp:inline>
        </w:drawing>
      </w:r>
    </w:p>
    <w:p w14:paraId="0A5A05D5" w14:textId="23C293C2" w:rsidR="00F81C9E" w:rsidRDefault="00F81C9E" w:rsidP="00F81C9E">
      <w:pPr>
        <w:pStyle w:val="Caption"/>
      </w:pPr>
      <w:bookmarkStart w:id="311" w:name="_Ref87471000"/>
      <w:bookmarkStart w:id="312" w:name="_Toc99720802"/>
      <w:r>
        <w:t xml:space="preserve">Figure </w:t>
      </w:r>
      <w:r>
        <w:fldChar w:fldCharType="begin"/>
      </w:r>
      <w:r>
        <w:instrText>SEQ Figure \* ARABIC</w:instrText>
      </w:r>
      <w:r>
        <w:fldChar w:fldCharType="separate"/>
      </w:r>
      <w:r w:rsidR="008B5583">
        <w:rPr>
          <w:noProof/>
        </w:rPr>
        <w:t>21</w:t>
      </w:r>
      <w:r>
        <w:fldChar w:fldCharType="end"/>
      </w:r>
      <w:bookmarkEnd w:id="311"/>
      <w:r>
        <w:t xml:space="preserve"> </w:t>
      </w:r>
      <w:r w:rsidRPr="00F1120D">
        <w:t xml:space="preserve">Ratio of EVPPI for each parameter to total EVPI in adult </w:t>
      </w:r>
      <w:r>
        <w:t>women</w:t>
      </w:r>
      <w:r w:rsidRPr="00F1120D">
        <w:t>. Only ten most influential parameters included. Remaining parameters have minimal influence on results</w:t>
      </w:r>
      <w:r w:rsidR="003C160A">
        <w:t>*</w:t>
      </w:r>
      <w:bookmarkEnd w:id="312"/>
    </w:p>
    <w:p w14:paraId="4FD5DBE1" w14:textId="34BB3473" w:rsidR="003C160A" w:rsidRDefault="003C160A" w:rsidP="003C160A">
      <w:pPr>
        <w:spacing w:line="240" w:lineRule="auto"/>
        <w:rPr>
          <w:rFonts w:cstheme="minorHAnsi"/>
        </w:rPr>
      </w:pPr>
      <w:r>
        <w:rPr>
          <w:rFonts w:cstheme="minorHAnsi"/>
        </w:rPr>
        <w:t>*log_rr_NHL_noGFD = log risk ratio of developing NHL not on GFD compared to being on GFD</w:t>
      </w:r>
      <w:r w:rsidR="007F1105">
        <w:rPr>
          <w:rFonts w:cstheme="minorHAnsi"/>
        </w:rPr>
        <w:t xml:space="preserve"> for coeliac patients</w:t>
      </w:r>
      <w:r>
        <w:rPr>
          <w:rFonts w:cstheme="minorHAnsi"/>
        </w:rPr>
        <w:t xml:space="preserve">; </w:t>
      </w:r>
      <w:r w:rsidR="00BC2526">
        <w:rPr>
          <w:rFonts w:cstheme="minorHAnsi"/>
        </w:rPr>
        <w:t>death_</w:t>
      </w:r>
      <w:r>
        <w:rPr>
          <w:rFonts w:cstheme="minorHAnsi"/>
        </w:rPr>
        <w:t>log_hr_osteoporosis_female</w:t>
      </w:r>
      <w:r w:rsidR="00DD115E">
        <w:rPr>
          <w:rFonts w:cstheme="minorHAnsi"/>
        </w:rPr>
        <w:t xml:space="preserve"> </w:t>
      </w:r>
      <w:r>
        <w:rPr>
          <w:rFonts w:cstheme="minorHAnsi"/>
        </w:rPr>
        <w:t xml:space="preserve">= log hazard ratio of </w:t>
      </w:r>
      <w:r w:rsidR="00BC2526">
        <w:rPr>
          <w:rFonts w:cstheme="minorHAnsi"/>
        </w:rPr>
        <w:t>mortality with osteoporosis compared to general population for females.</w:t>
      </w:r>
    </w:p>
    <w:p w14:paraId="178686ED" w14:textId="77777777" w:rsidR="00F81C9E" w:rsidRPr="00305D05" w:rsidRDefault="00F81C9E" w:rsidP="00BF5EA3">
      <w:pPr>
        <w:spacing w:line="240" w:lineRule="auto"/>
        <w:rPr>
          <w:rFonts w:cstheme="minorHAnsi"/>
        </w:rPr>
      </w:pPr>
    </w:p>
    <w:p w14:paraId="015900E7" w14:textId="626863A4" w:rsidR="00BF5EA3" w:rsidRDefault="00BF5EA3" w:rsidP="00BF5EA3">
      <w:pPr>
        <w:spacing w:line="240" w:lineRule="auto"/>
        <w:rPr>
          <w:rFonts w:cstheme="minorHAnsi"/>
        </w:rPr>
      </w:pPr>
      <w:r w:rsidRPr="00693CFF">
        <w:rPr>
          <w:rFonts w:cstheme="minorHAnsi"/>
        </w:rPr>
        <w:t xml:space="preserve">The total EVPI and EVPPI for parameter sets of interest are summarised in </w:t>
      </w:r>
      <w:r w:rsidRPr="00693CFF">
        <w:rPr>
          <w:rFonts w:cstheme="minorHAnsi"/>
        </w:rPr>
        <w:fldChar w:fldCharType="begin"/>
      </w:r>
      <w:r w:rsidRPr="00693CFF">
        <w:rPr>
          <w:rFonts w:cstheme="minorHAnsi"/>
        </w:rPr>
        <w:instrText xml:space="preserve"> REF _Ref87506706 \h  \* MERGEFORMAT </w:instrText>
      </w:r>
      <w:r w:rsidRPr="00693CFF">
        <w:rPr>
          <w:rFonts w:cstheme="minorHAnsi"/>
        </w:rPr>
      </w:r>
      <w:r w:rsidRPr="00693CFF">
        <w:rPr>
          <w:rFonts w:cstheme="minorHAnsi"/>
        </w:rPr>
        <w:fldChar w:fldCharType="separate"/>
      </w:r>
      <w:r w:rsidR="008B5583" w:rsidRPr="006F5710">
        <w:t xml:space="preserve">Table </w:t>
      </w:r>
      <w:r w:rsidR="008B5583">
        <w:t>20</w:t>
      </w:r>
      <w:r w:rsidRPr="00693CFF">
        <w:rPr>
          <w:rFonts w:cstheme="minorHAnsi"/>
        </w:rPr>
        <w:fldChar w:fldCharType="end"/>
      </w:r>
      <w:r w:rsidRPr="00693CFF">
        <w:rPr>
          <w:rFonts w:cstheme="minorHAnsi"/>
        </w:rPr>
        <w:t>. The total population EVPI is £</w:t>
      </w:r>
      <w:r w:rsidR="00A37EBF">
        <w:rPr>
          <w:rFonts w:cstheme="minorHAnsi"/>
        </w:rPr>
        <w:t>79.0million</w:t>
      </w:r>
      <w:r w:rsidRPr="00693CFF">
        <w:rPr>
          <w:rFonts w:cstheme="minorHAnsi"/>
        </w:rPr>
        <w:t>, indicating potential value in conducting further research.</w:t>
      </w:r>
      <w:r w:rsidR="00A37EBF">
        <w:rPr>
          <w:rFonts w:cstheme="minorHAnsi"/>
        </w:rPr>
        <w:t xml:space="preserve"> This is greater than the potential value in men (£25.7million).</w:t>
      </w:r>
      <w:r w:rsidR="00C0209A">
        <w:rPr>
          <w:rFonts w:cstheme="minorHAnsi"/>
        </w:rPr>
        <w:t xml:space="preserve"> As in men, the EVPPI for parameter sets indicates the greatest potential value lies in a study of probabilities of late diagnosis</w:t>
      </w:r>
      <w:r w:rsidR="00A37EBF">
        <w:rPr>
          <w:rFonts w:cstheme="minorHAnsi"/>
        </w:rPr>
        <w:t xml:space="preserve"> (£68.5million) and on test accuracies (£43 million).</w:t>
      </w:r>
      <w:r w:rsidR="00460851">
        <w:rPr>
          <w:rFonts w:cstheme="minorHAnsi"/>
        </w:rPr>
        <w:t xml:space="preserve"> These values are 2-3 times greater than the corresponding values in men, suggesting research should be focused on the adult women population. </w:t>
      </w:r>
    </w:p>
    <w:p w14:paraId="54EDEEAD" w14:textId="77777777" w:rsidR="00BF5EA3" w:rsidRPr="00305D05" w:rsidRDefault="00BF5EA3" w:rsidP="00460702">
      <w:pPr>
        <w:pStyle w:val="Heading4"/>
      </w:pPr>
      <w:bookmarkStart w:id="313" w:name="_Toc87507201"/>
      <w:r w:rsidRPr="00305D05">
        <w:t>Children</w:t>
      </w:r>
      <w:bookmarkEnd w:id="313"/>
    </w:p>
    <w:p w14:paraId="46EA515E" w14:textId="3A4BD363" w:rsidR="00BF5EA3" w:rsidRPr="00305D05" w:rsidRDefault="00BF5EA3" w:rsidP="00BF5EA3">
      <w:pPr>
        <w:rPr>
          <w:rFonts w:cstheme="minorHAnsi"/>
        </w:rPr>
      </w:pPr>
      <w:r w:rsidRPr="00305D05">
        <w:rPr>
          <w:rFonts w:cstheme="minorHAnsi"/>
        </w:rPr>
        <w:fldChar w:fldCharType="begin"/>
      </w:r>
      <w:r w:rsidRPr="00305D05">
        <w:rPr>
          <w:rFonts w:cstheme="minorHAnsi"/>
        </w:rPr>
        <w:instrText xml:space="preserve"> REF _Ref83908497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Figure </w:t>
      </w:r>
      <w:r w:rsidR="008B5583">
        <w:rPr>
          <w:rFonts w:cstheme="minorHAnsi"/>
          <w:noProof/>
        </w:rPr>
        <w:t>22</w:t>
      </w:r>
      <w:r w:rsidRPr="00305D05">
        <w:rPr>
          <w:rFonts w:cstheme="minorHAnsi"/>
        </w:rPr>
        <w:fldChar w:fldCharType="end"/>
      </w:r>
      <w:r w:rsidRPr="00305D05">
        <w:rPr>
          <w:rFonts w:cstheme="minorHAnsi"/>
        </w:rPr>
        <w:t xml:space="preserve"> plots the incremental net benefit </w:t>
      </w:r>
      <w:r>
        <w:rPr>
          <w:rFonts w:cstheme="minorHAnsi"/>
        </w:rPr>
        <w:t xml:space="preserve">at £20,000/QALY for risk prediction strategies. </w:t>
      </w:r>
      <w:r w:rsidRPr="00305D05">
        <w:rPr>
          <w:rFonts w:cstheme="minorHAnsi"/>
        </w:rPr>
        <w:t>Results are similar to those in adults</w:t>
      </w:r>
      <w:r>
        <w:rPr>
          <w:rFonts w:cstheme="minorHAnsi"/>
        </w:rPr>
        <w:t xml:space="preserve">, but uncertainty is greater as the 95% CrI </w:t>
      </w:r>
      <w:r w:rsidR="007148DD">
        <w:rPr>
          <w:rFonts w:cstheme="minorHAnsi"/>
        </w:rPr>
        <w:t xml:space="preserve">are wider and </w:t>
      </w:r>
      <w:r>
        <w:rPr>
          <w:rFonts w:cstheme="minorHAnsi"/>
        </w:rPr>
        <w:t xml:space="preserve">for strategies </w:t>
      </w:r>
      <w:r w:rsidR="007148DD">
        <w:rPr>
          <w:rFonts w:cstheme="minorHAnsi"/>
        </w:rPr>
        <w:t xml:space="preserve">without HLA </w:t>
      </w:r>
      <w:r>
        <w:rPr>
          <w:rFonts w:cstheme="minorHAnsi"/>
        </w:rPr>
        <w:t>now include 0 (i.e. strategy not cost-effective compared to no screening)</w:t>
      </w:r>
      <w:r w:rsidRPr="00305D05">
        <w:rPr>
          <w:rFonts w:cstheme="minorHAnsi"/>
        </w:rPr>
        <w:t xml:space="preserve">. The figure shows that for the serological tests without HLA incremental net benefit at £20,000/QALY is only positive when </w:t>
      </w:r>
      <w:r w:rsidR="00A1633D">
        <w:rPr>
          <w:rFonts w:cstheme="minorHAnsi"/>
        </w:rPr>
        <w:t xml:space="preserve">diagnostic indicator </w:t>
      </w:r>
      <w:r w:rsidRPr="00305D05">
        <w:rPr>
          <w:rFonts w:cstheme="minorHAnsi"/>
        </w:rPr>
        <w:t xml:space="preserve">sensitivity is above 0.9 or if the specificity is above 0.9 and sensitivity above 0.8. For the tests including HLA, incremental net benefit is positive regardless of the accuracy of the </w:t>
      </w:r>
      <w:r w:rsidR="00A1633D">
        <w:rPr>
          <w:rFonts w:cstheme="minorHAnsi"/>
        </w:rPr>
        <w:t xml:space="preserve">diagnostic indicator, </w:t>
      </w:r>
      <w:r w:rsidRPr="00305D05">
        <w:rPr>
          <w:rFonts w:cstheme="minorHAnsi"/>
        </w:rPr>
        <w:t xml:space="preserve">except for IgA </w:t>
      </w:r>
      <w:r>
        <w:rPr>
          <w:rFonts w:cstheme="minorHAnsi"/>
        </w:rPr>
        <w:t>t</w:t>
      </w:r>
      <w:r w:rsidRPr="00305D05">
        <w:rPr>
          <w:rFonts w:cstheme="minorHAnsi"/>
        </w:rPr>
        <w:t>TG plus HLA which requires both sensitivity and specificity</w:t>
      </w:r>
      <w:r w:rsidR="00DF6870">
        <w:rPr>
          <w:rFonts w:cstheme="minorHAnsi"/>
        </w:rPr>
        <w:t xml:space="preserve"> of the diagnostic indicator</w:t>
      </w:r>
      <w:r w:rsidRPr="00305D05">
        <w:rPr>
          <w:rFonts w:cstheme="minorHAnsi"/>
        </w:rPr>
        <w:t xml:space="preserve"> to be above 0.6.</w:t>
      </w:r>
      <w:r>
        <w:rPr>
          <w:rFonts w:cstheme="minorHAnsi"/>
        </w:rPr>
        <w:t xml:space="preserve"> </w:t>
      </w:r>
      <w:r w:rsidRPr="003F1C25">
        <w:rPr>
          <w:rFonts w:cstheme="minorHAnsi"/>
        </w:rPr>
        <w:t xml:space="preserve">Cost-effectiveness is the same if HLA is applied </w:t>
      </w:r>
      <w:r w:rsidRPr="003F1C25">
        <w:rPr>
          <w:rFonts w:cstheme="minorHAnsi"/>
        </w:rPr>
        <w:lastRenderedPageBreak/>
        <w:t xml:space="preserve">before or after </w:t>
      </w:r>
      <w:r w:rsidR="00A564C5">
        <w:rPr>
          <w:rFonts w:cstheme="minorHAnsi"/>
        </w:rPr>
        <w:t>EMA or tTG plus EMA, but</w:t>
      </w:r>
      <w:r w:rsidRPr="003F1C25">
        <w:rPr>
          <w:rFonts w:cstheme="minorHAnsi"/>
        </w:rPr>
        <w:t xml:space="preserve"> when combined with IgA TTG alone where only</w:t>
      </w:r>
      <w:r>
        <w:rPr>
          <w:rFonts w:cstheme="minorHAnsi"/>
        </w:rPr>
        <w:t xml:space="preserve"> </w:t>
      </w:r>
      <w:r w:rsidRPr="003F1C25">
        <w:rPr>
          <w:rFonts w:cstheme="minorHAnsi"/>
        </w:rPr>
        <w:t>HLA plus IgA TTG (i.e. IgA tTG as confirmatory test after HLA) is cost-effective compared to no screening.</w:t>
      </w:r>
    </w:p>
    <w:p w14:paraId="264059EB" w14:textId="6291B826" w:rsidR="00BF5EA3" w:rsidRPr="00305D05" w:rsidRDefault="00BF5EA3" w:rsidP="00BF5EA3">
      <w:pPr>
        <w:pStyle w:val="Caption"/>
        <w:rPr>
          <w:rFonts w:cstheme="minorHAnsi"/>
        </w:rPr>
      </w:pPr>
      <w:bookmarkStart w:id="314" w:name="_Ref83908497"/>
      <w:bookmarkStart w:id="315" w:name="_Toc99720803"/>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22</w:t>
      </w:r>
      <w:r w:rsidRPr="00305D05">
        <w:rPr>
          <w:rFonts w:cstheme="minorHAnsi"/>
          <w:noProof/>
        </w:rPr>
        <w:fldChar w:fldCharType="end"/>
      </w:r>
      <w:bookmarkEnd w:id="314"/>
      <w:r w:rsidRPr="00305D05">
        <w:rPr>
          <w:rFonts w:cstheme="minorHAnsi"/>
        </w:rPr>
        <w:t xml:space="preserve">. </w:t>
      </w:r>
      <w:r w:rsidRPr="00DF0708">
        <w:rPr>
          <w:rFonts w:cstheme="minorHAnsi"/>
        </w:rPr>
        <w:t xml:space="preserve">Incremental net benefit at £20,000/QALY compared to no screening at each combination of sensitivity (x-axis) and specificity (line colour) in </w:t>
      </w:r>
      <w:r>
        <w:rPr>
          <w:rFonts w:cstheme="minorHAnsi"/>
        </w:rPr>
        <w:t>children</w:t>
      </w:r>
      <w:r w:rsidRPr="00DF0708">
        <w:rPr>
          <w:rFonts w:cstheme="minorHAnsi"/>
        </w:rPr>
        <w:t>. Thick lines are mean and narrow lines are 95% CrI.</w:t>
      </w:r>
      <w:bookmarkEnd w:id="315"/>
      <w:r w:rsidRPr="00DF0708" w:rsidDel="00DF0708">
        <w:rPr>
          <w:rFonts w:cstheme="minorHAnsi"/>
        </w:rPr>
        <w:t xml:space="preserve"> </w:t>
      </w:r>
    </w:p>
    <w:p w14:paraId="0DC64CE3" w14:textId="0EF76ADA" w:rsidR="00BF5EA3" w:rsidRPr="00305D05" w:rsidRDefault="0078195E" w:rsidP="00BF5EA3">
      <w:pPr>
        <w:rPr>
          <w:rFonts w:cstheme="minorHAnsi"/>
        </w:rPr>
      </w:pPr>
      <w:r>
        <w:rPr>
          <w:rFonts w:cstheme="minorHAnsi"/>
          <w:noProof/>
        </w:rPr>
        <w:drawing>
          <wp:inline distT="0" distB="0" distL="0" distR="0" wp14:anchorId="54BBE17B" wp14:editId="28F0822F">
            <wp:extent cx="5726430" cy="4964430"/>
            <wp:effectExtent l="0" t="0" r="762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26430" cy="4964430"/>
                    </a:xfrm>
                    <a:prstGeom prst="rect">
                      <a:avLst/>
                    </a:prstGeom>
                    <a:noFill/>
                    <a:ln>
                      <a:noFill/>
                    </a:ln>
                  </pic:spPr>
                </pic:pic>
              </a:graphicData>
            </a:graphic>
          </wp:inline>
        </w:drawing>
      </w:r>
    </w:p>
    <w:p w14:paraId="0B806301" w14:textId="77777777" w:rsidR="00BF5EA3" w:rsidRPr="00305D05" w:rsidRDefault="00BF5EA3" w:rsidP="00BF5EA3">
      <w:pPr>
        <w:rPr>
          <w:rFonts w:cstheme="minorHAnsi"/>
        </w:rPr>
      </w:pPr>
    </w:p>
    <w:p w14:paraId="5762DC3A" w14:textId="3A3C9446" w:rsidR="00BF5EA3" w:rsidRPr="00305D05" w:rsidRDefault="00BF5EA3" w:rsidP="00BF5EA3">
      <w:pPr>
        <w:rPr>
          <w:rFonts w:cstheme="minorHAnsi"/>
        </w:rPr>
      </w:pPr>
      <w:r>
        <w:rPr>
          <w:rFonts w:cstheme="minorHAnsi"/>
        </w:rPr>
        <w:fldChar w:fldCharType="begin"/>
      </w:r>
      <w:r>
        <w:rPr>
          <w:rFonts w:cstheme="minorHAnsi"/>
        </w:rPr>
        <w:instrText xml:space="preserve"> REF _Ref83908513 \h </w:instrText>
      </w:r>
      <w:r>
        <w:rPr>
          <w:rFonts w:cstheme="minorHAnsi"/>
        </w:rPr>
      </w:r>
      <w:r>
        <w:rPr>
          <w:rFonts w:cstheme="minorHAnsi"/>
        </w:rPr>
        <w:fldChar w:fldCharType="separate"/>
      </w:r>
      <w:r w:rsidR="008B5583" w:rsidRPr="00305D05">
        <w:rPr>
          <w:rFonts w:cstheme="minorHAnsi"/>
        </w:rPr>
        <w:t xml:space="preserve">Figure </w:t>
      </w:r>
      <w:r w:rsidR="008B5583">
        <w:rPr>
          <w:rFonts w:cstheme="minorHAnsi"/>
          <w:noProof/>
        </w:rPr>
        <w:t>23</w:t>
      </w:r>
      <w:r>
        <w:rPr>
          <w:rFonts w:cstheme="minorHAnsi"/>
        </w:rPr>
        <w:fldChar w:fldCharType="end"/>
      </w:r>
      <w:r>
        <w:rPr>
          <w:rFonts w:cstheme="minorHAnsi"/>
        </w:rPr>
        <w:t xml:space="preserve"> </w:t>
      </w:r>
      <w:r w:rsidRPr="00305D05">
        <w:rPr>
          <w:rFonts w:cstheme="minorHAnsi"/>
        </w:rPr>
        <w:t xml:space="preserve">plots the probability that each combination of </w:t>
      </w:r>
      <w:r w:rsidR="00742E4E">
        <w:rPr>
          <w:rFonts w:cstheme="minorHAnsi"/>
        </w:rPr>
        <w:t xml:space="preserve">diagnostic indicator </w:t>
      </w:r>
      <w:r w:rsidRPr="00305D05">
        <w:rPr>
          <w:rFonts w:cstheme="minorHAnsi"/>
        </w:rPr>
        <w:t xml:space="preserve">sensitivity and specificity is cost-effective for each serological test (i.e. proportion of simulations having a positive incremental net benefit compared to no screening at various willingness to pay thresholds). It shows that the only IgA EMA, IgA TTG plus EMA or IgA TTG strategies with probability greater than 50% of being cost-effective are those with </w:t>
      </w:r>
      <w:r w:rsidR="00F708F9">
        <w:rPr>
          <w:rFonts w:cstheme="minorHAnsi"/>
        </w:rPr>
        <w:t xml:space="preserve">diagnostic indicator </w:t>
      </w:r>
      <w:r w:rsidRPr="00305D05">
        <w:rPr>
          <w:rFonts w:cstheme="minorHAnsi"/>
        </w:rPr>
        <w:t xml:space="preserve">sensitivity above 0.9 or both specificity and sensitivity above 0.8. As expected, the combinations with the highest probability of being cost-effective are those with a specificity of 0.9 and a sensitivity of 0.9 or 1. The serological tests including HLA have a high probability of being cost-effective regardless of the combination of sensitivity and specificity of the risk test. </w:t>
      </w:r>
      <w:r>
        <w:rPr>
          <w:rFonts w:cstheme="minorHAnsi"/>
        </w:rPr>
        <w:t>Only exception is IgA tTG plus EMA which requires a sensitivit</w:t>
      </w:r>
      <w:r w:rsidR="00593EF5">
        <w:rPr>
          <w:rFonts w:cstheme="minorHAnsi"/>
        </w:rPr>
        <w:t xml:space="preserve">y above 0.50 </w:t>
      </w:r>
      <w:r>
        <w:rPr>
          <w:rFonts w:cstheme="minorHAnsi"/>
        </w:rPr>
        <w:t xml:space="preserve">to have a </w:t>
      </w:r>
      <w:r w:rsidR="00593EF5">
        <w:rPr>
          <w:rFonts w:cstheme="minorHAnsi"/>
        </w:rPr>
        <w:t>high probability of being cost-effective.</w:t>
      </w:r>
    </w:p>
    <w:p w14:paraId="06A78620" w14:textId="77777777" w:rsidR="00BF5EA3" w:rsidRPr="00305D05" w:rsidRDefault="00BF5EA3" w:rsidP="00BF5EA3">
      <w:pPr>
        <w:rPr>
          <w:rFonts w:cstheme="minorHAnsi"/>
        </w:rPr>
      </w:pPr>
    </w:p>
    <w:p w14:paraId="68C7E69E" w14:textId="114B485E" w:rsidR="00BF5EA3" w:rsidRPr="00305D05" w:rsidRDefault="00E06431" w:rsidP="00BF5EA3">
      <w:pPr>
        <w:rPr>
          <w:rFonts w:cstheme="minorHAnsi"/>
        </w:rPr>
      </w:pPr>
      <w:r>
        <w:rPr>
          <w:rFonts w:cstheme="minorHAnsi"/>
          <w:noProof/>
        </w:rPr>
        <w:lastRenderedPageBreak/>
        <w:drawing>
          <wp:inline distT="0" distB="0" distL="0" distR="0" wp14:anchorId="476FABD5" wp14:editId="5DA61644">
            <wp:extent cx="5726430" cy="496443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26430" cy="4964430"/>
                    </a:xfrm>
                    <a:prstGeom prst="rect">
                      <a:avLst/>
                    </a:prstGeom>
                    <a:noFill/>
                    <a:ln>
                      <a:noFill/>
                    </a:ln>
                  </pic:spPr>
                </pic:pic>
              </a:graphicData>
            </a:graphic>
          </wp:inline>
        </w:drawing>
      </w:r>
    </w:p>
    <w:p w14:paraId="43E9E714" w14:textId="50E4C9B6" w:rsidR="00460702" w:rsidRPr="00305D05" w:rsidRDefault="00460702" w:rsidP="00460702">
      <w:pPr>
        <w:pStyle w:val="Caption"/>
        <w:rPr>
          <w:rFonts w:cstheme="minorHAnsi"/>
        </w:rPr>
      </w:pPr>
      <w:bookmarkStart w:id="316" w:name="_Ref83908513"/>
      <w:bookmarkStart w:id="317" w:name="_Toc99720804"/>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23</w:t>
      </w:r>
      <w:r w:rsidRPr="00305D05">
        <w:rPr>
          <w:rFonts w:cstheme="minorHAnsi"/>
          <w:noProof/>
        </w:rPr>
        <w:fldChar w:fldCharType="end"/>
      </w:r>
      <w:bookmarkEnd w:id="316"/>
      <w:r w:rsidRPr="00305D05">
        <w:rPr>
          <w:rFonts w:cstheme="minorHAnsi"/>
        </w:rPr>
        <w:t xml:space="preserve">. </w:t>
      </w:r>
      <w:r w:rsidRPr="00DF0708">
        <w:rPr>
          <w:rFonts w:cstheme="minorHAnsi"/>
        </w:rPr>
        <w:t xml:space="preserve">Probability cost-effective at £20,000/QALY compared to no screening at each combination of sensitivity (x-axis) and specificity (line colour) in </w:t>
      </w:r>
      <w:r>
        <w:rPr>
          <w:rFonts w:cstheme="minorHAnsi"/>
        </w:rPr>
        <w:t>children</w:t>
      </w:r>
      <w:bookmarkEnd w:id="317"/>
      <w:r w:rsidRPr="00DF0708" w:rsidDel="00DF0708">
        <w:rPr>
          <w:rFonts w:cstheme="minorHAnsi"/>
        </w:rPr>
        <w:t xml:space="preserve"> </w:t>
      </w:r>
    </w:p>
    <w:p w14:paraId="1C68BDDB" w14:textId="77777777" w:rsidR="00460702" w:rsidRPr="00305D05" w:rsidRDefault="00460702" w:rsidP="00BF5EA3">
      <w:pPr>
        <w:rPr>
          <w:rFonts w:cstheme="minorHAnsi"/>
        </w:rPr>
      </w:pPr>
    </w:p>
    <w:p w14:paraId="57E72F50" w14:textId="449B626A" w:rsidR="00BF5EA3" w:rsidRPr="00305D05" w:rsidRDefault="00BF5EA3" w:rsidP="00BF5EA3">
      <w:pPr>
        <w:rPr>
          <w:rFonts w:cstheme="minorHAnsi"/>
        </w:rPr>
      </w:pPr>
      <w:r w:rsidRPr="00305D05">
        <w:rPr>
          <w:rFonts w:cstheme="minorHAnsi"/>
        </w:rPr>
        <w:t xml:space="preserve">As in adults, we select the testing strategies IgA </w:t>
      </w:r>
      <w:r>
        <w:rPr>
          <w:rFonts w:cstheme="minorHAnsi"/>
        </w:rPr>
        <w:t>tTG</w:t>
      </w:r>
      <w:r w:rsidRPr="00305D05">
        <w:rPr>
          <w:rFonts w:cstheme="minorHAnsi"/>
        </w:rPr>
        <w:t xml:space="preserve"> alone</w:t>
      </w:r>
      <w:r w:rsidR="00593EF5">
        <w:rPr>
          <w:rFonts w:cstheme="minorHAnsi"/>
        </w:rPr>
        <w:t xml:space="preserve">, </w:t>
      </w:r>
      <w:r w:rsidRPr="00305D05">
        <w:rPr>
          <w:rFonts w:cstheme="minorHAnsi"/>
        </w:rPr>
        <w:t>IgA EMA plus HLA</w:t>
      </w:r>
      <w:r w:rsidR="00593EF5">
        <w:rPr>
          <w:rFonts w:cstheme="minorHAnsi"/>
        </w:rPr>
        <w:t xml:space="preserve"> and HLA plus IgA tTG</w:t>
      </w:r>
      <w:r w:rsidRPr="00305D05">
        <w:rPr>
          <w:rFonts w:cstheme="minorHAnsi"/>
        </w:rPr>
        <w:t xml:space="preserve"> to combine with the various </w:t>
      </w:r>
      <w:r w:rsidR="0043224B">
        <w:rPr>
          <w:rFonts w:cstheme="minorHAnsi"/>
        </w:rPr>
        <w:t>pre-test probabilities list in</w:t>
      </w:r>
      <w:r w:rsidRPr="00305D05">
        <w:rPr>
          <w:rFonts w:cstheme="minorHAnsi"/>
        </w:rPr>
        <w:t xml:space="preserve"> </w:t>
      </w:r>
      <w:r w:rsidR="005636AA">
        <w:rPr>
          <w:rFonts w:cstheme="minorHAnsi"/>
          <w:highlight w:val="yellow"/>
        </w:rPr>
        <w:fldChar w:fldCharType="begin"/>
      </w:r>
      <w:r w:rsidR="005636AA">
        <w:rPr>
          <w:rFonts w:cstheme="minorHAnsi"/>
        </w:rPr>
        <w:instrText xml:space="preserve"> REF _Ref83908603 \h </w:instrText>
      </w:r>
      <w:r w:rsidR="005636AA">
        <w:rPr>
          <w:rFonts w:cstheme="minorHAnsi"/>
          <w:highlight w:val="yellow"/>
        </w:rPr>
      </w:r>
      <w:r w:rsidR="005636AA">
        <w:rPr>
          <w:rFonts w:cstheme="minorHAnsi"/>
          <w:highlight w:val="yellow"/>
        </w:rPr>
        <w:fldChar w:fldCharType="separate"/>
      </w:r>
      <w:r w:rsidR="008B5583" w:rsidRPr="00734942">
        <w:t xml:space="preserve">Table </w:t>
      </w:r>
      <w:r w:rsidR="008B5583">
        <w:rPr>
          <w:noProof/>
        </w:rPr>
        <w:t>5</w:t>
      </w:r>
      <w:r w:rsidR="005636AA">
        <w:rPr>
          <w:rFonts w:cstheme="minorHAnsi"/>
          <w:highlight w:val="yellow"/>
        </w:rPr>
        <w:fldChar w:fldCharType="end"/>
      </w:r>
      <w:r w:rsidRPr="00305D05">
        <w:rPr>
          <w:rFonts w:cstheme="minorHAnsi"/>
        </w:rPr>
        <w:t xml:space="preserve">. This is justified as strategies using IgA </w:t>
      </w:r>
      <w:r w:rsidR="00CA0B8B">
        <w:rPr>
          <w:rFonts w:cstheme="minorHAnsi"/>
        </w:rPr>
        <w:t>t</w:t>
      </w:r>
      <w:r w:rsidRPr="00305D05">
        <w:rPr>
          <w:rFonts w:cstheme="minorHAnsi"/>
        </w:rPr>
        <w:t>TG and IgA EMA have similar incremental net benefit and probability of being cost-effective, IgA TTG plus HLA performs worst among strategies with HLA, there is limited difference between IgA TTG plus EMA plus HLA and IgA EMA plus HLA (i.e. not employing TTG)</w:t>
      </w:r>
      <w:r>
        <w:rPr>
          <w:rFonts w:cstheme="minorHAnsi"/>
        </w:rPr>
        <w:t>, the order in which HLA and EMA has little impact</w:t>
      </w:r>
      <w:r w:rsidR="00593EF5">
        <w:rPr>
          <w:rFonts w:cstheme="minorHAnsi"/>
        </w:rPr>
        <w:t xml:space="preserve">, and HLA plus IgA tTG has high cost effectiveness and employs a widely available test. </w:t>
      </w:r>
    </w:p>
    <w:p w14:paraId="5B0EE9D3" w14:textId="6E504908" w:rsidR="00BF5EA3" w:rsidRPr="00305D05" w:rsidRDefault="00BF5EA3" w:rsidP="00BF5EA3">
      <w:pPr>
        <w:rPr>
          <w:rFonts w:cstheme="minorHAnsi"/>
        </w:rPr>
      </w:pPr>
      <w:r w:rsidRPr="00305D05">
        <w:rPr>
          <w:rFonts w:cstheme="minorHAnsi"/>
        </w:rPr>
        <w:fldChar w:fldCharType="begin"/>
      </w:r>
      <w:r w:rsidRPr="00305D05">
        <w:rPr>
          <w:rFonts w:cstheme="minorHAnsi"/>
        </w:rPr>
        <w:instrText xml:space="preserve"> REF _Ref83913340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Table </w:t>
      </w:r>
      <w:r w:rsidR="008B5583">
        <w:rPr>
          <w:rFonts w:cstheme="minorHAnsi"/>
          <w:noProof/>
        </w:rPr>
        <w:t>22</w:t>
      </w:r>
      <w:r w:rsidRPr="00305D05">
        <w:rPr>
          <w:rFonts w:cstheme="minorHAnsi"/>
        </w:rPr>
        <w:fldChar w:fldCharType="end"/>
      </w:r>
      <w:r w:rsidRPr="00305D05">
        <w:rPr>
          <w:rFonts w:cstheme="minorHAnsi"/>
        </w:rPr>
        <w:t xml:space="preserve"> shows the estimated costs, quality adjusted life years and incremental net benefit versus no screening for each of these strategies of interest. All combinations, apart from pre-test probabilities </w:t>
      </w:r>
      <w:r>
        <w:rPr>
          <w:rFonts w:cstheme="minorHAnsi"/>
        </w:rPr>
        <w:t>1.5</w:t>
      </w:r>
      <w:r w:rsidR="00671BD4">
        <w:rPr>
          <w:rFonts w:cstheme="minorHAnsi"/>
        </w:rPr>
        <w:t>% and 2%</w:t>
      </w:r>
      <w:r w:rsidRPr="00305D05">
        <w:rPr>
          <w:rFonts w:cstheme="minorHAnsi"/>
        </w:rPr>
        <w:t xml:space="preserve"> with IgA </w:t>
      </w:r>
      <w:r>
        <w:rPr>
          <w:rFonts w:cstheme="minorHAnsi"/>
        </w:rPr>
        <w:t>tTG</w:t>
      </w:r>
      <w:r w:rsidRPr="00305D05">
        <w:rPr>
          <w:rFonts w:cstheme="minorHAnsi"/>
        </w:rPr>
        <w:t xml:space="preserve">, have positive incremental net benefit at £20,000/QALY compared to no screening. If using only IgA </w:t>
      </w:r>
      <w:r>
        <w:rPr>
          <w:rFonts w:cstheme="minorHAnsi"/>
        </w:rPr>
        <w:t>tTG</w:t>
      </w:r>
      <w:r w:rsidR="00D02883">
        <w:rPr>
          <w:rFonts w:cstheme="minorHAnsi"/>
        </w:rPr>
        <w:t>,</w:t>
      </w:r>
      <w:r w:rsidRPr="00305D05">
        <w:rPr>
          <w:rFonts w:cstheme="minorHAnsi"/>
        </w:rPr>
        <w:t xml:space="preserve"> a pre-test probability of 1% is the most cost-effective strategy (greatest incremental net benefit at £20,000/QALY) with highest costs but also highest QALY</w:t>
      </w:r>
      <w:r w:rsidR="008C6EC8">
        <w:rPr>
          <w:rFonts w:cstheme="minorHAnsi"/>
        </w:rPr>
        <w:t>s</w:t>
      </w:r>
      <w:r w:rsidRPr="00305D05">
        <w:rPr>
          <w:rFonts w:cstheme="minorHAnsi"/>
        </w:rPr>
        <w:t>. If using IgA EMA plus HLA</w:t>
      </w:r>
      <w:r w:rsidR="000F68ED">
        <w:rPr>
          <w:rFonts w:cstheme="minorHAnsi"/>
        </w:rPr>
        <w:t xml:space="preserve"> or HLA plus IgA tTG</w:t>
      </w:r>
      <w:r w:rsidRPr="00305D05">
        <w:rPr>
          <w:rFonts w:cstheme="minorHAnsi"/>
        </w:rPr>
        <w:t xml:space="preserve">, the pre-test probability of </w:t>
      </w:r>
      <w:r w:rsidR="000F68ED">
        <w:rPr>
          <w:rFonts w:cstheme="minorHAnsi"/>
        </w:rPr>
        <w:t>10</w:t>
      </w:r>
      <w:r w:rsidRPr="00305D05">
        <w:rPr>
          <w:rFonts w:cstheme="minorHAnsi"/>
        </w:rPr>
        <w:t>% is most cost-effective</w:t>
      </w:r>
      <w:r w:rsidR="00EE3390">
        <w:rPr>
          <w:rFonts w:cstheme="minorHAnsi"/>
        </w:rPr>
        <w:t xml:space="preserve">. </w:t>
      </w:r>
      <w:r w:rsidR="006649E3">
        <w:rPr>
          <w:rFonts w:cstheme="minorHAnsi"/>
        </w:rPr>
        <w:t xml:space="preserve">As in adults, however, the net benefits of all IgA EMA plus HLA and HLA plus IgA tTG strategies are very similar </w:t>
      </w:r>
      <w:r w:rsidR="0065284D">
        <w:rPr>
          <w:rFonts w:cstheme="minorHAnsi"/>
        </w:rPr>
        <w:t>to each other and to IgA tTG 1%, while the</w:t>
      </w:r>
      <w:r w:rsidR="006649E3">
        <w:rPr>
          <w:rFonts w:cstheme="minorHAnsi"/>
        </w:rPr>
        <w:t xml:space="preserve"> 95% CrI are overlapping indicating</w:t>
      </w:r>
      <w:r w:rsidR="0065284D">
        <w:rPr>
          <w:rFonts w:cstheme="minorHAnsi"/>
        </w:rPr>
        <w:t xml:space="preserve">. This indicates </w:t>
      </w:r>
      <w:r w:rsidR="0065284D">
        <w:rPr>
          <w:rFonts w:cstheme="minorHAnsi"/>
        </w:rPr>
        <w:lastRenderedPageBreak/>
        <w:t xml:space="preserve">little difference </w:t>
      </w:r>
      <w:r w:rsidR="006649E3">
        <w:rPr>
          <w:rFonts w:cstheme="minorHAnsi"/>
        </w:rPr>
        <w:t xml:space="preserve">between </w:t>
      </w:r>
      <w:r w:rsidR="0065284D">
        <w:rPr>
          <w:rFonts w:cstheme="minorHAnsi"/>
        </w:rPr>
        <w:t>the cost-effectiveness of these strategies, but differences are greater than in adults.</w:t>
      </w:r>
    </w:p>
    <w:p w14:paraId="662D34B8" w14:textId="77777777" w:rsidR="00BF5EA3" w:rsidRPr="00305D05" w:rsidRDefault="00BF5EA3" w:rsidP="00BF5EA3">
      <w:pPr>
        <w:rPr>
          <w:rFonts w:cstheme="minorHAnsi"/>
        </w:rPr>
      </w:pPr>
    </w:p>
    <w:p w14:paraId="6F4C545A" w14:textId="77777777" w:rsidR="00BF5EA3" w:rsidRPr="00305D05" w:rsidRDefault="00BF5EA3" w:rsidP="00BF5EA3">
      <w:pPr>
        <w:pStyle w:val="Caption"/>
        <w:rPr>
          <w:rFonts w:cstheme="minorHAnsi"/>
        </w:rPr>
        <w:sectPr w:rsidR="00BF5EA3" w:rsidRPr="00305D05" w:rsidSect="00BA0084">
          <w:pgSz w:w="11906" w:h="16838"/>
          <w:pgMar w:top="1440" w:right="1440" w:bottom="1440" w:left="1440" w:header="708" w:footer="708" w:gutter="0"/>
          <w:cols w:space="708"/>
          <w:titlePg/>
          <w:docGrid w:linePitch="360"/>
        </w:sectPr>
      </w:pPr>
    </w:p>
    <w:p w14:paraId="5E4CF4E8" w14:textId="64F43AC0" w:rsidR="00BF5EA3" w:rsidRPr="00305D05" w:rsidRDefault="00BF5EA3" w:rsidP="00BF5EA3">
      <w:pPr>
        <w:pStyle w:val="Caption"/>
        <w:rPr>
          <w:rFonts w:cstheme="minorHAnsi"/>
        </w:rPr>
      </w:pPr>
      <w:bookmarkStart w:id="318" w:name="_Ref83913340"/>
      <w:bookmarkStart w:id="319" w:name="_Toc99720733"/>
      <w:r w:rsidRPr="00305D05">
        <w:rPr>
          <w:rFonts w:cstheme="minorHAnsi"/>
        </w:rPr>
        <w:lastRenderedPageBreak/>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22</w:t>
      </w:r>
      <w:r w:rsidRPr="00305D05">
        <w:rPr>
          <w:rFonts w:cstheme="minorHAnsi"/>
          <w:noProof/>
        </w:rPr>
        <w:fldChar w:fldCharType="end"/>
      </w:r>
      <w:bookmarkEnd w:id="318"/>
      <w:r w:rsidRPr="00305D05">
        <w:rPr>
          <w:rFonts w:cstheme="minorHAnsi"/>
        </w:rPr>
        <w:t xml:space="preserve"> Costs, QALYs and incremental net benefit at £20,000/QALY associated with strategies of interest in children. Mean estimates with 95% confidence intervals.</w:t>
      </w:r>
      <w:bookmarkEnd w:id="319"/>
    </w:p>
    <w:tbl>
      <w:tblPr>
        <w:tblStyle w:val="TableGrid"/>
        <w:tblW w:w="14030" w:type="dxa"/>
        <w:tblLook w:val="04A0" w:firstRow="1" w:lastRow="0" w:firstColumn="1" w:lastColumn="0" w:noHBand="0" w:noVBand="1"/>
      </w:tblPr>
      <w:tblGrid>
        <w:gridCol w:w="1517"/>
        <w:gridCol w:w="1313"/>
        <w:gridCol w:w="1134"/>
        <w:gridCol w:w="1703"/>
        <w:gridCol w:w="2268"/>
        <w:gridCol w:w="2693"/>
        <w:gridCol w:w="3402"/>
      </w:tblGrid>
      <w:tr w:rsidR="00E24A2A" w:rsidRPr="00403121" w14:paraId="76D15818" w14:textId="77777777" w:rsidTr="008F031B">
        <w:tc>
          <w:tcPr>
            <w:tcW w:w="1517" w:type="dxa"/>
            <w:shd w:val="clear" w:color="auto" w:fill="E7E6E6" w:themeFill="background2"/>
            <w:vAlign w:val="center"/>
          </w:tcPr>
          <w:p w14:paraId="495C5DFE" w14:textId="77777777" w:rsidR="00E24A2A" w:rsidRPr="00403121" w:rsidRDefault="00E24A2A" w:rsidP="00E24A2A">
            <w:pPr>
              <w:jc w:val="center"/>
              <w:rPr>
                <w:rFonts w:cstheme="minorHAnsi"/>
                <w:b/>
                <w:sz w:val="20"/>
                <w:szCs w:val="20"/>
              </w:rPr>
            </w:pPr>
            <w:r w:rsidRPr="00403121">
              <w:rPr>
                <w:rFonts w:cstheme="minorHAnsi"/>
                <w:b/>
                <w:color w:val="000000"/>
                <w:sz w:val="20"/>
                <w:szCs w:val="20"/>
              </w:rPr>
              <w:t>Pre-test probability for blood test</w:t>
            </w:r>
          </w:p>
        </w:tc>
        <w:tc>
          <w:tcPr>
            <w:tcW w:w="1313" w:type="dxa"/>
            <w:shd w:val="clear" w:color="auto" w:fill="E7E6E6" w:themeFill="background2"/>
            <w:vAlign w:val="center"/>
          </w:tcPr>
          <w:p w14:paraId="0F31B8CE" w14:textId="52134AB3" w:rsidR="00E24A2A" w:rsidRPr="00403121" w:rsidRDefault="00E24A2A" w:rsidP="00E24A2A">
            <w:pPr>
              <w:jc w:val="center"/>
              <w:rPr>
                <w:rFonts w:cstheme="minorHAnsi"/>
                <w:b/>
                <w:color w:val="000000"/>
                <w:sz w:val="20"/>
                <w:szCs w:val="20"/>
              </w:rPr>
            </w:pPr>
            <w:r w:rsidRPr="00403121">
              <w:rPr>
                <w:rFonts w:cstheme="minorHAnsi"/>
                <w:b/>
                <w:color w:val="000000"/>
                <w:sz w:val="20"/>
                <w:szCs w:val="20"/>
              </w:rPr>
              <w:t>Sensitivity</w:t>
            </w:r>
          </w:p>
        </w:tc>
        <w:tc>
          <w:tcPr>
            <w:tcW w:w="1134" w:type="dxa"/>
            <w:shd w:val="clear" w:color="auto" w:fill="E7E6E6" w:themeFill="background2"/>
            <w:vAlign w:val="center"/>
          </w:tcPr>
          <w:p w14:paraId="018B60CD" w14:textId="49259F47" w:rsidR="00E24A2A" w:rsidRPr="00403121" w:rsidRDefault="00E24A2A" w:rsidP="00E24A2A">
            <w:pPr>
              <w:jc w:val="center"/>
              <w:rPr>
                <w:rFonts w:cstheme="minorHAnsi"/>
                <w:b/>
                <w:color w:val="000000"/>
                <w:sz w:val="20"/>
                <w:szCs w:val="20"/>
              </w:rPr>
            </w:pPr>
            <w:r w:rsidRPr="00403121">
              <w:rPr>
                <w:rFonts w:cstheme="minorHAnsi"/>
                <w:b/>
                <w:color w:val="000000"/>
                <w:sz w:val="20"/>
                <w:szCs w:val="20"/>
              </w:rPr>
              <w:t>Specificity</w:t>
            </w:r>
          </w:p>
        </w:tc>
        <w:tc>
          <w:tcPr>
            <w:tcW w:w="1703" w:type="dxa"/>
            <w:shd w:val="clear" w:color="auto" w:fill="E7E6E6" w:themeFill="background2"/>
            <w:vAlign w:val="center"/>
          </w:tcPr>
          <w:p w14:paraId="778EC0D2" w14:textId="77777777" w:rsidR="00E24A2A" w:rsidRPr="00403121" w:rsidRDefault="00E24A2A" w:rsidP="00E24A2A">
            <w:pPr>
              <w:jc w:val="center"/>
              <w:rPr>
                <w:rFonts w:cstheme="minorHAnsi"/>
                <w:b/>
                <w:sz w:val="20"/>
                <w:szCs w:val="20"/>
              </w:rPr>
            </w:pPr>
            <w:r w:rsidRPr="00403121">
              <w:rPr>
                <w:rFonts w:cstheme="minorHAnsi"/>
                <w:b/>
                <w:color w:val="000000"/>
                <w:sz w:val="20"/>
                <w:szCs w:val="20"/>
              </w:rPr>
              <w:t>Test</w:t>
            </w:r>
          </w:p>
        </w:tc>
        <w:tc>
          <w:tcPr>
            <w:tcW w:w="2268" w:type="dxa"/>
            <w:shd w:val="clear" w:color="auto" w:fill="E7E6E6" w:themeFill="background2"/>
            <w:vAlign w:val="center"/>
          </w:tcPr>
          <w:p w14:paraId="005C9826" w14:textId="0696D35E" w:rsidR="00E24A2A" w:rsidRPr="00403121" w:rsidRDefault="00E24A2A" w:rsidP="00E24A2A">
            <w:pPr>
              <w:jc w:val="center"/>
              <w:rPr>
                <w:rFonts w:cstheme="minorHAnsi"/>
                <w:b/>
                <w:sz w:val="20"/>
                <w:szCs w:val="20"/>
              </w:rPr>
            </w:pPr>
            <w:r w:rsidRPr="00403121">
              <w:rPr>
                <w:rFonts w:cstheme="minorHAnsi"/>
                <w:b/>
                <w:color w:val="000000"/>
                <w:sz w:val="20"/>
                <w:szCs w:val="20"/>
              </w:rPr>
              <w:t>Costs</w:t>
            </w:r>
            <w:r w:rsidR="00570164">
              <w:rPr>
                <w:rFonts w:cstheme="minorHAnsi"/>
                <w:b/>
                <w:color w:val="000000"/>
                <w:sz w:val="20"/>
                <w:szCs w:val="20"/>
              </w:rPr>
              <w:t xml:space="preserve"> (£)</w:t>
            </w:r>
          </w:p>
        </w:tc>
        <w:tc>
          <w:tcPr>
            <w:tcW w:w="2693" w:type="dxa"/>
            <w:shd w:val="clear" w:color="auto" w:fill="E7E6E6" w:themeFill="background2"/>
            <w:vAlign w:val="center"/>
          </w:tcPr>
          <w:p w14:paraId="7B4592CA" w14:textId="77777777" w:rsidR="00E24A2A" w:rsidRPr="00403121" w:rsidRDefault="00E24A2A" w:rsidP="00E24A2A">
            <w:pPr>
              <w:jc w:val="center"/>
              <w:rPr>
                <w:rFonts w:cstheme="minorHAnsi"/>
                <w:b/>
                <w:sz w:val="20"/>
                <w:szCs w:val="20"/>
              </w:rPr>
            </w:pPr>
            <w:r w:rsidRPr="00403121">
              <w:rPr>
                <w:rFonts w:cstheme="minorHAnsi"/>
                <w:b/>
                <w:color w:val="000000"/>
                <w:sz w:val="20"/>
                <w:szCs w:val="20"/>
              </w:rPr>
              <w:t>QALYs</w:t>
            </w:r>
          </w:p>
        </w:tc>
        <w:tc>
          <w:tcPr>
            <w:tcW w:w="3402" w:type="dxa"/>
            <w:shd w:val="clear" w:color="auto" w:fill="E7E6E6" w:themeFill="background2"/>
            <w:vAlign w:val="center"/>
          </w:tcPr>
          <w:p w14:paraId="371D36F0" w14:textId="77777777" w:rsidR="00E24A2A" w:rsidRPr="00403121" w:rsidRDefault="00E24A2A" w:rsidP="00E24A2A">
            <w:pPr>
              <w:jc w:val="center"/>
              <w:rPr>
                <w:rFonts w:cstheme="minorHAnsi"/>
                <w:b/>
                <w:sz w:val="20"/>
                <w:szCs w:val="20"/>
              </w:rPr>
            </w:pPr>
            <w:r w:rsidRPr="00403121">
              <w:rPr>
                <w:rFonts w:cstheme="minorHAnsi"/>
                <w:b/>
                <w:color w:val="000000"/>
                <w:sz w:val="20"/>
                <w:szCs w:val="20"/>
              </w:rPr>
              <w:t>Incremental net benefit at £20,000/QALY vs no screening</w:t>
            </w:r>
          </w:p>
        </w:tc>
      </w:tr>
      <w:tr w:rsidR="008F031B" w:rsidRPr="00403121" w14:paraId="2424BF83" w14:textId="77777777" w:rsidTr="000526F1">
        <w:tc>
          <w:tcPr>
            <w:tcW w:w="5667" w:type="dxa"/>
            <w:gridSpan w:val="4"/>
            <w:vAlign w:val="center"/>
          </w:tcPr>
          <w:p w14:paraId="01BE4F14" w14:textId="7174D337" w:rsidR="008F031B" w:rsidRPr="00403121" w:rsidRDefault="008F031B" w:rsidP="008F031B">
            <w:pPr>
              <w:jc w:val="center"/>
              <w:rPr>
                <w:rFonts w:cstheme="minorHAnsi"/>
                <w:color w:val="000000"/>
                <w:sz w:val="20"/>
                <w:szCs w:val="20"/>
              </w:rPr>
            </w:pPr>
            <w:r w:rsidRPr="00403121">
              <w:rPr>
                <w:rFonts w:cstheme="minorHAnsi"/>
                <w:color w:val="000000"/>
                <w:sz w:val="20"/>
                <w:szCs w:val="20"/>
              </w:rPr>
              <w:t>No screening</w:t>
            </w:r>
          </w:p>
        </w:tc>
        <w:tc>
          <w:tcPr>
            <w:tcW w:w="2268" w:type="dxa"/>
            <w:vAlign w:val="bottom"/>
          </w:tcPr>
          <w:p w14:paraId="051A5581" w14:textId="0DCF2392" w:rsidR="008F031B" w:rsidRPr="00403121" w:rsidRDefault="008F031B" w:rsidP="008F031B">
            <w:pPr>
              <w:jc w:val="center"/>
              <w:rPr>
                <w:rFonts w:cstheme="minorHAnsi"/>
                <w:sz w:val="20"/>
                <w:szCs w:val="20"/>
              </w:rPr>
            </w:pPr>
            <w:r w:rsidRPr="000526F1">
              <w:rPr>
                <w:rFonts w:cstheme="minorHAnsi"/>
                <w:sz w:val="20"/>
                <w:szCs w:val="20"/>
              </w:rPr>
              <w:t>11746 (10204, 12966)</w:t>
            </w:r>
          </w:p>
        </w:tc>
        <w:tc>
          <w:tcPr>
            <w:tcW w:w="2693" w:type="dxa"/>
            <w:vAlign w:val="bottom"/>
          </w:tcPr>
          <w:p w14:paraId="5E4EE91D" w14:textId="5E945062" w:rsidR="008F031B" w:rsidRPr="00403121" w:rsidRDefault="008F031B" w:rsidP="008F031B">
            <w:pPr>
              <w:jc w:val="center"/>
              <w:rPr>
                <w:rFonts w:cstheme="minorHAnsi"/>
                <w:sz w:val="20"/>
                <w:szCs w:val="20"/>
              </w:rPr>
            </w:pPr>
            <w:r w:rsidRPr="000526F1">
              <w:rPr>
                <w:rFonts w:cstheme="minorHAnsi"/>
                <w:sz w:val="20"/>
                <w:szCs w:val="20"/>
              </w:rPr>
              <w:t>20.6 (19.18, 21.6)</w:t>
            </w:r>
          </w:p>
        </w:tc>
        <w:tc>
          <w:tcPr>
            <w:tcW w:w="3402" w:type="dxa"/>
            <w:vAlign w:val="bottom"/>
          </w:tcPr>
          <w:p w14:paraId="1451E0AB" w14:textId="7ADCB037" w:rsidR="008F031B" w:rsidRPr="00403121" w:rsidRDefault="008F031B" w:rsidP="008F031B">
            <w:pPr>
              <w:jc w:val="center"/>
              <w:rPr>
                <w:rFonts w:cstheme="minorHAnsi"/>
                <w:sz w:val="20"/>
                <w:szCs w:val="20"/>
              </w:rPr>
            </w:pPr>
            <w:r w:rsidRPr="000526F1">
              <w:rPr>
                <w:rFonts w:cstheme="minorHAnsi"/>
                <w:sz w:val="20"/>
                <w:szCs w:val="20"/>
              </w:rPr>
              <w:t>0 (0, 0)</w:t>
            </w:r>
          </w:p>
        </w:tc>
      </w:tr>
      <w:tr w:rsidR="008F031B" w:rsidRPr="00403121" w14:paraId="402529E8" w14:textId="77777777" w:rsidTr="000526F1">
        <w:tc>
          <w:tcPr>
            <w:tcW w:w="1517" w:type="dxa"/>
            <w:vAlign w:val="center"/>
          </w:tcPr>
          <w:p w14:paraId="30D3D1B1" w14:textId="77777777" w:rsidR="008F031B" w:rsidRPr="00403121" w:rsidRDefault="008F031B" w:rsidP="008F031B">
            <w:pPr>
              <w:jc w:val="center"/>
              <w:rPr>
                <w:rFonts w:cstheme="minorHAnsi"/>
                <w:sz w:val="20"/>
                <w:szCs w:val="20"/>
              </w:rPr>
            </w:pPr>
            <w:r w:rsidRPr="006527A3">
              <w:rPr>
                <w:rFonts w:cstheme="minorHAnsi"/>
                <w:color w:val="000000"/>
                <w:sz w:val="20"/>
                <w:szCs w:val="20"/>
              </w:rPr>
              <w:t>1%</w:t>
            </w:r>
          </w:p>
        </w:tc>
        <w:tc>
          <w:tcPr>
            <w:tcW w:w="1313" w:type="dxa"/>
            <w:vAlign w:val="center"/>
          </w:tcPr>
          <w:p w14:paraId="1922E4BD" w14:textId="435C2FFF"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1</w:t>
            </w:r>
          </w:p>
        </w:tc>
        <w:tc>
          <w:tcPr>
            <w:tcW w:w="1134" w:type="dxa"/>
            <w:vAlign w:val="center"/>
          </w:tcPr>
          <w:p w14:paraId="6AADDAE2" w14:textId="42AA353C"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w:t>
            </w:r>
          </w:p>
        </w:tc>
        <w:tc>
          <w:tcPr>
            <w:tcW w:w="1703" w:type="dxa"/>
            <w:vAlign w:val="center"/>
          </w:tcPr>
          <w:p w14:paraId="4920499E" w14:textId="77777777" w:rsidR="008F031B" w:rsidRPr="00403121" w:rsidRDefault="008F031B" w:rsidP="008F031B">
            <w:pPr>
              <w:jc w:val="center"/>
              <w:rPr>
                <w:rFonts w:cstheme="minorHAnsi"/>
                <w:sz w:val="20"/>
                <w:szCs w:val="20"/>
              </w:rPr>
            </w:pPr>
            <w:r w:rsidRPr="00403121">
              <w:rPr>
                <w:rFonts w:cstheme="minorHAnsi"/>
                <w:color w:val="000000"/>
                <w:sz w:val="20"/>
                <w:szCs w:val="20"/>
              </w:rPr>
              <w:t>IgA tTG</w:t>
            </w:r>
          </w:p>
        </w:tc>
        <w:tc>
          <w:tcPr>
            <w:tcW w:w="2268" w:type="dxa"/>
            <w:vAlign w:val="bottom"/>
          </w:tcPr>
          <w:p w14:paraId="29BC23ED" w14:textId="7F612E67" w:rsidR="008F031B" w:rsidRPr="00403121" w:rsidRDefault="008F031B" w:rsidP="008F031B">
            <w:pPr>
              <w:jc w:val="center"/>
              <w:rPr>
                <w:rFonts w:cstheme="minorHAnsi"/>
                <w:sz w:val="20"/>
                <w:szCs w:val="20"/>
              </w:rPr>
            </w:pPr>
            <w:r w:rsidRPr="000526F1">
              <w:rPr>
                <w:rFonts w:cstheme="minorHAnsi"/>
                <w:sz w:val="20"/>
                <w:szCs w:val="20"/>
              </w:rPr>
              <w:t>13537 (12558, 14637)</w:t>
            </w:r>
          </w:p>
        </w:tc>
        <w:tc>
          <w:tcPr>
            <w:tcW w:w="2693" w:type="dxa"/>
            <w:vAlign w:val="bottom"/>
          </w:tcPr>
          <w:p w14:paraId="31BAFA7D" w14:textId="43248044" w:rsidR="008F031B" w:rsidRPr="00403121" w:rsidRDefault="008F031B" w:rsidP="008F031B">
            <w:pPr>
              <w:jc w:val="center"/>
              <w:rPr>
                <w:rFonts w:cstheme="minorHAnsi"/>
                <w:sz w:val="20"/>
                <w:szCs w:val="20"/>
              </w:rPr>
            </w:pPr>
            <w:r w:rsidRPr="000526F1">
              <w:rPr>
                <w:rFonts w:cstheme="minorHAnsi"/>
                <w:sz w:val="20"/>
                <w:szCs w:val="20"/>
              </w:rPr>
              <w:t>21.29 (20.29, 22.14)</w:t>
            </w:r>
          </w:p>
        </w:tc>
        <w:tc>
          <w:tcPr>
            <w:tcW w:w="3402" w:type="dxa"/>
            <w:vAlign w:val="bottom"/>
          </w:tcPr>
          <w:p w14:paraId="6D285A82" w14:textId="6A597EC7" w:rsidR="008F031B" w:rsidRPr="00403121" w:rsidRDefault="008F031B" w:rsidP="008F031B">
            <w:pPr>
              <w:jc w:val="center"/>
              <w:rPr>
                <w:rFonts w:cstheme="minorHAnsi"/>
                <w:sz w:val="20"/>
                <w:szCs w:val="20"/>
              </w:rPr>
            </w:pPr>
            <w:r w:rsidRPr="000526F1">
              <w:rPr>
                <w:rFonts w:cstheme="minorHAnsi"/>
                <w:sz w:val="20"/>
                <w:szCs w:val="20"/>
              </w:rPr>
              <w:t>12203 (3257, 34639)</w:t>
            </w:r>
          </w:p>
        </w:tc>
      </w:tr>
      <w:tr w:rsidR="008F031B" w:rsidRPr="00403121" w14:paraId="3BEE06F1" w14:textId="77777777" w:rsidTr="000526F1">
        <w:tc>
          <w:tcPr>
            <w:tcW w:w="1517" w:type="dxa"/>
            <w:vAlign w:val="center"/>
          </w:tcPr>
          <w:p w14:paraId="6CC58CB5" w14:textId="06617C7A" w:rsidR="008F031B" w:rsidRPr="00403121" w:rsidRDefault="008F031B" w:rsidP="008F031B">
            <w:pPr>
              <w:jc w:val="center"/>
              <w:rPr>
                <w:rFonts w:cstheme="minorHAnsi"/>
                <w:sz w:val="20"/>
                <w:szCs w:val="20"/>
              </w:rPr>
            </w:pPr>
            <w:r w:rsidRPr="006527A3">
              <w:rPr>
                <w:rFonts w:cstheme="minorHAnsi"/>
                <w:color w:val="000000"/>
                <w:sz w:val="20"/>
                <w:szCs w:val="20"/>
              </w:rPr>
              <w:t>1.5%</w:t>
            </w:r>
          </w:p>
        </w:tc>
        <w:tc>
          <w:tcPr>
            <w:tcW w:w="1313" w:type="dxa"/>
            <w:vAlign w:val="center"/>
          </w:tcPr>
          <w:p w14:paraId="0B2FE3F7" w14:textId="16C91258"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0.882</w:t>
            </w:r>
          </w:p>
        </w:tc>
        <w:tc>
          <w:tcPr>
            <w:tcW w:w="1134" w:type="dxa"/>
            <w:vAlign w:val="center"/>
          </w:tcPr>
          <w:p w14:paraId="47493879" w14:textId="3AD181C0"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0.417</w:t>
            </w:r>
          </w:p>
        </w:tc>
        <w:tc>
          <w:tcPr>
            <w:tcW w:w="1703" w:type="dxa"/>
            <w:vAlign w:val="center"/>
          </w:tcPr>
          <w:p w14:paraId="71B3FD61" w14:textId="77777777" w:rsidR="008F031B" w:rsidRPr="00403121" w:rsidRDefault="008F031B" w:rsidP="008F031B">
            <w:pPr>
              <w:jc w:val="center"/>
              <w:rPr>
                <w:rFonts w:cstheme="minorHAnsi"/>
                <w:sz w:val="20"/>
                <w:szCs w:val="20"/>
              </w:rPr>
            </w:pPr>
            <w:r w:rsidRPr="00403121">
              <w:rPr>
                <w:rFonts w:cstheme="minorHAnsi"/>
                <w:color w:val="000000"/>
                <w:sz w:val="20"/>
                <w:szCs w:val="20"/>
              </w:rPr>
              <w:t>IgA tTG</w:t>
            </w:r>
          </w:p>
        </w:tc>
        <w:tc>
          <w:tcPr>
            <w:tcW w:w="2268" w:type="dxa"/>
            <w:vAlign w:val="bottom"/>
          </w:tcPr>
          <w:p w14:paraId="6DB136E3" w14:textId="64F1022D" w:rsidR="008F031B" w:rsidRPr="00403121" w:rsidRDefault="008F031B" w:rsidP="008F031B">
            <w:pPr>
              <w:jc w:val="center"/>
              <w:rPr>
                <w:rFonts w:cstheme="minorHAnsi"/>
                <w:sz w:val="20"/>
                <w:szCs w:val="20"/>
              </w:rPr>
            </w:pPr>
            <w:r w:rsidRPr="000526F1">
              <w:rPr>
                <w:rFonts w:cstheme="minorHAnsi"/>
                <w:sz w:val="20"/>
                <w:szCs w:val="20"/>
              </w:rPr>
              <w:t>13074 (11577, 14280)</w:t>
            </w:r>
          </w:p>
        </w:tc>
        <w:tc>
          <w:tcPr>
            <w:tcW w:w="2693" w:type="dxa"/>
            <w:vAlign w:val="bottom"/>
          </w:tcPr>
          <w:p w14:paraId="42939B2D" w14:textId="0CED587C" w:rsidR="008F031B" w:rsidRPr="00403121" w:rsidRDefault="008F031B" w:rsidP="008F031B">
            <w:pPr>
              <w:jc w:val="center"/>
              <w:rPr>
                <w:rFonts w:cstheme="minorHAnsi"/>
                <w:sz w:val="20"/>
                <w:szCs w:val="20"/>
              </w:rPr>
            </w:pPr>
            <w:r w:rsidRPr="000526F1">
              <w:rPr>
                <w:rFonts w:cstheme="minorHAnsi"/>
                <w:sz w:val="20"/>
                <w:szCs w:val="20"/>
              </w:rPr>
              <w:t>20.62 (19.25, 21.61)</w:t>
            </w:r>
          </w:p>
        </w:tc>
        <w:tc>
          <w:tcPr>
            <w:tcW w:w="3402" w:type="dxa"/>
            <w:vAlign w:val="bottom"/>
          </w:tcPr>
          <w:p w14:paraId="33B4D8CD" w14:textId="08684240" w:rsidR="008F031B" w:rsidRPr="00403121" w:rsidRDefault="008F031B" w:rsidP="008F031B">
            <w:pPr>
              <w:jc w:val="center"/>
              <w:rPr>
                <w:rFonts w:cstheme="minorHAnsi"/>
                <w:sz w:val="20"/>
                <w:szCs w:val="20"/>
              </w:rPr>
            </w:pPr>
            <w:r w:rsidRPr="000526F1">
              <w:rPr>
                <w:rFonts w:cstheme="minorHAnsi"/>
                <w:sz w:val="20"/>
                <w:szCs w:val="20"/>
              </w:rPr>
              <w:t>-841 (-1296, 242)</w:t>
            </w:r>
          </w:p>
        </w:tc>
      </w:tr>
      <w:tr w:rsidR="008F031B" w:rsidRPr="00403121" w14:paraId="2F2F0306" w14:textId="77777777" w:rsidTr="000526F1">
        <w:tc>
          <w:tcPr>
            <w:tcW w:w="1517" w:type="dxa"/>
            <w:vAlign w:val="center"/>
          </w:tcPr>
          <w:p w14:paraId="358D168E" w14:textId="77777777" w:rsidR="008F031B" w:rsidRPr="00403121" w:rsidRDefault="008F031B" w:rsidP="008F031B">
            <w:pPr>
              <w:jc w:val="center"/>
              <w:rPr>
                <w:rFonts w:cstheme="minorHAnsi"/>
                <w:sz w:val="20"/>
                <w:szCs w:val="20"/>
              </w:rPr>
            </w:pPr>
            <w:r w:rsidRPr="006527A3">
              <w:rPr>
                <w:rFonts w:cstheme="minorHAnsi"/>
                <w:color w:val="000000"/>
                <w:sz w:val="20"/>
                <w:szCs w:val="20"/>
              </w:rPr>
              <w:t>2%</w:t>
            </w:r>
          </w:p>
        </w:tc>
        <w:tc>
          <w:tcPr>
            <w:tcW w:w="1313" w:type="dxa"/>
            <w:vAlign w:val="center"/>
          </w:tcPr>
          <w:p w14:paraId="29DD9C85" w14:textId="126B7D0B"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0.807</w:t>
            </w:r>
          </w:p>
        </w:tc>
        <w:tc>
          <w:tcPr>
            <w:tcW w:w="1134" w:type="dxa"/>
            <w:vAlign w:val="center"/>
          </w:tcPr>
          <w:p w14:paraId="35CA7641" w14:textId="40A8BDC0"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0.61</w:t>
            </w:r>
          </w:p>
        </w:tc>
        <w:tc>
          <w:tcPr>
            <w:tcW w:w="1703" w:type="dxa"/>
            <w:vAlign w:val="center"/>
          </w:tcPr>
          <w:p w14:paraId="00A7189C" w14:textId="77777777" w:rsidR="008F031B" w:rsidRPr="00403121" w:rsidRDefault="008F031B" w:rsidP="008F031B">
            <w:pPr>
              <w:jc w:val="center"/>
              <w:rPr>
                <w:rFonts w:cstheme="minorHAnsi"/>
                <w:sz w:val="20"/>
                <w:szCs w:val="20"/>
              </w:rPr>
            </w:pPr>
            <w:r w:rsidRPr="00403121">
              <w:rPr>
                <w:rFonts w:cstheme="minorHAnsi"/>
                <w:color w:val="000000"/>
                <w:sz w:val="20"/>
                <w:szCs w:val="20"/>
              </w:rPr>
              <w:t>IgA tTG</w:t>
            </w:r>
          </w:p>
        </w:tc>
        <w:tc>
          <w:tcPr>
            <w:tcW w:w="2268" w:type="dxa"/>
            <w:vAlign w:val="bottom"/>
          </w:tcPr>
          <w:p w14:paraId="40B489C7" w14:textId="119FA793" w:rsidR="008F031B" w:rsidRPr="00403121" w:rsidRDefault="008F031B" w:rsidP="008F031B">
            <w:pPr>
              <w:jc w:val="center"/>
              <w:rPr>
                <w:rFonts w:cstheme="minorHAnsi"/>
                <w:sz w:val="20"/>
                <w:szCs w:val="20"/>
              </w:rPr>
            </w:pPr>
            <w:r w:rsidRPr="000526F1">
              <w:rPr>
                <w:rFonts w:cstheme="minorHAnsi"/>
                <w:sz w:val="20"/>
                <w:szCs w:val="20"/>
              </w:rPr>
              <w:t>12914 (11431, 14119)</w:t>
            </w:r>
          </w:p>
        </w:tc>
        <w:tc>
          <w:tcPr>
            <w:tcW w:w="2693" w:type="dxa"/>
            <w:vAlign w:val="bottom"/>
          </w:tcPr>
          <w:p w14:paraId="69167F41" w14:textId="34EC62E2" w:rsidR="008F031B" w:rsidRPr="00403121" w:rsidRDefault="008F031B" w:rsidP="008F031B">
            <w:pPr>
              <w:jc w:val="center"/>
              <w:rPr>
                <w:rFonts w:cstheme="minorHAnsi"/>
                <w:sz w:val="20"/>
                <w:szCs w:val="20"/>
              </w:rPr>
            </w:pPr>
            <w:r w:rsidRPr="000526F1">
              <w:rPr>
                <w:rFonts w:cstheme="minorHAnsi"/>
                <w:sz w:val="20"/>
                <w:szCs w:val="20"/>
              </w:rPr>
              <w:t>20.62 (19.27, 21.62)</w:t>
            </w:r>
          </w:p>
        </w:tc>
        <w:tc>
          <w:tcPr>
            <w:tcW w:w="3402" w:type="dxa"/>
            <w:vAlign w:val="bottom"/>
          </w:tcPr>
          <w:p w14:paraId="1F1CCE9C" w14:textId="6B9A3F95" w:rsidR="008F031B" w:rsidRPr="00403121" w:rsidRDefault="008F031B" w:rsidP="008F031B">
            <w:pPr>
              <w:jc w:val="center"/>
              <w:rPr>
                <w:rFonts w:cstheme="minorHAnsi"/>
                <w:sz w:val="20"/>
                <w:szCs w:val="20"/>
              </w:rPr>
            </w:pPr>
            <w:r w:rsidRPr="000526F1">
              <w:rPr>
                <w:rFonts w:cstheme="minorHAnsi"/>
                <w:sz w:val="20"/>
                <w:szCs w:val="20"/>
              </w:rPr>
              <w:t>-574 (-1074, 638)</w:t>
            </w:r>
          </w:p>
        </w:tc>
      </w:tr>
      <w:tr w:rsidR="008F031B" w:rsidRPr="00403121" w14:paraId="4D186B7B" w14:textId="77777777" w:rsidTr="000526F1">
        <w:tc>
          <w:tcPr>
            <w:tcW w:w="1517" w:type="dxa"/>
            <w:vAlign w:val="center"/>
          </w:tcPr>
          <w:p w14:paraId="3993DA8B" w14:textId="77777777" w:rsidR="008F031B" w:rsidRPr="00403121" w:rsidRDefault="008F031B" w:rsidP="008F031B">
            <w:pPr>
              <w:jc w:val="center"/>
              <w:rPr>
                <w:rFonts w:cstheme="minorHAnsi"/>
                <w:sz w:val="20"/>
                <w:szCs w:val="20"/>
              </w:rPr>
            </w:pPr>
            <w:r w:rsidRPr="006527A3">
              <w:rPr>
                <w:rFonts w:cstheme="minorHAnsi"/>
                <w:color w:val="000000"/>
                <w:sz w:val="20"/>
                <w:szCs w:val="20"/>
              </w:rPr>
              <w:t>5%</w:t>
            </w:r>
          </w:p>
        </w:tc>
        <w:tc>
          <w:tcPr>
            <w:tcW w:w="1313" w:type="dxa"/>
            <w:vAlign w:val="center"/>
          </w:tcPr>
          <w:p w14:paraId="11F0C9B0" w14:textId="248455C7"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0.667</w:t>
            </w:r>
          </w:p>
        </w:tc>
        <w:tc>
          <w:tcPr>
            <w:tcW w:w="1134" w:type="dxa"/>
            <w:vAlign w:val="center"/>
          </w:tcPr>
          <w:p w14:paraId="5D762F6A" w14:textId="03DB83C5"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0.872</w:t>
            </w:r>
          </w:p>
        </w:tc>
        <w:tc>
          <w:tcPr>
            <w:tcW w:w="1703" w:type="dxa"/>
            <w:vAlign w:val="center"/>
          </w:tcPr>
          <w:p w14:paraId="7833C668" w14:textId="77777777" w:rsidR="008F031B" w:rsidRPr="00403121" w:rsidRDefault="008F031B" w:rsidP="008F031B">
            <w:pPr>
              <w:jc w:val="center"/>
              <w:rPr>
                <w:rFonts w:cstheme="minorHAnsi"/>
                <w:sz w:val="20"/>
                <w:szCs w:val="20"/>
              </w:rPr>
            </w:pPr>
            <w:r w:rsidRPr="00403121">
              <w:rPr>
                <w:rFonts w:cstheme="minorHAnsi"/>
                <w:color w:val="000000"/>
                <w:sz w:val="20"/>
                <w:szCs w:val="20"/>
              </w:rPr>
              <w:t>IgA tTG</w:t>
            </w:r>
          </w:p>
        </w:tc>
        <w:tc>
          <w:tcPr>
            <w:tcW w:w="2268" w:type="dxa"/>
            <w:vAlign w:val="bottom"/>
          </w:tcPr>
          <w:p w14:paraId="30316733" w14:textId="17861BE9" w:rsidR="008F031B" w:rsidRPr="00403121" w:rsidRDefault="008F031B" w:rsidP="008F031B">
            <w:pPr>
              <w:jc w:val="center"/>
              <w:rPr>
                <w:rFonts w:cstheme="minorHAnsi"/>
                <w:sz w:val="20"/>
                <w:szCs w:val="20"/>
              </w:rPr>
            </w:pPr>
            <w:r w:rsidRPr="000526F1">
              <w:rPr>
                <w:rFonts w:cstheme="minorHAnsi"/>
                <w:sz w:val="20"/>
                <w:szCs w:val="20"/>
              </w:rPr>
              <w:t>12713 (11343, 13890)</w:t>
            </w:r>
          </w:p>
        </w:tc>
        <w:tc>
          <w:tcPr>
            <w:tcW w:w="2693" w:type="dxa"/>
            <w:vAlign w:val="bottom"/>
          </w:tcPr>
          <w:p w14:paraId="7250D91B" w14:textId="0EE978F6" w:rsidR="008F031B" w:rsidRPr="00403121" w:rsidRDefault="008F031B" w:rsidP="008F031B">
            <w:pPr>
              <w:jc w:val="center"/>
              <w:rPr>
                <w:rFonts w:cstheme="minorHAnsi"/>
                <w:sz w:val="20"/>
                <w:szCs w:val="20"/>
              </w:rPr>
            </w:pPr>
            <w:r w:rsidRPr="000526F1">
              <w:rPr>
                <w:rFonts w:cstheme="minorHAnsi"/>
                <w:sz w:val="20"/>
                <w:szCs w:val="20"/>
              </w:rPr>
              <w:t>20.71 (19.48, 21.67)</w:t>
            </w:r>
          </w:p>
        </w:tc>
        <w:tc>
          <w:tcPr>
            <w:tcW w:w="3402" w:type="dxa"/>
            <w:vAlign w:val="bottom"/>
          </w:tcPr>
          <w:p w14:paraId="22A5C8E3" w14:textId="2DD23B80" w:rsidR="008F031B" w:rsidRPr="00403121" w:rsidRDefault="008F031B" w:rsidP="008F031B">
            <w:pPr>
              <w:jc w:val="center"/>
              <w:rPr>
                <w:rFonts w:cstheme="minorHAnsi"/>
                <w:sz w:val="20"/>
                <w:szCs w:val="20"/>
              </w:rPr>
            </w:pPr>
            <w:r w:rsidRPr="000526F1">
              <w:rPr>
                <w:rFonts w:cstheme="minorHAnsi"/>
                <w:sz w:val="20"/>
                <w:szCs w:val="20"/>
              </w:rPr>
              <w:t>1290 (-226, 5072)</w:t>
            </w:r>
          </w:p>
        </w:tc>
      </w:tr>
      <w:tr w:rsidR="008F031B" w:rsidRPr="00403121" w14:paraId="16CC3261" w14:textId="77777777" w:rsidTr="000526F1">
        <w:tc>
          <w:tcPr>
            <w:tcW w:w="1517" w:type="dxa"/>
            <w:vAlign w:val="center"/>
          </w:tcPr>
          <w:p w14:paraId="3CE01E4F" w14:textId="77777777" w:rsidR="008F031B" w:rsidRPr="00403121" w:rsidRDefault="008F031B" w:rsidP="008F031B">
            <w:pPr>
              <w:jc w:val="center"/>
              <w:rPr>
                <w:rFonts w:cstheme="minorHAnsi"/>
                <w:sz w:val="20"/>
                <w:szCs w:val="20"/>
              </w:rPr>
            </w:pPr>
            <w:r w:rsidRPr="006527A3">
              <w:rPr>
                <w:rFonts w:cstheme="minorHAnsi"/>
                <w:color w:val="000000"/>
                <w:sz w:val="20"/>
                <w:szCs w:val="20"/>
              </w:rPr>
              <w:t>10%</w:t>
            </w:r>
          </w:p>
        </w:tc>
        <w:tc>
          <w:tcPr>
            <w:tcW w:w="1313" w:type="dxa"/>
            <w:vAlign w:val="center"/>
          </w:tcPr>
          <w:p w14:paraId="16B32999" w14:textId="175AD331"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0.533</w:t>
            </w:r>
          </w:p>
        </w:tc>
        <w:tc>
          <w:tcPr>
            <w:tcW w:w="1134" w:type="dxa"/>
            <w:vAlign w:val="center"/>
          </w:tcPr>
          <w:p w14:paraId="724F835C" w14:textId="1264C23D" w:rsidR="008F031B" w:rsidRPr="00403121" w:rsidRDefault="008F031B" w:rsidP="008F031B">
            <w:pPr>
              <w:jc w:val="center"/>
              <w:rPr>
                <w:rFonts w:ascii="Calibri" w:hAnsi="Calibri" w:cs="Calibri"/>
                <w:color w:val="000000"/>
                <w:sz w:val="20"/>
                <w:szCs w:val="20"/>
              </w:rPr>
            </w:pPr>
            <w:r w:rsidRPr="00403121">
              <w:rPr>
                <w:rFonts w:ascii="Calibri" w:hAnsi="Calibri" w:cs="Calibri"/>
                <w:color w:val="000000"/>
                <w:sz w:val="20"/>
                <w:szCs w:val="20"/>
              </w:rPr>
              <w:t>0.952</w:t>
            </w:r>
          </w:p>
        </w:tc>
        <w:tc>
          <w:tcPr>
            <w:tcW w:w="1703" w:type="dxa"/>
            <w:vAlign w:val="center"/>
          </w:tcPr>
          <w:p w14:paraId="7CF78141" w14:textId="77777777" w:rsidR="008F031B" w:rsidRPr="00403121" w:rsidRDefault="008F031B" w:rsidP="008F031B">
            <w:pPr>
              <w:jc w:val="center"/>
              <w:rPr>
                <w:rFonts w:cstheme="minorHAnsi"/>
                <w:sz w:val="20"/>
                <w:szCs w:val="20"/>
              </w:rPr>
            </w:pPr>
            <w:r w:rsidRPr="00403121">
              <w:rPr>
                <w:rFonts w:cstheme="minorHAnsi"/>
                <w:color w:val="000000"/>
                <w:sz w:val="20"/>
                <w:szCs w:val="20"/>
              </w:rPr>
              <w:t>IgA tTG</w:t>
            </w:r>
          </w:p>
        </w:tc>
        <w:tc>
          <w:tcPr>
            <w:tcW w:w="2268" w:type="dxa"/>
            <w:vAlign w:val="bottom"/>
          </w:tcPr>
          <w:p w14:paraId="17B9C274" w14:textId="754177EF" w:rsidR="008F031B" w:rsidRPr="00403121" w:rsidRDefault="008F031B" w:rsidP="008F031B">
            <w:pPr>
              <w:jc w:val="center"/>
              <w:rPr>
                <w:rFonts w:cstheme="minorHAnsi"/>
                <w:sz w:val="20"/>
                <w:szCs w:val="20"/>
              </w:rPr>
            </w:pPr>
            <w:r w:rsidRPr="000526F1">
              <w:rPr>
                <w:rFonts w:cstheme="minorHAnsi"/>
                <w:sz w:val="20"/>
                <w:szCs w:val="20"/>
              </w:rPr>
              <w:t>12679 (11477, 13793)</w:t>
            </w:r>
          </w:p>
        </w:tc>
        <w:tc>
          <w:tcPr>
            <w:tcW w:w="2693" w:type="dxa"/>
            <w:vAlign w:val="bottom"/>
          </w:tcPr>
          <w:p w14:paraId="4C65A27F" w14:textId="6BA3153E" w:rsidR="008F031B" w:rsidRPr="00403121" w:rsidRDefault="008F031B" w:rsidP="008F031B">
            <w:pPr>
              <w:jc w:val="center"/>
              <w:rPr>
                <w:rFonts w:cstheme="minorHAnsi"/>
                <w:sz w:val="20"/>
                <w:szCs w:val="20"/>
              </w:rPr>
            </w:pPr>
            <w:r w:rsidRPr="000526F1">
              <w:rPr>
                <w:rFonts w:cstheme="minorHAnsi"/>
                <w:sz w:val="20"/>
                <w:szCs w:val="20"/>
              </w:rPr>
              <w:t>20.87 (19.8, 21.78)</w:t>
            </w:r>
          </w:p>
        </w:tc>
        <w:tc>
          <w:tcPr>
            <w:tcW w:w="3402" w:type="dxa"/>
            <w:vAlign w:val="bottom"/>
          </w:tcPr>
          <w:p w14:paraId="7217D17A" w14:textId="6A72CA75" w:rsidR="008F031B" w:rsidRPr="00403121" w:rsidRDefault="008F031B" w:rsidP="008F031B">
            <w:pPr>
              <w:jc w:val="center"/>
              <w:rPr>
                <w:rFonts w:cstheme="minorHAnsi"/>
                <w:sz w:val="20"/>
                <w:szCs w:val="20"/>
              </w:rPr>
            </w:pPr>
            <w:r w:rsidRPr="000526F1">
              <w:rPr>
                <w:rFonts w:cstheme="minorHAnsi"/>
                <w:sz w:val="20"/>
                <w:szCs w:val="20"/>
              </w:rPr>
              <w:t>4517 (1002, 13401)</w:t>
            </w:r>
          </w:p>
        </w:tc>
      </w:tr>
      <w:tr w:rsidR="008F031B" w:rsidRPr="00403121" w14:paraId="39AD2E6D" w14:textId="77777777" w:rsidTr="000526F1">
        <w:tc>
          <w:tcPr>
            <w:tcW w:w="1517" w:type="dxa"/>
            <w:vAlign w:val="center"/>
          </w:tcPr>
          <w:p w14:paraId="32B56CDC"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20%</w:t>
            </w:r>
          </w:p>
        </w:tc>
        <w:tc>
          <w:tcPr>
            <w:tcW w:w="1313" w:type="dxa"/>
            <w:vAlign w:val="center"/>
          </w:tcPr>
          <w:p w14:paraId="11823451" w14:textId="3E7C63EB" w:rsidR="008F031B" w:rsidRPr="000526F1" w:rsidRDefault="008F031B" w:rsidP="008F031B">
            <w:pPr>
              <w:jc w:val="center"/>
              <w:rPr>
                <w:rFonts w:cstheme="minorHAnsi"/>
                <w:color w:val="000000"/>
                <w:sz w:val="20"/>
                <w:szCs w:val="20"/>
              </w:rPr>
            </w:pPr>
            <w:r w:rsidRPr="000526F1">
              <w:rPr>
                <w:rFonts w:cstheme="minorHAnsi"/>
                <w:color w:val="000000"/>
                <w:sz w:val="20"/>
                <w:szCs w:val="20"/>
              </w:rPr>
              <w:t>0.331</w:t>
            </w:r>
          </w:p>
        </w:tc>
        <w:tc>
          <w:tcPr>
            <w:tcW w:w="1134" w:type="dxa"/>
            <w:vAlign w:val="center"/>
          </w:tcPr>
          <w:p w14:paraId="4B1DB6B5" w14:textId="45120C55" w:rsidR="008F031B" w:rsidRPr="000526F1" w:rsidRDefault="008F031B" w:rsidP="008F031B">
            <w:pPr>
              <w:jc w:val="center"/>
              <w:rPr>
                <w:rFonts w:cstheme="minorHAnsi"/>
                <w:color w:val="000000"/>
                <w:sz w:val="20"/>
                <w:szCs w:val="20"/>
              </w:rPr>
            </w:pPr>
            <w:r w:rsidRPr="000526F1">
              <w:rPr>
                <w:rFonts w:cstheme="minorHAnsi"/>
                <w:color w:val="000000"/>
                <w:sz w:val="20"/>
                <w:szCs w:val="20"/>
              </w:rPr>
              <w:t>0.987</w:t>
            </w:r>
          </w:p>
        </w:tc>
        <w:tc>
          <w:tcPr>
            <w:tcW w:w="1703" w:type="dxa"/>
            <w:vAlign w:val="center"/>
          </w:tcPr>
          <w:p w14:paraId="751E018B"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IgA tTG</w:t>
            </w:r>
          </w:p>
        </w:tc>
        <w:tc>
          <w:tcPr>
            <w:tcW w:w="2268" w:type="dxa"/>
            <w:vAlign w:val="bottom"/>
          </w:tcPr>
          <w:p w14:paraId="7CA8A73A" w14:textId="50CDC9BD" w:rsidR="008F031B" w:rsidRPr="000526F1" w:rsidRDefault="008F031B" w:rsidP="008F031B">
            <w:pPr>
              <w:jc w:val="center"/>
              <w:rPr>
                <w:rFonts w:cstheme="minorHAnsi"/>
                <w:color w:val="000000"/>
                <w:sz w:val="20"/>
                <w:szCs w:val="20"/>
              </w:rPr>
            </w:pPr>
            <w:r w:rsidRPr="000526F1">
              <w:rPr>
                <w:rFonts w:cstheme="minorHAnsi"/>
                <w:color w:val="000000"/>
                <w:sz w:val="20"/>
                <w:szCs w:val="20"/>
              </w:rPr>
              <w:t>12699 (11686, 13797)</w:t>
            </w:r>
          </w:p>
        </w:tc>
        <w:tc>
          <w:tcPr>
            <w:tcW w:w="2693" w:type="dxa"/>
            <w:vAlign w:val="bottom"/>
          </w:tcPr>
          <w:p w14:paraId="6D2448A4" w14:textId="6ACE7618" w:rsidR="008F031B" w:rsidRPr="00403121" w:rsidRDefault="008F031B" w:rsidP="008F031B">
            <w:pPr>
              <w:jc w:val="center"/>
              <w:rPr>
                <w:rFonts w:cstheme="minorHAnsi"/>
                <w:sz w:val="20"/>
                <w:szCs w:val="20"/>
              </w:rPr>
            </w:pPr>
            <w:r w:rsidRPr="000526F1">
              <w:rPr>
                <w:rFonts w:cstheme="minorHAnsi"/>
                <w:sz w:val="20"/>
                <w:szCs w:val="20"/>
              </w:rPr>
              <w:t>21.09 (20.08, 21.95)</w:t>
            </w:r>
          </w:p>
        </w:tc>
        <w:tc>
          <w:tcPr>
            <w:tcW w:w="3402" w:type="dxa"/>
            <w:vAlign w:val="bottom"/>
          </w:tcPr>
          <w:p w14:paraId="24039D10" w14:textId="0D955FEC" w:rsidR="008F031B" w:rsidRPr="00403121" w:rsidRDefault="008F031B" w:rsidP="008F031B">
            <w:pPr>
              <w:jc w:val="center"/>
              <w:rPr>
                <w:rFonts w:cstheme="minorHAnsi"/>
                <w:sz w:val="20"/>
                <w:szCs w:val="20"/>
              </w:rPr>
            </w:pPr>
            <w:r w:rsidRPr="000526F1">
              <w:rPr>
                <w:rFonts w:cstheme="minorHAnsi"/>
                <w:sz w:val="20"/>
                <w:szCs w:val="20"/>
              </w:rPr>
              <w:t>8896 (2610, 24765)</w:t>
            </w:r>
          </w:p>
        </w:tc>
      </w:tr>
      <w:tr w:rsidR="008F031B" w:rsidRPr="00403121" w14:paraId="155F3037" w14:textId="77777777" w:rsidTr="000526F1">
        <w:tc>
          <w:tcPr>
            <w:tcW w:w="1517" w:type="dxa"/>
            <w:vAlign w:val="center"/>
          </w:tcPr>
          <w:p w14:paraId="43DAED9B"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1%</w:t>
            </w:r>
          </w:p>
        </w:tc>
        <w:tc>
          <w:tcPr>
            <w:tcW w:w="1313" w:type="dxa"/>
            <w:vAlign w:val="center"/>
          </w:tcPr>
          <w:p w14:paraId="6EFDB99F" w14:textId="606FEA2D" w:rsidR="008F031B" w:rsidRPr="000526F1" w:rsidRDefault="008F031B" w:rsidP="008F031B">
            <w:pPr>
              <w:jc w:val="center"/>
              <w:rPr>
                <w:rFonts w:cstheme="minorHAnsi"/>
                <w:color w:val="000000"/>
                <w:sz w:val="20"/>
                <w:szCs w:val="20"/>
              </w:rPr>
            </w:pPr>
            <w:r w:rsidRPr="000526F1">
              <w:rPr>
                <w:rFonts w:cstheme="minorHAnsi"/>
                <w:color w:val="000000"/>
                <w:sz w:val="20"/>
                <w:szCs w:val="20"/>
              </w:rPr>
              <w:t>1</w:t>
            </w:r>
          </w:p>
        </w:tc>
        <w:tc>
          <w:tcPr>
            <w:tcW w:w="1134" w:type="dxa"/>
            <w:vAlign w:val="center"/>
          </w:tcPr>
          <w:p w14:paraId="16C6FE1A" w14:textId="40779D42" w:rsidR="008F031B" w:rsidRPr="000526F1" w:rsidRDefault="008F031B" w:rsidP="008F031B">
            <w:pPr>
              <w:jc w:val="center"/>
              <w:rPr>
                <w:rFonts w:cstheme="minorHAnsi"/>
                <w:color w:val="000000"/>
                <w:sz w:val="20"/>
                <w:szCs w:val="20"/>
              </w:rPr>
            </w:pPr>
            <w:r w:rsidRPr="000526F1">
              <w:rPr>
                <w:rFonts w:cstheme="minorHAnsi"/>
                <w:color w:val="000000"/>
                <w:sz w:val="20"/>
                <w:szCs w:val="20"/>
              </w:rPr>
              <w:t>0</w:t>
            </w:r>
          </w:p>
        </w:tc>
        <w:tc>
          <w:tcPr>
            <w:tcW w:w="1703" w:type="dxa"/>
            <w:vAlign w:val="center"/>
          </w:tcPr>
          <w:p w14:paraId="40DA1D43"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50D5625B" w14:textId="368DAC30" w:rsidR="008F031B" w:rsidRPr="000526F1" w:rsidRDefault="008F031B" w:rsidP="008F031B">
            <w:pPr>
              <w:jc w:val="center"/>
              <w:rPr>
                <w:rFonts w:cstheme="minorHAnsi"/>
                <w:color w:val="000000"/>
                <w:sz w:val="20"/>
                <w:szCs w:val="20"/>
              </w:rPr>
            </w:pPr>
            <w:r w:rsidRPr="000526F1">
              <w:rPr>
                <w:rFonts w:cstheme="minorHAnsi"/>
                <w:color w:val="000000"/>
                <w:sz w:val="20"/>
                <w:szCs w:val="20"/>
              </w:rPr>
              <w:t>13808 (12814, 14911)</w:t>
            </w:r>
          </w:p>
        </w:tc>
        <w:tc>
          <w:tcPr>
            <w:tcW w:w="2693" w:type="dxa"/>
            <w:vAlign w:val="bottom"/>
          </w:tcPr>
          <w:p w14:paraId="252B1A7F" w14:textId="741383E7" w:rsidR="008F031B" w:rsidRPr="00403121" w:rsidRDefault="008F031B" w:rsidP="008F031B">
            <w:pPr>
              <w:jc w:val="center"/>
              <w:rPr>
                <w:rFonts w:cstheme="minorHAnsi"/>
                <w:sz w:val="20"/>
                <w:szCs w:val="20"/>
              </w:rPr>
            </w:pPr>
            <w:r w:rsidRPr="000526F1">
              <w:rPr>
                <w:rFonts w:cstheme="minorHAnsi"/>
                <w:sz w:val="20"/>
                <w:szCs w:val="20"/>
              </w:rPr>
              <w:t>21.32 (20.32, 22.16)</w:t>
            </w:r>
          </w:p>
        </w:tc>
        <w:tc>
          <w:tcPr>
            <w:tcW w:w="3402" w:type="dxa"/>
            <w:vAlign w:val="bottom"/>
          </w:tcPr>
          <w:p w14:paraId="01A44106" w14:textId="2BB82649" w:rsidR="008F031B" w:rsidRPr="00403121" w:rsidRDefault="008F031B" w:rsidP="008F031B">
            <w:pPr>
              <w:jc w:val="center"/>
              <w:rPr>
                <w:rFonts w:cstheme="minorHAnsi"/>
                <w:sz w:val="20"/>
                <w:szCs w:val="20"/>
              </w:rPr>
            </w:pPr>
            <w:r w:rsidRPr="000526F1">
              <w:rPr>
                <w:rFonts w:cstheme="minorHAnsi"/>
                <w:sz w:val="20"/>
                <w:szCs w:val="20"/>
              </w:rPr>
              <w:t>12502 (3202, 35895)</w:t>
            </w:r>
          </w:p>
        </w:tc>
      </w:tr>
      <w:tr w:rsidR="008F031B" w:rsidRPr="00403121" w14:paraId="21BA34DA" w14:textId="77777777" w:rsidTr="000526F1">
        <w:tc>
          <w:tcPr>
            <w:tcW w:w="1517" w:type="dxa"/>
            <w:vAlign w:val="center"/>
          </w:tcPr>
          <w:p w14:paraId="7FC967D3" w14:textId="52A1919D" w:rsidR="008F031B" w:rsidRPr="000526F1" w:rsidRDefault="008F031B" w:rsidP="008F031B">
            <w:pPr>
              <w:jc w:val="center"/>
              <w:rPr>
                <w:rFonts w:cstheme="minorHAnsi"/>
                <w:color w:val="000000"/>
                <w:sz w:val="20"/>
                <w:szCs w:val="20"/>
              </w:rPr>
            </w:pPr>
            <w:r w:rsidRPr="008F031B">
              <w:rPr>
                <w:rFonts w:cstheme="minorHAnsi"/>
                <w:color w:val="000000"/>
                <w:sz w:val="20"/>
                <w:szCs w:val="20"/>
              </w:rPr>
              <w:t>1.5%</w:t>
            </w:r>
          </w:p>
        </w:tc>
        <w:tc>
          <w:tcPr>
            <w:tcW w:w="1313" w:type="dxa"/>
            <w:vAlign w:val="center"/>
          </w:tcPr>
          <w:p w14:paraId="555264FE" w14:textId="47D8CFCF" w:rsidR="008F031B" w:rsidRPr="000526F1" w:rsidRDefault="008F031B" w:rsidP="008F031B">
            <w:pPr>
              <w:jc w:val="center"/>
              <w:rPr>
                <w:rFonts w:cstheme="minorHAnsi"/>
                <w:color w:val="000000"/>
                <w:sz w:val="20"/>
                <w:szCs w:val="20"/>
              </w:rPr>
            </w:pPr>
            <w:r w:rsidRPr="000526F1">
              <w:rPr>
                <w:rFonts w:cstheme="minorHAnsi"/>
                <w:color w:val="000000"/>
                <w:sz w:val="20"/>
                <w:szCs w:val="20"/>
              </w:rPr>
              <w:t>0.882</w:t>
            </w:r>
          </w:p>
        </w:tc>
        <w:tc>
          <w:tcPr>
            <w:tcW w:w="1134" w:type="dxa"/>
            <w:vAlign w:val="center"/>
          </w:tcPr>
          <w:p w14:paraId="54F942C2" w14:textId="63A90214" w:rsidR="008F031B" w:rsidRPr="000526F1" w:rsidRDefault="008F031B" w:rsidP="008F031B">
            <w:pPr>
              <w:jc w:val="center"/>
              <w:rPr>
                <w:rFonts w:cstheme="minorHAnsi"/>
                <w:color w:val="000000"/>
                <w:sz w:val="20"/>
                <w:szCs w:val="20"/>
              </w:rPr>
            </w:pPr>
            <w:r w:rsidRPr="000526F1">
              <w:rPr>
                <w:rFonts w:cstheme="minorHAnsi"/>
                <w:color w:val="000000"/>
                <w:sz w:val="20"/>
                <w:szCs w:val="20"/>
              </w:rPr>
              <w:t>0.417</w:t>
            </w:r>
          </w:p>
        </w:tc>
        <w:tc>
          <w:tcPr>
            <w:tcW w:w="1703" w:type="dxa"/>
            <w:vAlign w:val="center"/>
          </w:tcPr>
          <w:p w14:paraId="6CA0F7AF"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6E290A7C" w14:textId="1B5C1EBC" w:rsidR="008F031B" w:rsidRPr="000526F1" w:rsidRDefault="008F031B" w:rsidP="008F031B">
            <w:pPr>
              <w:jc w:val="center"/>
              <w:rPr>
                <w:rFonts w:cstheme="minorHAnsi"/>
                <w:color w:val="000000"/>
                <w:sz w:val="20"/>
                <w:szCs w:val="20"/>
              </w:rPr>
            </w:pPr>
            <w:r w:rsidRPr="000526F1">
              <w:rPr>
                <w:rFonts w:cstheme="minorHAnsi"/>
                <w:color w:val="000000"/>
                <w:sz w:val="20"/>
                <w:szCs w:val="20"/>
              </w:rPr>
              <w:t>13403 (12418, 14497)</w:t>
            </w:r>
          </w:p>
        </w:tc>
        <w:tc>
          <w:tcPr>
            <w:tcW w:w="2693" w:type="dxa"/>
            <w:vAlign w:val="bottom"/>
          </w:tcPr>
          <w:p w14:paraId="37843693" w14:textId="3813DEF3" w:rsidR="008F031B" w:rsidRPr="00403121" w:rsidRDefault="008F031B" w:rsidP="008F031B">
            <w:pPr>
              <w:jc w:val="center"/>
              <w:rPr>
                <w:rFonts w:cstheme="minorHAnsi"/>
                <w:sz w:val="20"/>
                <w:szCs w:val="20"/>
              </w:rPr>
            </w:pPr>
            <w:r w:rsidRPr="000526F1">
              <w:rPr>
                <w:rFonts w:cstheme="minorHAnsi"/>
                <w:sz w:val="20"/>
                <w:szCs w:val="20"/>
              </w:rPr>
              <w:t>21.26 (20.25, 22.1)</w:t>
            </w:r>
          </w:p>
        </w:tc>
        <w:tc>
          <w:tcPr>
            <w:tcW w:w="3402" w:type="dxa"/>
            <w:vAlign w:val="bottom"/>
          </w:tcPr>
          <w:p w14:paraId="662E853C" w14:textId="6D5CE325" w:rsidR="008F031B" w:rsidRPr="00403121" w:rsidRDefault="008F031B" w:rsidP="008F031B">
            <w:pPr>
              <w:jc w:val="center"/>
              <w:rPr>
                <w:rFonts w:cstheme="minorHAnsi"/>
                <w:sz w:val="20"/>
                <w:szCs w:val="20"/>
              </w:rPr>
            </w:pPr>
            <w:r w:rsidRPr="000526F1">
              <w:rPr>
                <w:rFonts w:cstheme="minorHAnsi"/>
                <w:sz w:val="20"/>
                <w:szCs w:val="20"/>
              </w:rPr>
              <w:t>11577 (3050, 33066)</w:t>
            </w:r>
          </w:p>
        </w:tc>
      </w:tr>
      <w:tr w:rsidR="008F031B" w:rsidRPr="00403121" w14:paraId="7A66D721" w14:textId="77777777" w:rsidTr="000526F1">
        <w:tc>
          <w:tcPr>
            <w:tcW w:w="1517" w:type="dxa"/>
            <w:vAlign w:val="center"/>
          </w:tcPr>
          <w:p w14:paraId="7F8A51CE"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2%</w:t>
            </w:r>
          </w:p>
        </w:tc>
        <w:tc>
          <w:tcPr>
            <w:tcW w:w="1313" w:type="dxa"/>
            <w:vAlign w:val="center"/>
          </w:tcPr>
          <w:p w14:paraId="6CE4B81F" w14:textId="65C196D9" w:rsidR="008F031B" w:rsidRPr="000526F1" w:rsidRDefault="008F031B" w:rsidP="008F031B">
            <w:pPr>
              <w:jc w:val="center"/>
              <w:rPr>
                <w:rFonts w:cstheme="minorHAnsi"/>
                <w:color w:val="000000"/>
                <w:sz w:val="20"/>
                <w:szCs w:val="20"/>
              </w:rPr>
            </w:pPr>
            <w:r w:rsidRPr="000526F1">
              <w:rPr>
                <w:rFonts w:cstheme="minorHAnsi"/>
                <w:color w:val="000000"/>
                <w:sz w:val="20"/>
                <w:szCs w:val="20"/>
              </w:rPr>
              <w:t>0.807</w:t>
            </w:r>
          </w:p>
        </w:tc>
        <w:tc>
          <w:tcPr>
            <w:tcW w:w="1134" w:type="dxa"/>
            <w:vAlign w:val="center"/>
          </w:tcPr>
          <w:p w14:paraId="1D785FF2" w14:textId="4EC4FE03" w:rsidR="008F031B" w:rsidRPr="000526F1" w:rsidRDefault="008F031B" w:rsidP="008F031B">
            <w:pPr>
              <w:jc w:val="center"/>
              <w:rPr>
                <w:rFonts w:cstheme="minorHAnsi"/>
                <w:color w:val="000000"/>
                <w:sz w:val="20"/>
                <w:szCs w:val="20"/>
              </w:rPr>
            </w:pPr>
            <w:r w:rsidRPr="000526F1">
              <w:rPr>
                <w:rFonts w:cstheme="minorHAnsi"/>
                <w:color w:val="000000"/>
                <w:sz w:val="20"/>
                <w:szCs w:val="20"/>
              </w:rPr>
              <w:t>0.61</w:t>
            </w:r>
          </w:p>
        </w:tc>
        <w:tc>
          <w:tcPr>
            <w:tcW w:w="1703" w:type="dxa"/>
            <w:vAlign w:val="center"/>
          </w:tcPr>
          <w:p w14:paraId="78713807"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6774C187" w14:textId="1F82FE9A" w:rsidR="008F031B" w:rsidRPr="000526F1" w:rsidRDefault="008F031B" w:rsidP="008F031B">
            <w:pPr>
              <w:jc w:val="center"/>
              <w:rPr>
                <w:rFonts w:cstheme="minorHAnsi"/>
                <w:color w:val="000000"/>
                <w:sz w:val="20"/>
                <w:szCs w:val="20"/>
              </w:rPr>
            </w:pPr>
            <w:r w:rsidRPr="000526F1">
              <w:rPr>
                <w:rFonts w:cstheme="minorHAnsi"/>
                <w:color w:val="000000"/>
                <w:sz w:val="20"/>
                <w:szCs w:val="20"/>
              </w:rPr>
              <w:t>13226 (12242, 14325)</w:t>
            </w:r>
          </w:p>
        </w:tc>
        <w:tc>
          <w:tcPr>
            <w:tcW w:w="2693" w:type="dxa"/>
            <w:vAlign w:val="bottom"/>
          </w:tcPr>
          <w:p w14:paraId="05313362" w14:textId="7F6E0CAB" w:rsidR="008F031B" w:rsidRPr="00403121" w:rsidRDefault="008F031B" w:rsidP="008F031B">
            <w:pPr>
              <w:jc w:val="center"/>
              <w:rPr>
                <w:rFonts w:cstheme="minorHAnsi"/>
                <w:sz w:val="20"/>
                <w:szCs w:val="20"/>
              </w:rPr>
            </w:pPr>
            <w:r w:rsidRPr="000526F1">
              <w:rPr>
                <w:rFonts w:cstheme="minorHAnsi"/>
                <w:sz w:val="20"/>
                <w:szCs w:val="20"/>
              </w:rPr>
              <w:t>21.26 (20.26, 22.12)</w:t>
            </w:r>
          </w:p>
        </w:tc>
        <w:tc>
          <w:tcPr>
            <w:tcW w:w="3402" w:type="dxa"/>
            <w:vAlign w:val="bottom"/>
          </w:tcPr>
          <w:p w14:paraId="4B8CFA30" w14:textId="73F9AFC3" w:rsidR="008F031B" w:rsidRPr="00403121" w:rsidRDefault="008F031B" w:rsidP="008F031B">
            <w:pPr>
              <w:jc w:val="center"/>
              <w:rPr>
                <w:rFonts w:cstheme="minorHAnsi"/>
                <w:sz w:val="20"/>
                <w:szCs w:val="20"/>
              </w:rPr>
            </w:pPr>
            <w:r w:rsidRPr="000526F1">
              <w:rPr>
                <w:rFonts w:cstheme="minorHAnsi"/>
                <w:sz w:val="20"/>
                <w:szCs w:val="20"/>
              </w:rPr>
              <w:t>11878 (3293, 33524)</w:t>
            </w:r>
          </w:p>
        </w:tc>
      </w:tr>
      <w:tr w:rsidR="008F031B" w:rsidRPr="00403121" w14:paraId="6C601A86" w14:textId="77777777" w:rsidTr="000526F1">
        <w:tc>
          <w:tcPr>
            <w:tcW w:w="1517" w:type="dxa"/>
            <w:vAlign w:val="center"/>
          </w:tcPr>
          <w:p w14:paraId="56580912" w14:textId="77777777" w:rsidR="008F031B" w:rsidRPr="008F031B" w:rsidRDefault="008F031B" w:rsidP="008F031B">
            <w:pPr>
              <w:jc w:val="center"/>
              <w:rPr>
                <w:rFonts w:cstheme="minorHAnsi"/>
                <w:color w:val="000000"/>
                <w:sz w:val="20"/>
                <w:szCs w:val="20"/>
              </w:rPr>
            </w:pPr>
            <w:r w:rsidRPr="008F031B">
              <w:rPr>
                <w:rFonts w:cstheme="minorHAnsi"/>
                <w:color w:val="000000"/>
                <w:sz w:val="20"/>
                <w:szCs w:val="20"/>
              </w:rPr>
              <w:t>5%</w:t>
            </w:r>
          </w:p>
        </w:tc>
        <w:tc>
          <w:tcPr>
            <w:tcW w:w="1313" w:type="dxa"/>
            <w:vAlign w:val="center"/>
          </w:tcPr>
          <w:p w14:paraId="0C4E76AC" w14:textId="7651AA9A" w:rsidR="008F031B" w:rsidRPr="000526F1" w:rsidRDefault="008F031B" w:rsidP="008F031B">
            <w:pPr>
              <w:jc w:val="center"/>
              <w:rPr>
                <w:rFonts w:cstheme="minorHAnsi"/>
                <w:color w:val="000000"/>
                <w:sz w:val="20"/>
                <w:szCs w:val="20"/>
              </w:rPr>
            </w:pPr>
            <w:r w:rsidRPr="000526F1">
              <w:rPr>
                <w:rFonts w:cstheme="minorHAnsi"/>
                <w:color w:val="000000"/>
                <w:sz w:val="20"/>
                <w:szCs w:val="20"/>
              </w:rPr>
              <w:t>0.667</w:t>
            </w:r>
          </w:p>
        </w:tc>
        <w:tc>
          <w:tcPr>
            <w:tcW w:w="1134" w:type="dxa"/>
            <w:vAlign w:val="center"/>
          </w:tcPr>
          <w:p w14:paraId="392B5E68" w14:textId="360ADD44" w:rsidR="008F031B" w:rsidRPr="000526F1" w:rsidRDefault="008F031B" w:rsidP="008F031B">
            <w:pPr>
              <w:jc w:val="center"/>
              <w:rPr>
                <w:rFonts w:cstheme="minorHAnsi"/>
                <w:color w:val="000000"/>
                <w:sz w:val="20"/>
                <w:szCs w:val="20"/>
              </w:rPr>
            </w:pPr>
            <w:r w:rsidRPr="000526F1">
              <w:rPr>
                <w:rFonts w:cstheme="minorHAnsi"/>
                <w:color w:val="000000"/>
                <w:sz w:val="20"/>
                <w:szCs w:val="20"/>
              </w:rPr>
              <w:t>0.872</w:t>
            </w:r>
          </w:p>
        </w:tc>
        <w:tc>
          <w:tcPr>
            <w:tcW w:w="1703" w:type="dxa"/>
            <w:vAlign w:val="center"/>
          </w:tcPr>
          <w:p w14:paraId="0A60C997" w14:textId="77777777" w:rsidR="008F031B" w:rsidRPr="008F031B"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75978567" w14:textId="4CD8BCAE" w:rsidR="008F031B" w:rsidRPr="008F031B" w:rsidRDefault="008F031B" w:rsidP="008F031B">
            <w:pPr>
              <w:jc w:val="center"/>
              <w:rPr>
                <w:rFonts w:cstheme="minorHAnsi"/>
                <w:color w:val="000000"/>
                <w:sz w:val="20"/>
                <w:szCs w:val="20"/>
              </w:rPr>
            </w:pPr>
            <w:r w:rsidRPr="000526F1">
              <w:rPr>
                <w:rFonts w:cstheme="minorHAnsi"/>
                <w:color w:val="000000"/>
                <w:sz w:val="20"/>
                <w:szCs w:val="20"/>
              </w:rPr>
              <w:t>13018 (12030, 14117)</w:t>
            </w:r>
          </w:p>
        </w:tc>
        <w:tc>
          <w:tcPr>
            <w:tcW w:w="2693" w:type="dxa"/>
            <w:vAlign w:val="bottom"/>
          </w:tcPr>
          <w:p w14:paraId="50E5C783" w14:textId="31CB4E55" w:rsidR="008F031B" w:rsidRPr="000526F1" w:rsidRDefault="008F031B" w:rsidP="008F031B">
            <w:pPr>
              <w:jc w:val="center"/>
              <w:rPr>
                <w:rFonts w:cstheme="minorHAnsi"/>
                <w:sz w:val="20"/>
                <w:szCs w:val="20"/>
              </w:rPr>
            </w:pPr>
            <w:r w:rsidRPr="000526F1">
              <w:rPr>
                <w:rFonts w:cstheme="minorHAnsi"/>
                <w:sz w:val="20"/>
                <w:szCs w:val="20"/>
              </w:rPr>
              <w:t>21.3 (20.29, 22.14)</w:t>
            </w:r>
          </w:p>
        </w:tc>
        <w:tc>
          <w:tcPr>
            <w:tcW w:w="3402" w:type="dxa"/>
            <w:vAlign w:val="bottom"/>
          </w:tcPr>
          <w:p w14:paraId="1A23D99D" w14:textId="5F88D4AA" w:rsidR="008F031B" w:rsidRPr="000526F1" w:rsidRDefault="008F031B" w:rsidP="008F031B">
            <w:pPr>
              <w:jc w:val="center"/>
              <w:rPr>
                <w:rFonts w:cstheme="minorHAnsi"/>
                <w:sz w:val="20"/>
                <w:szCs w:val="20"/>
              </w:rPr>
            </w:pPr>
            <w:r w:rsidRPr="000526F1">
              <w:rPr>
                <w:rFonts w:cstheme="minorHAnsi"/>
                <w:sz w:val="20"/>
                <w:szCs w:val="20"/>
              </w:rPr>
              <w:t>12872 (3840, 35630)</w:t>
            </w:r>
          </w:p>
        </w:tc>
      </w:tr>
      <w:tr w:rsidR="008F031B" w:rsidRPr="00403121" w14:paraId="3A0F962E" w14:textId="77777777" w:rsidTr="000526F1">
        <w:tc>
          <w:tcPr>
            <w:tcW w:w="1517" w:type="dxa"/>
            <w:vAlign w:val="center"/>
          </w:tcPr>
          <w:p w14:paraId="3DE67340"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10%</w:t>
            </w:r>
          </w:p>
        </w:tc>
        <w:tc>
          <w:tcPr>
            <w:tcW w:w="1313" w:type="dxa"/>
            <w:vAlign w:val="center"/>
          </w:tcPr>
          <w:p w14:paraId="00E37246" w14:textId="59D75557" w:rsidR="008F031B" w:rsidRPr="000526F1" w:rsidRDefault="008F031B" w:rsidP="008F031B">
            <w:pPr>
              <w:jc w:val="center"/>
              <w:rPr>
                <w:rFonts w:cstheme="minorHAnsi"/>
                <w:color w:val="000000"/>
                <w:sz w:val="20"/>
                <w:szCs w:val="20"/>
              </w:rPr>
            </w:pPr>
            <w:r w:rsidRPr="000526F1">
              <w:rPr>
                <w:rFonts w:cstheme="minorHAnsi"/>
                <w:color w:val="000000"/>
                <w:sz w:val="20"/>
                <w:szCs w:val="20"/>
              </w:rPr>
              <w:t>0.533</w:t>
            </w:r>
          </w:p>
        </w:tc>
        <w:tc>
          <w:tcPr>
            <w:tcW w:w="1134" w:type="dxa"/>
            <w:vAlign w:val="center"/>
          </w:tcPr>
          <w:p w14:paraId="30A385C7" w14:textId="34F1CA11" w:rsidR="008F031B" w:rsidRPr="000526F1" w:rsidRDefault="008F031B" w:rsidP="008F031B">
            <w:pPr>
              <w:jc w:val="center"/>
              <w:rPr>
                <w:rFonts w:cstheme="minorHAnsi"/>
                <w:color w:val="000000"/>
                <w:sz w:val="20"/>
                <w:szCs w:val="20"/>
              </w:rPr>
            </w:pPr>
            <w:r w:rsidRPr="000526F1">
              <w:rPr>
                <w:rFonts w:cstheme="minorHAnsi"/>
                <w:color w:val="000000"/>
                <w:sz w:val="20"/>
                <w:szCs w:val="20"/>
              </w:rPr>
              <w:t>0.952</w:t>
            </w:r>
          </w:p>
        </w:tc>
        <w:tc>
          <w:tcPr>
            <w:tcW w:w="1703" w:type="dxa"/>
            <w:vAlign w:val="center"/>
          </w:tcPr>
          <w:p w14:paraId="4CE03FBB" w14:textId="77777777" w:rsidR="008F031B" w:rsidRPr="000526F1"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21BD40BC" w14:textId="1F536A08" w:rsidR="008F031B" w:rsidRPr="000526F1" w:rsidRDefault="008F031B" w:rsidP="008F031B">
            <w:pPr>
              <w:jc w:val="center"/>
              <w:rPr>
                <w:rFonts w:cstheme="minorHAnsi"/>
                <w:color w:val="000000"/>
                <w:sz w:val="20"/>
                <w:szCs w:val="20"/>
              </w:rPr>
            </w:pPr>
            <w:r w:rsidRPr="000526F1">
              <w:rPr>
                <w:rFonts w:cstheme="minorHAnsi"/>
                <w:color w:val="000000"/>
                <w:sz w:val="20"/>
                <w:szCs w:val="20"/>
              </w:rPr>
              <w:t>12994 (12003, 14103)</w:t>
            </w:r>
          </w:p>
        </w:tc>
        <w:tc>
          <w:tcPr>
            <w:tcW w:w="2693" w:type="dxa"/>
            <w:vAlign w:val="bottom"/>
          </w:tcPr>
          <w:p w14:paraId="74692A42" w14:textId="5E177A70" w:rsidR="008F031B" w:rsidRPr="00403121" w:rsidRDefault="008F031B" w:rsidP="008F031B">
            <w:pPr>
              <w:jc w:val="center"/>
              <w:rPr>
                <w:rFonts w:cstheme="minorHAnsi"/>
                <w:sz w:val="20"/>
                <w:szCs w:val="20"/>
              </w:rPr>
            </w:pPr>
            <w:r w:rsidRPr="000526F1">
              <w:rPr>
                <w:rFonts w:cstheme="minorHAnsi"/>
                <w:sz w:val="20"/>
                <w:szCs w:val="20"/>
              </w:rPr>
              <w:t>21.31 (20.31, 22.14)</w:t>
            </w:r>
          </w:p>
        </w:tc>
        <w:tc>
          <w:tcPr>
            <w:tcW w:w="3402" w:type="dxa"/>
            <w:vAlign w:val="bottom"/>
          </w:tcPr>
          <w:p w14:paraId="01872E80" w14:textId="45C10A1B" w:rsidR="008F031B" w:rsidRPr="00403121" w:rsidRDefault="008F031B" w:rsidP="008F031B">
            <w:pPr>
              <w:jc w:val="center"/>
              <w:rPr>
                <w:rFonts w:cstheme="minorHAnsi"/>
                <w:sz w:val="20"/>
                <w:szCs w:val="20"/>
              </w:rPr>
            </w:pPr>
            <w:r w:rsidRPr="000526F1">
              <w:rPr>
                <w:rFonts w:cstheme="minorHAnsi"/>
                <w:sz w:val="20"/>
                <w:szCs w:val="20"/>
              </w:rPr>
              <w:t>13085 (3919, 36248)</w:t>
            </w:r>
          </w:p>
        </w:tc>
      </w:tr>
      <w:tr w:rsidR="008F031B" w:rsidRPr="00403121" w14:paraId="7303F7B3" w14:textId="77777777" w:rsidTr="000526F1">
        <w:tc>
          <w:tcPr>
            <w:tcW w:w="1517" w:type="dxa"/>
            <w:vAlign w:val="center"/>
          </w:tcPr>
          <w:p w14:paraId="0301269A" w14:textId="77777777" w:rsidR="008F031B" w:rsidRPr="008F031B" w:rsidRDefault="008F031B" w:rsidP="008F031B">
            <w:pPr>
              <w:jc w:val="center"/>
              <w:rPr>
                <w:rFonts w:cstheme="minorHAnsi"/>
                <w:color w:val="000000"/>
                <w:sz w:val="20"/>
                <w:szCs w:val="20"/>
              </w:rPr>
            </w:pPr>
            <w:r w:rsidRPr="008F031B">
              <w:rPr>
                <w:rFonts w:cstheme="minorHAnsi"/>
                <w:color w:val="000000"/>
                <w:sz w:val="20"/>
                <w:szCs w:val="20"/>
              </w:rPr>
              <w:t>20%</w:t>
            </w:r>
          </w:p>
        </w:tc>
        <w:tc>
          <w:tcPr>
            <w:tcW w:w="1313" w:type="dxa"/>
            <w:vAlign w:val="center"/>
          </w:tcPr>
          <w:p w14:paraId="343ECBC5" w14:textId="3AE1B163" w:rsidR="008F031B" w:rsidRPr="000526F1" w:rsidRDefault="008F031B" w:rsidP="008F031B">
            <w:pPr>
              <w:jc w:val="center"/>
              <w:rPr>
                <w:rFonts w:cstheme="minorHAnsi"/>
                <w:color w:val="000000"/>
                <w:sz w:val="20"/>
                <w:szCs w:val="20"/>
              </w:rPr>
            </w:pPr>
            <w:r w:rsidRPr="000526F1">
              <w:rPr>
                <w:rFonts w:cstheme="minorHAnsi"/>
                <w:color w:val="000000"/>
                <w:sz w:val="20"/>
                <w:szCs w:val="20"/>
              </w:rPr>
              <w:t>0.331</w:t>
            </w:r>
          </w:p>
        </w:tc>
        <w:tc>
          <w:tcPr>
            <w:tcW w:w="1134" w:type="dxa"/>
            <w:vAlign w:val="center"/>
          </w:tcPr>
          <w:p w14:paraId="681C0F0B" w14:textId="7F5EFA2E" w:rsidR="008F031B" w:rsidRPr="000526F1" w:rsidRDefault="008F031B" w:rsidP="008F031B">
            <w:pPr>
              <w:jc w:val="center"/>
              <w:rPr>
                <w:rFonts w:cstheme="minorHAnsi"/>
                <w:color w:val="000000"/>
                <w:sz w:val="20"/>
                <w:szCs w:val="20"/>
              </w:rPr>
            </w:pPr>
            <w:r w:rsidRPr="000526F1">
              <w:rPr>
                <w:rFonts w:cstheme="minorHAnsi"/>
                <w:color w:val="000000"/>
                <w:sz w:val="20"/>
                <w:szCs w:val="20"/>
              </w:rPr>
              <w:t>0.987</w:t>
            </w:r>
          </w:p>
        </w:tc>
        <w:tc>
          <w:tcPr>
            <w:tcW w:w="1703" w:type="dxa"/>
            <w:vAlign w:val="center"/>
          </w:tcPr>
          <w:p w14:paraId="5E329040" w14:textId="77777777" w:rsidR="008F031B" w:rsidRPr="008F031B" w:rsidRDefault="008F031B" w:rsidP="008F031B">
            <w:pPr>
              <w:jc w:val="center"/>
              <w:rPr>
                <w:rFonts w:cstheme="minorHAnsi"/>
                <w:color w:val="000000"/>
                <w:sz w:val="20"/>
                <w:szCs w:val="20"/>
              </w:rPr>
            </w:pPr>
            <w:r w:rsidRPr="008F031B">
              <w:rPr>
                <w:rFonts w:cstheme="minorHAnsi"/>
                <w:color w:val="000000"/>
                <w:sz w:val="20"/>
                <w:szCs w:val="20"/>
              </w:rPr>
              <w:t>IgA EMA plus HLA</w:t>
            </w:r>
          </w:p>
        </w:tc>
        <w:tc>
          <w:tcPr>
            <w:tcW w:w="2268" w:type="dxa"/>
            <w:vAlign w:val="bottom"/>
          </w:tcPr>
          <w:p w14:paraId="09CB6105" w14:textId="19AD8B79" w:rsidR="008F031B" w:rsidRPr="008F031B" w:rsidRDefault="008F031B" w:rsidP="008F031B">
            <w:pPr>
              <w:jc w:val="center"/>
              <w:rPr>
                <w:rFonts w:cstheme="minorHAnsi"/>
                <w:color w:val="000000"/>
                <w:sz w:val="20"/>
                <w:szCs w:val="20"/>
              </w:rPr>
            </w:pPr>
            <w:r w:rsidRPr="000526F1">
              <w:rPr>
                <w:rFonts w:cstheme="minorHAnsi"/>
                <w:color w:val="000000"/>
                <w:sz w:val="20"/>
                <w:szCs w:val="20"/>
              </w:rPr>
              <w:t>13034 (12033, 14133)</w:t>
            </w:r>
          </w:p>
        </w:tc>
        <w:tc>
          <w:tcPr>
            <w:tcW w:w="2693" w:type="dxa"/>
            <w:vAlign w:val="bottom"/>
          </w:tcPr>
          <w:p w14:paraId="5A55AFD8" w14:textId="31CC5662" w:rsidR="008F031B" w:rsidRPr="000526F1" w:rsidRDefault="008F031B" w:rsidP="008F031B">
            <w:pPr>
              <w:jc w:val="center"/>
              <w:rPr>
                <w:rFonts w:cstheme="minorHAnsi"/>
                <w:sz w:val="20"/>
                <w:szCs w:val="20"/>
              </w:rPr>
            </w:pPr>
            <w:r w:rsidRPr="000526F1">
              <w:rPr>
                <w:rFonts w:cstheme="minorHAnsi"/>
                <w:sz w:val="20"/>
                <w:szCs w:val="20"/>
              </w:rPr>
              <w:t>21.31 (20.31, 22.15)</w:t>
            </w:r>
          </w:p>
        </w:tc>
        <w:tc>
          <w:tcPr>
            <w:tcW w:w="3402" w:type="dxa"/>
            <w:vAlign w:val="bottom"/>
          </w:tcPr>
          <w:p w14:paraId="2447D6B1" w14:textId="071AB4A3" w:rsidR="008F031B" w:rsidRPr="000526F1" w:rsidRDefault="008F031B" w:rsidP="008F031B">
            <w:pPr>
              <w:jc w:val="center"/>
              <w:rPr>
                <w:rFonts w:cstheme="minorHAnsi"/>
                <w:sz w:val="20"/>
                <w:szCs w:val="20"/>
              </w:rPr>
            </w:pPr>
            <w:r w:rsidRPr="000526F1">
              <w:rPr>
                <w:rFonts w:cstheme="minorHAnsi"/>
                <w:sz w:val="20"/>
                <w:szCs w:val="20"/>
              </w:rPr>
              <w:t>13040 (3820, 36375)</w:t>
            </w:r>
          </w:p>
        </w:tc>
      </w:tr>
      <w:tr w:rsidR="008F031B" w:rsidRPr="00403121" w14:paraId="25B2E15A" w14:textId="77777777" w:rsidTr="000526F1">
        <w:tc>
          <w:tcPr>
            <w:tcW w:w="1517" w:type="dxa"/>
            <w:vAlign w:val="center"/>
          </w:tcPr>
          <w:p w14:paraId="007D3805" w14:textId="42F8D24D" w:rsidR="008F031B" w:rsidRPr="008F031B" w:rsidRDefault="008F031B" w:rsidP="008F031B">
            <w:pPr>
              <w:jc w:val="center"/>
              <w:rPr>
                <w:rFonts w:cstheme="minorHAnsi"/>
                <w:color w:val="000000"/>
                <w:sz w:val="20"/>
                <w:szCs w:val="20"/>
              </w:rPr>
            </w:pPr>
            <w:r w:rsidRPr="008F031B">
              <w:rPr>
                <w:rFonts w:cstheme="minorHAnsi"/>
                <w:color w:val="000000"/>
                <w:sz w:val="20"/>
                <w:szCs w:val="20"/>
              </w:rPr>
              <w:t>1%</w:t>
            </w:r>
          </w:p>
        </w:tc>
        <w:tc>
          <w:tcPr>
            <w:tcW w:w="1313" w:type="dxa"/>
            <w:vAlign w:val="center"/>
          </w:tcPr>
          <w:p w14:paraId="5EDAD69B" w14:textId="5EA8B7A0" w:rsidR="008F031B" w:rsidRPr="000526F1" w:rsidRDefault="008F031B" w:rsidP="008F031B">
            <w:pPr>
              <w:jc w:val="center"/>
              <w:rPr>
                <w:rFonts w:cstheme="minorHAnsi"/>
                <w:color w:val="000000"/>
                <w:sz w:val="20"/>
                <w:szCs w:val="20"/>
              </w:rPr>
            </w:pPr>
            <w:r w:rsidRPr="000526F1">
              <w:rPr>
                <w:rFonts w:cstheme="minorHAnsi"/>
                <w:color w:val="000000"/>
                <w:sz w:val="20"/>
                <w:szCs w:val="20"/>
              </w:rPr>
              <w:t>1</w:t>
            </w:r>
          </w:p>
        </w:tc>
        <w:tc>
          <w:tcPr>
            <w:tcW w:w="1134" w:type="dxa"/>
            <w:vAlign w:val="center"/>
          </w:tcPr>
          <w:p w14:paraId="0C67DA65" w14:textId="0999654C" w:rsidR="008F031B" w:rsidRPr="000526F1" w:rsidRDefault="008F031B" w:rsidP="008F031B">
            <w:pPr>
              <w:jc w:val="center"/>
              <w:rPr>
                <w:rFonts w:cstheme="minorHAnsi"/>
                <w:color w:val="000000"/>
                <w:sz w:val="20"/>
                <w:szCs w:val="20"/>
              </w:rPr>
            </w:pPr>
            <w:r w:rsidRPr="000526F1">
              <w:rPr>
                <w:rFonts w:cstheme="minorHAnsi"/>
                <w:color w:val="000000"/>
                <w:sz w:val="20"/>
                <w:szCs w:val="20"/>
              </w:rPr>
              <w:t>0</w:t>
            </w:r>
          </w:p>
        </w:tc>
        <w:tc>
          <w:tcPr>
            <w:tcW w:w="1703" w:type="dxa"/>
            <w:vAlign w:val="center"/>
          </w:tcPr>
          <w:p w14:paraId="07320AB8" w14:textId="442C10C1"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25D1E6E6" w14:textId="085D8E94" w:rsidR="008F031B" w:rsidRPr="008F031B" w:rsidRDefault="008F031B" w:rsidP="008F031B">
            <w:pPr>
              <w:jc w:val="center"/>
              <w:rPr>
                <w:rFonts w:cstheme="minorHAnsi"/>
                <w:color w:val="000000"/>
                <w:sz w:val="20"/>
                <w:szCs w:val="20"/>
              </w:rPr>
            </w:pPr>
            <w:r w:rsidRPr="000526F1">
              <w:rPr>
                <w:rFonts w:cstheme="minorHAnsi"/>
                <w:color w:val="000000"/>
                <w:sz w:val="20"/>
                <w:szCs w:val="20"/>
              </w:rPr>
              <w:t>13800 (12808, 14901)</w:t>
            </w:r>
          </w:p>
        </w:tc>
        <w:tc>
          <w:tcPr>
            <w:tcW w:w="2693" w:type="dxa"/>
            <w:vAlign w:val="bottom"/>
          </w:tcPr>
          <w:p w14:paraId="0093C5EC" w14:textId="08337FF0" w:rsidR="008F031B" w:rsidRPr="000526F1" w:rsidRDefault="008F031B" w:rsidP="008F031B">
            <w:pPr>
              <w:jc w:val="center"/>
              <w:rPr>
                <w:rFonts w:cstheme="minorHAnsi"/>
                <w:sz w:val="20"/>
                <w:szCs w:val="20"/>
              </w:rPr>
            </w:pPr>
            <w:r w:rsidRPr="000526F1">
              <w:rPr>
                <w:rFonts w:cstheme="minorHAnsi"/>
                <w:sz w:val="20"/>
                <w:szCs w:val="20"/>
              </w:rPr>
              <w:t>21.32 (20.32, 22.16)</w:t>
            </w:r>
          </w:p>
        </w:tc>
        <w:tc>
          <w:tcPr>
            <w:tcW w:w="3402" w:type="dxa"/>
            <w:vAlign w:val="bottom"/>
          </w:tcPr>
          <w:p w14:paraId="401CA356" w14:textId="3ABFC832" w:rsidR="008F031B" w:rsidRPr="000526F1" w:rsidRDefault="008F031B" w:rsidP="008F031B">
            <w:pPr>
              <w:jc w:val="center"/>
              <w:rPr>
                <w:rFonts w:cstheme="minorHAnsi"/>
                <w:sz w:val="20"/>
                <w:szCs w:val="20"/>
              </w:rPr>
            </w:pPr>
            <w:r w:rsidRPr="000526F1">
              <w:rPr>
                <w:rFonts w:cstheme="minorHAnsi"/>
                <w:sz w:val="20"/>
                <w:szCs w:val="20"/>
              </w:rPr>
              <w:t>12509 (3210, 35884)</w:t>
            </w:r>
          </w:p>
        </w:tc>
      </w:tr>
      <w:tr w:rsidR="008F031B" w:rsidRPr="00403121" w14:paraId="05419F88" w14:textId="77777777" w:rsidTr="000526F1">
        <w:tc>
          <w:tcPr>
            <w:tcW w:w="1517" w:type="dxa"/>
            <w:vAlign w:val="center"/>
          </w:tcPr>
          <w:p w14:paraId="14ECF345" w14:textId="26908C2F" w:rsidR="008F031B" w:rsidRPr="008F031B" w:rsidRDefault="008F031B" w:rsidP="008F031B">
            <w:pPr>
              <w:jc w:val="center"/>
              <w:rPr>
                <w:rFonts w:cstheme="minorHAnsi"/>
                <w:color w:val="000000"/>
                <w:sz w:val="20"/>
                <w:szCs w:val="20"/>
              </w:rPr>
            </w:pPr>
            <w:r w:rsidRPr="008F031B">
              <w:rPr>
                <w:rFonts w:cstheme="minorHAnsi"/>
                <w:color w:val="000000"/>
                <w:sz w:val="20"/>
                <w:szCs w:val="20"/>
              </w:rPr>
              <w:t>1.5%</w:t>
            </w:r>
          </w:p>
        </w:tc>
        <w:tc>
          <w:tcPr>
            <w:tcW w:w="1313" w:type="dxa"/>
            <w:vAlign w:val="center"/>
          </w:tcPr>
          <w:p w14:paraId="613D4A1F" w14:textId="29C02B3A" w:rsidR="008F031B" w:rsidRPr="000526F1" w:rsidRDefault="008F031B" w:rsidP="008F031B">
            <w:pPr>
              <w:jc w:val="center"/>
              <w:rPr>
                <w:rFonts w:cstheme="minorHAnsi"/>
                <w:color w:val="000000"/>
                <w:sz w:val="20"/>
                <w:szCs w:val="20"/>
              </w:rPr>
            </w:pPr>
            <w:r w:rsidRPr="000526F1">
              <w:rPr>
                <w:rFonts w:cstheme="minorHAnsi"/>
                <w:color w:val="000000"/>
                <w:sz w:val="20"/>
                <w:szCs w:val="20"/>
              </w:rPr>
              <w:t>0.882</w:t>
            </w:r>
          </w:p>
        </w:tc>
        <w:tc>
          <w:tcPr>
            <w:tcW w:w="1134" w:type="dxa"/>
            <w:vAlign w:val="center"/>
          </w:tcPr>
          <w:p w14:paraId="07517FFA" w14:textId="4C471AD9" w:rsidR="008F031B" w:rsidRPr="000526F1" w:rsidRDefault="008F031B" w:rsidP="008F031B">
            <w:pPr>
              <w:jc w:val="center"/>
              <w:rPr>
                <w:rFonts w:cstheme="minorHAnsi"/>
                <w:color w:val="000000"/>
                <w:sz w:val="20"/>
                <w:szCs w:val="20"/>
              </w:rPr>
            </w:pPr>
            <w:r w:rsidRPr="000526F1">
              <w:rPr>
                <w:rFonts w:cstheme="minorHAnsi"/>
                <w:color w:val="000000"/>
                <w:sz w:val="20"/>
                <w:szCs w:val="20"/>
              </w:rPr>
              <w:t>0.417</w:t>
            </w:r>
          </w:p>
        </w:tc>
        <w:tc>
          <w:tcPr>
            <w:tcW w:w="1703" w:type="dxa"/>
          </w:tcPr>
          <w:p w14:paraId="5CA73ED5" w14:textId="0B41350A"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1722673E" w14:textId="6A6FEDDE" w:rsidR="008F031B" w:rsidRPr="008F031B" w:rsidRDefault="008F031B" w:rsidP="008F031B">
            <w:pPr>
              <w:jc w:val="center"/>
              <w:rPr>
                <w:rFonts w:cstheme="minorHAnsi"/>
                <w:color w:val="000000"/>
                <w:sz w:val="20"/>
                <w:szCs w:val="20"/>
              </w:rPr>
            </w:pPr>
            <w:r w:rsidRPr="000526F1">
              <w:rPr>
                <w:rFonts w:cstheme="minorHAnsi"/>
                <w:color w:val="000000"/>
                <w:sz w:val="20"/>
                <w:szCs w:val="20"/>
              </w:rPr>
              <w:t>13397 (12416, 14492)</w:t>
            </w:r>
          </w:p>
        </w:tc>
        <w:tc>
          <w:tcPr>
            <w:tcW w:w="2693" w:type="dxa"/>
            <w:vAlign w:val="bottom"/>
          </w:tcPr>
          <w:p w14:paraId="1DDF84A6" w14:textId="63055755" w:rsidR="008F031B" w:rsidRPr="000526F1" w:rsidRDefault="008F031B" w:rsidP="008F031B">
            <w:pPr>
              <w:jc w:val="center"/>
              <w:rPr>
                <w:rFonts w:cstheme="minorHAnsi"/>
                <w:sz w:val="20"/>
                <w:szCs w:val="20"/>
              </w:rPr>
            </w:pPr>
            <w:r w:rsidRPr="000526F1">
              <w:rPr>
                <w:rFonts w:cstheme="minorHAnsi"/>
                <w:sz w:val="20"/>
                <w:szCs w:val="20"/>
              </w:rPr>
              <w:t>21.26 (20.26, 22.1)</w:t>
            </w:r>
          </w:p>
        </w:tc>
        <w:tc>
          <w:tcPr>
            <w:tcW w:w="3402" w:type="dxa"/>
            <w:vAlign w:val="bottom"/>
          </w:tcPr>
          <w:p w14:paraId="22F0A6F4" w14:textId="5EF4311E" w:rsidR="008F031B" w:rsidRPr="000526F1" w:rsidRDefault="008F031B" w:rsidP="008F031B">
            <w:pPr>
              <w:jc w:val="center"/>
              <w:rPr>
                <w:rFonts w:cstheme="minorHAnsi"/>
                <w:sz w:val="20"/>
                <w:szCs w:val="20"/>
              </w:rPr>
            </w:pPr>
            <w:r w:rsidRPr="000526F1">
              <w:rPr>
                <w:rFonts w:cstheme="minorHAnsi"/>
                <w:sz w:val="20"/>
                <w:szCs w:val="20"/>
              </w:rPr>
              <w:t>11618 (3029, 33293)</w:t>
            </w:r>
          </w:p>
        </w:tc>
      </w:tr>
      <w:tr w:rsidR="008F031B" w:rsidRPr="00403121" w14:paraId="55FA0F64" w14:textId="77777777" w:rsidTr="000526F1">
        <w:tc>
          <w:tcPr>
            <w:tcW w:w="1517" w:type="dxa"/>
            <w:vAlign w:val="center"/>
          </w:tcPr>
          <w:p w14:paraId="05FA5C0C" w14:textId="5EDDDB4F" w:rsidR="008F031B" w:rsidRPr="008F031B" w:rsidRDefault="008F031B" w:rsidP="008F031B">
            <w:pPr>
              <w:jc w:val="center"/>
              <w:rPr>
                <w:rFonts w:cstheme="minorHAnsi"/>
                <w:color w:val="000000"/>
                <w:sz w:val="20"/>
                <w:szCs w:val="20"/>
              </w:rPr>
            </w:pPr>
            <w:r w:rsidRPr="008F031B">
              <w:rPr>
                <w:rFonts w:cstheme="minorHAnsi"/>
                <w:color w:val="000000"/>
                <w:sz w:val="20"/>
                <w:szCs w:val="20"/>
              </w:rPr>
              <w:t>2%</w:t>
            </w:r>
          </w:p>
        </w:tc>
        <w:tc>
          <w:tcPr>
            <w:tcW w:w="1313" w:type="dxa"/>
            <w:vAlign w:val="center"/>
          </w:tcPr>
          <w:p w14:paraId="70A9EFA7" w14:textId="003355CC" w:rsidR="008F031B" w:rsidRPr="000526F1" w:rsidRDefault="008F031B" w:rsidP="008F031B">
            <w:pPr>
              <w:jc w:val="center"/>
              <w:rPr>
                <w:rFonts w:cstheme="minorHAnsi"/>
                <w:color w:val="000000"/>
                <w:sz w:val="20"/>
                <w:szCs w:val="20"/>
              </w:rPr>
            </w:pPr>
            <w:r w:rsidRPr="000526F1">
              <w:rPr>
                <w:rFonts w:cstheme="minorHAnsi"/>
                <w:color w:val="000000"/>
                <w:sz w:val="20"/>
                <w:szCs w:val="20"/>
              </w:rPr>
              <w:t>0.807</w:t>
            </w:r>
          </w:p>
        </w:tc>
        <w:tc>
          <w:tcPr>
            <w:tcW w:w="1134" w:type="dxa"/>
            <w:vAlign w:val="center"/>
          </w:tcPr>
          <w:p w14:paraId="425BDBD2" w14:textId="4C6F1C65" w:rsidR="008F031B" w:rsidRPr="000526F1" w:rsidRDefault="008F031B" w:rsidP="008F031B">
            <w:pPr>
              <w:jc w:val="center"/>
              <w:rPr>
                <w:rFonts w:cstheme="minorHAnsi"/>
                <w:color w:val="000000"/>
                <w:sz w:val="20"/>
                <w:szCs w:val="20"/>
              </w:rPr>
            </w:pPr>
            <w:r w:rsidRPr="000526F1">
              <w:rPr>
                <w:rFonts w:cstheme="minorHAnsi"/>
                <w:color w:val="000000"/>
                <w:sz w:val="20"/>
                <w:szCs w:val="20"/>
              </w:rPr>
              <w:t>0.61</w:t>
            </w:r>
          </w:p>
        </w:tc>
        <w:tc>
          <w:tcPr>
            <w:tcW w:w="1703" w:type="dxa"/>
          </w:tcPr>
          <w:p w14:paraId="590CCE65" w14:textId="5F9C851E"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5B56E0FE" w14:textId="590D328D" w:rsidR="008F031B" w:rsidRPr="008F031B" w:rsidRDefault="008F031B" w:rsidP="008F031B">
            <w:pPr>
              <w:jc w:val="center"/>
              <w:rPr>
                <w:rFonts w:cstheme="minorHAnsi"/>
                <w:color w:val="000000"/>
                <w:sz w:val="20"/>
                <w:szCs w:val="20"/>
              </w:rPr>
            </w:pPr>
            <w:r w:rsidRPr="000526F1">
              <w:rPr>
                <w:rFonts w:cstheme="minorHAnsi"/>
                <w:color w:val="000000"/>
                <w:sz w:val="20"/>
                <w:szCs w:val="20"/>
              </w:rPr>
              <w:t>13221 (12241, 14321)</w:t>
            </w:r>
          </w:p>
        </w:tc>
        <w:tc>
          <w:tcPr>
            <w:tcW w:w="2693" w:type="dxa"/>
            <w:vAlign w:val="bottom"/>
          </w:tcPr>
          <w:p w14:paraId="2F02441F" w14:textId="6A591F37" w:rsidR="008F031B" w:rsidRPr="000526F1" w:rsidRDefault="008F031B" w:rsidP="008F031B">
            <w:pPr>
              <w:jc w:val="center"/>
              <w:rPr>
                <w:rFonts w:cstheme="minorHAnsi"/>
                <w:sz w:val="20"/>
                <w:szCs w:val="20"/>
              </w:rPr>
            </w:pPr>
            <w:r w:rsidRPr="000526F1">
              <w:rPr>
                <w:rFonts w:cstheme="minorHAnsi"/>
                <w:sz w:val="20"/>
                <w:szCs w:val="20"/>
              </w:rPr>
              <w:t>21.26 (20.27, 22.12)</w:t>
            </w:r>
          </w:p>
        </w:tc>
        <w:tc>
          <w:tcPr>
            <w:tcW w:w="3402" w:type="dxa"/>
            <w:vAlign w:val="bottom"/>
          </w:tcPr>
          <w:p w14:paraId="04FC168F" w14:textId="780F7292" w:rsidR="008F031B" w:rsidRPr="000526F1" w:rsidRDefault="008F031B" w:rsidP="008F031B">
            <w:pPr>
              <w:jc w:val="center"/>
              <w:rPr>
                <w:rFonts w:cstheme="minorHAnsi"/>
                <w:sz w:val="20"/>
                <w:szCs w:val="20"/>
              </w:rPr>
            </w:pPr>
            <w:r w:rsidRPr="000526F1">
              <w:rPr>
                <w:rFonts w:cstheme="minorHAnsi"/>
                <w:sz w:val="20"/>
                <w:szCs w:val="20"/>
              </w:rPr>
              <w:t>11914 (3273, 33675)</w:t>
            </w:r>
          </w:p>
        </w:tc>
      </w:tr>
      <w:tr w:rsidR="008F031B" w:rsidRPr="00403121" w14:paraId="3B4A409E" w14:textId="77777777" w:rsidTr="000526F1">
        <w:tc>
          <w:tcPr>
            <w:tcW w:w="1517" w:type="dxa"/>
            <w:vAlign w:val="center"/>
          </w:tcPr>
          <w:p w14:paraId="6EF9848D" w14:textId="5DA12BC1" w:rsidR="008F031B" w:rsidRPr="008F031B" w:rsidRDefault="008F031B" w:rsidP="008F031B">
            <w:pPr>
              <w:jc w:val="center"/>
              <w:rPr>
                <w:rFonts w:cstheme="minorHAnsi"/>
                <w:color w:val="000000"/>
                <w:sz w:val="20"/>
                <w:szCs w:val="20"/>
              </w:rPr>
            </w:pPr>
            <w:r w:rsidRPr="008F031B">
              <w:rPr>
                <w:rFonts w:cstheme="minorHAnsi"/>
                <w:color w:val="000000"/>
                <w:sz w:val="20"/>
                <w:szCs w:val="20"/>
              </w:rPr>
              <w:t>5%</w:t>
            </w:r>
          </w:p>
        </w:tc>
        <w:tc>
          <w:tcPr>
            <w:tcW w:w="1313" w:type="dxa"/>
            <w:vAlign w:val="center"/>
          </w:tcPr>
          <w:p w14:paraId="755F1233" w14:textId="0B1863E8" w:rsidR="008F031B" w:rsidRPr="000526F1" w:rsidRDefault="008F031B" w:rsidP="008F031B">
            <w:pPr>
              <w:jc w:val="center"/>
              <w:rPr>
                <w:rFonts w:cstheme="minorHAnsi"/>
                <w:color w:val="000000"/>
                <w:sz w:val="20"/>
                <w:szCs w:val="20"/>
              </w:rPr>
            </w:pPr>
            <w:r w:rsidRPr="000526F1">
              <w:rPr>
                <w:rFonts w:cstheme="minorHAnsi"/>
                <w:color w:val="000000"/>
                <w:sz w:val="20"/>
                <w:szCs w:val="20"/>
              </w:rPr>
              <w:t>0.667</w:t>
            </w:r>
          </w:p>
        </w:tc>
        <w:tc>
          <w:tcPr>
            <w:tcW w:w="1134" w:type="dxa"/>
            <w:vAlign w:val="center"/>
          </w:tcPr>
          <w:p w14:paraId="5B4A2DD4" w14:textId="41BD7820" w:rsidR="008F031B" w:rsidRPr="000526F1" w:rsidRDefault="008F031B" w:rsidP="008F031B">
            <w:pPr>
              <w:jc w:val="center"/>
              <w:rPr>
                <w:rFonts w:cstheme="minorHAnsi"/>
                <w:color w:val="000000"/>
                <w:sz w:val="20"/>
                <w:szCs w:val="20"/>
              </w:rPr>
            </w:pPr>
            <w:r w:rsidRPr="000526F1">
              <w:rPr>
                <w:rFonts w:cstheme="minorHAnsi"/>
                <w:color w:val="000000"/>
                <w:sz w:val="20"/>
                <w:szCs w:val="20"/>
              </w:rPr>
              <w:t>0.872</w:t>
            </w:r>
          </w:p>
        </w:tc>
        <w:tc>
          <w:tcPr>
            <w:tcW w:w="1703" w:type="dxa"/>
          </w:tcPr>
          <w:p w14:paraId="47CD0F3B" w14:textId="12ABAA7D"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20CE35E2" w14:textId="03AB32F8" w:rsidR="008F031B" w:rsidRPr="008F031B" w:rsidRDefault="008F031B" w:rsidP="008F031B">
            <w:pPr>
              <w:jc w:val="center"/>
              <w:rPr>
                <w:rFonts w:cstheme="minorHAnsi"/>
                <w:color w:val="000000"/>
                <w:sz w:val="20"/>
                <w:szCs w:val="20"/>
              </w:rPr>
            </w:pPr>
            <w:r w:rsidRPr="000526F1">
              <w:rPr>
                <w:rFonts w:cstheme="minorHAnsi"/>
                <w:color w:val="000000"/>
                <w:sz w:val="20"/>
                <w:szCs w:val="20"/>
              </w:rPr>
              <w:t>13014 (12027, 14114)</w:t>
            </w:r>
          </w:p>
        </w:tc>
        <w:tc>
          <w:tcPr>
            <w:tcW w:w="2693" w:type="dxa"/>
            <w:vAlign w:val="bottom"/>
          </w:tcPr>
          <w:p w14:paraId="21F5E4B6" w14:textId="59CF052C" w:rsidR="008F031B" w:rsidRPr="000526F1" w:rsidRDefault="008F031B" w:rsidP="008F031B">
            <w:pPr>
              <w:jc w:val="center"/>
              <w:rPr>
                <w:rFonts w:cstheme="minorHAnsi"/>
                <w:sz w:val="20"/>
                <w:szCs w:val="20"/>
              </w:rPr>
            </w:pPr>
            <w:r w:rsidRPr="000526F1">
              <w:rPr>
                <w:rFonts w:cstheme="minorHAnsi"/>
                <w:sz w:val="20"/>
                <w:szCs w:val="20"/>
              </w:rPr>
              <w:t>21.3 (20.29, 22.14)</w:t>
            </w:r>
          </w:p>
        </w:tc>
        <w:tc>
          <w:tcPr>
            <w:tcW w:w="3402" w:type="dxa"/>
            <w:vAlign w:val="bottom"/>
          </w:tcPr>
          <w:p w14:paraId="7153EA23" w14:textId="760641D9" w:rsidR="008F031B" w:rsidRPr="000526F1" w:rsidRDefault="008F031B" w:rsidP="008F031B">
            <w:pPr>
              <w:jc w:val="center"/>
              <w:rPr>
                <w:rFonts w:cstheme="minorHAnsi"/>
                <w:sz w:val="20"/>
                <w:szCs w:val="20"/>
              </w:rPr>
            </w:pPr>
            <w:r w:rsidRPr="000526F1">
              <w:rPr>
                <w:rFonts w:cstheme="minorHAnsi"/>
                <w:sz w:val="20"/>
                <w:szCs w:val="20"/>
              </w:rPr>
              <w:t>12885 (3844, 35682)</w:t>
            </w:r>
          </w:p>
        </w:tc>
      </w:tr>
      <w:tr w:rsidR="008F031B" w:rsidRPr="00403121" w14:paraId="7666E61B" w14:textId="77777777" w:rsidTr="000526F1">
        <w:tc>
          <w:tcPr>
            <w:tcW w:w="1517" w:type="dxa"/>
            <w:vAlign w:val="center"/>
          </w:tcPr>
          <w:p w14:paraId="2F4EF52E" w14:textId="1CB629FC" w:rsidR="008F031B" w:rsidRPr="008F031B" w:rsidRDefault="008F031B" w:rsidP="008F031B">
            <w:pPr>
              <w:jc w:val="center"/>
              <w:rPr>
                <w:rFonts w:cstheme="minorHAnsi"/>
                <w:color w:val="000000"/>
                <w:sz w:val="20"/>
                <w:szCs w:val="20"/>
              </w:rPr>
            </w:pPr>
            <w:r w:rsidRPr="008F031B">
              <w:rPr>
                <w:rFonts w:cstheme="minorHAnsi"/>
                <w:color w:val="000000"/>
                <w:sz w:val="20"/>
                <w:szCs w:val="20"/>
              </w:rPr>
              <w:t>10%</w:t>
            </w:r>
          </w:p>
        </w:tc>
        <w:tc>
          <w:tcPr>
            <w:tcW w:w="1313" w:type="dxa"/>
            <w:vAlign w:val="center"/>
          </w:tcPr>
          <w:p w14:paraId="0320BAD6" w14:textId="13757188" w:rsidR="008F031B" w:rsidRPr="000526F1" w:rsidRDefault="008F031B" w:rsidP="008F031B">
            <w:pPr>
              <w:jc w:val="center"/>
              <w:rPr>
                <w:rFonts w:cstheme="minorHAnsi"/>
                <w:color w:val="000000"/>
                <w:sz w:val="20"/>
                <w:szCs w:val="20"/>
              </w:rPr>
            </w:pPr>
            <w:r w:rsidRPr="000526F1">
              <w:rPr>
                <w:rFonts w:cstheme="minorHAnsi"/>
                <w:color w:val="000000"/>
                <w:sz w:val="20"/>
                <w:szCs w:val="20"/>
              </w:rPr>
              <w:t>0.533</w:t>
            </w:r>
          </w:p>
        </w:tc>
        <w:tc>
          <w:tcPr>
            <w:tcW w:w="1134" w:type="dxa"/>
            <w:vAlign w:val="center"/>
          </w:tcPr>
          <w:p w14:paraId="19AC550C" w14:textId="1B911EBD" w:rsidR="008F031B" w:rsidRPr="000526F1" w:rsidRDefault="008F031B" w:rsidP="008F031B">
            <w:pPr>
              <w:jc w:val="center"/>
              <w:rPr>
                <w:rFonts w:cstheme="minorHAnsi"/>
                <w:color w:val="000000"/>
                <w:sz w:val="20"/>
                <w:szCs w:val="20"/>
              </w:rPr>
            </w:pPr>
            <w:r w:rsidRPr="000526F1">
              <w:rPr>
                <w:rFonts w:cstheme="minorHAnsi"/>
                <w:color w:val="000000"/>
                <w:sz w:val="20"/>
                <w:szCs w:val="20"/>
              </w:rPr>
              <w:t>0.952</w:t>
            </w:r>
          </w:p>
        </w:tc>
        <w:tc>
          <w:tcPr>
            <w:tcW w:w="1703" w:type="dxa"/>
          </w:tcPr>
          <w:p w14:paraId="034774C6" w14:textId="5EB8480A"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67577804" w14:textId="69190C01" w:rsidR="008F031B" w:rsidRPr="008F031B" w:rsidRDefault="008F031B" w:rsidP="008F031B">
            <w:pPr>
              <w:jc w:val="center"/>
              <w:rPr>
                <w:rFonts w:cstheme="minorHAnsi"/>
                <w:color w:val="000000"/>
                <w:sz w:val="20"/>
                <w:szCs w:val="20"/>
              </w:rPr>
            </w:pPr>
            <w:r w:rsidRPr="000526F1">
              <w:rPr>
                <w:rFonts w:cstheme="minorHAnsi"/>
                <w:color w:val="000000"/>
                <w:sz w:val="20"/>
                <w:szCs w:val="20"/>
              </w:rPr>
              <w:t>12991 (11998, 14100)</w:t>
            </w:r>
          </w:p>
        </w:tc>
        <w:tc>
          <w:tcPr>
            <w:tcW w:w="2693" w:type="dxa"/>
            <w:vAlign w:val="bottom"/>
          </w:tcPr>
          <w:p w14:paraId="21A4121D" w14:textId="00EE6B0B" w:rsidR="008F031B" w:rsidRPr="000526F1" w:rsidRDefault="008F031B" w:rsidP="008F031B">
            <w:pPr>
              <w:jc w:val="center"/>
              <w:rPr>
                <w:rFonts w:cstheme="minorHAnsi"/>
                <w:sz w:val="20"/>
                <w:szCs w:val="20"/>
              </w:rPr>
            </w:pPr>
            <w:r w:rsidRPr="000526F1">
              <w:rPr>
                <w:rFonts w:cstheme="minorHAnsi"/>
                <w:sz w:val="20"/>
                <w:szCs w:val="20"/>
              </w:rPr>
              <w:t>21.31 (20.31, 22.14)</w:t>
            </w:r>
          </w:p>
        </w:tc>
        <w:tc>
          <w:tcPr>
            <w:tcW w:w="3402" w:type="dxa"/>
            <w:vAlign w:val="bottom"/>
          </w:tcPr>
          <w:p w14:paraId="2E57B927" w14:textId="558D2EF4" w:rsidR="008F031B" w:rsidRPr="000526F1" w:rsidRDefault="008F031B" w:rsidP="008F031B">
            <w:pPr>
              <w:jc w:val="center"/>
              <w:rPr>
                <w:rFonts w:cstheme="minorHAnsi"/>
                <w:sz w:val="20"/>
                <w:szCs w:val="20"/>
              </w:rPr>
            </w:pPr>
            <w:r w:rsidRPr="000526F1">
              <w:rPr>
                <w:rFonts w:cstheme="minorHAnsi"/>
                <w:sz w:val="20"/>
                <w:szCs w:val="20"/>
              </w:rPr>
              <w:t>13090 (3929, 36260)</w:t>
            </w:r>
          </w:p>
        </w:tc>
      </w:tr>
      <w:tr w:rsidR="008F031B" w:rsidRPr="00403121" w14:paraId="4E556AC3" w14:textId="77777777" w:rsidTr="000526F1">
        <w:tc>
          <w:tcPr>
            <w:tcW w:w="1517" w:type="dxa"/>
            <w:vAlign w:val="center"/>
          </w:tcPr>
          <w:p w14:paraId="4086DC44" w14:textId="2954F235" w:rsidR="008F031B" w:rsidRPr="008F031B" w:rsidRDefault="008F031B" w:rsidP="008F031B">
            <w:pPr>
              <w:jc w:val="center"/>
              <w:rPr>
                <w:rFonts w:cstheme="minorHAnsi"/>
                <w:color w:val="000000"/>
                <w:sz w:val="20"/>
                <w:szCs w:val="20"/>
              </w:rPr>
            </w:pPr>
            <w:r w:rsidRPr="008F031B">
              <w:rPr>
                <w:rFonts w:cstheme="minorHAnsi"/>
                <w:color w:val="000000"/>
                <w:sz w:val="20"/>
                <w:szCs w:val="20"/>
              </w:rPr>
              <w:t>20%</w:t>
            </w:r>
          </w:p>
        </w:tc>
        <w:tc>
          <w:tcPr>
            <w:tcW w:w="1313" w:type="dxa"/>
            <w:vAlign w:val="center"/>
          </w:tcPr>
          <w:p w14:paraId="10BCF619" w14:textId="3ADCA1E9" w:rsidR="008F031B" w:rsidRPr="000526F1" w:rsidRDefault="008F031B" w:rsidP="008F031B">
            <w:pPr>
              <w:jc w:val="center"/>
              <w:rPr>
                <w:rFonts w:cstheme="minorHAnsi"/>
                <w:color w:val="000000"/>
                <w:sz w:val="20"/>
                <w:szCs w:val="20"/>
              </w:rPr>
            </w:pPr>
            <w:r w:rsidRPr="000526F1">
              <w:rPr>
                <w:rFonts w:cstheme="minorHAnsi"/>
                <w:color w:val="000000"/>
                <w:sz w:val="20"/>
                <w:szCs w:val="20"/>
              </w:rPr>
              <w:t>0.331</w:t>
            </w:r>
          </w:p>
        </w:tc>
        <w:tc>
          <w:tcPr>
            <w:tcW w:w="1134" w:type="dxa"/>
            <w:vAlign w:val="center"/>
          </w:tcPr>
          <w:p w14:paraId="3C39C4F2" w14:textId="3D3C4C80" w:rsidR="008F031B" w:rsidRPr="000526F1" w:rsidRDefault="008F031B" w:rsidP="008F031B">
            <w:pPr>
              <w:jc w:val="center"/>
              <w:rPr>
                <w:rFonts w:cstheme="minorHAnsi"/>
                <w:color w:val="000000"/>
                <w:sz w:val="20"/>
                <w:szCs w:val="20"/>
              </w:rPr>
            </w:pPr>
            <w:r w:rsidRPr="000526F1">
              <w:rPr>
                <w:rFonts w:cstheme="minorHAnsi"/>
                <w:color w:val="000000"/>
                <w:sz w:val="20"/>
                <w:szCs w:val="20"/>
              </w:rPr>
              <w:t>0.987</w:t>
            </w:r>
          </w:p>
        </w:tc>
        <w:tc>
          <w:tcPr>
            <w:tcW w:w="1703" w:type="dxa"/>
          </w:tcPr>
          <w:p w14:paraId="0F4543AB" w14:textId="5EB07E2C" w:rsidR="008F031B" w:rsidRPr="008F031B" w:rsidRDefault="008F031B" w:rsidP="008F031B">
            <w:pPr>
              <w:jc w:val="center"/>
              <w:rPr>
                <w:rFonts w:cstheme="minorHAnsi"/>
                <w:color w:val="000000"/>
                <w:sz w:val="20"/>
                <w:szCs w:val="20"/>
              </w:rPr>
            </w:pPr>
            <w:r w:rsidRPr="000526F1">
              <w:rPr>
                <w:rFonts w:cstheme="minorHAnsi"/>
                <w:color w:val="000000"/>
                <w:sz w:val="20"/>
                <w:szCs w:val="20"/>
              </w:rPr>
              <w:t>HLA plus IgA tTG</w:t>
            </w:r>
          </w:p>
        </w:tc>
        <w:tc>
          <w:tcPr>
            <w:tcW w:w="2268" w:type="dxa"/>
            <w:vAlign w:val="bottom"/>
          </w:tcPr>
          <w:p w14:paraId="6F41C319" w14:textId="244F3C0E" w:rsidR="008F031B" w:rsidRPr="008F031B" w:rsidRDefault="008F031B" w:rsidP="008F031B">
            <w:pPr>
              <w:jc w:val="center"/>
              <w:rPr>
                <w:rFonts w:cstheme="minorHAnsi"/>
                <w:color w:val="000000"/>
                <w:sz w:val="20"/>
                <w:szCs w:val="20"/>
              </w:rPr>
            </w:pPr>
            <w:r w:rsidRPr="000526F1">
              <w:rPr>
                <w:rFonts w:cstheme="minorHAnsi"/>
                <w:color w:val="000000"/>
                <w:sz w:val="20"/>
                <w:szCs w:val="20"/>
              </w:rPr>
              <w:t>13032 (12029, 14132)</w:t>
            </w:r>
          </w:p>
        </w:tc>
        <w:tc>
          <w:tcPr>
            <w:tcW w:w="2693" w:type="dxa"/>
            <w:vAlign w:val="bottom"/>
          </w:tcPr>
          <w:p w14:paraId="48E676F7" w14:textId="0EBFBC3B" w:rsidR="008F031B" w:rsidRPr="000526F1" w:rsidRDefault="008F031B" w:rsidP="008F031B">
            <w:pPr>
              <w:jc w:val="center"/>
              <w:rPr>
                <w:rFonts w:cstheme="minorHAnsi"/>
                <w:sz w:val="20"/>
                <w:szCs w:val="20"/>
              </w:rPr>
            </w:pPr>
            <w:r w:rsidRPr="000526F1">
              <w:rPr>
                <w:rFonts w:cstheme="minorHAnsi"/>
                <w:sz w:val="20"/>
                <w:szCs w:val="20"/>
              </w:rPr>
              <w:t>21.31 (20.31, 22.15)</w:t>
            </w:r>
          </w:p>
        </w:tc>
        <w:tc>
          <w:tcPr>
            <w:tcW w:w="3402" w:type="dxa"/>
            <w:vAlign w:val="bottom"/>
          </w:tcPr>
          <w:p w14:paraId="4C6EB653" w14:textId="6CA4E06C" w:rsidR="008F031B" w:rsidRPr="000526F1" w:rsidRDefault="008F031B" w:rsidP="008F031B">
            <w:pPr>
              <w:jc w:val="center"/>
              <w:rPr>
                <w:rFonts w:cstheme="minorHAnsi"/>
                <w:sz w:val="20"/>
                <w:szCs w:val="20"/>
              </w:rPr>
            </w:pPr>
            <w:r w:rsidRPr="000526F1">
              <w:rPr>
                <w:rFonts w:cstheme="minorHAnsi"/>
                <w:sz w:val="20"/>
                <w:szCs w:val="20"/>
              </w:rPr>
              <w:t>13042 (3835, 36372)</w:t>
            </w:r>
          </w:p>
        </w:tc>
      </w:tr>
    </w:tbl>
    <w:p w14:paraId="7A427F17" w14:textId="77777777" w:rsidR="00BF5EA3" w:rsidRPr="00305D05" w:rsidRDefault="00BF5EA3" w:rsidP="00BF5EA3">
      <w:pPr>
        <w:rPr>
          <w:rFonts w:cstheme="minorHAnsi"/>
        </w:rPr>
        <w:sectPr w:rsidR="00BF5EA3" w:rsidRPr="00305D05" w:rsidSect="00BA0084">
          <w:pgSz w:w="16838" w:h="11906" w:orient="landscape"/>
          <w:pgMar w:top="1440" w:right="1440" w:bottom="1440" w:left="1440" w:header="709" w:footer="709" w:gutter="0"/>
          <w:cols w:space="708"/>
          <w:titlePg/>
          <w:docGrid w:linePitch="360"/>
        </w:sectPr>
      </w:pPr>
    </w:p>
    <w:p w14:paraId="6412994D" w14:textId="77777777" w:rsidR="00BF5EA3" w:rsidRPr="00305D05" w:rsidRDefault="00BF5EA3" w:rsidP="00BF5EA3">
      <w:pPr>
        <w:rPr>
          <w:rFonts w:cstheme="minorHAnsi"/>
        </w:rPr>
      </w:pPr>
    </w:p>
    <w:p w14:paraId="38901A3B" w14:textId="644CA0D5" w:rsidR="00BF5EA3" w:rsidRPr="00305D05" w:rsidRDefault="00BF5EA3" w:rsidP="00BF5EA3">
      <w:pPr>
        <w:rPr>
          <w:rFonts w:cstheme="minorHAnsi"/>
        </w:rPr>
      </w:pPr>
      <w:r w:rsidRPr="00305D05">
        <w:rPr>
          <w:rFonts w:cstheme="minorHAnsi"/>
        </w:rPr>
        <w:fldChar w:fldCharType="begin"/>
      </w:r>
      <w:r w:rsidRPr="00305D05">
        <w:rPr>
          <w:rFonts w:cstheme="minorHAnsi"/>
        </w:rPr>
        <w:instrText xml:space="preserve"> REF _Ref83916516 \h </w:instrText>
      </w:r>
      <w:r>
        <w:rPr>
          <w:rFonts w:cstheme="minorHAnsi"/>
        </w:rPr>
        <w:instrText xml:space="preserve"> \* MERGEFORMAT </w:instrText>
      </w:r>
      <w:r w:rsidRPr="00305D05">
        <w:rPr>
          <w:rFonts w:cstheme="minorHAnsi"/>
        </w:rPr>
      </w:r>
      <w:r w:rsidRPr="00305D05">
        <w:rPr>
          <w:rFonts w:cstheme="minorHAnsi"/>
        </w:rPr>
        <w:fldChar w:fldCharType="separate"/>
      </w:r>
      <w:r w:rsidR="008B5583" w:rsidRPr="00305D05">
        <w:rPr>
          <w:rFonts w:cstheme="minorHAnsi"/>
        </w:rPr>
        <w:t xml:space="preserve">Figure </w:t>
      </w:r>
      <w:r w:rsidR="008B5583">
        <w:rPr>
          <w:rFonts w:cstheme="minorHAnsi"/>
          <w:noProof/>
        </w:rPr>
        <w:t>24</w:t>
      </w:r>
      <w:r w:rsidRPr="00305D05">
        <w:rPr>
          <w:rFonts w:cstheme="minorHAnsi"/>
        </w:rPr>
        <w:fldChar w:fldCharType="end"/>
      </w:r>
      <w:r w:rsidRPr="00305D05">
        <w:rPr>
          <w:rFonts w:cstheme="minorHAnsi"/>
        </w:rPr>
        <w:t xml:space="preserve"> plots the cost-effectiveness acceptability curves which show the probability that each testing strategy is optimal (i.e. highest net benefit) at each willingness to pay threshold for an additional QALY. This shows that at any threshold above £</w:t>
      </w:r>
      <w:r w:rsidR="00F614FA">
        <w:rPr>
          <w:rFonts w:cstheme="minorHAnsi"/>
        </w:rPr>
        <w:t>5</w:t>
      </w:r>
      <w:r w:rsidRPr="00305D05">
        <w:rPr>
          <w:rFonts w:cstheme="minorHAnsi"/>
        </w:rPr>
        <w:t xml:space="preserve">,000/QALY the strategy with greatest probability of being cost-effective is </w:t>
      </w:r>
      <w:r w:rsidR="00F614FA">
        <w:rPr>
          <w:rFonts w:cstheme="minorHAnsi"/>
        </w:rPr>
        <w:t>10</w:t>
      </w:r>
      <w:r w:rsidRPr="00305D05">
        <w:rPr>
          <w:rFonts w:cstheme="minorHAnsi"/>
        </w:rPr>
        <w:t xml:space="preserve">% pre-test probability with </w:t>
      </w:r>
      <w:r w:rsidR="00F614FA">
        <w:rPr>
          <w:rFonts w:cstheme="minorHAnsi"/>
        </w:rPr>
        <w:t>HLA plus IgA tTG</w:t>
      </w:r>
      <w:r w:rsidRPr="00305D05">
        <w:rPr>
          <w:rFonts w:cstheme="minorHAnsi"/>
        </w:rPr>
        <w:t xml:space="preserve">. </w:t>
      </w:r>
      <w:r w:rsidR="00457C83">
        <w:rPr>
          <w:rFonts w:cstheme="minorHAnsi"/>
        </w:rPr>
        <w:t>This probability is between 60 and 80% which, while high, does not suggest certainty that any of the IgA EMA plus HLA or HLA plus IgA tTG strategies differ in cost-effectiveness</w:t>
      </w:r>
    </w:p>
    <w:p w14:paraId="0B4B1B8F" w14:textId="570788D0" w:rsidR="00BF5EA3" w:rsidRPr="00305D05" w:rsidRDefault="00BF5EA3" w:rsidP="00BF5EA3">
      <w:pPr>
        <w:pStyle w:val="Caption"/>
        <w:rPr>
          <w:rFonts w:cstheme="minorHAnsi"/>
        </w:rPr>
      </w:pPr>
      <w:bookmarkStart w:id="320" w:name="_Ref83916516"/>
      <w:bookmarkStart w:id="321" w:name="_Toc99720805"/>
      <w:r w:rsidRPr="00305D05">
        <w:rPr>
          <w:rFonts w:cstheme="minorHAnsi"/>
        </w:rPr>
        <w:t xml:space="preserve">Figure </w:t>
      </w:r>
      <w:r w:rsidRPr="00305D05">
        <w:rPr>
          <w:rFonts w:cstheme="minorHAnsi"/>
        </w:rPr>
        <w:fldChar w:fldCharType="begin"/>
      </w:r>
      <w:r w:rsidRPr="00305D05">
        <w:rPr>
          <w:rFonts w:cstheme="minorHAnsi"/>
        </w:rPr>
        <w:instrText xml:space="preserve"> SEQ Figure \* ARABIC </w:instrText>
      </w:r>
      <w:r w:rsidRPr="00305D05">
        <w:rPr>
          <w:rFonts w:cstheme="minorHAnsi"/>
        </w:rPr>
        <w:fldChar w:fldCharType="separate"/>
      </w:r>
      <w:r w:rsidR="008B5583">
        <w:rPr>
          <w:rFonts w:cstheme="minorHAnsi"/>
          <w:noProof/>
        </w:rPr>
        <w:t>24</w:t>
      </w:r>
      <w:r w:rsidRPr="00305D05">
        <w:rPr>
          <w:rFonts w:cstheme="minorHAnsi"/>
          <w:noProof/>
        </w:rPr>
        <w:fldChar w:fldCharType="end"/>
      </w:r>
      <w:bookmarkEnd w:id="320"/>
      <w:r w:rsidRPr="00305D05">
        <w:rPr>
          <w:rFonts w:cstheme="minorHAnsi"/>
        </w:rPr>
        <w:t>. Cost-effectiveness acceptability curves for strategies of interest in children</w:t>
      </w:r>
      <w:bookmarkEnd w:id="321"/>
    </w:p>
    <w:p w14:paraId="5B6CF36C" w14:textId="2B9C51DA" w:rsidR="00BF5EA3" w:rsidRPr="00305D05" w:rsidRDefault="007E7D5E" w:rsidP="00BF5EA3">
      <w:pPr>
        <w:rPr>
          <w:rFonts w:cstheme="minorHAnsi"/>
        </w:rPr>
      </w:pPr>
      <w:r>
        <w:rPr>
          <w:rFonts w:cstheme="minorHAnsi"/>
          <w:noProof/>
        </w:rPr>
        <w:drawing>
          <wp:inline distT="0" distB="0" distL="0" distR="0" wp14:anchorId="7291FD63" wp14:editId="21568DCD">
            <wp:extent cx="3709185" cy="3608070"/>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11868" cy="3610680"/>
                    </a:xfrm>
                    <a:prstGeom prst="rect">
                      <a:avLst/>
                    </a:prstGeom>
                    <a:noFill/>
                    <a:ln>
                      <a:noFill/>
                    </a:ln>
                  </pic:spPr>
                </pic:pic>
              </a:graphicData>
            </a:graphic>
          </wp:inline>
        </w:drawing>
      </w:r>
    </w:p>
    <w:p w14:paraId="141B418B" w14:textId="1E7B9BA2" w:rsidR="00E3458F" w:rsidRDefault="00735105">
      <w:pPr>
        <w:rPr>
          <w:rFonts w:cstheme="minorHAnsi"/>
        </w:rPr>
      </w:pPr>
      <w:r>
        <w:rPr>
          <w:rFonts w:cstheme="minorHAnsi"/>
        </w:rPr>
        <w:t>Supplementary Table S21</w:t>
      </w:r>
      <w:r w:rsidR="00BF5EA3">
        <w:rPr>
          <w:rFonts w:cstheme="minorHAnsi"/>
        </w:rPr>
        <w:t xml:space="preserve"> </w:t>
      </w:r>
      <w:r w:rsidR="00BF5EA3" w:rsidRPr="00305D05">
        <w:rPr>
          <w:rFonts w:cstheme="minorHAnsi"/>
        </w:rPr>
        <w:t xml:space="preserve">provides the proportion of time spent in each state for </w:t>
      </w:r>
      <w:r w:rsidR="00BF5EA3">
        <w:rPr>
          <w:rFonts w:cstheme="minorHAnsi"/>
        </w:rPr>
        <w:t>children</w:t>
      </w:r>
      <w:r w:rsidR="00BF5EA3" w:rsidRPr="00305D05">
        <w:rPr>
          <w:rFonts w:cstheme="minorHAnsi"/>
        </w:rPr>
        <w:t xml:space="preserve"> on the strategies of interest. Compared to other IgA </w:t>
      </w:r>
      <w:r w:rsidR="00BF5EA3">
        <w:rPr>
          <w:rFonts w:cstheme="minorHAnsi"/>
        </w:rPr>
        <w:t>tTG</w:t>
      </w:r>
      <w:r w:rsidR="00BF5EA3" w:rsidRPr="00305D05">
        <w:rPr>
          <w:rFonts w:cstheme="minorHAnsi"/>
        </w:rPr>
        <w:t xml:space="preserve"> strategies, the 1% IgA </w:t>
      </w:r>
      <w:r w:rsidR="00BF5EA3">
        <w:rPr>
          <w:rFonts w:cstheme="minorHAnsi"/>
        </w:rPr>
        <w:t>tTG</w:t>
      </w:r>
      <w:r w:rsidR="00BF5EA3" w:rsidRPr="00305D05">
        <w:rPr>
          <w:rFonts w:cstheme="minorHAnsi"/>
        </w:rPr>
        <w:t xml:space="preserve"> has the greatest proportion of time in the CD </w:t>
      </w:r>
      <w:r w:rsidR="00BD6F97">
        <w:rPr>
          <w:rFonts w:cstheme="minorHAnsi"/>
        </w:rPr>
        <w:t>gluten-free diet</w:t>
      </w:r>
      <w:r w:rsidR="00BD6F97" w:rsidRPr="00305D05">
        <w:rPr>
          <w:rFonts w:cstheme="minorHAnsi"/>
        </w:rPr>
        <w:t xml:space="preserve"> </w:t>
      </w:r>
      <w:r w:rsidR="00BF5EA3" w:rsidRPr="00305D05">
        <w:rPr>
          <w:rFonts w:cstheme="minorHAnsi"/>
        </w:rPr>
        <w:t xml:space="preserve">no complications state and least time in the undiagnosed states, and similarly for the 5% </w:t>
      </w:r>
      <w:r w:rsidR="00A72B62">
        <w:rPr>
          <w:rFonts w:cstheme="minorHAnsi"/>
        </w:rPr>
        <w:t>HLA strategies</w:t>
      </w:r>
      <w:r w:rsidR="00BF5EA3" w:rsidRPr="00305D05">
        <w:rPr>
          <w:rFonts w:cstheme="minorHAnsi"/>
        </w:rPr>
        <w:t xml:space="preserve"> compared to other HLA strategies. There </w:t>
      </w:r>
      <w:r w:rsidR="006C16D3">
        <w:rPr>
          <w:rFonts w:cstheme="minorHAnsi"/>
        </w:rPr>
        <w:t>is little difference</w:t>
      </w:r>
      <w:r w:rsidR="00BF5EA3" w:rsidRPr="00305D05">
        <w:rPr>
          <w:rFonts w:cstheme="minorHAnsi"/>
        </w:rPr>
        <w:t xml:space="preserve"> in proportion</w:t>
      </w:r>
      <w:r w:rsidR="006C16D3">
        <w:rPr>
          <w:rFonts w:cstheme="minorHAnsi"/>
        </w:rPr>
        <w:t>s of</w:t>
      </w:r>
      <w:r w:rsidR="00BF5EA3" w:rsidRPr="00305D05">
        <w:rPr>
          <w:rFonts w:cstheme="minorHAnsi"/>
        </w:rPr>
        <w:t xml:space="preserve"> time spent in the undiagnosed complication states as most child patients are eventually diagnosed. Time spent in the death state is the same across strategies for this reason. Overall, cost-effectiveness appears driven by time spent in the CD </w:t>
      </w:r>
      <w:r w:rsidR="00BD6F97">
        <w:rPr>
          <w:rFonts w:cstheme="minorHAnsi"/>
        </w:rPr>
        <w:t>gluten-free diet</w:t>
      </w:r>
      <w:r w:rsidR="00BD6F97" w:rsidRPr="00305D05">
        <w:rPr>
          <w:rFonts w:cstheme="minorHAnsi"/>
        </w:rPr>
        <w:t xml:space="preserve"> </w:t>
      </w:r>
      <w:r w:rsidR="00BF5EA3" w:rsidRPr="00305D05">
        <w:rPr>
          <w:rFonts w:cstheme="minorHAnsi"/>
        </w:rPr>
        <w:t>and undiagnosed CD no complications states.</w:t>
      </w:r>
    </w:p>
    <w:p w14:paraId="30760266" w14:textId="53533655" w:rsidR="00E3458F" w:rsidRDefault="00E3458F" w:rsidP="00E3458F">
      <w:pPr>
        <w:spacing w:line="240" w:lineRule="auto"/>
        <w:rPr>
          <w:rFonts w:cstheme="minorHAnsi"/>
        </w:rPr>
      </w:pPr>
      <w:r w:rsidRPr="00693CFF">
        <w:rPr>
          <w:rFonts w:cstheme="minorHAnsi"/>
        </w:rPr>
        <w:t xml:space="preserve">The total EVPI and EVPPI for parameter sets of interest are summarised in </w:t>
      </w:r>
      <w:r w:rsidRPr="00693CFF">
        <w:rPr>
          <w:rFonts w:cstheme="minorHAnsi"/>
        </w:rPr>
        <w:fldChar w:fldCharType="begin"/>
      </w:r>
      <w:r w:rsidRPr="00693CFF">
        <w:rPr>
          <w:rFonts w:cstheme="minorHAnsi"/>
        </w:rPr>
        <w:instrText xml:space="preserve"> REF _Ref87506706 \h  \* MERGEFORMAT </w:instrText>
      </w:r>
      <w:r w:rsidRPr="00693CFF">
        <w:rPr>
          <w:rFonts w:cstheme="minorHAnsi"/>
        </w:rPr>
      </w:r>
      <w:r w:rsidRPr="00693CFF">
        <w:rPr>
          <w:rFonts w:cstheme="minorHAnsi"/>
        </w:rPr>
        <w:fldChar w:fldCharType="separate"/>
      </w:r>
      <w:r w:rsidR="008B5583" w:rsidRPr="006F5710">
        <w:t xml:space="preserve">Table </w:t>
      </w:r>
      <w:r w:rsidR="008B5583">
        <w:t>20</w:t>
      </w:r>
      <w:r w:rsidRPr="00693CFF">
        <w:rPr>
          <w:rFonts w:cstheme="minorHAnsi"/>
        </w:rPr>
        <w:fldChar w:fldCharType="end"/>
      </w:r>
      <w:r w:rsidRPr="00693CFF">
        <w:rPr>
          <w:rFonts w:cstheme="minorHAnsi"/>
        </w:rPr>
        <w:t xml:space="preserve">. The total population EVPI is </w:t>
      </w:r>
      <w:r>
        <w:rPr>
          <w:rFonts w:cstheme="minorHAnsi"/>
        </w:rPr>
        <w:t>£18.4million</w:t>
      </w:r>
      <w:r w:rsidRPr="00693CFF">
        <w:rPr>
          <w:rFonts w:cstheme="minorHAnsi"/>
        </w:rPr>
        <w:t xml:space="preserve">, indicating </w:t>
      </w:r>
      <w:r>
        <w:rPr>
          <w:rFonts w:cstheme="minorHAnsi"/>
        </w:rPr>
        <w:t>potential</w:t>
      </w:r>
      <w:r w:rsidRPr="00693CFF">
        <w:rPr>
          <w:rFonts w:cstheme="minorHAnsi"/>
        </w:rPr>
        <w:t xml:space="preserve"> value in conducting further research.</w:t>
      </w:r>
      <w:r>
        <w:rPr>
          <w:rFonts w:cstheme="minorHAnsi"/>
        </w:rPr>
        <w:t xml:space="preserve"> However, this</w:t>
      </w:r>
      <w:r w:rsidRPr="00476851">
        <w:rPr>
          <w:rFonts w:cstheme="minorHAnsi"/>
        </w:rPr>
        <w:t xml:space="preserve"> potential value is less than in adult men (£25.7 million) and adult women (£79.0million).</w:t>
      </w:r>
      <w:r>
        <w:rPr>
          <w:rFonts w:cstheme="minorHAnsi"/>
        </w:rPr>
        <w:t xml:space="preserve"> As in adults the EVPPI is greatest for probability of late diagnosis (£10.6million) and test accuracies (£7.8million). These are half of the corresponding values in adult men and about six times lower than in adult women, again suggesting research should be focused on adult women. </w:t>
      </w:r>
    </w:p>
    <w:p w14:paraId="7DC35218" w14:textId="6292E027" w:rsidR="00E3458F" w:rsidRPr="00305D05" w:rsidRDefault="00E3458F" w:rsidP="00BF5EA3">
      <w:pPr>
        <w:rPr>
          <w:rFonts w:cstheme="minorHAnsi"/>
        </w:rPr>
        <w:sectPr w:rsidR="00E3458F" w:rsidRPr="00305D05" w:rsidSect="00BA0084">
          <w:pgSz w:w="11906" w:h="16838"/>
          <w:pgMar w:top="1440" w:right="1440" w:bottom="1440" w:left="1440" w:header="708" w:footer="708" w:gutter="0"/>
          <w:cols w:space="708"/>
          <w:titlePg/>
          <w:docGrid w:linePitch="360"/>
        </w:sectPr>
      </w:pPr>
    </w:p>
    <w:p w14:paraId="49315715" w14:textId="5573AA91" w:rsidR="00BF5EA3" w:rsidRPr="00305D05" w:rsidRDefault="00BF5EA3" w:rsidP="000526F1"/>
    <w:p w14:paraId="3B373614" w14:textId="65ABDFD9" w:rsidR="00BF5EA3" w:rsidRPr="00305D05" w:rsidRDefault="00BF5EA3" w:rsidP="00BF5EA3">
      <w:pPr>
        <w:spacing w:line="240" w:lineRule="auto"/>
        <w:rPr>
          <w:rFonts w:cstheme="minorHAnsi"/>
        </w:rPr>
      </w:pPr>
      <w:r>
        <w:rPr>
          <w:rFonts w:cstheme="minorHAnsi"/>
        </w:rPr>
        <w:t xml:space="preserve">The ratio of EVPPI to EVPI for each parameter is illustrated in </w:t>
      </w:r>
      <w:r>
        <w:rPr>
          <w:rFonts w:cstheme="minorHAnsi"/>
        </w:rPr>
        <w:fldChar w:fldCharType="begin"/>
      </w:r>
      <w:r>
        <w:rPr>
          <w:rFonts w:cstheme="minorHAnsi"/>
        </w:rPr>
        <w:instrText xml:space="preserve"> REF _Ref87471040 \h </w:instrText>
      </w:r>
      <w:r>
        <w:rPr>
          <w:rFonts w:cstheme="minorHAnsi"/>
        </w:rPr>
      </w:r>
      <w:r>
        <w:rPr>
          <w:rFonts w:cstheme="minorHAnsi"/>
        </w:rPr>
        <w:fldChar w:fldCharType="separate"/>
      </w:r>
      <w:r w:rsidR="008B5583">
        <w:t xml:space="preserve">Figure </w:t>
      </w:r>
      <w:r w:rsidR="008B5583">
        <w:rPr>
          <w:noProof/>
        </w:rPr>
        <w:t>25</w:t>
      </w:r>
      <w:r>
        <w:rPr>
          <w:rFonts w:cstheme="minorHAnsi"/>
        </w:rPr>
        <w:fldChar w:fldCharType="end"/>
      </w:r>
      <w:r>
        <w:rPr>
          <w:rFonts w:cstheme="minorHAnsi"/>
        </w:rPr>
        <w:t xml:space="preserve">. </w:t>
      </w:r>
      <w:r w:rsidRPr="004B6410">
        <w:rPr>
          <w:rFonts w:cstheme="minorHAnsi"/>
        </w:rPr>
        <w:t>As in the adult population, probability of late diagnosis, disutility of biopsy and specificity of IgA EMA are important parameters.</w:t>
      </w:r>
      <w:r>
        <w:rPr>
          <w:rFonts w:cstheme="minorHAnsi"/>
        </w:rPr>
        <w:t xml:space="preserve"> </w:t>
      </w:r>
      <w:r w:rsidR="006633EC">
        <w:rPr>
          <w:rFonts w:cstheme="minorHAnsi"/>
        </w:rPr>
        <w:t xml:space="preserve">Note that the </w:t>
      </w:r>
      <w:r w:rsidRPr="004B6410">
        <w:rPr>
          <w:rFonts w:cstheme="minorHAnsi"/>
        </w:rPr>
        <w:t xml:space="preserve">effect of a </w:t>
      </w:r>
      <w:r w:rsidR="00693CFF">
        <w:t xml:space="preserve">gluten-free diet </w:t>
      </w:r>
      <w:r w:rsidRPr="004B6410">
        <w:rPr>
          <w:rFonts w:cstheme="minorHAnsi"/>
        </w:rPr>
        <w:t xml:space="preserve">(i.e. being diagnosed with CD) on osteoporosis is </w:t>
      </w:r>
      <w:r w:rsidR="006633EC">
        <w:rPr>
          <w:rFonts w:cstheme="minorHAnsi"/>
        </w:rPr>
        <w:t xml:space="preserve">picked out as highly influential and actually its estimated EVPPI is greater than the total EVPI </w:t>
      </w:r>
      <w:r w:rsidR="00F614FA">
        <w:rPr>
          <w:rFonts w:cstheme="minorHAnsi"/>
        </w:rPr>
        <w:t>(note that proportion exceeds 1.0</w:t>
      </w:r>
      <w:r w:rsidR="006633EC">
        <w:rPr>
          <w:rFonts w:cstheme="minorHAnsi"/>
        </w:rPr>
        <w:t>0). This is d</w:t>
      </w:r>
      <w:r w:rsidR="00F614FA">
        <w:rPr>
          <w:rFonts w:cstheme="minorHAnsi"/>
        </w:rPr>
        <w:t xml:space="preserve">ue to </w:t>
      </w:r>
      <w:r w:rsidR="006633EC">
        <w:rPr>
          <w:rFonts w:cstheme="minorHAnsi"/>
        </w:rPr>
        <w:t xml:space="preserve">an algorithm failure. The EVPPI estimated in </w:t>
      </w:r>
      <w:r w:rsidR="006633EC" w:rsidRPr="00693CFF">
        <w:rPr>
          <w:rFonts w:cstheme="minorHAnsi"/>
        </w:rPr>
        <w:fldChar w:fldCharType="begin"/>
      </w:r>
      <w:r w:rsidR="006633EC" w:rsidRPr="00693CFF">
        <w:rPr>
          <w:rFonts w:cstheme="minorHAnsi"/>
        </w:rPr>
        <w:instrText xml:space="preserve"> REF _Ref87506706 \h  \* MERGEFORMAT </w:instrText>
      </w:r>
      <w:r w:rsidR="006633EC" w:rsidRPr="00693CFF">
        <w:rPr>
          <w:rFonts w:cstheme="minorHAnsi"/>
        </w:rPr>
      </w:r>
      <w:r w:rsidR="006633EC" w:rsidRPr="00693CFF">
        <w:rPr>
          <w:rFonts w:cstheme="minorHAnsi"/>
        </w:rPr>
        <w:fldChar w:fldCharType="separate"/>
      </w:r>
      <w:r w:rsidR="008B5583" w:rsidRPr="006F5710">
        <w:t xml:space="preserve">Table </w:t>
      </w:r>
      <w:r w:rsidR="008B5583">
        <w:t>20</w:t>
      </w:r>
      <w:r w:rsidR="006633EC" w:rsidRPr="00693CFF">
        <w:rPr>
          <w:rFonts w:cstheme="minorHAnsi"/>
        </w:rPr>
        <w:fldChar w:fldCharType="end"/>
      </w:r>
      <w:r w:rsidR="006633EC">
        <w:rPr>
          <w:rFonts w:cstheme="minorHAnsi"/>
        </w:rPr>
        <w:t xml:space="preserve"> is based on MLMC while the ratios in </w:t>
      </w:r>
      <w:r w:rsidR="006633EC">
        <w:rPr>
          <w:rFonts w:cstheme="minorHAnsi"/>
        </w:rPr>
        <w:fldChar w:fldCharType="begin"/>
      </w:r>
      <w:r w:rsidR="006633EC">
        <w:rPr>
          <w:rFonts w:cstheme="minorHAnsi"/>
        </w:rPr>
        <w:instrText xml:space="preserve"> REF _Ref87471040 \h </w:instrText>
      </w:r>
      <w:r w:rsidR="006633EC">
        <w:rPr>
          <w:rFonts w:cstheme="minorHAnsi"/>
        </w:rPr>
      </w:r>
      <w:r w:rsidR="006633EC">
        <w:rPr>
          <w:rFonts w:cstheme="minorHAnsi"/>
        </w:rPr>
        <w:fldChar w:fldCharType="separate"/>
      </w:r>
      <w:r w:rsidR="008B5583">
        <w:t xml:space="preserve">Figure </w:t>
      </w:r>
      <w:r w:rsidR="008B5583">
        <w:rPr>
          <w:noProof/>
        </w:rPr>
        <w:t>25</w:t>
      </w:r>
      <w:r w:rsidR="006633EC">
        <w:rPr>
          <w:rFonts w:cstheme="minorHAnsi"/>
        </w:rPr>
        <w:fldChar w:fldCharType="end"/>
      </w:r>
      <w:r w:rsidR="006633EC">
        <w:rPr>
          <w:rFonts w:cstheme="minorHAnsi"/>
        </w:rPr>
        <w:t xml:space="preserve"> are based on generalised additive models, and the latter have been found to be unstable in comparison to the former in the literature.</w:t>
      </w:r>
      <w:r w:rsidR="00052812">
        <w:rPr>
          <w:rFonts w:cstheme="minorHAnsi"/>
        </w:rPr>
        <w:fldChar w:fldCharType="begin">
          <w:fldData xml:space="preserve">PEVuZE5vdGU+PENpdGU+PEF1dGhvcj5GYW5nPC9BdXRob3I+PFllYXI+MjAyMTwvWWVhcj48UmVj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</w:fldData>
        </w:fldChar>
      </w:r>
      <w:r w:rsidR="00735CC0">
        <w:rPr>
          <w:rFonts w:cstheme="minorHAnsi"/>
        </w:rPr>
        <w:instrText xml:space="preserve"> ADDIN EN.CITE </w:instrText>
      </w:r>
      <w:r w:rsidR="00735CC0">
        <w:rPr>
          <w:rFonts w:cstheme="minorHAnsi"/>
        </w:rPr>
        <w:fldChar w:fldCharType="begin">
          <w:fldData xml:space="preserve">PEVuZE5vdGU+PENpdGU+PEF1dGhvcj5GYW5nPC9BdXRob3I+PFllYXI+MjAyMTwvWWVhcj48UmVj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sidR="00052812">
        <w:rPr>
          <w:rFonts w:cstheme="minorHAnsi"/>
        </w:rPr>
      </w:r>
      <w:r w:rsidR="00052812">
        <w:rPr>
          <w:rFonts w:cstheme="minorHAnsi"/>
        </w:rPr>
        <w:fldChar w:fldCharType="separate"/>
      </w:r>
      <w:r w:rsidR="00735CC0" w:rsidRPr="00735CC0">
        <w:rPr>
          <w:rFonts w:cstheme="minorHAnsi"/>
          <w:noProof/>
          <w:vertAlign w:val="superscript"/>
        </w:rPr>
        <w:t>261, 266</w:t>
      </w:r>
      <w:r w:rsidR="00052812">
        <w:rPr>
          <w:rFonts w:cstheme="minorHAnsi"/>
        </w:rPr>
        <w:fldChar w:fldCharType="end"/>
      </w:r>
    </w:p>
    <w:p w14:paraId="502276CE" w14:textId="2BFE2297" w:rsidR="00BF5EA3" w:rsidRDefault="00903727" w:rsidP="00BF5EA3">
      <w:pPr>
        <w:spacing w:line="240" w:lineRule="auto"/>
        <w:rPr>
          <w:rFonts w:cstheme="minorHAnsi"/>
        </w:rPr>
      </w:pPr>
      <w:r>
        <w:rPr>
          <w:rFonts w:cstheme="minorHAnsi"/>
          <w:noProof/>
        </w:rPr>
        <w:drawing>
          <wp:inline distT="0" distB="0" distL="0" distR="0" wp14:anchorId="358A5469" wp14:editId="1AC58F5B">
            <wp:extent cx="4297680" cy="4211955"/>
            <wp:effectExtent l="0" t="0" r="762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01053" cy="4215261"/>
                    </a:xfrm>
                    <a:prstGeom prst="rect">
                      <a:avLst/>
                    </a:prstGeom>
                    <a:noFill/>
                    <a:ln>
                      <a:noFill/>
                    </a:ln>
                  </pic:spPr>
                </pic:pic>
              </a:graphicData>
            </a:graphic>
          </wp:inline>
        </w:drawing>
      </w:r>
    </w:p>
    <w:p w14:paraId="553498FF" w14:textId="3D56ECA8" w:rsidR="00BF5EA3" w:rsidRDefault="00BF5EA3" w:rsidP="00BF5EA3">
      <w:pPr>
        <w:pStyle w:val="Caption"/>
      </w:pPr>
      <w:bookmarkStart w:id="322" w:name="_Ref87471040"/>
      <w:bookmarkStart w:id="323" w:name="_Toc99720806"/>
      <w:r>
        <w:t xml:space="preserve">Figure </w:t>
      </w:r>
      <w:r>
        <w:fldChar w:fldCharType="begin"/>
      </w:r>
      <w:r>
        <w:instrText>SEQ Figure \* ARABIC</w:instrText>
      </w:r>
      <w:r>
        <w:fldChar w:fldCharType="separate"/>
      </w:r>
      <w:r w:rsidR="008B5583">
        <w:rPr>
          <w:noProof/>
        </w:rPr>
        <w:t>25</w:t>
      </w:r>
      <w:r>
        <w:fldChar w:fldCharType="end"/>
      </w:r>
      <w:bookmarkEnd w:id="322"/>
      <w:r>
        <w:t xml:space="preserve"> </w:t>
      </w:r>
      <w:r w:rsidRPr="0089532E">
        <w:t xml:space="preserve">Ratio of EVPPI for each parameter to total EVPI in </w:t>
      </w:r>
      <w:r>
        <w:t>children</w:t>
      </w:r>
      <w:r w:rsidRPr="0089532E">
        <w:t xml:space="preserve">. Only ten most influential parameters included. </w:t>
      </w:r>
      <w:r w:rsidR="006633EC">
        <w:t xml:space="preserve">Note that log_or_osteoporosis_GFD is </w:t>
      </w:r>
      <w:r w:rsidR="00DC4F4B">
        <w:t xml:space="preserve">high, but this is due to numerical failure of the algorithm. </w:t>
      </w:r>
      <w:r w:rsidRPr="0089532E">
        <w:t>Remaining parameters have minimal influence on results</w:t>
      </w:r>
      <w:r w:rsidR="007F1105">
        <w:t>*</w:t>
      </w:r>
      <w:bookmarkEnd w:id="323"/>
    </w:p>
    <w:p w14:paraId="5422D7C2" w14:textId="16EB010F" w:rsidR="007F1105" w:rsidRDefault="007F1105" w:rsidP="007F1105">
      <w:pPr>
        <w:spacing w:line="240" w:lineRule="auto"/>
        <w:rPr>
          <w:rFonts w:cstheme="minorHAnsi"/>
        </w:rPr>
      </w:pPr>
      <w:r>
        <w:rPr>
          <w:rFonts w:cstheme="minorHAnsi"/>
        </w:rPr>
        <w:t>*log_or_osteoporosis_GFD = log odds ratio of developing osteoporosis on GFD compared to not on GFD for coeliac patients</w:t>
      </w:r>
    </w:p>
    <w:p w14:paraId="5DDE5882" w14:textId="2961D772" w:rsidR="00BF5EA3" w:rsidRPr="00305D05" w:rsidRDefault="00BF5EA3" w:rsidP="00BF5EA3">
      <w:pPr>
        <w:spacing w:line="240" w:lineRule="auto"/>
        <w:rPr>
          <w:rFonts w:cstheme="minorHAnsi"/>
        </w:rPr>
      </w:pPr>
    </w:p>
    <w:p w14:paraId="4F6EAA0D" w14:textId="77777777" w:rsidR="00414244" w:rsidRPr="00734942" w:rsidRDefault="00414244">
      <w:pPr>
        <w:rPr>
          <w:rFonts w:asciiTheme="majorHAnsi" w:eastAsiaTheme="majorEastAsia" w:hAnsiTheme="majorHAnsi" w:cstheme="majorBidi"/>
          <w:color w:val="2F5496" w:themeColor="accent1" w:themeShade="BF"/>
          <w:sz w:val="32"/>
          <w:szCs w:val="32"/>
        </w:rPr>
      </w:pPr>
      <w:r w:rsidRPr="00734942">
        <w:br w:type="page"/>
      </w:r>
    </w:p>
    <w:p w14:paraId="5878266D" w14:textId="52FE00E6" w:rsidR="00354826" w:rsidRDefault="00354826" w:rsidP="00354826">
      <w:pPr>
        <w:pStyle w:val="Heading1"/>
      </w:pPr>
      <w:bookmarkStart w:id="324" w:name="_Toc99539905"/>
      <w:r w:rsidRPr="00734942">
        <w:lastRenderedPageBreak/>
        <w:t xml:space="preserve">Chapter </w:t>
      </w:r>
      <w:r w:rsidR="001E4000" w:rsidRPr="00734942">
        <w:t>9</w:t>
      </w:r>
      <w:r w:rsidRPr="00734942">
        <w:t>: Discussion</w:t>
      </w:r>
      <w:bookmarkEnd w:id="324"/>
    </w:p>
    <w:p w14:paraId="0845D8BB" w14:textId="0CE319B5" w:rsidR="00FB4B27" w:rsidRPr="00734942" w:rsidRDefault="00FB4B27" w:rsidP="00FB4B27">
      <w:r>
        <w:rPr>
          <w:color w:val="000000"/>
        </w:rPr>
        <w:t>T</w:t>
      </w:r>
      <w:r w:rsidRPr="00F71DDD">
        <w:rPr>
          <w:color w:val="000000"/>
        </w:rPr>
        <w:t>his chapter contains reproductions from Elwenspoek 2021 et al</w:t>
      </w:r>
      <w:r>
        <w:rPr>
          <w:color w:val="000000"/>
        </w:rPr>
        <w:t>.</w:t>
      </w:r>
      <w:r w:rsidR="00C0219C">
        <w:rPr>
          <w:color w:val="000000"/>
        </w:rPr>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rPr>
          <w:color w:val="000000"/>
        </w:rPr>
        <w:instrText xml:space="preserve"> ADDIN EN.CITE </w:instrText>
      </w:r>
      <w:r w:rsidR="00735CC0">
        <w:rPr>
          <w:color w:val="000000"/>
        </w:rPr>
        <w:fldChar w:fldCharType="begin">
          <w:fldData xml:space="preserve">PEVuZE5vdGU+PENpdGU+PEF1dGhvcj5FbHdlbnNwb2VrPC9BdXRob3I+PFllYXI+MjAyMTwvWWVh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</w:fldData>
        </w:fldChar>
      </w:r>
      <w:r w:rsidR="00735CC0">
        <w:rPr>
          <w:color w:val="000000"/>
        </w:rPr>
        <w:instrText xml:space="preserve"> ADDIN EN.CITE.DATA </w:instrText>
      </w:r>
      <w:r w:rsidR="00735CC0">
        <w:rPr>
          <w:color w:val="000000"/>
        </w:rPr>
      </w:r>
      <w:r w:rsidR="00735CC0">
        <w:rPr>
          <w:color w:val="000000"/>
        </w:rPr>
        <w:fldChar w:fldCharType="end"/>
      </w:r>
      <w:r w:rsidR="00C0219C">
        <w:rPr>
          <w:color w:val="000000"/>
        </w:rPr>
      </w:r>
      <w:r w:rsidR="00C0219C">
        <w:rPr>
          <w:color w:val="000000"/>
        </w:rPr>
        <w:fldChar w:fldCharType="separate"/>
      </w:r>
      <w:r w:rsidR="00735CC0" w:rsidRPr="00735CC0">
        <w:rPr>
          <w:noProof/>
          <w:color w:val="000000"/>
          <w:vertAlign w:val="superscript"/>
        </w:rPr>
        <w:t>25</w:t>
      </w:r>
      <w:r w:rsidR="00C0219C">
        <w:rPr>
          <w:color w:val="000000"/>
        </w:rPr>
        <w:fldChar w:fldCharType="end"/>
      </w:r>
      <w:r w:rsidR="001177E3">
        <w:rPr>
          <w:color w:val="000000"/>
        </w:rPr>
        <w:t xml:space="preserve"> (</w:t>
      </w:r>
      <w:r w:rsidR="001177E3" w:rsidRPr="00627633">
        <w:rPr>
          <w:color w:val="000000"/>
        </w:rPr>
        <w:t>CC BY 4.0</w:t>
      </w:r>
      <w:r w:rsidR="001177E3">
        <w:rPr>
          <w:color w:val="000000"/>
        </w:rPr>
        <w:t xml:space="preserve"> licence).</w:t>
      </w:r>
    </w:p>
    <w:p w14:paraId="61B6367B" w14:textId="77777777" w:rsidR="0054221E" w:rsidRPr="00734942" w:rsidRDefault="0054221E" w:rsidP="0054221E">
      <w:pPr>
        <w:pStyle w:val="Heading2"/>
      </w:pPr>
      <w:bookmarkStart w:id="325" w:name="_Toc99539906"/>
      <w:r w:rsidRPr="00734942">
        <w:t>Statement of principal findings</w:t>
      </w:r>
      <w:bookmarkEnd w:id="325"/>
    </w:p>
    <w:p w14:paraId="45A06A31" w14:textId="78179127" w:rsidR="00CC6692" w:rsidRPr="00734942" w:rsidRDefault="00CC6692" w:rsidP="00CC6692">
      <w:r w:rsidRPr="00734942">
        <w:t xml:space="preserve">In Chapter </w:t>
      </w:r>
      <w:r>
        <w:t>3</w:t>
      </w:r>
      <w:r w:rsidRPr="00734942">
        <w:t xml:space="preserve">, we identified diagnostic indicators and </w:t>
      </w:r>
      <w:r w:rsidR="003C3CD6">
        <w:t xml:space="preserve">calculated summary estimates for </w:t>
      </w:r>
      <w:r w:rsidRPr="00734942">
        <w:t xml:space="preserve">their accuracy in </w:t>
      </w:r>
      <w:r w:rsidR="00CB6B5E">
        <w:t>identifying in</w:t>
      </w:r>
      <w:r w:rsidR="00D57188">
        <w:t>dividuals at high risk of</w:t>
      </w:r>
      <w:r w:rsidRPr="00734942">
        <w:t xml:space="preserve"> CD. None of the identified diagnostic indicators </w:t>
      </w:r>
      <w:r w:rsidR="00F67408">
        <w:t>alone had good sensitivity for detecting CD</w:t>
      </w:r>
      <w:r w:rsidRPr="00734942">
        <w:t xml:space="preserve">; however, some showed promise in helping to identify patients who should be offered serological testing. The estimated PPVs for migraine, family history of CD, anaemia, type 1 diabetes, osteoporosis, and chronic liver disease were all above 2%, with 95% CIs lying entirely above the population prevalence of 1%. These results suggest that individuals with these conditions are twice as likely to have CD </w:t>
      </w:r>
      <w:r w:rsidR="005E22C1">
        <w:t>as</w:t>
      </w:r>
      <w:r w:rsidRPr="00734942">
        <w:t xml:space="preserve"> the general population. There was too little evidence to show an increased risk of CD in individuals with systemic lupus erythematosus or multiple sclerosis. Dermatitis herpetiformis showed the highest diagnostic accuracy; however, because dermatitis herpetiformis is rare and treatment is a </w:t>
      </w:r>
      <w:r w:rsidR="00345E39">
        <w:t>gluten-free diet</w:t>
      </w:r>
      <w:r w:rsidRPr="00734942">
        <w:t xml:space="preserve"> even in the absence of a CD diagnosis,</w:t>
      </w:r>
      <w:r w:rsidRPr="00734942">
        <w:fldChar w:fldCharType="begin"/>
      </w:r>
      <w:r w:rsidR="00735CC0">
        <w:instrText xml:space="preserve"> ADDIN EN.CITE &lt;EndNote&gt;&lt;Cite&gt;&lt;Author&gt;Antiga&lt;/Author&gt;&lt;Year&gt;2015&lt;/Year&gt;&lt;RecNum&gt;40&lt;/RecNum&gt;&lt;DisplayText&gt;&lt;style face="superscript"&gt;267&lt;/style&gt;&lt;/DisplayText&gt;&lt;record&gt;&lt;rec-number&gt;40&lt;/rec-number&gt;&lt;foreign-keys&gt;&lt;key app="EN" db-id="tdwrx9xd1z9eepeevr355w2k959rv0f5zaax" timestamp="1632756071"&gt;40&lt;/key&gt;&lt;/foreign-keys&gt;&lt;ref-type name="Journal Article"&gt;17&lt;/ref-type&gt;&lt;contributors&gt;&lt;authors&gt;&lt;author&gt;Antiga, E.&lt;/author&gt;&lt;author&gt;Caproni, M.&lt;/author&gt;&lt;/authors&gt;&lt;/contributors&gt;&lt;auth-address&gt;Department of Surgery and Translational Medicine, Section of Dermatology, University of Florence, Florence, Italy.&lt;/auth-address&gt;&lt;titles&gt;&lt;title&gt;The diagnosis and treatment of dermatitis herpetiformis&lt;/title&gt;&lt;secondary-title&gt;Clin Cosmet Investig Dermatol&lt;/secondary-title&gt;&lt;/titles&gt;&lt;periodical&gt;&lt;full-title&gt;Clin Cosmet Investig Dermatol&lt;/full-title&gt;&lt;/periodical&gt;&lt;pages&gt;257-65&lt;/pages&gt;&lt;volume&gt;8&lt;/volume&gt;&lt;edition&gt;2015/05/23&lt;/edition&gt;&lt;keywords&gt;&lt;keyword&gt;autoimmune disease&lt;/keyword&gt;&lt;keyword&gt;celiac disease&lt;/keyword&gt;&lt;keyword&gt;dermatitis herpetiformis&lt;/keyword&gt;&lt;keyword&gt;diagnosis&lt;/keyword&gt;&lt;keyword&gt;inflammatory cutaneous disease&lt;/keyword&gt;&lt;keyword&gt;treatment&lt;/keyword&gt;&lt;/keywords&gt;&lt;dates&gt;&lt;year&gt;2015&lt;/year&gt;&lt;/dates&gt;&lt;isbn&gt;1178-7015 (Print)&amp;#xD;1178-7015 (Linking)&lt;/isbn&gt;&lt;accession-num&gt;25999753&lt;/accession-num&gt;&lt;urls&gt;&lt;related-urls&gt;&lt;url&gt;https://www.ncbi.nlm.nih.gov/pubmed/25999753&lt;/url&gt;&lt;/related-urls&gt;&lt;/urls&gt;&lt;custom2&gt;PMC4435051&lt;/custom2&gt;&lt;electronic-resource-num&gt;10.2147/CCID.S69127&lt;/electronic-resource-num&gt;&lt;/record&gt;&lt;/Cite&gt;&lt;/EndNote&gt;</w:instrText>
      </w:r>
      <w:r w:rsidRPr="00734942">
        <w:fldChar w:fldCharType="separate"/>
      </w:r>
      <w:r w:rsidR="00735CC0" w:rsidRPr="00735CC0">
        <w:rPr>
          <w:noProof/>
          <w:vertAlign w:val="superscript"/>
        </w:rPr>
        <w:t>267</w:t>
      </w:r>
      <w:r w:rsidRPr="00734942">
        <w:fldChar w:fldCharType="end"/>
      </w:r>
      <w:r w:rsidRPr="00734942">
        <w:t xml:space="preserve"> it is unlikely to be helpful as a diagnostic indicator. Gastrointestinal symptoms showed poor diagnostic ability, whereas individuals with a first-degree relative with CD had a three times higher risk of CD than the general population.</w:t>
      </w:r>
      <w:r w:rsidR="00C062E0">
        <w:t xml:space="preserve"> </w:t>
      </w:r>
    </w:p>
    <w:p w14:paraId="51C196B8" w14:textId="47892D6E" w:rsidR="00C71469" w:rsidRPr="00734942" w:rsidRDefault="00C71469" w:rsidP="00C71469">
      <w:r w:rsidRPr="00734942">
        <w:t xml:space="preserve">In Chapter </w:t>
      </w:r>
      <w:r>
        <w:t>4</w:t>
      </w:r>
      <w:r w:rsidRPr="00734942">
        <w:t>, we developed prediction models for children, women, and men</w:t>
      </w:r>
      <w:r w:rsidR="00403AAC">
        <w:t>. Final models</w:t>
      </w:r>
      <w:r w:rsidRPr="00734942">
        <w:t xml:space="preserve"> includ</w:t>
      </w:r>
      <w:r w:rsidR="00403AAC">
        <w:t>ed</w:t>
      </w:r>
      <w:r w:rsidRPr="00734942">
        <w:t xml:space="preserve"> 24, 24, and 21 predictors, respectively. </w:t>
      </w:r>
      <w:r w:rsidR="0059278A" w:rsidRPr="00734942">
        <w:t xml:space="preserve">For children, having type 1 diabetes, Turner syndrome, IgA deficiency, or a first-degree </w:t>
      </w:r>
      <w:r w:rsidR="0059278A" w:rsidRPr="00734942" w:rsidDel="000A7B03">
        <w:t>relative</w:t>
      </w:r>
      <w:r w:rsidR="0059278A" w:rsidRPr="00734942" w:rsidDel="00D04057">
        <w:t xml:space="preserve"> </w:t>
      </w:r>
      <w:r w:rsidR="0059278A" w:rsidRPr="00734942">
        <w:t>with CD were estimated</w:t>
      </w:r>
      <w:r w:rsidRPr="00734942" w:rsidDel="00B77DA9">
        <w:t xml:space="preserve"> to </w:t>
      </w:r>
      <w:r w:rsidR="0059278A" w:rsidRPr="00734942">
        <w:t xml:space="preserve">be </w:t>
      </w:r>
      <w:r w:rsidRPr="00734942" w:rsidDel="00B77DA9">
        <w:t xml:space="preserve">the </w:t>
      </w:r>
      <w:r w:rsidR="0059278A" w:rsidRPr="00734942">
        <w:t>strongest predictors (</w:t>
      </w:r>
      <w:r w:rsidR="0059278A">
        <w:t xml:space="preserve">i.e. had the </w:t>
      </w:r>
      <w:r w:rsidR="0059278A" w:rsidRPr="00734942">
        <w:t xml:space="preserve">highest </w:t>
      </w:r>
      <w:r w:rsidR="0059278A">
        <w:t xml:space="preserve">estimated </w:t>
      </w:r>
      <w:r w:rsidR="0059278A" w:rsidRPr="00734942">
        <w:t xml:space="preserve">coefficients). For women and </w:t>
      </w:r>
      <w:r w:rsidR="0059278A" w:rsidRPr="00734942" w:rsidDel="001B57C7">
        <w:t>men</w:t>
      </w:r>
      <w:r w:rsidR="0059278A" w:rsidRPr="00734942">
        <w:t xml:space="preserve">, </w:t>
      </w:r>
      <w:r w:rsidR="0059278A">
        <w:t>the strongest predictors</w:t>
      </w:r>
      <w:r w:rsidR="0059278A" w:rsidRPr="00734942">
        <w:t xml:space="preserve"> were having a first-degree relative with CD or anaemia.</w:t>
      </w:r>
      <w:r w:rsidRPr="00734942">
        <w:t xml:space="preserve"> In the development dataset, the model showed good discrimination between patients with and without CD, as demonstrated by a high </w:t>
      </w:r>
      <w:r w:rsidRPr="000526F1">
        <w:rPr>
          <w:i/>
          <w:iCs/>
        </w:rPr>
        <w:t>c</w:t>
      </w:r>
      <w:r w:rsidRPr="00734942">
        <w:t xml:space="preserve"> statistic of 0.84 (95% CI: 0.83, 0.84) in children, 0.77 (0.77, 0.78) in women, and 0.81 (0.81, 0.82) in men. The model discriminated less well between patients with and without CD in the external validation dataset, where the </w:t>
      </w:r>
      <w:r w:rsidRPr="000526F1">
        <w:rPr>
          <w:i/>
          <w:iCs/>
        </w:rPr>
        <w:t>c</w:t>
      </w:r>
      <w:r w:rsidRPr="00734942">
        <w:t xml:space="preserve"> statistics reduced to 0.60 in children, 0.55 in women, and 0.62 in men. However, the predictor first-degree relative was not recorded in the validation dataset, which was one of the most important predictors</w:t>
      </w:r>
      <w:r w:rsidR="00B33D3A" w:rsidRPr="00B33D3A">
        <w:t xml:space="preserve"> </w:t>
      </w:r>
      <w:r w:rsidR="00B33D3A" w:rsidRPr="00734942">
        <w:t>leading to an underestimation of model performance in this dataset</w:t>
      </w:r>
      <w:r w:rsidRPr="00734942">
        <w:t>. The models were poorly calibrated and tended to overestimate the risk of having CD in all three groups in the development dataset and validation dataset.</w:t>
      </w:r>
      <w:r w:rsidR="00FE666F">
        <w:t xml:space="preserve"> The models suggest that</w:t>
      </w:r>
      <w:r w:rsidR="00E02300">
        <w:t xml:space="preserve"> individuals with any of the selected predictors </w:t>
      </w:r>
      <w:r w:rsidR="00371A67">
        <w:t>have an increased</w:t>
      </w:r>
      <w:r w:rsidR="000119EB">
        <w:t xml:space="preserve"> risk </w:t>
      </w:r>
      <w:r w:rsidR="00371A67">
        <w:t>of CD of</w:t>
      </w:r>
      <w:r w:rsidR="000119EB">
        <w:t xml:space="preserve"> more than 50% and</w:t>
      </w:r>
      <w:r w:rsidR="00F26F40">
        <w:t xml:space="preserve"> </w:t>
      </w:r>
      <w:r w:rsidR="00371A67">
        <w:t xml:space="preserve">thus </w:t>
      </w:r>
      <w:r w:rsidR="00F26F40">
        <w:t>warrant testing for CD.</w:t>
      </w:r>
    </w:p>
    <w:p w14:paraId="3021A0C6" w14:textId="5E9C1D5A" w:rsidR="00E86EB3" w:rsidRPr="004D15C5" w:rsidRDefault="0054221E" w:rsidP="00E86EB3">
      <w:r w:rsidRPr="00734942">
        <w:t xml:space="preserve">In Chapter </w:t>
      </w:r>
      <w:r w:rsidR="00C71469">
        <w:t>5</w:t>
      </w:r>
      <w:r w:rsidRPr="00734942">
        <w:t xml:space="preserve">, we </w:t>
      </w:r>
      <w:r w:rsidR="00371A67">
        <w:t>estimated</w:t>
      </w:r>
      <w:r w:rsidRPr="00734942">
        <w:t xml:space="preserve"> the diagnostic accuracy of the most commonly used serological tests for CD: IgA tTG and IgA EMA. IgA tTG was found to have a </w:t>
      </w:r>
      <w:r w:rsidR="0006797B">
        <w:t xml:space="preserve">summary </w:t>
      </w:r>
      <w:r w:rsidRPr="00734942">
        <w:t xml:space="preserve">sensitivity of 91% (95% confidence interval: 87%, 93%, threshold: 15 U/mL) in adults and 98% (91%, 99%, threshold: 20 U/mL) in children, based on five and </w:t>
      </w:r>
      <w:r w:rsidR="00BB1045" w:rsidRPr="00734942">
        <w:t>six studies</w:t>
      </w:r>
      <w:r w:rsidRPr="00734942">
        <w:t xml:space="preserve">, respectively. IgA tTG specificity was estimated at 87% (84%, 90%) in adults 70% (39%, 90%) in children. IgA EMA showed a sensitivity of 88% (75%, 95%, threshold: 1:5) in adults and 95% (89%, 97%, threshold: 1:10) in children based on five studies each. IgA EMA specificity was </w:t>
      </w:r>
      <w:r w:rsidR="00C43A87" w:rsidRPr="00734942">
        <w:t>99.6</w:t>
      </w:r>
      <w:r w:rsidRPr="00734942">
        <w:t xml:space="preserve">% (92%, 100%, threshold: 1:5) in adults and 94% (85%, 98%, threshold: 1:10) in </w:t>
      </w:r>
      <w:r w:rsidR="006F1DBE" w:rsidRPr="00734942">
        <w:t>children.</w:t>
      </w:r>
      <w:r w:rsidR="000D3CAC">
        <w:t xml:space="preserve"> To select estimate</w:t>
      </w:r>
      <w:r w:rsidR="00167B02">
        <w:t>s</w:t>
      </w:r>
      <w:r w:rsidR="000D3CAC">
        <w:t xml:space="preserve"> to inform the economic model we restricted to studies that had evaluated the two main serological tests of interest – IgA tTG and IgA EMA, alone and in combination – at the same threshold. </w:t>
      </w:r>
      <w:r w:rsidR="00934FA1">
        <w:t>This was to ensure that estimates used in the economic model were directly comparable.</w:t>
      </w:r>
      <w:r w:rsidR="00E86EB3">
        <w:t xml:space="preserve"> N</w:t>
      </w:r>
      <w:r w:rsidR="00E86EB3" w:rsidRPr="00734942">
        <w:t>one of the</w:t>
      </w:r>
      <w:r w:rsidR="00E86EB3">
        <w:t xml:space="preserve"> studies that evaluated both tests alone and in combination </w:t>
      </w:r>
      <w:r w:rsidR="00E86EB3" w:rsidRPr="00734942">
        <w:t xml:space="preserve">reported accuracy estimates for the same thresholds. We therefore selected the studies that were judged at lowest risk of bias and that had the largest sample sizes. </w:t>
      </w:r>
      <w:r w:rsidR="000E769E">
        <w:t xml:space="preserve">This means that evidence to inform the economic model is derived from two studies – one in adults and one in children, despite </w:t>
      </w:r>
      <w:r w:rsidR="000E769E">
        <w:lastRenderedPageBreak/>
        <w:t xml:space="preserve">identifying over </w:t>
      </w:r>
      <w:r w:rsidR="002E1029">
        <w:t xml:space="preserve">100 studies that evaluated the accuracy of serological tests for </w:t>
      </w:r>
      <w:r w:rsidR="001F01F5">
        <w:t>CD</w:t>
      </w:r>
      <w:r w:rsidR="002E1029">
        <w:t xml:space="preserve">. </w:t>
      </w:r>
      <w:r w:rsidR="00E86EB3" w:rsidRPr="00734942">
        <w:t>In both adults and children</w:t>
      </w:r>
      <w:r w:rsidR="00E86EB3">
        <w:t>, IgA</w:t>
      </w:r>
      <w:r w:rsidR="00E86EB3" w:rsidRPr="00734942">
        <w:t xml:space="preserve"> tTG had the highest sensitivity, although estimates in children were very similar, and EMA had the highest specificity. There was little improvement in either sensitivity or specificity when the tests were used in combination. </w:t>
      </w:r>
      <w:r w:rsidR="00E86EB3">
        <w:t>Despite thresholds being the same as those used in the meta-analyses for the individual tTG and EMA tests, there were minor differences between estimates from these studies and summary estimates when all studies that reported at the same thresholds were pooled</w:t>
      </w:r>
      <w:r w:rsidR="00EF2140">
        <w:t>.</w:t>
      </w:r>
    </w:p>
    <w:p w14:paraId="02EC18E8" w14:textId="412770D7" w:rsidR="00E127D5" w:rsidRDefault="00721789" w:rsidP="0054221E">
      <w:r>
        <w:t xml:space="preserve">In </w:t>
      </w:r>
      <w:r w:rsidR="00E127D5">
        <w:t>Chapt</w:t>
      </w:r>
      <w:r>
        <w:t xml:space="preserve">er 6, we </w:t>
      </w:r>
      <w:r w:rsidR="0070212E">
        <w:t>estimated</w:t>
      </w:r>
      <w:r w:rsidRPr="00734942">
        <w:t xml:space="preserve"> the accuracy of HLA-DQ2 and/or DQ8 </w:t>
      </w:r>
      <w:r w:rsidR="00211152">
        <w:t xml:space="preserve">to diagnose CD. </w:t>
      </w:r>
      <w:r w:rsidR="0070212E">
        <w:t>Summary</w:t>
      </w:r>
      <w:r w:rsidRPr="00734942">
        <w:t xml:space="preserve"> sensitivity </w:t>
      </w:r>
      <w:r w:rsidR="0070212E">
        <w:t>was very high at</w:t>
      </w:r>
      <w:r w:rsidRPr="00734942">
        <w:t xml:space="preserve"> </w:t>
      </w:r>
      <w:r>
        <w:t>99</w:t>
      </w:r>
      <w:r w:rsidRPr="00734942">
        <w:t>% (</w:t>
      </w:r>
      <w:r>
        <w:t>83</w:t>
      </w:r>
      <w:r w:rsidRPr="00734942">
        <w:t xml:space="preserve">%, </w:t>
      </w:r>
      <w:r>
        <w:t>100</w:t>
      </w:r>
      <w:r w:rsidRPr="00734942">
        <w:t xml:space="preserve">%) and specificity of </w:t>
      </w:r>
      <w:r>
        <w:t>56</w:t>
      </w:r>
      <w:r w:rsidRPr="00734942">
        <w:t>% (</w:t>
      </w:r>
      <w:r>
        <w:t>50</w:t>
      </w:r>
      <w:r w:rsidRPr="00734942">
        <w:t xml:space="preserve">%, </w:t>
      </w:r>
      <w:r>
        <w:t>61</w:t>
      </w:r>
      <w:r w:rsidRPr="00734942">
        <w:t>%)</w:t>
      </w:r>
      <w:r w:rsidR="000539DF">
        <w:t>. The high sensitivity</w:t>
      </w:r>
      <w:r w:rsidRPr="00734942">
        <w:t xml:space="preserve"> </w:t>
      </w:r>
      <w:r w:rsidR="000539DF">
        <w:t>suggests</w:t>
      </w:r>
      <w:r w:rsidRPr="00734942">
        <w:t xml:space="preserve"> </w:t>
      </w:r>
      <w:r w:rsidR="000539DF">
        <w:t>HLA genotyping</w:t>
      </w:r>
      <w:r w:rsidRPr="00734942">
        <w:t xml:space="preserve"> would be a useful test to rule out CD.</w:t>
      </w:r>
      <w:r w:rsidR="009814D7">
        <w:t xml:space="preserve"> However, </w:t>
      </w:r>
      <w:r w:rsidR="006F1999">
        <w:t>because of the low specificity this test needs to be used in combination with other</w:t>
      </w:r>
      <w:r w:rsidR="004A6958">
        <w:t xml:space="preserve"> test</w:t>
      </w:r>
      <w:r w:rsidR="006F1999">
        <w:t>s to diagnose CD.</w:t>
      </w:r>
    </w:p>
    <w:p w14:paraId="41DAD6EB" w14:textId="647064BD" w:rsidR="0046569E" w:rsidRDefault="0054221E" w:rsidP="0054221E">
      <w:r w:rsidRPr="00734942">
        <w:t xml:space="preserve">In Chapter </w:t>
      </w:r>
      <w:r w:rsidR="00C71469">
        <w:t>7</w:t>
      </w:r>
      <w:r w:rsidRPr="00734942">
        <w:t>, we used collaborative work with patients and an online survey to identify the level of diagnostic certainty people want to have for CD testing and starting treatment. Survey respondents wanted to be 66% (median, IQR 33</w:t>
      </w:r>
      <w:r w:rsidR="00873394" w:rsidRPr="00734942">
        <w:t xml:space="preserve"> to </w:t>
      </w:r>
      <w:r w:rsidRPr="00734942">
        <w:t xml:space="preserve">90%) certain of the </w:t>
      </w:r>
      <w:r w:rsidR="00AE4159">
        <w:t>blood test result</w:t>
      </w:r>
      <w:r w:rsidR="00AE4159" w:rsidRPr="00734942">
        <w:t xml:space="preserve"> </w:t>
      </w:r>
      <w:r w:rsidRPr="00734942">
        <w:t xml:space="preserve">before starting a </w:t>
      </w:r>
      <w:r w:rsidR="00345E39">
        <w:t>gluten-free diet</w:t>
      </w:r>
      <w:r w:rsidR="00E512AC" w:rsidRPr="00734942">
        <w:t xml:space="preserve"> </w:t>
      </w:r>
      <w:r w:rsidRPr="00734942">
        <w:t>if they were asked to imagine that they had CD symptoms. Without symptoms, respondents wanted to be more certain</w:t>
      </w:r>
      <w:r w:rsidR="00365072">
        <w:t xml:space="preserve"> of the blood test result</w:t>
      </w:r>
      <w:r w:rsidRPr="00734942">
        <w:t>, on average 90% (median, IQR 66</w:t>
      </w:r>
      <w:r w:rsidR="00873394" w:rsidRPr="00734942">
        <w:t xml:space="preserve"> to </w:t>
      </w:r>
      <w:r w:rsidRPr="00734942">
        <w:t xml:space="preserve">99%) before committing to a </w:t>
      </w:r>
      <w:r w:rsidR="00345E39">
        <w:t>gluten-free diet</w:t>
      </w:r>
      <w:r w:rsidRPr="00734942">
        <w:t>.</w:t>
      </w:r>
      <w:r w:rsidR="005F4D1E">
        <w:t xml:space="preserve"> However, a higher proportion of respondents opted to wait for a confirmation biopsy if given the option instead of starting a </w:t>
      </w:r>
      <w:r w:rsidR="00345E39">
        <w:t>gluten-free diet</w:t>
      </w:r>
      <w:r w:rsidR="005F4D1E">
        <w:t xml:space="preserve"> immediately, even if a hypothetical blood test gave 75-90% certainty.</w:t>
      </w:r>
      <w:r w:rsidR="001F641C">
        <w:t xml:space="preserve"> The free text answers revealed </w:t>
      </w:r>
      <w:r w:rsidR="008234DF">
        <w:t>no barriers to a blood test</w:t>
      </w:r>
      <w:r w:rsidR="000F00F8">
        <w:t xml:space="preserve">. </w:t>
      </w:r>
      <w:r w:rsidR="009374FC">
        <w:t>Reasons for opting for a confirmation biopsy were to feel more confident about t</w:t>
      </w:r>
      <w:r w:rsidR="00C701C6">
        <w:t>h</w:t>
      </w:r>
      <w:r w:rsidR="009374FC">
        <w:t>e diagnosis</w:t>
      </w:r>
      <w:r w:rsidR="00AE733C">
        <w:t xml:space="preserve"> or to get an official</w:t>
      </w:r>
      <w:r w:rsidR="008F6687">
        <w:t xml:space="preserve"> diagnosis.</w:t>
      </w:r>
      <w:r w:rsidR="00A21620">
        <w:t xml:space="preserve"> </w:t>
      </w:r>
      <w:r w:rsidR="008F6687">
        <w:t>Barriers to a</w:t>
      </w:r>
      <w:r w:rsidR="00A21620">
        <w:t xml:space="preserve"> biopsy </w:t>
      </w:r>
      <w:r w:rsidR="00292F01">
        <w:t>were that it was</w:t>
      </w:r>
      <w:r w:rsidR="00811BA7">
        <w:t xml:space="preserve"> invasive and unpleasant.</w:t>
      </w:r>
      <w:r w:rsidR="00C701C6">
        <w:t xml:space="preserve"> </w:t>
      </w:r>
      <w:r w:rsidR="00BA1DDA">
        <w:t xml:space="preserve">Waiting times </w:t>
      </w:r>
      <w:r w:rsidR="002F79EE">
        <w:t>did not emerge as an important barrier for having a biopsy</w:t>
      </w:r>
      <w:r w:rsidR="00C701C6">
        <w:t xml:space="preserve">. </w:t>
      </w:r>
      <w:r w:rsidR="002F79EE">
        <w:t>There was large variation in attitudes towards following a gluten-free diet</w:t>
      </w:r>
      <w:r w:rsidR="006651EB">
        <w:t xml:space="preserve">. </w:t>
      </w:r>
      <w:r w:rsidR="00453365">
        <w:t>S</w:t>
      </w:r>
      <w:r w:rsidR="006651EB">
        <w:t xml:space="preserve">ome </w:t>
      </w:r>
      <w:r w:rsidR="00453365">
        <w:t>respondents</w:t>
      </w:r>
      <w:r w:rsidR="006651EB">
        <w:t xml:space="preserve"> </w:t>
      </w:r>
      <w:r w:rsidR="00453365">
        <w:t>were only willing to start the diet with high risk or great certainty of CD, whilst others were happy to try it without having a diagnosis or</w:t>
      </w:r>
      <w:r w:rsidR="00D5498C">
        <w:t xml:space="preserve"> when</w:t>
      </w:r>
      <w:r w:rsidR="00453365">
        <w:t xml:space="preserve"> at very low risk of CD.</w:t>
      </w:r>
    </w:p>
    <w:p w14:paraId="6D507F73" w14:textId="0EBF7390" w:rsidR="00225152" w:rsidRDefault="002768BB" w:rsidP="004E465E">
      <w:pPr>
        <w:rPr>
          <w:rFonts w:cstheme="minorHAnsi"/>
        </w:rPr>
      </w:pPr>
      <w:r>
        <w:t>The findings from all previous chapter</w:t>
      </w:r>
      <w:r w:rsidR="00455B0C">
        <w:t xml:space="preserve">s informed the cost-effectiveness analysis presented in Chapter 8. </w:t>
      </w:r>
      <w:r w:rsidR="008F2DC4" w:rsidRPr="003A3918">
        <w:rPr>
          <w:rFonts w:cstheme="minorHAnsi"/>
        </w:rPr>
        <w:t xml:space="preserve">We used a decision tree and discrete-time cohort Markov model to compare the cost-effectiveness of case finding strategies </w:t>
      </w:r>
      <w:r w:rsidR="003F15FE">
        <w:rPr>
          <w:rFonts w:cstheme="minorHAnsi"/>
        </w:rPr>
        <w:t>at different levels of pre-te</w:t>
      </w:r>
      <w:r w:rsidR="004C74C8">
        <w:rPr>
          <w:rFonts w:cstheme="minorHAnsi"/>
        </w:rPr>
        <w:t>s</w:t>
      </w:r>
      <w:r w:rsidR="003F15FE">
        <w:rPr>
          <w:rFonts w:cstheme="minorHAnsi"/>
        </w:rPr>
        <w:t>t probability</w:t>
      </w:r>
      <w:r w:rsidR="004C74C8">
        <w:rPr>
          <w:rFonts w:cstheme="minorHAnsi"/>
        </w:rPr>
        <w:t xml:space="preserve"> separately for men, women and children</w:t>
      </w:r>
      <w:r w:rsidR="00C42885">
        <w:rPr>
          <w:rFonts w:cstheme="minorHAnsi"/>
        </w:rPr>
        <w:t>.</w:t>
      </w:r>
      <w:r w:rsidR="000F44E7">
        <w:rPr>
          <w:rFonts w:cstheme="minorHAnsi"/>
        </w:rPr>
        <w:t xml:space="preserve"> </w:t>
      </w:r>
      <w:r w:rsidR="000F44E7" w:rsidRPr="003A3918">
        <w:rPr>
          <w:rFonts w:cstheme="minorHAnsi"/>
        </w:rPr>
        <w:t>In adult men and women</w:t>
      </w:r>
      <w:r w:rsidR="002A7155">
        <w:rPr>
          <w:rFonts w:cstheme="minorHAnsi"/>
        </w:rPr>
        <w:t xml:space="preserve"> and using serological testing alone</w:t>
      </w:r>
      <w:r w:rsidR="000F44E7" w:rsidRPr="003A3918">
        <w:rPr>
          <w:rFonts w:cstheme="minorHAnsi"/>
        </w:rPr>
        <w:t>, a 1% pre-test probability</w:t>
      </w:r>
      <w:r w:rsidR="000F44E7">
        <w:rPr>
          <w:rFonts w:cstheme="minorHAnsi"/>
        </w:rPr>
        <w:t xml:space="preserve"> (equivalent to population screening)</w:t>
      </w:r>
      <w:r w:rsidR="000F44E7" w:rsidRPr="003A3918">
        <w:rPr>
          <w:rFonts w:cstheme="minorHAnsi"/>
        </w:rPr>
        <w:t xml:space="preserve"> ha</w:t>
      </w:r>
      <w:r w:rsidR="000F44E7">
        <w:rPr>
          <w:rFonts w:cstheme="minorHAnsi"/>
        </w:rPr>
        <w:t>d</w:t>
      </w:r>
      <w:r w:rsidR="000F44E7" w:rsidRPr="003A3918">
        <w:rPr>
          <w:rFonts w:cstheme="minorHAnsi"/>
        </w:rPr>
        <w:t xml:space="preserve"> highest net benefit at £20,000/QALY</w:t>
      </w:r>
      <w:r w:rsidR="0013321B">
        <w:rPr>
          <w:rFonts w:cstheme="minorHAnsi"/>
        </w:rPr>
        <w:t xml:space="preserve">, with </w:t>
      </w:r>
      <w:r w:rsidR="009908F4">
        <w:rPr>
          <w:rFonts w:cstheme="minorHAnsi"/>
        </w:rPr>
        <w:t>incremental net benefit relative to no screening o</w:t>
      </w:r>
      <w:r w:rsidR="006E5099">
        <w:rPr>
          <w:rFonts w:cstheme="minorHAnsi"/>
        </w:rPr>
        <w:t>f</w:t>
      </w:r>
      <w:r w:rsidR="009908F4">
        <w:rPr>
          <w:rFonts w:cstheme="minorHAnsi"/>
        </w:rPr>
        <w:t xml:space="preserve"> </w:t>
      </w:r>
      <w:r w:rsidR="0013321B">
        <w:rPr>
          <w:rFonts w:cstheme="minorHAnsi"/>
        </w:rPr>
        <w:t>£</w:t>
      </w:r>
      <w:r w:rsidR="0013321B" w:rsidRPr="0013321B">
        <w:rPr>
          <w:rFonts w:cstheme="minorHAnsi"/>
        </w:rPr>
        <w:t>24</w:t>
      </w:r>
      <w:r w:rsidR="009908F4">
        <w:rPr>
          <w:rFonts w:cstheme="minorHAnsi"/>
        </w:rPr>
        <w:t>,</w:t>
      </w:r>
      <w:r w:rsidR="0013321B" w:rsidRPr="0013321B">
        <w:rPr>
          <w:rFonts w:cstheme="minorHAnsi"/>
        </w:rPr>
        <w:t>331 (</w:t>
      </w:r>
      <w:r w:rsidR="006E5099">
        <w:rPr>
          <w:rFonts w:cstheme="minorHAnsi"/>
        </w:rPr>
        <w:t xml:space="preserve">95% CrI: </w:t>
      </w:r>
      <w:r w:rsidR="0013321B" w:rsidRPr="0013321B">
        <w:rPr>
          <w:rFonts w:cstheme="minorHAnsi"/>
        </w:rPr>
        <w:t>5080</w:t>
      </w:r>
      <w:r w:rsidR="006E5099">
        <w:rPr>
          <w:rFonts w:cstheme="minorHAnsi"/>
        </w:rPr>
        <w:t xml:space="preserve">, </w:t>
      </w:r>
      <w:r w:rsidR="0013321B" w:rsidRPr="0013321B">
        <w:rPr>
          <w:rFonts w:cstheme="minorHAnsi"/>
        </w:rPr>
        <w:t>56493)</w:t>
      </w:r>
      <w:r w:rsidR="0013321B">
        <w:rPr>
          <w:rFonts w:cstheme="minorHAnsi"/>
        </w:rPr>
        <w:t xml:space="preserve"> in men and </w:t>
      </w:r>
      <w:r w:rsidR="009908F4">
        <w:rPr>
          <w:rFonts w:cstheme="minorHAnsi"/>
        </w:rPr>
        <w:t>£</w:t>
      </w:r>
      <w:r w:rsidR="009908F4" w:rsidRPr="009908F4">
        <w:rPr>
          <w:rFonts w:cstheme="minorHAnsi"/>
        </w:rPr>
        <w:t>24</w:t>
      </w:r>
      <w:r w:rsidR="006E5099">
        <w:rPr>
          <w:rFonts w:cstheme="minorHAnsi"/>
        </w:rPr>
        <w:t>,</w:t>
      </w:r>
      <w:r w:rsidR="009908F4" w:rsidRPr="009908F4">
        <w:rPr>
          <w:rFonts w:cstheme="minorHAnsi"/>
        </w:rPr>
        <w:t>382 (4829, 59154)</w:t>
      </w:r>
      <w:r w:rsidR="009908F4">
        <w:rPr>
          <w:rFonts w:cstheme="minorHAnsi"/>
        </w:rPr>
        <w:t xml:space="preserve"> in women</w:t>
      </w:r>
      <w:r w:rsidR="00DE21F0">
        <w:rPr>
          <w:rFonts w:cstheme="minorHAnsi"/>
        </w:rPr>
        <w:t xml:space="preserve">. </w:t>
      </w:r>
      <w:r w:rsidR="000F44E7">
        <w:rPr>
          <w:rFonts w:cstheme="minorHAnsi"/>
        </w:rPr>
        <w:t>Serological tests (</w:t>
      </w:r>
      <w:r w:rsidR="000F44E7" w:rsidRPr="003A3918">
        <w:rPr>
          <w:rFonts w:cstheme="minorHAnsi"/>
        </w:rPr>
        <w:t>IgA EMA</w:t>
      </w:r>
      <w:r w:rsidR="00790AB5">
        <w:rPr>
          <w:rFonts w:cstheme="minorHAnsi"/>
        </w:rPr>
        <w:t xml:space="preserve"> and </w:t>
      </w:r>
      <w:r w:rsidR="000F44E7" w:rsidRPr="003A3918">
        <w:rPr>
          <w:rFonts w:cstheme="minorHAnsi"/>
        </w:rPr>
        <w:t xml:space="preserve">IgA </w:t>
      </w:r>
      <w:r w:rsidR="000F44E7" w:rsidRPr="00195718">
        <w:rPr>
          <w:rFonts w:cstheme="minorHAnsi"/>
        </w:rPr>
        <w:t>tTG</w:t>
      </w:r>
      <w:r w:rsidR="000F44E7" w:rsidRPr="003A3918">
        <w:rPr>
          <w:rFonts w:cstheme="minorHAnsi"/>
        </w:rPr>
        <w:t xml:space="preserve">) had similar cost-effectiveness and there was limited benefit to including both EMA and </w:t>
      </w:r>
      <w:r w:rsidR="000F44E7" w:rsidRPr="00195718">
        <w:rPr>
          <w:rFonts w:cstheme="minorHAnsi"/>
        </w:rPr>
        <w:t>tTG</w:t>
      </w:r>
      <w:r w:rsidR="006B505C">
        <w:rPr>
          <w:rFonts w:cstheme="minorHAnsi"/>
        </w:rPr>
        <w:t>.</w:t>
      </w:r>
      <w:r w:rsidR="000F44E7">
        <w:rPr>
          <w:rFonts w:cstheme="minorHAnsi"/>
        </w:rPr>
        <w:t xml:space="preserve"> </w:t>
      </w:r>
      <w:r w:rsidR="00972842">
        <w:rPr>
          <w:rFonts w:cstheme="minorHAnsi"/>
        </w:rPr>
        <w:t xml:space="preserve">The IgA tTG 1% strategy had nearly identical net benefit and overlapping </w:t>
      </w:r>
      <w:r w:rsidR="00353414">
        <w:rPr>
          <w:rFonts w:cstheme="minorHAnsi"/>
        </w:rPr>
        <w:t xml:space="preserve">95% </w:t>
      </w:r>
      <w:r w:rsidR="00683187">
        <w:rPr>
          <w:rFonts w:cstheme="minorHAnsi"/>
        </w:rPr>
        <w:t>CrI</w:t>
      </w:r>
      <w:r w:rsidR="00353414">
        <w:rPr>
          <w:rFonts w:cstheme="minorHAnsi"/>
        </w:rPr>
        <w:t xml:space="preserve"> with </w:t>
      </w:r>
      <w:r w:rsidR="000F44E7">
        <w:rPr>
          <w:rFonts w:cstheme="minorHAnsi"/>
        </w:rPr>
        <w:t xml:space="preserve">strategies </w:t>
      </w:r>
      <w:r w:rsidR="002A7155">
        <w:rPr>
          <w:rFonts w:cstheme="minorHAnsi"/>
        </w:rPr>
        <w:t>using both HLA and serological testing</w:t>
      </w:r>
      <w:r w:rsidR="003F7538">
        <w:rPr>
          <w:rFonts w:cstheme="minorHAnsi"/>
        </w:rPr>
        <w:t>.</w:t>
      </w:r>
      <w:r w:rsidR="00116C2B">
        <w:rPr>
          <w:rFonts w:cstheme="minorHAnsi"/>
        </w:rPr>
        <w:t xml:space="preserve"> Also, none of the strategies had a probability of being most cost-effective above 60% in men or 50% in women, suggesting limited certainty that they differ in cost-effectiveness.</w:t>
      </w:r>
      <w:r w:rsidR="002A7155">
        <w:rPr>
          <w:rFonts w:cstheme="minorHAnsi"/>
        </w:rPr>
        <w:t xml:space="preserve"> </w:t>
      </w:r>
      <w:r w:rsidR="00353414">
        <w:rPr>
          <w:rFonts w:cstheme="minorHAnsi"/>
        </w:rPr>
        <w:t xml:space="preserve">Using IgA tTG </w:t>
      </w:r>
      <w:r w:rsidR="00116C2B">
        <w:rPr>
          <w:rFonts w:cstheme="minorHAnsi"/>
        </w:rPr>
        <w:t xml:space="preserve">alone </w:t>
      </w:r>
      <w:r w:rsidR="00F3117B">
        <w:rPr>
          <w:rFonts w:cstheme="minorHAnsi"/>
        </w:rPr>
        <w:t xml:space="preserve">with 1% </w:t>
      </w:r>
      <w:r w:rsidR="00116C2B">
        <w:rPr>
          <w:rFonts w:cstheme="minorHAnsi"/>
        </w:rPr>
        <w:t xml:space="preserve">pre-test probability </w:t>
      </w:r>
      <w:r w:rsidR="00F3117B">
        <w:rPr>
          <w:rFonts w:cstheme="minorHAnsi"/>
        </w:rPr>
        <w:t xml:space="preserve">or </w:t>
      </w:r>
      <w:r w:rsidR="00116C2B">
        <w:rPr>
          <w:rFonts w:cstheme="minorHAnsi"/>
        </w:rPr>
        <w:t xml:space="preserve">any </w:t>
      </w:r>
      <w:r w:rsidR="00F3117B">
        <w:rPr>
          <w:rFonts w:cstheme="minorHAnsi"/>
        </w:rPr>
        <w:t>HLA plus IgA tTG</w:t>
      </w:r>
      <w:r w:rsidR="00225152">
        <w:rPr>
          <w:rFonts w:cstheme="minorHAnsi"/>
        </w:rPr>
        <w:t xml:space="preserve"> </w:t>
      </w:r>
      <w:r w:rsidR="00116C2B">
        <w:rPr>
          <w:rFonts w:cstheme="minorHAnsi"/>
        </w:rPr>
        <w:t xml:space="preserve">strategy </w:t>
      </w:r>
      <w:r w:rsidR="00225152">
        <w:rPr>
          <w:rFonts w:cstheme="minorHAnsi"/>
        </w:rPr>
        <w:t>represents a practical combination of tests as IgA tTG is routinely available in UK laboratories, is easier to interpret, and also provide some indication of reversal of mucosal damage.</w:t>
      </w:r>
      <w:r w:rsidR="00225152">
        <w:rPr>
          <w:rFonts w:cstheme="minorHAnsi"/>
          <w:lang w:eastAsia="ko-KR"/>
        </w:rPr>
        <w:fldChar w:fldCharType="begin"/>
      </w:r>
      <w:r w:rsidR="00735CC0">
        <w:rPr>
          <w:rFonts w:cstheme="minorHAnsi"/>
          <w:lang w:eastAsia="ko-KR"/>
        </w:rPr>
        <w:instrText xml:space="preserve"> ADDIN EN.CITE &lt;EndNote&gt;&lt;Cite&gt;&lt;Author&gt;Paul&lt;/Author&gt;&lt;Year&gt;2017&lt;/Year&gt;&lt;RecNum&gt;559&lt;/RecNum&gt;&lt;DisplayText&gt;&lt;style face="superscript"&gt;254&lt;/style&gt;&lt;/DisplayText&gt;&lt;record&gt;&lt;rec-number&gt;559&lt;/rec-number&gt;&lt;foreign-keys&gt;&lt;key app="EN" db-id="tdwrx9xd1z9eepeevr355w2k959rv0f5zaax" timestamp="1636620393"&gt;559&lt;/key&gt;&lt;/foreign-keys&gt;&lt;ref-type name="Journal Article"&gt;17&lt;/ref-type&gt;&lt;contributors&gt;&lt;authors&gt;&lt;author&gt;Paul, S. P.&lt;/author&gt;&lt;author&gt;Harries, S. L.&lt;/author&gt;&lt;author&gt;Basude, D.&lt;/author&gt;&lt;/authors&gt;&lt;/contributors&gt;&lt;auth-address&gt;Department of Paediatric Gastroenterology, Bristol Royal Hospital for Children, Bristol, UK.&amp;#xD;Medical School, University of Bristol, Bristol, UK.&lt;/auth-address&gt;&lt;titles&gt;&lt;title&gt;Barriers to implementing the revised ESPGHAN guidelines for coeliac disease in children: a cross-sectional survey of coeliac screen reporting in laboratories in England&lt;/title&gt;&lt;secondary-title&gt;Arch Dis Child&lt;/secondary-title&gt;&lt;/titles&gt;&lt;periodical&gt;&lt;full-title&gt;Arch Dis Child&lt;/full-title&gt;&lt;/periodical&gt;&lt;pages&gt;942-946&lt;/pages&gt;&lt;volume&gt;102&lt;/volume&gt;&lt;number&gt;10&lt;/number&gt;&lt;keywords&gt;&lt;keyword&gt;Celiac Disease/*diagnosis&lt;/keyword&gt;&lt;keyword&gt;Child&lt;/keyword&gt;&lt;keyword&gt;Cross-Sectional Studies&lt;/keyword&gt;&lt;keyword&gt;Databases, Factual&lt;/keyword&gt;&lt;keyword&gt;England&lt;/keyword&gt;&lt;keyword&gt;Female&lt;/keyword&gt;&lt;keyword&gt;Guidelines as Topic&lt;/keyword&gt;&lt;keyword&gt;Humans&lt;/keyword&gt;&lt;keyword&gt;Male&lt;/keyword&gt;&lt;keyword&gt;Mass Screening/*methods/statistics &amp;amp; numerical data&lt;/keyword&gt;&lt;keyword&gt;*Anti-tissue transglutaminase&lt;/keyword&gt;&lt;keyword&gt;*Coeliac disease&lt;/keyword&gt;&lt;keyword&gt;*ESPGHAN guidelines&lt;/keyword&gt;&lt;keyword&gt;*Gastroenterology&lt;/keyword&gt;&lt;keyword&gt;*General Paediatrics&lt;/keyword&gt;&lt;keyword&gt;*Laboratory medicine&lt;/keyword&gt;&lt;/keywords&gt;&lt;dates&gt;&lt;year&gt;2017&lt;/year&gt;&lt;pub-dates&gt;&lt;date&gt;Oct&lt;/date&gt;&lt;/pub-dates&gt;&lt;/dates&gt;&lt;isbn&gt;1468-2044 (Electronic)&amp;#xD;0003-9888 (Linking)&lt;/isbn&gt;&lt;accession-num&gt;28483757&lt;/accession-num&gt;&lt;urls&gt;&lt;related-urls&gt;&lt;url&gt;https://www.ncbi.nlm.nih.gov/pubmed/28483757&lt;/url&gt;&lt;/related-urls&gt;&lt;/urls&gt;&lt;electronic-resource-num&gt;10.1136/archdischild-2016-312027&lt;/electronic-resource-num&gt;&lt;/record&gt;&lt;/Cite&gt;&lt;/EndNote&gt;</w:instrText>
      </w:r>
      <w:r w:rsidR="00225152">
        <w:rPr>
          <w:rFonts w:cstheme="minorHAnsi"/>
          <w:lang w:eastAsia="ko-KR"/>
        </w:rPr>
        <w:fldChar w:fldCharType="separate"/>
      </w:r>
      <w:r w:rsidR="00735CC0" w:rsidRPr="00735CC0">
        <w:rPr>
          <w:rFonts w:cstheme="minorHAnsi"/>
          <w:noProof/>
          <w:vertAlign w:val="superscript"/>
          <w:lang w:eastAsia="ko-KR"/>
        </w:rPr>
        <w:t>254</w:t>
      </w:r>
      <w:r w:rsidR="00225152">
        <w:rPr>
          <w:rFonts w:cstheme="minorHAnsi"/>
          <w:lang w:eastAsia="ko-KR"/>
        </w:rPr>
        <w:fldChar w:fldCharType="end"/>
      </w:r>
    </w:p>
    <w:p w14:paraId="0FA94DDF" w14:textId="1DBDDB57" w:rsidR="000F44E7" w:rsidRPr="00195718" w:rsidRDefault="00533B97" w:rsidP="004E465E">
      <w:pPr>
        <w:rPr>
          <w:rFonts w:cstheme="minorHAnsi"/>
        </w:rPr>
      </w:pPr>
      <w:r>
        <w:rPr>
          <w:rFonts w:cstheme="minorHAnsi"/>
        </w:rPr>
        <w:t xml:space="preserve">The 95% </w:t>
      </w:r>
      <w:r w:rsidR="00683187">
        <w:rPr>
          <w:rFonts w:cstheme="minorHAnsi"/>
        </w:rPr>
        <w:t>CrI</w:t>
      </w:r>
      <w:r w:rsidR="00A64C59">
        <w:rPr>
          <w:rFonts w:cstheme="minorHAnsi"/>
        </w:rPr>
        <w:t xml:space="preserve"> </w:t>
      </w:r>
      <w:r>
        <w:rPr>
          <w:rFonts w:cstheme="minorHAnsi"/>
        </w:rPr>
        <w:t xml:space="preserve">on net QALYs, costs and net benefits were very wide and differences between optimal strategies were not substantial. </w:t>
      </w:r>
      <w:r w:rsidR="00C740C8">
        <w:rPr>
          <w:rFonts w:cstheme="minorHAnsi"/>
        </w:rPr>
        <w:t>Our model was limited by data on the impact of gluten</w:t>
      </w:r>
      <w:r w:rsidR="00197390">
        <w:rPr>
          <w:rFonts w:cstheme="minorHAnsi"/>
        </w:rPr>
        <w:t>-</w:t>
      </w:r>
      <w:r w:rsidR="00C740C8">
        <w:rPr>
          <w:rFonts w:cstheme="minorHAnsi"/>
        </w:rPr>
        <w:t xml:space="preserve">free diet on rates of osteoporosis and NHL in coeliac patients, and on the </w:t>
      </w:r>
      <w:r w:rsidR="00B65E7F">
        <w:rPr>
          <w:rFonts w:cstheme="minorHAnsi"/>
        </w:rPr>
        <w:t xml:space="preserve">routine diagnosis of </w:t>
      </w:r>
      <w:r w:rsidR="001F01F5">
        <w:rPr>
          <w:rFonts w:cstheme="minorHAnsi"/>
        </w:rPr>
        <w:t>CD</w:t>
      </w:r>
      <w:r w:rsidR="00B65E7F">
        <w:rPr>
          <w:rFonts w:cstheme="minorHAnsi"/>
        </w:rPr>
        <w:t xml:space="preserve"> regardless of screening. We used value of information analysis to identify the most 'important’ uncertainties, defined by their extent of uncertainty and impact on model conclusions. This identified the</w:t>
      </w:r>
      <w:r w:rsidR="004E465E" w:rsidRPr="004E465E">
        <w:rPr>
          <w:rFonts w:cstheme="minorHAnsi"/>
        </w:rPr>
        <w:t xml:space="preserve"> probability of being eventually diagnosed regardless of screening (i.e. probability of a late diagnosis) </w:t>
      </w:r>
      <w:r w:rsidR="00B65E7F">
        <w:rPr>
          <w:rFonts w:cstheme="minorHAnsi"/>
        </w:rPr>
        <w:t>as the most important</w:t>
      </w:r>
      <w:r w:rsidR="004E465E" w:rsidRPr="004E465E">
        <w:rPr>
          <w:rFonts w:cstheme="minorHAnsi"/>
        </w:rPr>
        <w:t xml:space="preserve"> uncertainty for both </w:t>
      </w:r>
      <w:r w:rsidR="00C41951">
        <w:rPr>
          <w:rFonts w:cstheme="minorHAnsi"/>
        </w:rPr>
        <w:t xml:space="preserve">adult </w:t>
      </w:r>
      <w:r w:rsidR="004E465E" w:rsidRPr="004E465E">
        <w:rPr>
          <w:rFonts w:cstheme="minorHAnsi"/>
        </w:rPr>
        <w:t>men and women.</w:t>
      </w:r>
      <w:r w:rsidR="004E465E">
        <w:rPr>
          <w:rFonts w:cstheme="minorHAnsi"/>
        </w:rPr>
        <w:t xml:space="preserve"> </w:t>
      </w:r>
      <w:r w:rsidR="004E465E" w:rsidRPr="004E465E">
        <w:rPr>
          <w:rFonts w:cstheme="minorHAnsi"/>
        </w:rPr>
        <w:t xml:space="preserve">In men, the sensitivity of HLA, </w:t>
      </w:r>
      <w:r w:rsidR="004E465E" w:rsidRPr="004E465E">
        <w:rPr>
          <w:rFonts w:cstheme="minorHAnsi"/>
        </w:rPr>
        <w:lastRenderedPageBreak/>
        <w:t>accuracy of IgA EMA and impact of a gluten</w:t>
      </w:r>
      <w:r w:rsidR="00197390">
        <w:rPr>
          <w:rFonts w:cstheme="minorHAnsi"/>
        </w:rPr>
        <w:t>-</w:t>
      </w:r>
      <w:r w:rsidR="004E465E" w:rsidRPr="004E465E">
        <w:rPr>
          <w:rFonts w:cstheme="minorHAnsi"/>
        </w:rPr>
        <w:t>free</w:t>
      </w:r>
      <w:r w:rsidR="005E6370">
        <w:rPr>
          <w:rFonts w:cstheme="minorHAnsi"/>
        </w:rPr>
        <w:t xml:space="preserve"> </w:t>
      </w:r>
      <w:r w:rsidR="004E465E" w:rsidRPr="004E465E">
        <w:rPr>
          <w:rFonts w:cstheme="minorHAnsi"/>
        </w:rPr>
        <w:t xml:space="preserve">diet on the chance of developing osteoporosis in coeliac patients were also </w:t>
      </w:r>
      <w:r w:rsidR="00B65E7F">
        <w:rPr>
          <w:rFonts w:cstheme="minorHAnsi"/>
        </w:rPr>
        <w:t>important</w:t>
      </w:r>
      <w:r w:rsidR="004E465E" w:rsidRPr="004E465E">
        <w:rPr>
          <w:rFonts w:cstheme="minorHAnsi"/>
        </w:rPr>
        <w:t xml:space="preserve"> uncertainties.</w:t>
      </w:r>
      <w:r w:rsidR="00D04E7A">
        <w:rPr>
          <w:rFonts w:cstheme="minorHAnsi"/>
        </w:rPr>
        <w:t xml:space="preserve"> </w:t>
      </w:r>
      <w:r w:rsidR="00D04E7A" w:rsidRPr="00D04E7A">
        <w:rPr>
          <w:rFonts w:cstheme="minorHAnsi"/>
        </w:rPr>
        <w:t xml:space="preserve">In women, the only other important uncertainties were the </w:t>
      </w:r>
      <w:r w:rsidR="00D04E7A">
        <w:rPr>
          <w:rFonts w:cstheme="minorHAnsi"/>
        </w:rPr>
        <w:t>specificity</w:t>
      </w:r>
      <w:r w:rsidR="00D04E7A" w:rsidRPr="00D04E7A">
        <w:rPr>
          <w:rFonts w:cstheme="minorHAnsi"/>
        </w:rPr>
        <w:t xml:space="preserve"> of IgA EMA and sensitivity of HLA.</w:t>
      </w:r>
    </w:p>
    <w:p w14:paraId="157D5648" w14:textId="0DB78005" w:rsidR="00585CE9" w:rsidRPr="006D31D4" w:rsidRDefault="008F2DC4" w:rsidP="00F20118">
      <w:pPr>
        <w:rPr>
          <w:rFonts w:cstheme="minorHAnsi"/>
        </w:rPr>
      </w:pPr>
      <w:r w:rsidRPr="003A3918">
        <w:rPr>
          <w:rFonts w:cstheme="minorHAnsi"/>
        </w:rPr>
        <w:t xml:space="preserve">In children, </w:t>
      </w:r>
      <w:r w:rsidR="00580ABC">
        <w:rPr>
          <w:rFonts w:cstheme="minorHAnsi"/>
        </w:rPr>
        <w:t xml:space="preserve">a </w:t>
      </w:r>
      <w:r w:rsidRPr="003A3918">
        <w:rPr>
          <w:rFonts w:cstheme="minorHAnsi"/>
        </w:rPr>
        <w:t xml:space="preserve">pre-test probability of </w:t>
      </w:r>
      <w:r w:rsidR="004B5570">
        <w:rPr>
          <w:rFonts w:cstheme="minorHAnsi"/>
        </w:rPr>
        <w:t>10</w:t>
      </w:r>
      <w:r w:rsidRPr="003A3918">
        <w:rPr>
          <w:rFonts w:cstheme="minorHAnsi"/>
        </w:rPr>
        <w:t>% with HLA</w:t>
      </w:r>
      <w:r w:rsidR="004B5570">
        <w:rPr>
          <w:rFonts w:cstheme="minorHAnsi"/>
        </w:rPr>
        <w:t xml:space="preserve"> plus IgA tTG</w:t>
      </w:r>
      <w:r w:rsidRPr="003A3918">
        <w:rPr>
          <w:rFonts w:cstheme="minorHAnsi"/>
        </w:rPr>
        <w:t xml:space="preserve"> ha</w:t>
      </w:r>
      <w:r w:rsidR="00580ABC">
        <w:rPr>
          <w:rFonts w:cstheme="minorHAnsi"/>
        </w:rPr>
        <w:t>d the</w:t>
      </w:r>
      <w:r w:rsidRPr="003A3918">
        <w:rPr>
          <w:rFonts w:cstheme="minorHAnsi"/>
        </w:rPr>
        <w:t xml:space="preserve"> greatest net benefit at £20,000/QALY</w:t>
      </w:r>
      <w:r w:rsidR="00533B97">
        <w:rPr>
          <w:rFonts w:cstheme="minorHAnsi"/>
        </w:rPr>
        <w:t xml:space="preserve">, with incremental net benefit </w:t>
      </w:r>
      <w:r w:rsidR="0034625B">
        <w:rPr>
          <w:rFonts w:cstheme="minorHAnsi"/>
        </w:rPr>
        <w:t>£</w:t>
      </w:r>
      <w:r w:rsidR="0034625B" w:rsidRPr="0034625B">
        <w:rPr>
          <w:rFonts w:cstheme="minorHAnsi"/>
        </w:rPr>
        <w:t>13</w:t>
      </w:r>
      <w:r w:rsidR="0034625B">
        <w:rPr>
          <w:rFonts w:cstheme="minorHAnsi"/>
        </w:rPr>
        <w:t>,</w:t>
      </w:r>
      <w:r w:rsidR="0034625B" w:rsidRPr="0034625B">
        <w:rPr>
          <w:rFonts w:cstheme="minorHAnsi"/>
        </w:rPr>
        <w:t>090 (3929, 36260)</w:t>
      </w:r>
      <w:r w:rsidR="0034625B">
        <w:rPr>
          <w:rFonts w:cstheme="minorHAnsi"/>
        </w:rPr>
        <w:t xml:space="preserve"> relative to no screening. This also had</w:t>
      </w:r>
      <w:r w:rsidRPr="003A3918">
        <w:rPr>
          <w:rFonts w:cstheme="minorHAnsi"/>
        </w:rPr>
        <w:t xml:space="preserve"> </w:t>
      </w:r>
      <w:r w:rsidR="00042EE7">
        <w:rPr>
          <w:rFonts w:cstheme="minorHAnsi"/>
        </w:rPr>
        <w:t>a</w:t>
      </w:r>
      <w:r w:rsidR="00042EE7" w:rsidRPr="003A3918">
        <w:rPr>
          <w:rFonts w:cstheme="minorHAnsi"/>
        </w:rPr>
        <w:t xml:space="preserve"> </w:t>
      </w:r>
      <w:r w:rsidRPr="003A3918">
        <w:rPr>
          <w:rFonts w:cstheme="minorHAnsi"/>
        </w:rPr>
        <w:t xml:space="preserve">probability of </w:t>
      </w:r>
      <w:r w:rsidR="00042EE7">
        <w:rPr>
          <w:rFonts w:cstheme="minorHAnsi"/>
        </w:rPr>
        <w:t xml:space="preserve">60-80% of </w:t>
      </w:r>
      <w:r w:rsidRPr="003A3918">
        <w:rPr>
          <w:rFonts w:cstheme="minorHAnsi"/>
        </w:rPr>
        <w:t xml:space="preserve">being cost-effective above £10,000/QALY. </w:t>
      </w:r>
      <w:r w:rsidR="0034625B">
        <w:rPr>
          <w:rFonts w:cstheme="minorHAnsi"/>
        </w:rPr>
        <w:t xml:space="preserve">As in adults, the 95% CrI were very wide, indicating substantial uncertainty in our results. </w:t>
      </w:r>
      <w:r w:rsidR="00042EE7">
        <w:rPr>
          <w:rFonts w:cstheme="minorHAnsi"/>
        </w:rPr>
        <w:t xml:space="preserve">The </w:t>
      </w:r>
      <w:r w:rsidR="00042EE7" w:rsidRPr="00AB3C1A">
        <w:rPr>
          <w:rFonts w:cstheme="minorHAnsi"/>
        </w:rPr>
        <w:t xml:space="preserve">20% HLA plus IgA tTG and 2% IgA tTG alone </w:t>
      </w:r>
      <w:r w:rsidR="00042EE7">
        <w:rPr>
          <w:rFonts w:cstheme="minorHAnsi"/>
        </w:rPr>
        <w:t>strategies also had</w:t>
      </w:r>
      <w:r w:rsidR="00042EE7" w:rsidRPr="00AB3C1A">
        <w:rPr>
          <w:rFonts w:cstheme="minorHAnsi"/>
        </w:rPr>
        <w:t xml:space="preserve"> probabilit</w:t>
      </w:r>
      <w:r w:rsidR="00042EE7">
        <w:rPr>
          <w:rFonts w:cstheme="minorHAnsi"/>
        </w:rPr>
        <w:t>ies</w:t>
      </w:r>
      <w:r w:rsidR="00042EE7" w:rsidRPr="00AB3C1A">
        <w:rPr>
          <w:rFonts w:cstheme="minorHAnsi"/>
        </w:rPr>
        <w:t xml:space="preserve"> of about 20% of being most cost-effective.</w:t>
      </w:r>
      <w:r w:rsidR="00042EE7">
        <w:rPr>
          <w:rFonts w:cstheme="minorHAnsi"/>
        </w:rPr>
        <w:t xml:space="preserve"> </w:t>
      </w:r>
      <w:r w:rsidR="00F20118" w:rsidRPr="00F20118">
        <w:rPr>
          <w:rFonts w:cstheme="minorHAnsi"/>
        </w:rPr>
        <w:t>The greatest and most influential uncertaint</w:t>
      </w:r>
      <w:r w:rsidR="00F20118">
        <w:rPr>
          <w:rFonts w:cstheme="minorHAnsi"/>
        </w:rPr>
        <w:t>ies</w:t>
      </w:r>
      <w:r w:rsidR="00F20118" w:rsidRPr="00F20118">
        <w:rPr>
          <w:rFonts w:cstheme="minorHAnsi"/>
        </w:rPr>
        <w:t xml:space="preserve"> in children, as identified by </w:t>
      </w:r>
      <w:r w:rsidR="00B65E7F">
        <w:rPr>
          <w:rFonts w:cstheme="minorHAnsi"/>
        </w:rPr>
        <w:t>value of information</w:t>
      </w:r>
      <w:r w:rsidR="00F20118" w:rsidRPr="00F20118">
        <w:rPr>
          <w:rFonts w:cstheme="minorHAnsi"/>
        </w:rPr>
        <w:t xml:space="preserve"> analysis, were</w:t>
      </w:r>
      <w:r w:rsidR="00345F7B">
        <w:rPr>
          <w:rFonts w:cstheme="minorHAnsi"/>
        </w:rPr>
        <w:t xml:space="preserve"> </w:t>
      </w:r>
      <w:r w:rsidR="00F20118" w:rsidRPr="00F20118">
        <w:rPr>
          <w:rFonts w:cstheme="minorHAnsi"/>
        </w:rPr>
        <w:t xml:space="preserve">the probability of being </w:t>
      </w:r>
      <w:r w:rsidR="00F20118">
        <w:rPr>
          <w:rFonts w:cstheme="minorHAnsi"/>
        </w:rPr>
        <w:t xml:space="preserve">eventually </w:t>
      </w:r>
      <w:r w:rsidR="00F20118" w:rsidRPr="00F20118">
        <w:rPr>
          <w:rFonts w:cstheme="minorHAnsi"/>
        </w:rPr>
        <w:t>diagnosed</w:t>
      </w:r>
      <w:r w:rsidR="00F20118">
        <w:rPr>
          <w:rFonts w:cstheme="minorHAnsi"/>
        </w:rPr>
        <w:t xml:space="preserve"> regardless of screening</w:t>
      </w:r>
      <w:r w:rsidR="00F20118" w:rsidRPr="00F20118">
        <w:rPr>
          <w:rFonts w:cstheme="minorHAnsi"/>
        </w:rPr>
        <w:t>, and the specificity of IgA EMA.</w:t>
      </w:r>
    </w:p>
    <w:p w14:paraId="600D21F0" w14:textId="20D01797" w:rsidR="008F2DC4" w:rsidRDefault="008F2DC4" w:rsidP="008F2DC4">
      <w:pPr>
        <w:rPr>
          <w:rFonts w:cstheme="minorHAnsi"/>
        </w:rPr>
      </w:pPr>
      <w:r w:rsidRPr="00693CFF">
        <w:rPr>
          <w:rFonts w:cstheme="minorHAnsi"/>
        </w:rPr>
        <w:t xml:space="preserve">In adults, the greatest difference between strategies was from the </w:t>
      </w:r>
      <w:r w:rsidRPr="00233EAA">
        <w:rPr>
          <w:rFonts w:cstheme="minorHAnsi"/>
        </w:rPr>
        <w:t xml:space="preserve">time in undiagnosed CD osteoporosis complications state and time in CD </w:t>
      </w:r>
      <w:r w:rsidR="00693CFF">
        <w:t xml:space="preserve">gluten-free diet </w:t>
      </w:r>
      <w:r w:rsidRPr="00233EAA">
        <w:rPr>
          <w:rFonts w:cstheme="minorHAnsi"/>
        </w:rPr>
        <w:t>no complications.</w:t>
      </w:r>
      <w:r w:rsidRPr="00693CFF">
        <w:rPr>
          <w:rFonts w:cstheme="minorHAnsi"/>
        </w:rPr>
        <w:t xml:space="preserve"> This was supported by the EVPPI analysis which found probability of late diagnosis (i.e. the parameter that drives time in undiagnosed states) to be most influential.</w:t>
      </w:r>
      <w:r w:rsidRPr="00233EAA">
        <w:rPr>
          <w:rFonts w:cstheme="minorHAnsi"/>
        </w:rPr>
        <w:t xml:space="preserve"> For children the time in CD </w:t>
      </w:r>
      <w:r w:rsidR="00693CFF">
        <w:t xml:space="preserve">gluten-free diet </w:t>
      </w:r>
      <w:r w:rsidRPr="00233EAA">
        <w:rPr>
          <w:rFonts w:cstheme="minorHAnsi"/>
        </w:rPr>
        <w:t xml:space="preserve">no complication was again indicated to be important by both time in states and EVPPI. The effect of </w:t>
      </w:r>
      <w:r w:rsidR="00693CFF">
        <w:t xml:space="preserve">gluten-free diet </w:t>
      </w:r>
      <w:r w:rsidRPr="00233EAA">
        <w:rPr>
          <w:rFonts w:cstheme="minorHAnsi"/>
        </w:rPr>
        <w:t xml:space="preserve">on osteoporosis rates was identified as important by EVPPI analysis in children, likely explained by their greater time to benefit from </w:t>
      </w:r>
      <w:r w:rsidR="0007559E" w:rsidRPr="00233EAA">
        <w:rPr>
          <w:rFonts w:cstheme="minorHAnsi"/>
        </w:rPr>
        <w:t>gluten-free diet</w:t>
      </w:r>
      <w:r w:rsidRPr="00233EAA">
        <w:rPr>
          <w:rFonts w:cstheme="minorHAnsi"/>
        </w:rPr>
        <w:t xml:space="preserve"> and avoid subsequent osteoporosis. </w:t>
      </w:r>
    </w:p>
    <w:p w14:paraId="72DBEEEB" w14:textId="524E2012" w:rsidR="008F2DC4" w:rsidRDefault="008F2DC4" w:rsidP="008F2DC4">
      <w:pPr>
        <w:rPr>
          <w:rFonts w:cstheme="minorHAnsi"/>
        </w:rPr>
      </w:pPr>
      <w:r w:rsidRPr="00233EAA">
        <w:rPr>
          <w:rFonts w:cstheme="minorHAnsi"/>
        </w:rPr>
        <w:t>The total population EVPI in men was £</w:t>
      </w:r>
      <w:r w:rsidR="0043665A">
        <w:rPr>
          <w:rFonts w:cstheme="minorHAnsi"/>
        </w:rPr>
        <w:t>25.7</w:t>
      </w:r>
      <w:r w:rsidRPr="00233EAA">
        <w:rPr>
          <w:rFonts w:cstheme="minorHAnsi"/>
        </w:rPr>
        <w:t>million, in adult women was £</w:t>
      </w:r>
      <w:r w:rsidR="0043665A">
        <w:rPr>
          <w:rFonts w:cstheme="minorHAnsi"/>
        </w:rPr>
        <w:t>79.0</w:t>
      </w:r>
      <w:r w:rsidRPr="00233EAA">
        <w:rPr>
          <w:rFonts w:cstheme="minorHAnsi"/>
        </w:rPr>
        <w:t>million, and in children was £</w:t>
      </w:r>
      <w:r w:rsidR="0043665A">
        <w:rPr>
          <w:rFonts w:cstheme="minorHAnsi"/>
        </w:rPr>
        <w:t>18.4</w:t>
      </w:r>
      <w:r w:rsidRPr="00233EAA">
        <w:rPr>
          <w:rFonts w:cstheme="minorHAnsi"/>
        </w:rPr>
        <w:t xml:space="preserve">million, indicating substantial potential value of further research. </w:t>
      </w:r>
      <w:r w:rsidR="00667ABD" w:rsidRPr="00233EAA">
        <w:rPr>
          <w:rFonts w:cstheme="minorHAnsi"/>
        </w:rPr>
        <w:t>The EVPPI analyses in adults indicated up to three times as much value in women as in men. However, in both populations there was substantial potential value in research on the probability of late diagnosis</w:t>
      </w:r>
      <w:r w:rsidR="0056061D">
        <w:rPr>
          <w:rFonts w:cstheme="minorHAnsi"/>
        </w:rPr>
        <w:t xml:space="preserve"> </w:t>
      </w:r>
      <w:r w:rsidR="00233EAA" w:rsidRPr="00233EAA">
        <w:rPr>
          <w:rFonts w:cstheme="minorHAnsi"/>
        </w:rPr>
        <w:t>and the accuracy of serological and genetic tests.</w:t>
      </w:r>
      <w:r w:rsidR="00683575">
        <w:rPr>
          <w:rFonts w:cstheme="minorHAnsi"/>
        </w:rPr>
        <w:t xml:space="preserve"> The population EVPPI estimates in children were lower than in adult men or women but probability of late diagnosis and test accuracies again came out as most important for future research</w:t>
      </w:r>
      <w:r w:rsidR="00233EAA" w:rsidRPr="00233EAA">
        <w:rPr>
          <w:rFonts w:cstheme="minorHAnsi"/>
        </w:rPr>
        <w:t>.</w:t>
      </w:r>
      <w:r w:rsidR="00667ABD" w:rsidRPr="00233EAA">
        <w:rPr>
          <w:rFonts w:cstheme="minorHAnsi"/>
        </w:rPr>
        <w:t xml:space="preserve"> </w:t>
      </w:r>
      <w:r w:rsidRPr="00233EAA">
        <w:rPr>
          <w:rFonts w:cstheme="minorHAnsi"/>
        </w:rPr>
        <w:t>To prioritise optimal further research, expected value of sample information (EVSI) should be calculated for suggested research designs.</w:t>
      </w:r>
      <w:r w:rsidRPr="00233EAA">
        <w:rPr>
          <w:rFonts w:cstheme="minorHAnsi"/>
        </w:rPr>
        <w:fldChar w:fldCharType="begin"/>
      </w:r>
      <w:r w:rsidR="00735CC0">
        <w:rPr>
          <w:rFonts w:cstheme="minorHAnsi"/>
        </w:rPr>
        <w:instrText xml:space="preserve"> ADDIN EN.CITE &lt;EndNote&gt;&lt;Cite&gt;&lt;Author&gt;Kunst&lt;/Author&gt;&lt;Year&gt;2020&lt;/Year&gt;&lt;RecNum&gt;544&lt;/RecNum&gt;&lt;DisplayText&gt;&lt;style face="superscript"&gt;268&lt;/style&gt;&lt;/DisplayText&gt;&lt;record&gt;&lt;rec-number&gt;544&lt;/rec-number&gt;&lt;foreign-keys&gt;&lt;key app="EN" db-id="tdwrx9xd1z9eepeevr355w2k959rv0f5zaax" timestamp="1636620393"&gt;544&lt;/key&gt;&lt;/foreign-keys&gt;&lt;ref-type name="Journal Article"&gt;17&lt;/ref-type&gt;&lt;contributors&gt;&lt;authors&gt;&lt;author&gt;Kunst, NR.&lt;/author&gt;&lt;author&gt;Wilson, E.&lt;/author&gt;&lt;author&gt;Alarid-Escudero, F.&lt;/author&gt;&lt;author&gt;Baio, G.&lt;/author&gt;&lt;author&gt;Brennan, A.&lt;/author&gt;&lt;author&gt;Fairley, M.&lt;/author&gt;&lt;author&gt;Glynn, D.&lt;/author&gt;&lt;author&gt;Goldhaber-Fiebert, J. D.&lt;/author&gt;&lt;author&gt;Jackson, C.&lt;/author&gt;&lt;author&gt;Jalal, H.&lt;/author&gt;&lt;author&gt;Menzies, N. A.&lt;/author&gt;&lt;author&gt;Strong, M.&lt;/author&gt;&lt;author&gt;Thom, H.&lt;/author&gt;&lt;author&gt;Heath, A.&lt;/author&gt;&lt;author&gt;and on behalf of the ConVOI.&lt;/author&gt;&lt;/authors&gt;&lt;/contributors&gt;&lt;titles&gt;&lt;title&gt;Computing the Expected Value of Sample Information Efficiently: Practical Guidance and Recommendations for Four Model-Based Methods&lt;/title&gt;&lt;secondary-title&gt;Value in Health&lt;/secondary-title&gt;&lt;/titles&gt;&lt;periodical&gt;&lt;full-title&gt;Value in Health&lt;/full-title&gt;&lt;/periodical&gt;&lt;volume&gt;In press&lt;/volume&gt;&lt;dates&gt;&lt;year&gt;2020&lt;/year&gt;&lt;/dates&gt;&lt;urls&gt;&lt;/urls&gt;&lt;/record&gt;&lt;/Cite&gt;&lt;/EndNote&gt;</w:instrText>
      </w:r>
      <w:r w:rsidRPr="00233EAA">
        <w:rPr>
          <w:rFonts w:cstheme="minorHAnsi"/>
        </w:rPr>
        <w:fldChar w:fldCharType="separate"/>
      </w:r>
      <w:r w:rsidR="00735CC0" w:rsidRPr="00735CC0">
        <w:rPr>
          <w:rFonts w:cstheme="minorHAnsi"/>
          <w:noProof/>
          <w:vertAlign w:val="superscript"/>
        </w:rPr>
        <w:t>268</w:t>
      </w:r>
      <w:r w:rsidRPr="00233EAA">
        <w:rPr>
          <w:rFonts w:cstheme="minorHAnsi"/>
        </w:rPr>
        <w:fldChar w:fldCharType="end"/>
      </w:r>
    </w:p>
    <w:p w14:paraId="6322CBEC" w14:textId="15E07018" w:rsidR="0054221E" w:rsidRPr="00734942" w:rsidRDefault="0054221E" w:rsidP="0054221E">
      <w:pPr>
        <w:pStyle w:val="Heading2"/>
      </w:pPr>
      <w:bookmarkStart w:id="326" w:name="_Toc99539907"/>
      <w:r w:rsidRPr="00734942">
        <w:t>Strength</w:t>
      </w:r>
      <w:r w:rsidR="00FD7239">
        <w:t>s</w:t>
      </w:r>
      <w:r w:rsidRPr="00734942">
        <w:t xml:space="preserve"> and limitations</w:t>
      </w:r>
      <w:bookmarkEnd w:id="326"/>
      <w:r w:rsidRPr="00734942">
        <w:t xml:space="preserve"> </w:t>
      </w:r>
    </w:p>
    <w:p w14:paraId="48F5F72C" w14:textId="50285AD7" w:rsidR="0054221E" w:rsidRPr="00734942" w:rsidRDefault="0054221E" w:rsidP="0054221E">
      <w:r w:rsidRPr="00734942">
        <w:t xml:space="preserve">A key strength of the </w:t>
      </w:r>
      <w:r w:rsidR="00E01F67">
        <w:t>systematic</w:t>
      </w:r>
      <w:r w:rsidRPr="00734942">
        <w:t xml:space="preserve"> reviews and meta-analyses was that we applied a robust methodological approach following internationally recognised systematic review guidance. We used sensitive literature search strategies, and study selection was performed by at least two reviewers independently. Data extraction was performed by one reviewer and checked by a second to ensure accuracy and completeness. We conducted detailed risk of bias assessment using a validated tool.</w:t>
      </w:r>
      <w:r w:rsidRPr="00734942">
        <w:fldChar w:fldCharType="begin"/>
      </w:r>
      <w:r w:rsidR="00735CC0">
        <w:instrText xml:space="preserve"> ADDIN EN.CITE &lt;EndNote&gt;&lt;Cite&gt;&lt;Author&gt;Whiting&lt;/Author&gt;&lt;Year&gt;2011&lt;/Year&gt;&lt;RecNum&gt;33&lt;/RecNum&gt;&lt;DisplayText&gt;&lt;style face="superscript"&gt;29&lt;/style&gt;&lt;/DisplayText&gt;&lt;record&gt;&lt;rec-number&gt;33&lt;/rec-number&gt;&lt;foreign-keys&gt;&lt;key app="EN" db-id="tdwrx9xd1z9eepeevr355w2k959rv0f5zaax" timestamp="1632756070"&gt;33&lt;/key&gt;&lt;/foreign-keys&gt;&lt;ref-type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M.&lt;/author&gt;&lt;author&gt;Quadas- Group&lt;/author&gt;&lt;/authors&gt;&lt;/contributors&gt;&lt;auth-address&gt;University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Med&lt;/secondary-title&gt;&lt;/titles&gt;&lt;periodical&gt;&lt;full-title&gt;Ann Intern Med&lt;/full-title&gt;&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18&lt;/date&gt;&lt;/pub-dates&gt;&lt;/dates&gt;&lt;isbn&gt;1539-3704 (Electronic)&amp;#xD;0003-4819 (Linking)&lt;/isbn&gt;&lt;accession-num&gt;22007046&lt;/accession-num&gt;&lt;urls&gt;&lt;related-urls&gt;&lt;url&gt;https://www.ncbi.nlm.nih.gov/pubmed/22007046&lt;/url&gt;&lt;/related-urls&gt;&lt;/urls&gt;&lt;electronic-resource-num&gt;10.7326/0003-4819-155-8-201110180-00009&lt;/electronic-resource-num&gt;&lt;/record&gt;&lt;/Cite&gt;&lt;/EndNote&gt;</w:instrText>
      </w:r>
      <w:r w:rsidRPr="00734942">
        <w:fldChar w:fldCharType="separate"/>
      </w:r>
      <w:r w:rsidR="00735CC0" w:rsidRPr="00735CC0">
        <w:rPr>
          <w:noProof/>
          <w:vertAlign w:val="superscript"/>
        </w:rPr>
        <w:t>29</w:t>
      </w:r>
      <w:r w:rsidRPr="00734942">
        <w:fldChar w:fldCharType="end"/>
      </w:r>
      <w:r w:rsidRPr="00734942">
        <w:rPr>
          <w:noProof/>
        </w:rPr>
        <w:t xml:space="preserve"> </w:t>
      </w:r>
      <w:r w:rsidRPr="00734942">
        <w:t>We applied stringent inclusion criteria in order to minimise bias. Syntheses of studies was carried out in line with Cochrane recommended methods and sensitivity analyses were performed to explore heterogeneity.</w:t>
      </w:r>
      <w:r w:rsidRPr="00734942">
        <w:fldChar w:fldCharType="begin"/>
      </w:r>
      <w:r w:rsidR="00735CC0">
        <w:instrText xml:space="preserve"> ADDIN EN.CITE &lt;EndNote&gt;&lt;Cite&gt;&lt;Author&gt;Deeks&lt;/Author&gt;&lt;Year&gt;2013&lt;/Year&gt;&lt;RecNum&gt;28&lt;/RecNum&gt;&lt;DisplayText&gt;&lt;style face="superscript"&gt;22, 23&lt;/style&gt;&lt;/DisplayText&gt;&lt;record&gt;&lt;rec-number&gt;28&lt;/rec-number&gt;&lt;foreign-keys&gt;&lt;key app="EN" db-id="tdwrx9xd1z9eepeevr355w2k959rv0f5zaax" timestamp="1632756069"&gt;28&lt;/key&gt;&lt;/foreign-keys&gt;&lt;ref-type name="Journal Article"&gt;17&lt;/ref-type&gt;&lt;contributors&gt;&lt;authors&gt;&lt;author&gt;Deeks, J.J.&lt;/author&gt;&lt;author&gt;Bossuyt, P.M.&lt;/author&gt;&lt;author&gt;Gatsonis, C.&lt;/author&gt;&lt;/authors&gt;&lt;/contributors&gt;&lt;titles&gt;&lt;title&gt;Cochrane Handbook for Systematic Reviews of Diagnostic Test Accuracy Version 1.0.0.&lt;/title&gt;&lt;secondary-title&gt;The Cochrane Collaboration&lt;/secondary-title&gt;&lt;/titles&gt;&lt;periodical&gt;&lt;full-title&gt;The Cochrane Collaboration&lt;/full-title&gt;&lt;/periodical&gt;&lt;dates&gt;&lt;year&gt;2013&lt;/year&gt;&lt;/dates&gt;&lt;urls&gt;&lt;related-urls&gt;&lt;url&gt;https://methods.cochrane.org/sdt/handbook-dta-reviews&lt;/url&gt;&lt;/related-urls&gt;&lt;/urls&gt;&lt;/record&gt;&lt;/Cite&gt;&lt;Cite&gt;&lt;Author&gt;Centre for Reviews and Dissemination (CRD)&lt;/Author&gt;&lt;Year&gt;2009&lt;/Year&gt;&lt;RecNum&gt;27&lt;/RecNum&gt;&lt;record&gt;&lt;rec-number&gt;27&lt;/rec-number&gt;&lt;foreign-keys&gt;&lt;key app="EN" db-id="tdwrx9xd1z9eepeevr355w2k959rv0f5zaax" timestamp="1632756069"&gt;27&lt;/key&gt;&lt;/foreign-keys&gt;&lt;ref-type name="Journal Article"&gt;17&lt;/ref-type&gt;&lt;contributors&gt;&lt;authors&gt;&lt;author&gt;Centre for Reviews and Dissemination (CRD), &lt;/author&gt;&lt;/authors&gt;&lt;/contributors&gt;&lt;titles&gt;&lt;title&gt;Systematic Reviews. CRD’s guidance for undertaking reviews in health care&lt;/title&gt;&lt;secondary-title&gt;University of York&lt;/secondary-title&gt;&lt;/titles&gt;&lt;periodical&gt;&lt;full-title&gt;University of York&lt;/full-title&gt;&lt;/periodical&gt;&lt;dates&gt;&lt;year&gt;2009&lt;/year&gt;&lt;/dates&gt;&lt;urls&gt;&lt;/urls&gt;&lt;/record&gt;&lt;/Cite&gt;&lt;/EndNote&gt;</w:instrText>
      </w:r>
      <w:r w:rsidRPr="00734942">
        <w:fldChar w:fldCharType="separate"/>
      </w:r>
      <w:r w:rsidR="00735CC0" w:rsidRPr="00735CC0">
        <w:rPr>
          <w:noProof/>
          <w:vertAlign w:val="superscript"/>
        </w:rPr>
        <w:t>22, 23</w:t>
      </w:r>
      <w:r w:rsidRPr="00734942">
        <w:fldChar w:fldCharType="end"/>
      </w:r>
    </w:p>
    <w:p w14:paraId="52217DD8" w14:textId="53B700C7" w:rsidR="00517FEB" w:rsidRPr="00734942" w:rsidRDefault="002C4183" w:rsidP="00517FEB">
      <w:r w:rsidRPr="00734942">
        <w:t xml:space="preserve">In </w:t>
      </w:r>
      <w:r>
        <w:t xml:space="preserve">the diagnostic indicator (Chapter 3) and accuracy of serological test </w:t>
      </w:r>
      <w:r w:rsidRPr="00734942">
        <w:t>reviews</w:t>
      </w:r>
      <w:r>
        <w:t xml:space="preserve"> (Chapter 5)</w:t>
      </w:r>
      <w:r w:rsidRPr="00734942">
        <w:t xml:space="preserve">, the interpretation of meta-analyses results was limited by the substantial heterogeneity between the included studies and most included studies were judged at high risk of bias. </w:t>
      </w:r>
      <w:r w:rsidR="00517FEB" w:rsidRPr="00734942">
        <w:t xml:space="preserve">We investigated sources of variability in the diagnostic indicator review by performing stratified meta-analyses by age group, definition of CD, and study design, only a small minority of diagnostic indicators was reported by enough studies to perform these analyses. Finally, we limited our review to diagnostic indicators that were reported by at least 5 studies; therefore, we may have missed other promising diagnostic indicators which are </w:t>
      </w:r>
      <w:r w:rsidR="00517FEB">
        <w:t xml:space="preserve">evaluated </w:t>
      </w:r>
      <w:r w:rsidR="00517FEB" w:rsidRPr="00734942">
        <w:t>less often.</w:t>
      </w:r>
      <w:r w:rsidR="00517FEB">
        <w:t xml:space="preserve"> Our broad inclusion criteria such that any diagnostic indicator evaluated in a</w:t>
      </w:r>
      <w:r w:rsidR="00220843">
        <w:t xml:space="preserve">n appropriately design study was eligible for inclusion means that we had the potential to identify diagnostic indicators not currently recommended by </w:t>
      </w:r>
      <w:r w:rsidR="00044947">
        <w:t>guidelines</w:t>
      </w:r>
      <w:r w:rsidR="00220843">
        <w:t>.</w:t>
      </w:r>
    </w:p>
    <w:p w14:paraId="0DD64D60" w14:textId="69E5ABDF" w:rsidR="002C4183" w:rsidRPr="00734942" w:rsidRDefault="002C4183" w:rsidP="002C4183">
      <w:r w:rsidRPr="00734942">
        <w:lastRenderedPageBreak/>
        <w:t>In the review on diagnostic accuracy of serological tests, a wide variety of thresholds for test positivity were reported across studies, with some not reporting the threshold at all. Where threshold units differed between assays, we assumed they represented the same arbitrary units and were comparable. However, as they do not measure absolute amounts of antibodies there may be slight variation between different commercial assays and between laboratories. There was substantial variation in CD prevalence between studies, likely due to differences in patient recruitment. Some studies excluded patients with IgA deficiencies while others did not, which may have affected the accuracy estimates for tests that detected the presence of IgA in serum samples. Sources of heterogeneity were explored through sensitivity analyses</w:t>
      </w:r>
      <w:r w:rsidR="007912AE">
        <w:t>;</w:t>
      </w:r>
      <w:r w:rsidRPr="00734942">
        <w:t xml:space="preserve"> summary results were relatively robust to a number of exclusions.</w:t>
      </w:r>
      <w:r w:rsidR="00304EC3">
        <w:t xml:space="preserve"> Very few studies provided direct </w:t>
      </w:r>
      <w:r w:rsidR="0071374D">
        <w:t>c</w:t>
      </w:r>
      <w:r w:rsidR="00304EC3">
        <w:t xml:space="preserve">omparison of the serological tests, and those that did reported accuracy at different thresholds. This means that despite the review including </w:t>
      </w:r>
      <w:r w:rsidR="00F66058">
        <w:t>113</w:t>
      </w:r>
      <w:r w:rsidR="00304EC3">
        <w:t xml:space="preserve"> studies, </w:t>
      </w:r>
      <w:r w:rsidR="00990A09">
        <w:t>estimates used for the economic model were based on single studies in adults and children. We considered it more appropriate to have directly comparable estimates of the accuracy of IgA EMA and IgA tTG</w:t>
      </w:r>
      <w:r w:rsidR="00923ADA">
        <w:t xml:space="preserve">, alone and in combination, than to take the estimates from </w:t>
      </w:r>
      <w:r w:rsidR="006A0BFB">
        <w:t>the meta-analyses as different studies contributed to these</w:t>
      </w:r>
      <w:r w:rsidR="00EE2F43">
        <w:t>.</w:t>
      </w:r>
    </w:p>
    <w:p w14:paraId="5DC0FA74" w14:textId="13B73A0B" w:rsidR="00AE6AF1" w:rsidRDefault="00971671" w:rsidP="00AE6AF1">
      <w:r w:rsidRPr="00734942">
        <w:t xml:space="preserve">A key strength of our prediction models (Chapter </w:t>
      </w:r>
      <w:r>
        <w:t>4</w:t>
      </w:r>
      <w:r w:rsidRPr="00734942">
        <w:t xml:space="preserve">) is that we pre-selected </w:t>
      </w:r>
      <w:r w:rsidR="00D131BC">
        <w:t>diagnostic indicators</w:t>
      </w:r>
      <w:r w:rsidRPr="00734942">
        <w:t xml:space="preserve"> to consider in the model based </w:t>
      </w:r>
      <w:r w:rsidR="00026230">
        <w:t xml:space="preserve">on a </w:t>
      </w:r>
      <w:r w:rsidRPr="00734942">
        <w:t>review</w:t>
      </w:r>
      <w:r w:rsidR="00026230">
        <w:t xml:space="preserve"> of the literature</w:t>
      </w:r>
      <w:r w:rsidRPr="00734942">
        <w:t>, as well as current practice guidelines and discussions with clinical experts. We avoided using traditional approached of model selection such as stepwise selection, which aim to only include the most significant predictors in a model. Disadvantages of this method is instability of the selection, biased estimation of coefficients (testimation bias), misspecification of variability, and exaggeration of p-values.</w:t>
      </w:r>
      <w:r w:rsidRPr="00734942">
        <w:fldChar w:fldCharType="begin"/>
      </w:r>
      <w:r w:rsidR="00735CC0">
        <w:instrText xml:space="preserve"> ADDIN EN.CITE &lt;EndNote&gt;&lt;Cite&gt;&lt;Author&gt;Steyerberg&lt;/Author&gt;&lt;Year&gt;2019&lt;/Year&gt;&lt;RecNum&gt;1&lt;/RecNum&gt;&lt;DisplayText&gt;&lt;style face="superscript"&gt;46&lt;/style&gt;&lt;/DisplayText&gt;&lt;record&gt;&lt;rec-number&gt;1&lt;/rec-number&gt;&lt;foreign-keys&gt;&lt;key app="EN" db-id="tdwrx9xd1z9eepeevr355w2k959rv0f5zaax" timestamp="1632755960"&gt;1&lt;/key&gt;&lt;/foreign-keys&gt;&lt;ref-type name="Journal Article"&gt;17&lt;/ref-type&gt;&lt;contributors&gt;&lt;authors&gt;&lt;author&gt;Steyerberg, E.W.,&lt;/author&gt;&lt;/authors&gt;&lt;/contributors&gt;&lt;titles&gt;&lt;title&gt;Clinical Prediction Models. A Practical Approach to Development, Validation, and Updating. Second Edition.&lt;/title&gt;&lt;secondary-title&gt;Statistics for Biology and Health&lt;/secondary-title&gt;&lt;/titles&gt;&lt;periodical&gt;&lt;full-title&gt;Statistics for Biology and Health&lt;/full-title&gt;&lt;/periodical&gt;&lt;dates&gt;&lt;year&gt;2019&lt;/year&gt;&lt;/dates&gt;&lt;isbn&gt;2197-5671&lt;/isbn&gt;&lt;urls&gt;&lt;/urls&gt;&lt;electronic-resource-num&gt;10.1007/978-3-030-16399-0&lt;/electronic-resource-num&gt;&lt;/record&gt;&lt;/Cite&gt;&lt;/EndNote&gt;</w:instrText>
      </w:r>
      <w:r w:rsidRPr="00734942">
        <w:fldChar w:fldCharType="separate"/>
      </w:r>
      <w:r w:rsidR="00735CC0" w:rsidRPr="00735CC0">
        <w:rPr>
          <w:noProof/>
          <w:vertAlign w:val="superscript"/>
        </w:rPr>
        <w:t>46</w:t>
      </w:r>
      <w:r w:rsidRPr="00734942">
        <w:fldChar w:fldCharType="end"/>
      </w:r>
      <w:r w:rsidRPr="00734942">
        <w:t xml:space="preserve"> We performed a second step in variable selection using elastic net regression and bootstrapping, to exclude predictors that have a very small or uncertain effect on prediction of CD. The elastic net method is a modern approach to variable selection </w:t>
      </w:r>
      <w:r w:rsidR="00E6387D">
        <w:t>that uses</w:t>
      </w:r>
      <w:r w:rsidRPr="00734942">
        <w:t xml:space="preserve"> shrinkage, which optimises the variance (precision) and bias (accuracy) trade-off. It minimizes overfitting on development data, thereby creating a more robust model for use in the future.</w:t>
      </w:r>
      <w:r w:rsidR="00EA1C12">
        <w:t xml:space="preserve"> </w:t>
      </w:r>
      <w:r w:rsidR="00AE6AF1" w:rsidRPr="00734942">
        <w:t>Another important strength of the model</w:t>
      </w:r>
      <w:r w:rsidR="00EA1C12">
        <w:t>s</w:t>
      </w:r>
      <w:r w:rsidR="00AE6AF1" w:rsidRPr="00734942">
        <w:t xml:space="preserve"> is that </w:t>
      </w:r>
      <w:r w:rsidR="00EA1C12">
        <w:t>they</w:t>
      </w:r>
      <w:r w:rsidR="00AE6AF1" w:rsidRPr="00734942" w:rsidDel="00EA1C12">
        <w:t xml:space="preserve"> </w:t>
      </w:r>
      <w:r w:rsidR="00EA1C12">
        <w:t>were</w:t>
      </w:r>
      <w:r w:rsidR="00EA1C12" w:rsidRPr="00734942">
        <w:t xml:space="preserve"> </w:t>
      </w:r>
      <w:r w:rsidR="00AE6AF1" w:rsidRPr="00734942">
        <w:t xml:space="preserve">developed in a large primary care dataset using robust definitions of predictors and </w:t>
      </w:r>
      <w:r w:rsidR="00EA1C12">
        <w:t>were</w:t>
      </w:r>
      <w:r w:rsidR="00EA1C12" w:rsidRPr="00734942">
        <w:t xml:space="preserve"> </w:t>
      </w:r>
      <w:r w:rsidR="00AE6AF1" w:rsidRPr="00734942">
        <w:t>externally validated in another large UK primary care dataset. We used the International Classification of Primary Care definitions where available.</w:t>
      </w:r>
      <w:r w:rsidR="004477D6">
        <w:fldChar w:fldCharType="begin"/>
      </w:r>
      <w:r w:rsidR="00735CC0">
        <w:instrText xml:space="preserve"> ADDIN EN.CITE &lt;EndNote&gt;&lt;Cite&gt;&lt;Author&gt;World Organization of Family Doctors&lt;/Author&gt;&lt;Year&gt;2015&lt;/Year&gt;&lt;RecNum&gt;506&lt;/RecNum&gt;&lt;DisplayText&gt;&lt;style face="superscript"&gt;53&lt;/style&gt;&lt;/DisplayText&gt;&lt;record&gt;&lt;rec-number&gt;506&lt;/rec-number&gt;&lt;foreign-keys&gt;&lt;key app="EN" db-id="tdwrx9xd1z9eepeevr355w2k959rv0f5zaax" timestamp="1636543072"&gt;506&lt;/key&gt;&lt;/foreign-keys&gt;&lt;ref-type name="Journal Article"&gt;17&lt;/ref-type&gt;&lt;contributors&gt;&lt;authors&gt;&lt;author&gt;World Organization of Family Doctors,&lt;/author&gt;&lt;/authors&gt;&lt;/contributors&gt;&lt;titles&gt;&lt;title&gt;International Classification of Primary Care, 2nd edition (ICPC-2)&lt;/title&gt;&lt;/titles&gt;&lt;dates&gt;&lt;year&gt;2015&lt;/year&gt;&lt;/dates&gt;&lt;urls&gt;&lt;related-urls&gt;&lt;url&gt;https://www.globalfamilydoctor.com/groups/WorkingParties/wicc.aspx&lt;/url&gt;&lt;/related-urls&gt;&lt;/urls&gt;&lt;/record&gt;&lt;/Cite&gt;&lt;/EndNote&gt;</w:instrText>
      </w:r>
      <w:r w:rsidR="004477D6">
        <w:fldChar w:fldCharType="separate"/>
      </w:r>
      <w:r w:rsidR="00735CC0" w:rsidRPr="00735CC0">
        <w:rPr>
          <w:noProof/>
          <w:vertAlign w:val="superscript"/>
        </w:rPr>
        <w:t>53</w:t>
      </w:r>
      <w:r w:rsidR="004477D6">
        <w:fldChar w:fldCharType="end"/>
      </w:r>
      <w:r w:rsidR="004477D6">
        <w:t xml:space="preserve"> </w:t>
      </w:r>
      <w:r w:rsidR="00AE6AF1" w:rsidRPr="00734942">
        <w:t>The corresponding code lists were taken from publications where possible, and all code lists were checked by at least two clinicians.</w:t>
      </w:r>
      <w:r w:rsidR="00AE6AF1" w:rsidRPr="00734942">
        <w:fldChar w:fldCharType="begin"/>
      </w:r>
      <w:r w:rsidR="00735CC0">
        <w:instrText xml:space="preserve"> ADDIN EN.CITE &lt;EndNote&gt;&lt;Cite&gt;&lt;Author&gt;Watson&lt;/Author&gt;&lt;Year&gt;2017&lt;/Year&gt;&lt;RecNum&gt;500&lt;/RecNum&gt;&lt;DisplayText&gt;&lt;style face="superscript"&gt;269&lt;/style&gt;&lt;/DisplayText&gt;&lt;record&gt;&lt;rec-number&gt;500&lt;/rec-number&gt;&lt;foreign-keys&gt;&lt;key app="EN" db-id="tdwrx9xd1z9eepeevr355w2k959rv0f5zaax" timestamp="1636542651"&gt;500&lt;/key&gt;&lt;/foreign-keys&gt;&lt;ref-type name="Journal Article"&gt;17&lt;/ref-type&gt;&lt;contributors&gt;&lt;authors&gt;&lt;author&gt;Watson, Jessica&lt;/author&gt;&lt;author&gt;Nicholson, Brian D.&lt;/author&gt;&lt;author&gt;Hamilton, Willie&lt;/author&gt;&lt;author&gt;Price, Sarah&lt;/author&gt;&lt;/authors&gt;&lt;/contributors&gt;&lt;titles&gt;&lt;title&gt;Identifying clinical features in primary care electronic health record studies: methods for codelist development&lt;/title&gt;&lt;secondary-title&gt;BMJ Open&lt;/secondary-title&gt;&lt;/titles&gt;&lt;periodical&gt;&lt;full-title&gt;BMJ Open&lt;/full-title&gt;&lt;/periodical&gt;&lt;pages&gt;e019637&lt;/pages&gt;&lt;volume&gt;7&lt;/volume&gt;&lt;number&gt;11&lt;/number&gt;&lt;dates&gt;&lt;year&gt;2017&lt;/year&gt;&lt;/dates&gt;&lt;urls&gt;&lt;related-urls&gt;&lt;url&gt;http://bmjopen.bmj.com/content/7/11/e019637.abstract&lt;/url&gt;&lt;/related-urls&gt;&lt;/urls&gt;&lt;electronic-resource-num&gt;10.1136/bmjopen-2017-019637&lt;/electronic-resource-num&gt;&lt;/record&gt;&lt;/Cite&gt;&lt;/EndNote&gt;</w:instrText>
      </w:r>
      <w:r w:rsidR="00AE6AF1" w:rsidRPr="00734942">
        <w:fldChar w:fldCharType="separate"/>
      </w:r>
      <w:r w:rsidR="00735CC0" w:rsidRPr="00735CC0">
        <w:rPr>
          <w:noProof/>
          <w:vertAlign w:val="superscript"/>
        </w:rPr>
        <w:t>269</w:t>
      </w:r>
      <w:r w:rsidR="00AE6AF1" w:rsidRPr="00734942">
        <w:fldChar w:fldCharType="end"/>
      </w:r>
      <w:r w:rsidR="00AE6AF1" w:rsidRPr="00734942">
        <w:t xml:space="preserve"> This makes the model more applicable and generalisable as the model is intended to be used in the primary care setting and GPs have access to the information needed for the model during consultation.</w:t>
      </w:r>
    </w:p>
    <w:p w14:paraId="79C17089" w14:textId="30E0FC22" w:rsidR="00971EF1" w:rsidRPr="00734942" w:rsidRDefault="002455C9" w:rsidP="00971EF1">
      <w:r>
        <w:t xml:space="preserve">A major limitation of our prediction models is that as </w:t>
      </w:r>
      <w:r w:rsidRPr="00734942">
        <w:t xml:space="preserve">CD is underdiagnosed, it is also underreported in CPRD. The prevalence of CD in both primary care datasets used in Chapter 5 </w:t>
      </w:r>
      <w:r w:rsidR="00487C13">
        <w:t xml:space="preserve">was </w:t>
      </w:r>
      <w:r w:rsidRPr="00734942">
        <w:t xml:space="preserve">around 0.1%, which is 10 times lower than the estimated population prevalence in the UK. As a results, we may have selected undiagnosed CD patients in our control group, which could have led to an underestimation of the importance of </w:t>
      </w:r>
      <w:r w:rsidR="00487C13">
        <w:t>indicator</w:t>
      </w:r>
      <w:r w:rsidRPr="00734942">
        <w:t>s.</w:t>
      </w:r>
      <w:r w:rsidR="00487C13">
        <w:t xml:space="preserve"> </w:t>
      </w:r>
      <w:r w:rsidRPr="00734942">
        <w:t xml:space="preserve">To reduce the number of undiagnosed CD patients in our control group, we excluded patients with related conditions, such as dermatitis herpetiformis, or people receiving gluten free prescriptions. What is more problematic is that diagnosed CD patients may have different characteristic from undiagnosed CD patients. We were therefore more likely to confirm predictors that are already in the guidelines because those </w:t>
      </w:r>
      <w:r w:rsidR="00971EF1">
        <w:t xml:space="preserve">indicators </w:t>
      </w:r>
      <w:r w:rsidRPr="00734942">
        <w:t xml:space="preserve">currently prompt testing. Different </w:t>
      </w:r>
      <w:r w:rsidR="00971EF1">
        <w:t xml:space="preserve">indicators </w:t>
      </w:r>
      <w:r w:rsidRPr="00734942">
        <w:t>may be important for undiagnosed CD patients; however, it was not possible to investigate this in this dataset.</w:t>
      </w:r>
      <w:r w:rsidR="00971EF1">
        <w:t xml:space="preserve"> </w:t>
      </w:r>
      <w:r w:rsidR="00971EF1" w:rsidRPr="006628A9">
        <w:t>Results from the diagnostic indicator review were considered more robust for individual</w:t>
      </w:r>
      <w:r w:rsidR="00971EF1">
        <w:t xml:space="preserve"> diagnostic indicators as we only accepted studies where all participants were tested for CD – this may explain why some of the indicators identified by our review, such as migraine, were not found to be important indicators in the </w:t>
      </w:r>
      <w:r w:rsidR="00E11B30">
        <w:t>prediction</w:t>
      </w:r>
      <w:r w:rsidR="00971EF1">
        <w:t xml:space="preserve"> models. Our </w:t>
      </w:r>
      <w:r w:rsidR="00971EF1">
        <w:lastRenderedPageBreak/>
        <w:t>recommendations on who should be tested are therefore based on both the results of the indicator review, and the results of the prediction models.</w:t>
      </w:r>
    </w:p>
    <w:p w14:paraId="426081EE" w14:textId="4C704D8E" w:rsidR="001A187A" w:rsidRPr="00734942" w:rsidRDefault="001A187A" w:rsidP="001A187A">
      <w:r>
        <w:t>A further limitation of using routine CPRD data to develop our prediction models is that we w</w:t>
      </w:r>
      <w:r w:rsidR="00DD4EA9">
        <w:t>e</w:t>
      </w:r>
      <w:r>
        <w:t xml:space="preserve">re only able to investigate diagnostic indicators that were recorded by GPs. </w:t>
      </w:r>
      <w:r w:rsidR="00C11EC6">
        <w:t>We were therefore not able to evaluate some</w:t>
      </w:r>
      <w:r w:rsidR="00DD4EA9">
        <w:t xml:space="preserve"> potentially important</w:t>
      </w:r>
      <w:r w:rsidR="00C11EC6">
        <w:t xml:space="preserve"> </w:t>
      </w:r>
      <w:r w:rsidR="00DD4EA9">
        <w:t>indicators</w:t>
      </w:r>
      <w:r w:rsidR="00C11EC6">
        <w:t>, such as dental enamel defects, as</w:t>
      </w:r>
      <w:r w:rsidR="00DD4EA9">
        <w:t xml:space="preserve"> these are not routinely </w:t>
      </w:r>
      <w:r w:rsidR="000D40EE">
        <w:t>recorded</w:t>
      </w:r>
      <w:r w:rsidR="00DD4EA9">
        <w:t xml:space="preserve"> in primary care. We also relied on accurate recording of indicators by GPs and reporting by patients – non-specific symptoms such as gastrointestinal symptoms and </w:t>
      </w:r>
      <w:r w:rsidR="000D40EE">
        <w:t>fatigue</w:t>
      </w:r>
      <w:r w:rsidR="00DD4EA9">
        <w:t xml:space="preserve"> are likely to be under-reported </w:t>
      </w:r>
      <w:r w:rsidR="002819D3">
        <w:t>and so cannot be fully evaluated using primary care data.</w:t>
      </w:r>
      <w:r w:rsidR="00DD4EA9">
        <w:t xml:space="preserve"> </w:t>
      </w:r>
      <w:r w:rsidRPr="00734942">
        <w:t xml:space="preserve">Although we used large sample sizes, some </w:t>
      </w:r>
      <w:r w:rsidR="000D40EE">
        <w:t xml:space="preserve">indicators, </w:t>
      </w:r>
      <w:r w:rsidR="000D40EE" w:rsidRPr="00734942">
        <w:t>such as Williams-Beuren syndrome</w:t>
      </w:r>
      <w:r w:rsidR="000D40EE">
        <w:t xml:space="preserve">, </w:t>
      </w:r>
      <w:r w:rsidRPr="00734942">
        <w:t xml:space="preserve">were too rare to </w:t>
      </w:r>
      <w:r w:rsidR="000D40EE">
        <w:t xml:space="preserve">be </w:t>
      </w:r>
      <w:r w:rsidRPr="00734942">
        <w:t>include</w:t>
      </w:r>
      <w:r w:rsidR="000D40EE">
        <w:t>d</w:t>
      </w:r>
      <w:r w:rsidRPr="00734942">
        <w:t xml:space="preserve"> in our model</w:t>
      </w:r>
      <w:r w:rsidR="000D40EE">
        <w:t>s.</w:t>
      </w:r>
      <w:r w:rsidRPr="00734942">
        <w:t xml:space="preserve"> This is a limitation of our model because </w:t>
      </w:r>
      <w:r w:rsidR="00653924">
        <w:t>these</w:t>
      </w:r>
      <w:r w:rsidRPr="00734942">
        <w:t xml:space="preserve"> </w:t>
      </w:r>
      <w:r w:rsidR="00653924">
        <w:t>indicator</w:t>
      </w:r>
      <w:r w:rsidR="00653924" w:rsidRPr="00734942">
        <w:t>s</w:t>
      </w:r>
      <w:r w:rsidRPr="00734942">
        <w:t xml:space="preserve"> are important according to several CD guidelines.</w:t>
      </w:r>
      <w:r w:rsidRPr="00734942">
        <w:fldChar w:fldCharType="begin">
          <w:fldData xml:space="preserve">PEVuZE5vdGU+PENpdGU+PEF1dGhvcj5OYXRpb25hbCBIZWFsdGggSW5zdGl0dXRlIGZvciBIZWFs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</w:fldData>
        </w:fldChar>
      </w:r>
      <w:r w:rsidR="00735CC0">
        <w:instrText xml:space="preserve"> ADDIN EN.CITE </w:instrText>
      </w:r>
      <w:r w:rsidR="00735CC0">
        <w:fldChar w:fldCharType="begin">
          <w:fldData xml:space="preserve">PEVuZE5vdGU+PENpdGU+PEF1dGhvcj5OYXRpb25hbCBIZWFsdGggSW5zdGl0dXRlIGZvciBIZWFs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</w:fldData>
        </w:fldChar>
      </w:r>
      <w:r w:rsidR="00735CC0">
        <w:instrText xml:space="preserve"> ADDIN EN.CITE.DATA </w:instrText>
      </w:r>
      <w:r w:rsidR="00735CC0">
        <w:fldChar w:fldCharType="end"/>
      </w:r>
      <w:r w:rsidRPr="00734942">
        <w:fldChar w:fldCharType="separate"/>
      </w:r>
      <w:r w:rsidR="00735CC0" w:rsidRPr="00735CC0">
        <w:rPr>
          <w:noProof/>
          <w:vertAlign w:val="superscript"/>
        </w:rPr>
        <w:t>10, 12, 270</w:t>
      </w:r>
      <w:r w:rsidRPr="00734942">
        <w:fldChar w:fldCharType="end"/>
      </w:r>
    </w:p>
    <w:p w14:paraId="38414659" w14:textId="1EE915D9" w:rsidR="0054221E" w:rsidRDefault="0054221E" w:rsidP="0054221E">
      <w:r w:rsidRPr="00734942">
        <w:t xml:space="preserve">A </w:t>
      </w:r>
      <w:r w:rsidR="00971EF1">
        <w:t xml:space="preserve">further </w:t>
      </w:r>
      <w:r w:rsidRPr="00734942">
        <w:t xml:space="preserve">limitation in the study design for the prediction model is that we used a </w:t>
      </w:r>
      <w:r w:rsidR="00F769EA">
        <w:t xml:space="preserve">nested </w:t>
      </w:r>
      <w:r w:rsidRPr="00734942">
        <w:t xml:space="preserve">case control design. A cohort design is recommended for prediction modelling and is necessary for reliable estimations of model calibration because it compares the </w:t>
      </w:r>
      <w:r w:rsidR="00E32A7C">
        <w:t>indicators</w:t>
      </w:r>
      <w:r w:rsidR="00E32A7C" w:rsidRPr="00734942">
        <w:t xml:space="preserve"> </w:t>
      </w:r>
      <w:r w:rsidRPr="00734942">
        <w:t xml:space="preserve">with the observed prevalence. We artificially inflated the control group to recreate a CD prevalence similar to the general population, which allowed us to estimate calibration statistics. This enabled us to calculate and compare all performance measures. This method may have inflated any bias present in the original control group and might explain the poor calibration shown in our models. However, we believe this risk was low because our control group had a large sample size (&gt;80,000 patients; large enough to reflect variation in all </w:t>
      </w:r>
      <w:r w:rsidR="00653924">
        <w:t>indicator</w:t>
      </w:r>
      <w:r w:rsidR="00653924" w:rsidRPr="00734942">
        <w:t>s</w:t>
      </w:r>
      <w:r w:rsidRPr="00734942">
        <w:t>) and controls had been randomly selected from a sample which is largely representative of the UK.</w:t>
      </w:r>
      <w:r w:rsidR="00B15459">
        <w:t xml:space="preserve"> </w:t>
      </w:r>
      <w:r w:rsidR="00E5061F">
        <w:t xml:space="preserve">We recreated </w:t>
      </w:r>
      <w:r w:rsidR="00B56470">
        <w:t xml:space="preserve">a cohort with </w:t>
      </w:r>
      <w:r w:rsidR="00E5061F">
        <w:t>the estimated population prevalence</w:t>
      </w:r>
      <w:r w:rsidR="006009D5">
        <w:t xml:space="preserve"> </w:t>
      </w:r>
      <w:r w:rsidR="00902BF9">
        <w:t xml:space="preserve">of CD </w:t>
      </w:r>
      <w:r w:rsidR="006009D5">
        <w:t>(1%)</w:t>
      </w:r>
      <w:r w:rsidR="00E5061F">
        <w:t>, not the prevalence observed in CPRD</w:t>
      </w:r>
      <w:r w:rsidR="006009D5">
        <w:t xml:space="preserve"> (0.1%)</w:t>
      </w:r>
      <w:r w:rsidR="00700EC6">
        <w:t xml:space="preserve"> which is too low</w:t>
      </w:r>
      <w:r w:rsidR="00BB680E">
        <w:t>er than actual population prevalence as</w:t>
      </w:r>
      <w:r w:rsidR="00184F5D">
        <w:t xml:space="preserve"> </w:t>
      </w:r>
      <w:r w:rsidR="00C30596">
        <w:t>CD is underdiagnosed.</w:t>
      </w:r>
      <w:r w:rsidR="00B01F98">
        <w:t xml:space="preserve"> </w:t>
      </w:r>
      <w:r w:rsidR="00406140">
        <w:t xml:space="preserve">Another limitation </w:t>
      </w:r>
      <w:r w:rsidR="00C806A7">
        <w:t>of this approach is that</w:t>
      </w:r>
      <w:r w:rsidR="00547B7D">
        <w:t xml:space="preserve"> we have no information about the characteristics of th</w:t>
      </w:r>
      <w:r w:rsidR="00BB680E">
        <w:t>os</w:t>
      </w:r>
      <w:r w:rsidR="00547B7D">
        <w:t xml:space="preserve">e </w:t>
      </w:r>
      <w:r w:rsidR="00BB680E">
        <w:t xml:space="preserve">with </w:t>
      </w:r>
      <w:r w:rsidR="00547B7D">
        <w:t>CD</w:t>
      </w:r>
      <w:r w:rsidR="00D57DD7">
        <w:t xml:space="preserve"> who haven’t been diagnosed</w:t>
      </w:r>
      <w:r w:rsidR="00BF7C06">
        <w:t xml:space="preserve"> and therefore had to assume that they are similar to those who are diagnosed, which is likely to be incorrect.</w:t>
      </w:r>
    </w:p>
    <w:p w14:paraId="367E7771" w14:textId="77777777" w:rsidR="00F769EA" w:rsidRPr="00734942" w:rsidRDefault="00F769EA" w:rsidP="00F769EA">
      <w:r w:rsidRPr="00734942">
        <w:t>We used an innovative form of patient involvement in this project that directly influenced our economic model.</w:t>
      </w:r>
      <w:r>
        <w:t xml:space="preserve"> The</w:t>
      </w:r>
      <w:r w:rsidRPr="00734942">
        <w:t xml:space="preserve"> survey </w:t>
      </w:r>
      <w:r>
        <w:t xml:space="preserve">(Chapter 7) </w:t>
      </w:r>
      <w:r w:rsidRPr="00734942">
        <w:t>was developed in collaboration with CD patients and tested by people with and without knowledge of CD.</w:t>
      </w:r>
      <w:r>
        <w:t xml:space="preserve"> We developed videos to make the information more accessible. The qualitative analyses of free text answers provided context and helped interpreting the multiple-choice answers. </w:t>
      </w:r>
    </w:p>
    <w:p w14:paraId="21C90D42" w14:textId="2B6C933E" w:rsidR="0054221E" w:rsidRDefault="00EF3113" w:rsidP="0054221E">
      <w:r>
        <w:t>Although w</w:t>
      </w:r>
      <w:r w:rsidR="0054221E" w:rsidRPr="00734942">
        <w:t xml:space="preserve">e used multiple routes of promoting the survey to get a variety of people filling out the survey, the sample was not representative of the UK as the majority were highly educated white women, which is a common problem with online surveys. Another limitation was that we recruited participants online and the survey was only available in an online format, which may have excluded populations who do not have access to internet or do not use social media. The free text answers revealed that some respondents misunderstood questions, which may have skewed the results. </w:t>
      </w:r>
      <w:r w:rsidR="002E752C">
        <w:t xml:space="preserve">We may have overestimated the adherence to the gluten-free diet due to </w:t>
      </w:r>
      <w:r w:rsidR="00CD490E">
        <w:t>non-responder biases</w:t>
      </w:r>
      <w:r w:rsidR="002E752C">
        <w:t>, i.e.</w:t>
      </w:r>
      <w:r w:rsidR="00CD490E">
        <w:t xml:space="preserve"> those with </w:t>
      </w:r>
      <w:r w:rsidR="004A0B55">
        <w:t>‘</w:t>
      </w:r>
      <w:r w:rsidR="00CD490E">
        <w:t>poor adherence</w:t>
      </w:r>
      <w:r w:rsidR="004A0B55">
        <w:t>’</w:t>
      </w:r>
      <w:r w:rsidR="00CD490E">
        <w:t xml:space="preserve"> to </w:t>
      </w:r>
      <w:r w:rsidR="002E752C">
        <w:t xml:space="preserve">gluten-free diet </w:t>
      </w:r>
      <w:r w:rsidR="00B66FBB">
        <w:t>may be</w:t>
      </w:r>
      <w:r w:rsidR="00CD490E">
        <w:t xml:space="preserve"> less likely to respond to </w:t>
      </w:r>
      <w:r w:rsidR="00B66FBB">
        <w:t xml:space="preserve">a </w:t>
      </w:r>
      <w:r w:rsidR="00CD490E">
        <w:t>questionnaire</w:t>
      </w:r>
      <w:r w:rsidR="00B66FBB">
        <w:t>.</w:t>
      </w:r>
    </w:p>
    <w:p w14:paraId="4E7D2F28" w14:textId="29164287" w:rsidR="00C80F1E" w:rsidRPr="00734942" w:rsidRDefault="00C80F1E" w:rsidP="0054221E">
      <w:r>
        <w:t xml:space="preserve">Our cost-effectiveness analysis </w:t>
      </w:r>
      <w:r w:rsidR="00F162BE">
        <w:t xml:space="preserve">was based on a state-of-the-art </w:t>
      </w:r>
      <w:r w:rsidR="002151BD">
        <w:t xml:space="preserve">cohort </w:t>
      </w:r>
      <w:r w:rsidR="00F162BE">
        <w:t xml:space="preserve">Markov model. We used the CPRD analysis and clinical advice to identify the most important comorbidities in </w:t>
      </w:r>
      <w:r w:rsidR="001F01F5">
        <w:t>CD</w:t>
      </w:r>
      <w:r w:rsidR="00F162BE">
        <w:t xml:space="preserve">, namely osteoporosis and NHL. </w:t>
      </w:r>
      <w:r w:rsidR="00944750">
        <w:t>Our model is fully probabilistic</w:t>
      </w:r>
      <w:r w:rsidR="00972C47">
        <w:t xml:space="preserve">, which means that it </w:t>
      </w:r>
      <w:r w:rsidR="00944750">
        <w:t xml:space="preserve">avoids assuming that uncertain parameters are fixed. </w:t>
      </w:r>
      <w:r w:rsidR="00F162BE">
        <w:t>The uncertainty in epidemiological and utility parameters was modelled</w:t>
      </w:r>
      <w:r w:rsidR="00F63670">
        <w:t xml:space="preserve"> with statistical distributions and this uncertainty was propagated to the final costs, QALYs and net benefits. </w:t>
      </w:r>
      <w:r w:rsidR="00944750">
        <w:t xml:space="preserve">We went further and conducted value of information analysis to identify the most </w:t>
      </w:r>
      <w:r w:rsidR="00944750">
        <w:lastRenderedPageBreak/>
        <w:t>influential uncertain parameters and quantify the value in further research. Furthermore, our model was implemented in the R statistical programming language and optimised using C/C++</w:t>
      </w:r>
      <w:r w:rsidR="00AB35EB">
        <w:t xml:space="preserve">, which has extensive benefits in flexibility, transparency and efficiency over the more usual Microsoft Excel. </w:t>
      </w:r>
    </w:p>
    <w:p w14:paraId="2F59792C" w14:textId="77305EDD" w:rsidR="00D14A37" w:rsidRPr="00BB680E" w:rsidRDefault="00D14A37" w:rsidP="00D14A37">
      <w:pPr>
        <w:rPr>
          <w:rFonts w:cstheme="minorHAnsi"/>
        </w:rPr>
      </w:pPr>
      <w:r w:rsidRPr="003A3918">
        <w:rPr>
          <w:rFonts w:cstheme="minorHAnsi"/>
        </w:rPr>
        <w:t xml:space="preserve">There are several </w:t>
      </w:r>
      <w:r w:rsidR="00A451C8">
        <w:rPr>
          <w:rFonts w:cstheme="minorHAnsi"/>
        </w:rPr>
        <w:t>important</w:t>
      </w:r>
      <w:r w:rsidRPr="003A3918">
        <w:rPr>
          <w:rFonts w:cstheme="minorHAnsi"/>
        </w:rPr>
        <w:t xml:space="preserve"> limitations to our cost-effectiveness analysis. The Markov model structure was a simplification of </w:t>
      </w:r>
      <w:r w:rsidR="002A34EB">
        <w:rPr>
          <w:rFonts w:cstheme="minorHAnsi"/>
        </w:rPr>
        <w:t>CD</w:t>
      </w:r>
      <w:r w:rsidRPr="003A3918">
        <w:rPr>
          <w:rFonts w:cstheme="minorHAnsi"/>
        </w:rPr>
        <w:t xml:space="preserve">, for example not modelling a difference between symptomatic and asymptomatic CD or allowing patients to have </w:t>
      </w:r>
      <w:r w:rsidRPr="00BB680E">
        <w:rPr>
          <w:rFonts w:cstheme="minorHAnsi"/>
        </w:rPr>
        <w:t>osteoporosis and NHL</w:t>
      </w:r>
      <w:r w:rsidRPr="003A3918">
        <w:rPr>
          <w:rFonts w:cstheme="minorHAnsi"/>
        </w:rPr>
        <w:t xml:space="preserve">. Using a cohort modelling approach did not permit modelling of individuals, and we thus modelled an average adult male, adult female or child patient with CD, rather than a more granular exploration of types of patients. </w:t>
      </w:r>
      <w:r w:rsidRPr="00BB680E">
        <w:rPr>
          <w:rFonts w:cstheme="minorHAnsi"/>
        </w:rPr>
        <w:t xml:space="preserve">A full individual level model informed by CPRD and including more of the </w:t>
      </w:r>
      <w:r w:rsidR="00952FD4">
        <w:rPr>
          <w:rFonts w:cstheme="minorHAnsi"/>
        </w:rPr>
        <w:t>indicators</w:t>
      </w:r>
      <w:r w:rsidRPr="00693CFF">
        <w:rPr>
          <w:rFonts w:cstheme="minorHAnsi"/>
        </w:rPr>
        <w:t xml:space="preserve"> identified in Chapter</w:t>
      </w:r>
      <w:r w:rsidR="00952FD4">
        <w:rPr>
          <w:rFonts w:cstheme="minorHAnsi"/>
        </w:rPr>
        <w:t>s 3 and</w:t>
      </w:r>
      <w:r w:rsidRPr="00BB680E">
        <w:rPr>
          <w:rFonts w:cstheme="minorHAnsi"/>
        </w:rPr>
        <w:t xml:space="preserve"> 4 is possible. However, this would also require further research on state costs and utilities, and the impact of a </w:t>
      </w:r>
      <w:r w:rsidR="00693CFF">
        <w:t>gluten-free diet</w:t>
      </w:r>
      <w:r w:rsidRPr="00BB680E">
        <w:rPr>
          <w:rFonts w:cstheme="minorHAnsi"/>
        </w:rPr>
        <w:t>, none of which is guaranteed to have high quality data, and may not in any case lead to different recommendations.</w:t>
      </w:r>
      <w:r w:rsidRPr="003A3918">
        <w:rPr>
          <w:rFonts w:cstheme="minorHAnsi"/>
        </w:rPr>
        <w:fldChar w:fldCharType="begin"/>
      </w:r>
      <w:r w:rsidR="00031047">
        <w:rPr>
          <w:rFonts w:cstheme="minorHAnsi"/>
        </w:rPr>
        <w:instrText xml:space="preserve"> ADDIN EN.CITE &lt;EndNote&gt;&lt;Cite&gt;&lt;Author&gt;Davis&lt;/Author&gt;&lt;Year&gt;2014&lt;/Year&gt;&lt;RecNum&gt;518&lt;/RecNum&gt;&lt;DisplayText&gt;&lt;style face="superscript"&gt;271&lt;/style&gt;&lt;/DisplayText&gt;&lt;record&gt;&lt;rec-number&gt;518&lt;/rec-number&gt;&lt;foreign-keys&gt;&lt;key app="EN" db-id="tdwrx9xd1z9eepeevr355w2k959rv0f5zaax" timestamp="1636620393"&gt;518&lt;/key&gt;&lt;/foreign-keys&gt;&lt;ref-type name="Book Section"&gt;5&lt;/ref-type&gt;&lt;contributors&gt;&lt;authors&gt;&lt;author&gt;Davis, S.&lt;/author&gt;&lt;author&gt;Stevenson, M.&lt;/author&gt;&lt;author&gt;Tappenden, P.&lt;/author&gt;&lt;author&gt;Wailoo, A.&lt;/author&gt;&lt;/authors&gt;&lt;/contributors&gt;&lt;titles&gt;&lt;secondary-title&gt;NICE DSU Technical Support Document 15: Cost-Effectiveness Modelling Using Patient-Level Simulation&lt;/secondary-title&gt;&lt;tertiary-title&gt;NICE Decision Support Unit Technical Support Documents&lt;/tertiary-title&gt;&lt;/titles&gt;&lt;dates&gt;&lt;year&gt;2014&lt;/year&gt;&lt;/dates&gt;&lt;pub-location&gt;London&lt;/pub-location&gt;&lt;accession-num&gt;27466644&lt;/accession-num&gt;&lt;urls&gt;&lt;related-urls&gt;&lt;url&gt;https://www.ncbi.nlm.nih.gov/pubmed/27466644&lt;/url&gt;&lt;/related-urls&gt;&lt;/urls&gt;&lt;language&gt;eng&lt;/language&gt;&lt;/record&gt;&lt;/Cite&gt;&lt;/EndNote&gt;</w:instrText>
      </w:r>
      <w:r w:rsidRPr="003A3918">
        <w:rPr>
          <w:rFonts w:cstheme="minorHAnsi"/>
        </w:rPr>
        <w:fldChar w:fldCharType="separate"/>
      </w:r>
      <w:r w:rsidR="00031047" w:rsidRPr="00031047">
        <w:rPr>
          <w:rFonts w:cstheme="minorHAnsi"/>
          <w:noProof/>
          <w:vertAlign w:val="superscript"/>
        </w:rPr>
        <w:t>271</w:t>
      </w:r>
      <w:r w:rsidRPr="003A3918">
        <w:rPr>
          <w:rFonts w:cstheme="minorHAnsi"/>
        </w:rPr>
        <w:fldChar w:fldCharType="end"/>
      </w:r>
      <w:r w:rsidRPr="00BB680E">
        <w:rPr>
          <w:rFonts w:cstheme="minorHAnsi"/>
        </w:rPr>
        <w:t xml:space="preserve"> </w:t>
      </w:r>
    </w:p>
    <w:p w14:paraId="168A475B" w14:textId="1DC54437" w:rsidR="00D14A37" w:rsidRPr="003A3918" w:rsidRDefault="00D14A37" w:rsidP="00D14A37">
      <w:pPr>
        <w:rPr>
          <w:rFonts w:cstheme="minorHAnsi"/>
        </w:rPr>
      </w:pPr>
      <w:r w:rsidRPr="003A3918">
        <w:rPr>
          <w:rFonts w:cstheme="minorHAnsi"/>
        </w:rPr>
        <w:t xml:space="preserve">The data informing our selected model also had limitations. All uncertainties regarding test accuracy from Chapter </w:t>
      </w:r>
      <w:r w:rsidRPr="00BB680E">
        <w:rPr>
          <w:rFonts w:cstheme="minorHAnsi"/>
        </w:rPr>
        <w:t xml:space="preserve">5 and Chapter 6 </w:t>
      </w:r>
      <w:r w:rsidRPr="003A3918">
        <w:rPr>
          <w:rFonts w:cstheme="minorHAnsi"/>
        </w:rPr>
        <w:t xml:space="preserve">carry through to the cost-effectiveness model. The cost of IgA EMA, IgA </w:t>
      </w:r>
      <w:r w:rsidR="00FB6A6E">
        <w:rPr>
          <w:rFonts w:cstheme="minorHAnsi"/>
        </w:rPr>
        <w:t>t</w:t>
      </w:r>
      <w:r w:rsidR="00FB6A6E" w:rsidRPr="003A3918">
        <w:rPr>
          <w:rFonts w:cstheme="minorHAnsi"/>
        </w:rPr>
        <w:t xml:space="preserve">TG </w:t>
      </w:r>
      <w:r w:rsidRPr="003A3918">
        <w:rPr>
          <w:rFonts w:cstheme="minorHAnsi"/>
        </w:rPr>
        <w:t xml:space="preserve">and HLA were uncertain; we informed these through quotes provided by laboratories affiliated with our team but found them to vary even within this small sample. </w:t>
      </w:r>
      <w:r w:rsidRPr="00BB680E">
        <w:rPr>
          <w:rFonts w:cstheme="minorHAnsi"/>
        </w:rPr>
        <w:t>The CPRD analysis could only estimate prevalence of osteoporosis, NHL and IDA in a diagnosed CD cohort so the initial prevalence in undiagnosed CD was assumed to be the same as that of newly diagnosed CD.</w:t>
      </w:r>
      <w:r w:rsidR="00970321">
        <w:rPr>
          <w:rFonts w:cstheme="minorHAnsi"/>
        </w:rPr>
        <w:t xml:space="preserve"> H</w:t>
      </w:r>
      <w:r w:rsidRPr="00693CFF">
        <w:rPr>
          <w:rFonts w:cstheme="minorHAnsi"/>
        </w:rPr>
        <w:t xml:space="preserve">owever, this prevalence eventually diverges due to different rates of developing osteoporosis and NHL in diagnosed and undiagnosed CD. Evidence on routine diagnosis of </w:t>
      </w:r>
      <w:r w:rsidR="002A34EB">
        <w:rPr>
          <w:rFonts w:cstheme="minorHAnsi"/>
        </w:rPr>
        <w:t>CD</w:t>
      </w:r>
      <w:r w:rsidRPr="00BB680E">
        <w:rPr>
          <w:rFonts w:cstheme="minorHAnsi"/>
        </w:rPr>
        <w:t xml:space="preserve"> was limited and we relied on a survey on the duration of symptoms prior to diagnosis.</w:t>
      </w:r>
      <w:r w:rsidRPr="003A3918">
        <w:rPr>
          <w:rFonts w:cstheme="minorHAnsi"/>
        </w:rPr>
        <w:fldChar w:fldCharType="begin"/>
      </w:r>
      <w:r w:rsidR="00735CC0">
        <w:rPr>
          <w:rFonts w:cstheme="minorHAnsi"/>
        </w:rPr>
        <w:instrText xml:space="preserve"> ADDIN EN.CITE &lt;EndNote&gt;&lt;Cite&gt;&lt;Author&gt;Violato&lt;/Author&gt;&lt;Year&gt;2019&lt;/Year&gt;&lt;RecNum&gt;39&lt;/RecNum&gt;&lt;DisplayText&gt;&lt;style face="superscript"&gt;238&lt;/style&gt;&lt;/DisplayText&gt;&lt;record&gt;&lt;rec-number&gt;39&lt;/rec-number&gt;&lt;foreign-keys&gt;&lt;key app="EN" db-id="w9pwfv0xxa5v9vedxzkp20wvv52efwv0xppv" timestamp="1636614827"&gt;39&lt;/key&gt;&lt;/foreign-keys&gt;&lt;ref-type name="Journal Article"&gt;17&lt;/ref-type&gt;&lt;contributors&gt;&lt;authors&gt;&lt;author&gt;Violato, Mara&lt;/author&gt;&lt;author&gt;Gray, Alastair&lt;/author&gt;&lt;/authors&gt;&lt;/contributors&gt;&lt;titles&gt;&lt;title&gt;The impact of diagnosis on health-related quality of life in people with coeliac disease: a UK population-based longitudinal perspective&lt;/title&gt;&lt;secondary-title&gt;BMC Gastroenterology&lt;/secondary-title&gt;&lt;/titles&gt;&lt;periodical&gt;&lt;full-title&gt;BMC Gastroenterology&lt;/full-title&gt;&lt;/periodical&gt;&lt;pages&gt;68&lt;/pages&gt;&lt;volume&gt;19&lt;/volume&gt;&lt;number&gt;1&lt;/number&gt;&lt;dates&gt;&lt;year&gt;2019&lt;/year&gt;&lt;pub-dates&gt;&lt;date&gt;2019/05/02&lt;/date&gt;&lt;/pub-dates&gt;&lt;/dates&gt;&lt;isbn&gt;1471-230X&lt;/isbn&gt;&lt;urls&gt;&lt;related-urls&gt;&lt;url&gt;https://doi.org/10.1186/s12876-019-0980-6&lt;/url&gt;&lt;/related-urls&gt;&lt;/urls&gt;&lt;electronic-resource-num&gt;10.1186/s12876-019-0980-6&lt;/electronic-resource-num&gt;&lt;/record&gt;&lt;/Cite&gt;&lt;/EndNote&gt;</w:instrText>
      </w:r>
      <w:r w:rsidRPr="003A3918">
        <w:rPr>
          <w:rFonts w:cstheme="minorHAnsi"/>
        </w:rPr>
        <w:fldChar w:fldCharType="separate"/>
      </w:r>
      <w:r w:rsidR="00735CC0" w:rsidRPr="00735CC0">
        <w:rPr>
          <w:rFonts w:cstheme="minorHAnsi"/>
          <w:noProof/>
          <w:vertAlign w:val="superscript"/>
        </w:rPr>
        <w:t>238</w:t>
      </w:r>
      <w:r w:rsidRPr="003A3918">
        <w:rPr>
          <w:rFonts w:cstheme="minorHAnsi"/>
        </w:rPr>
        <w:fldChar w:fldCharType="end"/>
      </w:r>
      <w:r w:rsidRPr="00BB680E">
        <w:rPr>
          <w:rFonts w:cstheme="minorHAnsi"/>
        </w:rPr>
        <w:t xml:space="preserve"> This is problematic as it considers only patients who are eventually diagnosed and is estimating time from symptoms rather than time from developing CD, thus biasing towards lower times to diagnosis. In our model, we also assumed that time to eventual diagnosis is unaffected by an initial false negative from the screening programme; bias could be towards lower times to diagnosis if screening leads to greater awareness of CD or towards longer times if the negative result gives a patient a belief that they can’t have CD.</w:t>
      </w:r>
    </w:p>
    <w:p w14:paraId="4D48DF97" w14:textId="2EA5BEA4" w:rsidR="00BD2042" w:rsidRPr="00D14A37" w:rsidRDefault="00D14A37" w:rsidP="00D14A37">
      <w:pPr>
        <w:pStyle w:val="ListParagraph"/>
        <w:ind w:left="0"/>
        <w:rPr>
          <w:rFonts w:cstheme="minorHAnsi"/>
        </w:rPr>
      </w:pPr>
      <w:r w:rsidRPr="003A3918">
        <w:rPr>
          <w:rFonts w:cstheme="minorHAnsi"/>
        </w:rPr>
        <w:t xml:space="preserve">The benefit of </w:t>
      </w:r>
      <w:r w:rsidR="0082723C">
        <w:rPr>
          <w:rFonts w:cstheme="minorHAnsi"/>
        </w:rPr>
        <w:t>gluten-free diet</w:t>
      </w:r>
      <w:r w:rsidRPr="003A3918">
        <w:rPr>
          <w:rFonts w:cstheme="minorHAnsi"/>
        </w:rPr>
        <w:t xml:space="preserve">, in terms of either quality of life improvements or reduced rates of complications, was uncertain. Unlike the NICE 2015 model, our model does not distinguish between people with diagnosed CD following a </w:t>
      </w:r>
      <w:r w:rsidR="0082723C">
        <w:rPr>
          <w:rFonts w:cstheme="minorHAnsi"/>
        </w:rPr>
        <w:t>gluten-free diet</w:t>
      </w:r>
      <w:r w:rsidR="0082723C" w:rsidRPr="003A3918">
        <w:rPr>
          <w:rFonts w:cstheme="minorHAnsi"/>
        </w:rPr>
        <w:t xml:space="preserve"> </w:t>
      </w:r>
      <w:r w:rsidRPr="003A3918">
        <w:rPr>
          <w:rFonts w:cstheme="minorHAnsi"/>
        </w:rPr>
        <w:t xml:space="preserve">or not. This is because there are many methodological challenges associated with assessing dietary adherence and a lack of reliable data on the health impacts of following a </w:t>
      </w:r>
      <w:r w:rsidR="0082723C">
        <w:rPr>
          <w:rFonts w:cstheme="minorHAnsi"/>
        </w:rPr>
        <w:t>gluten-free diet</w:t>
      </w:r>
      <w:r w:rsidR="0082723C" w:rsidRPr="003A3918">
        <w:rPr>
          <w:rFonts w:cstheme="minorHAnsi"/>
        </w:rPr>
        <w:t xml:space="preserve"> </w:t>
      </w:r>
      <w:r w:rsidRPr="003A3918">
        <w:rPr>
          <w:rFonts w:cstheme="minorHAnsi"/>
        </w:rPr>
        <w:t xml:space="preserve">or not. Reported </w:t>
      </w:r>
      <w:r w:rsidR="0082723C">
        <w:rPr>
          <w:rFonts w:cstheme="minorHAnsi"/>
        </w:rPr>
        <w:t>gluten-free diet</w:t>
      </w:r>
      <w:r w:rsidRPr="003A3918">
        <w:rPr>
          <w:rFonts w:cstheme="minorHAnsi"/>
        </w:rPr>
        <w:t xml:space="preserve"> adherence rates vary substantially depending on how it is measured and the population studied.</w:t>
      </w:r>
      <w:r w:rsidRPr="003A3918">
        <w:rPr>
          <w:rFonts w:cstheme="minorHAnsi"/>
        </w:rPr>
        <w:fldChar w:fldCharType="begin"/>
      </w:r>
      <w:r w:rsidR="00735CC0">
        <w:rPr>
          <w:rFonts w:cstheme="minorHAnsi"/>
        </w:rPr>
        <w:instrText xml:space="preserve"> ADDIN EN.CITE &lt;EndNote&gt;&lt;Cite&gt;&lt;Author&gt;Hall&lt;/Author&gt;&lt;Year&gt;2009&lt;/Year&gt;&lt;RecNum&gt;20&lt;/RecNum&gt;&lt;DisplayText&gt;&lt;style face="superscript"&gt;217&lt;/style&gt;&lt;/DisplayText&gt;&lt;record&gt;&lt;rec-number&gt;20&lt;/rec-number&gt;&lt;foreign-keys&gt;&lt;key app="EN" db-id="w9pwfv0xxa5v9vedxzkp20wvv52efwv0xppv" timestamp="1636614827"&gt;20&lt;/key&gt;&lt;/foreign-keys&gt;&lt;ref-type name="Journal Article"&gt;17&lt;/ref-type&gt;&lt;contributors&gt;&lt;authors&gt;&lt;author&gt;Hall, N. J.&lt;/author&gt;&lt;author&gt;Rubin, G.&lt;/author&gt;&lt;author&gt;Charnock, A.&lt;/author&gt;&lt;/authors&gt;&lt;/contributors&gt;&lt;auth-address&gt;School of Applied Sciences, University of Sunderland, Sunderland, UK.&lt;/auth-address&gt;&lt;titles&gt;&lt;title&gt;Systematic review: adherence to a gluten-free diet in adult patients with coeliac disease&lt;/title&gt;&lt;secondary-title&gt;Aliment Pharmacol Ther&lt;/secondary-title&gt;&lt;/titles&gt;&lt;periodical&gt;&lt;full-title&gt;Aliment Pharmacol Ther&lt;/full-title&gt;&lt;/periodical&gt;&lt;pages&gt;315-30&lt;/pages&gt;&lt;volume&gt;30&lt;/volume&gt;&lt;number&gt;4&lt;/number&gt;&lt;edition&gt;2009/06/03&lt;/edition&gt;&lt;keywords&gt;&lt;keyword&gt;Adult&lt;/keyword&gt;&lt;keyword&gt;Celiac Disease/*diet therapy/psychology&lt;/keyword&gt;&lt;keyword&gt;Food Labeling&lt;/keyword&gt;&lt;keyword&gt;Glutens/*administration &amp;amp; dosage&lt;/keyword&gt;&lt;keyword&gt;Humans&lt;/keyword&gt;&lt;keyword&gt;Patient Compliance&lt;/keyword&gt;&lt;keyword&gt;Young Adult&lt;/keyword&gt;&lt;/keywords&gt;&lt;dates&gt;&lt;year&gt;2009&lt;/year&gt;&lt;pub-dates&gt;&lt;date&gt;Aug 15&lt;/date&gt;&lt;/pub-dates&gt;&lt;/dates&gt;&lt;isbn&gt;0269-2813&lt;/isbn&gt;&lt;accession-num&gt;19485977&lt;/accession-num&gt;&lt;urls&gt;&lt;/urls&gt;&lt;electronic-resource-num&gt;10.1111/j.1365-2036.2009.04053.x&lt;/electronic-resource-num&gt;&lt;remote-database-provider&gt;NLM&lt;/remote-database-provider&gt;&lt;language&gt;eng&lt;/language&gt;&lt;/record&gt;&lt;/Cite&gt;&lt;/EndNote&gt;</w:instrText>
      </w:r>
      <w:r w:rsidRPr="003A3918">
        <w:rPr>
          <w:rFonts w:cstheme="minorHAnsi"/>
        </w:rPr>
        <w:fldChar w:fldCharType="separate"/>
      </w:r>
      <w:r w:rsidR="00735CC0" w:rsidRPr="00735CC0">
        <w:rPr>
          <w:rFonts w:cstheme="minorHAnsi"/>
          <w:noProof/>
          <w:vertAlign w:val="superscript"/>
        </w:rPr>
        <w:t>217</w:t>
      </w:r>
      <w:r w:rsidRPr="003A3918">
        <w:rPr>
          <w:rFonts w:cstheme="minorHAnsi"/>
        </w:rPr>
        <w:fldChar w:fldCharType="end"/>
      </w:r>
      <w:r w:rsidRPr="003A3918">
        <w:rPr>
          <w:rFonts w:cstheme="minorHAnsi"/>
        </w:rPr>
        <w:t xml:space="preserve"> Violato et al reported a coefficient for </w:t>
      </w:r>
      <w:r w:rsidR="003D4C20">
        <w:rPr>
          <w:rFonts w:cstheme="minorHAnsi"/>
        </w:rPr>
        <w:t xml:space="preserve">the impact on quality of life </w:t>
      </w:r>
      <w:r w:rsidR="00296D90">
        <w:rPr>
          <w:rFonts w:cstheme="minorHAnsi"/>
        </w:rPr>
        <w:t xml:space="preserve">of </w:t>
      </w:r>
      <w:r w:rsidRPr="003A3918">
        <w:rPr>
          <w:rFonts w:cstheme="minorHAnsi"/>
        </w:rPr>
        <w:t xml:space="preserve">not adhering to a </w:t>
      </w:r>
      <w:r w:rsidR="00693CFF">
        <w:t xml:space="preserve">gluten-free diet </w:t>
      </w:r>
      <w:r w:rsidRPr="003A3918">
        <w:rPr>
          <w:rFonts w:cstheme="minorHAnsi"/>
        </w:rPr>
        <w:t xml:space="preserve">of -0.14 (-0.31, 0.03) compared to adhering </w:t>
      </w:r>
      <w:r w:rsidRPr="00D14A37">
        <w:rPr>
          <w:rFonts w:cstheme="minorHAnsi"/>
        </w:rPr>
        <w:t>all the time</w:t>
      </w:r>
      <w:r w:rsidRPr="003A3918">
        <w:rPr>
          <w:rFonts w:cstheme="minorHAnsi"/>
        </w:rPr>
        <w:t>.</w:t>
      </w:r>
      <w:r w:rsidRPr="003A3918">
        <w:rPr>
          <w:rFonts w:cstheme="minorHAnsi"/>
        </w:rPr>
        <w:fldChar w:fldCharType="begin"/>
      </w:r>
      <w:r w:rsidR="00735CC0">
        <w:rPr>
          <w:rFonts w:cstheme="minorHAnsi"/>
        </w:rPr>
        <w:instrText xml:space="preserve"> ADDIN EN.CITE &lt;EndNote&gt;&lt;Cite&gt;&lt;Author&gt;Hall&lt;/Author&gt;&lt;Year&gt;2009&lt;/Year&gt;&lt;RecNum&gt;20&lt;/RecNum&gt;&lt;DisplayText&gt;&lt;style face="superscript"&gt;217&lt;/style&gt;&lt;/DisplayText&gt;&lt;record&gt;&lt;rec-number&gt;20&lt;/rec-number&gt;&lt;foreign-keys&gt;&lt;key app="EN" db-id="w9pwfv0xxa5v9vedxzkp20wvv52efwv0xppv" timestamp="1636614827"&gt;20&lt;/key&gt;&lt;/foreign-keys&gt;&lt;ref-type name="Journal Article"&gt;17&lt;/ref-type&gt;&lt;contributors&gt;&lt;authors&gt;&lt;author&gt;Hall, N. J.&lt;/author&gt;&lt;author&gt;Rubin, G.&lt;/author&gt;&lt;author&gt;Charnock, A.&lt;/author&gt;&lt;/authors&gt;&lt;/contributors&gt;&lt;auth-address&gt;School of Applied Sciences, University of Sunderland, Sunderland, UK.&lt;/auth-address&gt;&lt;titles&gt;&lt;title&gt;Systematic review: adherence to a gluten-free diet in adult patients with coeliac disease&lt;/title&gt;&lt;secondary-title&gt;Aliment Pharmacol Ther&lt;/secondary-title&gt;&lt;/titles&gt;&lt;periodical&gt;&lt;full-title&gt;Aliment Pharmacol Ther&lt;/full-title&gt;&lt;/periodical&gt;&lt;pages&gt;315-30&lt;/pages&gt;&lt;volume&gt;30&lt;/volume&gt;&lt;number&gt;4&lt;/number&gt;&lt;edition&gt;2009/06/03&lt;/edition&gt;&lt;keywords&gt;&lt;keyword&gt;Adult&lt;/keyword&gt;&lt;keyword&gt;Celiac Disease/*diet therapy/psychology&lt;/keyword&gt;&lt;keyword&gt;Food Labeling&lt;/keyword&gt;&lt;keyword&gt;Glutens/*administration &amp;amp; dosage&lt;/keyword&gt;&lt;keyword&gt;Humans&lt;/keyword&gt;&lt;keyword&gt;Patient Compliance&lt;/keyword&gt;&lt;keyword&gt;Young Adult&lt;/keyword&gt;&lt;/keywords&gt;&lt;dates&gt;&lt;year&gt;2009&lt;/year&gt;&lt;pub-dates&gt;&lt;date&gt;Aug 15&lt;/date&gt;&lt;/pub-dates&gt;&lt;/dates&gt;&lt;isbn&gt;0269-2813&lt;/isbn&gt;&lt;accession-num&gt;19485977&lt;/accession-num&gt;&lt;urls&gt;&lt;/urls&gt;&lt;electronic-resource-num&gt;10.1111/j.1365-2036.2009.04053.x&lt;/electronic-resource-num&gt;&lt;remote-database-provider&gt;NLM&lt;/remote-database-provider&gt;&lt;language&gt;eng&lt;/language&gt;&lt;/record&gt;&lt;/Cite&gt;&lt;/EndNote&gt;</w:instrText>
      </w:r>
      <w:r w:rsidRPr="003A3918">
        <w:rPr>
          <w:rFonts w:cstheme="minorHAnsi"/>
        </w:rPr>
        <w:fldChar w:fldCharType="separate"/>
      </w:r>
      <w:r w:rsidR="00735CC0" w:rsidRPr="00735CC0">
        <w:rPr>
          <w:rFonts w:cstheme="minorHAnsi"/>
          <w:noProof/>
          <w:vertAlign w:val="superscript"/>
        </w:rPr>
        <w:t>217</w:t>
      </w:r>
      <w:r w:rsidRPr="003A3918">
        <w:rPr>
          <w:rFonts w:cstheme="minorHAnsi"/>
        </w:rPr>
        <w:fldChar w:fldCharType="end"/>
      </w:r>
      <w:r w:rsidRPr="003A3918">
        <w:rPr>
          <w:rFonts w:cstheme="minorHAnsi"/>
        </w:rPr>
        <w:t xml:space="preserve"> However, we could not use this without a reliable estimate for adherence. </w:t>
      </w:r>
    </w:p>
    <w:p w14:paraId="21EB8090" w14:textId="434BF890" w:rsidR="00D14A37" w:rsidRPr="003A3918" w:rsidRDefault="00D14A37" w:rsidP="00D14A37">
      <w:pPr>
        <w:rPr>
          <w:rFonts w:cstheme="minorHAnsi"/>
        </w:rPr>
      </w:pPr>
      <w:r w:rsidRPr="003A3918">
        <w:rPr>
          <w:rFonts w:cstheme="minorHAnsi"/>
        </w:rPr>
        <w:t xml:space="preserve">Based </w:t>
      </w:r>
      <w:r w:rsidRPr="00BB680E">
        <w:rPr>
          <w:rFonts w:cstheme="minorHAnsi"/>
        </w:rPr>
        <w:t>on our survey of patients (Chapter 7)</w:t>
      </w:r>
      <w:r w:rsidRPr="003A3918">
        <w:rPr>
          <w:rFonts w:cstheme="minorHAnsi"/>
        </w:rPr>
        <w:t>, we assumed confirmatory biopsy would be needed in patients with post-test probabilities below 90%. This would lead to roughly 70% of patients having confirmatory biopsy, in accordance with recent research indicating high diagnostic accuracy of tests alone.</w:t>
      </w:r>
      <w:r w:rsidRPr="003A3918">
        <w:rPr>
          <w:rFonts w:cstheme="minorHAnsi"/>
        </w:rPr>
        <w:fldChar w:fldCharType="begin">
          <w:fldData xml:space="preserve">PEVuZE5vdGU+PENpdGU+PEF1dGhvcj5GdWNoczwvQXV0aG9yPjxZZWFyPjIwMTk8L1llYXI+PFJl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</w:fldData>
        </w:fldChar>
      </w:r>
      <w:r w:rsidR="00735CC0">
        <w:rPr>
          <w:rFonts w:cstheme="minorHAnsi"/>
        </w:rPr>
        <w:instrText xml:space="preserve"> ADDIN EN.CITE </w:instrText>
      </w:r>
      <w:r w:rsidR="00735CC0">
        <w:rPr>
          <w:rFonts w:cstheme="minorHAnsi"/>
        </w:rPr>
        <w:fldChar w:fldCharType="begin">
          <w:fldData xml:space="preserve">PEVuZE5vdGU+PENpdGU+PEF1dGhvcj5GdWNoczwvQXV0aG9yPjxZZWFyPjIwMTk8L1llYXI+PFJl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</w:fldData>
        </w:fldChar>
      </w:r>
      <w:r w:rsidR="00735CC0">
        <w:rPr>
          <w:rFonts w:cstheme="minorHAnsi"/>
        </w:rPr>
        <w:instrText xml:space="preserve"> ADDIN EN.CITE.DATA </w:instrText>
      </w:r>
      <w:r w:rsidR="00735CC0">
        <w:rPr>
          <w:rFonts w:cstheme="minorHAnsi"/>
        </w:rPr>
      </w:r>
      <w:r w:rsidR="00735CC0">
        <w:rPr>
          <w:rFonts w:cstheme="minorHAnsi"/>
        </w:rPr>
        <w:fldChar w:fldCharType="end"/>
      </w:r>
      <w:r w:rsidRPr="003A3918">
        <w:rPr>
          <w:rFonts w:cstheme="minorHAnsi"/>
        </w:rPr>
      </w:r>
      <w:r w:rsidRPr="003A3918">
        <w:rPr>
          <w:rFonts w:cstheme="minorHAnsi"/>
        </w:rPr>
        <w:fldChar w:fldCharType="separate"/>
      </w:r>
      <w:r w:rsidR="00735CC0" w:rsidRPr="00735CC0">
        <w:rPr>
          <w:rFonts w:cstheme="minorHAnsi"/>
          <w:noProof/>
          <w:vertAlign w:val="superscript"/>
        </w:rPr>
        <w:t>223-226</w:t>
      </w:r>
      <w:r w:rsidRPr="003A3918">
        <w:rPr>
          <w:rFonts w:cstheme="minorHAnsi"/>
        </w:rPr>
        <w:fldChar w:fldCharType="end"/>
      </w:r>
      <w:r w:rsidRPr="003A3918">
        <w:rPr>
          <w:rFonts w:cstheme="minorHAnsi"/>
        </w:rPr>
        <w:t xml:space="preserve"> In all cases of data uncertainty, we varied parameters and propagated uncertainty to the probabilistic results, and this is perhaps the explanation for lower probabilities that our optimal strategies were most cost-effective. A further limitation with our analysis is that we did not consider the capital cost of laboratories across the UK having to establish capacity for IgA EMA or HLA testing. This was considered in the NICE model and they found results to be insensitive to inclusion of capital costs</w:t>
      </w:r>
      <w:r w:rsidR="00A54281">
        <w:rPr>
          <w:rFonts w:cstheme="minorHAnsi"/>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&lt;EndNote&gt;&lt;Cite&gt;&lt;Author&gt;NICE&lt;/Author&gt;&lt;Year&gt;2015&lt;/Year&gt;&lt;RecNum&gt;1&lt;/RecNum&gt;&lt;DisplayText&gt;&lt;style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Also, when not including HLA our analyses did not favour IgA EMA or IgA </w:t>
      </w:r>
      <w:r w:rsidR="0082723C">
        <w:rPr>
          <w:rFonts w:eastAsia="Times New Roman" w:cstheme="minorHAnsi"/>
          <w:color w:val="000000"/>
          <w:lang w:eastAsia="en-GB"/>
        </w:rPr>
        <w:t>t</w:t>
      </w:r>
      <w:r w:rsidRPr="003A3918">
        <w:rPr>
          <w:rFonts w:eastAsia="Times New Roman" w:cstheme="minorHAnsi"/>
          <w:color w:val="000000"/>
          <w:lang w:eastAsia="en-GB"/>
        </w:rPr>
        <w:t xml:space="preserve">TG, or a combination thereof. With HLA we found that IgA EMA plus HLA performed similarly to IgA </w:t>
      </w:r>
      <w:r w:rsidR="0082723C">
        <w:rPr>
          <w:rFonts w:eastAsia="Times New Roman" w:cstheme="minorHAnsi"/>
          <w:color w:val="000000"/>
          <w:lang w:eastAsia="en-GB"/>
        </w:rPr>
        <w:t>t</w:t>
      </w:r>
      <w:r w:rsidRPr="003A3918">
        <w:rPr>
          <w:rFonts w:eastAsia="Times New Roman" w:cstheme="minorHAnsi"/>
          <w:color w:val="000000"/>
          <w:lang w:eastAsia="en-GB"/>
        </w:rPr>
        <w:t>TG plus EMA plus HLA, meaning that it would only be necessary to ensure capacity for IgA EMA and HLA.</w:t>
      </w:r>
    </w:p>
    <w:p w14:paraId="79BB8115" w14:textId="17B82B54" w:rsidR="00187596" w:rsidRPr="00187596" w:rsidRDefault="00187596" w:rsidP="00693CFF">
      <w:pPr>
        <w:rPr>
          <w:rFonts w:cstheme="minorHAnsi"/>
        </w:rPr>
      </w:pPr>
      <w:r w:rsidRPr="00693CFF">
        <w:rPr>
          <w:rFonts w:cstheme="minorHAnsi"/>
        </w:rPr>
        <w:lastRenderedPageBreak/>
        <w:t>A further limitation of our economic</w:t>
      </w:r>
      <w:r w:rsidR="004C6568">
        <w:rPr>
          <w:rFonts w:cstheme="minorHAnsi"/>
        </w:rPr>
        <w:t xml:space="preserve"> </w:t>
      </w:r>
      <w:r w:rsidRPr="00693CFF">
        <w:rPr>
          <w:rFonts w:cstheme="minorHAnsi"/>
        </w:rPr>
        <w:t>analysis is that the model used the EQ-</w:t>
      </w:r>
      <w:r w:rsidR="004C6568">
        <w:rPr>
          <w:rFonts w:cstheme="minorHAnsi"/>
        </w:rPr>
        <w:t xml:space="preserve">5D </w:t>
      </w:r>
      <w:r w:rsidRPr="00187596">
        <w:rPr>
          <w:rFonts w:cstheme="minorHAnsi"/>
        </w:rPr>
        <w:t xml:space="preserve">measure of quality of life to capture the effect of following the </w:t>
      </w:r>
      <w:r w:rsidR="002A0936">
        <w:rPr>
          <w:rFonts w:cstheme="minorHAnsi"/>
        </w:rPr>
        <w:t>gluten-free diet</w:t>
      </w:r>
      <w:r w:rsidRPr="00187596">
        <w:rPr>
          <w:rFonts w:cstheme="minorHAnsi"/>
        </w:rPr>
        <w:t xml:space="preserve"> on QoL which shows no effect, so the model assumes that following the diet causes no disutility. However, the EQ</w:t>
      </w:r>
      <w:r w:rsidR="0082782E">
        <w:rPr>
          <w:rFonts w:cstheme="minorHAnsi"/>
        </w:rPr>
        <w:t>-</w:t>
      </w:r>
      <w:r w:rsidRPr="00187596">
        <w:rPr>
          <w:rFonts w:cstheme="minorHAnsi"/>
        </w:rPr>
        <w:t xml:space="preserve">5D is a very crude measure and does not capture the difficulty of following a strict lifelong diet and its social implications. The CD-QoL questionnaire (part of the survey in </w:t>
      </w:r>
      <w:r w:rsidR="0082782E">
        <w:rPr>
          <w:rFonts w:cstheme="minorHAnsi"/>
        </w:rPr>
        <w:t>C</w:t>
      </w:r>
      <w:r w:rsidRPr="00187596">
        <w:rPr>
          <w:rFonts w:cstheme="minorHAnsi"/>
        </w:rPr>
        <w:t>hapter 7) showed that QoL in CD patients was mainly affected by CD related limitations and health concerns.</w:t>
      </w:r>
      <w:r w:rsidR="007A0F18">
        <w:rPr>
          <w:rFonts w:cstheme="minorHAnsi"/>
        </w:rPr>
        <w:t xml:space="preserve"> However, it is not currently possible to translate results from the CD-QoL to Qualys making it impossible to use </w:t>
      </w:r>
      <w:r w:rsidR="0044173B">
        <w:rPr>
          <w:rFonts w:cstheme="minorHAnsi"/>
        </w:rPr>
        <w:t>this tool to quantify QoL in the model.</w:t>
      </w:r>
    </w:p>
    <w:p w14:paraId="5289DC7D" w14:textId="599E120D" w:rsidR="004B53C0" w:rsidRPr="00187596" w:rsidRDefault="00BD2042" w:rsidP="00DB4CF1">
      <w:pPr>
        <w:rPr>
          <w:rFonts w:cstheme="minorHAnsi"/>
        </w:rPr>
      </w:pPr>
      <w:r>
        <w:rPr>
          <w:rFonts w:cstheme="minorHAnsi"/>
        </w:rPr>
        <w:t xml:space="preserve">Finally, </w:t>
      </w:r>
      <w:r w:rsidR="006B4E69">
        <w:rPr>
          <w:rFonts w:cstheme="minorHAnsi"/>
        </w:rPr>
        <w:t>a</w:t>
      </w:r>
      <w:r w:rsidR="006B4E69" w:rsidRPr="006B4E69">
        <w:rPr>
          <w:rFonts w:cstheme="minorHAnsi"/>
        </w:rPr>
        <w:t xml:space="preserve"> limitation of the serological test accuracy review (Chapter 5) and the economic models (Chapter 8) is that we assumed a 100% accuracy of </w:t>
      </w:r>
      <w:r w:rsidR="00AB456B">
        <w:rPr>
          <w:rFonts w:cstheme="minorHAnsi"/>
        </w:rPr>
        <w:t xml:space="preserve">the </w:t>
      </w:r>
      <w:r w:rsidR="006B4E69" w:rsidRPr="006B4E69">
        <w:rPr>
          <w:rFonts w:cstheme="minorHAnsi"/>
        </w:rPr>
        <w:t>biopsy</w:t>
      </w:r>
      <w:r w:rsidR="00AB456B">
        <w:rPr>
          <w:rFonts w:cstheme="minorHAnsi"/>
        </w:rPr>
        <w:t xml:space="preserve"> procedure</w:t>
      </w:r>
      <w:r w:rsidR="00717991">
        <w:rPr>
          <w:rFonts w:cstheme="minorHAnsi"/>
        </w:rPr>
        <w:t xml:space="preserve"> </w:t>
      </w:r>
      <w:r w:rsidR="004D213D">
        <w:rPr>
          <w:rFonts w:cstheme="minorHAnsi"/>
        </w:rPr>
        <w:t>by treating it as a gold standard</w:t>
      </w:r>
      <w:r w:rsidR="006B4E69" w:rsidRPr="006B4E69">
        <w:rPr>
          <w:rFonts w:cstheme="minorHAnsi"/>
        </w:rPr>
        <w:t>.</w:t>
      </w:r>
      <w:r w:rsidR="004D213D">
        <w:rPr>
          <w:rFonts w:cstheme="minorHAnsi"/>
        </w:rPr>
        <w:t xml:space="preserve"> </w:t>
      </w:r>
      <w:r w:rsidR="0006429C" w:rsidRPr="006B4E69">
        <w:rPr>
          <w:rFonts w:cstheme="minorHAnsi"/>
        </w:rPr>
        <w:t xml:space="preserve">No diagnostic procedure is a 100% accurate and </w:t>
      </w:r>
      <w:r w:rsidR="004D213D">
        <w:rPr>
          <w:rFonts w:cstheme="minorHAnsi"/>
        </w:rPr>
        <w:t xml:space="preserve">in clinical practice </w:t>
      </w:r>
      <w:r w:rsidR="00A62DE2">
        <w:rPr>
          <w:rFonts w:cstheme="minorHAnsi"/>
        </w:rPr>
        <w:t>the</w:t>
      </w:r>
      <w:r w:rsidR="004D213D" w:rsidRPr="004D213D">
        <w:rPr>
          <w:rFonts w:cstheme="minorHAnsi"/>
        </w:rPr>
        <w:t xml:space="preserve"> diagnosis of CD relies on a combination of clinical,</w:t>
      </w:r>
      <w:r w:rsidR="00A62DE2">
        <w:rPr>
          <w:rFonts w:cstheme="minorHAnsi"/>
        </w:rPr>
        <w:t xml:space="preserve"> </w:t>
      </w:r>
      <w:r w:rsidR="004D213D" w:rsidRPr="004D213D">
        <w:rPr>
          <w:rFonts w:cstheme="minorHAnsi"/>
        </w:rPr>
        <w:t>serological</w:t>
      </w:r>
      <w:r w:rsidR="00E1498D">
        <w:rPr>
          <w:rFonts w:cstheme="minorHAnsi"/>
        </w:rPr>
        <w:t>,</w:t>
      </w:r>
      <w:r w:rsidR="004D213D" w:rsidRPr="004D213D">
        <w:rPr>
          <w:rFonts w:cstheme="minorHAnsi"/>
        </w:rPr>
        <w:t xml:space="preserve"> and histopathological findings. </w:t>
      </w:r>
      <w:r w:rsidR="00B417EB" w:rsidRPr="00F11AF3">
        <w:rPr>
          <w:rFonts w:cstheme="minorHAnsi"/>
        </w:rPr>
        <w:t>There are many potential histopathological mimics</w:t>
      </w:r>
      <w:r w:rsidR="00B417EB">
        <w:rPr>
          <w:rFonts w:cstheme="minorHAnsi"/>
        </w:rPr>
        <w:t xml:space="preserve"> that can cause false positive biopsy results if CD serology is not taken into account, such as infections, other bowel diseases like peptic ulcer </w:t>
      </w:r>
      <w:r w:rsidR="00E1498D">
        <w:rPr>
          <w:rFonts w:cstheme="minorHAnsi"/>
        </w:rPr>
        <w:t xml:space="preserve">disease </w:t>
      </w:r>
      <w:r w:rsidR="00B417EB">
        <w:rPr>
          <w:rFonts w:cstheme="minorHAnsi"/>
        </w:rPr>
        <w:t>or IBS, and certain medications</w:t>
      </w:r>
      <w:r w:rsidR="00B417EB" w:rsidRPr="00F11AF3">
        <w:rPr>
          <w:rFonts w:cstheme="minorHAnsi"/>
        </w:rPr>
        <w:t>.</w:t>
      </w:r>
      <w:r w:rsidR="004F191E">
        <w:rPr>
          <w:rFonts w:cstheme="minorHAnsi"/>
        </w:rPr>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4F191E">
        <w:rPr>
          <w:rFonts w:cstheme="minorHAnsi"/>
        </w:rPr>
        <w:instrText xml:space="preserve"> ADDIN EN.CITE </w:instrText>
      </w:r>
      <w:r w:rsidR="004F191E">
        <w:rPr>
          <w:rFonts w:cstheme="minorHAnsi"/>
        </w:rPr>
        <w:fldChar w:fldCharType="begin">
          <w:fldData xml:space="preserve">PEVuZE5vdGU+PENpdGU+PEF1dGhvcj5BbC1Ub21hPC9BdXRob3I+PFllYXI+MjAxOTwvWWVhcj48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</w:fldData>
        </w:fldChar>
      </w:r>
      <w:r w:rsidR="004F191E">
        <w:rPr>
          <w:rFonts w:cstheme="minorHAnsi"/>
        </w:rPr>
        <w:instrText xml:space="preserve"> ADDIN EN.CITE.DATA </w:instrText>
      </w:r>
      <w:r w:rsidR="004F191E">
        <w:rPr>
          <w:rFonts w:cstheme="minorHAnsi"/>
        </w:rPr>
      </w:r>
      <w:r w:rsidR="004F191E">
        <w:rPr>
          <w:rFonts w:cstheme="minorHAnsi"/>
        </w:rPr>
        <w:fldChar w:fldCharType="end"/>
      </w:r>
      <w:r w:rsidR="004F191E">
        <w:rPr>
          <w:rFonts w:cstheme="minorHAnsi"/>
        </w:rPr>
      </w:r>
      <w:r w:rsidR="004F191E">
        <w:rPr>
          <w:rFonts w:cstheme="minorHAnsi"/>
        </w:rPr>
        <w:fldChar w:fldCharType="separate"/>
      </w:r>
      <w:r w:rsidR="004F191E" w:rsidRPr="004F191E">
        <w:rPr>
          <w:rFonts w:cstheme="minorHAnsi"/>
          <w:noProof/>
          <w:vertAlign w:val="superscript"/>
        </w:rPr>
        <w:t>12</w:t>
      </w:r>
      <w:r w:rsidR="004F191E">
        <w:rPr>
          <w:rFonts w:cstheme="minorHAnsi"/>
        </w:rPr>
        <w:fldChar w:fldCharType="end"/>
      </w:r>
      <w:r w:rsidR="00B417EB" w:rsidRPr="00F11AF3">
        <w:rPr>
          <w:rFonts w:cstheme="minorHAnsi"/>
        </w:rPr>
        <w:t xml:space="preserve"> </w:t>
      </w:r>
      <w:r w:rsidR="00EF3A13">
        <w:t>The correct orientation and cutting procedure are essential</w:t>
      </w:r>
      <w:r w:rsidR="004B53C0">
        <w:t xml:space="preserve"> for</w:t>
      </w:r>
      <w:r w:rsidR="0055029F" w:rsidRPr="0055029F">
        <w:t xml:space="preserve"> </w:t>
      </w:r>
      <w:r w:rsidR="004B53C0">
        <w:rPr>
          <w:rFonts w:cstheme="minorHAnsi"/>
        </w:rPr>
        <w:t xml:space="preserve">appropriate interpretation </w:t>
      </w:r>
      <w:r w:rsidR="004B53C0" w:rsidRPr="004D213D">
        <w:rPr>
          <w:rFonts w:cstheme="minorHAnsi"/>
        </w:rPr>
        <w:t xml:space="preserve">histopathological </w:t>
      </w:r>
      <w:r w:rsidR="0006429C" w:rsidRPr="004D213D">
        <w:rPr>
          <w:rFonts w:cstheme="minorHAnsi"/>
        </w:rPr>
        <w:t>findings</w:t>
      </w:r>
      <w:r w:rsidR="00EF3A13">
        <w:t>.</w:t>
      </w:r>
      <w:r w:rsidR="004F191E">
        <w:fldChar w:fldCharType="begin">
          <w:fldData xml:space="preserve">PEVuZE5vdGU+PENpdGU+PEF1dGhvcj5IdXNieTwvQXV0aG9yPjxZZWFyPjIwMjA8L1llYXI+PFJl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</w:fldData>
        </w:fldChar>
      </w:r>
      <w:r w:rsidR="00360A4F">
        <w:instrText xml:space="preserve"> ADDIN EN.CITE </w:instrText>
      </w:r>
      <w:r w:rsidR="00360A4F">
        <w:fldChar w:fldCharType="begin">
          <w:fldData xml:space="preserve">PEVuZE5vdGU+PENpdGU+PEF1dGhvcj5IdXNieTwvQXV0aG9yPjxZZWFyPjIwMjA8L1llYXI+PFJl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</w:fldData>
        </w:fldChar>
      </w:r>
      <w:r w:rsidR="00360A4F">
        <w:instrText xml:space="preserve"> ADDIN EN.CITE.DATA </w:instrText>
      </w:r>
      <w:r w:rsidR="00360A4F">
        <w:fldChar w:fldCharType="end"/>
      </w:r>
      <w:r w:rsidR="004F191E">
        <w:fldChar w:fldCharType="separate"/>
      </w:r>
      <w:r w:rsidR="00360A4F" w:rsidRPr="00360A4F">
        <w:rPr>
          <w:noProof/>
          <w:vertAlign w:val="superscript"/>
        </w:rPr>
        <w:t>10, 12</w:t>
      </w:r>
      <w:r w:rsidR="004F191E">
        <w:fldChar w:fldCharType="end"/>
      </w:r>
      <w:r w:rsidR="0096338F">
        <w:rPr>
          <w:rFonts w:cstheme="minorHAnsi"/>
        </w:rPr>
        <w:t xml:space="preserve"> Detecting </w:t>
      </w:r>
      <w:r w:rsidR="0096338F">
        <w:t>mucosal architectural changes</w:t>
      </w:r>
      <w:r w:rsidR="0096338F">
        <w:rPr>
          <w:rFonts w:cstheme="minorHAnsi"/>
        </w:rPr>
        <w:t xml:space="preserve"> is further complicated by the fact that CD</w:t>
      </w:r>
      <w:r w:rsidR="00141168" w:rsidRPr="00F11AF3">
        <w:rPr>
          <w:rFonts w:cstheme="minorHAnsi"/>
        </w:rPr>
        <w:t xml:space="preserve"> </w:t>
      </w:r>
      <w:r w:rsidR="00600702" w:rsidRPr="00F11AF3">
        <w:rPr>
          <w:rFonts w:cstheme="minorHAnsi"/>
        </w:rPr>
        <w:t xml:space="preserve">does not necessarily affect all parts of the </w:t>
      </w:r>
      <w:r w:rsidR="009B15AD">
        <w:rPr>
          <w:rFonts w:cstheme="minorHAnsi"/>
        </w:rPr>
        <w:t>small bowel</w:t>
      </w:r>
      <w:r w:rsidR="00600702" w:rsidRPr="00F11AF3">
        <w:rPr>
          <w:rFonts w:cstheme="minorHAnsi"/>
        </w:rPr>
        <w:t xml:space="preserve"> and </w:t>
      </w:r>
      <w:r w:rsidR="008E29E3" w:rsidRPr="00F11AF3">
        <w:rPr>
          <w:rFonts w:cstheme="minorHAnsi"/>
        </w:rPr>
        <w:t xml:space="preserve">the severity </w:t>
      </w:r>
      <w:r w:rsidR="003728FC">
        <w:rPr>
          <w:rFonts w:cstheme="minorHAnsi"/>
        </w:rPr>
        <w:t xml:space="preserve">of coeliac lesions </w:t>
      </w:r>
      <w:r w:rsidR="008E29E3" w:rsidRPr="00F11AF3">
        <w:rPr>
          <w:rFonts w:cstheme="minorHAnsi"/>
        </w:rPr>
        <w:t>can vary between areas</w:t>
      </w:r>
      <w:r w:rsidR="00360F77">
        <w:rPr>
          <w:rFonts w:cstheme="minorHAnsi"/>
        </w:rPr>
        <w:t>.</w:t>
      </w:r>
      <w:r w:rsidR="004F191E">
        <w:rPr>
          <w:rFonts w:cstheme="minorHAnsi"/>
        </w:rPr>
        <w:fldChar w:fldCharType="begin"/>
      </w:r>
      <w:r w:rsidR="00031047">
        <w:rPr>
          <w:rFonts w:cstheme="minorHAnsi"/>
        </w:rPr>
        <w:instrText xml:space="preserve"> ADDIN EN.CITE &lt;EndNote&gt;&lt;Cite&gt;&lt;Author&gt;Ravelli&lt;/Author&gt;&lt;Year&gt;2010&lt;/Year&gt;&lt;RecNum&gt;612&lt;/RecNum&gt;&lt;DisplayText&gt;&lt;style face="superscript"&gt;272&lt;/style&gt;&lt;/DisplayText&gt;&lt;record&gt;&lt;rec-number&gt;612&lt;/rec-number&gt;&lt;foreign-keys&gt;&lt;key app="EN" db-id="tdwrx9xd1z9eepeevr355w2k959rv0f5zaax" timestamp="1645018991"&gt;612&lt;/key&gt;&lt;/foreign-keys&gt;&lt;ref-type name="Journal Article"&gt;17&lt;/ref-type&gt;&lt;contributors&gt;&lt;authors&gt;&lt;author&gt;Ravelli, A.&lt;/author&gt;&lt;author&gt;Villanacci, V.&lt;/author&gt;&lt;author&gt;Monfredini, C.&lt;/author&gt;&lt;author&gt;Martinazzi, S.&lt;/author&gt;&lt;author&gt;Grassi, V.&lt;/author&gt;&lt;author&gt;Manenti, S.&lt;/author&gt;&lt;/authors&gt;&lt;/contributors&gt;&lt;auth-address&gt;Gastrointestinal Pathophysiology and Endoscopy, University Department of Pediatrics, Children&amp;apos;s Hospital, Spedali Civili, Brescia, Italy. alberto_ravelli@yahoo.com&lt;/auth-address&gt;&lt;titles&gt;&lt;title&gt;How patchy is patchy villous atrophy?: distribution pattern of histological lesions in the duodenum of children with celiac disease&lt;/title&gt;&lt;secondary-title&gt;Am J Gastroenterol&lt;/secondary-title&gt;&lt;/titles&gt;&lt;periodical&gt;&lt;full-title&gt;Am J Gastroenterol&lt;/full-title&gt;&lt;/periodical&gt;&lt;pages&gt;2103-10&lt;/pages&gt;&lt;volume&gt;105&lt;/volume&gt;&lt;number&gt;9&lt;/number&gt;&lt;edition&gt;20100406&lt;/edition&gt;&lt;keywords&gt;&lt;keyword&gt;Adolescent&lt;/keyword&gt;&lt;keyword&gt;Atrophy/pathology&lt;/keyword&gt;&lt;keyword&gt;Celiac Disease/*pathology&lt;/keyword&gt;&lt;keyword&gt;Chi-Square Distribution&lt;/keyword&gt;&lt;keyword&gt;Child&lt;/keyword&gt;&lt;keyword&gt;Child, Preschool&lt;/keyword&gt;&lt;keyword&gt;Duodenum/*pathology&lt;/keyword&gt;&lt;keyword&gt;Female&lt;/keyword&gt;&lt;keyword&gt;Humans&lt;/keyword&gt;&lt;keyword&gt;Infant&lt;/keyword&gt;&lt;keyword&gt;Intestinal Mucosa/*pathology&lt;/keyword&gt;&lt;keyword&gt;Male&lt;/keyword&gt;&lt;keyword&gt;Prospective Studies&lt;/keyword&gt;&lt;keyword&gt;Severity of Illness Index&lt;/keyword&gt;&lt;/keywords&gt;&lt;dates&gt;&lt;year&gt;2010&lt;/year&gt;&lt;pub-dates&gt;&lt;date&gt;Sep&lt;/date&gt;&lt;/pub-dates&gt;&lt;/dates&gt;&lt;isbn&gt;1572-0241 (Electronic)&amp;#xD;0002-9270 (Linking)&lt;/isbn&gt;&lt;accession-num&gt;20372112&lt;/accession-num&gt;&lt;urls&gt;&lt;related-urls&gt;&lt;url&gt;https://www.ncbi.nlm.nih.gov/pubmed/20372112&lt;/url&gt;&lt;/related-urls&gt;&lt;/urls&gt;&lt;electronic-resource-num&gt;10.1038/ajg.2010.153&lt;/electronic-resource-num&gt;&lt;/record&gt;&lt;/Cite&gt;&lt;/EndNote&gt;</w:instrText>
      </w:r>
      <w:r w:rsidR="004F191E">
        <w:rPr>
          <w:rFonts w:cstheme="minorHAnsi"/>
        </w:rPr>
        <w:fldChar w:fldCharType="separate"/>
      </w:r>
      <w:r w:rsidR="00031047" w:rsidRPr="00031047">
        <w:rPr>
          <w:rFonts w:cstheme="minorHAnsi"/>
          <w:noProof/>
          <w:vertAlign w:val="superscript"/>
        </w:rPr>
        <w:t>272</w:t>
      </w:r>
      <w:r w:rsidR="004F191E">
        <w:rPr>
          <w:rFonts w:cstheme="minorHAnsi"/>
        </w:rPr>
        <w:fldChar w:fldCharType="end"/>
      </w:r>
      <w:r w:rsidR="001B15DF" w:rsidRPr="00F11AF3">
        <w:rPr>
          <w:rFonts w:cstheme="minorHAnsi"/>
        </w:rPr>
        <w:t xml:space="preserve"> Thus, </w:t>
      </w:r>
      <w:r w:rsidR="002D4ACF" w:rsidRPr="00F11AF3">
        <w:rPr>
          <w:rFonts w:cstheme="minorHAnsi"/>
        </w:rPr>
        <w:t xml:space="preserve">pathological findings in CD can be patchy and multiple biopsies </w:t>
      </w:r>
      <w:r w:rsidR="0005257A">
        <w:rPr>
          <w:rFonts w:cstheme="minorHAnsi"/>
        </w:rPr>
        <w:t>are needed</w:t>
      </w:r>
      <w:r w:rsidR="00EF66D8" w:rsidRPr="00F11AF3">
        <w:rPr>
          <w:rFonts w:cstheme="minorHAnsi"/>
        </w:rPr>
        <w:t xml:space="preserve"> to diagnose CD.</w:t>
      </w:r>
      <w:r w:rsidR="004F191E">
        <w:rPr>
          <w:rFonts w:cstheme="minorHAnsi"/>
        </w:rPr>
        <w:fldChar w:fldCharType="begin"/>
      </w:r>
      <w:r w:rsidR="00031047">
        <w:rPr>
          <w:rFonts w:cstheme="minorHAnsi"/>
        </w:rPr>
        <w:instrText xml:space="preserve"> ADDIN EN.CITE &lt;EndNote&gt;&lt;Cite&gt;&lt;Author&gt;Lebwohl&lt;/Author&gt;&lt;Year&gt;2011&lt;/Year&gt;&lt;RecNum&gt;613&lt;/RecNum&gt;&lt;DisplayText&gt;&lt;style face="superscript"&gt;273&lt;/style&gt;&lt;/DisplayText&gt;&lt;record&gt;&lt;rec-number&gt;613&lt;/rec-number&gt;&lt;foreign-keys&gt;&lt;key app="EN" db-id="tdwrx9xd1z9eepeevr355w2k959rv0f5zaax" timestamp="1645019014"&gt;613&lt;/key&gt;&lt;/foreign-keys&gt;&lt;ref-type name="Journal Article"&gt;17&lt;/ref-type&gt;&lt;contributors&gt;&lt;authors&gt;&lt;author&gt;Lebwohl, B.&lt;/author&gt;&lt;author&gt;Kapel, R. C.&lt;/author&gt;&lt;author&gt;Neugut, A. I.&lt;/author&gt;&lt;author&gt;Green, P. H.&lt;/author&gt;&lt;author&gt;Genta, R. M.&lt;/author&gt;&lt;/authors&gt;&lt;/contributors&gt;&lt;auth-address&gt;Department of Medicine, Columbia University Medical Center, New York, NY, USA. BL114@columbia.edu&lt;/auth-address&gt;&lt;titles&gt;&lt;title&gt;Adherence to biopsy guidelines increases celiac disease diagnosis&lt;/title&gt;&lt;secondary-title&gt;Gastrointest Endosc&lt;/secondary-title&gt;&lt;/titles&gt;&lt;periodical&gt;&lt;full-title&gt;Gastrointest Endosc&lt;/full-title&gt;&lt;/periodical&gt;&lt;pages&gt;103-9&lt;/pages&gt;&lt;volume&gt;74&lt;/volume&gt;&lt;number&gt;1&lt;/number&gt;&lt;edition&gt;20110520&lt;/edition&gt;&lt;keywords&gt;&lt;keyword&gt;Adult&lt;/keyword&gt;&lt;keyword&gt;Aged&lt;/keyword&gt;&lt;keyword&gt;Biopsy&lt;/keyword&gt;&lt;keyword&gt;Celiac Disease/*pathology&lt;/keyword&gt;&lt;keyword&gt;Cohort Studies&lt;/keyword&gt;&lt;keyword&gt;Duodenum/*pathology&lt;/keyword&gt;&lt;keyword&gt;Female&lt;/keyword&gt;&lt;keyword&gt;*Guideline Adherence&lt;/keyword&gt;&lt;keyword&gt;Humans&lt;/keyword&gt;&lt;keyword&gt;Logistic Models&lt;/keyword&gt;&lt;keyword&gt;Male&lt;/keyword&gt;&lt;keyword&gt;Middle Aged&lt;/keyword&gt;&lt;keyword&gt;Retrospective Studies&lt;/keyword&gt;&lt;keyword&gt;United States&lt;/keyword&gt;&lt;/keywords&gt;&lt;dates&gt;&lt;year&gt;2011&lt;/year&gt;&lt;pub-dates&gt;&lt;date&gt;Jul&lt;/date&gt;&lt;/pub-dates&gt;&lt;/dates&gt;&lt;isbn&gt;1097-6779 (Electronic)&amp;#xD;0016-5107 (Linking)&lt;/isbn&gt;&lt;accession-num&gt;21601201&lt;/accession-num&gt;&lt;urls&gt;&lt;related-urls&gt;&lt;url&gt;https://www.ncbi.nlm.nih.gov/pubmed/21601201&lt;/url&gt;&lt;/related-urls&gt;&lt;/urls&gt;&lt;custom2&gt;PMC3651876&lt;/custom2&gt;&lt;electronic-resource-num&gt;10.1016/j.gie.2011.03.1236&lt;/electronic-resource-num&gt;&lt;/record&gt;&lt;/Cite&gt;&lt;/EndNote&gt;</w:instrText>
      </w:r>
      <w:r w:rsidR="004F191E">
        <w:rPr>
          <w:rFonts w:cstheme="minorHAnsi"/>
        </w:rPr>
        <w:fldChar w:fldCharType="separate"/>
      </w:r>
      <w:r w:rsidR="00031047" w:rsidRPr="00031047">
        <w:rPr>
          <w:rFonts w:cstheme="minorHAnsi"/>
          <w:noProof/>
          <w:vertAlign w:val="superscript"/>
        </w:rPr>
        <w:t>273</w:t>
      </w:r>
      <w:r w:rsidR="004F191E">
        <w:rPr>
          <w:rFonts w:cstheme="minorHAnsi"/>
        </w:rPr>
        <w:fldChar w:fldCharType="end"/>
      </w:r>
      <w:r w:rsidR="00EF66D8">
        <w:rPr>
          <w:rFonts w:cstheme="minorHAnsi"/>
        </w:rPr>
        <w:t xml:space="preserve"> </w:t>
      </w:r>
      <w:r w:rsidR="008B544B">
        <w:rPr>
          <w:rFonts w:cstheme="minorHAnsi"/>
        </w:rPr>
        <w:t>As a result</w:t>
      </w:r>
      <w:r w:rsidR="004648B1">
        <w:rPr>
          <w:rFonts w:cstheme="minorHAnsi"/>
        </w:rPr>
        <w:t>, i</w:t>
      </w:r>
      <w:r w:rsidR="004B53C0" w:rsidRPr="004B53C0">
        <w:rPr>
          <w:rFonts w:cstheme="minorHAnsi"/>
        </w:rPr>
        <w:t xml:space="preserve">nter-observer variability </w:t>
      </w:r>
      <w:r w:rsidR="008B544B">
        <w:rPr>
          <w:rFonts w:cstheme="minorHAnsi"/>
        </w:rPr>
        <w:t>is</w:t>
      </w:r>
      <w:r w:rsidR="00F917D6">
        <w:rPr>
          <w:rFonts w:cstheme="minorHAnsi"/>
        </w:rPr>
        <w:t xml:space="preserve"> high for</w:t>
      </w:r>
      <w:r w:rsidR="004B53C0" w:rsidRPr="004B53C0">
        <w:rPr>
          <w:rFonts w:cstheme="minorHAnsi"/>
        </w:rPr>
        <w:t xml:space="preserve"> the </w:t>
      </w:r>
      <w:r w:rsidR="00CE458C">
        <w:rPr>
          <w:rFonts w:cstheme="minorHAnsi"/>
        </w:rPr>
        <w:t>interpreting</w:t>
      </w:r>
      <w:r w:rsidR="004B53C0" w:rsidRPr="004B53C0">
        <w:rPr>
          <w:rFonts w:cstheme="minorHAnsi"/>
        </w:rPr>
        <w:t xml:space="preserve"> </w:t>
      </w:r>
      <w:r w:rsidR="00CE458C">
        <w:rPr>
          <w:rFonts w:cstheme="minorHAnsi"/>
        </w:rPr>
        <w:t>biopsy results</w:t>
      </w:r>
      <w:r w:rsidR="004648B1">
        <w:rPr>
          <w:rFonts w:cstheme="minorHAnsi"/>
        </w:rPr>
        <w:t>.</w:t>
      </w:r>
      <w:r w:rsidR="004F191E">
        <w:rPr>
          <w:rFonts w:cstheme="minorHAnsi"/>
        </w:rPr>
        <w:fldChar w:fldCharType="begin"/>
      </w:r>
      <w:r w:rsidR="004F191E">
        <w:rPr>
          <w:rFonts w:cstheme="minorHAnsi"/>
        </w:rPr>
        <w:instrText xml:space="preserve"> ADDIN EN.CITE &lt;EndNote&gt;&lt;Cite&gt;&lt;Author&gt;Husby&lt;/Author&gt;&lt;Year&gt;2020&lt;/Year&gt;&lt;RecNum&gt;538&lt;/RecNum&gt;&lt;DisplayText&gt;&lt;style face="superscript"&gt;10&lt;/style&gt;&lt;/DisplayText&gt;&lt;record&gt;&lt;rec-number&gt;538&lt;/rec-number&gt;&lt;foreign-keys&gt;&lt;key app="EN" db-id="tdwrx9xd1z9eepeevr355w2k959rv0f5zaax" timestamp="1636620393"&gt;538&lt;/key&gt;&lt;/foreign-keys&gt;&lt;ref-type name="Journal Article"&gt;17&lt;/ref-type&gt;&lt;contributors&gt;&lt;authors&gt;&lt;author&gt;Husby, Steffen&lt;/author&gt;&lt;author&gt;Koletzko, Sibylle&lt;/author&gt;&lt;author&gt;Korponay-Szabó, Ilma&lt;/author&gt;&lt;author&gt;Kurppa, Kalle&lt;/author&gt;&lt;author&gt;Mearin, Maria Luisa&lt;/author&gt;&lt;author&gt;Ribes-Koninckx, Carmen&lt;/author&gt;&lt;author&gt;Shamir, Raanan&lt;/author&gt;&lt;author&gt;Troncone, Riccardo&lt;/author&gt;&lt;author&gt;Auricchio, Renata&lt;/author&gt;&lt;author&gt;Castillejo, Gemma&lt;/author&gt;&lt;author&gt;Christensen, Robin&lt;/author&gt;&lt;author&gt;Dolinsek, Jernej&lt;/author&gt;&lt;author&gt;Gillett, Peter&lt;/author&gt;&lt;author&gt;Hróbjartsson, Asbjørn&lt;/author&gt;&lt;author&gt;Koltai, Tunde&lt;/author&gt;&lt;author&gt;Maki, Markku&lt;/author&gt;&lt;author&gt;Nielsen, Sabrina Mai&lt;/author&gt;&lt;author&gt;Popp, Alina&lt;/author&gt;&lt;author&gt;Størdal, Ketil&lt;/author&gt;&lt;author&gt;Werkstetter, Katharina&lt;/author&gt;&lt;author&gt;Wessels, Margreet&lt;/author&gt;&lt;/authors&gt;&lt;/contributors&gt;&lt;titles&gt;&lt;title&gt;European Society Paediatric Gastroenterology, Hepatology and Nutrition Guidelines for Diagnosing Coeliac Disease 2020&lt;/title&gt;&lt;secondary-title&gt;Journal of Pediatric Gastroenterology and Nutrition&lt;/secondary-title&gt;&lt;/titles&gt;&lt;periodical&gt;&lt;full-title&gt;Journal of Pediatric Gastroenterology and Nutrition&lt;/full-title&gt;&lt;/periodical&gt;&lt;pages&gt;141-156&lt;/pages&gt;&lt;volume&gt;70&lt;/volume&gt;&lt;number&gt;1&lt;/number&gt;&lt;keywords&gt;&lt;keyword&gt;children and adolescents&lt;/keyword&gt;&lt;keyword&gt;coeliac disease&lt;/keyword&gt;&lt;keyword&gt;diagnostic tests&lt;/keyword&gt;&lt;keyword&gt;meta-analysis&lt;/keyword&gt;&lt;/keywords&gt;&lt;dates&gt;&lt;year&gt;2020&lt;/year&gt;&lt;/dates&gt;&lt;isbn&gt;0277-2116&lt;/isbn&gt;&lt;accession-num&gt;00005176-202001000-00024&lt;/accession-num&gt;&lt;urls&gt;&lt;related-urls&gt;&lt;url&gt;https://journals.lww.com/jpgn/Fulltext/2020/01000/European_Society_Paediatric_Gastroenterology,.24.aspx&lt;/url&gt;&lt;/related-urls&gt;&lt;/urls&gt;&lt;electronic-resource-num&gt;10.1097/mpg.0000000000002497&lt;/electronic-resource-num&gt;&lt;/record&gt;&lt;/Cite&gt;&lt;/EndNote&gt;</w:instrText>
      </w:r>
      <w:r w:rsidR="004F191E">
        <w:rPr>
          <w:rFonts w:cstheme="minorHAnsi"/>
        </w:rPr>
        <w:fldChar w:fldCharType="separate"/>
      </w:r>
      <w:r w:rsidR="004F191E" w:rsidRPr="004F191E">
        <w:rPr>
          <w:rFonts w:cstheme="minorHAnsi"/>
          <w:noProof/>
          <w:vertAlign w:val="superscript"/>
        </w:rPr>
        <w:t>10</w:t>
      </w:r>
      <w:r w:rsidR="004F191E">
        <w:rPr>
          <w:rFonts w:cstheme="minorHAnsi"/>
        </w:rPr>
        <w:fldChar w:fldCharType="end"/>
      </w:r>
    </w:p>
    <w:p w14:paraId="580DBA22" w14:textId="77777777" w:rsidR="0054221E" w:rsidRPr="00734942" w:rsidRDefault="0054221E" w:rsidP="0054221E">
      <w:pPr>
        <w:pStyle w:val="Heading2"/>
      </w:pPr>
      <w:bookmarkStart w:id="327" w:name="_Toc99539908"/>
      <w:r w:rsidRPr="00734942">
        <w:t>Comparison with other studies</w:t>
      </w:r>
      <w:bookmarkEnd w:id="327"/>
    </w:p>
    <w:p w14:paraId="4C54B693" w14:textId="4AD13005" w:rsidR="00B137D6" w:rsidRPr="00734942" w:rsidRDefault="00B137D6" w:rsidP="00B137D6">
      <w:r w:rsidRPr="00734942">
        <w:t xml:space="preserve">Our estimates of the probability of CD for people with certain risk conditions compared to the general population are in agreement with previous reports on the prevalence of CD among individuals with those conditions. Meta-analyses estimated the prevalence of CD between </w:t>
      </w:r>
      <w:r w:rsidRPr="00734942">
        <w:rPr>
          <w:color w:val="000000"/>
          <w:shd w:val="clear" w:color="auto" w:fill="FFFFFF"/>
        </w:rPr>
        <w:t>3-16% in people with type 1 diabetes,</w:t>
      </w:r>
      <w:r w:rsidRPr="00734942">
        <w:rPr>
          <w:color w:val="000000"/>
          <w:shd w:val="clear" w:color="auto" w:fill="FFFFFF"/>
        </w:rPr>
        <w:fldChar w:fldCharType="begin">
          <w:fldData xml:space="preserve">PEVuZE5vdGU+PENpdGU+PEF1dGhvcj5Db2huPC9BdXRob3I+PFllYXI+MjAxNDwvWWVhcj48UmVj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</w:fldData>
        </w:fldChar>
      </w:r>
      <w:r w:rsidR="00031047">
        <w:rPr>
          <w:color w:val="000000"/>
          <w:shd w:val="clear" w:color="auto" w:fill="FFFFFF"/>
        </w:rPr>
        <w:instrText xml:space="preserve"> ADDIN EN.CITE </w:instrText>
      </w:r>
      <w:r w:rsidR="00031047">
        <w:rPr>
          <w:color w:val="000000"/>
          <w:shd w:val="clear" w:color="auto" w:fill="FFFFFF"/>
        </w:rPr>
        <w:fldChar w:fldCharType="begin">
          <w:fldData xml:space="preserve">PEVuZE5vdGU+PENpdGU+PEF1dGhvcj5Db2huPC9BdXRob3I+PFllYXI+MjAxNDwvWWVhcj48UmVj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</w:fldData>
        </w:fldChar>
      </w:r>
      <w:r w:rsidR="00031047">
        <w:rPr>
          <w:color w:val="000000"/>
          <w:shd w:val="clear" w:color="auto" w:fill="FFFFFF"/>
        </w:rPr>
        <w:instrText xml:space="preserve"> ADDIN EN.CITE.DATA </w:instrText>
      </w:r>
      <w:r w:rsidR="00031047">
        <w:rPr>
          <w:color w:val="000000"/>
          <w:shd w:val="clear" w:color="auto" w:fill="FFFFFF"/>
        </w:rPr>
      </w:r>
      <w:r w:rsidR="00031047">
        <w:rPr>
          <w:color w:val="000000"/>
          <w:shd w:val="clear" w:color="auto" w:fill="FFFFFF"/>
        </w:rPr>
        <w:fldChar w:fldCharType="end"/>
      </w:r>
      <w:r w:rsidRPr="00734942">
        <w:rPr>
          <w:color w:val="000000"/>
          <w:shd w:val="clear" w:color="auto" w:fill="FFFFFF"/>
        </w:rPr>
      </w:r>
      <w:r w:rsidRPr="00734942">
        <w:rPr>
          <w:color w:val="000000"/>
          <w:shd w:val="clear" w:color="auto" w:fill="FFFFFF"/>
        </w:rPr>
        <w:fldChar w:fldCharType="separate"/>
      </w:r>
      <w:r w:rsidR="00031047" w:rsidRPr="00031047">
        <w:rPr>
          <w:noProof/>
          <w:color w:val="000000"/>
          <w:shd w:val="clear" w:color="auto" w:fill="FFFFFF"/>
          <w:vertAlign w:val="superscript"/>
        </w:rPr>
        <w:t>274</w:t>
      </w:r>
      <w:r w:rsidRPr="00734942">
        <w:rPr>
          <w:color w:val="000000"/>
          <w:shd w:val="clear" w:color="auto" w:fill="FFFFFF"/>
        </w:rPr>
        <w:fldChar w:fldCharType="end"/>
      </w:r>
      <w:r w:rsidRPr="00734942">
        <w:t xml:space="preserve"> 1.6-3.8% (95% C</w:t>
      </w:r>
      <w:r w:rsidR="004A0B55" w:rsidRPr="00734942">
        <w:t>i</w:t>
      </w:r>
      <w:r w:rsidRPr="00734942">
        <w:t>s) according to serology studies and 2.3-4.5% biopsy-proven CD in people with IBS,</w:t>
      </w:r>
      <w:r w:rsidRPr="00734942">
        <w:fldChar w:fldCharType="begin">
          <w:fldData xml:space="preserve">PEVuZE5vdGU+PENpdGU+PEF1dGhvcj5JcnZpbmU8L0F1dGhvcj48WWVhcj4yMDE3PC9ZZWFyPjxS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</w:fldData>
        </w:fldChar>
      </w:r>
      <w:r w:rsidR="00031047">
        <w:instrText xml:space="preserve"> ADDIN EN.CITE </w:instrText>
      </w:r>
      <w:r w:rsidR="00031047">
        <w:fldChar w:fldCharType="begin">
          <w:fldData xml:space="preserve">PEVuZE5vdGU+PENpdGU+PEF1dGhvcj5JcnZpbmU8L0F1dGhvcj48WWVhcj4yMDE3PC9ZZWFyPjxS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275</w:t>
      </w:r>
      <w:r w:rsidRPr="00734942">
        <w:fldChar w:fldCharType="end"/>
      </w:r>
      <w:r w:rsidRPr="00734942">
        <w:t xml:space="preserve"> 2.6-3.9 among people with iron-deficiency anaemia,</w:t>
      </w:r>
      <w:r w:rsidRPr="00734942">
        <w:fldChar w:fldCharType="begin">
          <w:fldData xml:space="preserve">PEVuZE5vdGU+PENpdGU+PEF1dGhvcj5NYWhhZGV2PC9BdXRob3I+PFllYXI+MjAxODwvWWVhcj48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</w:fldData>
        </w:fldChar>
      </w:r>
      <w:r w:rsidR="00031047">
        <w:instrText xml:space="preserve"> ADDIN EN.CITE </w:instrText>
      </w:r>
      <w:r w:rsidR="00031047">
        <w:fldChar w:fldCharType="begin">
          <w:fldData xml:space="preserve">PEVuZE5vdGU+PENpdGU+PEF1dGhvcj5NYWhhZGV2PC9BdXRob3I+PFllYXI+MjAxODwvWWVhcj48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276</w:t>
      </w:r>
      <w:r w:rsidRPr="00734942">
        <w:fldChar w:fldCharType="end"/>
      </w:r>
      <w:r w:rsidRPr="00734942">
        <w:t xml:space="preserve"> 1.6–2.6% in people with epilepsy,</w:t>
      </w:r>
      <w:r w:rsidRPr="00734942">
        <w:fldChar w:fldCharType="begin"/>
      </w:r>
      <w:r w:rsidR="00031047">
        <w:instrText xml:space="preserve"> ADDIN EN.CITE &lt;EndNote&gt;&lt;Cite&gt;&lt;Author&gt;Julian&lt;/Author&gt;&lt;Year&gt;2019&lt;/Year&gt;&lt;RecNum&gt;46&lt;/RecNum&gt;&lt;DisplayText&gt;&lt;style face="superscript"&gt;277&lt;/style&gt;&lt;/DisplayText&gt;&lt;record&gt;&lt;rec-number&gt;46&lt;/rec-number&gt;&lt;foreign-keys&gt;&lt;key app="EN" db-id="tdwrx9xd1z9eepeevr355w2k959rv0f5zaax" timestamp="1632756072"&gt;46&lt;/key&gt;&lt;/foreign-keys&gt;&lt;ref-type name="Journal Article"&gt;17&lt;/ref-type&gt;&lt;contributors&gt;&lt;authors&gt;&lt;author&gt;Julian, T.&lt;/author&gt;&lt;author&gt;Hadjivassiliou, M.&lt;/author&gt;&lt;author&gt;Zis, P.&lt;/author&gt;&lt;/authors&gt;&lt;/contributors&gt;&lt;titles&gt;&lt;title&gt;Gluten sensitivity and epilepsy: a systematic review&lt;/title&gt;&lt;secondary-title&gt;Journal of Neurology&lt;/secondary-title&gt;&lt;/titles&gt;&lt;periodical&gt;&lt;full-title&gt;Journal of Neurology&lt;/full-title&gt;&lt;/periodical&gt;&lt;pages&gt;1557-1565&lt;/pages&gt;&lt;volume&gt;266&lt;/volume&gt;&lt;number&gt;7&lt;/number&gt;&lt;dates&gt;&lt;year&gt;2019&lt;/year&gt;&lt;pub-dates&gt;&lt;date&gt;Jul&lt;/date&gt;&lt;/pub-dates&gt;&lt;/dates&gt;&lt;isbn&gt;0340-5354&lt;/isbn&gt;&lt;accession-num&gt;WOS:000472527900001&lt;/accession-num&gt;&lt;urls&gt;&lt;related-urls&gt;&lt;url&gt;&amp;lt;Go to ISI&amp;gt;://WOS:000472527900001&lt;/url&gt;&lt;/related-urls&gt;&lt;/urls&gt;&lt;electronic-resource-num&gt;10.1007/s00415-018-9025-2&lt;/electronic-resource-num&gt;&lt;remote-database-name&gt;Web of Science&lt;/remote-database-name&gt;&lt;/record&gt;&lt;/Cite&gt;&lt;/EndNote&gt;</w:instrText>
      </w:r>
      <w:r w:rsidRPr="00734942">
        <w:fldChar w:fldCharType="separate"/>
      </w:r>
      <w:r w:rsidR="00031047" w:rsidRPr="00031047">
        <w:rPr>
          <w:noProof/>
          <w:vertAlign w:val="superscript"/>
        </w:rPr>
        <w:t>277</w:t>
      </w:r>
      <w:r w:rsidRPr="00734942">
        <w:fldChar w:fldCharType="end"/>
      </w:r>
      <w:r w:rsidRPr="00734942">
        <w:t xml:space="preserve"> 1.4-3.5% in women with infertility,</w:t>
      </w:r>
      <w:r w:rsidRPr="00734942">
        <w:fldChar w:fldCharType="begin">
          <w:fldData xml:space="preserve">PEVuZE5vdGU+PENpdGU+PEF1dGhvcj5TaW5naDwvQXV0aG9yPjxZZWFyPjIwMTY8L1llYXI+PFJl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</w:fldData>
        </w:fldChar>
      </w:r>
      <w:r w:rsidR="00031047">
        <w:instrText xml:space="preserve"> ADDIN EN.CITE </w:instrText>
      </w:r>
      <w:r w:rsidR="00031047">
        <w:fldChar w:fldCharType="begin">
          <w:fldData xml:space="preserve">PEVuZE5vdGU+PENpdGU+PEF1dGhvcj5TaW5naDwvQXV0aG9yPjxZZWFyPjIwMTY8L1llYXI+PFJl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278</w:t>
      </w:r>
      <w:r w:rsidRPr="00734942">
        <w:fldChar w:fldCharType="end"/>
      </w:r>
      <w:r w:rsidRPr="00734942">
        <w:t xml:space="preserve"> 1.3-1.9% in people with autoimmune thyroid disease,</w:t>
      </w:r>
      <w:r w:rsidRPr="00734942">
        <w:fldChar w:fldCharType="begin">
          <w:fldData xml:space="preserve">PEVuZE5vdGU+PENpdGU+PEF1dGhvcj5Sb3k8L0F1dGhvcj48WWVhcj4yMDE2PC9ZZWFyPjxSZWNO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</w:fldData>
        </w:fldChar>
      </w:r>
      <w:r w:rsidR="00031047">
        <w:instrText xml:space="preserve"> ADDIN EN.CITE </w:instrText>
      </w:r>
      <w:r w:rsidR="00031047">
        <w:fldChar w:fldCharType="begin">
          <w:fldData xml:space="preserve">PEVuZE5vdGU+PENpdGU+PEF1dGhvcj5Sb3k8L0F1dGhvcj48WWVhcj4yMDE2PC9ZZWFyPjxSZWNO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279</w:t>
      </w:r>
      <w:r w:rsidRPr="00734942">
        <w:fldChar w:fldCharType="end"/>
      </w:r>
      <w:r w:rsidRPr="00734942">
        <w:t xml:space="preserve"> 1-7% in people with raised liver enzymes,</w:t>
      </w:r>
      <w:r w:rsidRPr="00734942">
        <w:fldChar w:fldCharType="begin">
          <w:fldData xml:space="preserve">PEVuZE5vdGU+PENpdGU+PEF1dGhvcj5TYWluc2J1cnk8L0F1dGhvcj48WWVhcj4yMDExPC9ZZWFy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</w:fldData>
        </w:fldChar>
      </w:r>
      <w:r w:rsidR="00031047">
        <w:instrText xml:space="preserve"> ADDIN EN.CITE </w:instrText>
      </w:r>
      <w:r w:rsidR="00031047">
        <w:fldChar w:fldCharType="begin">
          <w:fldData xml:space="preserve">PEVuZE5vdGU+PENpdGU+PEF1dGhvcj5TYWluc2J1cnk8L0F1dGhvcj48WWVhcj4yMDExPC9ZZWFy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280</w:t>
      </w:r>
      <w:r w:rsidRPr="00734942">
        <w:fldChar w:fldCharType="end"/>
      </w:r>
      <w:r w:rsidRPr="00734942">
        <w:t xml:space="preserve"> and 1.1-2.0% in people with osteoporosis.</w:t>
      </w:r>
      <w:r w:rsidRPr="00734942">
        <w:fldChar w:fldCharType="begin">
          <w:fldData xml:space="preserve">PEVuZE5vdGU+PENpdGU+PEF1dGhvcj5MYXN6a293c2thPC9BdXRob3I+PFllYXI+MjAxODwvWWVh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</w:fldData>
        </w:fldChar>
      </w:r>
      <w:r w:rsidR="00031047">
        <w:instrText xml:space="preserve"> ADDIN EN.CITE </w:instrText>
      </w:r>
      <w:r w:rsidR="00031047">
        <w:fldChar w:fldCharType="begin">
          <w:fldData xml:space="preserve">PEVuZE5vdGU+PENpdGU+PEF1dGhvcj5MYXN6a293c2thPC9BdXRob3I+PFllYXI+MjAxODwvWWVh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281</w:t>
      </w:r>
      <w:r w:rsidRPr="00734942">
        <w:fldChar w:fldCharType="end"/>
      </w:r>
      <w:r w:rsidRPr="00734942">
        <w:t xml:space="preserve"> A meta-analysis of 9 studies found a pooled odds ratio of 1.7-2.7 for CD in individuals with versus without psoriasis</w:t>
      </w:r>
      <w:r w:rsidRPr="00734942">
        <w:fldChar w:fldCharType="begin"/>
      </w:r>
      <w:r w:rsidR="00031047">
        <w:instrText xml:space="preserve"> ADDIN EN.CITE &lt;EndNote&gt;&lt;Cite&gt;&lt;Author&gt;Acharya&lt;/Author&gt;&lt;Year&gt;2020&lt;/Year&gt;&lt;RecNum&gt;50&lt;/RecNum&gt;&lt;DisplayText&gt;&lt;style face="superscript"&gt;282&lt;/style&gt;&lt;/DisplayText&gt;&lt;record&gt;&lt;rec-number&gt;50&lt;/rec-number&gt;&lt;foreign-keys&gt;&lt;key app="EN" db-id="tdwrx9xd1z9eepeevr355w2k959rv0f5zaax" timestamp="1632756072"&gt;50&lt;/key&gt;&lt;/foreign-keys&gt;&lt;ref-type name="Journal Article"&gt;17&lt;/ref-type&gt;&lt;contributors&gt;&lt;authors&gt;&lt;author&gt;Acharya, P.&lt;/author&gt;&lt;author&gt;Mathur, M.&lt;/author&gt;&lt;/authors&gt;&lt;/contributors&gt;&lt;auth-address&gt;Department of Dermatology, College of Medical Sciences, Bharatpur, Nepal. Electronic address: prakashacharya888@gmail.com.&amp;#xD;Department of Dermatology, College of Medical Sciences, Bharatpur, Nepal.&lt;/auth-address&gt;&lt;titles&gt;&lt;title&gt;Association between psoriasis and celiac disease: A systematic review and meta-analysis&lt;/title&gt;&lt;secondary-title&gt;J Am Acad Dermatol&lt;/secondary-title&gt;&lt;/titles&gt;&lt;periodical&gt;&lt;full-title&gt;J Am Acad Dermatol&lt;/full-title&gt;&lt;/periodical&gt;&lt;pages&gt;1376-1385&lt;/pages&gt;&lt;volume&gt;82&lt;/volume&gt;&lt;number&gt;6&lt;/number&gt;&lt;edition&gt;2019/12/07&lt;/edition&gt;&lt;keywords&gt;&lt;keyword&gt;Celiac Disease/*epidemiology&lt;/keyword&gt;&lt;keyword&gt;Comorbidity&lt;/keyword&gt;&lt;keyword&gt;Humans&lt;/keyword&gt;&lt;keyword&gt;Incidence&lt;/keyword&gt;&lt;keyword&gt;Odds Ratio&lt;/keyword&gt;&lt;keyword&gt;Prevalence&lt;/keyword&gt;&lt;keyword&gt;Psoriasis/*epidemiology&lt;/keyword&gt;&lt;keyword&gt;association&lt;/keyword&gt;&lt;keyword&gt;celiac disease&lt;/keyword&gt;&lt;keyword&gt;celiac sprue&lt;/keyword&gt;&lt;keyword&gt;meta-analysis&lt;/keyword&gt;&lt;keyword&gt;psoriasis&lt;/keyword&gt;&lt;keyword&gt;psoriatic arthritis&lt;/keyword&gt;&lt;/keywords&gt;&lt;dates&gt;&lt;year&gt;2020&lt;/year&gt;&lt;pub-dates&gt;&lt;date&gt;Jun&lt;/date&gt;&lt;/pub-dates&gt;&lt;/dates&gt;&lt;isbn&gt;1097-6787 (Electronic)&amp;#xD;0190-9622 (Linking)&lt;/isbn&gt;&lt;accession-num&gt;31809817&lt;/accession-num&gt;&lt;urls&gt;&lt;related-urls&gt;&lt;url&gt;https://www.ncbi.nlm.nih.gov/pubmed/31809817&lt;/url&gt;&lt;/related-urls&gt;&lt;/urls&gt;&lt;electronic-resource-num&gt;10.1016/j.jaad.2019.11.039&lt;/electronic-resource-num&gt;&lt;/record&gt;&lt;/Cite&gt;&lt;/EndNote&gt;</w:instrText>
      </w:r>
      <w:r w:rsidRPr="00734942">
        <w:fldChar w:fldCharType="separate"/>
      </w:r>
      <w:r w:rsidR="00031047" w:rsidRPr="00031047">
        <w:rPr>
          <w:noProof/>
          <w:vertAlign w:val="superscript"/>
        </w:rPr>
        <w:t>282</w:t>
      </w:r>
      <w:r w:rsidRPr="00734942">
        <w:fldChar w:fldCharType="end"/>
      </w:r>
      <w:r w:rsidRPr="00734942">
        <w:t xml:space="preserve"> and another meta-analysis found a 2.2-7.0 relative risk of CD in patients with inflammatory bowel disease compared to controls.</w:t>
      </w:r>
      <w:r w:rsidRPr="00734942">
        <w:fldChar w:fldCharType="begin">
          <w:fldData xml:space="preserve">PEVuZE5vdGU+PENpdGU+PEF1dGhvcj5QaW50by1TYW5jaGV6PC9BdXRob3I+PFllYXI+MjAyMDwv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==
</w:fldData>
        </w:fldChar>
      </w:r>
      <w:r w:rsidR="00031047">
        <w:instrText xml:space="preserve"> ADDIN EN.CITE </w:instrText>
      </w:r>
      <w:r w:rsidR="00031047">
        <w:fldChar w:fldCharType="begin">
          <w:fldData xml:space="preserve">PEVuZE5vdGU+PENpdGU+PEF1dGhvcj5QaW50by1TYW5jaGV6PC9BdXRob3I+PFllYXI+MjAyMDwv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==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283</w:t>
      </w:r>
      <w:r w:rsidRPr="00734942">
        <w:fldChar w:fldCharType="end"/>
      </w:r>
      <w:r w:rsidRPr="00734942">
        <w:t xml:space="preserve"> A meta-analysis of 40 studies found that the prevalence of CD in children with migraine-like headaches is 1.5-3.7 times higher than in the general population, but no evidence was reported on adults populations.</w:t>
      </w:r>
      <w:r w:rsidRPr="00734942">
        <w:fldChar w:fldCharType="begin">
          <w:fldData xml:space="preserve">PEVuZE5vdGU+PENpdGU+PEF1dGhvcj5aaXM8L0F1dGhvcj48WWVhcj4yMDE4PC9ZZWFyPjxSZWNO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</w:fldData>
        </w:fldChar>
      </w:r>
      <w:r w:rsidR="00031047">
        <w:instrText xml:space="preserve"> ADDIN EN.CITE </w:instrText>
      </w:r>
      <w:r w:rsidR="00031047">
        <w:fldChar w:fldCharType="begin">
          <w:fldData xml:space="preserve">PEVuZE5vdGU+PENpdGU+PEF1dGhvcj5aaXM8L0F1dGhvcj48WWVhcj4yMDE4PC9ZZWFyPjxSZWNO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284</w:t>
      </w:r>
      <w:r w:rsidRPr="00734942">
        <w:fldChar w:fldCharType="end"/>
      </w:r>
      <w:r w:rsidRPr="00734942">
        <w:t xml:space="preserve"> Our analysis showed a similar increased risk of 2.8 fold, including one study with an adult population which showed similar results.</w:t>
      </w:r>
      <w:r w:rsidRPr="00734942">
        <w:fldChar w:fldCharType="begin">
          <w:fldData xml:space="preserve">PEVuZE5vdGU+PENpdGU+PEF1dGhvcj5HYWJyaWVsbGk8L0F1dGhvcj48WWVhcj4yMDAzPC9ZZWFy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</w:fldData>
        </w:fldChar>
      </w:r>
      <w:r w:rsidR="00031047">
        <w:instrText xml:space="preserve"> ADDIN EN.CITE </w:instrText>
      </w:r>
      <w:r w:rsidR="00031047">
        <w:fldChar w:fldCharType="begin">
          <w:fldData xml:space="preserve">PEVuZE5vdGU+PENpdGU+PEF1dGhvcj5HYWJyaWVsbGk8L0F1dGhvcj48WWVhcj4yMDAzPC9ZZWFy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285</w:t>
      </w:r>
      <w:r w:rsidRPr="00734942">
        <w:fldChar w:fldCharType="end"/>
      </w:r>
    </w:p>
    <w:p w14:paraId="68ED05D5" w14:textId="3A2D4457" w:rsidR="00B137D6" w:rsidRPr="00734942" w:rsidRDefault="00B137D6" w:rsidP="00B137D6">
      <w:r w:rsidRPr="00734942">
        <w:t xml:space="preserve">We found a lower risk of CD in people with a family history of CD compared to other studies. </w:t>
      </w:r>
      <w:r w:rsidRPr="00734942">
        <w:rPr>
          <w:color w:val="000000" w:themeColor="text1"/>
        </w:rPr>
        <w:t>A meta-analysis of 54 studies showed that the prevalence of CD is 6.3-8.8 times higher in first degree relatives and 1.3-3.8 times higher in second degree relatives compared to the general population,</w:t>
      </w:r>
      <w:r w:rsidRPr="00734942">
        <w:rPr>
          <w:color w:val="000000" w:themeColor="text1"/>
        </w:rPr>
        <w:fldChar w:fldCharType="begin">
          <w:fldData xml:space="preserve">PEVuZE5vdGU+PENpdGU+PEF1dGhvcj5TaW5naDwvQXV0aG9yPjxZZWFyPjIwMTU8L1llYXI+PFJl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</w:fldData>
        </w:fldChar>
      </w:r>
      <w:r w:rsidR="00031047">
        <w:rPr>
          <w:color w:val="000000" w:themeColor="text1"/>
        </w:rPr>
        <w:instrText xml:space="preserve"> ADDIN EN.CITE </w:instrText>
      </w:r>
      <w:r w:rsidR="00031047">
        <w:rPr>
          <w:color w:val="000000" w:themeColor="text1"/>
        </w:rPr>
        <w:fldChar w:fldCharType="begin">
          <w:fldData xml:space="preserve">PEVuZE5vdGU+PENpdGU+PEF1dGhvcj5TaW5naDwvQXV0aG9yPjxZZWFyPjIwMTU8L1llYXI+PFJl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</w:fldData>
        </w:fldChar>
      </w:r>
      <w:r w:rsidR="00031047">
        <w:rPr>
          <w:color w:val="000000" w:themeColor="text1"/>
        </w:rPr>
        <w:instrText xml:space="preserve"> ADDIN EN.CITE.DATA </w:instrText>
      </w:r>
      <w:r w:rsidR="00031047">
        <w:rPr>
          <w:color w:val="000000" w:themeColor="text1"/>
        </w:rPr>
      </w:r>
      <w:r w:rsidR="00031047">
        <w:rPr>
          <w:color w:val="000000" w:themeColor="text1"/>
        </w:rPr>
        <w:fldChar w:fldCharType="end"/>
      </w:r>
      <w:r w:rsidRPr="00734942">
        <w:rPr>
          <w:color w:val="000000" w:themeColor="text1"/>
        </w:rPr>
      </w:r>
      <w:r w:rsidRPr="00734942">
        <w:rPr>
          <w:color w:val="000000" w:themeColor="text1"/>
        </w:rPr>
        <w:fldChar w:fldCharType="separate"/>
      </w:r>
      <w:r w:rsidR="00031047" w:rsidRPr="00031047">
        <w:rPr>
          <w:noProof/>
          <w:color w:val="000000" w:themeColor="text1"/>
          <w:vertAlign w:val="superscript"/>
        </w:rPr>
        <w:t>286</w:t>
      </w:r>
      <w:r w:rsidRPr="00734942">
        <w:rPr>
          <w:color w:val="000000" w:themeColor="text1"/>
        </w:rPr>
        <w:fldChar w:fldCharType="end"/>
      </w:r>
      <w:r w:rsidRPr="00734942">
        <w:rPr>
          <w:color w:val="000000" w:themeColor="text1"/>
        </w:rPr>
        <w:t xml:space="preserve"> whereas we found a risk of </w:t>
      </w:r>
      <w:r w:rsidRPr="00734942">
        <w:t>1.3 times higher</w:t>
      </w:r>
      <w:r w:rsidRPr="00734942">
        <w:rPr>
          <w:color w:val="000000" w:themeColor="text1"/>
        </w:rPr>
        <w:t xml:space="preserve"> in people with a family history of CD. Only six of our included studies focussed specifically on first-degree relatives</w:t>
      </w:r>
      <w:r w:rsidRPr="00734942">
        <w:t>, whereas the other six included second-degree relatives or did not specify, which can partly explain our lower estimate. When restricting our analysis to first-degree relatives, we estimated the PPV at 1.3-7.2%. Finally, some studies included as few as 2 individuals with a family history of CD and 6 individuals with CD in their study population,</w:t>
      </w:r>
      <w:r w:rsidRPr="00734942">
        <w:fldChar w:fldCharType="begin">
          <w:fldData xml:space="preserve">PEVuZE5vdGU+PENpdGU+PEF1dGhvcj5ZYXA8L0F1dGhvcj48WWVhcj4yMDE1PC9ZZWFyPjxSZWNO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</w:fldData>
        </w:fldChar>
      </w:r>
      <w:r w:rsidR="00031047">
        <w:instrText xml:space="preserve"> ADDIN EN.CITE </w:instrText>
      </w:r>
      <w:r w:rsidR="00031047">
        <w:fldChar w:fldCharType="begin">
          <w:fldData xml:space="preserve">PEVuZE5vdGU+PENpdGU+PEF1dGhvcj5ZYXA8L0F1dGhvcj48WWVhcj4yMDE1PC9ZZWFyPjxSZWNO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287, 288</w:t>
      </w:r>
      <w:r w:rsidRPr="00734942">
        <w:fldChar w:fldCharType="end"/>
      </w:r>
      <w:r w:rsidRPr="00734942">
        <w:t xml:space="preserve"> which has likely attenuated the estimated association as well.</w:t>
      </w:r>
    </w:p>
    <w:p w14:paraId="6805B3D0" w14:textId="77777777" w:rsidR="00B137D6" w:rsidRPr="00734942" w:rsidRDefault="00B137D6" w:rsidP="00B137D6">
      <w:r w:rsidRPr="00734942">
        <w:lastRenderedPageBreak/>
        <w:t>Small differences between our results in Chapter 4 and results from previous meta-analyses can be explained by our stringent inclusion criteria. Most studies that used routinely collected data were excluded from our review because in these studies patients without a code for CD are assumed to not have the disease. This is problematic since CD is known to be underdiagnosed. Small differences between our estimates of PPV and estimates from meta-analyses of prevalence may also be explained by us only including studies that allowed estimation of both sensitivity and specificity (which requires some study participants to not have the diagnostic indicator).</w:t>
      </w:r>
    </w:p>
    <w:p w14:paraId="430C3D6F" w14:textId="548B8A59" w:rsidR="00B137D6" w:rsidRPr="00734942" w:rsidRDefault="00B137D6" w:rsidP="00B137D6">
      <w:r w:rsidRPr="00734942">
        <w:t>To our knowledge, few previous studies have developed prediction models for CD and none have based the prediction rules on symptoms and risk factors alone. Genetic risk models have been developed using HLA and non-HLA variants as predictors of CD. A simple count model that included 10 non-HLA genes on top of the usual H</w:t>
      </w:r>
      <w:r w:rsidR="00B9180D">
        <w:t>L</w:t>
      </w:r>
      <w:r w:rsidRPr="00734942">
        <w:t>A risk genes showed better classification then H</w:t>
      </w:r>
      <w:r w:rsidR="00B6650E">
        <w:t>L</w:t>
      </w:r>
      <w:r w:rsidRPr="00734942">
        <w:t>A risk genes alone.</w:t>
      </w:r>
      <w:r w:rsidRPr="00734942">
        <w:fldChar w:fldCharType="begin">
          <w:fldData xml:space="preserve">PEVuZE5vdGU+PENpdGU+PEF1dGhvcj5Sb21hbm9zPC9BdXRob3I+PFllYXI+MjAwOTwvWWVhcj48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</w:fldData>
        </w:fldChar>
      </w:r>
      <w:r w:rsidR="00031047">
        <w:instrText xml:space="preserve"> ADDIN EN.CITE </w:instrText>
      </w:r>
      <w:r w:rsidR="00031047">
        <w:fldChar w:fldCharType="begin">
          <w:fldData xml:space="preserve">PEVuZE5vdGU+PENpdGU+PEF1dGhvcj5Sb21hbm9zPC9BdXRob3I+PFllYXI+MjAwOTwvWWVhcj48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289</w:t>
      </w:r>
      <w:r w:rsidRPr="00734942">
        <w:fldChar w:fldCharType="end"/>
      </w:r>
      <w:r w:rsidRPr="00734942">
        <w:t xml:space="preserve"> The same authors further improved their model by increasing the number of non-HLA genes to 57. This model reached showed good discrimination with a c statistic of 0.85 (compared to 0.82 for HLA only).</w:t>
      </w:r>
      <w:r w:rsidRPr="00734942">
        <w:fldChar w:fldCharType="begin"/>
      </w:r>
      <w:r w:rsidR="00031047">
        <w:instrText xml:space="preserve"> ADDIN EN.CITE &lt;EndNote&gt;&lt;Cite&gt;&lt;Author&gt;Romanos&lt;/Author&gt;&lt;Year&gt;2014&lt;/Year&gt;&lt;RecNum&gt;502&lt;/RecNum&gt;&lt;DisplayText&gt;&lt;style face="superscript"&gt;290&lt;/style&gt;&lt;/DisplayText&gt;&lt;record&gt;&lt;rec-number&gt;502&lt;/rec-number&gt;&lt;foreign-keys&gt;&lt;key app="EN" db-id="tdwrx9xd1z9eepeevr355w2k959rv0f5zaax" timestamp="1636542651"&gt;502&lt;/key&gt;&lt;/foreign-keys&gt;&lt;ref-type name="Journal Article"&gt;17&lt;/ref-type&gt;&lt;contributors&gt;&lt;authors&gt;&lt;author&gt;Romanos, Jihane&lt;/author&gt;&lt;author&gt;Rosén, Anna&lt;/author&gt;&lt;author&gt;Kumar, Vinod&lt;/author&gt;&lt;author&gt;Trynka, Gosia&lt;/author&gt;&lt;author&gt;Franke, Lude&lt;/author&gt;&lt;author&gt;Szperl, Agata&lt;/author&gt;&lt;author&gt;Gutierrez-Achury, Javier&lt;/author&gt;&lt;author&gt;van Diemen, Cleo C.&lt;/author&gt;&lt;author&gt;Kanninga, Roan&lt;/author&gt;&lt;author&gt;Jankipersadsing, Soesma A.&lt;/author&gt;&lt;author&gt;Steck, Andrea&lt;/author&gt;&lt;author&gt;Eisenbarth, Georges&lt;/author&gt;&lt;author&gt;van Heel, David A.&lt;/author&gt;&lt;author&gt;Cukrowska, Bozena&lt;/author&gt;&lt;author&gt;Bruno, Valentina&lt;/author&gt;&lt;author&gt;Mazzilli, Maria Cristina&lt;/author&gt;&lt;author&gt;Núñez, Concepcion&lt;/author&gt;&lt;author&gt;Bilbao, Jose Ramon&lt;/author&gt;&lt;author&gt;Mearin, M. Luisa&lt;/author&gt;&lt;author&gt;Barisani, Donatella&lt;/author&gt;&lt;author&gt;Rewers, Marian&lt;/author&gt;&lt;author&gt;Norris, Jill M.&lt;/author&gt;&lt;author&gt;Ivarsson, Anneli&lt;/author&gt;&lt;author&gt;Boezen, H. Marieke&lt;/author&gt;&lt;author&gt;Liu, Edwin&lt;/author&gt;&lt;author&gt;Wijmenga, Cisca&lt;/author&gt;&lt;author&gt;Prevent, C. D. Group&lt;/author&gt;&lt;/authors&gt;&lt;/contributors&gt;&lt;titles&gt;&lt;title&gt;Improving coeliac disease risk prediction by testing non-HLA variants additional to HLA variants&lt;/title&gt;&lt;secondary-title&gt;Gut&lt;/secondary-title&gt;&lt;/titles&gt;&lt;periodical&gt;&lt;full-title&gt;Gut&lt;/full-title&gt;&lt;/periodical&gt;&lt;pages&gt;415&lt;/pages&gt;&lt;volume&gt;63&lt;/volume&gt;&lt;number&gt;3&lt;/number&gt;&lt;dates&gt;&lt;year&gt;2014&lt;/year&gt;&lt;/dates&gt;&lt;urls&gt;&lt;related-urls&gt;&lt;url&gt;http://gut.bmj.com/content/63/3/415.abstract&lt;/url&gt;&lt;/related-urls&gt;&lt;/urls&gt;&lt;electronic-resource-num&gt;10.1136/gutjnl-2012-304110&lt;/electronic-resource-num&gt;&lt;/record&gt;&lt;/Cite&gt;&lt;/EndNote&gt;</w:instrText>
      </w:r>
      <w:r w:rsidRPr="00734942">
        <w:fldChar w:fldCharType="separate"/>
      </w:r>
      <w:r w:rsidR="00031047" w:rsidRPr="00031047">
        <w:rPr>
          <w:noProof/>
          <w:vertAlign w:val="superscript"/>
        </w:rPr>
        <w:t>290</w:t>
      </w:r>
      <w:r w:rsidRPr="00734942">
        <w:fldChar w:fldCharType="end"/>
      </w:r>
      <w:r w:rsidRPr="00734942">
        <w:t xml:space="preserve"> These models can help with assessing risk in at risk groups, but these genetic tests are not readily available to GPs. Our model performed well in the development dataset, where the c statistic ranged from 0.76 in women to 0.82 in children, which is in the same range as the Framingham risk score for coronary heart disease (c statistic of 0.8), which is clinically useful.</w:t>
      </w:r>
      <w:r w:rsidRPr="00734942">
        <w:fldChar w:fldCharType="begin">
          <w:fldData xml:space="preserve">PEVuZE5vdGU+PENpdGU+PEF1dGhvcj5XaWxzb248L0F1dGhvcj48WWVhcj4xOTk4PC9ZZWFyPjxS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</w:fldData>
        </w:fldChar>
      </w:r>
      <w:r w:rsidR="00031047">
        <w:instrText xml:space="preserve"> ADDIN EN.CITE </w:instrText>
      </w:r>
      <w:r w:rsidR="00031047">
        <w:fldChar w:fldCharType="begin">
          <w:fldData xml:space="preserve">PEVuZE5vdGU+PENpdGU+PEF1dGhvcj5XaWxzb248L0F1dGhvcj48WWVhcj4xOTk4PC9ZZWFyPjxS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</w:fldData>
        </w:fldChar>
      </w:r>
      <w:r w:rsidR="00031047">
        <w:instrText xml:space="preserve"> ADDIN EN.CITE.DATA </w:instrText>
      </w:r>
      <w:r w:rsidR="00031047">
        <w:fldChar w:fldCharType="end"/>
      </w:r>
      <w:r w:rsidRPr="00734942">
        <w:fldChar w:fldCharType="separate"/>
      </w:r>
      <w:r w:rsidR="00031047" w:rsidRPr="00031047">
        <w:rPr>
          <w:noProof/>
          <w:vertAlign w:val="superscript"/>
        </w:rPr>
        <w:t>291</w:t>
      </w:r>
      <w:r w:rsidRPr="00734942">
        <w:fldChar w:fldCharType="end"/>
      </w:r>
      <w:r w:rsidRPr="00734942">
        <w:t xml:space="preserve"> Other examples of prediction rules that are in use in primary care are the Q cancer scores, which showed a good discrimination with a c statistic ranging from 0.73 to 0.91 for different types of cancer in women</w:t>
      </w:r>
      <w:r w:rsidRPr="00734942">
        <w:fldChar w:fldCharType="begin"/>
      </w:r>
      <w:r w:rsidR="00031047">
        <w:instrText xml:space="preserve"> ADDIN EN.CITE &lt;EndNote&gt;&lt;Cite&gt;&lt;Author&gt;Hippisley-Cox&lt;/Author&gt;&lt;Year&gt;2013&lt;/Year&gt;&lt;RecNum&gt;504&lt;/RecNum&gt;&lt;DisplayText&gt;&lt;style face="superscript"&gt;292&lt;/style&gt;&lt;/DisplayText&gt;&lt;record&gt;&lt;rec-number&gt;504&lt;/rec-number&gt;&lt;foreign-keys&gt;&lt;key app="EN" db-id="tdwrx9xd1z9eepeevr355w2k959rv0f5zaax" timestamp="1636542651"&gt;504&lt;/key&gt;&lt;/foreign-keys&gt;&lt;ref-type name="Journal Article"&gt;17&lt;/ref-type&gt;&lt;contributors&gt;&lt;authors&gt;&lt;author&gt;Hippisley-Cox, Julia&lt;/author&gt;&lt;author&gt;Coupland, Carol&lt;/author&gt;&lt;/authors&gt;&lt;/contributors&gt;&lt;titles&gt;&lt;title&gt;Symptoms and risk factors to identify women with suspected cancer in primary care: derivation and validation of an algorithm&lt;/title&gt;&lt;secondary-title&gt;British Journal of General Practice&lt;/secondary-title&gt;&lt;/titles&gt;&lt;periodical&gt;&lt;full-title&gt;British Journal of General Practice&lt;/full-title&gt;&lt;/periodical&gt;&lt;pages&gt;e11&lt;/pages&gt;&lt;volume&gt;63&lt;/volume&gt;&lt;number&gt;606&lt;/number&gt;&lt;dates&gt;&lt;year&gt;2013&lt;/year&gt;&lt;/dates&gt;&lt;urls&gt;&lt;related-urls&gt;&lt;url&gt;http://bjgp.org/content/63/606/e11.abstract&lt;/url&gt;&lt;/related-urls&gt;&lt;/urls&gt;&lt;electronic-resource-num&gt;10.3399/bjgp13X660733&lt;/electronic-resource-num&gt;&lt;/record&gt;&lt;/Cite&gt;&lt;/EndNote&gt;</w:instrText>
      </w:r>
      <w:r w:rsidRPr="00734942">
        <w:fldChar w:fldCharType="separate"/>
      </w:r>
      <w:r w:rsidR="00031047" w:rsidRPr="00031047">
        <w:rPr>
          <w:noProof/>
          <w:vertAlign w:val="superscript"/>
        </w:rPr>
        <w:t>292</w:t>
      </w:r>
      <w:r w:rsidRPr="00734942">
        <w:fldChar w:fldCharType="end"/>
      </w:r>
      <w:r w:rsidRPr="00734942">
        <w:t xml:space="preserve"> and from 0.82 to 0.94 for different types of cancers in men.</w:t>
      </w:r>
      <w:r w:rsidRPr="00734942">
        <w:fldChar w:fldCharType="begin"/>
      </w:r>
      <w:r w:rsidR="00031047">
        <w:instrText xml:space="preserve"> ADDIN EN.CITE &lt;EndNote&gt;&lt;Cite&gt;&lt;Author&gt;Hippisley-Cox&lt;/Author&gt;&lt;Year&gt;2013&lt;/Year&gt;&lt;RecNum&gt;505&lt;/RecNum&gt;&lt;DisplayText&gt;&lt;style face="superscript"&gt;293&lt;/style&gt;&lt;/DisplayText&gt;&lt;record&gt;&lt;rec-number&gt;505&lt;/rec-number&gt;&lt;foreign-keys&gt;&lt;key app="EN" db-id="tdwrx9xd1z9eepeevr355w2k959rv0f5zaax" timestamp="1636542651"&gt;505&lt;/key&gt;&lt;/foreign-keys&gt;&lt;ref-type name="Journal Article"&gt;17&lt;/ref-type&gt;&lt;contributors&gt;&lt;authors&gt;&lt;author&gt;Hippisley-Cox, Julia&lt;/author&gt;&lt;author&gt;Coupland, Carol&lt;/author&gt;&lt;/authors&gt;&lt;/contributors&gt;&lt;titles&gt;&lt;title&gt;Symptoms and risk factors to identify men with suspected cancer in primary care: derivation and validation of an algorithm&lt;/title&gt;&lt;secondary-title&gt;British Journal of General Practice&lt;/secondary-title&gt;&lt;/titles&gt;&lt;periodical&gt;&lt;full-title&gt;British Journal of General Practice&lt;/full-title&gt;&lt;/periodical&gt;&lt;pages&gt;e1&lt;/pages&gt;&lt;volume&gt;63&lt;/volume&gt;&lt;number&gt;606&lt;/number&gt;&lt;dates&gt;&lt;year&gt;2013&lt;/year&gt;&lt;/dates&gt;&lt;urls&gt;&lt;related-urls&gt;&lt;url&gt;http://bjgp.org/content/63/606/e1.abstract&lt;/url&gt;&lt;/related-urls&gt;&lt;/urls&gt;&lt;electronic-resource-num&gt;10.3399/bjgp13X660724&lt;/electronic-resource-num&gt;&lt;/record&gt;&lt;/Cite&gt;&lt;/EndNote&gt;</w:instrText>
      </w:r>
      <w:r w:rsidRPr="00734942">
        <w:fldChar w:fldCharType="separate"/>
      </w:r>
      <w:r w:rsidR="00031047" w:rsidRPr="00031047">
        <w:rPr>
          <w:noProof/>
          <w:vertAlign w:val="superscript"/>
        </w:rPr>
        <w:t>293</w:t>
      </w:r>
      <w:r w:rsidRPr="00734942">
        <w:fldChar w:fldCharType="end"/>
      </w:r>
    </w:p>
    <w:p w14:paraId="21AA98DF" w14:textId="286F533E" w:rsidR="0054221E" w:rsidRPr="00734942" w:rsidRDefault="0054221E" w:rsidP="0054221E">
      <w:r w:rsidRPr="00734942">
        <w:t xml:space="preserve">Existing evidence on the accuracy of serology for diagnosing CD is mixed. </w:t>
      </w:r>
      <w:r w:rsidR="004B5D5F">
        <w:t>Previous systematic reviews of the accuracy of serological testing for diagnosing CD suggest that the tests are highly sensitive and specific in both adults and children.</w:t>
      </w:r>
      <w:r w:rsidR="004102BC">
        <w:rPr>
          <w:noProof/>
        </w:rPr>
        <w:fldChar w:fldCharType="begin">
          <w:fldData xml:space="preserve">PEVuZE5vdGU+PENpdGU+PEF1dGhvcj5Sb3N0b208L0F1dGhvcj48WWVhcj4yMDA1PC9ZZWFyPjxS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</w:fldData>
        </w:fldChar>
      </w:r>
      <w:r w:rsidR="00735CC0">
        <w:rPr>
          <w:noProof/>
        </w:rPr>
        <w:instrText xml:space="preserve"> ADDIN EN.CITE </w:instrText>
      </w:r>
      <w:r w:rsidR="00735CC0">
        <w:rPr>
          <w:noProof/>
        </w:rPr>
        <w:fldChar w:fldCharType="begin">
          <w:fldData xml:space="preserve">PEVuZE5vdGU+PENpdGU+PEF1dGhvcj5Sb3N0b208L0F1dGhvcj48WWVhcj4yMDA1PC9ZZWFyPjxS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</w:fldData>
        </w:fldChar>
      </w:r>
      <w:r w:rsidR="00735CC0">
        <w:rPr>
          <w:noProof/>
        </w:rPr>
        <w:instrText xml:space="preserve"> ADDIN EN.CITE.DATA </w:instrText>
      </w:r>
      <w:r w:rsidR="00735CC0">
        <w:rPr>
          <w:noProof/>
        </w:rPr>
      </w:r>
      <w:r w:rsidR="00735CC0">
        <w:rPr>
          <w:noProof/>
        </w:rPr>
        <w:fldChar w:fldCharType="end"/>
      </w:r>
      <w:r w:rsidR="004102BC">
        <w:rPr>
          <w:noProof/>
        </w:rPr>
      </w:r>
      <w:r w:rsidR="004102BC">
        <w:rPr>
          <w:noProof/>
        </w:rPr>
        <w:fldChar w:fldCharType="separate"/>
      </w:r>
      <w:r w:rsidR="00735CC0" w:rsidRPr="00735CC0">
        <w:rPr>
          <w:noProof/>
          <w:vertAlign w:val="superscript"/>
        </w:rPr>
        <w:t>13-16</w:t>
      </w:r>
      <w:r w:rsidR="004102BC">
        <w:rPr>
          <w:noProof/>
        </w:rPr>
        <w:fldChar w:fldCharType="end"/>
      </w:r>
      <w:r w:rsidR="004B5D5F">
        <w:t xml:space="preserve"> These systematic reviews, however, are out-of-date and/or have methodological limitations, including issues with the search strategy, how study quality was assessed and how results were synthesised. All reviews included case-control design studies, which have been shown to overestimate test accuracy measures compared to cohort designs.</w:t>
      </w:r>
      <w:r w:rsidR="004102BC">
        <w:fldChar w:fldCharType="begin"/>
      </w:r>
      <w:r w:rsidR="00735CC0">
        <w:instrText xml:space="preserve"> ADDIN EN.CITE &lt;EndNote&gt;&lt;Cite&gt;&lt;Author&gt;Whiting&lt;/Author&gt;&lt;Year&gt;2013&lt;/Year&gt;&lt;RecNum&gt;323&lt;/RecNum&gt;&lt;DisplayText&gt;&lt;style face="superscript"&gt;68&lt;/style&gt;&lt;/DisplayText&gt;&lt;record&gt;&lt;rec-number&gt;323&lt;/rec-number&gt;&lt;foreign-keys&gt;&lt;key app="EN" db-id="tdwrx9xd1z9eepeevr355w2k959rv0f5zaax" timestamp="1632756299"&gt;323&lt;/key&gt;&lt;/foreign-keys&gt;&lt;ref-type name="Journal Article"&gt;17&lt;/ref-type&gt;&lt;contributors&gt;&lt;authors&gt;&lt;author&gt;Whiting, P. F.&lt;/author&gt;&lt;author&gt;Rutjes, A. W.&lt;/author&gt;&lt;author&gt;Westwood, M. E.&lt;/author&gt;&lt;author&gt;Mallett, S.&lt;/author&gt;&lt;author&gt;Quadas- Steering Group&lt;/author&gt;&lt;/authors&gt;&lt;/contributors&gt;&lt;auth-address&gt;Kleijnen Systematic Reviews Ltd, Unit 6, Escrick Business Park, Riccall Road, Escrick, York YO19 6FD, United Kingdom. penny@systematic-reviews.com&lt;/auth-address&gt;&lt;titles&gt;&lt;title&gt;A systematic review classifies sources of bias and variation in diagnostic test accuracy studies&lt;/title&gt;&lt;secondary-title&gt;J Clin Epidemiol&lt;/secondary-title&gt;&lt;/titles&gt;&lt;periodical&gt;&lt;full-title&gt;J Clin Epidemiol&lt;/full-title&gt;&lt;/periodical&gt;&lt;pages&gt;1093-104&lt;/pages&gt;&lt;volume&gt;66&lt;/volume&gt;&lt;number&gt;10&lt;/number&gt;&lt;edition&gt;2013/08/21&lt;/edition&gt;&lt;keywords&gt;&lt;keyword&gt;*Bias&lt;/keyword&gt;&lt;keyword&gt;Diagnostic Tests, Routine/*standards&lt;/keyword&gt;&lt;keyword&gt;Humans&lt;/keyword&gt;&lt;keyword&gt;*Review Literature as Topic&lt;/keyword&gt;&lt;keyword&gt;Sensitivity and Specificity&lt;/keyword&gt;&lt;keyword&gt;Bias&lt;/keyword&gt;&lt;keyword&gt;Sensitivity&lt;/keyword&gt;&lt;keyword&gt;Specificity&lt;/keyword&gt;&lt;keyword&gt;Systematic review&lt;/keyword&gt;&lt;keyword&gt;Test accuracy&lt;/keyword&gt;&lt;keyword&gt;Variation&lt;/keyword&gt;&lt;/keywords&gt;&lt;dates&gt;&lt;year&gt;2013&lt;/year&gt;&lt;pub-dates&gt;&lt;date&gt;Oct&lt;/date&gt;&lt;/pub-dates&gt;&lt;/dates&gt;&lt;isbn&gt;1878-5921 (Electronic)&amp;#xD;0895-4356 (Linking)&lt;/isbn&gt;&lt;accession-num&gt;23958378&lt;/accession-num&gt;&lt;urls&gt;&lt;related-urls&gt;&lt;url&gt;https://www.ncbi.nlm.nih.gov/pubmed/23958378&lt;/url&gt;&lt;/related-urls&gt;&lt;/urls&gt;&lt;electronic-resource-num&gt;10.1016/j.jclinepi.2013.05.014&lt;/electronic-resource-num&gt;&lt;/record&gt;&lt;/Cite&gt;&lt;/EndNote&gt;</w:instrText>
      </w:r>
      <w:r w:rsidR="004102BC">
        <w:fldChar w:fldCharType="separate"/>
      </w:r>
      <w:r w:rsidR="00735CC0" w:rsidRPr="00735CC0">
        <w:rPr>
          <w:noProof/>
          <w:vertAlign w:val="superscript"/>
        </w:rPr>
        <w:t>68</w:t>
      </w:r>
      <w:r w:rsidR="004102BC">
        <w:fldChar w:fldCharType="end"/>
      </w:r>
      <w:r w:rsidR="004B5D5F">
        <w:rPr>
          <w:noProof/>
        </w:rPr>
        <w:t xml:space="preserve"> </w:t>
      </w:r>
      <w:r w:rsidRPr="00734942">
        <w:t>Rostom et al stratified their analyses by age, test and substrate.</w:t>
      </w:r>
      <w:r w:rsidRPr="00734942">
        <w:fldChar w:fldCharType="begin"/>
      </w:r>
      <w:r w:rsidR="00735CC0">
        <w:instrText xml:space="preserve"> ADDIN EN.CITE &lt;EndNote&gt;&lt;Cite&gt;&lt;Author&gt;Rostom&lt;/Author&gt;&lt;Year&gt;2005&lt;/Year&gt;&lt;RecNum&gt;41&lt;/RecNum&gt;&lt;DisplayText&gt;&lt;style face="superscript"&gt;14&lt;/style&gt;&lt;/DisplayText&gt;&lt;record&gt;&lt;rec-number&gt;13&lt;/rec-number&gt;&lt;foreign-keys&gt;&lt;key app="EN" db-id="vw9swrvf2sx0areepv9xw9pu9srzpt5zrv0p" timestamp="1636117920"&gt;13&lt;/key&gt;&lt;/foreign-keys&gt;&lt;ref-type name="Journal Article"&gt;17&lt;/ref-type&gt;&lt;contributors&gt;&lt;authors&gt;&lt;author&gt;Rostom, A.&lt;/author&gt;&lt;author&gt;Dube, C.&lt;/author&gt;&lt;author&gt;Cranney, A.&lt;/author&gt;&lt;author&gt;Saloojee, N.&lt;/author&gt;&lt;author&gt;Sy, R.&lt;/author&gt;&lt;author&gt;Garritty, C.&lt;/author&gt;&lt;author&gt;Sampson, M.&lt;/author&gt;&lt;author&gt;Zhang, L.&lt;/author&gt;&lt;author&gt;Yazdi, F.&lt;/author&gt;&lt;author&gt;Mamaladze, V.&lt;/author&gt;&lt;author&gt;Pan, I.&lt;/author&gt;&lt;author&gt;MacNeil, J.&lt;/author&gt;&lt;author&gt;Mack, D.&lt;/author&gt;&lt;author&gt;Patel, D.&lt;/author&gt;&lt;author&gt;Moher, D.&lt;/author&gt;&lt;/authors&gt;&lt;/contributors&gt;&lt;auth-address&gt;Gastrointestinal Clinical Research Unit, University of Ottawa, Ottawa, Canada. arostom@ottawahospital.on.ca&lt;/auth-address&gt;&lt;titles&gt;&lt;title&gt;The diagnostic accuracy of serologic tests for celiac disease: a systematic review&lt;/title&gt;&lt;secondary-title&gt;Gastroenterology&lt;/secondary-title&gt;&lt;/titles&gt;&lt;periodical&gt;&lt;full-title&gt;Gastroenterology&lt;/full-title&gt;&lt;/periodical&gt;&lt;pages&gt;S38-46&lt;/pages&gt;&lt;volume&gt;128&lt;/volume&gt;&lt;number&gt;4 Suppl 1&lt;/number&gt;&lt;edition&gt;2005/04/13&lt;/edition&gt;&lt;keywords&gt;&lt;keyword&gt;Antibodies/*analysis&lt;/keyword&gt;&lt;keyword&gt;Biomarkers/*analysis&lt;/keyword&gt;&lt;keyword&gt;Celiac Disease/*diagnosis&lt;/keyword&gt;&lt;keyword&gt;Diagnosis, Differential&lt;/keyword&gt;&lt;keyword&gt;Humans&lt;/keyword&gt;&lt;keyword&gt;Sensitivity and Specificity&lt;/keyword&gt;&lt;keyword&gt;Serologic Tests&lt;/keyword&gt;&lt;/keywords&gt;&lt;dates&gt;&lt;year&gt;2005&lt;/year&gt;&lt;pub-dates&gt;&lt;date&gt;Apr&lt;/date&gt;&lt;/pub-dates&gt;&lt;/dates&gt;&lt;isbn&gt;0016-5085 (Print)&amp;#xD;0016-5085 (Linking)&lt;/isbn&gt;&lt;accession-num&gt;15825125&lt;/accession-num&gt;&lt;urls&gt;&lt;related-urls&gt;&lt;url&gt;https://www.ncbi.nlm.nih.gov/pubmed/15825125&lt;/url&gt;&lt;/related-urls&gt;&lt;/urls&gt;&lt;/record&gt;&lt;/Cite&gt;&lt;/EndNote&gt;</w:instrText>
      </w:r>
      <w:r w:rsidRPr="00734942">
        <w:fldChar w:fldCharType="separate"/>
      </w:r>
      <w:r w:rsidR="00735CC0" w:rsidRPr="00735CC0">
        <w:rPr>
          <w:noProof/>
          <w:vertAlign w:val="superscript"/>
        </w:rPr>
        <w:t>14</w:t>
      </w:r>
      <w:r w:rsidRPr="00734942">
        <w:fldChar w:fldCharType="end"/>
      </w:r>
      <w:r w:rsidRPr="00734942">
        <w:t xml:space="preserve"> Summary sensitivity and specificity of IgA tTG (human recombinant) and IgA EMA were &gt;90% across all age groups. Giersiepen et al conducted a systematic review of antibody test accuracy in children.</w:t>
      </w:r>
      <w:r w:rsidRPr="00734942">
        <w:fldChar w:fldCharType="begin"/>
      </w:r>
      <w:r w:rsidR="00735CC0">
        <w:instrText xml:space="preserve"> ADDIN EN.CITE &lt;EndNote&gt;&lt;Cite&gt;&lt;Author&gt;Giersiepen&lt;/Author&gt;&lt;Year&gt;2012&lt;/Year&gt;&lt;RecNum&gt;384&lt;/RecNum&gt;&lt;DisplayText&gt;&lt;style face="superscript"&gt;13&lt;/style&gt;&lt;/DisplayText&gt;&lt;record&gt;&lt;rec-number&gt;384&lt;/rec-number&gt;&lt;foreign-keys&gt;&lt;key app="EN" db-id="tdwrx9xd1z9eepeevr355w2k959rv0f5zaax" timestamp="1633080780"&gt;384&lt;/key&gt;&lt;/foreign-keys&gt;&lt;ref-type name="Journal Article"&gt;17&lt;/ref-type&gt;&lt;contributors&gt;&lt;authors&gt;&lt;author&gt;Giersiepen, K.&lt;/author&gt;&lt;author&gt;Lelgemann, M.&lt;/author&gt;&lt;author&gt;Stuhldreher, N.&lt;/author&gt;&lt;author&gt;Ronfani, L.&lt;/author&gt;&lt;author&gt;Husby, S.&lt;/author&gt;&lt;author&gt;Koletzko, S.&lt;/author&gt;&lt;author&gt;Korponay-Szabo, I. R.&lt;/author&gt;&lt;author&gt;Espghan Working Group on Coeliac Disease Diagnosis&lt;/author&gt;&lt;/authors&gt;&lt;/contributors&gt;&lt;auth-address&gt;Centre for Social Policy Research, University of Bremen, Bremen, Germany. giersiepen@zes.uni-bremen.de&lt;/auth-address&gt;&lt;titles&gt;&lt;title&gt;Accuracy of diagnostic antibody tests for coeliac disease in children: summary of an evidence report&lt;/title&gt;&lt;secondary-title&gt;J Pediatr Gastroenterol Nutr&lt;/secondary-title&gt;&lt;/titles&gt;&lt;periodical&gt;&lt;full-title&gt;J Pediatr Gastroenterol Nutr&lt;/full-title&gt;&lt;/periodical&gt;&lt;pages&gt;229-41&lt;/pages&gt;&lt;volume&gt;54&lt;/volume&gt;&lt;number&gt;2&lt;/number&gt;&lt;edition&gt;2012/01/24&lt;/edition&gt;&lt;keywords&gt;&lt;keyword&gt;Autoantibodies/blood&lt;/keyword&gt;&lt;keyword&gt;Biomarkers/blood&lt;/keyword&gt;&lt;keyword&gt;Celiac Disease/*diagnosis/immunology&lt;/keyword&gt;&lt;keyword&gt;Child&lt;/keyword&gt;&lt;keyword&gt;GTP-Binding Proteins/*immunology&lt;/keyword&gt;&lt;keyword&gt;Gliadin/*immunology&lt;/keyword&gt;&lt;keyword&gt;Humans&lt;/keyword&gt;&lt;keyword&gt;Immunoglobulin A/*blood&lt;/keyword&gt;&lt;keyword&gt;Immunoglobulin G/*blood&lt;/keyword&gt;&lt;keyword&gt;Point-of-Care Systems&lt;/keyword&gt;&lt;keyword&gt;Sensitivity and Specificity&lt;/keyword&gt;&lt;keyword&gt;Transglutaminases/*immunology&lt;/keyword&gt;&lt;/keywords&gt;&lt;dates&gt;&lt;year&gt;2012&lt;/year&gt;&lt;pub-dates&gt;&lt;date&gt;Feb&lt;/date&gt;&lt;/pub-dates&gt;&lt;/dates&gt;&lt;isbn&gt;1536-4801 (Electronic)&amp;#xD;0277-2116 (Linking)&lt;/isbn&gt;&lt;accession-num&gt;22266486&lt;/accession-num&gt;&lt;urls&gt;&lt;related-urls&gt;&lt;url&gt;https://www.ncbi.nlm.nih.gov/pubmed/22266486&lt;/url&gt;&lt;/related-urls&gt;&lt;/urls&gt;&lt;electronic-resource-num&gt;10.1097/MPG.0b013e318216f2e5&lt;/electronic-resource-num&gt;&lt;/record&gt;&lt;/Cite&gt;&lt;/EndNote&gt;</w:instrText>
      </w:r>
      <w:r w:rsidRPr="00734942">
        <w:fldChar w:fldCharType="separate"/>
      </w:r>
      <w:r w:rsidR="00735CC0" w:rsidRPr="00735CC0">
        <w:rPr>
          <w:noProof/>
          <w:vertAlign w:val="superscript"/>
        </w:rPr>
        <w:t>13</w:t>
      </w:r>
      <w:r w:rsidRPr="00734942">
        <w:fldChar w:fldCharType="end"/>
      </w:r>
      <w:r w:rsidRPr="00734942">
        <w:t xml:space="preserve"> Meta-analyses were not performed due to between-study heterogeneity; sensitivity and specificity of IgA tTG ranged from 13% to 100% and 78% to 100%, and of IgA EMA from 83% to 100% and 95% to 100%. Schyum and Rumessen carried out a systematic review of serological test accuracy in adults.</w:t>
      </w:r>
      <w:r w:rsidRPr="00734942">
        <w:fldChar w:fldCharType="begin"/>
      </w:r>
      <w:r w:rsidR="00735CC0">
        <w:instrText xml:space="preserve"> ADDIN EN.CITE &lt;EndNote&gt;&lt;Cite&gt;&lt;Author&gt;Schyum&lt;/Author&gt;&lt;Year&gt;2013&lt;/Year&gt;&lt;RecNum&gt;386&lt;/RecNum&gt;&lt;DisplayText&gt;&lt;style face="superscript"&gt;15&lt;/style&gt;&lt;/DisplayText&gt;&lt;record&gt;&lt;rec-number&gt;386&lt;/rec-number&gt;&lt;foreign-keys&gt;&lt;key app="EN" db-id="tdwrx9xd1z9eepeevr355w2k959rv0f5zaax" timestamp="1633080850"&gt;386&lt;/key&gt;&lt;/foreign-keys&gt;&lt;ref-type name="Journal Article"&gt;17&lt;/ref-type&gt;&lt;contributors&gt;&lt;authors&gt;&lt;author&gt;Schyum, A. C.&lt;/author&gt;&lt;author&gt;Rumessen, J. J.&lt;/author&gt;&lt;/authors&gt;&lt;/contributors&gt;&lt;auth-address&gt;Gentofte Hospital HR-Research Unit and Department of Gastroenterology F, Gentofte Hospital, University of Copenhagen, Copenhagen, Denmark.&lt;/auth-address&gt;&lt;titles&gt;&lt;title&gt;Serological testing for celiac disease in adults&lt;/title&gt;&lt;secondary-title&gt;United European Gastroenterol J&lt;/secondary-title&gt;&lt;/titles&gt;&lt;periodical&gt;&lt;full-title&gt;United European Gastroenterol J&lt;/full-title&gt;&lt;/periodical&gt;&lt;pages&gt;319-25&lt;/pages&gt;&lt;volume&gt;1&lt;/volume&gt;&lt;number&gt;5&lt;/number&gt;&lt;edition&gt;2014/06/12&lt;/edition&gt;&lt;keywords&gt;&lt;keyword&gt;Celiac disease&lt;/keyword&gt;&lt;keyword&gt;Hla dq2/dq8&lt;/keyword&gt;&lt;keyword&gt;diagnosis&lt;/keyword&gt;&lt;keyword&gt;gliadin&lt;/keyword&gt;&lt;keyword&gt;serological testing&lt;/keyword&gt;&lt;keyword&gt;transglutaminase&lt;/keyword&gt;&lt;/keywords&gt;&lt;dates&gt;&lt;year&gt;2013&lt;/year&gt;&lt;pub-dates&gt;&lt;date&gt;Oct&lt;/date&gt;&lt;/pub-dates&gt;&lt;/dates&gt;&lt;isbn&gt;2050-6406 (Print)&amp;#xD;2050-6406 (Linking)&lt;/isbn&gt;&lt;accession-num&gt;24917978&lt;/accession-num&gt;&lt;urls&gt;&lt;related-urls&gt;&lt;url&gt;https://www.ncbi.nlm.nih.gov/pubmed/24917978&lt;/url&gt;&lt;/related-urls&gt;&lt;/urls&gt;&lt;custom2&gt;PMC4040770&lt;/custom2&gt;&lt;electronic-resource-num&gt;10.1177/2050640613502788&lt;/electronic-resource-num&gt;&lt;/record&gt;&lt;/Cite&gt;&lt;/EndNote&gt;</w:instrText>
      </w:r>
      <w:r w:rsidRPr="00734942">
        <w:fldChar w:fldCharType="separate"/>
      </w:r>
      <w:r w:rsidR="00735CC0" w:rsidRPr="00735CC0">
        <w:rPr>
          <w:noProof/>
          <w:vertAlign w:val="superscript"/>
        </w:rPr>
        <w:t>15</w:t>
      </w:r>
      <w:r w:rsidRPr="00734942">
        <w:fldChar w:fldCharType="end"/>
      </w:r>
      <w:r w:rsidRPr="00734942">
        <w:t xml:space="preserve"> Study data was not meta-analysed, but median sensitivity and specificity of IgA tTG was estimated as 93% and 95%, and of IgA EMA as 84% and 100%. Van der Windt et al estimated serological test accuracy in adults presenting with abdominal symptoms in primary care.</w:t>
      </w:r>
      <w:r w:rsidRPr="00734942">
        <w:rPr>
          <w:noProof/>
        </w:rPr>
        <w:fldChar w:fldCharType="begin"/>
      </w:r>
      <w:r w:rsidR="00735CC0">
        <w:rPr>
          <w:noProof/>
        </w:rPr>
        <w:instrText xml:space="preserve"> ADDIN EN.CITE &lt;EndNote&gt;&lt;Cite&gt;&lt;Author&gt;van der Windt&lt;/Author&gt;&lt;Year&gt;2010&lt;/Year&gt;&lt;RecNum&gt;387&lt;/RecNum&gt;&lt;DisplayText&gt;&lt;style face="superscript"&gt;16&lt;/style&gt;&lt;/DisplayText&gt;&lt;record&gt;&lt;rec-number&gt;387&lt;/rec-number&gt;&lt;foreign-keys&gt;&lt;key app="EN" db-id="tdwrx9xd1z9eepeevr355w2k959rv0f5zaax" timestamp="1633080905"&gt;387&lt;/key&gt;&lt;/foreign-keys&gt;&lt;ref-type name="Journal Article"&gt;17&lt;/ref-type&gt;&lt;contributors&gt;&lt;authors&gt;&lt;author&gt;van der Windt, D. A.&lt;/author&gt;&lt;author&gt;Jellema, P.&lt;/author&gt;&lt;author&gt;Mulder, C. J.&lt;/author&gt;&lt;author&gt;Kneepkens, C. M.&lt;/author&gt;&lt;author&gt;van der Horst, H. E.&lt;/author&gt;&lt;/authors&gt;&lt;/contributors&gt;&lt;auth-address&gt;Arthritis Research UK National Primary Care Centre, Primary Care Sciences, Keele University, Keele, Staffordshire ST5 5BG, UK. d.van.der.windt@cphc.keele.ac.uk&lt;/auth-address&gt;&lt;titles&gt;&lt;title&gt;Diagnostic testing for celiac disease among patients with abdominal symptoms: a systematic review&lt;/title&gt;&lt;secondary-title&gt;JAMA&lt;/secondary-title&gt;&lt;/titles&gt;&lt;periodical&gt;&lt;full-title&gt;JAMA&lt;/full-title&gt;&lt;/periodical&gt;&lt;pages&gt;1738-46&lt;/pages&gt;&lt;volume&gt;303&lt;/volume&gt;&lt;number&gt;17&lt;/number&gt;&lt;edition&gt;2010/05/06&lt;/edition&gt;&lt;keywords&gt;&lt;keyword&gt;Adult&lt;/keyword&gt;&lt;keyword&gt;Biomarkers/analysis&lt;/keyword&gt;&lt;keyword&gt;Case-Control Studies&lt;/keyword&gt;&lt;keyword&gt;Celiac Disease/complications/*diagnosis/physiopathology&lt;/keyword&gt;&lt;keyword&gt;*Diagnostic Techniques, Digestive System&lt;/keyword&gt;&lt;keyword&gt;Diarrhea/etiology&lt;/keyword&gt;&lt;keyword&gt;Humans&lt;/keyword&gt;&lt;keyword&gt;Immunoglobulin A/analysis&lt;/keyword&gt;&lt;keyword&gt;Primary Health Care&lt;/keyword&gt;&lt;keyword&gt;Sensitivity and Specificity&lt;/keyword&gt;&lt;/keywords&gt;&lt;dates&gt;&lt;year&gt;2010&lt;/year&gt;&lt;pub-dates&gt;&lt;date&gt;May 5&lt;/date&gt;&lt;/pub-dates&gt;&lt;/dates&gt;&lt;isbn&gt;1538-3598 (Electronic)&amp;#xD;0098-7484 (Linking)&lt;/isbn&gt;&lt;accession-num&gt;20442390&lt;/accession-num&gt;&lt;urls&gt;&lt;related-urls&gt;&lt;url&gt;https://www.ncbi.nlm.nih.gov/pubmed/20442390&lt;/url&gt;&lt;/related-urls&gt;&lt;/urls&gt;&lt;electronic-resource-num&gt;10.1001/jama.2010.549&lt;/electronic-resource-num&gt;&lt;/record&gt;&lt;/Cite&gt;&lt;/EndNote&gt;</w:instrText>
      </w:r>
      <w:r w:rsidRPr="00734942">
        <w:rPr>
          <w:noProof/>
        </w:rPr>
        <w:fldChar w:fldCharType="separate"/>
      </w:r>
      <w:r w:rsidR="00735CC0" w:rsidRPr="00735CC0">
        <w:rPr>
          <w:noProof/>
          <w:vertAlign w:val="superscript"/>
        </w:rPr>
        <w:t>16</w:t>
      </w:r>
      <w:r w:rsidRPr="00734942">
        <w:rPr>
          <w:noProof/>
        </w:rPr>
        <w:fldChar w:fldCharType="end"/>
      </w:r>
      <w:r w:rsidRPr="00734942">
        <w:t xml:space="preserve"> Summary sensitivity and specificity were 89% and 98% for IgA tTG and 90% and 99% for IgA EMA. Sensitivity and specificity estimates of IgA tTG and IgA EMA in our review (Chapter </w:t>
      </w:r>
      <w:r w:rsidR="007C3AD5">
        <w:t>5</w:t>
      </w:r>
      <w:r w:rsidRPr="00734942">
        <w:t>) were slightly lower than in previous reviews. Inclusion of case-control studies may have inflated previous accuracy estimates.</w:t>
      </w:r>
      <w:r w:rsidR="00766CEF" w:rsidRPr="00734942">
        <w:t xml:space="preserve"> Finally, a meta-analysis of 6 studies </w:t>
      </w:r>
      <w:r w:rsidR="00766CEF" w:rsidRPr="00734942">
        <w:rPr>
          <w:color w:val="000000" w:themeColor="text1"/>
        </w:rPr>
        <w:t>investigated the accuracy of HLA-DQ2 and DQ8 typing for the detection of CD and found a pooled sensitivity of 97-99% and specificity of 41-48%,</w:t>
      </w:r>
      <w:r w:rsidR="00766CEF" w:rsidRPr="00734942">
        <w:rPr>
          <w:color w:val="000000" w:themeColor="text1"/>
        </w:rPr>
        <w:fldChar w:fldCharType="begin"/>
      </w:r>
      <w:r w:rsidR="00031047">
        <w:rPr>
          <w:color w:val="000000" w:themeColor="text1"/>
        </w:rPr>
        <w:instrText xml:space="preserve"> ADDIN EN.CITE &lt;EndNote&gt;&lt;Cite&gt;&lt;Author&gt;Diaz-Redondo&lt;/Author&gt;&lt;Year&gt;2015&lt;/Year&gt;&lt;RecNum&gt;60&lt;/RecNum&gt;&lt;DisplayText&gt;&lt;style face="superscript"&gt;294&lt;/style&gt;&lt;/DisplayText&gt;&lt;record&gt;&lt;rec-number&gt;60&lt;/rec-number&gt;&lt;foreign-keys&gt;&lt;key app="EN" db-id="tdwrx9xd1z9eepeevr355w2k959rv0f5zaax" timestamp="1632756074"&gt;60&lt;/key&gt;&lt;/foreign-keys&gt;&lt;ref-type name="Journal Article"&gt;17&lt;/ref-type&gt;&lt;contributors&gt;&lt;authors&gt;&lt;author&gt;Diaz-Redondo, A.&lt;/author&gt;&lt;author&gt;Miranda-Bautista, J.&lt;/author&gt;&lt;author&gt;Garcia-Lledo, J.&lt;/author&gt;&lt;author&gt;Gisbert, J. P.&lt;/author&gt;&lt;author&gt;Menchen, L.&lt;/author&gt;&lt;/authors&gt;&lt;/contributors&gt;&lt;titles&gt;&lt;title&gt;The potential usefulness of human leukocyte antigen typing for celiac disease screening: A systematic review and meta-analysis&lt;/title&gt;&lt;secondary-title&gt;Rev Esp Enferm Dig&lt;/secondary-title&gt;&lt;/titles&gt;&lt;periodical&gt;&lt;full-title&gt;Rev Esp Enferm Dig&lt;/full-title&gt;&lt;/periodical&gt;&lt;pages&gt;423-9&lt;/pages&gt;&lt;volume&gt;107&lt;/volume&gt;&lt;number&gt;7&lt;/number&gt;&lt;edition&gt;2015/07/04&lt;/edition&gt;&lt;keywords&gt;&lt;keyword&gt;Biomarkers/blood&lt;/keyword&gt;&lt;keyword&gt;Celiac Disease/blood/*diagnosis/immunology&lt;/keyword&gt;&lt;keyword&gt;HLA-DQ Antigens/*blood&lt;/keyword&gt;&lt;keyword&gt;Humans&lt;/keyword&gt;&lt;keyword&gt;Models, Statistical&lt;/keyword&gt;&lt;keyword&gt;Sensitivity and Specificity&lt;/keyword&gt;&lt;/keywords&gt;&lt;dates&gt;&lt;year&gt;2015&lt;/year&gt;&lt;pub-dates&gt;&lt;date&gt;Jul&lt;/date&gt;&lt;/pub-dates&gt;&lt;/dates&gt;&lt;isbn&gt;1130-0108 (Print)&amp;#xD;1130-0108 (Linking)&lt;/isbn&gt;&lt;accession-num&gt;26140635&lt;/accession-num&gt;&lt;urls&gt;&lt;related-urls&gt;&lt;url&gt;https://www.ncbi.nlm.nih.gov/pubmed/26140635&lt;/url&gt;&lt;/related-urls&gt;&lt;/urls&gt;&lt;electronic-resource-num&gt;10.17235/reed.2015.3758/2015&lt;/electronic-resource-num&gt;&lt;/record&gt;&lt;/Cite&gt;&lt;/EndNote&gt;</w:instrText>
      </w:r>
      <w:r w:rsidR="00766CEF" w:rsidRPr="00734942">
        <w:rPr>
          <w:color w:val="000000" w:themeColor="text1"/>
        </w:rPr>
        <w:fldChar w:fldCharType="separate"/>
      </w:r>
      <w:r w:rsidR="00031047" w:rsidRPr="00031047">
        <w:rPr>
          <w:noProof/>
          <w:color w:val="000000" w:themeColor="text1"/>
          <w:vertAlign w:val="superscript"/>
        </w:rPr>
        <w:t>294</w:t>
      </w:r>
      <w:r w:rsidR="00766CEF" w:rsidRPr="00734942">
        <w:rPr>
          <w:color w:val="000000" w:themeColor="text1"/>
        </w:rPr>
        <w:fldChar w:fldCharType="end"/>
      </w:r>
      <w:r w:rsidR="00766CEF" w:rsidRPr="00734942">
        <w:rPr>
          <w:color w:val="000000" w:themeColor="text1"/>
        </w:rPr>
        <w:t xml:space="preserve"> compared to </w:t>
      </w:r>
      <w:r w:rsidR="001258A4">
        <w:rPr>
          <w:color w:val="000000" w:themeColor="text1"/>
        </w:rPr>
        <w:t>99</w:t>
      </w:r>
      <w:r w:rsidR="00766CEF" w:rsidRPr="00734942">
        <w:rPr>
          <w:color w:val="000000" w:themeColor="text1"/>
        </w:rPr>
        <w:t xml:space="preserve">% and </w:t>
      </w:r>
      <w:r w:rsidR="005B21B3">
        <w:rPr>
          <w:color w:val="000000" w:themeColor="text1"/>
        </w:rPr>
        <w:t>56</w:t>
      </w:r>
      <w:r w:rsidR="00766CEF" w:rsidRPr="00734942">
        <w:rPr>
          <w:color w:val="000000" w:themeColor="text1"/>
        </w:rPr>
        <w:t xml:space="preserve">% in </w:t>
      </w:r>
      <w:r w:rsidR="006A7EBA" w:rsidRPr="00734942">
        <w:rPr>
          <w:color w:val="000000" w:themeColor="text1"/>
        </w:rPr>
        <w:t>C</w:t>
      </w:r>
      <w:r w:rsidR="00B75719" w:rsidRPr="00734942">
        <w:rPr>
          <w:color w:val="000000" w:themeColor="text1"/>
        </w:rPr>
        <w:t xml:space="preserve">hapter </w:t>
      </w:r>
      <w:r w:rsidR="00CD0FED">
        <w:rPr>
          <w:color w:val="000000" w:themeColor="text1"/>
        </w:rPr>
        <w:t>6</w:t>
      </w:r>
      <w:r w:rsidR="00766CEF" w:rsidRPr="00734942">
        <w:rPr>
          <w:color w:val="000000" w:themeColor="text1"/>
        </w:rPr>
        <w:t>, respectively.</w:t>
      </w:r>
    </w:p>
    <w:p w14:paraId="1B745250" w14:textId="142B4C0D" w:rsidR="00512038" w:rsidRDefault="00512038" w:rsidP="00512038">
      <w:pPr>
        <w:rPr>
          <w:rFonts w:eastAsia="Times New Roman" w:cstheme="minorHAnsi"/>
          <w:color w:val="000000"/>
          <w:lang w:eastAsia="en-GB"/>
        </w:rPr>
      </w:pPr>
      <w:r w:rsidRPr="003A3918">
        <w:rPr>
          <w:rFonts w:eastAsia="Times New Roman" w:cstheme="minorHAnsi"/>
          <w:color w:val="000000"/>
          <w:lang w:eastAsia="en-GB"/>
        </w:rPr>
        <w:t>Our findings that IgA EMA, IgA TTG and HLA testing, alone or in combination, of at risk patients is cost-effective compared to no screening is consistent with previously published models. These models used a similar framework of decision trees and Markov models, and most were in the US setting. For example, in patients with IBS symptoms, Ladabaum 2004 found TTG to be cost-effective at $50,000 if pre-test probability was 2% and at $100,000 if pre-test probability was 1.1%</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&lt;EndNote&gt;&lt;Cite&gt;&lt;Author&gt;Mein&lt;/Author&gt;&lt;Year&gt;2004&lt;/Year&gt;&lt;RecNum&gt;3&lt;/RecNum&gt;&lt;DisplayText&gt;&lt;style face="superscript"&gt;200&lt;/style&gt;&lt;/DisplayText&gt;&lt;record&gt;&lt;rec-number&gt;3&lt;/rec-number&gt;&lt;foreign-keys&gt;&lt;key app="EN" db-id="w9pwfv0xxa5v9vedxzkp20wvv52efwv0xppv" timestamp="1636614826"&gt;3&lt;/key&gt;&lt;/foreign-keys&gt;&lt;ref-type name="Journal Article"&gt;17&lt;/ref-type&gt;&lt;contributors&gt;&lt;authors&gt;&lt;author&gt;Mein, S. M.&lt;/author&gt;&lt;author&gt;Ladabaum, U.&lt;/author&gt;&lt;/authors&gt;&lt;/contributors&gt;&lt;auth-address&gt;Division of Gastroenterology, Department of Medicine, University of California, San Francisco, CA, USA.&lt;/auth-address&gt;&lt;titles&gt;&lt;title&gt;Serological testing for coeliac disease in patients with symptoms of irritable bowel syndrome: a cost-effectiveness analysis&lt;/title&gt;&lt;secondary-title&gt;Aliment Pharmacol Ther&lt;/secondary-title&gt;&lt;/titles&gt;&lt;periodical&gt;&lt;full-title&gt;Aliment Pharmacol Ther&lt;/full-title&gt;&lt;/periodical&gt;&lt;pages&gt;1199-210&lt;/pages&gt;&lt;volume&gt;19&lt;/volume&gt;&lt;number&gt;11&lt;/number&gt;&lt;keywords&gt;&lt;keyword&gt;Celiac Disease/*diagnosis/economics&lt;/keyword&gt;&lt;keyword&gt;Colonic Diseases, Functional/*complications/economics&lt;/keyword&gt;&lt;keyword&gt;Cost-Benefit Analysis&lt;/keyword&gt;&lt;keyword&gt;Decision Support Techniques&lt;/keyword&gt;&lt;keyword&gt;Endoscopy, Gastrointestinal/economics&lt;/keyword&gt;&lt;keyword&gt;Humans&lt;/keyword&gt;&lt;keyword&gt;Monte Carlo Method&lt;/keyword&gt;&lt;keyword&gt;Prognosis&lt;/keyword&gt;&lt;keyword&gt;Sensitivity and Specificity&lt;/keyword&gt;&lt;keyword&gt;Serologic Tests/economics&lt;/keyword&gt;&lt;/keywords&gt;&lt;dates&gt;&lt;year&gt;2004&lt;/year&gt;&lt;pub-dates&gt;&lt;date&gt;Jun 1&lt;/date&gt;&lt;/pub-dates&gt;&lt;/dates&gt;&lt;isbn&gt;0269-2813 (Print)&amp;#xD;0269-2813 (Linking)&lt;/isbn&gt;&lt;accession-num&gt;15153173&lt;/accession-num&gt;&lt;urls&gt;&lt;related-urls&gt;&lt;url&gt;https://www.ncbi.nlm.nih.gov/pubmed/15153173&lt;/url&gt;&lt;/related-urls&gt;&lt;/urls&gt;&lt;electronic-resource-num&gt;10.1111/j.1365-2036.2004.01958.x&lt;/electronic-resource-num&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200</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Shamir </w:t>
      </w:r>
      <w:r w:rsidRPr="003A3918">
        <w:rPr>
          <w:rFonts w:eastAsia="Times New Roman" w:cstheme="minorHAnsi"/>
          <w:color w:val="000000"/>
          <w:lang w:eastAsia="en-GB"/>
        </w:rPr>
        <w:lastRenderedPageBreak/>
        <w:t>2006 used a Markov model to find that screening with for CD in the adult population using IgA EMA was cost-effective compared to no screening</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&lt;EndNote&gt;&lt;Cite&gt;&lt;Author&gt;Shamir&lt;/Author&gt;&lt;Year&gt;2006&lt;/Year&gt;&lt;RecNum&gt;5&lt;/RecNum&gt;&lt;DisplayText&gt;&lt;style face="superscript"&gt;202&lt;/style&gt;&lt;/DisplayText&gt;&lt;record&gt;&lt;rec-number&gt;5&lt;/rec-number&gt;&lt;foreign-keys&gt;&lt;key app="EN" db-id="w9pwfv0xxa5v9vedxzkp20wvv52efwv0xppv" timestamp="1636614826"&gt;5&lt;/key&gt;&lt;/foreign-keys&gt;&lt;ref-type name="Journal Article"&gt;17&lt;/ref-type&gt;&lt;contributors&gt;&lt;authors&gt;&lt;author&gt;Shamir, R.&lt;/author&gt;&lt;author&gt;Hernell, O.&lt;/author&gt;&lt;author&gt;Leshno, M.&lt;/author&gt;&lt;/authors&gt;&lt;/contributors&gt;&lt;auth-address&gt;Division of Pediatric Gastroenterology and Nutrition, Meyer Children&amp;apos;s Hospital, Haifa, and the Bruce Rappaport School of Medicine, Technion-Israel Institute of Technology, Haifa, Israel.&lt;/auth-address&gt;&lt;titles&gt;&lt;title&gt;Cost-effectiveness analysis of screening for celiac disease in the adult population&lt;/title&gt;&lt;secondary-title&gt;Med Decis Making&lt;/secondary-title&gt;&lt;/titles&gt;&lt;periodical&gt;&lt;full-title&gt;Med Decis Making&lt;/full-title&gt;&lt;/periodical&gt;&lt;pages&gt;282-93&lt;/pages&gt;&lt;volume&gt;26&lt;/volume&gt;&lt;number&gt;3&lt;/number&gt;&lt;keywords&gt;&lt;keyword&gt;Adolescent&lt;/keyword&gt;&lt;keyword&gt;Adult&lt;/keyword&gt;&lt;keyword&gt;Autoantibodies/analysis&lt;/keyword&gt;&lt;keyword&gt;Celiac Disease/*diagnosis&lt;/keyword&gt;&lt;keyword&gt;Child&lt;/keyword&gt;&lt;keyword&gt;*Cost-Benefit Analysis&lt;/keyword&gt;&lt;keyword&gt;Humans&lt;/keyword&gt;&lt;keyword&gt;Markov Chains&lt;/keyword&gt;&lt;keyword&gt;Mass Screening/*economics&lt;/keyword&gt;&lt;/keywords&gt;&lt;dates&gt;&lt;year&gt;2006&lt;/year&gt;&lt;pub-dates&gt;&lt;date&gt;May-Jun&lt;/date&gt;&lt;/pub-dates&gt;&lt;/dates&gt;&lt;isbn&gt;0272-989X (Print)&amp;#xD;0272-989X (Linking)&lt;/isbn&gt;&lt;accession-num&gt;16751327&lt;/accession-num&gt;&lt;urls&gt;&lt;related-urls&gt;&lt;url&gt;https://www.ncbi.nlm.nih.gov/pubmed/16751327&lt;/url&gt;&lt;/related-urls&gt;&lt;/urls&gt;&lt;electronic-resource-num&gt;10.1177/0272989X06289012&lt;/electronic-resource-num&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202</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Herchcovici 2010 used a Markov model to find that mass screening via serological test followed by biopsy was cost-effective compared to no-screening</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&lt;EndNote&gt;&lt;Cite&gt;&lt;Author&gt;Hershcovici&lt;/Author&gt;&lt;Year&gt;2010&lt;/Year&gt;&lt;RecNum&gt;9&lt;/RecNum&gt;&lt;DisplayText&gt;&lt;style face="superscript"&gt;206&lt;/style&gt;&lt;/DisplayText&gt;&lt;record&gt;&lt;rec-number&gt;9&lt;/rec-number&gt;&lt;foreign-keys&gt;&lt;key app="EN" db-id="w9pwfv0xxa5v9vedxzkp20wvv52efwv0xppv" timestamp="1636614826"&gt;9&lt;/key&gt;&lt;/foreign-keys&gt;&lt;ref-type name="Journal Article"&gt;17&lt;/ref-type&gt;&lt;contributors&gt;&lt;authors&gt;&lt;author&gt;Hershcovici, T.&lt;/author&gt;&lt;author&gt;Leshno, M.&lt;/author&gt;&lt;author&gt;Goldin, E.&lt;/author&gt;&lt;author&gt;Shamir, R.&lt;/author&gt;&lt;author&gt;Israeli, E.&lt;/author&gt;&lt;/authors&gt;&lt;/contributors&gt;&lt;auth-address&gt;Gastroenterology Department, Hadassah-Hebrew University Medical Center, Jerusalem, Israel.&lt;/auth-address&gt;&lt;titles&gt;&lt;title&gt;Cost effectiveness of mass screening for coeliac disease is determined by time-delay to diagnosis and quality of life on a gluten-free diet&lt;/title&gt;&lt;secondary-title&gt;Aliment Pharmacol Ther&lt;/secondary-title&gt;&lt;/titles&gt;&lt;periodical&gt;&lt;full-title&gt;Aliment Pharmacol Ther&lt;/full-title&gt;&lt;/periodical&gt;&lt;pages&gt;901-10&lt;/pages&gt;&lt;volume&gt;31&lt;/volume&gt;&lt;number&gt;8&lt;/number&gt;&lt;keywords&gt;&lt;keyword&gt;Adult&lt;/keyword&gt;&lt;keyword&gt;Celiac Disease/*diagnosis/diet therapy/economics&lt;/keyword&gt;&lt;keyword&gt;Cost-Benefit Analysis&lt;/keyword&gt;&lt;keyword&gt;Delayed Diagnosis&lt;/keyword&gt;&lt;keyword&gt;*Diet, Gluten-Free&lt;/keyword&gt;&lt;keyword&gt;Female&lt;/keyword&gt;&lt;keyword&gt;Humans&lt;/keyword&gt;&lt;keyword&gt;Male&lt;/keyword&gt;&lt;keyword&gt;Markov Chains&lt;/keyword&gt;&lt;keyword&gt;Mass Screening/*economics&lt;/keyword&gt;&lt;keyword&gt;Quality of Life&lt;/keyword&gt;&lt;keyword&gt;Quality-Adjusted Life Years&lt;/keyword&gt;&lt;keyword&gt;Treatment Outcome&lt;/keyword&gt;&lt;/keywords&gt;&lt;dates&gt;&lt;year&gt;2010&lt;/year&gt;&lt;pub-dates&gt;&lt;date&gt;Apr&lt;/date&gt;&lt;/pub-dates&gt;&lt;/dates&gt;&lt;isbn&gt;1365-2036 (Electronic)&amp;#xD;0269-2813 (Linking)&lt;/isbn&gt;&lt;accession-num&gt;20096017&lt;/accession-num&gt;&lt;urls&gt;&lt;related-urls&gt;&lt;url&gt;https://www.ncbi.nlm.nih.gov/pubmed/20096017&lt;/url&gt;&lt;/related-urls&gt;&lt;/urls&gt;&lt;electronic-resource-num&gt;10.1111/j.1365-2036.2010.04242.x&lt;/electronic-resource-num&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206</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Park 2013 used a Markov model to find that universal serological screening (i.e. pre-test probability close to CD prevalence of 1%) to prevent nontraumatic hip and vertebral fractures was not cost-effective</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fldData xml:space="preserve">PEVuZE5vdGU+PENpdGU+PEF1dGhvcj5QYXJrPC9BdXRob3I+PFllYXI+MjAxMzwvWWVhcj48UmVj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</w:fldData>
        </w:fldChar>
      </w:r>
      <w:r w:rsidR="00735CC0">
        <w:rPr>
          <w:rFonts w:eastAsia="Times New Roman" w:cstheme="minorHAnsi"/>
          <w:color w:val="000000"/>
          <w:lang w:eastAsia="en-GB"/>
        </w:rPr>
        <w:instrText xml:space="preserve"> ADDIN EN.CITE </w:instrText>
      </w:r>
      <w:r w:rsidR="00735CC0">
        <w:rPr>
          <w:rFonts w:eastAsia="Times New Roman" w:cstheme="minorHAnsi"/>
          <w:color w:val="000000"/>
          <w:lang w:eastAsia="en-GB"/>
        </w:rPr>
        <w:fldChar w:fldCharType="begin">
          <w:fldData xml:space="preserve">PEVuZE5vdGU+PENpdGU+PEF1dGhvcj5QYXJrPC9BdXRob3I+PFllYXI+MjAxMzwvWWVhcj48UmVj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</w:fldData>
        </w:fldChar>
      </w:r>
      <w:r w:rsidR="00735CC0">
        <w:rPr>
          <w:rFonts w:eastAsia="Times New Roman" w:cstheme="minorHAnsi"/>
          <w:color w:val="000000"/>
          <w:lang w:eastAsia="en-GB"/>
        </w:rPr>
        <w:instrText xml:space="preserve"> ADDIN EN.CITE.DATA </w:instrText>
      </w:r>
      <w:r w:rsidR="00735CC0">
        <w:rPr>
          <w:rFonts w:eastAsia="Times New Roman" w:cstheme="minorHAnsi"/>
          <w:color w:val="000000"/>
          <w:lang w:eastAsia="en-GB"/>
        </w:rPr>
      </w:r>
      <w:r w:rsidR="00735CC0">
        <w:rPr>
          <w:rFonts w:eastAsia="Times New Roman" w:cstheme="minorHAnsi"/>
          <w:color w:val="000000"/>
          <w:lang w:eastAsia="en-GB"/>
        </w:rPr>
        <w:fldChar w:fldCharType="end"/>
      </w:r>
      <w:r w:rsidRPr="003A3918">
        <w:rPr>
          <w:rFonts w:eastAsia="Times New Roman" w:cstheme="minorHAnsi"/>
          <w:color w:val="000000"/>
          <w:lang w:eastAsia="en-GB"/>
        </w:rPr>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208</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However, this model did not consider impact of osteoporosis patients without fracture, NHL, or symptomatic relief via </w:t>
      </w:r>
      <w:r w:rsidR="00843965">
        <w:rPr>
          <w:rFonts w:eastAsia="Times New Roman" w:cstheme="minorHAnsi"/>
          <w:color w:val="000000"/>
          <w:lang w:eastAsia="en-GB"/>
        </w:rPr>
        <w:t>gluten-free diet</w:t>
      </w:r>
      <w:r w:rsidRPr="003A3918">
        <w:rPr>
          <w:rFonts w:eastAsia="Times New Roman" w:cstheme="minorHAnsi"/>
          <w:color w:val="000000"/>
          <w:lang w:eastAsia="en-GB"/>
        </w:rPr>
        <w:t>, so likely underestimated cost-effectiveness. In the Dutch setting, Mohseninejad 2013 used a Markov model to find that screening patients with IBS symptoms for CD was cost-effective</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&lt;EndNote&gt;&lt;Cite&gt;&lt;Author&gt;Mohseninejad&lt;/Author&gt;&lt;Year&gt;2013&lt;/Year&gt;&lt;RecNum&gt;10&lt;/RecNum&gt;&lt;DisplayText&gt;&lt;style face="superscript"&gt;207&lt;/style&gt;&lt;/DisplayText&gt;&lt;record&gt;&lt;rec-number&gt;10&lt;/rec-number&gt;&lt;foreign-keys&gt;&lt;key app="EN" db-id="w9pwfv0xxa5v9vedxzkp20wvv52efwv0xppv" timestamp="1636614826"&gt;10&lt;/key&gt;&lt;/foreign-keys&gt;&lt;ref-type name="Journal Article"&gt;17&lt;/ref-type&gt;&lt;contributors&gt;&lt;authors&gt;&lt;author&gt;Mohseninejad, L.&lt;/author&gt;&lt;author&gt;Feenstra, T.&lt;/author&gt;&lt;author&gt;van der Horst, H. E.&lt;/author&gt;&lt;author&gt;Woutersen-Koch, H.&lt;/author&gt;&lt;author&gt;Buskens, E.&lt;/author&gt;&lt;/authors&gt;&lt;/contributors&gt;&lt;auth-address&gt;Department of Epidemiology, University Medical Center Groningen, University of Groningen, Hanzeplein 1, PO Box 30.001, 9700 RB, Groningen, The Netherlands, mohseninejadl@epi.umcg.nl.&lt;/auth-address&gt;&lt;titles&gt;&lt;title&gt;Targeted screening for Coeliac Disease among irritable bowel syndrome patients: analysis of cost-effectiveness and value of information&lt;/title&gt;&lt;secondary-title&gt;Eur J Health Econ&lt;/secondary-title&gt;&lt;/titles&gt;&lt;periodical&gt;&lt;full-title&gt;Eur J Health Econ&lt;/full-title&gt;&lt;/periodical&gt;&lt;pages&gt;947-57&lt;/pages&gt;&lt;volume&gt;14&lt;/volume&gt;&lt;number&gt;6&lt;/number&gt;&lt;keywords&gt;&lt;keyword&gt;Age Factors&lt;/keyword&gt;&lt;keyword&gt;Celiac Disease/*diagnosis/*epidemiology&lt;/keyword&gt;&lt;keyword&gt;Computer Simulation&lt;/keyword&gt;&lt;keyword&gt;Cost-Benefit Analysis&lt;/keyword&gt;&lt;keyword&gt;Decision Support Techniques&lt;/keyword&gt;&lt;keyword&gt;Endoscopy&lt;/keyword&gt;&lt;keyword&gt;Humans&lt;/keyword&gt;&lt;keyword&gt;Incidence&lt;/keyword&gt;&lt;keyword&gt;Irritable Bowel Syndrome/*epidemiology&lt;/keyword&gt;&lt;keyword&gt;Mass Screening/*economics&lt;/keyword&gt;&lt;keyword&gt;Models, Economic&lt;/keyword&gt;&lt;keyword&gt;Prevalence&lt;/keyword&gt;&lt;keyword&gt;*Quality of Life&lt;/keyword&gt;&lt;keyword&gt;Quality-Adjusted Life Years&lt;/keyword&gt;&lt;/keywords&gt;&lt;dates&gt;&lt;year&gt;2013&lt;/year&gt;&lt;pub-dates&gt;&lt;date&gt;Dec&lt;/date&gt;&lt;/pub-dates&gt;&lt;/dates&gt;&lt;isbn&gt;1618-7601 (Electronic)&amp;#xD;1618-7598 (Linking)&lt;/isbn&gt;&lt;accession-num&gt;23179163&lt;/accession-num&gt;&lt;urls&gt;&lt;related-urls&gt;&lt;url&gt;https://www.ncbi.nlm.nih.gov/pubmed/23179163&lt;/url&gt;&lt;/related-urls&gt;&lt;/urls&gt;&lt;electronic-resource-num&gt;10.1007/s10198-012-0441-4&lt;/electronic-resource-num&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207</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Our model was largely based on the 2015 UK NICE model</w:t>
      </w:r>
      <w:r w:rsidR="007B6C5C">
        <w:rPr>
          <w:rFonts w:eastAsia="Times New Roman" w:cstheme="minorHAnsi"/>
          <w:color w:val="000000"/>
          <w:lang w:eastAsia="en-GB"/>
        </w:rPr>
        <w:t>.</w:t>
      </w:r>
      <w:r w:rsidRPr="003A3918">
        <w:rPr>
          <w:rFonts w:eastAsia="Times New Roman" w:cstheme="minorHAnsi"/>
          <w:color w:val="000000"/>
          <w:lang w:eastAsia="en-GB"/>
        </w:rPr>
        <w:fldChar w:fldCharType="begin"/>
      </w:r>
      <w:r w:rsidR="00735CC0">
        <w:rPr>
          <w:rFonts w:eastAsia="Times New Roman" w:cstheme="minorHAnsi"/>
          <w:color w:val="000000"/>
          <w:lang w:eastAsia="en-GB"/>
        </w:rPr>
        <w:instrText xml:space="preserve"> ADDIN EN.CITE &lt;EndNote&gt;&lt;Cite&gt;&lt;Author&gt;NICE&lt;/Author&gt;&lt;Year&gt;2015&lt;/Year&gt;&lt;RecNum&gt;1&lt;/RecNum&gt;&lt;DisplayText&gt;&lt;style face="superscript"&gt;198&lt;/style&gt;&lt;/DisplayText&gt;&lt;record&gt;&lt;rec-number&gt;1&lt;/rec-number&gt;&lt;foreign-keys&gt;&lt;key app="EN" db-id="w9pwfv0xxa5v9vedxzkp20wvv52efwv0xppv" timestamp="1636614826"&gt;1&lt;/key&gt;&lt;/foreign-keys&gt;&lt;ref-type name="Journal Article"&gt;17&lt;/ref-type&gt;&lt;contributors&gt;&lt;authors&gt;&lt;author&gt;NICE&lt;/author&gt;&lt;/authors&gt;&lt;/contributors&gt;&lt;titles&gt;&lt;title&gt;Coeliac Disease. Full Health Economics Report&lt;/title&gt;&lt;/titles&gt;&lt;dates&gt;&lt;year&gt;2015&lt;/year&gt;&lt;/dates&gt;&lt;urls&gt;&lt;/urls&gt;&lt;/record&gt;&lt;/Cite&gt;&lt;/EndNote&gt;</w:instrText>
      </w:r>
      <w:r w:rsidRPr="003A3918">
        <w:rPr>
          <w:rFonts w:eastAsia="Times New Roman" w:cstheme="minorHAnsi"/>
          <w:color w:val="000000"/>
          <w:lang w:eastAsia="en-GB"/>
        </w:rPr>
        <w:fldChar w:fldCharType="separate"/>
      </w:r>
      <w:r w:rsidR="00735CC0" w:rsidRPr="00735CC0">
        <w:rPr>
          <w:rFonts w:eastAsia="Times New Roman" w:cstheme="minorHAnsi"/>
          <w:noProof/>
          <w:color w:val="000000"/>
          <w:vertAlign w:val="superscript"/>
          <w:lang w:eastAsia="en-GB"/>
        </w:rPr>
        <w:t>198</w:t>
      </w:r>
      <w:r w:rsidRPr="003A3918">
        <w:rPr>
          <w:rFonts w:eastAsia="Times New Roman" w:cstheme="minorHAnsi"/>
          <w:color w:val="000000"/>
          <w:lang w:eastAsia="en-GB"/>
        </w:rPr>
        <w:fldChar w:fldCharType="end"/>
      </w:r>
      <w:r w:rsidRPr="003A3918">
        <w:rPr>
          <w:rFonts w:eastAsia="Times New Roman" w:cstheme="minorHAnsi"/>
          <w:color w:val="000000"/>
          <w:lang w:eastAsia="en-GB"/>
        </w:rPr>
        <w:t xml:space="preserve"> Our analysis extends their evaluation of active case finding strategies. They found screening first-</w:t>
      </w:r>
      <w:r w:rsidR="00CC3345" w:rsidRPr="003A3918">
        <w:rPr>
          <w:rFonts w:eastAsia="Times New Roman" w:cstheme="minorHAnsi"/>
          <w:color w:val="000000"/>
          <w:lang w:eastAsia="en-GB"/>
        </w:rPr>
        <w:t>degree</w:t>
      </w:r>
      <w:r w:rsidRPr="003A3918">
        <w:rPr>
          <w:rFonts w:eastAsia="Times New Roman" w:cstheme="minorHAnsi"/>
          <w:color w:val="000000"/>
          <w:lang w:eastAsia="en-GB"/>
        </w:rPr>
        <w:t xml:space="preserve"> relatives of people with </w:t>
      </w:r>
      <w:r w:rsidRPr="006D31D4">
        <w:rPr>
          <w:rFonts w:eastAsia="Times New Roman" w:cstheme="minorHAnsi"/>
          <w:color w:val="000000"/>
          <w:lang w:eastAsia="en-GB"/>
        </w:rPr>
        <w:t>CD</w:t>
      </w:r>
      <w:r w:rsidRPr="003A3918">
        <w:rPr>
          <w:rFonts w:eastAsia="Times New Roman" w:cstheme="minorHAnsi"/>
          <w:color w:val="000000"/>
          <w:lang w:eastAsia="en-GB"/>
        </w:rPr>
        <w:t xml:space="preserve"> was cost-effective in adults and children, that screening people with type</w:t>
      </w:r>
      <w:r w:rsidR="00047E8B">
        <w:rPr>
          <w:rFonts w:eastAsia="Times New Roman" w:cstheme="minorHAnsi"/>
          <w:color w:val="000000"/>
          <w:lang w:eastAsia="en-GB"/>
        </w:rPr>
        <w:t xml:space="preserve"> </w:t>
      </w:r>
      <w:r w:rsidRPr="003A3918">
        <w:rPr>
          <w:rFonts w:eastAsia="Times New Roman" w:cstheme="minorHAnsi"/>
          <w:color w:val="000000"/>
          <w:lang w:eastAsia="en-GB"/>
        </w:rPr>
        <w:t>1 diabetes was cost-effective in adults and potentially cost-effective in children, and that screening those autoimmune thyroid disease was not cost-effective in adults or children.</w:t>
      </w:r>
    </w:p>
    <w:p w14:paraId="0EF9A881" w14:textId="77777777" w:rsidR="0075069B" w:rsidRPr="00734942" w:rsidRDefault="0075069B" w:rsidP="0054221E"/>
    <w:p w14:paraId="773A378D" w14:textId="77777777" w:rsidR="00C54AD7" w:rsidRPr="00734942" w:rsidRDefault="00C54AD7" w:rsidP="00C54AD7">
      <w:pPr>
        <w:rPr>
          <w:rFonts w:asciiTheme="majorHAnsi" w:eastAsiaTheme="majorEastAsia" w:hAnsiTheme="majorHAnsi" w:cstheme="majorBidi"/>
          <w:color w:val="2F5496" w:themeColor="accent1" w:themeShade="BF"/>
          <w:sz w:val="32"/>
          <w:szCs w:val="32"/>
        </w:rPr>
      </w:pPr>
      <w:r w:rsidRPr="00734942">
        <w:br w:type="page"/>
      </w:r>
    </w:p>
    <w:p w14:paraId="0F7211B7" w14:textId="77777777" w:rsidR="00C54AD7" w:rsidRPr="00734942" w:rsidRDefault="00C54AD7" w:rsidP="00C54AD7">
      <w:pPr>
        <w:pStyle w:val="Heading1"/>
      </w:pPr>
      <w:bookmarkStart w:id="328" w:name="_Toc99539909"/>
      <w:r w:rsidRPr="00734942">
        <w:lastRenderedPageBreak/>
        <w:t>Chapter 10: Conclusions</w:t>
      </w:r>
      <w:bookmarkEnd w:id="328"/>
    </w:p>
    <w:p w14:paraId="503147B1" w14:textId="77777777" w:rsidR="00F64CD6" w:rsidRDefault="00F64CD6" w:rsidP="00F64CD6">
      <w:pPr>
        <w:pStyle w:val="Heading2"/>
      </w:pPr>
      <w:bookmarkStart w:id="329" w:name="_Toc99539910"/>
      <w:r>
        <w:t>Implications for practice</w:t>
      </w:r>
      <w:bookmarkEnd w:id="329"/>
    </w:p>
    <w:p w14:paraId="0D98211A" w14:textId="5C114798" w:rsidR="00F64CD6" w:rsidRDefault="00F64CD6" w:rsidP="00160F58">
      <w:r>
        <w:t>Our cost-effectiveness analysis suggested</w:t>
      </w:r>
      <w:r w:rsidR="004A0B55">
        <w:t xml:space="preserve"> that if using serological testing alone</w:t>
      </w:r>
      <w:r>
        <w:t xml:space="preserve"> the most cost-effective strategy in adults is </w:t>
      </w:r>
      <w:r w:rsidR="007E4DA0">
        <w:t xml:space="preserve">likely to be </w:t>
      </w:r>
      <w:r>
        <w:t>population based screening (</w:t>
      </w:r>
      <w:r w:rsidR="00437F89">
        <w:t>i.e. tes</w:t>
      </w:r>
      <w:r w:rsidR="00F52954">
        <w:t xml:space="preserve">ting all adults with at least a </w:t>
      </w:r>
      <w:r>
        <w:t xml:space="preserve">1% pre-test probability) with either IgA tTG or IgA EMA, or with a combination of both tests. Given the wider availability of IgA tTG in UK laboratories, the more objective interpretation of the test, </w:t>
      </w:r>
      <w:r w:rsidR="0052699B">
        <w:t xml:space="preserve">and its potential value in </w:t>
      </w:r>
      <w:r w:rsidR="00951A0F">
        <w:t>showing response to a gluten</w:t>
      </w:r>
      <w:r w:rsidR="00CB386E">
        <w:t>-</w:t>
      </w:r>
      <w:r w:rsidR="00951A0F">
        <w:t xml:space="preserve">free diet, </w:t>
      </w:r>
      <w:r>
        <w:t>we would recommend IgA tTG as the serological test to be used.</w:t>
      </w:r>
      <w:r w:rsidR="006E552D">
        <w:rPr>
          <w:rFonts w:cstheme="minorHAnsi"/>
          <w:lang w:eastAsia="ko-KR"/>
        </w:rPr>
        <w:fldChar w:fldCharType="begin"/>
      </w:r>
      <w:r w:rsidR="00735CC0">
        <w:rPr>
          <w:rFonts w:cstheme="minorHAnsi"/>
          <w:lang w:eastAsia="ko-KR"/>
        </w:rPr>
        <w:instrText xml:space="preserve"> ADDIN EN.CITE &lt;EndNote&gt;&lt;Cite&gt;&lt;Author&gt;Paul&lt;/Author&gt;&lt;Year&gt;2017&lt;/Year&gt;&lt;RecNum&gt;559&lt;/RecNum&gt;&lt;DisplayText&gt;&lt;style face="superscript"&gt;254&lt;/style&gt;&lt;/DisplayText&gt;&lt;record&gt;&lt;rec-number&gt;559&lt;/rec-number&gt;&lt;foreign-keys&gt;&lt;key app="EN" db-id="tdwrx9xd1z9eepeevr355w2k959rv0f5zaax" timestamp="1636620393"&gt;559&lt;/key&gt;&lt;/foreign-keys&gt;&lt;ref-type name="Journal Article"&gt;17&lt;/ref-type&gt;&lt;contributors&gt;&lt;authors&gt;&lt;author&gt;Paul, S. P.&lt;/author&gt;&lt;author&gt;Harries, S. L.&lt;/author&gt;&lt;author&gt;Basude, D.&lt;/author&gt;&lt;/authors&gt;&lt;/contributors&gt;&lt;auth-address&gt;Department of Paediatric Gastroenterology, Bristol Royal Hospital for Children, Bristol, UK.&amp;#xD;Medical School, University of Bristol, Bristol, UK.&lt;/auth-address&gt;&lt;titles&gt;&lt;title&gt;Barriers to implementing the revised ESPGHAN guidelines for coeliac disease in children: a cross-sectional survey of coeliac screen reporting in laboratories in England&lt;/title&gt;&lt;secondary-title&gt;Arch Dis Child&lt;/secondary-title&gt;&lt;/titles&gt;&lt;periodical&gt;&lt;full-title&gt;Arch Dis Child&lt;/full-title&gt;&lt;/periodical&gt;&lt;pages&gt;942-946&lt;/pages&gt;&lt;volume&gt;102&lt;/volume&gt;&lt;number&gt;10&lt;/number&gt;&lt;keywords&gt;&lt;keyword&gt;Celiac Disease/*diagnosis&lt;/keyword&gt;&lt;keyword&gt;Child&lt;/keyword&gt;&lt;keyword&gt;Cross-Sectional Studies&lt;/keyword&gt;&lt;keyword&gt;Databases, Factual&lt;/keyword&gt;&lt;keyword&gt;England&lt;/keyword&gt;&lt;keyword&gt;Female&lt;/keyword&gt;&lt;keyword&gt;Guidelines as Topic&lt;/keyword&gt;&lt;keyword&gt;Humans&lt;/keyword&gt;&lt;keyword&gt;Male&lt;/keyword&gt;&lt;keyword&gt;Mass Screening/*methods/statistics &amp;amp; numerical data&lt;/keyword&gt;&lt;keyword&gt;*Anti-tissue transglutaminase&lt;/keyword&gt;&lt;keyword&gt;*Coeliac disease&lt;/keyword&gt;&lt;keyword&gt;*ESPGHAN guidelines&lt;/keyword&gt;&lt;keyword&gt;*Gastroenterology&lt;/keyword&gt;&lt;keyword&gt;*General Paediatrics&lt;/keyword&gt;&lt;keyword&gt;*Laboratory medicine&lt;/keyword&gt;&lt;/keywords&gt;&lt;dates&gt;&lt;year&gt;2017&lt;/year&gt;&lt;pub-dates&gt;&lt;date&gt;Oct&lt;/date&gt;&lt;/pub-dates&gt;&lt;/dates&gt;&lt;isbn&gt;1468-2044 (Electronic)&amp;#xD;0003-9888 (Linking)&lt;/isbn&gt;&lt;accession-num&gt;28483757&lt;/accession-num&gt;&lt;urls&gt;&lt;related-urls&gt;&lt;url&gt;https://www.ncbi.nlm.nih.gov/pubmed/28483757&lt;/url&gt;&lt;/related-urls&gt;&lt;/urls&gt;&lt;electronic-resource-num&gt;10.1136/archdischild-2016-312027&lt;/electronic-resource-num&gt;&lt;/record&gt;&lt;/Cite&gt;&lt;/EndNote&gt;</w:instrText>
      </w:r>
      <w:r w:rsidR="006E552D">
        <w:rPr>
          <w:rFonts w:cstheme="minorHAnsi"/>
          <w:lang w:eastAsia="ko-KR"/>
        </w:rPr>
        <w:fldChar w:fldCharType="separate"/>
      </w:r>
      <w:r w:rsidR="00735CC0" w:rsidRPr="00735CC0">
        <w:rPr>
          <w:rFonts w:cstheme="minorHAnsi"/>
          <w:noProof/>
          <w:vertAlign w:val="superscript"/>
          <w:lang w:eastAsia="ko-KR"/>
        </w:rPr>
        <w:t>254</w:t>
      </w:r>
      <w:r w:rsidR="006E552D">
        <w:rPr>
          <w:rFonts w:cstheme="minorHAnsi"/>
          <w:lang w:eastAsia="ko-KR"/>
        </w:rPr>
        <w:fldChar w:fldCharType="end"/>
      </w:r>
      <w:r w:rsidR="006E552D">
        <w:rPr>
          <w:rFonts w:cstheme="minorHAnsi"/>
          <w:lang w:eastAsia="ko-KR"/>
        </w:rPr>
        <w:t xml:space="preserve"> </w:t>
      </w:r>
      <w:r>
        <w:t>However, there is uncertainty in these results and value</w:t>
      </w:r>
      <w:r w:rsidR="00F24723">
        <w:t>, particularly in adult women,</w:t>
      </w:r>
      <w:r>
        <w:t xml:space="preserve"> in conducting further research, such as through a long-term randomised controlled trial of screening strategies. Furthermore, decisions to implement population based screening cannot be made based on this economic analysis alone – the proposed screening programme must meet UK National Screening Committee Criteria.</w:t>
      </w:r>
      <w:r w:rsidR="00AC4508">
        <w:fldChar w:fldCharType="begin"/>
      </w:r>
      <w:r w:rsidR="00031047">
        <w:instrText xml:space="preserve"> ADDIN EN.CITE &lt;EndNote&gt;&lt;Cite&gt;&lt;Author&gt;UK National Screening Committee&lt;/Author&gt;&lt;Year&gt;2015&lt;/Year&gt;&lt;RecNum&gt;580&lt;/RecNum&gt;&lt;DisplayText&gt;&lt;style face="superscript"&gt;295&lt;/style&gt;&lt;/DisplayText&gt;&lt;record&gt;&lt;rec-number&gt;580&lt;/rec-number&gt;&lt;foreign-keys&gt;&lt;key app="EN" db-id="tdwrx9xd1z9eepeevr355w2k959rv0f5zaax" timestamp="1636709544"&gt;580&lt;/key&gt;&lt;/foreign-keys&gt;&lt;ref-type name="Government Document"&gt;46&lt;/ref-type&gt;&lt;contributors&gt;&lt;authors&gt;&lt;author&gt;UK National Screening Committee,&lt;/author&gt;&lt;/authors&gt;&lt;secondary-authors&gt;&lt;author&gt;GOV.UK&lt;/author&gt;&lt;/secondary-authors&gt;&lt;/contributors&gt;&lt;titles&gt;&lt;title&gt;Criteria for appraising the viability, effectiveness and appropriateness of a screening programme&lt;/title&gt;&lt;/titles&gt;&lt;dates&gt;&lt;year&gt;2015&lt;/year&gt;&lt;/dates&gt;&lt;urls&gt;&lt;related-urls&gt;&lt;url&gt;https://www.gov.uk/government/publications/evidence-review-criteria-national-screening-programmes/criteria-for-appraising-the-viability-effectiveness-and-appropriateness-of-a-screening-programme&lt;/url&gt;&lt;/related-urls&gt;&lt;/urls&gt;&lt;/record&gt;&lt;/Cite&gt;&lt;/EndNote&gt;</w:instrText>
      </w:r>
      <w:r w:rsidR="00AC4508">
        <w:fldChar w:fldCharType="separate"/>
      </w:r>
      <w:r w:rsidR="00031047" w:rsidRPr="00031047">
        <w:rPr>
          <w:noProof/>
          <w:vertAlign w:val="superscript"/>
        </w:rPr>
        <w:t>295</w:t>
      </w:r>
      <w:r w:rsidR="00AC4508">
        <w:fldChar w:fldCharType="end"/>
      </w:r>
      <w:r w:rsidR="00AC4508">
        <w:t xml:space="preserve"> Whilst a CD screening programme meets some of these criteria it does not yet meet all criteria</w:t>
      </w:r>
      <w:r w:rsidR="002669F0">
        <w:t xml:space="preserve"> (</w:t>
      </w:r>
      <w:r w:rsidR="00400BAA">
        <w:t>Appendix 29</w:t>
      </w:r>
      <w:r>
        <w:t>). Key criteria that would need to be met before such a programme could be implemented are consensus on an appropriate threshold for the screening test (IgA tTG), agreement on further diagnostic workup in those testing positive for IgA tTG, and randomised trials showing the effectiveness of the screening programme.</w:t>
      </w:r>
    </w:p>
    <w:p w14:paraId="203AA715" w14:textId="441BF60B" w:rsidR="00F64CD6" w:rsidRDefault="008665F6" w:rsidP="00F64CD6">
      <w:r>
        <w:t>Our cost-effectiveness analysis found that</w:t>
      </w:r>
      <w:r w:rsidRPr="008665F6">
        <w:t xml:space="preserve"> </w:t>
      </w:r>
      <w:r w:rsidR="004F4303">
        <w:t>serological</w:t>
      </w:r>
      <w:r>
        <w:t xml:space="preserve"> </w:t>
      </w:r>
      <w:r w:rsidR="008E2B63">
        <w:t xml:space="preserve">testing combined </w:t>
      </w:r>
      <w:r>
        <w:t xml:space="preserve">with HLA testing strategies with 1-20% pre-test probability had very similar cost-effectiveness to each other and to IgA tTG with a 1% pre-test probability. </w:t>
      </w:r>
      <w:r w:rsidR="00F64CD6">
        <w:t>Given that population screening is not considered appropriate without additional evidence</w:t>
      </w:r>
      <w:r>
        <w:t xml:space="preserve">, </w:t>
      </w:r>
      <w:r w:rsidR="0052699B">
        <w:t>the advantages of IgA tTG testing over IgA EMA testing</w:t>
      </w:r>
      <w:r w:rsidR="00F64CD6">
        <w:t>,</w:t>
      </w:r>
      <w:r>
        <w:t xml:space="preserve"> and the difficulty of </w:t>
      </w:r>
      <w:r w:rsidR="00106870">
        <w:t>identifying patients with 5-20% pre-test probability,</w:t>
      </w:r>
      <w:r w:rsidR="00F64CD6">
        <w:t xml:space="preserve"> we recommend a strategy that combines HLA </w:t>
      </w:r>
      <w:r w:rsidR="00F64CD6" w:rsidRPr="0065324B">
        <w:t xml:space="preserve">testing </w:t>
      </w:r>
      <w:r w:rsidR="001E0815" w:rsidRPr="0065324B">
        <w:t>with</w:t>
      </w:r>
      <w:r w:rsidR="009A0E15" w:rsidRPr="0065324B">
        <w:t xml:space="preserve"> IgA </w:t>
      </w:r>
      <w:r w:rsidR="00815C9B" w:rsidRPr="0065324B">
        <w:t>t</w:t>
      </w:r>
      <w:r w:rsidR="009A0E15" w:rsidRPr="0065324B">
        <w:t>TG testing</w:t>
      </w:r>
      <w:r w:rsidR="00F64CD6" w:rsidRPr="0065324B">
        <w:t xml:space="preserve"> in those with at least a 1.5% pre-test probability in adults. </w:t>
      </w:r>
      <w:r w:rsidR="001E0815" w:rsidRPr="0065324B">
        <w:t xml:space="preserve">The cost-effectiveness analysis suggested that it was more cost effective to perform the </w:t>
      </w:r>
      <w:r w:rsidR="001E0815" w:rsidRPr="000526F1">
        <w:t>HLA test prior to the IgA tTG test.</w:t>
      </w:r>
      <w:r w:rsidR="00F64CD6" w:rsidRPr="0065324B">
        <w:t xml:space="preserve"> In children, the most cost effective testing strategy is for </w:t>
      </w:r>
      <w:r w:rsidR="00106870" w:rsidRPr="0065324B">
        <w:t>10</w:t>
      </w:r>
      <w:r w:rsidR="00F64CD6" w:rsidRPr="0065324B">
        <w:t xml:space="preserve">% pre-test probability of CD (more cost effective than population screening). Indicators that should prompt testing are therefore those that increase the risk of CD to at least 1.5% in adults and to </w:t>
      </w:r>
      <w:r w:rsidR="00106870" w:rsidRPr="0065324B">
        <w:t>10</w:t>
      </w:r>
      <w:r w:rsidR="00F64CD6" w:rsidRPr="0065324B">
        <w:t>% in</w:t>
      </w:r>
      <w:r w:rsidR="00F64CD6">
        <w:t xml:space="preserve"> children. These are summarised in </w:t>
      </w:r>
      <w:r w:rsidR="00F64CD6">
        <w:fldChar w:fldCharType="begin"/>
      </w:r>
      <w:r w:rsidR="00F64CD6">
        <w:instrText xml:space="preserve"> REF _Ref87603970 \h </w:instrText>
      </w:r>
      <w:r w:rsidR="00F64CD6">
        <w:fldChar w:fldCharType="separate"/>
      </w:r>
      <w:r w:rsidR="008B5583">
        <w:t xml:space="preserve">Table </w:t>
      </w:r>
      <w:r w:rsidR="008B5583">
        <w:rPr>
          <w:noProof/>
        </w:rPr>
        <w:t>23</w:t>
      </w:r>
      <w:r w:rsidR="00F64CD6">
        <w:fldChar w:fldCharType="end"/>
      </w:r>
      <w:r w:rsidR="00F64CD6">
        <w:t>. These are diagnostic indicators identified by our review of diagnostic indicators (Chapter 3) and through the prediction model (Chapter 4).</w:t>
      </w:r>
    </w:p>
    <w:p w14:paraId="052892CB" w14:textId="2CE5ABC3" w:rsidR="00F64CD6" w:rsidRDefault="00F64CD6" w:rsidP="00F64CD6">
      <w:r>
        <w:t>However,</w:t>
      </w:r>
      <w:r w:rsidR="00F7337B">
        <w:t xml:space="preserve"> recommending a strategy that involves testing a large proportion of people for the presence of the HLA genes </w:t>
      </w:r>
      <w:r>
        <w:t>may have unintended costs and consequences not captured by the economic model. As this test has low specificity, a large proportion of those who test positive would be false positive results – they would not have CD. All of these would require follow-up calls from a GP to discuss their test results and would have to be told that they have a genetic risk factor that puts them at risk of CD and other autoimmune conditions such as type 1 diabetes and rheumatoid arthritis. This could cause unnecessary patient concern</w:t>
      </w:r>
      <w:r w:rsidR="009B04A3">
        <w:t>.</w:t>
      </w:r>
    </w:p>
    <w:p w14:paraId="00943823" w14:textId="1C40A116" w:rsidR="00F64CD6" w:rsidRDefault="00F64CD6" w:rsidP="00F64CD6">
      <w:r>
        <w:t xml:space="preserve">All strategies evaluated </w:t>
      </w:r>
      <w:r w:rsidR="00975D70">
        <w:t xml:space="preserve">assumed that </w:t>
      </w:r>
      <w:r>
        <w:t xml:space="preserve">biopsy confirmation </w:t>
      </w:r>
      <w:r w:rsidR="00975D70">
        <w:t>would be used</w:t>
      </w:r>
      <w:r>
        <w:t xml:space="preserve"> if the post-test probability following positive test results remained lower than 90%. Whether this is the case will depend on the pre-test probability of disease, and so it may be difficult to implement such a strategy in practice. The variation among individuals in their preferred diagnostic certainty and attitudes towards having a biopsy or following the gluten-free diet suggests that shared decision making in which patient preferences are taking into account is important in determining the ‘optimum’ diagnostic pathway.</w:t>
      </w:r>
    </w:p>
    <w:p w14:paraId="513A47A4" w14:textId="77777777" w:rsidR="00F64CD6" w:rsidRDefault="00F64CD6" w:rsidP="00F64CD6"/>
    <w:p w14:paraId="43DB4FDF" w14:textId="7FBAED31" w:rsidR="00F64CD6" w:rsidRDefault="00F64CD6" w:rsidP="00F64CD6">
      <w:pPr>
        <w:pStyle w:val="Caption"/>
      </w:pPr>
      <w:bookmarkStart w:id="330" w:name="_Ref87603970"/>
      <w:bookmarkStart w:id="331" w:name="_Toc99720734"/>
      <w:r>
        <w:lastRenderedPageBreak/>
        <w:t xml:space="preserve">Table </w:t>
      </w:r>
      <w:r>
        <w:fldChar w:fldCharType="begin"/>
      </w:r>
      <w:r>
        <w:instrText>SEQ Table \* ARABIC</w:instrText>
      </w:r>
      <w:r>
        <w:fldChar w:fldCharType="separate"/>
      </w:r>
      <w:r w:rsidR="008B5583">
        <w:rPr>
          <w:noProof/>
        </w:rPr>
        <w:t>23</w:t>
      </w:r>
      <w:r>
        <w:fldChar w:fldCharType="end"/>
      </w:r>
      <w:bookmarkEnd w:id="330"/>
      <w:r>
        <w:t xml:space="preserve"> Indicators that should prompt testing in men, women and children</w:t>
      </w:r>
      <w:bookmarkEnd w:id="331"/>
    </w:p>
    <w:tbl>
      <w:tblPr>
        <w:tblStyle w:val="TableGrid"/>
        <w:tblW w:w="0" w:type="auto"/>
        <w:tblLook w:val="04A0" w:firstRow="1" w:lastRow="0" w:firstColumn="1" w:lastColumn="0" w:noHBand="0" w:noVBand="1"/>
      </w:tblPr>
      <w:tblGrid>
        <w:gridCol w:w="4508"/>
        <w:gridCol w:w="4508"/>
      </w:tblGrid>
      <w:tr w:rsidR="00F64CD6" w14:paraId="22E3F03A"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4E809493" w14:textId="77777777" w:rsidR="00F64CD6" w:rsidRDefault="00F64CD6">
            <w:pPr>
              <w:rPr>
                <w:b/>
                <w:bCs/>
              </w:rPr>
            </w:pPr>
            <w:r>
              <w:rPr>
                <w:b/>
                <w:bCs/>
              </w:rPr>
              <w:t>Population</w:t>
            </w:r>
          </w:p>
        </w:tc>
        <w:tc>
          <w:tcPr>
            <w:tcW w:w="4508" w:type="dxa"/>
            <w:tcBorders>
              <w:top w:val="single" w:sz="4" w:space="0" w:color="auto"/>
              <w:left w:val="single" w:sz="4" w:space="0" w:color="auto"/>
              <w:bottom w:val="single" w:sz="4" w:space="0" w:color="auto"/>
              <w:right w:val="single" w:sz="4" w:space="0" w:color="auto"/>
            </w:tcBorders>
            <w:hideMark/>
          </w:tcPr>
          <w:p w14:paraId="35D0B607" w14:textId="37F1C2D9" w:rsidR="00F64CD6" w:rsidRDefault="00F64CD6">
            <w:pPr>
              <w:rPr>
                <w:b/>
                <w:bCs/>
              </w:rPr>
            </w:pPr>
            <w:r>
              <w:rPr>
                <w:b/>
                <w:bCs/>
              </w:rPr>
              <w:t xml:space="preserve">Indicator </w:t>
            </w:r>
          </w:p>
        </w:tc>
      </w:tr>
      <w:tr w:rsidR="00F64CD6" w:rsidRPr="005E607C" w14:paraId="4D0FB5C5"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1D83B811" w14:textId="77777777" w:rsidR="00F64CD6" w:rsidRDefault="00F64CD6">
            <w:r>
              <w:t>All (men, women and children)</w:t>
            </w:r>
          </w:p>
        </w:tc>
        <w:tc>
          <w:tcPr>
            <w:tcW w:w="4508" w:type="dxa"/>
            <w:tcBorders>
              <w:top w:val="single" w:sz="4" w:space="0" w:color="auto"/>
              <w:left w:val="single" w:sz="4" w:space="0" w:color="auto"/>
              <w:bottom w:val="single" w:sz="4" w:space="0" w:color="auto"/>
              <w:right w:val="single" w:sz="4" w:space="0" w:color="auto"/>
            </w:tcBorders>
            <w:hideMark/>
          </w:tcPr>
          <w:p w14:paraId="65A39AF8" w14:textId="77777777" w:rsidR="00F64CD6" w:rsidRDefault="00F64CD6">
            <w:pPr>
              <w:rPr>
                <w:sz w:val="20"/>
                <w:szCs w:val="20"/>
              </w:rPr>
            </w:pPr>
            <w:r>
              <w:rPr>
                <w:sz w:val="20"/>
                <w:szCs w:val="20"/>
              </w:rPr>
              <w:t>First degree relatives with CD</w:t>
            </w:r>
          </w:p>
          <w:p w14:paraId="507D0272" w14:textId="77777777" w:rsidR="00F64CD6" w:rsidRDefault="00F64CD6">
            <w:pPr>
              <w:rPr>
                <w:sz w:val="20"/>
                <w:szCs w:val="20"/>
              </w:rPr>
            </w:pPr>
            <w:r>
              <w:rPr>
                <w:sz w:val="20"/>
                <w:szCs w:val="20"/>
              </w:rPr>
              <w:t>Anaemia</w:t>
            </w:r>
          </w:p>
          <w:p w14:paraId="66D3ADE6" w14:textId="77777777" w:rsidR="00F64CD6" w:rsidRDefault="00F64CD6">
            <w:pPr>
              <w:rPr>
                <w:sz w:val="20"/>
                <w:szCs w:val="20"/>
              </w:rPr>
            </w:pPr>
            <w:r>
              <w:rPr>
                <w:sz w:val="20"/>
                <w:szCs w:val="20"/>
              </w:rPr>
              <w:t>Iron, vit B12, or folate deficiency</w:t>
            </w:r>
          </w:p>
          <w:p w14:paraId="61C32C44" w14:textId="77777777" w:rsidR="00F64CD6" w:rsidRDefault="00F64CD6">
            <w:pPr>
              <w:rPr>
                <w:sz w:val="20"/>
                <w:szCs w:val="20"/>
              </w:rPr>
            </w:pPr>
            <w:r>
              <w:rPr>
                <w:sz w:val="20"/>
                <w:szCs w:val="20"/>
              </w:rPr>
              <w:t>Type 1 diabetes</w:t>
            </w:r>
          </w:p>
          <w:p w14:paraId="17861322" w14:textId="77777777" w:rsidR="00F64CD6" w:rsidRDefault="00F64CD6">
            <w:pPr>
              <w:rPr>
                <w:sz w:val="20"/>
                <w:szCs w:val="20"/>
              </w:rPr>
            </w:pPr>
            <w:r>
              <w:rPr>
                <w:sz w:val="20"/>
                <w:szCs w:val="20"/>
              </w:rPr>
              <w:t>Weight loss</w:t>
            </w:r>
          </w:p>
          <w:p w14:paraId="0D98BE72" w14:textId="77777777" w:rsidR="00F64CD6" w:rsidRDefault="00F64CD6">
            <w:pPr>
              <w:rPr>
                <w:sz w:val="20"/>
                <w:szCs w:val="20"/>
              </w:rPr>
            </w:pPr>
            <w:r>
              <w:rPr>
                <w:sz w:val="20"/>
                <w:szCs w:val="20"/>
              </w:rPr>
              <w:t>Down syndrome</w:t>
            </w:r>
          </w:p>
          <w:p w14:paraId="37CECCA5" w14:textId="77777777" w:rsidR="00F64CD6" w:rsidRPr="00FF41D4" w:rsidRDefault="00F64CD6">
            <w:pPr>
              <w:rPr>
                <w:sz w:val="20"/>
                <w:szCs w:val="20"/>
                <w:lang w:val="fr-FR"/>
              </w:rPr>
            </w:pPr>
            <w:r w:rsidRPr="00FF41D4">
              <w:rPr>
                <w:sz w:val="20"/>
                <w:szCs w:val="20"/>
                <w:lang w:val="fr-FR"/>
              </w:rPr>
              <w:t>Thyroid disorders</w:t>
            </w:r>
          </w:p>
          <w:p w14:paraId="138D9662" w14:textId="77777777" w:rsidR="00F64CD6" w:rsidRDefault="00F64CD6">
            <w:pPr>
              <w:rPr>
                <w:sz w:val="20"/>
                <w:szCs w:val="20"/>
                <w:lang w:val="fr-FR"/>
              </w:rPr>
            </w:pPr>
            <w:r>
              <w:rPr>
                <w:sz w:val="20"/>
                <w:szCs w:val="20"/>
                <w:lang w:val="fr-FR"/>
              </w:rPr>
              <w:t>GI symptoms</w:t>
            </w:r>
          </w:p>
          <w:p w14:paraId="39CEE92C" w14:textId="77777777" w:rsidR="00F64CD6" w:rsidRDefault="00F64CD6">
            <w:pPr>
              <w:rPr>
                <w:sz w:val="20"/>
                <w:szCs w:val="20"/>
                <w:lang w:val="fr-FR"/>
              </w:rPr>
            </w:pPr>
            <w:r>
              <w:rPr>
                <w:sz w:val="20"/>
                <w:szCs w:val="20"/>
                <w:lang w:val="fr-FR"/>
              </w:rPr>
              <w:t>Fatigue</w:t>
            </w:r>
          </w:p>
          <w:p w14:paraId="51D3FFF8" w14:textId="54E29ADD" w:rsidR="00F64CD6" w:rsidRDefault="00F64CD6">
            <w:pPr>
              <w:rPr>
                <w:sz w:val="20"/>
                <w:szCs w:val="20"/>
                <w:lang w:val="fr-FR"/>
              </w:rPr>
            </w:pPr>
            <w:r>
              <w:rPr>
                <w:sz w:val="20"/>
                <w:szCs w:val="20"/>
                <w:lang w:val="fr-FR"/>
              </w:rPr>
              <w:t>Migraine</w:t>
            </w:r>
            <w:r w:rsidR="000F5BBB">
              <w:rPr>
                <w:sz w:val="20"/>
                <w:szCs w:val="20"/>
                <w:lang w:val="fr-FR"/>
              </w:rPr>
              <w:t>*</w:t>
            </w:r>
          </w:p>
        </w:tc>
      </w:tr>
      <w:tr w:rsidR="00F64CD6" w14:paraId="677AA5A9"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6EBD16E3" w14:textId="77777777" w:rsidR="00F64CD6" w:rsidRDefault="00F64CD6">
            <w:r>
              <w:t>Adults only</w:t>
            </w:r>
          </w:p>
        </w:tc>
        <w:tc>
          <w:tcPr>
            <w:tcW w:w="4508" w:type="dxa"/>
            <w:tcBorders>
              <w:top w:val="single" w:sz="4" w:space="0" w:color="auto"/>
              <w:left w:val="single" w:sz="4" w:space="0" w:color="auto"/>
              <w:bottom w:val="single" w:sz="4" w:space="0" w:color="auto"/>
              <w:right w:val="single" w:sz="4" w:space="0" w:color="auto"/>
            </w:tcBorders>
            <w:hideMark/>
          </w:tcPr>
          <w:p w14:paraId="6723F7E0" w14:textId="77777777" w:rsidR="00F64CD6" w:rsidRDefault="00F64CD6">
            <w:pPr>
              <w:rPr>
                <w:sz w:val="20"/>
                <w:szCs w:val="20"/>
              </w:rPr>
            </w:pPr>
            <w:r>
              <w:rPr>
                <w:sz w:val="20"/>
                <w:szCs w:val="20"/>
              </w:rPr>
              <w:t>Osteoporosis</w:t>
            </w:r>
          </w:p>
          <w:p w14:paraId="69E93E7D" w14:textId="77777777" w:rsidR="00F64CD6" w:rsidRDefault="00F64CD6">
            <w:pPr>
              <w:rPr>
                <w:sz w:val="20"/>
                <w:szCs w:val="20"/>
              </w:rPr>
            </w:pPr>
            <w:r>
              <w:rPr>
                <w:sz w:val="20"/>
                <w:szCs w:val="20"/>
              </w:rPr>
              <w:t>Mouth ulcers</w:t>
            </w:r>
          </w:p>
          <w:p w14:paraId="340F33C0" w14:textId="77777777" w:rsidR="00F64CD6" w:rsidRDefault="00F64CD6">
            <w:pPr>
              <w:rPr>
                <w:sz w:val="20"/>
                <w:szCs w:val="20"/>
              </w:rPr>
            </w:pPr>
            <w:r>
              <w:rPr>
                <w:sz w:val="20"/>
                <w:szCs w:val="20"/>
              </w:rPr>
              <w:t>Irritable bowel syndrome</w:t>
            </w:r>
          </w:p>
          <w:p w14:paraId="46412DA2" w14:textId="77777777" w:rsidR="00F64CD6" w:rsidRDefault="00F64CD6">
            <w:pPr>
              <w:rPr>
                <w:sz w:val="20"/>
                <w:szCs w:val="20"/>
              </w:rPr>
            </w:pPr>
            <w:r>
              <w:rPr>
                <w:sz w:val="20"/>
                <w:szCs w:val="20"/>
              </w:rPr>
              <w:t>Chronic liver disease</w:t>
            </w:r>
          </w:p>
          <w:p w14:paraId="4D80745F" w14:textId="47DC94F9" w:rsidR="00F64CD6" w:rsidRDefault="00F64CD6">
            <w:pPr>
              <w:rPr>
                <w:sz w:val="20"/>
                <w:szCs w:val="20"/>
              </w:rPr>
            </w:pPr>
            <w:r>
              <w:rPr>
                <w:sz w:val="20"/>
                <w:szCs w:val="20"/>
              </w:rPr>
              <w:t>Epilepsy</w:t>
            </w:r>
            <w:r w:rsidR="00A14171">
              <w:rPr>
                <w:sz w:val="20"/>
                <w:szCs w:val="20"/>
              </w:rPr>
              <w:t>*</w:t>
            </w:r>
          </w:p>
          <w:p w14:paraId="53FD3627" w14:textId="2E7DEE35" w:rsidR="00F64CD6" w:rsidRDefault="00F64CD6">
            <w:pPr>
              <w:rPr>
                <w:sz w:val="20"/>
                <w:szCs w:val="20"/>
              </w:rPr>
            </w:pPr>
            <w:r>
              <w:rPr>
                <w:sz w:val="20"/>
                <w:szCs w:val="20"/>
              </w:rPr>
              <w:t>Cardiovascular disease</w:t>
            </w:r>
            <w:r w:rsidR="001D43D0">
              <w:rPr>
                <w:sz w:val="20"/>
                <w:szCs w:val="20"/>
              </w:rPr>
              <w:t>*</w:t>
            </w:r>
          </w:p>
          <w:p w14:paraId="3413679C" w14:textId="36C45ABF" w:rsidR="00F64CD6" w:rsidRDefault="00F64CD6">
            <w:r>
              <w:rPr>
                <w:sz w:val="20"/>
                <w:szCs w:val="20"/>
              </w:rPr>
              <w:t>Psoriasis</w:t>
            </w:r>
            <w:r w:rsidR="001D43D0">
              <w:rPr>
                <w:sz w:val="20"/>
                <w:szCs w:val="20"/>
              </w:rPr>
              <w:t>*</w:t>
            </w:r>
          </w:p>
        </w:tc>
      </w:tr>
      <w:tr w:rsidR="00F64CD6" w14:paraId="42726F90"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67322400" w14:textId="77777777" w:rsidR="00F64CD6" w:rsidRDefault="00F64CD6">
            <w:r>
              <w:t>Children only</w:t>
            </w:r>
          </w:p>
        </w:tc>
        <w:tc>
          <w:tcPr>
            <w:tcW w:w="4508" w:type="dxa"/>
            <w:tcBorders>
              <w:top w:val="single" w:sz="4" w:space="0" w:color="auto"/>
              <w:left w:val="single" w:sz="4" w:space="0" w:color="auto"/>
              <w:bottom w:val="single" w:sz="4" w:space="0" w:color="auto"/>
              <w:right w:val="single" w:sz="4" w:space="0" w:color="auto"/>
            </w:tcBorders>
            <w:hideMark/>
          </w:tcPr>
          <w:p w14:paraId="099C0B84" w14:textId="24AE1CC4" w:rsidR="00F64CD6" w:rsidRDefault="00F64CD6">
            <w:r>
              <w:rPr>
                <w:sz w:val="20"/>
                <w:szCs w:val="20"/>
              </w:rPr>
              <w:t>Delayed puberty</w:t>
            </w:r>
            <w:r w:rsidR="00A14171">
              <w:rPr>
                <w:sz w:val="20"/>
                <w:szCs w:val="20"/>
              </w:rPr>
              <w:t>*</w:t>
            </w:r>
            <w:r>
              <w:rPr>
                <w:sz w:val="20"/>
                <w:szCs w:val="20"/>
              </w:rPr>
              <w:t xml:space="preserve"> </w:t>
            </w:r>
          </w:p>
        </w:tc>
      </w:tr>
      <w:tr w:rsidR="00F64CD6" w14:paraId="02B28801"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3B2ED263" w14:textId="77777777" w:rsidR="00F64CD6" w:rsidRDefault="00F64CD6">
            <w:r>
              <w:t>Women and children</w:t>
            </w:r>
          </w:p>
        </w:tc>
        <w:tc>
          <w:tcPr>
            <w:tcW w:w="4508" w:type="dxa"/>
            <w:tcBorders>
              <w:top w:val="single" w:sz="4" w:space="0" w:color="auto"/>
              <w:left w:val="single" w:sz="4" w:space="0" w:color="auto"/>
              <w:bottom w:val="single" w:sz="4" w:space="0" w:color="auto"/>
              <w:right w:val="single" w:sz="4" w:space="0" w:color="auto"/>
            </w:tcBorders>
            <w:hideMark/>
          </w:tcPr>
          <w:p w14:paraId="0E49E919" w14:textId="5DD5C0E9" w:rsidR="00F64CD6" w:rsidRDefault="00F64CD6">
            <w:pPr>
              <w:rPr>
                <w:sz w:val="20"/>
                <w:szCs w:val="20"/>
              </w:rPr>
            </w:pPr>
            <w:r>
              <w:rPr>
                <w:sz w:val="20"/>
                <w:szCs w:val="20"/>
              </w:rPr>
              <w:t>IgA deficiency</w:t>
            </w:r>
            <w:r w:rsidR="00A14171">
              <w:rPr>
                <w:sz w:val="20"/>
                <w:szCs w:val="20"/>
              </w:rPr>
              <w:t>*</w:t>
            </w:r>
          </w:p>
          <w:p w14:paraId="44802259" w14:textId="77777777" w:rsidR="00F64CD6" w:rsidRDefault="00F64CD6">
            <w:r>
              <w:rPr>
                <w:sz w:val="20"/>
                <w:szCs w:val="20"/>
              </w:rPr>
              <w:t>Turner syndrome</w:t>
            </w:r>
          </w:p>
        </w:tc>
      </w:tr>
      <w:tr w:rsidR="00F64CD6" w14:paraId="5B8F902F" w14:textId="77777777" w:rsidTr="00F64CD6">
        <w:tc>
          <w:tcPr>
            <w:tcW w:w="4508" w:type="dxa"/>
            <w:tcBorders>
              <w:top w:val="single" w:sz="4" w:space="0" w:color="auto"/>
              <w:left w:val="single" w:sz="4" w:space="0" w:color="auto"/>
              <w:bottom w:val="single" w:sz="4" w:space="0" w:color="auto"/>
              <w:right w:val="single" w:sz="4" w:space="0" w:color="auto"/>
            </w:tcBorders>
            <w:hideMark/>
          </w:tcPr>
          <w:p w14:paraId="16182F69" w14:textId="77777777" w:rsidR="00F64CD6" w:rsidRDefault="00F64CD6">
            <w:r>
              <w:t>Women only</w:t>
            </w:r>
          </w:p>
        </w:tc>
        <w:tc>
          <w:tcPr>
            <w:tcW w:w="4508" w:type="dxa"/>
            <w:tcBorders>
              <w:top w:val="single" w:sz="4" w:space="0" w:color="auto"/>
              <w:left w:val="single" w:sz="4" w:space="0" w:color="auto"/>
              <w:bottom w:val="single" w:sz="4" w:space="0" w:color="auto"/>
              <w:right w:val="single" w:sz="4" w:space="0" w:color="auto"/>
            </w:tcBorders>
            <w:hideMark/>
          </w:tcPr>
          <w:p w14:paraId="38DF8698" w14:textId="53BA126F" w:rsidR="00F64CD6" w:rsidRDefault="00F64CD6">
            <w:pPr>
              <w:rPr>
                <w:sz w:val="20"/>
                <w:szCs w:val="20"/>
              </w:rPr>
            </w:pPr>
            <w:r>
              <w:rPr>
                <w:sz w:val="20"/>
                <w:szCs w:val="20"/>
              </w:rPr>
              <w:t>Inflammatory bowel disease</w:t>
            </w:r>
            <w:r w:rsidR="002F75E6">
              <w:rPr>
                <w:sz w:val="20"/>
                <w:szCs w:val="20"/>
              </w:rPr>
              <w:t>*</w:t>
            </w:r>
            <w:r>
              <w:rPr>
                <w:sz w:val="20"/>
                <w:szCs w:val="20"/>
              </w:rPr>
              <w:t xml:space="preserve"> </w:t>
            </w:r>
          </w:p>
          <w:p w14:paraId="723B4F94" w14:textId="21A0D9D8" w:rsidR="00F64CD6" w:rsidRDefault="00F64CD6">
            <w:pPr>
              <w:rPr>
                <w:sz w:val="20"/>
                <w:szCs w:val="20"/>
              </w:rPr>
            </w:pPr>
            <w:r>
              <w:rPr>
                <w:sz w:val="20"/>
                <w:szCs w:val="20"/>
              </w:rPr>
              <w:t>Systemic lupus erythematosus</w:t>
            </w:r>
            <w:r w:rsidR="002F75E6">
              <w:rPr>
                <w:sz w:val="20"/>
                <w:szCs w:val="20"/>
              </w:rPr>
              <w:t>*</w:t>
            </w:r>
          </w:p>
          <w:p w14:paraId="6868E337" w14:textId="4BFAF372" w:rsidR="00F64CD6" w:rsidRDefault="00F64CD6">
            <w:pPr>
              <w:rPr>
                <w:sz w:val="20"/>
                <w:szCs w:val="20"/>
              </w:rPr>
            </w:pPr>
            <w:r>
              <w:rPr>
                <w:sz w:val="20"/>
                <w:szCs w:val="20"/>
              </w:rPr>
              <w:t>Fractures</w:t>
            </w:r>
            <w:r w:rsidR="002F75E6">
              <w:rPr>
                <w:sz w:val="20"/>
                <w:szCs w:val="20"/>
              </w:rPr>
              <w:t>*</w:t>
            </w:r>
          </w:p>
          <w:p w14:paraId="1AE197F7" w14:textId="77777777" w:rsidR="00F64CD6" w:rsidRDefault="00F64CD6">
            <w:r>
              <w:rPr>
                <w:sz w:val="20"/>
                <w:szCs w:val="20"/>
              </w:rPr>
              <w:t>Neuropathy ataxia</w:t>
            </w:r>
          </w:p>
        </w:tc>
      </w:tr>
    </w:tbl>
    <w:p w14:paraId="54CFE60D" w14:textId="79E81658" w:rsidR="00F64CD6" w:rsidRDefault="00CF3F27" w:rsidP="00F64CD6">
      <w:r>
        <w:t>* Indicators not currently recommended in NICE guidelines</w:t>
      </w:r>
    </w:p>
    <w:p w14:paraId="46B975FC" w14:textId="77777777" w:rsidR="00F64CD6" w:rsidRDefault="00F64CD6" w:rsidP="00F64CD6">
      <w:pPr>
        <w:pStyle w:val="Heading2"/>
      </w:pPr>
      <w:bookmarkStart w:id="332" w:name="_Toc99539911"/>
      <w:r>
        <w:t>Suggested research priorities</w:t>
      </w:r>
      <w:bookmarkEnd w:id="332"/>
    </w:p>
    <w:p w14:paraId="6ED70928" w14:textId="74D18E05" w:rsidR="00F64CD6" w:rsidRDefault="00F64CD6" w:rsidP="00F64CD6">
      <w:r>
        <w:t>Given that the most cost-effective strategy based on our cost-effectiveness analysis was population based screening, future work should consider whether population based screening for CD could meet the UK National Screening Committee Criteria.</w:t>
      </w:r>
      <w:r w:rsidR="00AC4508">
        <w:fldChar w:fldCharType="begin"/>
      </w:r>
      <w:r w:rsidR="00031047">
        <w:instrText xml:space="preserve"> ADDIN EN.CITE &lt;EndNote&gt;&lt;Cite&gt;&lt;Author&gt;UK National Screening Committee&lt;/Author&gt;&lt;Year&gt;2015&lt;/Year&gt;&lt;RecNum&gt;580&lt;/RecNum&gt;&lt;DisplayText&gt;&lt;style face="superscript"&gt;295&lt;/style&gt;&lt;/DisplayText&gt;&lt;record&gt;&lt;rec-number&gt;580&lt;/rec-number&gt;&lt;foreign-keys&gt;&lt;key app="EN" db-id="tdwrx9xd1z9eepeevr355w2k959rv0f5zaax" timestamp="1636709544"&gt;580&lt;/key&gt;&lt;/foreign-keys&gt;&lt;ref-type name="Government Document"&gt;46&lt;/ref-type&gt;&lt;contributors&gt;&lt;authors&gt;&lt;author&gt;UK National Screening Committee,&lt;/author&gt;&lt;/authors&gt;&lt;secondary-authors&gt;&lt;author&gt;GOV.UK&lt;/author&gt;&lt;/secondary-authors&gt;&lt;/contributors&gt;&lt;titles&gt;&lt;title&gt;Criteria for appraising the viability, effectiveness and appropriateness of a screening programme&lt;/title&gt;&lt;/titles&gt;&lt;dates&gt;&lt;year&gt;2015&lt;/year&gt;&lt;/dates&gt;&lt;urls&gt;&lt;related-urls&gt;&lt;url&gt;https://www.gov.uk/government/publications/evidence-review-criteria-national-screening-programmes/criteria-for-appraising-the-viability-effectiveness-and-appropriateness-of-a-screening-programme&lt;/url&gt;&lt;/related-urls&gt;&lt;/urls&gt;&lt;/record&gt;&lt;/Cite&gt;&lt;/EndNote&gt;</w:instrText>
      </w:r>
      <w:r w:rsidR="00AC4508">
        <w:fldChar w:fldCharType="separate"/>
      </w:r>
      <w:r w:rsidR="00031047" w:rsidRPr="00031047">
        <w:rPr>
          <w:noProof/>
          <w:vertAlign w:val="superscript"/>
        </w:rPr>
        <w:t>295</w:t>
      </w:r>
      <w:r w:rsidR="00AC4508">
        <w:fldChar w:fldCharType="end"/>
      </w:r>
      <w:r>
        <w:t xml:space="preserve"> Key criteria that need further evaluation are the appropriate threshold for the screening test (IgA tTG), agreement on further diagnostic workup in those testing positive for IgA tTG, and randomised trials showing the effectiveness of the screening programme. If the alternative strategy of IgA EMA plus HLA is recommended instead of population screening, then further research to measure clinical effectiveness of these strategies is needed, in particular to consider the trade-off between improved sensitivity with using HLA first but with greater numbers of false-positive results.</w:t>
      </w:r>
    </w:p>
    <w:p w14:paraId="3F545BEB" w14:textId="62854C89" w:rsidR="00F64CD6" w:rsidRDefault="00F64CD6" w:rsidP="00F64CD6">
      <w:r>
        <w:t>Value of information analysis suggested that future research should focus on the probability of late (i.e. routine) diagnosis of CD</w:t>
      </w:r>
      <w:r w:rsidR="00106870">
        <w:t xml:space="preserve"> </w:t>
      </w:r>
      <w:r>
        <w:t xml:space="preserve">and </w:t>
      </w:r>
      <w:r w:rsidR="00106870">
        <w:t>the</w:t>
      </w:r>
      <w:r>
        <w:t xml:space="preserve"> accuracy of serological tests included in the model (IgA EMA and IgA tTG)</w:t>
      </w:r>
      <w:r w:rsidR="00513E03">
        <w:t>.</w:t>
      </w:r>
      <w:r w:rsidR="00106870">
        <w:t xml:space="preserve"> The analysis also suggests that adult women should be the priority for research over adult men or children. </w:t>
      </w:r>
    </w:p>
    <w:p w14:paraId="22572AA1" w14:textId="65AC4CAC" w:rsidR="00F64CD6" w:rsidRDefault="00F64CD6" w:rsidP="00F64CD6">
      <w:r>
        <w:t xml:space="preserve">From a clinical perspective, further work to confirm thresholds above and below which we can confidently rule in or rule out CD would be of value, especially if population based screening is being considered. The practice of dichotomising continuous test results may be an oversimplification of a complex disease with a wide range of clinical presentations. Identification of highly accurate serological testing strategies may allow for progressively more biopsy-avoidant pathways in the future. A meta-analysis based on individual patient data could be used to identify thresholds above and below which the risk of CD is sufficiently high to be ruled in or low to be ruled out. Further testing, either additional serological testing, genetic testing or biopsy, could then be recommended in those with results between those values. This could allow a more evidence based non-biopsy </w:t>
      </w:r>
      <w:r>
        <w:lastRenderedPageBreak/>
        <w:t>strategy similar to the strategies recommended by ESPGHAN</w:t>
      </w:r>
      <w:r w:rsidR="00560217">
        <w:fldChar w:fldCharType="begin">
          <w:fldData xml:space="preserve">PEVuZE5vdGU+PENpdGU+PEF1dGhvcj5IdXNieTwvQXV0aG9yPjxZZWFyPjIwMjA8L1llYXI+PFJl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</w:fldData>
        </w:fldChar>
      </w:r>
      <w:r w:rsidR="00AB14C1">
        <w:instrText xml:space="preserve"> ADDIN EN.CITE </w:instrText>
      </w:r>
      <w:r w:rsidR="00AB14C1">
        <w:fldChar w:fldCharType="begin">
          <w:fldData xml:space="preserve">PEVuZE5vdGU+PENpdGU+PEF1dGhvcj5IdXNieTwvQXV0aG9yPjxZZWFyPjIwMjA8L1llYXI+PFJl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</w:fldData>
        </w:fldChar>
      </w:r>
      <w:r w:rsidR="00AB14C1">
        <w:instrText xml:space="preserve"> ADDIN EN.CITE.DATA </w:instrText>
      </w:r>
      <w:r w:rsidR="00AB14C1">
        <w:fldChar w:fldCharType="end"/>
      </w:r>
      <w:r w:rsidR="00560217">
        <w:fldChar w:fldCharType="separate"/>
      </w:r>
      <w:r w:rsidR="00AB14C1" w:rsidRPr="00AB14C1">
        <w:rPr>
          <w:noProof/>
          <w:vertAlign w:val="superscript"/>
        </w:rPr>
        <w:t>10</w:t>
      </w:r>
      <w:r w:rsidR="00560217">
        <w:fldChar w:fldCharType="end"/>
      </w:r>
      <w:r>
        <w:t xml:space="preserve"> </w:t>
      </w:r>
      <w:r w:rsidR="00AC4508">
        <w:t>and the British Society of Gastroenterology,</w:t>
      </w:r>
      <w:r w:rsidR="00AC4508" w:rsidRPr="00734942">
        <w:rPr>
          <w:noProof/>
        </w:rPr>
        <w:fldChar w:fldCharType="begin"/>
      </w:r>
      <w:r w:rsidR="00735CC0">
        <w:rPr>
          <w:noProof/>
        </w:rPr>
        <w:instrText xml:space="preserve"> ADDIN EN.CITE &lt;EndNote&gt;&lt;Cite&gt;&lt;Author&gt;British Society of Gastroenterology&lt;/Author&gt;&lt;Year&gt;2020&lt;/Year&gt;&lt;RecNum&gt;382&lt;/RecNum&gt;&lt;DisplayText&gt;&lt;style face="superscript"&gt;20&lt;/style&gt;&lt;/DisplayText&gt;&lt;record&gt;&lt;rec-number&gt;382&lt;/rec-number&gt;&lt;foreign-keys&gt;&lt;key app="EN" db-id="tdwrx9xd1z9eepeevr355w2k959rv0f5zaax" timestamp="1633079959"&gt;382&lt;/key&gt;&lt;/foreign-keys&gt;&lt;ref-type name="Journal Article"&gt;17&lt;/ref-type&gt;&lt;contributors&gt;&lt;authors&gt;&lt;author&gt;British Society of Gastroenterology,&lt;/author&gt;&lt;/authors&gt;&lt;/contributors&gt;&lt;titles&gt;&lt;title&gt;BSG Interim Guidance: COVID-19 specific non-biopsy protocol for those with suspected coeliac disease&lt;/title&gt;&lt;secondary-title&gt;British Society of Gastroenterology&lt;/secondary-title&gt;&lt;/titles&gt;&lt;periodical&gt;&lt;full-title&gt;British Society of Gastroenterology&lt;/full-title&gt;&lt;/periodical&gt;&lt;dates&gt;&lt;year&gt;2020&lt;/year&gt;&lt;/dates&gt;&lt;urls&gt;&lt;related-urls&gt;&lt;url&gt;bsg.org.uk/covid-19-advice/covid-19-specific-non-biopsy-protocol-guidance-for-those-with-suspected-coeliac-disease/ accessed on 17/02/2021&lt;/url&gt;&lt;/related-urls&gt;&lt;/urls&gt;&lt;/record&gt;&lt;/Cite&gt;&lt;Cite&gt;&lt;Author&gt;British Society of Gastroenterology&lt;/Author&gt;&lt;Year&gt;2020&lt;/Year&gt;&lt;RecNum&gt;382&lt;/RecNum&gt;&lt;record&gt;&lt;rec-number&gt;382&lt;/rec-number&gt;&lt;foreign-keys&gt;&lt;key app="EN" db-id="tdwrx9xd1z9eepeevr355w2k959rv0f5zaax" timestamp="1633079959"&gt;382&lt;/key&gt;&lt;/foreign-keys&gt;&lt;ref-type name="Journal Article"&gt;17&lt;/ref-type&gt;&lt;contributors&gt;&lt;authors&gt;&lt;author&gt;British Society of Gastroenterology,&lt;/author&gt;&lt;/authors&gt;&lt;/contributors&gt;&lt;titles&gt;&lt;title&gt;BSG Interim Guidance: COVID-19 specific non-biopsy protocol for those with suspected coeliac disease&lt;/title&gt;&lt;secondary-title&gt;British Society of Gastroenterology&lt;/secondary-title&gt;&lt;/titles&gt;&lt;periodical&gt;&lt;full-title&gt;British Society of Gastroenterology&lt;/full-title&gt;&lt;/periodical&gt;&lt;dates&gt;&lt;year&gt;2020&lt;/year&gt;&lt;/dates&gt;&lt;urls&gt;&lt;related-urls&gt;&lt;url&gt;bsg.org.uk/covid-19-advice/covid-19-specific-non-biopsy-protocol-guidance-for-those-with-suspected-coeliac-disease/ accessed on 17/02/2021&lt;/url&gt;&lt;/related-urls&gt;&lt;/urls&gt;&lt;/record&gt;&lt;/Cite&gt;&lt;/EndNote&gt;</w:instrText>
      </w:r>
      <w:r w:rsidR="00AC4508" w:rsidRPr="00734942">
        <w:rPr>
          <w:noProof/>
        </w:rPr>
        <w:fldChar w:fldCharType="separate"/>
      </w:r>
      <w:r w:rsidR="00735CC0" w:rsidRPr="00735CC0">
        <w:rPr>
          <w:noProof/>
          <w:vertAlign w:val="superscript"/>
        </w:rPr>
        <w:t>20</w:t>
      </w:r>
      <w:r w:rsidR="00AC4508" w:rsidRPr="00734942">
        <w:rPr>
          <w:noProof/>
        </w:rPr>
        <w:fldChar w:fldCharType="end"/>
      </w:r>
      <w:r w:rsidR="00AC4508">
        <w:t xml:space="preserve"> which suggest that a tTG level </w:t>
      </w:r>
      <w:r w:rsidR="00AC4508" w:rsidRPr="00734942">
        <w:rPr>
          <w:noProof/>
        </w:rPr>
        <w:t>at least 10 times the upper limit of normal</w:t>
      </w:r>
      <w:r w:rsidR="00AC4508">
        <w:rPr>
          <w:noProof/>
        </w:rPr>
        <w:t xml:space="preserve"> who also test positive for EMA can be diagnosied without biopsy confirmation.</w:t>
      </w:r>
    </w:p>
    <w:p w14:paraId="050B1751" w14:textId="58BE86D4" w:rsidR="00F64CD6" w:rsidRDefault="00F64CD6" w:rsidP="00F64CD6">
      <w:r>
        <w:t>There are further tests in development for CD that will require evaluation, with research focussed on rapid point-of-care tests and genetic tests such as the HLA-DQ-gluten tetramer test.</w:t>
      </w:r>
      <w:r w:rsidR="00AC4508" w:rsidRPr="00734942">
        <w:rPr>
          <w:noProof/>
        </w:rPr>
        <w:fldChar w:fldCharType="begin">
          <w:fldData xml:space="preserve">PEVuZE5vdGU+PENpdGU+PEF1dGhvcj5TYXJuYTwvQXV0aG9yPjxZZWFyPjIwMTg8L1llYXI+PFJl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</w:fldData>
        </w:fldChar>
      </w:r>
      <w:r w:rsidR="00031047">
        <w:rPr>
          <w:noProof/>
        </w:rPr>
        <w:instrText xml:space="preserve"> ADDIN EN.CITE </w:instrText>
      </w:r>
      <w:r w:rsidR="00031047">
        <w:rPr>
          <w:noProof/>
        </w:rPr>
        <w:fldChar w:fldCharType="begin">
          <w:fldData xml:space="preserve">PEVuZE5vdGU+PENpdGU+PEF1dGhvcj5TYXJuYTwvQXV0aG9yPjxZZWFyPjIwMTg8L1llYXI+PFJl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</w:fldData>
        </w:fldChar>
      </w:r>
      <w:r w:rsidR="00031047">
        <w:rPr>
          <w:noProof/>
        </w:rPr>
        <w:instrText xml:space="preserve"> ADDIN EN.CITE.DATA </w:instrText>
      </w:r>
      <w:r w:rsidR="00031047">
        <w:rPr>
          <w:noProof/>
        </w:rPr>
      </w:r>
      <w:r w:rsidR="00031047">
        <w:rPr>
          <w:noProof/>
        </w:rPr>
        <w:fldChar w:fldCharType="end"/>
      </w:r>
      <w:r w:rsidR="00AC4508" w:rsidRPr="00734942">
        <w:rPr>
          <w:noProof/>
        </w:rPr>
      </w:r>
      <w:r w:rsidR="00AC4508" w:rsidRPr="00734942">
        <w:rPr>
          <w:noProof/>
        </w:rPr>
        <w:fldChar w:fldCharType="separate"/>
      </w:r>
      <w:r w:rsidR="00031047" w:rsidRPr="00031047">
        <w:rPr>
          <w:noProof/>
          <w:vertAlign w:val="superscript"/>
        </w:rPr>
        <w:t>296</w:t>
      </w:r>
      <w:r w:rsidR="00AC4508" w:rsidRPr="00734942">
        <w:rPr>
          <w:noProof/>
        </w:rPr>
        <w:fldChar w:fldCharType="end"/>
      </w:r>
    </w:p>
    <w:p w14:paraId="158A3414" w14:textId="77777777" w:rsidR="00F64CD6" w:rsidRDefault="00F64CD6" w:rsidP="00F64CD6">
      <w:r>
        <w:t>There is a need for large prospective cohort studies where all participants receive accurate tests for CD to reduce bias in estimates of the diagnostic ability of indicators and to develop a more robust clinical prediction model. Accurate testing strategies that don’t rely on invasive tests such as a duodenal biopsy would make this more feasible. It is important that diagnostic prediction models use data in which all patients have been tested for CD to reduce bias as a result of underdiagnosis. Prognostic cohort studies are also essential to identify predictors for CD for patients who are currently not diagnosed, because routinely collected datasets are biased as they depend on current testing practices and are more likely to pick up predictors that are already used to prompts testing.</w:t>
      </w:r>
    </w:p>
    <w:p w14:paraId="71FC98D6" w14:textId="77777777" w:rsidR="00F64CD6" w:rsidRDefault="00F64CD6" w:rsidP="00F64CD6">
      <w:pPr>
        <w:rPr>
          <w:rFonts w:asciiTheme="majorHAnsi" w:eastAsiaTheme="majorEastAsia" w:hAnsiTheme="majorHAnsi" w:cstheme="majorBidi"/>
          <w:color w:val="2F5496" w:themeColor="accent1" w:themeShade="BF"/>
          <w:sz w:val="32"/>
          <w:szCs w:val="32"/>
        </w:rPr>
      </w:pPr>
      <w:r>
        <w:br w:type="page"/>
      </w:r>
    </w:p>
    <w:p w14:paraId="76120541" w14:textId="1F9663B1" w:rsidR="002B3A40" w:rsidRPr="00734942" w:rsidRDefault="002B3A40" w:rsidP="002C56DC">
      <w:pPr>
        <w:pStyle w:val="Heading1"/>
      </w:pPr>
      <w:bookmarkStart w:id="333" w:name="_Toc99539912"/>
      <w:r w:rsidRPr="00734942">
        <w:lastRenderedPageBreak/>
        <w:t>Acknowledgements</w:t>
      </w:r>
      <w:bookmarkEnd w:id="333"/>
    </w:p>
    <w:p w14:paraId="6F1B4B48" w14:textId="77777777" w:rsidR="004831A2" w:rsidRDefault="00B905F7" w:rsidP="00B905F7">
      <w:r w:rsidRPr="00734942">
        <w:t>We would like to thank James McKernon</w:t>
      </w:r>
      <w:r w:rsidR="00633D15">
        <w:t xml:space="preserve"> (</w:t>
      </w:r>
      <w:r w:rsidR="00633D15" w:rsidRPr="00633D15">
        <w:t xml:space="preserve">Research Associate </w:t>
      </w:r>
      <w:r w:rsidR="00633D15">
        <w:t xml:space="preserve">and </w:t>
      </w:r>
      <w:r w:rsidR="00633D15" w:rsidRPr="00633D15">
        <w:t>CPRD Database Manager</w:t>
      </w:r>
      <w:r w:rsidR="00633D15">
        <w:t xml:space="preserve"> at the University of Bristol</w:t>
      </w:r>
      <w:r w:rsidR="00633D15" w:rsidRPr="00633D15">
        <w:t>)</w:t>
      </w:r>
      <w:r w:rsidR="00633D15">
        <w:t xml:space="preserve"> </w:t>
      </w:r>
      <w:r w:rsidRPr="00734942">
        <w:t xml:space="preserve">and Tim Jones </w:t>
      </w:r>
      <w:r w:rsidR="00633D15">
        <w:t>(</w:t>
      </w:r>
      <w:r w:rsidR="00633D15" w:rsidRPr="00633D15">
        <w:t>Senior Research Associate</w:t>
      </w:r>
      <w:r w:rsidR="00633D15">
        <w:t xml:space="preserve"> in</w:t>
      </w:r>
      <w:r w:rsidR="00633D15" w:rsidRPr="00633D15">
        <w:t xml:space="preserve"> Quantitative Research</w:t>
      </w:r>
      <w:r w:rsidR="00633D15">
        <w:t xml:space="preserve"> and </w:t>
      </w:r>
      <w:r w:rsidR="00633D15" w:rsidRPr="00633D15">
        <w:t>Health Economics</w:t>
      </w:r>
      <w:r w:rsidR="00633D15">
        <w:t xml:space="preserve"> at the University of Bristol)</w:t>
      </w:r>
      <w:r w:rsidR="00633D15" w:rsidRPr="00633D15">
        <w:t xml:space="preserve"> </w:t>
      </w:r>
      <w:r w:rsidRPr="00734942">
        <w:t>for extracting the CPRD datasets</w:t>
      </w:r>
      <w:r w:rsidR="003336B2" w:rsidRPr="00734942">
        <w:t xml:space="preserve"> that were used in Chapters </w:t>
      </w:r>
      <w:r w:rsidR="002A0A55">
        <w:t>4</w:t>
      </w:r>
      <w:r w:rsidR="003336B2" w:rsidRPr="00734942">
        <w:t xml:space="preserve"> and </w:t>
      </w:r>
      <w:r w:rsidR="002A0A55">
        <w:t>8</w:t>
      </w:r>
      <w:r w:rsidR="003336B2" w:rsidRPr="00734942">
        <w:t xml:space="preserve">. </w:t>
      </w:r>
      <w:r w:rsidR="001C000D" w:rsidRPr="00734942">
        <w:t xml:space="preserve">We are grateful for Zoe Trinder-Widdess’ </w:t>
      </w:r>
      <w:r w:rsidR="00501B87">
        <w:t>(</w:t>
      </w:r>
      <w:r w:rsidR="00501B87" w:rsidRPr="00501B87">
        <w:t xml:space="preserve">Head of Communications </w:t>
      </w:r>
      <w:r w:rsidR="00501B87">
        <w:t xml:space="preserve">at NIHR ARC West) </w:t>
      </w:r>
      <w:r w:rsidR="00AB1332" w:rsidRPr="00734942">
        <w:t>and Lucy Cordon’s</w:t>
      </w:r>
      <w:r w:rsidR="00501B87">
        <w:t xml:space="preserve"> (</w:t>
      </w:r>
      <w:r w:rsidR="00501B87" w:rsidRPr="00501B87">
        <w:t>Project Support Administrator</w:t>
      </w:r>
      <w:r w:rsidR="00501B87" w:rsidRPr="00734942">
        <w:t xml:space="preserve"> </w:t>
      </w:r>
      <w:r w:rsidR="00501B87">
        <w:t xml:space="preserve">at NIHR ARC West) </w:t>
      </w:r>
      <w:r w:rsidR="001C000D" w:rsidRPr="00734942">
        <w:t xml:space="preserve">help with recruiting survey participants for Chapter </w:t>
      </w:r>
      <w:r w:rsidR="002A0A55">
        <w:t>7</w:t>
      </w:r>
      <w:r w:rsidR="00D0450B">
        <w:t xml:space="preserve">, and </w:t>
      </w:r>
      <w:r w:rsidR="00037EC1">
        <w:t>to</w:t>
      </w:r>
      <w:r w:rsidR="00D0450B">
        <w:t xml:space="preserve"> </w:t>
      </w:r>
      <w:r w:rsidR="00AB1332" w:rsidRPr="00734942">
        <w:t>Lucy Cordon for</w:t>
      </w:r>
      <w:r w:rsidR="00E60C34" w:rsidRPr="00734942">
        <w:t xml:space="preserve"> developing the videos for the survey</w:t>
      </w:r>
      <w:r w:rsidR="009F4447" w:rsidRPr="00734942">
        <w:t xml:space="preserve"> </w:t>
      </w:r>
      <w:r w:rsidR="00F605BE">
        <w:t xml:space="preserve">(Chapter 7) </w:t>
      </w:r>
      <w:r w:rsidR="00D0450B">
        <w:t>as well as</w:t>
      </w:r>
      <w:r w:rsidR="009F4447" w:rsidRPr="00734942">
        <w:t xml:space="preserve"> retrieving full texts for the review in Chapter </w:t>
      </w:r>
      <w:r w:rsidR="002A0A55">
        <w:t>3</w:t>
      </w:r>
      <w:r w:rsidR="00E60C34" w:rsidRPr="00734942">
        <w:t>.</w:t>
      </w:r>
      <w:r w:rsidR="00A806A5">
        <w:t xml:space="preserve"> We would also like to thank</w:t>
      </w:r>
      <w:r w:rsidR="00E60C34" w:rsidRPr="00734942">
        <w:t xml:space="preserve"> </w:t>
      </w:r>
      <w:r w:rsidR="002777A7" w:rsidRPr="0064003B">
        <w:t xml:space="preserve">Lauren </w:t>
      </w:r>
      <w:r w:rsidR="002777A7">
        <w:t xml:space="preserve">J </w:t>
      </w:r>
      <w:r w:rsidR="002777A7" w:rsidRPr="0064003B">
        <w:t>Scott</w:t>
      </w:r>
      <w:r w:rsidR="002777A7">
        <w:t xml:space="preserve"> (</w:t>
      </w:r>
      <w:r w:rsidR="002777A7" w:rsidRPr="009955FC">
        <w:t xml:space="preserve">Senior Research Associate </w:t>
      </w:r>
      <w:r w:rsidR="002777A7">
        <w:t xml:space="preserve">in </w:t>
      </w:r>
      <w:r w:rsidR="002777A7" w:rsidRPr="009955FC">
        <w:t>Quantitative Research and Evidence Synthesis</w:t>
      </w:r>
      <w:r w:rsidR="002777A7">
        <w:t>)</w:t>
      </w:r>
      <w:r w:rsidR="008334A2">
        <w:t>,</w:t>
      </w:r>
      <w:r w:rsidR="008334A2" w:rsidRPr="008334A2">
        <w:t xml:space="preserve"> </w:t>
      </w:r>
      <w:r w:rsidR="008334A2" w:rsidRPr="0064003B">
        <w:t>Victoria Corfield</w:t>
      </w:r>
      <w:r w:rsidR="008334A2">
        <w:t xml:space="preserve"> (</w:t>
      </w:r>
      <w:r w:rsidR="008334A2" w:rsidRPr="008724EF">
        <w:t>GP trainee</w:t>
      </w:r>
      <w:r w:rsidR="008334A2">
        <w:t>)</w:t>
      </w:r>
      <w:r w:rsidR="00012D82">
        <w:t xml:space="preserve">, </w:t>
      </w:r>
      <w:r w:rsidR="006166C1">
        <w:t xml:space="preserve">and </w:t>
      </w:r>
      <w:r w:rsidR="006166C1" w:rsidRPr="0064003B">
        <w:t>Anthony Sinobas</w:t>
      </w:r>
      <w:r w:rsidR="006166C1">
        <w:t xml:space="preserve"> (Medical student) </w:t>
      </w:r>
      <w:r w:rsidR="00037EC1">
        <w:t xml:space="preserve">who </w:t>
      </w:r>
      <w:r w:rsidR="006166C1">
        <w:t xml:space="preserve">contributed to </w:t>
      </w:r>
      <w:r w:rsidR="002777A7">
        <w:t xml:space="preserve">eligibility screening and data extraction </w:t>
      </w:r>
      <w:r w:rsidR="006166C1">
        <w:t>for the systematic reviews in Chapter 3, 5, and 6</w:t>
      </w:r>
      <w:r w:rsidR="008334A2">
        <w:t xml:space="preserve">. </w:t>
      </w:r>
      <w:r w:rsidR="002C1599">
        <w:t>Finally, we</w:t>
      </w:r>
      <w:r w:rsidR="00F605BE">
        <w:t xml:space="preserve"> would like to thank Jonathan Banks</w:t>
      </w:r>
      <w:r w:rsidR="00501B87">
        <w:t xml:space="preserve"> (</w:t>
      </w:r>
      <w:r w:rsidR="00501B87" w:rsidRPr="00501B87">
        <w:t>Research Fellow</w:t>
      </w:r>
      <w:r w:rsidR="009B1F7F">
        <w:t xml:space="preserve"> in</w:t>
      </w:r>
      <w:r w:rsidR="00501B87" w:rsidRPr="00501B87">
        <w:t xml:space="preserve"> Qualitative Research</w:t>
      </w:r>
      <w:r w:rsidR="009B1F7F" w:rsidRPr="009B1F7F">
        <w:t xml:space="preserve"> </w:t>
      </w:r>
      <w:r w:rsidR="009B1F7F">
        <w:t>at NIHR ARC West)</w:t>
      </w:r>
      <w:r w:rsidR="002C1599">
        <w:t xml:space="preserve"> for advising on the qualitative analysis in </w:t>
      </w:r>
      <w:r w:rsidR="00192798">
        <w:t>C</w:t>
      </w:r>
      <w:r w:rsidR="002C1599">
        <w:t>hapter 7.</w:t>
      </w:r>
      <w:r w:rsidR="00D632AB">
        <w:t xml:space="preserve"> </w:t>
      </w:r>
    </w:p>
    <w:p w14:paraId="20C824D0" w14:textId="77777777" w:rsidR="004831A2" w:rsidRDefault="004831A2" w:rsidP="000526F1">
      <w:pPr>
        <w:pStyle w:val="Heading2"/>
      </w:pPr>
      <w:bookmarkStart w:id="334" w:name="_Toc99539913"/>
      <w:r>
        <w:t>ALSPAC</w:t>
      </w:r>
      <w:bookmarkEnd w:id="334"/>
    </w:p>
    <w:p w14:paraId="0D833DF4" w14:textId="20C62A9A" w:rsidR="00D632AB" w:rsidRDefault="00D632AB" w:rsidP="00B905F7">
      <w:r>
        <w:t>We are extremely grateful to all the families who took part in the ALSPAC study, the midwives for their help in recruiting them, and the whole ALSPAC team, which includes interviewers, computer and laboratory technicians, clerical workers, research scientists, volunteers, managers, receptionists and nurses.</w:t>
      </w:r>
      <w:r w:rsidR="007104B8">
        <w:t xml:space="preserve"> The UK Medical Research Council and Wellcome (Grant ref: 217065/Z/19/Z) and the University of Bristol provide core support for ALSPAC. This publication is the work of the authors who will serve as guarantors for the contents of this paper.</w:t>
      </w:r>
      <w:r w:rsidR="00EF2EEF">
        <w:t xml:space="preserve"> A comprehensive list of grants funding is available on the ALSPAC website http://www.bristol.ac.uk/alspac/external/documents/grant-acknowledgements.pdf)</w:t>
      </w:r>
      <w:r w:rsidR="00B55441">
        <w:t>.</w:t>
      </w:r>
    </w:p>
    <w:p w14:paraId="04077913" w14:textId="77777777" w:rsidR="00AC531C" w:rsidRDefault="00AC531C" w:rsidP="000526F1">
      <w:pPr>
        <w:pStyle w:val="Heading2"/>
      </w:pPr>
      <w:bookmarkStart w:id="335" w:name="_Toc99539914"/>
      <w:r>
        <w:t>Data sharing</w:t>
      </w:r>
      <w:bookmarkEnd w:id="335"/>
    </w:p>
    <w:p w14:paraId="2DBC8F3E" w14:textId="77777777" w:rsidR="00AC531C" w:rsidRDefault="00AC531C" w:rsidP="00AC531C">
      <w:r w:rsidRPr="00693CFF">
        <w:t xml:space="preserve">The data that support the findings of this study are available </w:t>
      </w:r>
      <w:r>
        <w:t xml:space="preserve">in the Appendices and Supplementary materials. </w:t>
      </w:r>
      <w:r w:rsidRPr="00693CFF">
        <w:t>The data</w:t>
      </w:r>
      <w:r>
        <w:t>sets from CPRD and ALSPAC are not</w:t>
      </w:r>
      <w:r w:rsidRPr="00693CFF">
        <w:t xml:space="preserve"> publicly available due to </w:t>
      </w:r>
      <w:r>
        <w:t xml:space="preserve">data sharing </w:t>
      </w:r>
      <w:r w:rsidRPr="00693CFF">
        <w:t>restrictions</w:t>
      </w:r>
      <w:r>
        <w:t>, but can be requested from CPRD and ALSPAC</w:t>
      </w:r>
      <w:r w:rsidRPr="00693CFF">
        <w:t>.</w:t>
      </w:r>
      <w:r>
        <w:t xml:space="preserve"> </w:t>
      </w:r>
      <w:r w:rsidRPr="00F71DDD">
        <w:rPr>
          <w:color w:val="000000"/>
        </w:rPr>
        <w:t>All data requests should be submitted to the corresponding author for consideration.</w:t>
      </w:r>
    </w:p>
    <w:p w14:paraId="015B9197" w14:textId="65E1C49E" w:rsidR="004831A2" w:rsidRPr="00734942" w:rsidRDefault="004831A2" w:rsidP="000526F1">
      <w:pPr>
        <w:pStyle w:val="Heading2"/>
      </w:pPr>
      <w:bookmarkStart w:id="336" w:name="_Toc99539915"/>
      <w:r>
        <w:t>Publications</w:t>
      </w:r>
      <w:bookmarkEnd w:id="336"/>
    </w:p>
    <w:p w14:paraId="47EAE70F" w14:textId="4337FBF2" w:rsidR="00B905F7" w:rsidRDefault="002229A6" w:rsidP="00B905F7">
      <w:r w:rsidRPr="00734942">
        <w:t xml:space="preserve">Chapter 3 </w:t>
      </w:r>
      <w:r w:rsidR="009B1F7F" w:rsidRPr="00734942">
        <w:t xml:space="preserve">has been accepted for publication by PLOS ONE: M.M.C. Elwenspoek et al. ‘The accuracy of diagnostic indicators for </w:t>
      </w:r>
      <w:r w:rsidR="002A34EB">
        <w:t>CD</w:t>
      </w:r>
      <w:r w:rsidR="009B1F7F" w:rsidRPr="00734942">
        <w:t>: a systematic review and meta-analysis.’</w:t>
      </w:r>
      <w:r w:rsidR="009B1F7F">
        <w:t xml:space="preserve"> </w:t>
      </w:r>
      <w:r w:rsidR="009B1F7F" w:rsidRPr="00734942">
        <w:t xml:space="preserve">Chapter </w:t>
      </w:r>
      <w:r w:rsidR="009B1F7F">
        <w:t xml:space="preserve">5 </w:t>
      </w:r>
      <w:r w:rsidRPr="00734942">
        <w:t>has been submitted for publication</w:t>
      </w:r>
      <w:r w:rsidR="009B1F7F">
        <w:t xml:space="preserve"> and is currently under review.</w:t>
      </w:r>
    </w:p>
    <w:p w14:paraId="7E6AA21D" w14:textId="3ABA7060" w:rsidR="00F71F5D" w:rsidRDefault="00F71F5D" w:rsidP="000526F1">
      <w:pPr>
        <w:pStyle w:val="Heading1"/>
      </w:pPr>
      <w:bookmarkStart w:id="337" w:name="_Toc99539916"/>
      <w:r>
        <w:t>Patient data statement</w:t>
      </w:r>
      <w:bookmarkEnd w:id="337"/>
    </w:p>
    <w:p w14:paraId="7FB81A50" w14:textId="4DA8BC19" w:rsidR="00AB14AE" w:rsidRDefault="00AB14AE" w:rsidP="00B905F7">
      <w:r w:rsidRPr="00AB14AE">
        <w:t>This work uses data provided by patients and collected by the NHS as part of their care and support. Using patient data is vital to improve health and care for everyone. There is huge potential to make better use of information from people’s patient records, to understand more about disease, develop new treatments, monitor safety, and plan NHS services. Patient data should be kept safe and secure, to protect everyone’s privacy, and it’s important that there are safeguards to make sure that it is stored and used responsibly. Everyone should be able to find out about how patient data is used. #datasaveslives</w:t>
      </w:r>
      <w:r w:rsidR="00B77737">
        <w:t>.</w:t>
      </w:r>
      <w:r w:rsidRPr="00AB14AE">
        <w:t xml:space="preserve"> You can find out more about the background to this citation here: https://understandingpatientdata.org.uk/data-citation</w:t>
      </w:r>
    </w:p>
    <w:p w14:paraId="664DAD5A" w14:textId="7F6E2E87" w:rsidR="00D1618A" w:rsidRDefault="00D1618A" w:rsidP="000526F1">
      <w:pPr>
        <w:pStyle w:val="Heading1"/>
      </w:pPr>
      <w:bookmarkStart w:id="338" w:name="_Toc99539917"/>
      <w:r>
        <w:t>Author contributions</w:t>
      </w:r>
      <w:bookmarkEnd w:id="338"/>
    </w:p>
    <w:p w14:paraId="13D9F0D1" w14:textId="38000AA6" w:rsidR="0071307E" w:rsidRPr="00734942" w:rsidRDefault="0064003B" w:rsidP="00B905F7">
      <w:r>
        <w:t>Martha MC Elwenspoek</w:t>
      </w:r>
      <w:r w:rsidR="00774524">
        <w:t xml:space="preserve"> (</w:t>
      </w:r>
      <w:r w:rsidR="00A41E21" w:rsidRPr="00A41E21">
        <w:t>Research Fellow in Test Evaluation</w:t>
      </w:r>
      <w:r w:rsidR="003F40AE">
        <w:t>)</w:t>
      </w:r>
      <w:r w:rsidR="00F6274A">
        <w:t xml:space="preserve"> </w:t>
      </w:r>
      <w:r w:rsidR="006B763E">
        <w:t>led</w:t>
      </w:r>
      <w:r w:rsidR="000013A4">
        <w:t xml:space="preserve"> on</w:t>
      </w:r>
      <w:r w:rsidR="006B763E">
        <w:t xml:space="preserve"> the</w:t>
      </w:r>
      <w:r w:rsidR="000013A4">
        <w:t xml:space="preserve"> diagnostic indicator review</w:t>
      </w:r>
      <w:r w:rsidR="00D86C86">
        <w:t xml:space="preserve">, </w:t>
      </w:r>
      <w:r w:rsidR="000013A4">
        <w:t>prediction model</w:t>
      </w:r>
      <w:r w:rsidR="00D86C86">
        <w:t>, and survey</w:t>
      </w:r>
      <w:r w:rsidR="000013A4">
        <w:t xml:space="preserve">, </w:t>
      </w:r>
      <w:r w:rsidR="00CF6CB7">
        <w:t>and wrote the first drafts of</w:t>
      </w:r>
      <w:r w:rsidR="00F6274A">
        <w:t xml:space="preserve"> chapters </w:t>
      </w:r>
      <w:r w:rsidR="000013A4">
        <w:t xml:space="preserve">3, 4, </w:t>
      </w:r>
      <w:r w:rsidR="00D86C86">
        <w:t xml:space="preserve">7, </w:t>
      </w:r>
      <w:r w:rsidR="000013A4">
        <w:t>9</w:t>
      </w:r>
      <w:r w:rsidR="00CF6CB7">
        <w:t>, and 10</w:t>
      </w:r>
      <w:r w:rsidR="000013A4">
        <w:t>.</w:t>
      </w:r>
      <w:r w:rsidR="00CF6CB7">
        <w:t xml:space="preserve"> </w:t>
      </w:r>
      <w:r>
        <w:t>Howard Thom</w:t>
      </w:r>
      <w:r w:rsidR="00A41E21">
        <w:t xml:space="preserve"> </w:t>
      </w:r>
      <w:r w:rsidR="00A41E21">
        <w:lastRenderedPageBreak/>
        <w:t>(</w:t>
      </w:r>
      <w:r w:rsidR="00A41E21" w:rsidRPr="00A41E21">
        <w:t>Senior Lecturer in Health Economics</w:t>
      </w:r>
      <w:r w:rsidR="00A41E21">
        <w:t>)</w:t>
      </w:r>
      <w:r w:rsidR="00CF6CB7">
        <w:t xml:space="preserve"> led </w:t>
      </w:r>
      <w:r w:rsidR="000013A4">
        <w:t xml:space="preserve">on </w:t>
      </w:r>
      <w:r w:rsidR="00CF6CB7">
        <w:t xml:space="preserve">the </w:t>
      </w:r>
      <w:r w:rsidR="00256366">
        <w:t xml:space="preserve">cost-effectiveness analysis </w:t>
      </w:r>
      <w:r w:rsidR="007616DE">
        <w:t xml:space="preserve">and </w:t>
      </w:r>
      <w:r w:rsidR="00CF6CB7">
        <w:t>wrote</w:t>
      </w:r>
      <w:r w:rsidR="000545BC">
        <w:t xml:space="preserve"> the first draft</w:t>
      </w:r>
      <w:r w:rsidR="007616DE">
        <w:t xml:space="preserve"> </w:t>
      </w:r>
      <w:r w:rsidR="000545BC">
        <w:t xml:space="preserve">of </w:t>
      </w:r>
      <w:r w:rsidR="008D36F2">
        <w:t>C</w:t>
      </w:r>
      <w:r w:rsidR="007616DE">
        <w:t>hapter 8</w:t>
      </w:r>
      <w:r w:rsidR="000545BC">
        <w:t xml:space="preserve">. </w:t>
      </w:r>
      <w:r w:rsidRPr="0064003B">
        <w:t>Athena L Sheppard</w:t>
      </w:r>
      <w:r w:rsidR="004D5A3A">
        <w:t xml:space="preserve"> (</w:t>
      </w:r>
      <w:r w:rsidR="004D5A3A" w:rsidRPr="004D5A3A">
        <w:t>Postgraduate Researcher</w:t>
      </w:r>
      <w:r w:rsidR="00D453FF">
        <w:t xml:space="preserve"> in Biostatistics</w:t>
      </w:r>
      <w:r w:rsidR="00093293">
        <w:t>)</w:t>
      </w:r>
      <w:r w:rsidR="000013A4">
        <w:t xml:space="preserve"> </w:t>
      </w:r>
      <w:r w:rsidR="00093293">
        <w:t>led</w:t>
      </w:r>
      <w:r w:rsidR="000013A4">
        <w:t xml:space="preserve"> on</w:t>
      </w:r>
      <w:r w:rsidR="00093293">
        <w:t xml:space="preserve"> the systematic review of</w:t>
      </w:r>
      <w:r w:rsidR="000013A4">
        <w:t xml:space="preserve"> serological test and </w:t>
      </w:r>
      <w:r w:rsidR="00B932F2">
        <w:t>wrote a first draft of</w:t>
      </w:r>
      <w:r w:rsidR="000013A4">
        <w:t xml:space="preserve"> chapter 5.</w:t>
      </w:r>
      <w:r w:rsidR="00B932F2">
        <w:t xml:space="preserve"> </w:t>
      </w:r>
      <w:r w:rsidRPr="0064003B">
        <w:t>Edna Keeney</w:t>
      </w:r>
      <w:r w:rsidR="004D5A3A">
        <w:t xml:space="preserve"> (</w:t>
      </w:r>
      <w:r w:rsidR="004D5A3A" w:rsidRPr="004D5A3A">
        <w:t>Senior Research Associate in Statistical and Health Economic Modelling</w:t>
      </w:r>
      <w:r w:rsidR="004D5A3A">
        <w:t>)</w:t>
      </w:r>
      <w:r w:rsidR="00A21D78">
        <w:t xml:space="preserve"> worked on the</w:t>
      </w:r>
      <w:r w:rsidR="00D86C86">
        <w:t xml:space="preserve"> </w:t>
      </w:r>
      <w:r w:rsidR="00256366">
        <w:t>cost-effectiveness analysis</w:t>
      </w:r>
      <w:r w:rsidR="008D36F2">
        <w:t xml:space="preserve"> (Chapter 8)</w:t>
      </w:r>
      <w:r w:rsidR="00A21D78">
        <w:t xml:space="preserve">. </w:t>
      </w:r>
      <w:r w:rsidRPr="0064003B">
        <w:t>Rachel O’Donnell</w:t>
      </w:r>
      <w:r w:rsidR="0098062B">
        <w:t xml:space="preserve"> (</w:t>
      </w:r>
      <w:r w:rsidR="00764420">
        <w:t>R</w:t>
      </w:r>
      <w:r w:rsidR="0098062B">
        <w:t xml:space="preserve">esearch </w:t>
      </w:r>
      <w:r w:rsidR="003F3F2C">
        <w:t>Associate in Mixed Methods Research</w:t>
      </w:r>
      <w:r w:rsidR="0098062B">
        <w:t>)</w:t>
      </w:r>
      <w:r w:rsidR="00FB7708">
        <w:t xml:space="preserve"> performed</w:t>
      </w:r>
      <w:r w:rsidR="00D86C86">
        <w:t xml:space="preserve"> eligibility screening and data extraction </w:t>
      </w:r>
      <w:r w:rsidR="00FB7708">
        <w:t xml:space="preserve">(Chapter </w:t>
      </w:r>
      <w:r w:rsidR="000D3D4E">
        <w:t>3)</w:t>
      </w:r>
      <w:r w:rsidR="002C05B7">
        <w:t>,</w:t>
      </w:r>
      <w:r w:rsidR="000D3D4E">
        <w:t xml:space="preserve"> and the</w:t>
      </w:r>
      <w:r w:rsidR="002C05B7">
        <w:t xml:space="preserve"> qualitative analysis </w:t>
      </w:r>
      <w:r w:rsidR="00FC6B6E">
        <w:t xml:space="preserve">of the survey results </w:t>
      </w:r>
      <w:r w:rsidR="000D3D4E">
        <w:t>(Chapter 7)</w:t>
      </w:r>
      <w:r w:rsidR="002C05B7">
        <w:t>.</w:t>
      </w:r>
      <w:r w:rsidR="00FC6B6E">
        <w:t xml:space="preserve"> </w:t>
      </w:r>
      <w:r w:rsidR="0098062B" w:rsidRPr="0064003B">
        <w:t>Joni Jackso</w:t>
      </w:r>
      <w:r w:rsidR="0098062B">
        <w:t>n</w:t>
      </w:r>
      <w:r w:rsidR="005C0E00">
        <w:t xml:space="preserve"> (</w:t>
      </w:r>
      <w:r w:rsidR="005C0E00" w:rsidRPr="005C0E00">
        <w:t>Research Associate</w:t>
      </w:r>
      <w:r w:rsidR="005C0E00">
        <w:t xml:space="preserve"> in</w:t>
      </w:r>
      <w:r w:rsidR="005C0E00" w:rsidRPr="005C0E00">
        <w:t xml:space="preserve"> Quantitative Research</w:t>
      </w:r>
      <w:r w:rsidR="005C0E00">
        <w:t>)</w:t>
      </w:r>
      <w:r w:rsidR="0066022B">
        <w:t xml:space="preserve"> performed </w:t>
      </w:r>
      <w:r w:rsidR="005E5793">
        <w:t xml:space="preserve">eligibility screening and data extraction </w:t>
      </w:r>
      <w:r w:rsidR="0066022B">
        <w:t xml:space="preserve">(Chapter </w:t>
      </w:r>
      <w:r w:rsidR="008D36F2">
        <w:t>3)</w:t>
      </w:r>
      <w:r w:rsidR="005E5793">
        <w:t>, ALSPAC analysis</w:t>
      </w:r>
      <w:r w:rsidR="008D36F2">
        <w:t xml:space="preserve"> (Chapter 4)</w:t>
      </w:r>
      <w:r w:rsidR="005E5793">
        <w:t xml:space="preserve">, </w:t>
      </w:r>
      <w:r w:rsidR="00037EC1">
        <w:t xml:space="preserve">and </w:t>
      </w:r>
      <w:r w:rsidR="005E5793">
        <w:t>CPRD analysis for</w:t>
      </w:r>
      <w:r w:rsidR="008D36F2">
        <w:t xml:space="preserve"> the</w:t>
      </w:r>
      <w:r w:rsidR="005E5793">
        <w:t xml:space="preserve"> economic evaluation</w:t>
      </w:r>
      <w:r w:rsidR="008D36F2">
        <w:t xml:space="preserve"> (Chapter 8). </w:t>
      </w:r>
      <w:r w:rsidR="0098062B" w:rsidRPr="0064003B">
        <w:t>Cristina Roadevin</w:t>
      </w:r>
      <w:r w:rsidR="00A77487">
        <w:t xml:space="preserve"> (Senior Research Associate in Health Economics</w:t>
      </w:r>
      <w:r w:rsidR="001D7594">
        <w:t xml:space="preserve">) worked on the cost-effectiveness analysis (Chapter 8). </w:t>
      </w:r>
      <w:r w:rsidR="0098062B" w:rsidRPr="0064003B">
        <w:t>Sarah Dawson</w:t>
      </w:r>
      <w:r w:rsidR="008E71CE">
        <w:t xml:space="preserve"> (</w:t>
      </w:r>
      <w:r w:rsidR="008E71CE" w:rsidRPr="008E71CE">
        <w:t>Senior Research Associate in Information Retrieval</w:t>
      </w:r>
      <w:r w:rsidR="008E71CE">
        <w:t>)</w:t>
      </w:r>
      <w:r w:rsidR="001D7594">
        <w:t xml:space="preserve"> developed </w:t>
      </w:r>
      <w:r w:rsidR="008B1288">
        <w:t xml:space="preserve">literature </w:t>
      </w:r>
      <w:r w:rsidR="000240B6">
        <w:t xml:space="preserve">search </w:t>
      </w:r>
      <w:r w:rsidR="008B1288">
        <w:t>strategies</w:t>
      </w:r>
      <w:r w:rsidR="0070199F">
        <w:t xml:space="preserve"> (Chapter 3 and 5). </w:t>
      </w:r>
      <w:r w:rsidR="005450BE" w:rsidRPr="0064003B">
        <w:t>Deborah Lane</w:t>
      </w:r>
      <w:r w:rsidR="005450BE">
        <w:t xml:space="preserve"> </w:t>
      </w:r>
      <w:r w:rsidR="000240B6">
        <w:t>and</w:t>
      </w:r>
      <w:r w:rsidR="007F5768" w:rsidRPr="007F5768">
        <w:t xml:space="preserve"> </w:t>
      </w:r>
      <w:r w:rsidR="005450BE" w:rsidRPr="0064003B">
        <w:t>Jo Stubbs</w:t>
      </w:r>
      <w:r w:rsidR="000065DC">
        <w:t xml:space="preserve"> </w:t>
      </w:r>
      <w:r w:rsidR="008724EF">
        <w:t>(Patient Representatives)</w:t>
      </w:r>
      <w:r w:rsidR="000065DC">
        <w:t xml:space="preserve"> provided patient </w:t>
      </w:r>
      <w:r w:rsidR="00E05A90">
        <w:t>perspective</w:t>
      </w:r>
      <w:r w:rsidR="008724EF">
        <w:t>s</w:t>
      </w:r>
      <w:r w:rsidR="0070199F">
        <w:t xml:space="preserve"> (all Chapters). </w:t>
      </w:r>
      <w:r w:rsidR="005450BE" w:rsidRPr="0064003B">
        <w:t>Hazel Everitt</w:t>
      </w:r>
      <w:r w:rsidR="00771183">
        <w:t xml:space="preserve"> (</w:t>
      </w:r>
      <w:r w:rsidR="00771183" w:rsidRPr="00771183">
        <w:t>Professor of Primary Care Research</w:t>
      </w:r>
      <w:r w:rsidR="00771183">
        <w:t>)</w:t>
      </w:r>
      <w:r w:rsidR="005450BE" w:rsidRPr="0064003B">
        <w:t xml:space="preserve">, Jessica </w:t>
      </w:r>
      <w:r w:rsidR="006463D9">
        <w:t xml:space="preserve">C </w:t>
      </w:r>
      <w:r w:rsidR="005450BE" w:rsidRPr="0064003B">
        <w:t>Watson</w:t>
      </w:r>
      <w:r w:rsidR="00914F15">
        <w:t xml:space="preserve"> (</w:t>
      </w:r>
      <w:r w:rsidR="00914F15" w:rsidRPr="00914F15">
        <w:t>Clinical Lecturer in General Practice</w:t>
      </w:r>
      <w:r w:rsidR="00914F15">
        <w:t>)</w:t>
      </w:r>
      <w:r w:rsidR="005450BE" w:rsidRPr="0064003B">
        <w:t xml:space="preserve">, </w:t>
      </w:r>
      <w:r w:rsidR="000065DC">
        <w:t xml:space="preserve">and </w:t>
      </w:r>
      <w:r w:rsidR="005450BE" w:rsidRPr="0064003B">
        <w:t>Alastair D Hay</w:t>
      </w:r>
      <w:r w:rsidR="002B1E0F">
        <w:t xml:space="preserve"> (</w:t>
      </w:r>
      <w:r w:rsidR="002B1E0F" w:rsidRPr="002B1E0F">
        <w:t>Professor of Primary Care</w:t>
      </w:r>
      <w:r w:rsidR="002B1E0F">
        <w:t>)</w:t>
      </w:r>
      <w:r w:rsidR="000065DC">
        <w:t xml:space="preserve"> are academic GPs who provided</w:t>
      </w:r>
      <w:r w:rsidR="005450BE">
        <w:t xml:space="preserve"> clinical advice from </w:t>
      </w:r>
      <w:r w:rsidR="002B3DEB">
        <w:t xml:space="preserve">a </w:t>
      </w:r>
      <w:r w:rsidR="005450BE">
        <w:t>primary care perspective</w:t>
      </w:r>
      <w:r w:rsidR="002B3DEB">
        <w:t xml:space="preserve"> </w:t>
      </w:r>
      <w:r w:rsidR="00CA1CB3">
        <w:t xml:space="preserve">(all chapters) </w:t>
      </w:r>
      <w:r w:rsidR="002B3DEB">
        <w:t>and</w:t>
      </w:r>
      <w:r w:rsidR="005450BE">
        <w:t xml:space="preserve"> check</w:t>
      </w:r>
      <w:r w:rsidR="002B3DEB">
        <w:t>ed</w:t>
      </w:r>
      <w:r w:rsidR="005450BE">
        <w:t xml:space="preserve"> code lists for CPRD analys</w:t>
      </w:r>
      <w:r w:rsidR="00413A2D">
        <w:t>e</w:t>
      </w:r>
      <w:r w:rsidR="005450BE">
        <w:t>s used in the prediction and economic models</w:t>
      </w:r>
      <w:r w:rsidR="00CA1CB3">
        <w:t xml:space="preserve"> (Chapters 4 and 8). </w:t>
      </w:r>
      <w:r w:rsidR="005450BE" w:rsidRPr="0064003B">
        <w:t>Peter Gillett</w:t>
      </w:r>
      <w:r w:rsidR="005450BE">
        <w:t xml:space="preserve"> </w:t>
      </w:r>
      <w:r w:rsidR="007757F2">
        <w:t>(</w:t>
      </w:r>
      <w:r w:rsidR="007757F2" w:rsidRPr="007757F2">
        <w:t>Consultant Paediatric Gastroenterologist</w:t>
      </w:r>
      <w:r w:rsidR="004B13A0">
        <w:t xml:space="preserve">) </w:t>
      </w:r>
      <w:r w:rsidR="005450BE">
        <w:t>and</w:t>
      </w:r>
      <w:r w:rsidR="005450BE" w:rsidRPr="0064003B">
        <w:t xml:space="preserve"> Gerry Robins</w:t>
      </w:r>
      <w:r w:rsidR="00FE60C3">
        <w:t xml:space="preserve"> (</w:t>
      </w:r>
      <w:r w:rsidR="0080754E" w:rsidRPr="0080754E">
        <w:t>Consultant Gastroenterologist</w:t>
      </w:r>
      <w:r w:rsidR="00FE60C3">
        <w:t>)</w:t>
      </w:r>
      <w:r w:rsidR="0080754E">
        <w:t xml:space="preserve"> provided</w:t>
      </w:r>
      <w:r w:rsidR="002B564C">
        <w:t xml:space="preserve"> clinical </w:t>
      </w:r>
      <w:r w:rsidR="005450BE">
        <w:t xml:space="preserve">advice from </w:t>
      </w:r>
      <w:r w:rsidR="0080754E">
        <w:t xml:space="preserve">a </w:t>
      </w:r>
      <w:r w:rsidR="005450BE">
        <w:t>secondary care perspective</w:t>
      </w:r>
      <w:r w:rsidR="00CA1CB3">
        <w:t xml:space="preserve"> (all chapters)</w:t>
      </w:r>
      <w:r w:rsidR="005450BE">
        <w:t xml:space="preserve">, </w:t>
      </w:r>
      <w:r w:rsidR="008E42FD">
        <w:t>and checked code lists for CPRD analyses used in the prediction and economic models</w:t>
      </w:r>
      <w:r w:rsidR="00CA1CB3">
        <w:t xml:space="preserve"> (Chapters 4 and 8). </w:t>
      </w:r>
      <w:r w:rsidR="00E05A90" w:rsidRPr="0064003B">
        <w:t>Hayley E Jones</w:t>
      </w:r>
      <w:r w:rsidR="00CD1922">
        <w:t xml:space="preserve"> (</w:t>
      </w:r>
      <w:r w:rsidR="00CD1922" w:rsidRPr="00CD1922">
        <w:t>Senior Lecturer in Medical Statistics</w:t>
      </w:r>
      <w:r w:rsidR="00CD1922">
        <w:t>)</w:t>
      </w:r>
      <w:r w:rsidR="00CA1CB3">
        <w:t xml:space="preserve"> </w:t>
      </w:r>
      <w:r w:rsidR="0050407F">
        <w:t>offered</w:t>
      </w:r>
      <w:r w:rsidR="007616DE">
        <w:t xml:space="preserve"> statistical advice</w:t>
      </w:r>
      <w:r w:rsidR="0050407F">
        <w:t xml:space="preserve"> (all Chapters). </w:t>
      </w:r>
      <w:r w:rsidR="003D6896">
        <w:t>Sue</w:t>
      </w:r>
      <w:r w:rsidR="00774524" w:rsidRPr="0064003B">
        <w:t xml:space="preserve"> Mallett</w:t>
      </w:r>
      <w:r w:rsidR="003D6896">
        <w:t xml:space="preserve"> (</w:t>
      </w:r>
      <w:r w:rsidR="00D24DC4" w:rsidRPr="00D24DC4">
        <w:t>Professor in Diagnostic and Prognostic Medical Statistics</w:t>
      </w:r>
      <w:r w:rsidR="00D24DC4">
        <w:t>)</w:t>
      </w:r>
      <w:r w:rsidR="0050407F" w:rsidRPr="0050407F">
        <w:t xml:space="preserve"> </w:t>
      </w:r>
      <w:r w:rsidR="0050407F">
        <w:t xml:space="preserve">offered </w:t>
      </w:r>
      <w:r w:rsidR="002C05B7">
        <w:t>p</w:t>
      </w:r>
      <w:r w:rsidR="007616DE">
        <w:t>rediction modelling advice</w:t>
      </w:r>
      <w:r w:rsidR="0050407F">
        <w:t xml:space="preserve">. </w:t>
      </w:r>
      <w:r w:rsidR="00774524" w:rsidRPr="0064003B">
        <w:t xml:space="preserve">Penny </w:t>
      </w:r>
      <w:r w:rsidR="008E71CE">
        <w:t xml:space="preserve">F </w:t>
      </w:r>
      <w:r w:rsidR="00774524" w:rsidRPr="0064003B">
        <w:t>Whiting</w:t>
      </w:r>
      <w:r w:rsidR="009B1F7F">
        <w:t xml:space="preserve"> (</w:t>
      </w:r>
      <w:r w:rsidR="009B1F7F" w:rsidRPr="009B1F7F">
        <w:t>Professor of Clinical Epidemiology</w:t>
      </w:r>
      <w:r w:rsidR="009B1F7F">
        <w:t>)</w:t>
      </w:r>
      <w:r w:rsidR="0050407F">
        <w:t xml:space="preserve"> led the project, </w:t>
      </w:r>
      <w:r w:rsidR="00BB6A5F">
        <w:t xml:space="preserve">conceptualisation, </w:t>
      </w:r>
      <w:r w:rsidR="00293674">
        <w:t>f</w:t>
      </w:r>
      <w:r w:rsidR="00293674" w:rsidRPr="00293674">
        <w:t>unding acquisition</w:t>
      </w:r>
      <w:r w:rsidR="00293674">
        <w:t>,</w:t>
      </w:r>
      <w:r w:rsidR="00293674" w:rsidRPr="00293674">
        <w:t xml:space="preserve"> </w:t>
      </w:r>
      <w:r w:rsidR="00F1659F">
        <w:t>and wrote</w:t>
      </w:r>
      <w:r w:rsidR="007616DE">
        <w:t xml:space="preserve"> chapter</w:t>
      </w:r>
      <w:r w:rsidR="00F6274A">
        <w:t>s</w:t>
      </w:r>
      <w:r w:rsidR="007616DE">
        <w:t xml:space="preserve"> </w:t>
      </w:r>
      <w:r w:rsidR="00F6274A">
        <w:t>1, 2,5, and 6.</w:t>
      </w:r>
      <w:r w:rsidR="00362A64">
        <w:t xml:space="preserve"> </w:t>
      </w:r>
      <w:r w:rsidR="0071307E" w:rsidRPr="0071307E">
        <w:t xml:space="preserve">All </w:t>
      </w:r>
      <w:r w:rsidR="0049744D">
        <w:t>authors</w:t>
      </w:r>
      <w:r w:rsidR="0071307E" w:rsidRPr="0071307E">
        <w:t xml:space="preserve"> were involved in drafting and/or commenting on the report.</w:t>
      </w:r>
    </w:p>
    <w:p w14:paraId="0847D453" w14:textId="77777777" w:rsidR="00140845" w:rsidRPr="00734942" w:rsidRDefault="00140845">
      <w:pPr>
        <w:rPr>
          <w:rFonts w:asciiTheme="majorHAnsi" w:eastAsiaTheme="majorEastAsia" w:hAnsiTheme="majorHAnsi" w:cstheme="majorBidi"/>
          <w:color w:val="2F5496" w:themeColor="accent1" w:themeShade="BF"/>
          <w:sz w:val="32"/>
          <w:szCs w:val="32"/>
        </w:rPr>
      </w:pPr>
      <w:r w:rsidRPr="00734942">
        <w:br w:type="page"/>
      </w:r>
    </w:p>
    <w:p w14:paraId="647D3459" w14:textId="1A04B651" w:rsidR="005C2D92" w:rsidRPr="00734942" w:rsidRDefault="002B3A40" w:rsidP="005C2D92">
      <w:pPr>
        <w:pStyle w:val="Heading1"/>
      </w:pPr>
      <w:bookmarkStart w:id="339" w:name="_Toc99539918"/>
      <w:r w:rsidRPr="00734942">
        <w:lastRenderedPageBreak/>
        <w:t>Reference</w:t>
      </w:r>
      <w:r w:rsidR="006E20B2">
        <w:t>s</w:t>
      </w:r>
      <w:bookmarkEnd w:id="339"/>
    </w:p>
    <w:p w14:paraId="0A2F353A" w14:textId="77777777" w:rsidR="00EF35F3" w:rsidRPr="00EF35F3" w:rsidRDefault="005C2D92" w:rsidP="00EF35F3">
      <w:pPr>
        <w:pStyle w:val="EndNoteBibliography"/>
        <w:spacing w:after="0"/>
      </w:pPr>
      <w:r w:rsidRPr="00734942">
        <w:rPr>
          <w:lang w:val="en-GB"/>
        </w:rPr>
        <w:fldChar w:fldCharType="begin"/>
      </w:r>
      <w:r w:rsidRPr="00734942">
        <w:rPr>
          <w:lang w:val="en-GB"/>
        </w:rPr>
        <w:instrText xml:space="preserve"> ADDIN EN.REFLIST </w:instrText>
      </w:r>
      <w:r w:rsidRPr="00734942">
        <w:rPr>
          <w:lang w:val="en-GB"/>
        </w:rPr>
        <w:fldChar w:fldCharType="separate"/>
      </w:r>
      <w:r w:rsidR="00EF35F3" w:rsidRPr="00EF35F3">
        <w:t>1.</w:t>
      </w:r>
      <w:r w:rsidR="00EF35F3" w:rsidRPr="00EF35F3">
        <w:tab/>
        <w:t xml:space="preserve">Kelly C, Leffler D. Coeliac disease. </w:t>
      </w:r>
      <w:r w:rsidR="00EF35F3" w:rsidRPr="00EF35F3">
        <w:rPr>
          <w:i/>
        </w:rPr>
        <w:t>BMJ Best Practice</w:t>
      </w:r>
      <w:r w:rsidR="00EF35F3" w:rsidRPr="00EF35F3">
        <w:t xml:space="preserve"> 2018.</w:t>
      </w:r>
    </w:p>
    <w:p w14:paraId="11AC9F1A" w14:textId="3F9F362B" w:rsidR="00EF35F3" w:rsidRPr="00EF35F3" w:rsidRDefault="00EF35F3" w:rsidP="00EF35F3">
      <w:pPr>
        <w:pStyle w:val="EndNoteBibliography"/>
        <w:spacing w:after="0"/>
      </w:pPr>
      <w:r w:rsidRPr="00EF35F3">
        <w:t>2.</w:t>
      </w:r>
      <w:r w:rsidRPr="00EF35F3">
        <w:tab/>
        <w:t>Bingley PJ, Williams AJ, Norcross AJ, Unsworth DJ, Lock RJ, Ness AR</w:t>
      </w:r>
      <w:r w:rsidRPr="00EF35F3">
        <w:rPr>
          <w:i/>
        </w:rPr>
        <w:t>, et al.</w:t>
      </w:r>
      <w:r w:rsidRPr="00EF35F3">
        <w:t xml:space="preserve"> Undiagnosed coeliac disease at age seven: population based prospective birth cohort study. </w:t>
      </w:r>
      <w:r w:rsidRPr="00EF35F3">
        <w:rPr>
          <w:i/>
        </w:rPr>
        <w:t>BMJ</w:t>
      </w:r>
      <w:r w:rsidRPr="00EF35F3">
        <w:t xml:space="preserve"> 2004;</w:t>
      </w:r>
      <w:r w:rsidRPr="00EF35F3">
        <w:rPr>
          <w:b/>
        </w:rPr>
        <w:t>328</w:t>
      </w:r>
      <w:r w:rsidRPr="00EF35F3">
        <w:t xml:space="preserve">:322-3. </w:t>
      </w:r>
      <w:hyperlink r:id="rId52" w:history="1">
        <w:r w:rsidRPr="00EF35F3">
          <w:rPr>
            <w:rStyle w:val="Hyperlink"/>
          </w:rPr>
          <w:t>https://doi.org/10.1136/bmj.328.7435.322</w:t>
        </w:r>
      </w:hyperlink>
    </w:p>
    <w:p w14:paraId="4823B89D" w14:textId="46C087CB" w:rsidR="00EF35F3" w:rsidRPr="00EF35F3" w:rsidRDefault="00EF35F3" w:rsidP="00EF35F3">
      <w:pPr>
        <w:pStyle w:val="EndNoteBibliography"/>
        <w:spacing w:after="0"/>
      </w:pPr>
      <w:r w:rsidRPr="00EF35F3">
        <w:t>3.</w:t>
      </w:r>
      <w:r w:rsidRPr="00EF35F3">
        <w:tab/>
        <w:t xml:space="preserve">West J, Otete H, Sultan AA, Crooks CJ. Changes in Testing for and Incidence of Celiac Disease in the United Kingdom: A Population-based Cohort Study. </w:t>
      </w:r>
      <w:r w:rsidRPr="00EF35F3">
        <w:rPr>
          <w:i/>
        </w:rPr>
        <w:t>Epidemiology</w:t>
      </w:r>
      <w:r w:rsidRPr="00EF35F3">
        <w:t xml:space="preserve"> 2019;</w:t>
      </w:r>
      <w:r w:rsidRPr="00EF35F3">
        <w:rPr>
          <w:b/>
        </w:rPr>
        <w:t>30</w:t>
      </w:r>
      <w:r w:rsidRPr="00EF35F3">
        <w:t xml:space="preserve">:e23-e4. </w:t>
      </w:r>
      <w:hyperlink r:id="rId53" w:history="1">
        <w:r w:rsidRPr="00EF35F3">
          <w:rPr>
            <w:rStyle w:val="Hyperlink"/>
          </w:rPr>
          <w:t>https://doi.org/10.1097/EDE.0000000000001006</w:t>
        </w:r>
      </w:hyperlink>
    </w:p>
    <w:p w14:paraId="399380E7" w14:textId="101D1146" w:rsidR="00EF35F3" w:rsidRPr="00EF35F3" w:rsidRDefault="00EF35F3" w:rsidP="00EF35F3">
      <w:pPr>
        <w:pStyle w:val="EndNoteBibliography"/>
        <w:spacing w:after="0"/>
      </w:pPr>
      <w:r w:rsidRPr="00EF35F3">
        <w:t>4.</w:t>
      </w:r>
      <w:r w:rsidRPr="00EF35F3">
        <w:tab/>
        <w:t xml:space="preserve">West J, Fleming KM, Tata LJ, Card TR, Crooks CJ. Incidence and prevalence of celiac disease and dermatitis herpetiformis in the UK over two decades: population-based study. </w:t>
      </w:r>
      <w:r w:rsidRPr="00EF35F3">
        <w:rPr>
          <w:i/>
        </w:rPr>
        <w:t>Am J Gastroenterol</w:t>
      </w:r>
      <w:r w:rsidRPr="00EF35F3">
        <w:t xml:space="preserve"> 2014;</w:t>
      </w:r>
      <w:r w:rsidRPr="00EF35F3">
        <w:rPr>
          <w:b/>
        </w:rPr>
        <w:t>109</w:t>
      </w:r>
      <w:r w:rsidRPr="00EF35F3">
        <w:t xml:space="preserve">:757-68. </w:t>
      </w:r>
      <w:hyperlink r:id="rId54" w:history="1">
        <w:r w:rsidRPr="00EF35F3">
          <w:rPr>
            <w:rStyle w:val="Hyperlink"/>
          </w:rPr>
          <w:t>https://doi.org/10.1038/ajg.2014.55</w:t>
        </w:r>
      </w:hyperlink>
    </w:p>
    <w:p w14:paraId="1DB88950" w14:textId="067AADDA" w:rsidR="00EF35F3" w:rsidRPr="00EF35F3" w:rsidRDefault="00EF35F3" w:rsidP="00EF35F3">
      <w:pPr>
        <w:pStyle w:val="EndNoteBibliography"/>
        <w:spacing w:after="0"/>
      </w:pPr>
      <w:r w:rsidRPr="00EF35F3">
        <w:t>5.</w:t>
      </w:r>
      <w:r w:rsidRPr="00EF35F3">
        <w:tab/>
        <w:t xml:space="preserve">Green PH. Mortality in celiac disease, intestinal inflammation, and gluten sensitivity. </w:t>
      </w:r>
      <w:r w:rsidRPr="00EF35F3">
        <w:rPr>
          <w:i/>
        </w:rPr>
        <w:t>JAMA</w:t>
      </w:r>
      <w:r w:rsidRPr="00EF35F3">
        <w:t xml:space="preserve"> 2009;</w:t>
      </w:r>
      <w:r w:rsidRPr="00EF35F3">
        <w:rPr>
          <w:b/>
        </w:rPr>
        <w:t>302</w:t>
      </w:r>
      <w:r w:rsidRPr="00EF35F3">
        <w:t xml:space="preserve">:1225-6. </w:t>
      </w:r>
      <w:hyperlink r:id="rId55" w:history="1">
        <w:r w:rsidRPr="00EF35F3">
          <w:rPr>
            <w:rStyle w:val="Hyperlink"/>
          </w:rPr>
          <w:t>https://doi.org/10.1001/jama.281.24.2344</w:t>
        </w:r>
      </w:hyperlink>
    </w:p>
    <w:p w14:paraId="233F5FCA" w14:textId="022D8CB1" w:rsidR="00EF35F3" w:rsidRPr="00EF35F3" w:rsidRDefault="00EF35F3" w:rsidP="00EF35F3">
      <w:pPr>
        <w:pStyle w:val="EndNoteBibliography"/>
        <w:spacing w:after="0"/>
      </w:pPr>
      <w:r w:rsidRPr="00EF35F3">
        <w:t>6.</w:t>
      </w:r>
      <w:r w:rsidRPr="00EF35F3">
        <w:tab/>
        <w:t xml:space="preserve">Green PH, Jabri B. Coeliac disease. </w:t>
      </w:r>
      <w:r w:rsidRPr="00EF35F3">
        <w:rPr>
          <w:i/>
        </w:rPr>
        <w:t>Lancet</w:t>
      </w:r>
      <w:r w:rsidRPr="00EF35F3">
        <w:t xml:space="preserve"> 2003;</w:t>
      </w:r>
      <w:r w:rsidRPr="00EF35F3">
        <w:rPr>
          <w:b/>
        </w:rPr>
        <w:t>362</w:t>
      </w:r>
      <w:r w:rsidRPr="00EF35F3">
        <w:t xml:space="preserve">:383-91. </w:t>
      </w:r>
      <w:hyperlink r:id="rId56" w:history="1">
        <w:r w:rsidRPr="00EF35F3">
          <w:rPr>
            <w:rStyle w:val="Hyperlink"/>
          </w:rPr>
          <w:t>https://doi.org/10.1016/S0140-6736(03)14027-5</w:t>
        </w:r>
      </w:hyperlink>
    </w:p>
    <w:p w14:paraId="35BA27D7" w14:textId="4C418C5B" w:rsidR="00EF35F3" w:rsidRPr="00EF35F3" w:rsidRDefault="00EF35F3" w:rsidP="00EF35F3">
      <w:pPr>
        <w:pStyle w:val="EndNoteBibliography"/>
        <w:spacing w:after="0"/>
      </w:pPr>
      <w:r w:rsidRPr="00EF35F3">
        <w:t>7.</w:t>
      </w:r>
      <w:r w:rsidRPr="00EF35F3">
        <w:tab/>
        <w:t xml:space="preserve">Caio G, Ciccocioppo R, Zoli G, De Giorgio R, Volta U. Therapeutic options for coeliac disease: What else beyond gluten-free diet? </w:t>
      </w:r>
      <w:r w:rsidRPr="00EF35F3">
        <w:rPr>
          <w:i/>
        </w:rPr>
        <w:t>Digestive and Liver Disease</w:t>
      </w:r>
      <w:r w:rsidRPr="00EF35F3">
        <w:t xml:space="preserve"> 2020;</w:t>
      </w:r>
      <w:r w:rsidRPr="00EF35F3">
        <w:rPr>
          <w:b/>
        </w:rPr>
        <w:t>52</w:t>
      </w:r>
      <w:r w:rsidRPr="00EF35F3">
        <w:t xml:space="preserve">:130-7. </w:t>
      </w:r>
      <w:hyperlink r:id="rId57" w:history="1">
        <w:r w:rsidRPr="00EF35F3">
          <w:rPr>
            <w:rStyle w:val="Hyperlink"/>
          </w:rPr>
          <w:t>https://doi.org/https://doi.org/10.1016/j.dld.2019.11.010</w:t>
        </w:r>
      </w:hyperlink>
    </w:p>
    <w:p w14:paraId="42561B6B" w14:textId="4AC21856" w:rsidR="00EF35F3" w:rsidRPr="00EF35F3" w:rsidRDefault="00EF35F3" w:rsidP="00EF35F3">
      <w:pPr>
        <w:pStyle w:val="EndNoteBibliography"/>
        <w:spacing w:after="0"/>
      </w:pPr>
      <w:r w:rsidRPr="00EF35F3">
        <w:t>8.</w:t>
      </w:r>
      <w:r w:rsidRPr="00EF35F3">
        <w:tab/>
        <w:t>Norström F, Myléus A, Nordyke K, Carlsson A, Högberg L, Sandström O</w:t>
      </w:r>
      <w:r w:rsidRPr="00EF35F3">
        <w:rPr>
          <w:i/>
        </w:rPr>
        <w:t>, et al.</w:t>
      </w:r>
      <w:r w:rsidRPr="00EF35F3">
        <w:t xml:space="preserve"> Is mass screening for coeliac disease a wise use of resources? A health economic evaluation. </w:t>
      </w:r>
      <w:r w:rsidRPr="00EF35F3">
        <w:rPr>
          <w:i/>
        </w:rPr>
        <w:t>BMC Gastroenterology</w:t>
      </w:r>
      <w:r w:rsidRPr="00EF35F3">
        <w:t xml:space="preserve"> 2021;</w:t>
      </w:r>
      <w:r w:rsidRPr="00EF35F3">
        <w:rPr>
          <w:b/>
        </w:rPr>
        <w:t>21</w:t>
      </w:r>
      <w:r w:rsidRPr="00EF35F3">
        <w:t xml:space="preserve">:159. </w:t>
      </w:r>
      <w:hyperlink r:id="rId58" w:history="1">
        <w:r w:rsidRPr="00EF35F3">
          <w:rPr>
            <w:rStyle w:val="Hyperlink"/>
          </w:rPr>
          <w:t>https://doi.org/10.1186/s12876-021-01737-1</w:t>
        </w:r>
      </w:hyperlink>
    </w:p>
    <w:p w14:paraId="355AE29D" w14:textId="77777777" w:rsidR="00EF35F3" w:rsidRPr="00EF35F3" w:rsidRDefault="00EF35F3" w:rsidP="00EF35F3">
      <w:pPr>
        <w:pStyle w:val="EndNoteBibliography"/>
        <w:spacing w:after="0"/>
      </w:pPr>
      <w:r w:rsidRPr="00EF35F3">
        <w:t>9.</w:t>
      </w:r>
      <w:r w:rsidRPr="00EF35F3">
        <w:tab/>
        <w:t xml:space="preserve">National Institute for Health and Care Excellence (NICE). Coeliac disease: recognition, assessment and management (NG20). </w:t>
      </w:r>
      <w:r w:rsidRPr="00EF35F3">
        <w:rPr>
          <w:i/>
        </w:rPr>
        <w:t>National Institute for Health and Care Excellence (NICE)</w:t>
      </w:r>
      <w:r w:rsidRPr="00EF35F3">
        <w:t xml:space="preserve"> 2015.</w:t>
      </w:r>
    </w:p>
    <w:p w14:paraId="77989FDD" w14:textId="3EBCAA55" w:rsidR="00EF35F3" w:rsidRPr="00EF35F3" w:rsidRDefault="00EF35F3" w:rsidP="00EF35F3">
      <w:pPr>
        <w:pStyle w:val="EndNoteBibliography"/>
        <w:spacing w:after="0"/>
      </w:pPr>
      <w:r w:rsidRPr="00EF35F3">
        <w:t>10.</w:t>
      </w:r>
      <w:r w:rsidRPr="00EF35F3">
        <w:tab/>
        <w:t>Husby S, Koletzko S, Korponay-Szabó I, Kurppa K, Mearin ML, Ribes-Koninckx C</w:t>
      </w:r>
      <w:r w:rsidRPr="00EF35F3">
        <w:rPr>
          <w:i/>
        </w:rPr>
        <w:t>, et al.</w:t>
      </w:r>
      <w:r w:rsidRPr="00EF35F3">
        <w:t xml:space="preserve"> European Society Paediatric Gastroenterology, Hepatology and Nutrition Guidelines for Diagnosing Coeliac Disease 2020. </w:t>
      </w:r>
      <w:r w:rsidRPr="00EF35F3">
        <w:rPr>
          <w:i/>
        </w:rPr>
        <w:t>Journal of Pediatric Gastroenterology and Nutrition</w:t>
      </w:r>
      <w:r w:rsidRPr="00EF35F3">
        <w:t xml:space="preserve"> 2020;</w:t>
      </w:r>
      <w:r w:rsidRPr="00EF35F3">
        <w:rPr>
          <w:b/>
        </w:rPr>
        <w:t>70</w:t>
      </w:r>
      <w:r w:rsidRPr="00EF35F3">
        <w:t xml:space="preserve">:141-56. </w:t>
      </w:r>
      <w:hyperlink r:id="rId59" w:history="1">
        <w:r w:rsidRPr="00EF35F3">
          <w:rPr>
            <w:rStyle w:val="Hyperlink"/>
          </w:rPr>
          <w:t>https://doi.org/10.1097/mpg.0000000000002497</w:t>
        </w:r>
      </w:hyperlink>
    </w:p>
    <w:p w14:paraId="0AACC9FD" w14:textId="64D669E2" w:rsidR="00EF35F3" w:rsidRPr="00EF35F3" w:rsidRDefault="00EF35F3" w:rsidP="00EF35F3">
      <w:pPr>
        <w:pStyle w:val="EndNoteBibliography"/>
        <w:spacing w:after="0"/>
      </w:pPr>
      <w:r w:rsidRPr="00EF35F3">
        <w:t>11.</w:t>
      </w:r>
      <w:r w:rsidRPr="00EF35F3">
        <w:tab/>
        <w:t>Husby S, Koletzko S, Korponay-Szabo I, Kurppa K, Mearin ML, Ribes-Koninckx C</w:t>
      </w:r>
      <w:r w:rsidRPr="00EF35F3">
        <w:rPr>
          <w:i/>
        </w:rPr>
        <w:t>, et al.</w:t>
      </w:r>
      <w:r w:rsidRPr="00EF35F3">
        <w:t xml:space="preserve"> European Society Paediatric Gastroenterology, Hepatology and Nutrition Guidelines for Diagnosing Coeliac Disease 2020. </w:t>
      </w:r>
      <w:r w:rsidRPr="00EF35F3">
        <w:rPr>
          <w:i/>
        </w:rPr>
        <w:t>Journal of Pediatric Gastroenterology and Nutrition</w:t>
      </w:r>
      <w:r w:rsidRPr="00EF35F3">
        <w:t xml:space="preserve"> 2020;</w:t>
      </w:r>
      <w:r w:rsidRPr="00EF35F3">
        <w:rPr>
          <w:b/>
        </w:rPr>
        <w:t>70</w:t>
      </w:r>
      <w:r w:rsidRPr="00EF35F3">
        <w:t xml:space="preserve">:141-56. </w:t>
      </w:r>
      <w:hyperlink r:id="rId60" w:history="1">
        <w:r w:rsidRPr="00EF35F3">
          <w:rPr>
            <w:rStyle w:val="Hyperlink"/>
          </w:rPr>
          <w:t>https://doi.org/http://dx.doi.org/10.1097/MPG.0000000000002497</w:t>
        </w:r>
      </w:hyperlink>
    </w:p>
    <w:p w14:paraId="79A65804" w14:textId="2C96DB89" w:rsidR="00EF35F3" w:rsidRPr="00EF35F3" w:rsidRDefault="00EF35F3" w:rsidP="00EF35F3">
      <w:pPr>
        <w:pStyle w:val="EndNoteBibliography"/>
        <w:spacing w:after="0"/>
      </w:pPr>
      <w:r w:rsidRPr="00EF35F3">
        <w:t>12.</w:t>
      </w:r>
      <w:r w:rsidRPr="00EF35F3">
        <w:tab/>
        <w:t>Al-Toma A, Volta U, Auricchio R, Castillejo G, Sanders DS, Cellier C</w:t>
      </w:r>
      <w:r w:rsidRPr="00EF35F3">
        <w:rPr>
          <w:i/>
        </w:rPr>
        <w:t>, et al.</w:t>
      </w:r>
      <w:r w:rsidRPr="00EF35F3">
        <w:t xml:space="preserve"> European Society for the Study of Coeliac Disease (ESsCD) guideline for coeliac disease and other gluten-related disorders. </w:t>
      </w:r>
      <w:r w:rsidRPr="00EF35F3">
        <w:rPr>
          <w:i/>
        </w:rPr>
        <w:t>United European Gastroenterology Journal</w:t>
      </w:r>
      <w:r w:rsidRPr="00EF35F3">
        <w:t xml:space="preserve"> 2019;</w:t>
      </w:r>
      <w:r w:rsidRPr="00EF35F3">
        <w:rPr>
          <w:b/>
        </w:rPr>
        <w:t>7</w:t>
      </w:r>
      <w:r w:rsidRPr="00EF35F3">
        <w:t xml:space="preserve">:583-613. </w:t>
      </w:r>
      <w:hyperlink r:id="rId61" w:history="1">
        <w:r w:rsidRPr="00EF35F3">
          <w:rPr>
            <w:rStyle w:val="Hyperlink"/>
          </w:rPr>
          <w:t>https://doi.org/http://dx.doi.org/10.1177/2050640619844125</w:t>
        </w:r>
      </w:hyperlink>
    </w:p>
    <w:p w14:paraId="34654AC9" w14:textId="412AD5F7" w:rsidR="00EF35F3" w:rsidRPr="00EF35F3" w:rsidRDefault="00EF35F3" w:rsidP="00EF35F3">
      <w:pPr>
        <w:pStyle w:val="EndNoteBibliography"/>
        <w:spacing w:after="0"/>
      </w:pPr>
      <w:r w:rsidRPr="00EF35F3">
        <w:t>13.</w:t>
      </w:r>
      <w:r w:rsidRPr="00EF35F3">
        <w:tab/>
        <w:t>Giersiepen K, Lelgemann M, Stuhldreher N, Ronfani L, Husby S, Koletzko S</w:t>
      </w:r>
      <w:r w:rsidRPr="00EF35F3">
        <w:rPr>
          <w:i/>
        </w:rPr>
        <w:t>, et al.</w:t>
      </w:r>
      <w:r w:rsidRPr="00EF35F3">
        <w:t xml:space="preserve"> Accuracy of diagnostic antibody tests for coeliac disease in children: summary of an evidence report. </w:t>
      </w:r>
      <w:r w:rsidRPr="00EF35F3">
        <w:rPr>
          <w:i/>
        </w:rPr>
        <w:t>J Pediatr Gastroenterol Nutr</w:t>
      </w:r>
      <w:r w:rsidRPr="00EF35F3">
        <w:t xml:space="preserve"> 2012;</w:t>
      </w:r>
      <w:r w:rsidRPr="00EF35F3">
        <w:rPr>
          <w:b/>
        </w:rPr>
        <w:t>54</w:t>
      </w:r>
      <w:r w:rsidRPr="00EF35F3">
        <w:t xml:space="preserve">:229-41. </w:t>
      </w:r>
      <w:hyperlink r:id="rId62" w:history="1">
        <w:r w:rsidRPr="00EF35F3">
          <w:rPr>
            <w:rStyle w:val="Hyperlink"/>
          </w:rPr>
          <w:t>https://doi.org/10.1097/MPG.0b013e318216f2e5</w:t>
        </w:r>
      </w:hyperlink>
    </w:p>
    <w:p w14:paraId="189BF999" w14:textId="77777777" w:rsidR="00EF35F3" w:rsidRPr="00EF35F3" w:rsidRDefault="00EF35F3" w:rsidP="00EF35F3">
      <w:pPr>
        <w:pStyle w:val="EndNoteBibliography"/>
        <w:spacing w:after="0"/>
      </w:pPr>
      <w:r w:rsidRPr="00EF35F3">
        <w:t>14.</w:t>
      </w:r>
      <w:r w:rsidRPr="00EF35F3">
        <w:tab/>
        <w:t>Rostom A, Dube C, Cranney A, Saloojee N, Sy R, Garritty C</w:t>
      </w:r>
      <w:r w:rsidRPr="00EF35F3">
        <w:rPr>
          <w:i/>
        </w:rPr>
        <w:t>, et al.</w:t>
      </w:r>
      <w:r w:rsidRPr="00EF35F3">
        <w:t xml:space="preserve"> The diagnostic accuracy of serologic tests for celiac disease: a systematic review. </w:t>
      </w:r>
      <w:r w:rsidRPr="00EF35F3">
        <w:rPr>
          <w:i/>
        </w:rPr>
        <w:t>Gastroenterology</w:t>
      </w:r>
      <w:r w:rsidRPr="00EF35F3">
        <w:t xml:space="preserve"> 2005;</w:t>
      </w:r>
      <w:r w:rsidRPr="00EF35F3">
        <w:rPr>
          <w:b/>
        </w:rPr>
        <w:t>128</w:t>
      </w:r>
      <w:r w:rsidRPr="00EF35F3">
        <w:t>:S38-46.</w:t>
      </w:r>
    </w:p>
    <w:p w14:paraId="4554307E" w14:textId="2FFB20FC" w:rsidR="00EF35F3" w:rsidRPr="00C34531" w:rsidRDefault="00EF35F3" w:rsidP="00EF35F3">
      <w:pPr>
        <w:pStyle w:val="EndNoteBibliography"/>
        <w:spacing w:after="0"/>
        <w:rPr>
          <w:lang w:val="nl-NL"/>
        </w:rPr>
      </w:pPr>
      <w:r w:rsidRPr="00EF35F3">
        <w:t>15.</w:t>
      </w:r>
      <w:r w:rsidRPr="00EF35F3">
        <w:tab/>
        <w:t xml:space="preserve">Schyum AC, Rumessen JJ. Serological testing for celiac disease in adults. </w:t>
      </w:r>
      <w:r w:rsidRPr="00C34531">
        <w:rPr>
          <w:i/>
          <w:lang w:val="nl-NL"/>
        </w:rPr>
        <w:t>United European Gastroenterol J</w:t>
      </w:r>
      <w:r w:rsidRPr="00C34531">
        <w:rPr>
          <w:lang w:val="nl-NL"/>
        </w:rPr>
        <w:t xml:space="preserve"> 2013;</w:t>
      </w:r>
      <w:r w:rsidRPr="00C34531">
        <w:rPr>
          <w:b/>
          <w:lang w:val="nl-NL"/>
        </w:rPr>
        <w:t>1</w:t>
      </w:r>
      <w:r w:rsidRPr="00C34531">
        <w:rPr>
          <w:lang w:val="nl-NL"/>
        </w:rPr>
        <w:t xml:space="preserve">:319-25. </w:t>
      </w:r>
      <w:hyperlink r:id="rId63" w:history="1">
        <w:r w:rsidRPr="00C34531">
          <w:rPr>
            <w:rStyle w:val="Hyperlink"/>
            <w:lang w:val="nl-NL"/>
          </w:rPr>
          <w:t>https://doi.org/10.1177/2050640613502788</w:t>
        </w:r>
      </w:hyperlink>
    </w:p>
    <w:p w14:paraId="148385D1" w14:textId="683DEC4F" w:rsidR="00EF35F3" w:rsidRPr="00EF35F3" w:rsidRDefault="00EF35F3" w:rsidP="00EF35F3">
      <w:pPr>
        <w:pStyle w:val="EndNoteBibliography"/>
        <w:spacing w:after="0"/>
      </w:pPr>
      <w:r w:rsidRPr="00C34531">
        <w:rPr>
          <w:lang w:val="nl-NL"/>
        </w:rPr>
        <w:t>16.</w:t>
      </w:r>
      <w:r w:rsidRPr="00C34531">
        <w:rPr>
          <w:lang w:val="nl-NL"/>
        </w:rPr>
        <w:tab/>
        <w:t xml:space="preserve">van der Windt DA, Jellema P, Mulder CJ, Kneepkens CM, van der Horst HE. </w:t>
      </w:r>
      <w:r w:rsidRPr="00EF35F3">
        <w:t xml:space="preserve">Diagnostic testing for celiac disease among patients with abdominal symptoms: a systematic review. </w:t>
      </w:r>
      <w:r w:rsidRPr="00EF35F3">
        <w:rPr>
          <w:i/>
        </w:rPr>
        <w:t>JAMA</w:t>
      </w:r>
      <w:r w:rsidRPr="00EF35F3">
        <w:t xml:space="preserve"> 2010;</w:t>
      </w:r>
      <w:r w:rsidRPr="00EF35F3">
        <w:rPr>
          <w:b/>
        </w:rPr>
        <w:t>303</w:t>
      </w:r>
      <w:r w:rsidRPr="00EF35F3">
        <w:t xml:space="preserve">:1738-46. </w:t>
      </w:r>
      <w:hyperlink r:id="rId64" w:history="1">
        <w:r w:rsidRPr="00EF35F3">
          <w:rPr>
            <w:rStyle w:val="Hyperlink"/>
          </w:rPr>
          <w:t>https://doi.org/10.1001/jama.2010.549</w:t>
        </w:r>
      </w:hyperlink>
    </w:p>
    <w:p w14:paraId="7F43FCA8" w14:textId="174326B9" w:rsidR="00EF35F3" w:rsidRPr="00EF35F3" w:rsidRDefault="00EF35F3" w:rsidP="00EF35F3">
      <w:pPr>
        <w:pStyle w:val="EndNoteBibliography"/>
        <w:spacing w:after="0"/>
      </w:pPr>
      <w:r w:rsidRPr="00EF35F3">
        <w:t>17.</w:t>
      </w:r>
      <w:r w:rsidRPr="00EF35F3">
        <w:tab/>
        <w:t xml:space="preserve">Lebwohl B, Sanders DS, Green PHR. Coeliac disease. </w:t>
      </w:r>
      <w:r w:rsidRPr="00EF35F3">
        <w:rPr>
          <w:i/>
        </w:rPr>
        <w:t>The Lancet</w:t>
      </w:r>
      <w:r w:rsidRPr="00EF35F3">
        <w:t xml:space="preserve"> 2018;</w:t>
      </w:r>
      <w:r w:rsidRPr="00EF35F3">
        <w:rPr>
          <w:b/>
        </w:rPr>
        <w:t>391</w:t>
      </w:r>
      <w:r w:rsidRPr="00EF35F3">
        <w:t xml:space="preserve">:70-81. </w:t>
      </w:r>
      <w:hyperlink r:id="rId65" w:history="1">
        <w:r w:rsidRPr="00EF35F3">
          <w:rPr>
            <w:rStyle w:val="Hyperlink"/>
          </w:rPr>
          <w:t>https://doi.org/https://doi.org/10.1016/S0140-6736(17)31796-8</w:t>
        </w:r>
      </w:hyperlink>
    </w:p>
    <w:p w14:paraId="30F8AB4C" w14:textId="76FB0F04" w:rsidR="00EF35F3" w:rsidRPr="00EF35F3" w:rsidRDefault="00EF35F3" w:rsidP="00EF35F3">
      <w:pPr>
        <w:pStyle w:val="EndNoteBibliography"/>
        <w:spacing w:after="0"/>
      </w:pPr>
      <w:r w:rsidRPr="00EF35F3">
        <w:t>18.</w:t>
      </w:r>
      <w:r w:rsidRPr="00EF35F3">
        <w:tab/>
        <w:t xml:space="preserve">Cecilio LA, Bonatto MW. The prevalence of HLA DQ2 and DQ8 in patients with celiac disease, in family and in general population. </w:t>
      </w:r>
      <w:r w:rsidRPr="00EF35F3">
        <w:rPr>
          <w:i/>
        </w:rPr>
        <w:t>Arq Bras Cir Dig</w:t>
      </w:r>
      <w:r w:rsidRPr="00EF35F3">
        <w:t xml:space="preserve"> 2015;</w:t>
      </w:r>
      <w:r w:rsidRPr="00EF35F3">
        <w:rPr>
          <w:b/>
        </w:rPr>
        <w:t>28</w:t>
      </w:r>
      <w:r w:rsidRPr="00EF35F3">
        <w:t xml:space="preserve">:183-5. </w:t>
      </w:r>
      <w:hyperlink r:id="rId66" w:history="1">
        <w:r w:rsidRPr="00EF35F3">
          <w:rPr>
            <w:rStyle w:val="Hyperlink"/>
          </w:rPr>
          <w:t>https://doi.org/10.1590/s0102-67202015000300009</w:t>
        </w:r>
      </w:hyperlink>
    </w:p>
    <w:p w14:paraId="20E8C0D8" w14:textId="2C5F26EA" w:rsidR="00EF35F3" w:rsidRPr="00EF35F3" w:rsidRDefault="00EF35F3" w:rsidP="00EF35F3">
      <w:pPr>
        <w:pStyle w:val="EndNoteBibliography"/>
        <w:spacing w:after="0"/>
      </w:pPr>
      <w:r w:rsidRPr="00EF35F3">
        <w:lastRenderedPageBreak/>
        <w:t>19.</w:t>
      </w:r>
      <w:r w:rsidRPr="00EF35F3">
        <w:tab/>
        <w:t>Husby S, Koletzko S, Korponay-Szabo IR, Mearin ML, Phillips A, Shamir R</w:t>
      </w:r>
      <w:r w:rsidRPr="00EF35F3">
        <w:rPr>
          <w:i/>
        </w:rPr>
        <w:t>, et al.</w:t>
      </w:r>
      <w:r w:rsidRPr="00EF35F3">
        <w:t xml:space="preserve"> European Society for Pediatric Gastroenterology, Hepatology, and Nutrition guidelines for the diagnosis of coeliac disease. </w:t>
      </w:r>
      <w:r w:rsidRPr="00EF35F3">
        <w:rPr>
          <w:i/>
        </w:rPr>
        <w:t>J Pediatr Gastroenterol Nutr</w:t>
      </w:r>
      <w:r w:rsidRPr="00EF35F3">
        <w:t xml:space="preserve"> 2012;</w:t>
      </w:r>
      <w:r w:rsidRPr="00EF35F3">
        <w:rPr>
          <w:b/>
        </w:rPr>
        <w:t>54</w:t>
      </w:r>
      <w:r w:rsidRPr="00EF35F3">
        <w:t xml:space="preserve">:136-60. </w:t>
      </w:r>
      <w:hyperlink r:id="rId67" w:history="1">
        <w:r w:rsidRPr="00EF35F3">
          <w:rPr>
            <w:rStyle w:val="Hyperlink"/>
          </w:rPr>
          <w:t>https://doi.org/10.1097/MPG.0b013e31821a23d0</w:t>
        </w:r>
      </w:hyperlink>
    </w:p>
    <w:p w14:paraId="54138233" w14:textId="77777777" w:rsidR="00EF35F3" w:rsidRPr="00EF35F3" w:rsidRDefault="00EF35F3" w:rsidP="00EF35F3">
      <w:pPr>
        <w:pStyle w:val="EndNoteBibliography"/>
        <w:spacing w:after="0"/>
      </w:pPr>
      <w:r w:rsidRPr="00EF35F3">
        <w:t>20.</w:t>
      </w:r>
      <w:r w:rsidRPr="00EF35F3">
        <w:tab/>
        <w:t xml:space="preserve">British Society of Gastroenterology. BSG Interim Guidance: COVID-19 specific non-biopsy protocol for those with suspected coeliac disease. </w:t>
      </w:r>
      <w:r w:rsidRPr="00EF35F3">
        <w:rPr>
          <w:i/>
        </w:rPr>
        <w:t>British Society of Gastroenterology</w:t>
      </w:r>
      <w:r w:rsidRPr="00EF35F3">
        <w:t xml:space="preserve"> 2020.</w:t>
      </w:r>
    </w:p>
    <w:p w14:paraId="3E611534" w14:textId="30735394" w:rsidR="00EF35F3" w:rsidRPr="00EF35F3" w:rsidRDefault="00EF35F3" w:rsidP="00EF35F3">
      <w:pPr>
        <w:pStyle w:val="EndNoteBibliography"/>
        <w:spacing w:after="0"/>
      </w:pPr>
      <w:r w:rsidRPr="00EF35F3">
        <w:t>21.</w:t>
      </w:r>
      <w:r w:rsidRPr="00EF35F3">
        <w:tab/>
        <w:t>Elwenspoek MMC, Jackson J, Dawson S, Everitt H, Gillett P, Hay AD</w:t>
      </w:r>
      <w:r w:rsidRPr="00EF35F3">
        <w:rPr>
          <w:i/>
        </w:rPr>
        <w:t>, et al.</w:t>
      </w:r>
      <w:r w:rsidRPr="00EF35F3">
        <w:t xml:space="preserve"> Accuracy of potential diagnostic indicators for coeliac disease: a systematic review protocol. </w:t>
      </w:r>
      <w:r w:rsidRPr="00EF35F3">
        <w:rPr>
          <w:i/>
        </w:rPr>
        <w:t>BMJ Open</w:t>
      </w:r>
      <w:r w:rsidRPr="00EF35F3">
        <w:t xml:space="preserve"> 2020;</w:t>
      </w:r>
      <w:r w:rsidRPr="00EF35F3">
        <w:rPr>
          <w:b/>
        </w:rPr>
        <w:t>10</w:t>
      </w:r>
      <w:r w:rsidRPr="00EF35F3">
        <w:t xml:space="preserve">:e038994. </w:t>
      </w:r>
      <w:hyperlink r:id="rId68" w:history="1">
        <w:r w:rsidRPr="00EF35F3">
          <w:rPr>
            <w:rStyle w:val="Hyperlink"/>
          </w:rPr>
          <w:t>https://doi.org/10.1136/bmjopen-2020-038994</w:t>
        </w:r>
      </w:hyperlink>
    </w:p>
    <w:p w14:paraId="5392AA6A" w14:textId="77777777" w:rsidR="00EF35F3" w:rsidRPr="00EF35F3" w:rsidRDefault="00EF35F3" w:rsidP="00EF35F3">
      <w:pPr>
        <w:pStyle w:val="EndNoteBibliography"/>
        <w:spacing w:after="0"/>
      </w:pPr>
      <w:r w:rsidRPr="00EF35F3">
        <w:t>22.</w:t>
      </w:r>
      <w:r w:rsidRPr="00EF35F3">
        <w:tab/>
        <w:t xml:space="preserve">Centre for Reviews and Dissemination (CRD). Systematic Reviews. CRD’s guidance for undertaking reviews in health care. </w:t>
      </w:r>
      <w:r w:rsidRPr="00EF35F3">
        <w:rPr>
          <w:i/>
        </w:rPr>
        <w:t>University of York</w:t>
      </w:r>
      <w:r w:rsidRPr="00EF35F3">
        <w:t xml:space="preserve"> 2009.</w:t>
      </w:r>
    </w:p>
    <w:p w14:paraId="7BD6B232" w14:textId="77777777" w:rsidR="00EF35F3" w:rsidRPr="00EF35F3" w:rsidRDefault="00EF35F3" w:rsidP="00EF35F3">
      <w:pPr>
        <w:pStyle w:val="EndNoteBibliography"/>
        <w:spacing w:after="0"/>
      </w:pPr>
      <w:r w:rsidRPr="00EF35F3">
        <w:t>23.</w:t>
      </w:r>
      <w:r w:rsidRPr="00EF35F3">
        <w:tab/>
        <w:t xml:space="preserve">Deeks JJ, Bossuyt PM, Gatsonis C. Cochrane Handbook for Systematic Reviews of Diagnostic Test Accuracy Version 1.0.0. </w:t>
      </w:r>
      <w:r w:rsidRPr="00EF35F3">
        <w:rPr>
          <w:i/>
        </w:rPr>
        <w:t>The Cochrane Collaboration</w:t>
      </w:r>
      <w:r w:rsidRPr="00EF35F3">
        <w:t xml:space="preserve"> 2013.</w:t>
      </w:r>
    </w:p>
    <w:p w14:paraId="072B6FAA" w14:textId="2F277E7D" w:rsidR="00EF35F3" w:rsidRPr="00EF35F3" w:rsidRDefault="00EF35F3" w:rsidP="00EF35F3">
      <w:pPr>
        <w:pStyle w:val="EndNoteBibliography"/>
        <w:spacing w:after="0"/>
      </w:pPr>
      <w:r w:rsidRPr="00EF35F3">
        <w:t>24.</w:t>
      </w:r>
      <w:r w:rsidRPr="00EF35F3">
        <w:tab/>
        <w:t>McInnes MDF, Moher D, Thombs BD, McGrath TA, Bossuyt PM, and the P-DTAG</w:t>
      </w:r>
      <w:r w:rsidRPr="00EF35F3">
        <w:rPr>
          <w:i/>
        </w:rPr>
        <w:t>, et al.</w:t>
      </w:r>
      <w:r w:rsidRPr="00EF35F3">
        <w:t xml:space="preserve"> Preferred Reporting Items for a Systematic Review and Meta-analysis of Diagnostic Test Accuracy Studies: The PRISMA-DTA Statement. </w:t>
      </w:r>
      <w:r w:rsidRPr="00EF35F3">
        <w:rPr>
          <w:i/>
        </w:rPr>
        <w:t>JAMA</w:t>
      </w:r>
      <w:r w:rsidRPr="00EF35F3">
        <w:t xml:space="preserve"> 2018;</w:t>
      </w:r>
      <w:r w:rsidRPr="00EF35F3">
        <w:rPr>
          <w:b/>
        </w:rPr>
        <w:t>319</w:t>
      </w:r>
      <w:r w:rsidRPr="00EF35F3">
        <w:t xml:space="preserve">:388-96. </w:t>
      </w:r>
      <w:hyperlink r:id="rId69" w:history="1">
        <w:r w:rsidRPr="00EF35F3">
          <w:rPr>
            <w:rStyle w:val="Hyperlink"/>
          </w:rPr>
          <w:t>https://doi.org/10.1001/jama.2017.19163</w:t>
        </w:r>
      </w:hyperlink>
    </w:p>
    <w:p w14:paraId="7B4BF1ED" w14:textId="52FC33C6" w:rsidR="00EF35F3" w:rsidRPr="00EF35F3" w:rsidRDefault="00EF35F3" w:rsidP="00EF35F3">
      <w:pPr>
        <w:pStyle w:val="EndNoteBibliography"/>
        <w:spacing w:after="0"/>
      </w:pPr>
      <w:r w:rsidRPr="00EF35F3">
        <w:t>25.</w:t>
      </w:r>
      <w:r w:rsidRPr="00EF35F3">
        <w:tab/>
        <w:t>Elwenspoek MMC, Jackson J, O'Donnell R, Sinobas A, Dawson S, Everitt H</w:t>
      </w:r>
      <w:r w:rsidRPr="00EF35F3">
        <w:rPr>
          <w:i/>
        </w:rPr>
        <w:t>, et al.</w:t>
      </w:r>
      <w:r w:rsidRPr="00EF35F3">
        <w:t xml:space="preserve"> The accuracy of diagnostic indicators for coeliac disease: A systematic review and meta-analysis. </w:t>
      </w:r>
      <w:r w:rsidRPr="00EF35F3">
        <w:rPr>
          <w:i/>
        </w:rPr>
        <w:t>PLoS One</w:t>
      </w:r>
      <w:r w:rsidRPr="00EF35F3">
        <w:t xml:space="preserve"> 2021;</w:t>
      </w:r>
      <w:r w:rsidRPr="00EF35F3">
        <w:rPr>
          <w:b/>
        </w:rPr>
        <w:t>16</w:t>
      </w:r>
      <w:r w:rsidRPr="00EF35F3">
        <w:t xml:space="preserve">:e0258501. </w:t>
      </w:r>
      <w:hyperlink r:id="rId70" w:history="1">
        <w:r w:rsidRPr="00EF35F3">
          <w:rPr>
            <w:rStyle w:val="Hyperlink"/>
          </w:rPr>
          <w:t>https://doi.org/10.1371/journal.pone.0258501</w:t>
        </w:r>
      </w:hyperlink>
    </w:p>
    <w:p w14:paraId="3CA95FEA" w14:textId="7E8B57B4" w:rsidR="00EF35F3" w:rsidRPr="00C34531" w:rsidRDefault="00EF35F3" w:rsidP="00EF35F3">
      <w:pPr>
        <w:pStyle w:val="EndNoteBibliography"/>
        <w:spacing w:after="0"/>
        <w:rPr>
          <w:lang w:val="nl-NL"/>
        </w:rPr>
      </w:pPr>
      <w:r w:rsidRPr="00EF35F3">
        <w:t>26.</w:t>
      </w:r>
      <w:r w:rsidRPr="00EF35F3">
        <w:tab/>
        <w:t xml:space="preserve">Rutjes AW, Reitsma JB, Vandenbroucke JP, Glas AS, Bossuyt PM. Case-control and two-gate designs in diagnostic accuracy studies. </w:t>
      </w:r>
      <w:r w:rsidRPr="00C34531">
        <w:rPr>
          <w:i/>
          <w:lang w:val="nl-NL"/>
        </w:rPr>
        <w:t>Clin Chem</w:t>
      </w:r>
      <w:r w:rsidRPr="00C34531">
        <w:rPr>
          <w:lang w:val="nl-NL"/>
        </w:rPr>
        <w:t xml:space="preserve"> 2005;</w:t>
      </w:r>
      <w:r w:rsidRPr="00C34531">
        <w:rPr>
          <w:b/>
          <w:lang w:val="nl-NL"/>
        </w:rPr>
        <w:t>51</w:t>
      </w:r>
      <w:r w:rsidRPr="00C34531">
        <w:rPr>
          <w:lang w:val="nl-NL"/>
        </w:rPr>
        <w:t xml:space="preserve">:1335-41. </w:t>
      </w:r>
      <w:hyperlink r:id="rId71" w:history="1">
        <w:r w:rsidRPr="00C34531">
          <w:rPr>
            <w:rStyle w:val="Hyperlink"/>
            <w:lang w:val="nl-NL"/>
          </w:rPr>
          <w:t>https://doi.org/10.1373/clinchem.2005.048595</w:t>
        </w:r>
      </w:hyperlink>
    </w:p>
    <w:p w14:paraId="33594BCE" w14:textId="6E74E179" w:rsidR="00EF35F3" w:rsidRPr="00EF35F3" w:rsidRDefault="00EF35F3" w:rsidP="00EF35F3">
      <w:pPr>
        <w:pStyle w:val="EndNoteBibliography"/>
        <w:spacing w:after="0"/>
      </w:pPr>
      <w:r w:rsidRPr="00C34531">
        <w:rPr>
          <w:lang w:val="nl-NL"/>
        </w:rPr>
        <w:t>27.</w:t>
      </w:r>
      <w:r w:rsidRPr="00C34531">
        <w:rPr>
          <w:lang w:val="nl-NL"/>
        </w:rPr>
        <w:tab/>
        <w:t xml:space="preserve">Geersing GJ, Bouwmeester W, Zuithoff P, Spijker R, Leeflang M, Moons KG. </w:t>
      </w:r>
      <w:r w:rsidRPr="00EF35F3">
        <w:t xml:space="preserve">Search filters for finding prognostic and diagnostic prediction studies in Medline to enhance systematic reviews. </w:t>
      </w:r>
      <w:r w:rsidRPr="00EF35F3">
        <w:rPr>
          <w:i/>
        </w:rPr>
        <w:t>PLoS One</w:t>
      </w:r>
      <w:r w:rsidRPr="00EF35F3">
        <w:t xml:space="preserve"> 2012;</w:t>
      </w:r>
      <w:r w:rsidRPr="00EF35F3">
        <w:rPr>
          <w:b/>
        </w:rPr>
        <w:t>7</w:t>
      </w:r>
      <w:r w:rsidRPr="00EF35F3">
        <w:t xml:space="preserve">:e32844. </w:t>
      </w:r>
      <w:hyperlink r:id="rId72" w:history="1">
        <w:r w:rsidRPr="00EF35F3">
          <w:rPr>
            <w:rStyle w:val="Hyperlink"/>
          </w:rPr>
          <w:t>https://doi.org/10.1371/journal.pone.0032844</w:t>
        </w:r>
      </w:hyperlink>
    </w:p>
    <w:p w14:paraId="27977342" w14:textId="5D203120" w:rsidR="00EF35F3" w:rsidRPr="00EF35F3" w:rsidRDefault="00EF35F3" w:rsidP="00EF35F3">
      <w:pPr>
        <w:pStyle w:val="EndNoteBibliography"/>
        <w:spacing w:after="0"/>
      </w:pPr>
      <w:r w:rsidRPr="00EF35F3">
        <w:t>28.</w:t>
      </w:r>
      <w:r w:rsidRPr="00EF35F3">
        <w:tab/>
        <w:t xml:space="preserve">Ingui BJ, Rogers MA. Searching for clinical prediction rules in MEDLINE. </w:t>
      </w:r>
      <w:r w:rsidRPr="00EF35F3">
        <w:rPr>
          <w:i/>
        </w:rPr>
        <w:t>J Am Med Inform Assoc</w:t>
      </w:r>
      <w:r w:rsidRPr="00EF35F3">
        <w:t xml:space="preserve"> 2001;</w:t>
      </w:r>
      <w:r w:rsidRPr="00EF35F3">
        <w:rPr>
          <w:b/>
        </w:rPr>
        <w:t>8</w:t>
      </w:r>
      <w:r w:rsidRPr="00EF35F3">
        <w:t xml:space="preserve">:391-7. </w:t>
      </w:r>
      <w:hyperlink r:id="rId73" w:history="1">
        <w:r w:rsidRPr="00EF35F3">
          <w:rPr>
            <w:rStyle w:val="Hyperlink"/>
          </w:rPr>
          <w:t>https://doi.org/10.1136/jamia.2001.0080391</w:t>
        </w:r>
      </w:hyperlink>
    </w:p>
    <w:p w14:paraId="7A2AB394" w14:textId="1899CC46" w:rsidR="00EF35F3" w:rsidRPr="00EF35F3" w:rsidRDefault="00EF35F3" w:rsidP="00EF35F3">
      <w:pPr>
        <w:pStyle w:val="EndNoteBibliography"/>
        <w:spacing w:after="0"/>
      </w:pPr>
      <w:r w:rsidRPr="00EF35F3">
        <w:t>29.</w:t>
      </w:r>
      <w:r w:rsidRPr="00EF35F3">
        <w:tab/>
        <w:t>Whiting PF, Rutjes AW, Westwood ME, Mallett S, Deeks JJ, Reitsma JB</w:t>
      </w:r>
      <w:r w:rsidRPr="00EF35F3">
        <w:rPr>
          <w:i/>
        </w:rPr>
        <w:t>, et al.</w:t>
      </w:r>
      <w:r w:rsidRPr="00EF35F3">
        <w:t xml:space="preserve"> QUADAS-2: a revised tool for the quality assessment of diagnostic accuracy studies. </w:t>
      </w:r>
      <w:r w:rsidRPr="00EF35F3">
        <w:rPr>
          <w:i/>
        </w:rPr>
        <w:t>Ann Intern Med</w:t>
      </w:r>
      <w:r w:rsidRPr="00EF35F3">
        <w:t xml:space="preserve"> 2011;</w:t>
      </w:r>
      <w:r w:rsidRPr="00EF35F3">
        <w:rPr>
          <w:b/>
        </w:rPr>
        <w:t>155</w:t>
      </w:r>
      <w:r w:rsidRPr="00EF35F3">
        <w:t xml:space="preserve">:529-36. </w:t>
      </w:r>
      <w:hyperlink r:id="rId74" w:history="1">
        <w:r w:rsidRPr="00EF35F3">
          <w:rPr>
            <w:rStyle w:val="Hyperlink"/>
          </w:rPr>
          <w:t>https://doi.org/10.7326/0003-4819-155-8-201110180-00009</w:t>
        </w:r>
      </w:hyperlink>
    </w:p>
    <w:p w14:paraId="7F4B722F" w14:textId="0190346A" w:rsidR="00EF35F3" w:rsidRPr="00EF35F3" w:rsidRDefault="00EF35F3" w:rsidP="00EF35F3">
      <w:pPr>
        <w:pStyle w:val="EndNoteBibliography"/>
        <w:spacing w:after="0"/>
      </w:pPr>
      <w:r w:rsidRPr="00EF35F3">
        <w:t>30.</w:t>
      </w:r>
      <w:r w:rsidRPr="00EF35F3">
        <w:tab/>
        <w:t xml:space="preserve">Reitsma JB, Glas AS, Rutjes AW, Scholten RJ, Bossuyt PM, Zwinderman AH. Bivariate analysis of sensitivity and specificity produces informative summary measures in diagnostic reviews. </w:t>
      </w:r>
      <w:r w:rsidRPr="00EF35F3">
        <w:rPr>
          <w:i/>
        </w:rPr>
        <w:t>J Clin Epidemiol</w:t>
      </w:r>
      <w:r w:rsidRPr="00EF35F3">
        <w:t xml:space="preserve"> 2005;</w:t>
      </w:r>
      <w:r w:rsidRPr="00EF35F3">
        <w:rPr>
          <w:b/>
        </w:rPr>
        <w:t>58</w:t>
      </w:r>
      <w:r w:rsidRPr="00EF35F3">
        <w:t xml:space="preserve">:982-90. </w:t>
      </w:r>
      <w:hyperlink r:id="rId75" w:history="1">
        <w:r w:rsidRPr="00EF35F3">
          <w:rPr>
            <w:rStyle w:val="Hyperlink"/>
          </w:rPr>
          <w:t>https://doi.org/10.1016/j.jclinepi.2005.02.022</w:t>
        </w:r>
      </w:hyperlink>
    </w:p>
    <w:p w14:paraId="704E166B" w14:textId="313B3FCE" w:rsidR="00EF35F3" w:rsidRPr="00EF35F3" w:rsidRDefault="00EF35F3" w:rsidP="00EF35F3">
      <w:pPr>
        <w:pStyle w:val="EndNoteBibliography"/>
        <w:spacing w:after="0"/>
      </w:pPr>
      <w:r w:rsidRPr="00EF35F3">
        <w:t>31.</w:t>
      </w:r>
      <w:r w:rsidRPr="00EF35F3">
        <w:tab/>
        <w:t xml:space="preserve">Chu H, Cole SR. Bivariate meta-analysis of sensitivity and specificity with sparse data: a generalized linear mixed model approach. </w:t>
      </w:r>
      <w:r w:rsidRPr="00EF35F3">
        <w:rPr>
          <w:i/>
        </w:rPr>
        <w:t>J Clin Epidemiol</w:t>
      </w:r>
      <w:r w:rsidRPr="00EF35F3">
        <w:t xml:space="preserve"> 2006;</w:t>
      </w:r>
      <w:r w:rsidRPr="00EF35F3">
        <w:rPr>
          <w:b/>
        </w:rPr>
        <w:t>59</w:t>
      </w:r>
      <w:r w:rsidRPr="00EF35F3">
        <w:t xml:space="preserve">:1331-2; author reply 2-3. </w:t>
      </w:r>
      <w:hyperlink r:id="rId76" w:history="1">
        <w:r w:rsidRPr="00EF35F3">
          <w:rPr>
            <w:rStyle w:val="Hyperlink"/>
          </w:rPr>
          <w:t>https://doi.org/10.1016/j.jclinepi.2006.06.011</w:t>
        </w:r>
      </w:hyperlink>
    </w:p>
    <w:p w14:paraId="72938664" w14:textId="344C9D85" w:rsidR="00EF35F3" w:rsidRPr="00EF35F3" w:rsidRDefault="00EF35F3" w:rsidP="00EF35F3">
      <w:pPr>
        <w:pStyle w:val="EndNoteBibliography"/>
        <w:spacing w:after="0"/>
      </w:pPr>
      <w:r w:rsidRPr="00EF35F3">
        <w:t>32.</w:t>
      </w:r>
      <w:r w:rsidRPr="00EF35F3">
        <w:tab/>
        <w:t>Ludvigsson JF, Leffler DA, Bai JC, Biagi F, Fasano A, Green PH</w:t>
      </w:r>
      <w:r w:rsidRPr="00EF35F3">
        <w:rPr>
          <w:i/>
        </w:rPr>
        <w:t>, et al.</w:t>
      </w:r>
      <w:r w:rsidRPr="00EF35F3">
        <w:t xml:space="preserve"> The Oslo definitions for coeliac disease and related terms. </w:t>
      </w:r>
      <w:r w:rsidRPr="00EF35F3">
        <w:rPr>
          <w:i/>
        </w:rPr>
        <w:t>Gut</w:t>
      </w:r>
      <w:r w:rsidRPr="00EF35F3">
        <w:t xml:space="preserve"> 2013;</w:t>
      </w:r>
      <w:r w:rsidRPr="00EF35F3">
        <w:rPr>
          <w:b/>
        </w:rPr>
        <w:t>62</w:t>
      </w:r>
      <w:r w:rsidRPr="00EF35F3">
        <w:t xml:space="preserve">:43-52. </w:t>
      </w:r>
      <w:hyperlink r:id="rId77" w:history="1">
        <w:r w:rsidRPr="00EF35F3">
          <w:rPr>
            <w:rStyle w:val="Hyperlink"/>
          </w:rPr>
          <w:t>https://doi.org/10.1136/gutjnl-2011-301346</w:t>
        </w:r>
      </w:hyperlink>
    </w:p>
    <w:p w14:paraId="7893B7CF" w14:textId="619894CC" w:rsidR="00EF35F3" w:rsidRPr="00EF35F3" w:rsidRDefault="00EF35F3" w:rsidP="00EF35F3">
      <w:pPr>
        <w:pStyle w:val="EndNoteBibliography"/>
        <w:spacing w:after="0"/>
      </w:pPr>
      <w:r w:rsidRPr="00C34531">
        <w:rPr>
          <w:lang w:val="it-IT"/>
        </w:rPr>
        <w:t>33.</w:t>
      </w:r>
      <w:r w:rsidRPr="00C34531">
        <w:rPr>
          <w:lang w:val="it-IT"/>
        </w:rPr>
        <w:tab/>
        <w:t>Singh P, Arora A, Strand TA, Leffler DA, Catassi C, Green PH</w:t>
      </w:r>
      <w:r w:rsidRPr="00C34531">
        <w:rPr>
          <w:i/>
          <w:lang w:val="it-IT"/>
        </w:rPr>
        <w:t>, et al.</w:t>
      </w:r>
      <w:r w:rsidRPr="00C34531">
        <w:rPr>
          <w:lang w:val="it-IT"/>
        </w:rPr>
        <w:t xml:space="preserve"> </w:t>
      </w:r>
      <w:r w:rsidRPr="00EF35F3">
        <w:t xml:space="preserve">Global Prevalence of Celiac Disease: Systematic Review and Meta-analysis. </w:t>
      </w:r>
      <w:r w:rsidRPr="00EF35F3">
        <w:rPr>
          <w:i/>
        </w:rPr>
        <w:t>Clin Gastroenterol Hepatol</w:t>
      </w:r>
      <w:r w:rsidRPr="00EF35F3">
        <w:t xml:space="preserve"> 2018;</w:t>
      </w:r>
      <w:r w:rsidRPr="00EF35F3">
        <w:rPr>
          <w:b/>
        </w:rPr>
        <w:t>16</w:t>
      </w:r>
      <w:r w:rsidRPr="00EF35F3">
        <w:t xml:space="preserve">:823-36 e2. </w:t>
      </w:r>
      <w:hyperlink r:id="rId78" w:history="1">
        <w:r w:rsidRPr="00EF35F3">
          <w:rPr>
            <w:rStyle w:val="Hyperlink"/>
          </w:rPr>
          <w:t>https://doi.org/10.1016/j.cgh.2017.06.037</w:t>
        </w:r>
      </w:hyperlink>
    </w:p>
    <w:p w14:paraId="444FD3CA" w14:textId="77777777" w:rsidR="00EF35F3" w:rsidRPr="00EF35F3" w:rsidRDefault="00EF35F3" w:rsidP="00EF35F3">
      <w:pPr>
        <w:pStyle w:val="EndNoteBibliography"/>
        <w:spacing w:after="0"/>
      </w:pPr>
      <w:r w:rsidRPr="00EF35F3">
        <w:t>34.</w:t>
      </w:r>
      <w:r w:rsidRPr="00EF35F3">
        <w:tab/>
        <w:t xml:space="preserve">R Core Team. R: A Language and Environment for Statistical Computing. </w:t>
      </w:r>
      <w:r w:rsidRPr="00EF35F3">
        <w:rPr>
          <w:i/>
        </w:rPr>
        <w:t>R Foundation for Statistical Computing</w:t>
      </w:r>
      <w:r w:rsidRPr="00EF35F3">
        <w:t xml:space="preserve"> 2020.</w:t>
      </w:r>
    </w:p>
    <w:p w14:paraId="53C8BEDB" w14:textId="618989F6" w:rsidR="00EF35F3" w:rsidRPr="00EF35F3" w:rsidRDefault="00EF35F3" w:rsidP="00EF35F3">
      <w:pPr>
        <w:pStyle w:val="EndNoteBibliography"/>
        <w:spacing w:after="0"/>
      </w:pPr>
      <w:r w:rsidRPr="00EF35F3">
        <w:t>35.</w:t>
      </w:r>
      <w:r w:rsidRPr="00EF35F3">
        <w:tab/>
        <w:t xml:space="preserve">Bates D, Maechler M, Bolker B, Walker S. Fitting Linear Mixed-Effects Models Using lme4. </w:t>
      </w:r>
      <w:r w:rsidRPr="00EF35F3">
        <w:rPr>
          <w:i/>
        </w:rPr>
        <w:t>Journal of Statistical Software</w:t>
      </w:r>
      <w:r w:rsidRPr="00EF35F3">
        <w:t xml:space="preserve"> 2015;</w:t>
      </w:r>
      <w:r w:rsidRPr="00EF35F3">
        <w:rPr>
          <w:b/>
        </w:rPr>
        <w:t>67</w:t>
      </w:r>
      <w:r w:rsidRPr="00EF35F3">
        <w:t xml:space="preserve">:1-48. </w:t>
      </w:r>
      <w:hyperlink r:id="rId79" w:history="1">
        <w:r w:rsidRPr="00EF35F3">
          <w:rPr>
            <w:rStyle w:val="Hyperlink"/>
          </w:rPr>
          <w:t>https://doi.org/10.18637/jss.v067.i01</w:t>
        </w:r>
      </w:hyperlink>
    </w:p>
    <w:p w14:paraId="3548FA15" w14:textId="77777777" w:rsidR="00EF35F3" w:rsidRPr="00EF35F3" w:rsidRDefault="00EF35F3" w:rsidP="00EF35F3">
      <w:pPr>
        <w:pStyle w:val="EndNoteBibliography"/>
        <w:spacing w:after="0"/>
      </w:pPr>
      <w:r w:rsidRPr="00EF35F3">
        <w:t>36.</w:t>
      </w:r>
      <w:r w:rsidRPr="00EF35F3">
        <w:tab/>
        <w:t xml:space="preserve">Scherer R. PropCIs: Various Confidence Interval Methods for Proportions. </w:t>
      </w:r>
      <w:r w:rsidRPr="00EF35F3">
        <w:rPr>
          <w:i/>
        </w:rPr>
        <w:t>R package version 03-0</w:t>
      </w:r>
      <w:r w:rsidRPr="00EF35F3">
        <w:t xml:space="preserve"> 2018.</w:t>
      </w:r>
    </w:p>
    <w:p w14:paraId="0D841EB2" w14:textId="77777777" w:rsidR="00EF35F3" w:rsidRPr="00EF35F3" w:rsidRDefault="00EF35F3" w:rsidP="00EF35F3">
      <w:pPr>
        <w:pStyle w:val="EndNoteBibliography"/>
        <w:spacing w:after="0"/>
      </w:pPr>
      <w:r w:rsidRPr="00EF35F3">
        <w:t>37.</w:t>
      </w:r>
      <w:r w:rsidRPr="00EF35F3">
        <w:tab/>
        <w:t xml:space="preserve">Gordon M, Lumley T. forestplot: Advanced Forest Plot Using 'grid' Graphics. </w:t>
      </w:r>
      <w:r w:rsidRPr="00EF35F3">
        <w:rPr>
          <w:i/>
        </w:rPr>
        <w:t>R package version 110</w:t>
      </w:r>
      <w:r w:rsidRPr="00EF35F3">
        <w:t xml:space="preserve"> 2020.</w:t>
      </w:r>
    </w:p>
    <w:p w14:paraId="5CE89D90" w14:textId="77777777" w:rsidR="00EF35F3" w:rsidRPr="00EF35F3" w:rsidRDefault="00EF35F3" w:rsidP="00EF35F3">
      <w:pPr>
        <w:pStyle w:val="EndNoteBibliography"/>
        <w:spacing w:after="0"/>
      </w:pPr>
      <w:r w:rsidRPr="00EF35F3">
        <w:t>38.</w:t>
      </w:r>
      <w:r w:rsidRPr="00EF35F3">
        <w:tab/>
        <w:t xml:space="preserve">Gohel D. flextable: Functions for Tabular Reporting. </w:t>
      </w:r>
      <w:r w:rsidRPr="00EF35F3">
        <w:rPr>
          <w:i/>
        </w:rPr>
        <w:t>R package version 0511</w:t>
      </w:r>
      <w:r w:rsidRPr="00EF35F3">
        <w:t xml:space="preserve"> 2020.</w:t>
      </w:r>
    </w:p>
    <w:p w14:paraId="5F5EF6E4" w14:textId="77777777" w:rsidR="00EF35F3" w:rsidRPr="00EF35F3" w:rsidRDefault="00EF35F3" w:rsidP="00EF35F3">
      <w:pPr>
        <w:pStyle w:val="EndNoteBibliography"/>
        <w:spacing w:after="0"/>
      </w:pPr>
      <w:r w:rsidRPr="00EF35F3">
        <w:lastRenderedPageBreak/>
        <w:t>39.</w:t>
      </w:r>
      <w:r w:rsidRPr="00EF35F3">
        <w:tab/>
        <w:t xml:space="preserve">Wickham H. ggplot2: Elegant Graphics for Data Analysis. </w:t>
      </w:r>
      <w:r w:rsidRPr="00EF35F3">
        <w:rPr>
          <w:i/>
        </w:rPr>
        <w:t>Springer-Verlag New York</w:t>
      </w:r>
      <w:r w:rsidRPr="00EF35F3">
        <w:t xml:space="preserve"> 2016.</w:t>
      </w:r>
    </w:p>
    <w:p w14:paraId="02249091" w14:textId="77777777" w:rsidR="00EF35F3" w:rsidRPr="00EF35F3" w:rsidRDefault="00EF35F3" w:rsidP="00EF35F3">
      <w:pPr>
        <w:pStyle w:val="EndNoteBibliography"/>
        <w:spacing w:after="0"/>
      </w:pPr>
      <w:r w:rsidRPr="00EF35F3">
        <w:t>40.</w:t>
      </w:r>
      <w:r w:rsidRPr="00EF35F3">
        <w:tab/>
        <w:t xml:space="preserve">Doebler P. mada: Meta-Analysis of Diagnostic Accuracy. </w:t>
      </w:r>
      <w:r w:rsidRPr="00EF35F3">
        <w:rPr>
          <w:i/>
        </w:rPr>
        <w:t>R package version 0510</w:t>
      </w:r>
      <w:r w:rsidRPr="00EF35F3">
        <w:t xml:space="preserve"> 2020.</w:t>
      </w:r>
    </w:p>
    <w:p w14:paraId="46CB0F4E" w14:textId="77777777" w:rsidR="00EF35F3" w:rsidRPr="00EF35F3" w:rsidRDefault="00EF35F3" w:rsidP="00EF35F3">
      <w:pPr>
        <w:pStyle w:val="EndNoteBibliography"/>
        <w:spacing w:after="0"/>
      </w:pPr>
      <w:r w:rsidRPr="00EF35F3">
        <w:t>41.</w:t>
      </w:r>
      <w:r w:rsidRPr="00EF35F3">
        <w:tab/>
        <w:t xml:space="preserve">Murdoch D, Chow ED. ellipse: Functions for Drawing Ellipses and Ellipse-Like Confidence Regions. </w:t>
      </w:r>
      <w:r w:rsidRPr="00EF35F3">
        <w:rPr>
          <w:i/>
        </w:rPr>
        <w:t>R package version 042</w:t>
      </w:r>
      <w:r w:rsidRPr="00EF35F3">
        <w:t xml:space="preserve"> 2020.</w:t>
      </w:r>
    </w:p>
    <w:p w14:paraId="2E94979D" w14:textId="7E26BFAE" w:rsidR="00EF35F3" w:rsidRPr="00C34531" w:rsidRDefault="00EF35F3" w:rsidP="00EF35F3">
      <w:pPr>
        <w:pStyle w:val="EndNoteBibliography"/>
        <w:spacing w:after="0"/>
        <w:rPr>
          <w:lang w:val="it-IT"/>
        </w:rPr>
      </w:pPr>
      <w:r w:rsidRPr="00EF35F3">
        <w:t>42.</w:t>
      </w:r>
      <w:r w:rsidRPr="00EF35F3">
        <w:tab/>
        <w:t>Ludvigsson JF, Bai JC, Biagi F, Card TR, Ciacci C, Ciclitira PJ</w:t>
      </w:r>
      <w:r w:rsidRPr="00EF35F3">
        <w:rPr>
          <w:i/>
        </w:rPr>
        <w:t>, et al.</w:t>
      </w:r>
      <w:r w:rsidRPr="00EF35F3">
        <w:t xml:space="preserve"> Diagnosis and management of adult coeliac disease: guidelines from the British Society of Gastroenterology. </w:t>
      </w:r>
      <w:r w:rsidRPr="00C34531">
        <w:rPr>
          <w:i/>
          <w:lang w:val="it-IT"/>
        </w:rPr>
        <w:t>Gut</w:t>
      </w:r>
      <w:r w:rsidRPr="00C34531">
        <w:rPr>
          <w:lang w:val="it-IT"/>
        </w:rPr>
        <w:t xml:space="preserve"> 2014;</w:t>
      </w:r>
      <w:r w:rsidRPr="00C34531">
        <w:rPr>
          <w:b/>
          <w:lang w:val="it-IT"/>
        </w:rPr>
        <w:t>63</w:t>
      </w:r>
      <w:r w:rsidRPr="00C34531">
        <w:rPr>
          <w:lang w:val="it-IT"/>
        </w:rPr>
        <w:t xml:space="preserve">:1210-28. </w:t>
      </w:r>
      <w:hyperlink r:id="rId80" w:history="1">
        <w:r w:rsidRPr="00C34531">
          <w:rPr>
            <w:rStyle w:val="Hyperlink"/>
            <w:lang w:val="it-IT"/>
          </w:rPr>
          <w:t>https://doi.org/10.1136/gutjnl-2013-306578</w:t>
        </w:r>
      </w:hyperlink>
    </w:p>
    <w:p w14:paraId="5AD6609C" w14:textId="498F0674" w:rsidR="00EF35F3" w:rsidRPr="00EF35F3" w:rsidRDefault="00EF35F3" w:rsidP="00EF35F3">
      <w:pPr>
        <w:pStyle w:val="EndNoteBibliography"/>
        <w:spacing w:after="0"/>
      </w:pPr>
      <w:r w:rsidRPr="00C34531">
        <w:rPr>
          <w:lang w:val="it-IT"/>
        </w:rPr>
        <w:t>43.</w:t>
      </w:r>
      <w:r w:rsidRPr="00C34531">
        <w:rPr>
          <w:lang w:val="it-IT"/>
        </w:rPr>
        <w:tab/>
        <w:t>Al-Toma A, Volta U, Auricchio R, Castillejo G, Sanders DS, Cellier C</w:t>
      </w:r>
      <w:r w:rsidRPr="00C34531">
        <w:rPr>
          <w:i/>
          <w:lang w:val="it-IT"/>
        </w:rPr>
        <w:t>, et al.</w:t>
      </w:r>
      <w:r w:rsidRPr="00C34531">
        <w:rPr>
          <w:lang w:val="it-IT"/>
        </w:rPr>
        <w:t xml:space="preserve"> </w:t>
      </w:r>
      <w:r w:rsidRPr="00EF35F3">
        <w:t xml:space="preserve">European Society for the Study of Coeliac Disease (ESsCD) guideline for coeliac disease and other gluten-related disorders. </w:t>
      </w:r>
      <w:r w:rsidRPr="00EF35F3">
        <w:rPr>
          <w:i/>
        </w:rPr>
        <w:t>United European Gastroenterol J</w:t>
      </w:r>
      <w:r w:rsidRPr="00EF35F3">
        <w:t xml:space="preserve"> 2019;</w:t>
      </w:r>
      <w:r w:rsidRPr="00EF35F3">
        <w:rPr>
          <w:b/>
        </w:rPr>
        <w:t>7</w:t>
      </w:r>
      <w:r w:rsidRPr="00EF35F3">
        <w:t xml:space="preserve">:583-613. </w:t>
      </w:r>
      <w:hyperlink r:id="rId81" w:history="1">
        <w:r w:rsidRPr="00EF35F3">
          <w:rPr>
            <w:rStyle w:val="Hyperlink"/>
          </w:rPr>
          <w:t>https://doi.org/10.1177/2050640619844125</w:t>
        </w:r>
      </w:hyperlink>
    </w:p>
    <w:p w14:paraId="72672C21" w14:textId="62605535" w:rsidR="00EF35F3" w:rsidRPr="00EF35F3" w:rsidRDefault="00EF35F3" w:rsidP="00EF35F3">
      <w:pPr>
        <w:pStyle w:val="EndNoteBibliography"/>
        <w:spacing w:after="0"/>
      </w:pPr>
      <w:r w:rsidRPr="00EF35F3">
        <w:t>44.</w:t>
      </w:r>
      <w:r w:rsidRPr="00EF35F3">
        <w:tab/>
        <w:t xml:space="preserve">National Institute for Health and Care Excellence (NICE). 2019 surveillance of coeliac disease: recognition, assessment and management (NICE guideline NG20). </w:t>
      </w:r>
      <w:r w:rsidRPr="00EF35F3">
        <w:rPr>
          <w:i/>
        </w:rPr>
        <w:t xml:space="preserve">Available at: </w:t>
      </w:r>
      <w:hyperlink r:id="rId82" w:history="1">
        <w:r w:rsidRPr="00EF35F3">
          <w:rPr>
            <w:rStyle w:val="Hyperlink"/>
            <w:i/>
          </w:rPr>
          <w:t>https://wwwniceorguk/guidance/ng20</w:t>
        </w:r>
      </w:hyperlink>
      <w:r w:rsidRPr="00EF35F3">
        <w:rPr>
          <w:i/>
        </w:rPr>
        <w:t xml:space="preserve"> [last acessed 19/01/2021]</w:t>
      </w:r>
      <w:r w:rsidRPr="00EF35F3">
        <w:t xml:space="preserve"> 2019.</w:t>
      </w:r>
    </w:p>
    <w:p w14:paraId="346AFD05" w14:textId="2D54425E" w:rsidR="00EF35F3" w:rsidRPr="00EF35F3" w:rsidRDefault="00EF35F3" w:rsidP="00EF35F3">
      <w:pPr>
        <w:pStyle w:val="EndNoteBibliography"/>
        <w:spacing w:after="0"/>
      </w:pPr>
      <w:r w:rsidRPr="00EF35F3">
        <w:t>45.</w:t>
      </w:r>
      <w:r w:rsidRPr="00EF35F3">
        <w:tab/>
        <w:t>MMC Elwenspoek, Hayley E Jones, H Thom, Jessica C Watson, Alastair D Hay, Hazel Everitt</w:t>
      </w:r>
      <w:r w:rsidRPr="00EF35F3">
        <w:rPr>
          <w:i/>
        </w:rPr>
        <w:t>, et al.</w:t>
      </w:r>
      <w:r w:rsidRPr="00EF35F3">
        <w:t xml:space="preserve"> Prediction model for coeliac disease diagnosis: Statistical Analysis Plan (SAP). </w:t>
      </w:r>
      <w:r w:rsidRPr="00EF35F3">
        <w:rPr>
          <w:i/>
        </w:rPr>
        <w:t xml:space="preserve">OSFHome Available at </w:t>
      </w:r>
      <w:hyperlink r:id="rId83" w:history="1">
        <w:r w:rsidRPr="00EF35F3">
          <w:rPr>
            <w:rStyle w:val="Hyperlink"/>
            <w:i/>
          </w:rPr>
          <w:t>https://osfio/q5gyc/</w:t>
        </w:r>
      </w:hyperlink>
      <w:r w:rsidRPr="00EF35F3">
        <w:rPr>
          <w:i/>
        </w:rPr>
        <w:t xml:space="preserve"> [last accessed 14/10/2021]</w:t>
      </w:r>
      <w:r w:rsidRPr="00EF35F3">
        <w:t xml:space="preserve"> 2021.</w:t>
      </w:r>
    </w:p>
    <w:p w14:paraId="1B6FB1C8" w14:textId="1AC64107" w:rsidR="00EF35F3" w:rsidRPr="00EF35F3" w:rsidRDefault="00EF35F3" w:rsidP="00EF35F3">
      <w:pPr>
        <w:pStyle w:val="EndNoteBibliography"/>
        <w:spacing w:after="0"/>
      </w:pPr>
      <w:r w:rsidRPr="00EF35F3">
        <w:t>46.</w:t>
      </w:r>
      <w:r w:rsidRPr="00EF35F3">
        <w:tab/>
        <w:t xml:space="preserve">Steyerberg EW. Clinical Prediction Models. A Practical Approach to Development, Validation, and Updating. Second Edition. </w:t>
      </w:r>
      <w:r w:rsidRPr="00EF35F3">
        <w:rPr>
          <w:i/>
        </w:rPr>
        <w:t>Statistics for Biology and Health</w:t>
      </w:r>
      <w:r w:rsidRPr="00EF35F3">
        <w:t xml:space="preserve"> 2019; 10.1007/978-3-030-16399-0. </w:t>
      </w:r>
      <w:hyperlink r:id="rId84" w:history="1">
        <w:r w:rsidRPr="00EF35F3">
          <w:rPr>
            <w:rStyle w:val="Hyperlink"/>
          </w:rPr>
          <w:t>https://doi.org/10.1007/978-3-030-16399-0</w:t>
        </w:r>
      </w:hyperlink>
    </w:p>
    <w:p w14:paraId="5EE3BA3D" w14:textId="398EA8C8" w:rsidR="00EF35F3" w:rsidRPr="00C34531" w:rsidRDefault="00EF35F3" w:rsidP="00EF35F3">
      <w:pPr>
        <w:pStyle w:val="EndNoteBibliography"/>
        <w:spacing w:after="0"/>
        <w:rPr>
          <w:lang w:val="de-DE"/>
        </w:rPr>
      </w:pPr>
      <w:r w:rsidRPr="00EF35F3">
        <w:t>47.</w:t>
      </w:r>
      <w:r w:rsidRPr="00EF35F3">
        <w:tab/>
        <w:t xml:space="preserve">Collins GS, Reitsma JB, Altman DG, Moons KG. Transparent Reporting of a multivariable prediction model for Individual Prognosis Or Diagnosis (TRIPOD). </w:t>
      </w:r>
      <w:r w:rsidRPr="00C34531">
        <w:rPr>
          <w:i/>
          <w:lang w:val="de-DE"/>
        </w:rPr>
        <w:t>Ann Intern Med</w:t>
      </w:r>
      <w:r w:rsidRPr="00C34531">
        <w:rPr>
          <w:lang w:val="de-DE"/>
        </w:rPr>
        <w:t xml:space="preserve"> 2015;</w:t>
      </w:r>
      <w:r w:rsidRPr="00C34531">
        <w:rPr>
          <w:b/>
          <w:lang w:val="de-DE"/>
        </w:rPr>
        <w:t>162</w:t>
      </w:r>
      <w:r w:rsidRPr="00C34531">
        <w:rPr>
          <w:lang w:val="de-DE"/>
        </w:rPr>
        <w:t xml:space="preserve">:735-6. </w:t>
      </w:r>
      <w:hyperlink r:id="rId85" w:history="1">
        <w:r w:rsidRPr="00C34531">
          <w:rPr>
            <w:rStyle w:val="Hyperlink"/>
            <w:lang w:val="de-DE"/>
          </w:rPr>
          <w:t>https://doi.org/10.7326/L15-5093-2</w:t>
        </w:r>
      </w:hyperlink>
    </w:p>
    <w:p w14:paraId="6E4E821B" w14:textId="3406539F" w:rsidR="00EF35F3" w:rsidRPr="00EF35F3" w:rsidRDefault="00EF35F3" w:rsidP="00EF35F3">
      <w:pPr>
        <w:pStyle w:val="EndNoteBibliography"/>
        <w:spacing w:after="0"/>
      </w:pPr>
      <w:r w:rsidRPr="00C34531">
        <w:rPr>
          <w:lang w:val="de-DE"/>
        </w:rPr>
        <w:t>48.</w:t>
      </w:r>
      <w:r w:rsidRPr="00C34531">
        <w:rPr>
          <w:lang w:val="de-DE"/>
        </w:rPr>
        <w:tab/>
        <w:t>Herrett E, Gallagher AM, Bhaskaran K, Forbes H, Mathur R, van Staa T</w:t>
      </w:r>
      <w:r w:rsidRPr="00C34531">
        <w:rPr>
          <w:i/>
          <w:lang w:val="de-DE"/>
        </w:rPr>
        <w:t>, et al.</w:t>
      </w:r>
      <w:r w:rsidRPr="00C34531">
        <w:rPr>
          <w:lang w:val="de-DE"/>
        </w:rPr>
        <w:t xml:space="preserve"> </w:t>
      </w:r>
      <w:r w:rsidRPr="00EF35F3">
        <w:t xml:space="preserve">Data Resource Profile: Clinical Practice Research Datalink (CPRD). </w:t>
      </w:r>
      <w:r w:rsidRPr="00EF35F3">
        <w:rPr>
          <w:i/>
        </w:rPr>
        <w:t>Int J Epidemiol</w:t>
      </w:r>
      <w:r w:rsidRPr="00EF35F3">
        <w:t xml:space="preserve"> 2015;</w:t>
      </w:r>
      <w:r w:rsidRPr="00EF35F3">
        <w:rPr>
          <w:b/>
        </w:rPr>
        <w:t>44</w:t>
      </w:r>
      <w:r w:rsidRPr="00EF35F3">
        <w:t xml:space="preserve">:827-36. </w:t>
      </w:r>
      <w:hyperlink r:id="rId86" w:history="1">
        <w:r w:rsidRPr="00EF35F3">
          <w:rPr>
            <w:rStyle w:val="Hyperlink"/>
          </w:rPr>
          <w:t>https://doi.org/10.1093/ije/dyv098</w:t>
        </w:r>
      </w:hyperlink>
    </w:p>
    <w:p w14:paraId="236BF939" w14:textId="327E7B4D" w:rsidR="00EF35F3" w:rsidRPr="00EF35F3" w:rsidRDefault="00EF35F3" w:rsidP="00EF35F3">
      <w:pPr>
        <w:pStyle w:val="EndNoteBibliography"/>
        <w:spacing w:after="0"/>
        <w:rPr>
          <w:u w:val="single"/>
        </w:rPr>
      </w:pPr>
      <w:r w:rsidRPr="00EF35F3">
        <w:t>49.</w:t>
      </w:r>
      <w:r w:rsidRPr="00EF35F3">
        <w:tab/>
        <w:t xml:space="preserve">Clinical Practice Research Datalink. CPRD GOLD June 2021 (Version 2021.06.001). </w:t>
      </w:r>
      <w:r w:rsidRPr="00EF35F3">
        <w:rPr>
          <w:i/>
        </w:rPr>
        <w:t>Clinical Practice Research Datalink</w:t>
      </w:r>
      <w:r w:rsidRPr="00EF35F3">
        <w:t xml:space="preserve"> 2021; </w:t>
      </w:r>
      <w:r w:rsidRPr="00EF35F3">
        <w:rPr>
          <w:u w:val="single"/>
        </w:rPr>
        <w:t>10.48329/7308-xf35</w:t>
      </w:r>
      <w:r w:rsidRPr="00EF35F3">
        <w:t xml:space="preserve">. </w:t>
      </w:r>
      <w:hyperlink r:id="rId87" w:history="1">
        <w:r w:rsidRPr="00EF35F3">
          <w:rPr>
            <w:rStyle w:val="Hyperlink"/>
          </w:rPr>
          <w:t>https://doi.org/10.48329/7308-xf35</w:t>
        </w:r>
      </w:hyperlink>
    </w:p>
    <w:p w14:paraId="0DFC7462" w14:textId="6AE662D4" w:rsidR="00EF35F3" w:rsidRPr="00EF35F3" w:rsidRDefault="00EF35F3" w:rsidP="00EF35F3">
      <w:pPr>
        <w:pStyle w:val="EndNoteBibliography"/>
        <w:spacing w:after="0"/>
      </w:pPr>
      <w:r w:rsidRPr="00EF35F3">
        <w:t>50.</w:t>
      </w:r>
      <w:r w:rsidRPr="00EF35F3">
        <w:tab/>
        <w:t xml:space="preserve">Abdul Sultan A, Crooks CJ, Card T, Tata LJ, Fleming KM, West J. Causes of death in people with coeliac disease in England compared with the general population: a competing risk analysis. </w:t>
      </w:r>
      <w:r w:rsidRPr="00EF35F3">
        <w:rPr>
          <w:i/>
        </w:rPr>
        <w:t>Gut</w:t>
      </w:r>
      <w:r w:rsidRPr="00EF35F3">
        <w:t xml:space="preserve"> 2015;</w:t>
      </w:r>
      <w:r w:rsidRPr="00EF35F3">
        <w:rPr>
          <w:b/>
        </w:rPr>
        <w:t>64</w:t>
      </w:r>
      <w:r w:rsidRPr="00EF35F3">
        <w:t xml:space="preserve">:1220-6. </w:t>
      </w:r>
      <w:hyperlink r:id="rId88" w:history="1">
        <w:r w:rsidRPr="00EF35F3">
          <w:rPr>
            <w:rStyle w:val="Hyperlink"/>
          </w:rPr>
          <w:t>https://doi.org/10.1136/gutjnl-2014-308285</w:t>
        </w:r>
      </w:hyperlink>
    </w:p>
    <w:p w14:paraId="03C9B482" w14:textId="5C619A62" w:rsidR="00EF35F3" w:rsidRPr="00EF35F3" w:rsidRDefault="00EF35F3" w:rsidP="00EF35F3">
      <w:pPr>
        <w:pStyle w:val="EndNoteBibliography"/>
        <w:spacing w:after="0"/>
      </w:pPr>
      <w:r w:rsidRPr="00EF35F3">
        <w:t>51.</w:t>
      </w:r>
      <w:r w:rsidRPr="00EF35F3">
        <w:tab/>
        <w:t xml:space="preserve">Violato M, Gray A, Papanicolas I, Ouellet M. Resource Use and Costs Associated with Coeliac Disease before and after Diagnosis in 3,646 Cases: Results of a UK Primary Care Database Analysis. </w:t>
      </w:r>
      <w:r w:rsidRPr="00EF35F3">
        <w:rPr>
          <w:i/>
        </w:rPr>
        <w:t>PLOS ONE</w:t>
      </w:r>
      <w:r w:rsidRPr="00EF35F3">
        <w:t xml:space="preserve"> 2012;</w:t>
      </w:r>
      <w:r w:rsidRPr="00EF35F3">
        <w:rPr>
          <w:b/>
        </w:rPr>
        <w:t>7</w:t>
      </w:r>
      <w:r w:rsidRPr="00EF35F3">
        <w:t xml:space="preserve">:e41308. </w:t>
      </w:r>
      <w:hyperlink r:id="rId89" w:history="1">
        <w:r w:rsidRPr="00EF35F3">
          <w:rPr>
            <w:rStyle w:val="Hyperlink"/>
          </w:rPr>
          <w:t>https://doi.org/10.1371/journal.pone.0041308</w:t>
        </w:r>
      </w:hyperlink>
    </w:p>
    <w:p w14:paraId="372063E8" w14:textId="77777777" w:rsidR="00EF35F3" w:rsidRPr="00EF35F3" w:rsidRDefault="00EF35F3" w:rsidP="00EF35F3">
      <w:pPr>
        <w:pStyle w:val="EndNoteBibliography"/>
        <w:spacing w:after="0"/>
      </w:pPr>
      <w:r w:rsidRPr="00EF35F3">
        <w:t>52.</w:t>
      </w:r>
      <w:r w:rsidRPr="00EF35F3">
        <w:tab/>
        <w:t>Riley RD, Snell KIE, Ensor J, Burke DL, Harrell FE, Moons KGM</w:t>
      </w:r>
      <w:r w:rsidRPr="00EF35F3">
        <w:rPr>
          <w:i/>
        </w:rPr>
        <w:t>, et al.</w:t>
      </w:r>
      <w:r w:rsidRPr="00EF35F3">
        <w:t xml:space="preserve"> Minimum sample size for developing a multivariable prediction model: PART II   binary and tim… t event outcomes. </w:t>
      </w:r>
      <w:r w:rsidRPr="00EF35F3">
        <w:rPr>
          <w:i/>
        </w:rPr>
        <w:t>Statistics in Medicine</w:t>
      </w:r>
      <w:r w:rsidRPr="00EF35F3">
        <w:t xml:space="preserve"> 2019;</w:t>
      </w:r>
      <w:r w:rsidRPr="00EF35F3">
        <w:rPr>
          <w:b/>
        </w:rPr>
        <w:t>38</w:t>
      </w:r>
      <w:r w:rsidRPr="00EF35F3">
        <w:t>:1276 - 96.</w:t>
      </w:r>
    </w:p>
    <w:p w14:paraId="19095273" w14:textId="77777777" w:rsidR="00EF35F3" w:rsidRPr="00EF35F3" w:rsidRDefault="00EF35F3" w:rsidP="00EF35F3">
      <w:pPr>
        <w:pStyle w:val="EndNoteBibliography"/>
        <w:spacing w:after="0"/>
      </w:pPr>
      <w:r w:rsidRPr="00EF35F3">
        <w:t>53.</w:t>
      </w:r>
      <w:r w:rsidRPr="00EF35F3">
        <w:tab/>
        <w:t>World Organization of Family Doctors. International Classification of Primary Care, 2nd edition (ICPC-2). 2015.</w:t>
      </w:r>
    </w:p>
    <w:p w14:paraId="715C7940" w14:textId="6E4907FD" w:rsidR="00EF35F3" w:rsidRPr="00C34531" w:rsidRDefault="00EF35F3" w:rsidP="00EF35F3">
      <w:pPr>
        <w:pStyle w:val="EndNoteBibliography"/>
        <w:spacing w:after="0"/>
        <w:rPr>
          <w:lang w:val="nl-NL"/>
        </w:rPr>
      </w:pPr>
      <w:r w:rsidRPr="00EF35F3">
        <w:t>54.</w:t>
      </w:r>
      <w:r w:rsidRPr="00EF35F3">
        <w:tab/>
        <w:t xml:space="preserve">Holmes GKT, Muirhead A. Epidemiology of coeliac disease in a single centre in Southern Derbyshire 1958-2014. </w:t>
      </w:r>
      <w:r w:rsidRPr="00C34531">
        <w:rPr>
          <w:i/>
          <w:lang w:val="nl-NL"/>
        </w:rPr>
        <w:t>BMJ Open Gastroenterol</w:t>
      </w:r>
      <w:r w:rsidRPr="00C34531">
        <w:rPr>
          <w:lang w:val="nl-NL"/>
        </w:rPr>
        <w:t xml:space="preserve"> 2017;</w:t>
      </w:r>
      <w:r w:rsidRPr="00C34531">
        <w:rPr>
          <w:b/>
          <w:lang w:val="nl-NL"/>
        </w:rPr>
        <w:t>4</w:t>
      </w:r>
      <w:r w:rsidRPr="00C34531">
        <w:rPr>
          <w:lang w:val="nl-NL"/>
        </w:rPr>
        <w:t xml:space="preserve">:e000137. </w:t>
      </w:r>
      <w:hyperlink r:id="rId90" w:history="1">
        <w:r w:rsidRPr="00C34531">
          <w:rPr>
            <w:rStyle w:val="Hyperlink"/>
            <w:lang w:val="nl-NL"/>
          </w:rPr>
          <w:t>https://doi.org/10.1136/bmjgast-2017-000137</w:t>
        </w:r>
      </w:hyperlink>
    </w:p>
    <w:p w14:paraId="63E8835C" w14:textId="6BED9A20" w:rsidR="00EF35F3" w:rsidRPr="00EF35F3" w:rsidRDefault="00EF35F3" w:rsidP="00EF35F3">
      <w:pPr>
        <w:pStyle w:val="EndNoteBibliography"/>
        <w:spacing w:after="0"/>
      </w:pPr>
      <w:r w:rsidRPr="00C34531">
        <w:rPr>
          <w:lang w:val="nl-NL"/>
        </w:rPr>
        <w:t>55.</w:t>
      </w:r>
      <w:r w:rsidRPr="00C34531">
        <w:rPr>
          <w:lang w:val="nl-NL"/>
        </w:rPr>
        <w:tab/>
        <w:t xml:space="preserve">Biesheuvel CJ, Vergouwe Y, Oudega R, Hoes AW, Grobbee DE, Moons KGM. </w:t>
      </w:r>
      <w:r w:rsidRPr="00EF35F3">
        <w:t xml:space="preserve">Advantages of the nested case-control design in diagnostic research. </w:t>
      </w:r>
      <w:r w:rsidRPr="00EF35F3">
        <w:rPr>
          <w:i/>
        </w:rPr>
        <w:t>BMC Medical Research Methodology</w:t>
      </w:r>
      <w:r w:rsidRPr="00EF35F3">
        <w:t xml:space="preserve"> 2008;</w:t>
      </w:r>
      <w:r w:rsidRPr="00EF35F3">
        <w:rPr>
          <w:b/>
        </w:rPr>
        <w:t>8</w:t>
      </w:r>
      <w:r w:rsidRPr="00EF35F3">
        <w:t xml:space="preserve">:48. </w:t>
      </w:r>
      <w:hyperlink r:id="rId91" w:history="1">
        <w:r w:rsidRPr="00EF35F3">
          <w:rPr>
            <w:rStyle w:val="Hyperlink"/>
          </w:rPr>
          <w:t>https://doi.org/10.1186/1471-2288-8-48</w:t>
        </w:r>
      </w:hyperlink>
    </w:p>
    <w:p w14:paraId="32022FD4" w14:textId="6CB0B05B" w:rsidR="00EF35F3" w:rsidRPr="00EF35F3" w:rsidRDefault="00EF35F3" w:rsidP="00EF35F3">
      <w:pPr>
        <w:pStyle w:val="EndNoteBibliography"/>
        <w:spacing w:after="0"/>
      </w:pPr>
      <w:r w:rsidRPr="00EF35F3">
        <w:t>56.</w:t>
      </w:r>
      <w:r w:rsidRPr="00EF35F3">
        <w:tab/>
        <w:t xml:space="preserve">Moons KG. Criteria for Scientific Evaluation of Novel Markers: A Perspective. </w:t>
      </w:r>
      <w:r w:rsidRPr="00EF35F3">
        <w:rPr>
          <w:i/>
        </w:rPr>
        <w:t>Clinical Chemistry</w:t>
      </w:r>
      <w:r w:rsidRPr="00EF35F3">
        <w:t xml:space="preserve"> 2010;</w:t>
      </w:r>
      <w:r w:rsidRPr="00EF35F3">
        <w:rPr>
          <w:b/>
        </w:rPr>
        <w:t>56</w:t>
      </w:r>
      <w:r w:rsidRPr="00EF35F3">
        <w:t xml:space="preserve">:537-41. </w:t>
      </w:r>
      <w:hyperlink r:id="rId92" w:history="1">
        <w:r w:rsidRPr="00EF35F3">
          <w:rPr>
            <w:rStyle w:val="Hyperlink"/>
          </w:rPr>
          <w:t>https://doi.org/10.1373/clinchem.2009.134155</w:t>
        </w:r>
      </w:hyperlink>
    </w:p>
    <w:p w14:paraId="20201E7F" w14:textId="4F7BA9FB" w:rsidR="00EF35F3" w:rsidRPr="00EF35F3" w:rsidRDefault="00EF35F3" w:rsidP="00EF35F3">
      <w:pPr>
        <w:pStyle w:val="EndNoteBibliography"/>
        <w:spacing w:after="0"/>
      </w:pPr>
      <w:r w:rsidRPr="00EF35F3">
        <w:t>57.</w:t>
      </w:r>
      <w:r w:rsidRPr="00EF35F3">
        <w:tab/>
        <w:t>Moons KGM, Wolff RF, Riley RD, Whiting PF, Westwood M, Collins GS</w:t>
      </w:r>
      <w:r w:rsidRPr="00EF35F3">
        <w:rPr>
          <w:i/>
        </w:rPr>
        <w:t>, et al.</w:t>
      </w:r>
      <w:r w:rsidRPr="00EF35F3">
        <w:t xml:space="preserve"> PROBAST: A Tool to Assess Risk of Bias and Applicability of Prediction Model Studies: Explanation and Elaboration. </w:t>
      </w:r>
      <w:r w:rsidRPr="00EF35F3">
        <w:rPr>
          <w:i/>
        </w:rPr>
        <w:t>Ann Intern Med</w:t>
      </w:r>
      <w:r w:rsidRPr="00EF35F3">
        <w:t xml:space="preserve"> 2019;</w:t>
      </w:r>
      <w:r w:rsidRPr="00EF35F3">
        <w:rPr>
          <w:b/>
        </w:rPr>
        <w:t>170</w:t>
      </w:r>
      <w:r w:rsidRPr="00EF35F3">
        <w:t xml:space="preserve">:W1-W33. </w:t>
      </w:r>
      <w:hyperlink r:id="rId93" w:history="1">
        <w:r w:rsidRPr="00EF35F3">
          <w:rPr>
            <w:rStyle w:val="Hyperlink"/>
          </w:rPr>
          <w:t>https://doi.org/10.7326/M18-1377</w:t>
        </w:r>
      </w:hyperlink>
    </w:p>
    <w:p w14:paraId="00F8259A" w14:textId="7A37DFDC" w:rsidR="00EF35F3" w:rsidRPr="00EF35F3" w:rsidRDefault="00EF35F3" w:rsidP="00EF35F3">
      <w:pPr>
        <w:pStyle w:val="EndNoteBibliography"/>
        <w:spacing w:after="0"/>
      </w:pPr>
      <w:r w:rsidRPr="00EF35F3">
        <w:lastRenderedPageBreak/>
        <w:t>58.</w:t>
      </w:r>
      <w:r w:rsidRPr="00EF35F3">
        <w:tab/>
        <w:t>Wolf A, Dedman D, Campbell J, Booth H, Lunn D, Chapman J</w:t>
      </w:r>
      <w:r w:rsidRPr="00EF35F3">
        <w:rPr>
          <w:i/>
        </w:rPr>
        <w:t>, et al.</w:t>
      </w:r>
      <w:r w:rsidRPr="00EF35F3">
        <w:t xml:space="preserve"> Data resource profile: Clinical Practice Research Datalink (CPRD) Aurum. </w:t>
      </w:r>
      <w:r w:rsidRPr="00EF35F3">
        <w:rPr>
          <w:i/>
        </w:rPr>
        <w:t>Int J Epidemiol</w:t>
      </w:r>
      <w:r w:rsidRPr="00EF35F3">
        <w:t xml:space="preserve"> 2019;</w:t>
      </w:r>
      <w:r w:rsidRPr="00EF35F3">
        <w:rPr>
          <w:b/>
        </w:rPr>
        <w:t>48</w:t>
      </w:r>
      <w:r w:rsidRPr="00EF35F3">
        <w:t xml:space="preserve">:1740-g. </w:t>
      </w:r>
      <w:hyperlink r:id="rId94" w:history="1">
        <w:r w:rsidRPr="00EF35F3">
          <w:rPr>
            <w:rStyle w:val="Hyperlink"/>
          </w:rPr>
          <w:t>https://doi.org/10.1093/ije/dyz034</w:t>
        </w:r>
      </w:hyperlink>
    </w:p>
    <w:p w14:paraId="5D556B9A" w14:textId="598C0056" w:rsidR="00EF35F3" w:rsidRPr="00EF35F3" w:rsidRDefault="00EF35F3" w:rsidP="00EF35F3">
      <w:pPr>
        <w:pStyle w:val="EndNoteBibliography"/>
        <w:spacing w:after="0"/>
        <w:rPr>
          <w:u w:val="single"/>
        </w:rPr>
      </w:pPr>
      <w:r w:rsidRPr="00EF35F3">
        <w:t>59.</w:t>
      </w:r>
      <w:r w:rsidRPr="00EF35F3">
        <w:tab/>
        <w:t xml:space="preserve">Clinical Practice Research Datalink. CPRD Aurum June 2021 (Version 2021.06.001). </w:t>
      </w:r>
      <w:r w:rsidRPr="00EF35F3">
        <w:rPr>
          <w:i/>
        </w:rPr>
        <w:t>Clinical Practice Research Datalink</w:t>
      </w:r>
      <w:r w:rsidRPr="00EF35F3">
        <w:t xml:space="preserve"> 2021; </w:t>
      </w:r>
      <w:r w:rsidRPr="00EF35F3">
        <w:rPr>
          <w:u w:val="single"/>
        </w:rPr>
        <w:t>10.48329/pyc2-we97</w:t>
      </w:r>
      <w:r w:rsidRPr="00EF35F3">
        <w:t xml:space="preserve">. </w:t>
      </w:r>
      <w:hyperlink r:id="rId95" w:history="1">
        <w:r w:rsidRPr="00EF35F3">
          <w:rPr>
            <w:rStyle w:val="Hyperlink"/>
          </w:rPr>
          <w:t>https://doi.org/10.48329/pyc2-we97</w:t>
        </w:r>
      </w:hyperlink>
    </w:p>
    <w:p w14:paraId="18D618B5" w14:textId="07B2D72A" w:rsidR="00EF35F3" w:rsidRPr="00EF35F3" w:rsidRDefault="00EF35F3" w:rsidP="00EF35F3">
      <w:pPr>
        <w:pStyle w:val="EndNoteBibliography"/>
        <w:spacing w:after="0"/>
      </w:pPr>
      <w:r w:rsidRPr="00EF35F3">
        <w:t>60.</w:t>
      </w:r>
      <w:r w:rsidRPr="00EF35F3">
        <w:tab/>
        <w:t xml:space="preserve">Golding J, Pembrey M, Jones R, Team AS. ALSPAC--the Avon Longitudinal Study of Parents and Children. I. Study methodology. </w:t>
      </w:r>
      <w:r w:rsidRPr="00EF35F3">
        <w:rPr>
          <w:i/>
        </w:rPr>
        <w:t>Paediatr Perinat Epidemiol</w:t>
      </w:r>
      <w:r w:rsidRPr="00EF35F3">
        <w:t xml:space="preserve"> 2001;</w:t>
      </w:r>
      <w:r w:rsidRPr="00EF35F3">
        <w:rPr>
          <w:b/>
        </w:rPr>
        <w:t>15</w:t>
      </w:r>
      <w:r w:rsidRPr="00EF35F3">
        <w:t xml:space="preserve">:74-87. </w:t>
      </w:r>
      <w:hyperlink r:id="rId96" w:history="1">
        <w:r w:rsidRPr="00EF35F3">
          <w:rPr>
            <w:rStyle w:val="Hyperlink"/>
          </w:rPr>
          <w:t>https://doi.org/10.1046/j.1365-3016.2001.00325.x</w:t>
        </w:r>
      </w:hyperlink>
    </w:p>
    <w:p w14:paraId="113E330B" w14:textId="2ED89043" w:rsidR="00EF35F3" w:rsidRPr="00EF35F3" w:rsidRDefault="00EF35F3" w:rsidP="00EF35F3">
      <w:pPr>
        <w:pStyle w:val="EndNoteBibliography"/>
        <w:spacing w:after="0"/>
      </w:pPr>
      <w:r w:rsidRPr="00EF35F3">
        <w:t>61.</w:t>
      </w:r>
      <w:r w:rsidRPr="00EF35F3">
        <w:tab/>
        <w:t>Boyd A, Golding J, Macleod J, Lawlor DA, Fraser A, Henderson J</w:t>
      </w:r>
      <w:r w:rsidRPr="00EF35F3">
        <w:rPr>
          <w:i/>
        </w:rPr>
        <w:t>, et al.</w:t>
      </w:r>
      <w:r w:rsidRPr="00EF35F3">
        <w:t xml:space="preserve"> Cohort Profile: the 'children of the 90s'--the index offspring of the Avon Longitudinal Study of Parents and Children. </w:t>
      </w:r>
      <w:r w:rsidRPr="00EF35F3">
        <w:rPr>
          <w:i/>
        </w:rPr>
        <w:t>Int J Epidemiol</w:t>
      </w:r>
      <w:r w:rsidRPr="00EF35F3">
        <w:t xml:space="preserve"> 2013;</w:t>
      </w:r>
      <w:r w:rsidRPr="00EF35F3">
        <w:rPr>
          <w:b/>
        </w:rPr>
        <w:t>42</w:t>
      </w:r>
      <w:r w:rsidRPr="00EF35F3">
        <w:t xml:space="preserve">:111-27. </w:t>
      </w:r>
      <w:hyperlink r:id="rId97" w:history="1">
        <w:r w:rsidRPr="00EF35F3">
          <w:rPr>
            <w:rStyle w:val="Hyperlink"/>
          </w:rPr>
          <w:t>https://doi.org/10.1093/ije/dys064</w:t>
        </w:r>
      </w:hyperlink>
    </w:p>
    <w:p w14:paraId="31E8A90C" w14:textId="21881184" w:rsidR="00EF35F3" w:rsidRPr="00EF35F3" w:rsidRDefault="00EF35F3" w:rsidP="00EF35F3">
      <w:pPr>
        <w:pStyle w:val="EndNoteBibliography"/>
        <w:spacing w:after="0"/>
      </w:pPr>
      <w:r w:rsidRPr="00EF35F3">
        <w:t>62.</w:t>
      </w:r>
      <w:r w:rsidRPr="00EF35F3">
        <w:tab/>
        <w:t>Fraser A, Macdonald-Wallis C, Tilling K, Boyd A, Golding J, Davey Smith G</w:t>
      </w:r>
      <w:r w:rsidRPr="00EF35F3">
        <w:rPr>
          <w:i/>
        </w:rPr>
        <w:t>, et al.</w:t>
      </w:r>
      <w:r w:rsidRPr="00EF35F3">
        <w:t xml:space="preserve"> Cohort Profile: the Avon Longitudinal Study of Parents and Children: ALSPAC mothers cohort. </w:t>
      </w:r>
      <w:r w:rsidRPr="00EF35F3">
        <w:rPr>
          <w:i/>
        </w:rPr>
        <w:t>Int J Epidemiol</w:t>
      </w:r>
      <w:r w:rsidRPr="00EF35F3">
        <w:t xml:space="preserve"> 2013;</w:t>
      </w:r>
      <w:r w:rsidRPr="00EF35F3">
        <w:rPr>
          <w:b/>
        </w:rPr>
        <w:t>42</w:t>
      </w:r>
      <w:r w:rsidRPr="00EF35F3">
        <w:t xml:space="preserve">:97-110. </w:t>
      </w:r>
      <w:hyperlink r:id="rId98" w:history="1">
        <w:r w:rsidRPr="00EF35F3">
          <w:rPr>
            <w:rStyle w:val="Hyperlink"/>
          </w:rPr>
          <w:t>https://doi.org/10.1093/ije/dys066</w:t>
        </w:r>
      </w:hyperlink>
    </w:p>
    <w:p w14:paraId="66F452B9" w14:textId="77777777" w:rsidR="00EF35F3" w:rsidRPr="00EF35F3" w:rsidRDefault="00EF35F3" w:rsidP="00EF35F3">
      <w:pPr>
        <w:pStyle w:val="EndNoteBibliography"/>
        <w:spacing w:after="0"/>
      </w:pPr>
      <w:r w:rsidRPr="00EF35F3">
        <w:t>63.</w:t>
      </w:r>
      <w:r w:rsidRPr="00EF35F3">
        <w:tab/>
        <w:t>Bingley PJ, Williams AJK, Norcross AJ, Unsworth DJ, Lock RJ, Ness AR</w:t>
      </w:r>
      <w:r w:rsidRPr="00EF35F3">
        <w:rPr>
          <w:i/>
        </w:rPr>
        <w:t>, et al.</w:t>
      </w:r>
      <w:r w:rsidRPr="00EF35F3">
        <w:t xml:space="preserve"> Undiagnosed coeliac disease at age seven: Population based prospective birth cohort study. </w:t>
      </w:r>
      <w:r w:rsidRPr="00EF35F3">
        <w:rPr>
          <w:i/>
        </w:rPr>
        <w:t>British Medical Journal</w:t>
      </w:r>
      <w:r w:rsidRPr="00EF35F3">
        <w:t xml:space="preserve"> 2004;</w:t>
      </w:r>
      <w:r w:rsidRPr="00EF35F3">
        <w:rPr>
          <w:b/>
        </w:rPr>
        <w:t>328</w:t>
      </w:r>
      <w:r w:rsidRPr="00EF35F3">
        <w:t>:322-3.</w:t>
      </w:r>
    </w:p>
    <w:p w14:paraId="66AE1C7B" w14:textId="4201E7B3" w:rsidR="00EF35F3" w:rsidRPr="00EF35F3" w:rsidRDefault="00EF35F3" w:rsidP="00EF35F3">
      <w:pPr>
        <w:pStyle w:val="EndNoteBibliography"/>
        <w:spacing w:after="0"/>
      </w:pPr>
      <w:r w:rsidRPr="00EF35F3">
        <w:t>64.</w:t>
      </w:r>
      <w:r w:rsidRPr="00EF35F3">
        <w:tab/>
        <w:t xml:space="preserve">ALSPAC. </w:t>
      </w:r>
      <w:r w:rsidRPr="00EF35F3">
        <w:rPr>
          <w:i/>
        </w:rPr>
        <w:t>Explore data and samples</w:t>
      </w:r>
      <w:r w:rsidRPr="00EF35F3">
        <w:t xml:space="preserve">. (last visited on Nov 2021). URL: </w:t>
      </w:r>
      <w:hyperlink r:id="rId99" w:history="1">
        <w:r w:rsidRPr="00EF35F3">
          <w:rPr>
            <w:rStyle w:val="Hyperlink"/>
          </w:rPr>
          <w:t>http://www.bristol.ac.uk/alspac/researchers/our-data/</w:t>
        </w:r>
      </w:hyperlink>
      <w:r w:rsidRPr="00EF35F3">
        <w:t xml:space="preserve"> (accessed).</w:t>
      </w:r>
    </w:p>
    <w:p w14:paraId="243AE1E5" w14:textId="7E025B2A" w:rsidR="00EF35F3" w:rsidRPr="00EF35F3" w:rsidRDefault="00EF35F3" w:rsidP="00EF35F3">
      <w:pPr>
        <w:pStyle w:val="EndNoteBibliography"/>
        <w:spacing w:after="0"/>
      </w:pPr>
      <w:r w:rsidRPr="00EF35F3">
        <w:t>65.</w:t>
      </w:r>
      <w:r w:rsidRPr="00EF35F3">
        <w:tab/>
        <w:t xml:space="preserve">Heinze G, Schemper M. A solution to the problem of separation in logistic regression. </w:t>
      </w:r>
      <w:r w:rsidRPr="00EF35F3">
        <w:rPr>
          <w:i/>
        </w:rPr>
        <w:t>Stat Med</w:t>
      </w:r>
      <w:r w:rsidRPr="00EF35F3">
        <w:t xml:space="preserve"> 2002;</w:t>
      </w:r>
      <w:r w:rsidRPr="00EF35F3">
        <w:rPr>
          <w:b/>
        </w:rPr>
        <w:t>21</w:t>
      </w:r>
      <w:r w:rsidRPr="00EF35F3">
        <w:t xml:space="preserve">:2409-19. </w:t>
      </w:r>
      <w:hyperlink r:id="rId100" w:history="1">
        <w:r w:rsidRPr="00EF35F3">
          <w:rPr>
            <w:rStyle w:val="Hyperlink"/>
          </w:rPr>
          <w:t>https://doi.org/10.1002/sim.1047</w:t>
        </w:r>
      </w:hyperlink>
    </w:p>
    <w:p w14:paraId="4482D13C" w14:textId="33B7CAD6" w:rsidR="00EF35F3" w:rsidRPr="00EF35F3" w:rsidRDefault="00EF35F3" w:rsidP="00EF35F3">
      <w:pPr>
        <w:pStyle w:val="EndNoteBibliography"/>
        <w:spacing w:after="0"/>
      </w:pPr>
      <w:r w:rsidRPr="00EF35F3">
        <w:t>66.</w:t>
      </w:r>
      <w:r w:rsidRPr="00EF35F3">
        <w:tab/>
        <w:t xml:space="preserve">FIRTH D. Bias reduction of maximum likelihood estimates. </w:t>
      </w:r>
      <w:r w:rsidRPr="00EF35F3">
        <w:rPr>
          <w:i/>
        </w:rPr>
        <w:t>Biometrika</w:t>
      </w:r>
      <w:r w:rsidRPr="00EF35F3">
        <w:t xml:space="preserve"> 1993;</w:t>
      </w:r>
      <w:r w:rsidRPr="00EF35F3">
        <w:rPr>
          <w:b/>
        </w:rPr>
        <w:t>80</w:t>
      </w:r>
      <w:r w:rsidRPr="00EF35F3">
        <w:t xml:space="preserve">:27-38. </w:t>
      </w:r>
      <w:hyperlink r:id="rId101" w:history="1">
        <w:r w:rsidRPr="00EF35F3">
          <w:rPr>
            <w:rStyle w:val="Hyperlink"/>
          </w:rPr>
          <w:t>https://doi.org/10.1093/biomet/80.1.27</w:t>
        </w:r>
      </w:hyperlink>
    </w:p>
    <w:p w14:paraId="3BB9243E" w14:textId="0C08BBD2" w:rsidR="00EF35F3" w:rsidRPr="00EF35F3" w:rsidRDefault="00EF35F3" w:rsidP="00EF35F3">
      <w:pPr>
        <w:pStyle w:val="EndNoteBibliography"/>
        <w:spacing w:after="0"/>
      </w:pPr>
      <w:r w:rsidRPr="00EF35F3">
        <w:t>67.</w:t>
      </w:r>
      <w:r w:rsidRPr="00EF35F3">
        <w:tab/>
        <w:t xml:space="preserve">Harrell FE. Regression Modeling Strategies. With Applications to Linear Models, Logistic and Ordinal Regression, and Survival Analysis. </w:t>
      </w:r>
      <w:r w:rsidRPr="00EF35F3">
        <w:rPr>
          <w:i/>
        </w:rPr>
        <w:t>Springer Series in Statistics</w:t>
      </w:r>
      <w:r w:rsidRPr="00EF35F3">
        <w:t xml:space="preserve"> 2015; 10.1007/978-3-319-19425-7. </w:t>
      </w:r>
      <w:hyperlink r:id="rId102" w:history="1">
        <w:r w:rsidRPr="00EF35F3">
          <w:rPr>
            <w:rStyle w:val="Hyperlink"/>
          </w:rPr>
          <w:t>https://doi.org/10.1007/978-3-319-19425-7</w:t>
        </w:r>
      </w:hyperlink>
    </w:p>
    <w:p w14:paraId="603076E4" w14:textId="5FB52A6A" w:rsidR="00EF35F3" w:rsidRPr="00EF35F3" w:rsidRDefault="00EF35F3" w:rsidP="00EF35F3">
      <w:pPr>
        <w:pStyle w:val="EndNoteBibliography"/>
        <w:spacing w:after="0"/>
      </w:pPr>
      <w:r w:rsidRPr="00EF35F3">
        <w:t>68.</w:t>
      </w:r>
      <w:r w:rsidRPr="00EF35F3">
        <w:tab/>
        <w:t xml:space="preserve">Whiting PF, Rutjes AW, Westwood ME, Mallett S, Group Q-S. A systematic review classifies sources of bias and variation in diagnostic test accuracy studies. </w:t>
      </w:r>
      <w:r w:rsidRPr="00EF35F3">
        <w:rPr>
          <w:i/>
        </w:rPr>
        <w:t>J Clin Epidemiol</w:t>
      </w:r>
      <w:r w:rsidRPr="00EF35F3">
        <w:t xml:space="preserve"> 2013;</w:t>
      </w:r>
      <w:r w:rsidRPr="00EF35F3">
        <w:rPr>
          <w:b/>
        </w:rPr>
        <w:t>66</w:t>
      </w:r>
      <w:r w:rsidRPr="00EF35F3">
        <w:t xml:space="preserve">:1093-104. </w:t>
      </w:r>
      <w:hyperlink r:id="rId103" w:history="1">
        <w:r w:rsidRPr="00EF35F3">
          <w:rPr>
            <w:rStyle w:val="Hyperlink"/>
          </w:rPr>
          <w:t>https://doi.org/10.1016/j.jclinepi.2013.05.014</w:t>
        </w:r>
      </w:hyperlink>
    </w:p>
    <w:p w14:paraId="7E1A6F19" w14:textId="10D14DB8" w:rsidR="00EF35F3" w:rsidRPr="00EF35F3" w:rsidRDefault="00EF35F3" w:rsidP="00EF35F3">
      <w:pPr>
        <w:pStyle w:val="EndNoteBibliography"/>
        <w:spacing w:after="0"/>
      </w:pPr>
      <w:r w:rsidRPr="00EF35F3">
        <w:t>69.</w:t>
      </w:r>
      <w:r w:rsidRPr="00EF35F3">
        <w:tab/>
        <w:t>Singh P, Arora A, Strand TA, Leffler DA, Maki M, Kelly CP</w:t>
      </w:r>
      <w:r w:rsidRPr="00EF35F3">
        <w:rPr>
          <w:i/>
        </w:rPr>
        <w:t>, et al.</w:t>
      </w:r>
      <w:r w:rsidRPr="00EF35F3">
        <w:t xml:space="preserve"> Diagnostic Accuracy of Point of Care Tests for Diagnosing Celiac Disease: A Systematic Review and Meta-Analysis. </w:t>
      </w:r>
      <w:r w:rsidRPr="00EF35F3">
        <w:rPr>
          <w:i/>
        </w:rPr>
        <w:t>J Clin Gastroenterol</w:t>
      </w:r>
      <w:r w:rsidRPr="00EF35F3">
        <w:t xml:space="preserve"> 2019;</w:t>
      </w:r>
      <w:r w:rsidRPr="00EF35F3">
        <w:rPr>
          <w:b/>
        </w:rPr>
        <w:t>53</w:t>
      </w:r>
      <w:r w:rsidRPr="00EF35F3">
        <w:t xml:space="preserve">:535-42. </w:t>
      </w:r>
      <w:hyperlink r:id="rId104" w:history="1">
        <w:r w:rsidRPr="00EF35F3">
          <w:rPr>
            <w:rStyle w:val="Hyperlink"/>
          </w:rPr>
          <w:t>https://doi.org/10.1097/MCG.0000000000001081</w:t>
        </w:r>
      </w:hyperlink>
    </w:p>
    <w:p w14:paraId="2FC48EC9" w14:textId="77777777" w:rsidR="00EF35F3" w:rsidRPr="00EF35F3" w:rsidRDefault="00EF35F3" w:rsidP="00EF35F3">
      <w:pPr>
        <w:pStyle w:val="EndNoteBibliography"/>
        <w:spacing w:after="0"/>
      </w:pPr>
      <w:r w:rsidRPr="00EF35F3">
        <w:t>70.</w:t>
      </w:r>
      <w:r w:rsidRPr="00EF35F3">
        <w:tab/>
        <w:t xml:space="preserve">Holmes G, Ciacci C. The serological diagnosis of coeliac disease - a step forward. </w:t>
      </w:r>
      <w:r w:rsidRPr="00EF35F3">
        <w:rPr>
          <w:i/>
        </w:rPr>
        <w:t>Gastroenterol Hepatol Bed Bench</w:t>
      </w:r>
      <w:r w:rsidRPr="00EF35F3">
        <w:t xml:space="preserve"> 2018;</w:t>
      </w:r>
      <w:r w:rsidRPr="00EF35F3">
        <w:rPr>
          <w:b/>
        </w:rPr>
        <w:t>11</w:t>
      </w:r>
      <w:r w:rsidRPr="00EF35F3">
        <w:t>:209-15.</w:t>
      </w:r>
    </w:p>
    <w:p w14:paraId="56E6E729" w14:textId="4D47F71A" w:rsidR="00EF35F3" w:rsidRPr="00EF35F3" w:rsidRDefault="00EF35F3" w:rsidP="00EF35F3">
      <w:pPr>
        <w:pStyle w:val="EndNoteBibliography"/>
        <w:spacing w:after="0"/>
      </w:pPr>
      <w:r w:rsidRPr="00EF35F3">
        <w:t>71.</w:t>
      </w:r>
      <w:r w:rsidRPr="00EF35F3">
        <w:tab/>
        <w:t xml:space="preserve">Ouzzani M, Hammady H, Fedorowicz Z, Elmagarmid A. Rayyan-a web and mobile app for systematic reviews. </w:t>
      </w:r>
      <w:r w:rsidRPr="00EF35F3">
        <w:rPr>
          <w:i/>
        </w:rPr>
        <w:t>Syst Rev</w:t>
      </w:r>
      <w:r w:rsidRPr="00EF35F3">
        <w:t xml:space="preserve"> 2016;</w:t>
      </w:r>
      <w:r w:rsidRPr="00EF35F3">
        <w:rPr>
          <w:b/>
        </w:rPr>
        <w:t>5</w:t>
      </w:r>
      <w:r w:rsidRPr="00EF35F3">
        <w:t xml:space="preserve">:210. </w:t>
      </w:r>
      <w:hyperlink r:id="rId105" w:history="1">
        <w:r w:rsidRPr="00EF35F3">
          <w:rPr>
            <w:rStyle w:val="Hyperlink"/>
          </w:rPr>
          <w:t>https://doi.org/10.1186/s13643-016-0384-4</w:t>
        </w:r>
      </w:hyperlink>
    </w:p>
    <w:p w14:paraId="7355EA53" w14:textId="347FECDD" w:rsidR="00EF35F3" w:rsidRPr="00EF35F3" w:rsidRDefault="00EF35F3" w:rsidP="00EF35F3">
      <w:pPr>
        <w:pStyle w:val="EndNoteBibliography"/>
        <w:spacing w:after="0"/>
      </w:pPr>
      <w:r w:rsidRPr="00EF35F3">
        <w:t>72.</w:t>
      </w:r>
      <w:r w:rsidRPr="00EF35F3">
        <w:tab/>
        <w:t>Yang B, Mallett S, Takwoingi Y, Davenport CF, Hyde CJ, Whiting PF</w:t>
      </w:r>
      <w:r w:rsidRPr="00EF35F3">
        <w:rPr>
          <w:i/>
        </w:rPr>
        <w:t>, et al.</w:t>
      </w:r>
      <w:r w:rsidRPr="00EF35F3">
        <w:t xml:space="preserve"> QUADAS-C: A Tool for Assessing Risk of Bias in Comparative Diagnostic Accuracy Studies. </w:t>
      </w:r>
      <w:r w:rsidRPr="00EF35F3">
        <w:rPr>
          <w:i/>
        </w:rPr>
        <w:t>Ann Intern Med</w:t>
      </w:r>
      <w:r w:rsidRPr="00EF35F3">
        <w:t xml:space="preserve"> 2021; 10.7326/M21-2234. </w:t>
      </w:r>
      <w:hyperlink r:id="rId106" w:history="1">
        <w:r w:rsidRPr="00EF35F3">
          <w:rPr>
            <w:rStyle w:val="Hyperlink"/>
          </w:rPr>
          <w:t>https://doi.org/10.7326/M21-2234</w:t>
        </w:r>
      </w:hyperlink>
    </w:p>
    <w:p w14:paraId="4C87FADF" w14:textId="77777777" w:rsidR="00EF35F3" w:rsidRPr="00EF35F3" w:rsidRDefault="00EF35F3" w:rsidP="00EF35F3">
      <w:pPr>
        <w:pStyle w:val="EndNoteBibliography"/>
        <w:spacing w:after="0"/>
      </w:pPr>
      <w:r w:rsidRPr="00EF35F3">
        <w:t>73.</w:t>
      </w:r>
      <w:r w:rsidRPr="00EF35F3">
        <w:tab/>
        <w:t xml:space="preserve">StataCorp. </w:t>
      </w:r>
      <w:r w:rsidRPr="00EF35F3">
        <w:rPr>
          <w:i/>
        </w:rPr>
        <w:t>Stata Statistical Software: Release 16</w:t>
      </w:r>
      <w:r w:rsidRPr="00EF35F3">
        <w:t>. College Station, TX: StataCorp LLC; 2019.</w:t>
      </w:r>
    </w:p>
    <w:p w14:paraId="7BA1FCD5" w14:textId="4B5EB270" w:rsidR="00EF35F3" w:rsidRPr="00EF35F3" w:rsidRDefault="00EF35F3" w:rsidP="00EF35F3">
      <w:pPr>
        <w:pStyle w:val="EndNoteBibliography"/>
        <w:spacing w:after="0"/>
      </w:pPr>
      <w:r w:rsidRPr="00EF35F3">
        <w:t>74.</w:t>
      </w:r>
      <w:r w:rsidRPr="00EF35F3">
        <w:tab/>
        <w:t xml:space="preserve">Whiting P, Davenport C. Understanding test accuracy research: a test consequence graphic. </w:t>
      </w:r>
      <w:r w:rsidRPr="00EF35F3">
        <w:rPr>
          <w:i/>
        </w:rPr>
        <w:t>Diagn Progn Res</w:t>
      </w:r>
      <w:r w:rsidRPr="00EF35F3">
        <w:t xml:space="preserve"> 2018;</w:t>
      </w:r>
      <w:r w:rsidRPr="00EF35F3">
        <w:rPr>
          <w:b/>
        </w:rPr>
        <w:t>2</w:t>
      </w:r>
      <w:r w:rsidRPr="00EF35F3">
        <w:t xml:space="preserve">:2-. </w:t>
      </w:r>
      <w:hyperlink r:id="rId107" w:history="1">
        <w:r w:rsidRPr="00EF35F3">
          <w:rPr>
            <w:rStyle w:val="Hyperlink"/>
          </w:rPr>
          <w:t>https://doi.org/10.1186/s41512-017-0023-0</w:t>
        </w:r>
      </w:hyperlink>
    </w:p>
    <w:p w14:paraId="1ABCF4AB" w14:textId="07298A40" w:rsidR="00EF35F3" w:rsidRPr="00EF35F3" w:rsidRDefault="00EF35F3" w:rsidP="00EF35F3">
      <w:pPr>
        <w:pStyle w:val="EndNoteBibliography"/>
        <w:spacing w:after="0"/>
      </w:pPr>
      <w:r w:rsidRPr="00EF35F3">
        <w:t>75.</w:t>
      </w:r>
      <w:r w:rsidRPr="00EF35F3">
        <w:tab/>
        <w:t>Yuan J, Zhou C, Gao J, Li J, Yu F, Lu J</w:t>
      </w:r>
      <w:r w:rsidRPr="00EF35F3">
        <w:rPr>
          <w:i/>
        </w:rPr>
        <w:t>, et al.</w:t>
      </w:r>
      <w:r w:rsidRPr="00EF35F3">
        <w:t xml:space="preserve"> Prevalence of Celiac Disease Autoimmunity Among Adolescents and Young Adults in China. </w:t>
      </w:r>
      <w:r w:rsidRPr="00EF35F3">
        <w:rPr>
          <w:i/>
        </w:rPr>
        <w:t>Clinical Gastroenterology and Hepatology</w:t>
      </w:r>
      <w:r w:rsidRPr="00EF35F3">
        <w:t xml:space="preserve"> 2017;</w:t>
      </w:r>
      <w:r w:rsidRPr="00EF35F3">
        <w:rPr>
          <w:b/>
        </w:rPr>
        <w:t>15</w:t>
      </w:r>
      <w:r w:rsidRPr="00EF35F3">
        <w:t xml:space="preserve">:1572. </w:t>
      </w:r>
      <w:hyperlink r:id="rId108" w:history="1">
        <w:r w:rsidRPr="00EF35F3">
          <w:rPr>
            <w:rStyle w:val="Hyperlink"/>
          </w:rPr>
          <w:t>https://doi.org/http://dx.doi.org/10.1016/j.cgh.2017.04.025</w:t>
        </w:r>
      </w:hyperlink>
    </w:p>
    <w:p w14:paraId="5179CAAC" w14:textId="719A28B6" w:rsidR="00EF35F3" w:rsidRPr="00EF35F3" w:rsidRDefault="00EF35F3" w:rsidP="00EF35F3">
      <w:pPr>
        <w:pStyle w:val="EndNoteBibliography"/>
        <w:spacing w:after="0"/>
      </w:pPr>
      <w:r w:rsidRPr="00EF35F3">
        <w:t>76.</w:t>
      </w:r>
      <w:r w:rsidRPr="00EF35F3">
        <w:tab/>
        <w:t xml:space="preserve">Abrams JA, Brar P, Diamond B, Rotterdam H, Green PH. Utility in Clinical Practice of Immunoglobulin A Anti-Tissue Transglutaminase Antibody for the Diagnosis of Celiac Disease. </w:t>
      </w:r>
      <w:r w:rsidRPr="00EF35F3">
        <w:rPr>
          <w:i/>
        </w:rPr>
        <w:t>Clinical Gastroenterology and Hepatology</w:t>
      </w:r>
      <w:r w:rsidRPr="00EF35F3">
        <w:t xml:space="preserve"> 2006;</w:t>
      </w:r>
      <w:r w:rsidRPr="00EF35F3">
        <w:rPr>
          <w:b/>
        </w:rPr>
        <w:t>4</w:t>
      </w:r>
      <w:r w:rsidRPr="00EF35F3">
        <w:t xml:space="preserve">:726-30. </w:t>
      </w:r>
      <w:hyperlink r:id="rId109" w:history="1">
        <w:r w:rsidRPr="00EF35F3">
          <w:rPr>
            <w:rStyle w:val="Hyperlink"/>
          </w:rPr>
          <w:t>https://doi.org/http://dx.doi.org/10.1016/j.cgh.2006.02.010</w:t>
        </w:r>
      </w:hyperlink>
    </w:p>
    <w:p w14:paraId="045B9A47" w14:textId="59DB705A" w:rsidR="00EF35F3" w:rsidRPr="00EF35F3" w:rsidRDefault="00EF35F3" w:rsidP="00EF35F3">
      <w:pPr>
        <w:pStyle w:val="EndNoteBibliography"/>
        <w:spacing w:after="0"/>
      </w:pPr>
      <w:r w:rsidRPr="00EF35F3">
        <w:lastRenderedPageBreak/>
        <w:t>77.</w:t>
      </w:r>
      <w:r w:rsidRPr="00EF35F3">
        <w:tab/>
        <w:t xml:space="preserve">Al Saidi SS, Al Harthi SO, Mula-Abed W-AS. Diagnostic utility of coeliac disease: a descriptive study in a tertiary care hospital, oman. </w:t>
      </w:r>
      <w:r w:rsidRPr="00EF35F3">
        <w:rPr>
          <w:i/>
        </w:rPr>
        <w:t>Oman medical journal</w:t>
      </w:r>
      <w:r w:rsidRPr="00EF35F3">
        <w:t xml:space="preserve"> 2013;</w:t>
      </w:r>
      <w:r w:rsidRPr="00EF35F3">
        <w:rPr>
          <w:b/>
        </w:rPr>
        <w:t>28</w:t>
      </w:r>
      <w:r w:rsidRPr="00EF35F3">
        <w:t xml:space="preserve">:232-6. </w:t>
      </w:r>
      <w:hyperlink r:id="rId110" w:history="1">
        <w:r w:rsidRPr="00EF35F3">
          <w:rPr>
            <w:rStyle w:val="Hyperlink"/>
          </w:rPr>
          <w:t>https://doi.org/https://dx.doi.org/10.5001/omj.2013.68</w:t>
        </w:r>
      </w:hyperlink>
    </w:p>
    <w:p w14:paraId="0BF4702B" w14:textId="47228101" w:rsidR="00EF35F3" w:rsidRPr="00EF35F3" w:rsidRDefault="00EF35F3" w:rsidP="00EF35F3">
      <w:pPr>
        <w:pStyle w:val="EndNoteBibliography"/>
        <w:spacing w:after="0"/>
      </w:pPr>
      <w:r w:rsidRPr="00EF35F3">
        <w:t>78.</w:t>
      </w:r>
      <w:r w:rsidRPr="00EF35F3">
        <w:tab/>
        <w:t>Ashorn S, Raukola H, Valineva T, Ashorn M, Wei B, Braun J</w:t>
      </w:r>
      <w:r w:rsidRPr="00EF35F3">
        <w:rPr>
          <w:i/>
        </w:rPr>
        <w:t>, et al.</w:t>
      </w:r>
      <w:r w:rsidRPr="00EF35F3">
        <w:t xml:space="preserve"> Elevated serum anti-Saccharomyces cerevisiae, anti-I2 and anti-OmpW antibody levels in patients with suspicion of celiac disease. </w:t>
      </w:r>
      <w:r w:rsidRPr="00EF35F3">
        <w:rPr>
          <w:i/>
        </w:rPr>
        <w:t>Journal of Clinical Immunology</w:t>
      </w:r>
      <w:r w:rsidRPr="00EF35F3">
        <w:t xml:space="preserve"> 2008;</w:t>
      </w:r>
      <w:r w:rsidRPr="00EF35F3">
        <w:rPr>
          <w:b/>
        </w:rPr>
        <w:t>28</w:t>
      </w:r>
      <w:r w:rsidRPr="00EF35F3">
        <w:t xml:space="preserve">:486-94. </w:t>
      </w:r>
      <w:hyperlink r:id="rId111" w:history="1">
        <w:r w:rsidRPr="00EF35F3">
          <w:rPr>
            <w:rStyle w:val="Hyperlink"/>
          </w:rPr>
          <w:t>https://doi.org/http://dx.doi.org/10.1007/s10875-008-9200-9</w:t>
        </w:r>
      </w:hyperlink>
    </w:p>
    <w:p w14:paraId="24F5A517" w14:textId="07D0778C" w:rsidR="00EF35F3" w:rsidRPr="00EF35F3" w:rsidRDefault="00EF35F3" w:rsidP="00EF35F3">
      <w:pPr>
        <w:pStyle w:val="EndNoteBibliography"/>
        <w:spacing w:after="0"/>
      </w:pPr>
      <w:r w:rsidRPr="00EF35F3">
        <w:t>79.</w:t>
      </w:r>
      <w:r w:rsidRPr="00EF35F3">
        <w:tab/>
        <w:t>Barada K, Habib RH, Malli A, Hashash JG, Halawi H, Maasri K</w:t>
      </w:r>
      <w:r w:rsidRPr="00EF35F3">
        <w:rPr>
          <w:i/>
        </w:rPr>
        <w:t>, et al.</w:t>
      </w:r>
      <w:r w:rsidRPr="00EF35F3">
        <w:t xml:space="preserve"> Prediction of celiac disease at endoscopy. </w:t>
      </w:r>
      <w:r w:rsidRPr="00EF35F3">
        <w:rPr>
          <w:i/>
        </w:rPr>
        <w:t>Endoscopy</w:t>
      </w:r>
      <w:r w:rsidRPr="00EF35F3">
        <w:t xml:space="preserve"> 2014;</w:t>
      </w:r>
      <w:r w:rsidRPr="00EF35F3">
        <w:rPr>
          <w:b/>
        </w:rPr>
        <w:t>46</w:t>
      </w:r>
      <w:r w:rsidRPr="00EF35F3">
        <w:t xml:space="preserve">:110-9. </w:t>
      </w:r>
      <w:hyperlink r:id="rId112" w:history="1">
        <w:r w:rsidRPr="00EF35F3">
          <w:rPr>
            <w:rStyle w:val="Hyperlink"/>
          </w:rPr>
          <w:t>https://doi.org/http://dx.doi.org/10.1055/s-0033-1359200</w:t>
        </w:r>
      </w:hyperlink>
    </w:p>
    <w:p w14:paraId="50A4F623" w14:textId="77777777" w:rsidR="00EF35F3" w:rsidRPr="00C34531" w:rsidRDefault="00EF35F3" w:rsidP="00EF35F3">
      <w:pPr>
        <w:pStyle w:val="EndNoteBibliography"/>
        <w:spacing w:after="0"/>
        <w:rPr>
          <w:lang w:val="it-IT"/>
        </w:rPr>
      </w:pPr>
      <w:r w:rsidRPr="00EF35F3">
        <w:t>80.</w:t>
      </w:r>
      <w:r w:rsidRPr="00EF35F3">
        <w:tab/>
        <w:t xml:space="preserve">Bayram Y, Parlak M, Aypak C, Bayram I, Yilmaz D, Cikman A. Diagnostic accuracy of IgA anti-tissue transglutaminase in celiac disease in Van-Turkey. </w:t>
      </w:r>
      <w:r w:rsidRPr="00C34531">
        <w:rPr>
          <w:i/>
          <w:lang w:val="it-IT"/>
        </w:rPr>
        <w:t>Eastern Journal of Medicine</w:t>
      </w:r>
      <w:r w:rsidRPr="00C34531">
        <w:rPr>
          <w:lang w:val="it-IT"/>
        </w:rPr>
        <w:t xml:space="preserve"> 2015;</w:t>
      </w:r>
      <w:r w:rsidRPr="00C34531">
        <w:rPr>
          <w:b/>
          <w:lang w:val="it-IT"/>
        </w:rPr>
        <w:t>20</w:t>
      </w:r>
      <w:r w:rsidRPr="00C34531">
        <w:rPr>
          <w:lang w:val="it-IT"/>
        </w:rPr>
        <w:t>:20-3.</w:t>
      </w:r>
    </w:p>
    <w:p w14:paraId="13519D9E" w14:textId="77777777" w:rsidR="00EF35F3" w:rsidRPr="00C34531" w:rsidRDefault="00EF35F3" w:rsidP="00EF35F3">
      <w:pPr>
        <w:pStyle w:val="EndNoteBibliography"/>
        <w:spacing w:after="0"/>
        <w:rPr>
          <w:lang w:val="it-IT"/>
        </w:rPr>
      </w:pPr>
      <w:r w:rsidRPr="00C34531">
        <w:rPr>
          <w:lang w:val="it-IT"/>
        </w:rPr>
        <w:t>81.</w:t>
      </w:r>
      <w:r w:rsidRPr="00C34531">
        <w:rPr>
          <w:lang w:val="it-IT"/>
        </w:rPr>
        <w:tab/>
        <w:t>Carroccio A, Vitale G, Di Prima L, Chifari N, Napoli S, La Russa C</w:t>
      </w:r>
      <w:r w:rsidRPr="00C34531">
        <w:rPr>
          <w:i/>
          <w:lang w:val="it-IT"/>
        </w:rPr>
        <w:t>, et al.</w:t>
      </w:r>
      <w:r w:rsidRPr="00C34531">
        <w:rPr>
          <w:lang w:val="it-IT"/>
        </w:rPr>
        <w:t xml:space="preserve"> </w:t>
      </w:r>
      <w:r w:rsidRPr="00EF35F3">
        <w:t xml:space="preserve">Comparison of anti-transglutaminase ELISAs and an anti-endomysial antibody assay in the diagnosis of celiac disease: A prospective study. </w:t>
      </w:r>
      <w:r w:rsidRPr="00C34531">
        <w:rPr>
          <w:i/>
          <w:lang w:val="it-IT"/>
        </w:rPr>
        <w:t>Clinical Chemistry</w:t>
      </w:r>
      <w:r w:rsidRPr="00C34531">
        <w:rPr>
          <w:lang w:val="it-IT"/>
        </w:rPr>
        <w:t xml:space="preserve"> 2002;</w:t>
      </w:r>
      <w:r w:rsidRPr="00C34531">
        <w:rPr>
          <w:b/>
          <w:lang w:val="it-IT"/>
        </w:rPr>
        <w:t>48</w:t>
      </w:r>
      <w:r w:rsidRPr="00C34531">
        <w:rPr>
          <w:lang w:val="it-IT"/>
        </w:rPr>
        <w:t>:1546-50.</w:t>
      </w:r>
    </w:p>
    <w:p w14:paraId="187872F6" w14:textId="77777777" w:rsidR="00EF35F3" w:rsidRPr="00EF35F3" w:rsidRDefault="00EF35F3" w:rsidP="00EF35F3">
      <w:pPr>
        <w:pStyle w:val="EndNoteBibliography"/>
        <w:spacing w:after="0"/>
      </w:pPr>
      <w:r w:rsidRPr="00C34531">
        <w:rPr>
          <w:lang w:val="it-IT"/>
        </w:rPr>
        <w:t>82.</w:t>
      </w:r>
      <w:r w:rsidRPr="00C34531">
        <w:rPr>
          <w:lang w:val="it-IT"/>
        </w:rPr>
        <w:tab/>
        <w:t>Carroccio A, Di Prima L, Pirrone G, Scalici C, Florena AM, Gasparin M</w:t>
      </w:r>
      <w:r w:rsidRPr="00C34531">
        <w:rPr>
          <w:i/>
          <w:lang w:val="it-IT"/>
        </w:rPr>
        <w:t>, et al.</w:t>
      </w:r>
      <w:r w:rsidRPr="00C34531">
        <w:rPr>
          <w:lang w:val="it-IT"/>
        </w:rPr>
        <w:t xml:space="preserve"> </w:t>
      </w:r>
      <w:r w:rsidRPr="00EF35F3">
        <w:t xml:space="preserve">Anti-transglutaminase antibody assay of the culture medium of intestinal biopsy specimens can improve the accuracy of celiac disease diagnosis. </w:t>
      </w:r>
      <w:r w:rsidRPr="00EF35F3">
        <w:rPr>
          <w:i/>
        </w:rPr>
        <w:t>Clinical chemistry</w:t>
      </w:r>
      <w:r w:rsidRPr="00EF35F3">
        <w:t xml:space="preserve"> 2006;</w:t>
      </w:r>
      <w:r w:rsidRPr="00EF35F3">
        <w:rPr>
          <w:b/>
        </w:rPr>
        <w:t>52</w:t>
      </w:r>
      <w:r w:rsidRPr="00EF35F3">
        <w:t>:1175-80.</w:t>
      </w:r>
    </w:p>
    <w:p w14:paraId="41AFD199" w14:textId="443364E2" w:rsidR="00EF35F3" w:rsidRPr="00EF35F3" w:rsidRDefault="00EF35F3" w:rsidP="00EF35F3">
      <w:pPr>
        <w:pStyle w:val="EndNoteBibliography"/>
        <w:spacing w:after="0"/>
      </w:pPr>
      <w:r w:rsidRPr="00EF35F3">
        <w:t>83.</w:t>
      </w:r>
      <w:r w:rsidRPr="00EF35F3">
        <w:tab/>
        <w:t xml:space="preserve">Dahle C, Hagman A, Ignatova S, Strom M. Antibodies against deamidated gliadin peptides identify adult coeliac disease patients negative for antibodies against endomysium and tissue transglutaminase. </w:t>
      </w:r>
      <w:r w:rsidRPr="00EF35F3">
        <w:rPr>
          <w:i/>
        </w:rPr>
        <w:t>Alimentary Pharmacology and Therapeutics</w:t>
      </w:r>
      <w:r w:rsidRPr="00EF35F3">
        <w:t xml:space="preserve"> 2010;</w:t>
      </w:r>
      <w:r w:rsidRPr="00EF35F3">
        <w:rPr>
          <w:b/>
        </w:rPr>
        <w:t>32</w:t>
      </w:r>
      <w:r w:rsidRPr="00EF35F3">
        <w:t xml:space="preserve">:254-60. </w:t>
      </w:r>
      <w:hyperlink r:id="rId113" w:history="1">
        <w:r w:rsidRPr="00EF35F3">
          <w:rPr>
            <w:rStyle w:val="Hyperlink"/>
          </w:rPr>
          <w:t>https://doi.org/http://dx.doi.org/10.1111/j.1365-2036.2010.04337.x</w:t>
        </w:r>
      </w:hyperlink>
    </w:p>
    <w:p w14:paraId="3024FAFC" w14:textId="137706E4" w:rsidR="00EF35F3" w:rsidRPr="00EF35F3" w:rsidRDefault="00EF35F3" w:rsidP="00EF35F3">
      <w:pPr>
        <w:pStyle w:val="EndNoteBibliography"/>
        <w:spacing w:after="0"/>
      </w:pPr>
      <w:r w:rsidRPr="00EF35F3">
        <w:t>84.</w:t>
      </w:r>
      <w:r w:rsidRPr="00EF35F3">
        <w:tab/>
        <w:t xml:space="preserve">Dutta AK, Chacko A, Avinash B. Suboptimal performance of igg anti-tissue transglutaminase in the diagnosis of celiac disease in a tropical country. </w:t>
      </w:r>
      <w:r w:rsidRPr="00EF35F3">
        <w:rPr>
          <w:i/>
        </w:rPr>
        <w:t>Digestive Diseases and Sciences</w:t>
      </w:r>
      <w:r w:rsidRPr="00EF35F3">
        <w:t xml:space="preserve"> 2010;</w:t>
      </w:r>
      <w:r w:rsidRPr="00EF35F3">
        <w:rPr>
          <w:b/>
        </w:rPr>
        <w:t>55</w:t>
      </w:r>
      <w:r w:rsidRPr="00EF35F3">
        <w:t xml:space="preserve">:698-702. </w:t>
      </w:r>
      <w:hyperlink r:id="rId114" w:history="1">
        <w:r w:rsidRPr="00EF35F3">
          <w:rPr>
            <w:rStyle w:val="Hyperlink"/>
          </w:rPr>
          <w:t>https://doi.org/http://dx.doi.org/10.1007/s10620-009-0789-1</w:t>
        </w:r>
      </w:hyperlink>
    </w:p>
    <w:p w14:paraId="2F872A1D" w14:textId="77777777" w:rsidR="00EF35F3" w:rsidRPr="00EF35F3" w:rsidRDefault="00EF35F3" w:rsidP="00EF35F3">
      <w:pPr>
        <w:pStyle w:val="EndNoteBibliography"/>
        <w:spacing w:after="0"/>
      </w:pPr>
      <w:r w:rsidRPr="00EF35F3">
        <w:t>85.</w:t>
      </w:r>
      <w:r w:rsidRPr="00EF35F3">
        <w:tab/>
        <w:t xml:space="preserve">Emami MH, Karimi S, Kouhestani S, Hashemi M, Taheri H. Diagnostic accuracy of IgA anti-tissue transglutaminase in patients suspected of having coeliac disease in Iran. </w:t>
      </w:r>
      <w:r w:rsidRPr="00EF35F3">
        <w:rPr>
          <w:i/>
        </w:rPr>
        <w:t>Journal of Gastrointestinal and Liver Diseases</w:t>
      </w:r>
      <w:r w:rsidRPr="00EF35F3">
        <w:t xml:space="preserve"> 2008;</w:t>
      </w:r>
      <w:r w:rsidRPr="00EF35F3">
        <w:rPr>
          <w:b/>
        </w:rPr>
        <w:t>17</w:t>
      </w:r>
      <w:r w:rsidRPr="00EF35F3">
        <w:t>:141-6.</w:t>
      </w:r>
    </w:p>
    <w:p w14:paraId="25F096C6" w14:textId="12DCB9F5" w:rsidR="00EF35F3" w:rsidRPr="00EF35F3" w:rsidRDefault="00EF35F3" w:rsidP="00EF35F3">
      <w:pPr>
        <w:pStyle w:val="EndNoteBibliography"/>
        <w:spacing w:after="0"/>
      </w:pPr>
      <w:r w:rsidRPr="00EF35F3">
        <w:t>86.</w:t>
      </w:r>
      <w:r w:rsidRPr="00EF35F3">
        <w:tab/>
        <w:t xml:space="preserve">Eremic N, Deic M, Hadnadev L. Diagnostic accuracy of IGA anti-tissue transglutaminase antibody testing in celiac disease. </w:t>
      </w:r>
      <w:r w:rsidRPr="00EF35F3">
        <w:rPr>
          <w:i/>
        </w:rPr>
        <w:t>Journal of Medical Biochemistry</w:t>
      </w:r>
      <w:r w:rsidRPr="00EF35F3">
        <w:t xml:space="preserve"> 2012;</w:t>
      </w:r>
      <w:r w:rsidRPr="00EF35F3">
        <w:rPr>
          <w:b/>
        </w:rPr>
        <w:t>31</w:t>
      </w:r>
      <w:r w:rsidRPr="00EF35F3">
        <w:t xml:space="preserve">:100-6. </w:t>
      </w:r>
      <w:hyperlink r:id="rId115" w:history="1">
        <w:r w:rsidRPr="00EF35F3">
          <w:rPr>
            <w:rStyle w:val="Hyperlink"/>
          </w:rPr>
          <w:t>https://doi.org/http://dx.doi.org/10.2478/v10011-011-0047-x</w:t>
        </w:r>
      </w:hyperlink>
    </w:p>
    <w:p w14:paraId="1A3282EF" w14:textId="532F6F46" w:rsidR="00EF35F3" w:rsidRPr="00EF35F3" w:rsidRDefault="00EF35F3" w:rsidP="00EF35F3">
      <w:pPr>
        <w:pStyle w:val="EndNoteBibliography"/>
        <w:spacing w:after="0"/>
      </w:pPr>
      <w:r w:rsidRPr="00EF35F3">
        <w:t>87.</w:t>
      </w:r>
      <w:r w:rsidRPr="00EF35F3">
        <w:tab/>
        <w:t xml:space="preserve">Fernandez ML, Vivas S, Ruiz de Morales JM, Marugan JM. Usefulness of anti-transglutaminase antibodies in the diagnosis of celiac disease. </w:t>
      </w:r>
      <w:r w:rsidRPr="00EF35F3">
        <w:rPr>
          <w:i/>
        </w:rPr>
        <w:t>Gastroenterol Hepatol</w:t>
      </w:r>
      <w:r w:rsidRPr="00EF35F3">
        <w:t xml:space="preserve"> 2005;</w:t>
      </w:r>
      <w:r w:rsidRPr="00EF35F3">
        <w:rPr>
          <w:b/>
        </w:rPr>
        <w:t>28</w:t>
      </w:r>
      <w:r w:rsidRPr="00EF35F3">
        <w:t xml:space="preserve">:437-40. </w:t>
      </w:r>
      <w:hyperlink r:id="rId116" w:history="1">
        <w:r w:rsidRPr="00EF35F3">
          <w:rPr>
            <w:rStyle w:val="Hyperlink"/>
          </w:rPr>
          <w:t>https://doi.org/10.1157/13078992</w:t>
        </w:r>
      </w:hyperlink>
    </w:p>
    <w:p w14:paraId="1A5A0A7E" w14:textId="18C4832C" w:rsidR="00EF35F3" w:rsidRPr="00EF35F3" w:rsidRDefault="00EF35F3" w:rsidP="00EF35F3">
      <w:pPr>
        <w:pStyle w:val="EndNoteBibliography"/>
        <w:spacing w:after="0"/>
      </w:pPr>
      <w:r w:rsidRPr="00EF35F3">
        <w:t>88.</w:t>
      </w:r>
      <w:r w:rsidRPr="00EF35F3">
        <w:tab/>
        <w:t>Hadithi M, von Blomberg BM, Crusius JB, Bloemena E, Kostense PJ, Meijer JW</w:t>
      </w:r>
      <w:r w:rsidRPr="00EF35F3">
        <w:rPr>
          <w:i/>
        </w:rPr>
        <w:t>, et al.</w:t>
      </w:r>
      <w:r w:rsidRPr="00EF35F3">
        <w:t xml:space="preserve"> Accuracy of serologic tests and HLA-DQ typing for diagnosing celiac disease. </w:t>
      </w:r>
      <w:r w:rsidRPr="00EF35F3">
        <w:rPr>
          <w:i/>
        </w:rPr>
        <w:t>Ann Intern Med</w:t>
      </w:r>
      <w:r w:rsidRPr="00EF35F3">
        <w:t xml:space="preserve"> 2007;</w:t>
      </w:r>
      <w:r w:rsidRPr="00EF35F3">
        <w:rPr>
          <w:b/>
        </w:rPr>
        <w:t>147</w:t>
      </w:r>
      <w:r w:rsidRPr="00EF35F3">
        <w:t xml:space="preserve">:294-302. </w:t>
      </w:r>
      <w:hyperlink r:id="rId117" w:history="1">
        <w:r w:rsidRPr="00EF35F3">
          <w:rPr>
            <w:rStyle w:val="Hyperlink"/>
          </w:rPr>
          <w:t>https://doi.org/10.7326/0003-4819-147-5-200709040-00003</w:t>
        </w:r>
      </w:hyperlink>
    </w:p>
    <w:p w14:paraId="3A4733DF" w14:textId="560A96A8" w:rsidR="00EF35F3" w:rsidRPr="00EF35F3" w:rsidRDefault="00EF35F3" w:rsidP="00EF35F3">
      <w:pPr>
        <w:pStyle w:val="EndNoteBibliography"/>
        <w:spacing w:after="0"/>
      </w:pPr>
      <w:r w:rsidRPr="00EF35F3">
        <w:t>89.</w:t>
      </w:r>
      <w:r w:rsidRPr="00EF35F3">
        <w:tab/>
        <w:t xml:space="preserve">Holmes GKT, Forsyth JM, Knowles S, Seddon H, Hill PG, Austin AS. Coeliac disease: Further evidence that biopsy is not always necessary for diagnosis. </w:t>
      </w:r>
      <w:r w:rsidRPr="00EF35F3">
        <w:rPr>
          <w:i/>
        </w:rPr>
        <w:t>European Journal of Gastroenterology and Hepatology</w:t>
      </w:r>
      <w:r w:rsidRPr="00EF35F3">
        <w:t xml:space="preserve"> 2017;</w:t>
      </w:r>
      <w:r w:rsidRPr="00EF35F3">
        <w:rPr>
          <w:b/>
        </w:rPr>
        <w:t>29</w:t>
      </w:r>
      <w:r w:rsidRPr="00EF35F3">
        <w:t xml:space="preserve">:640-5. </w:t>
      </w:r>
      <w:hyperlink r:id="rId118" w:history="1">
        <w:r w:rsidRPr="00EF35F3">
          <w:rPr>
            <w:rStyle w:val="Hyperlink"/>
          </w:rPr>
          <w:t>https://doi.org/http://dx.doi.org/10.1097/MEG.0000000000000841</w:t>
        </w:r>
      </w:hyperlink>
    </w:p>
    <w:p w14:paraId="4CCEDB0F" w14:textId="0B9287F0" w:rsidR="00EF35F3" w:rsidRPr="00EF35F3" w:rsidRDefault="00EF35F3" w:rsidP="00EF35F3">
      <w:pPr>
        <w:pStyle w:val="EndNoteBibliography"/>
        <w:spacing w:after="0"/>
      </w:pPr>
      <w:r w:rsidRPr="00EF35F3">
        <w:t>90.</w:t>
      </w:r>
      <w:r w:rsidRPr="00EF35F3">
        <w:tab/>
        <w:t>Hopper AD, Hadjivassiliou M, Hurlstone DP, Lobo AJ, McAlindon ME, Egner W</w:t>
      </w:r>
      <w:r w:rsidRPr="00EF35F3">
        <w:rPr>
          <w:i/>
        </w:rPr>
        <w:t>, et al.</w:t>
      </w:r>
      <w:r w:rsidRPr="00EF35F3">
        <w:t xml:space="preserve"> What Is the Role of Serologic Testing in Celiac Disease? A Prospective, Biopsy-Confirmed Study With Economic Analysis. </w:t>
      </w:r>
      <w:r w:rsidRPr="00EF35F3">
        <w:rPr>
          <w:i/>
        </w:rPr>
        <w:t>Clinical Gastroenterology and Hepatology</w:t>
      </w:r>
      <w:r w:rsidRPr="00EF35F3">
        <w:t xml:space="preserve"> 2008;</w:t>
      </w:r>
      <w:r w:rsidRPr="00EF35F3">
        <w:rPr>
          <w:b/>
        </w:rPr>
        <w:t>6</w:t>
      </w:r>
      <w:r w:rsidRPr="00EF35F3">
        <w:t xml:space="preserve">:314-20. </w:t>
      </w:r>
      <w:hyperlink r:id="rId119" w:history="1">
        <w:r w:rsidRPr="00EF35F3">
          <w:rPr>
            <w:rStyle w:val="Hyperlink"/>
          </w:rPr>
          <w:t>https://doi.org/http://dx.doi.org/10.1016/j.cgh.2007.12.008</w:t>
        </w:r>
      </w:hyperlink>
    </w:p>
    <w:p w14:paraId="4F9CEF2C" w14:textId="77777777" w:rsidR="00EF35F3" w:rsidRPr="00EF35F3" w:rsidRDefault="00EF35F3" w:rsidP="00EF35F3">
      <w:pPr>
        <w:pStyle w:val="EndNoteBibliography"/>
        <w:spacing w:after="0"/>
      </w:pPr>
      <w:r w:rsidRPr="00C34531">
        <w:rPr>
          <w:lang w:val="it-IT"/>
        </w:rPr>
        <w:t>91.</w:t>
      </w:r>
      <w:r w:rsidRPr="00C34531">
        <w:rPr>
          <w:lang w:val="it-IT"/>
        </w:rPr>
        <w:tab/>
        <w:t>Jarmi V, Cejas N, Kiener O, de Elías R, Balzola S, Cordoba C</w:t>
      </w:r>
      <w:r w:rsidRPr="00C34531">
        <w:rPr>
          <w:i/>
          <w:lang w:val="it-IT"/>
        </w:rPr>
        <w:t>, et al.</w:t>
      </w:r>
      <w:r w:rsidRPr="00C34531">
        <w:rPr>
          <w:lang w:val="it-IT"/>
        </w:rPr>
        <w:t xml:space="preserve"> </w:t>
      </w:r>
      <w:r w:rsidRPr="00EF35F3">
        <w:t xml:space="preserve">Diagnostic accuracy of antibodies to deamidated gliadin peptides. </w:t>
      </w:r>
      <w:r w:rsidRPr="00EF35F3">
        <w:rPr>
          <w:i/>
        </w:rPr>
        <w:t>Acta bioquímica clínica latinoamericana</w:t>
      </w:r>
      <w:r w:rsidRPr="00EF35F3">
        <w:t xml:space="preserve"> 2010;</w:t>
      </w:r>
      <w:r w:rsidRPr="00EF35F3">
        <w:rPr>
          <w:b/>
        </w:rPr>
        <w:t>44</w:t>
      </w:r>
      <w:r w:rsidRPr="00EF35F3">
        <w:t>:47-52.</w:t>
      </w:r>
    </w:p>
    <w:p w14:paraId="03B00433" w14:textId="77777777" w:rsidR="00EF35F3" w:rsidRPr="00EF35F3" w:rsidRDefault="00EF35F3" w:rsidP="00EF35F3">
      <w:pPr>
        <w:pStyle w:val="EndNoteBibliography"/>
        <w:spacing w:after="0"/>
      </w:pPr>
      <w:r w:rsidRPr="00EF35F3">
        <w:t>92.</w:t>
      </w:r>
      <w:r w:rsidRPr="00EF35F3">
        <w:tab/>
        <w:t xml:space="preserve">Javaeed A, Shah W, Akhtar R, Ghauri SK, Ghauri SK, Alvi AH. Diagnostic accuracy of IgA anti-tissue transglutaminase antibodies in comparison with histopathological findings in celiac disease in Pakistan. </w:t>
      </w:r>
      <w:r w:rsidRPr="00EF35F3">
        <w:rPr>
          <w:i/>
        </w:rPr>
        <w:t>Medical Forum Monthly</w:t>
      </w:r>
      <w:r w:rsidRPr="00EF35F3">
        <w:t xml:space="preserve"> 2014;</w:t>
      </w:r>
      <w:r w:rsidRPr="00EF35F3">
        <w:rPr>
          <w:b/>
        </w:rPr>
        <w:t>25</w:t>
      </w:r>
      <w:r w:rsidRPr="00EF35F3">
        <w:t>:15-9.</w:t>
      </w:r>
    </w:p>
    <w:p w14:paraId="6246E340" w14:textId="77777777" w:rsidR="00EF35F3" w:rsidRPr="00EF35F3" w:rsidRDefault="00EF35F3" w:rsidP="00EF35F3">
      <w:pPr>
        <w:pStyle w:val="EndNoteBibliography"/>
        <w:spacing w:after="0"/>
      </w:pPr>
      <w:r w:rsidRPr="00EF35F3">
        <w:lastRenderedPageBreak/>
        <w:t>93.</w:t>
      </w:r>
      <w:r w:rsidRPr="00EF35F3">
        <w:tab/>
        <w:t xml:space="preserve">Johnston SD, McMillan SA, Collins JS, Tham TC, McDougall NI, Murphy P. A comparison of antibodies to tissue transglutaminase with conventional serological tests in the diagnosis of coeliac disease. </w:t>
      </w:r>
      <w:r w:rsidRPr="00EF35F3">
        <w:rPr>
          <w:i/>
        </w:rPr>
        <w:t>European journal of gastroenterology &amp; hepatology</w:t>
      </w:r>
      <w:r w:rsidRPr="00EF35F3">
        <w:t xml:space="preserve"> 2003;</w:t>
      </w:r>
      <w:r w:rsidRPr="00EF35F3">
        <w:rPr>
          <w:b/>
        </w:rPr>
        <w:t>15</w:t>
      </w:r>
      <w:r w:rsidRPr="00EF35F3">
        <w:t>:1001-4.</w:t>
      </w:r>
    </w:p>
    <w:p w14:paraId="24929CA4" w14:textId="77777777" w:rsidR="00EF35F3" w:rsidRPr="00EF35F3" w:rsidRDefault="00EF35F3" w:rsidP="00EF35F3">
      <w:pPr>
        <w:pStyle w:val="EndNoteBibliography"/>
        <w:spacing w:after="0"/>
      </w:pPr>
      <w:r w:rsidRPr="00EF35F3">
        <w:t>94.</w:t>
      </w:r>
      <w:r w:rsidRPr="00EF35F3">
        <w:tab/>
        <w:t>Kashif T, Kashif A, Kashif Z. Prevalence of Celiac Disease and Role of Anti-Tissue Transglutaminase Antibodies in Different Types of Intestinal Damage in Celiac Disease According to Marsh Classification. abstract no. 18839.</w:t>
      </w:r>
    </w:p>
    <w:p w14:paraId="049F2764" w14:textId="7E22F3CA" w:rsidR="00EF35F3" w:rsidRPr="00EF35F3" w:rsidRDefault="00EF35F3" w:rsidP="00EF35F3">
      <w:pPr>
        <w:pStyle w:val="EndNoteBibliography"/>
        <w:spacing w:after="0"/>
      </w:pPr>
      <w:r w:rsidRPr="00EF35F3">
        <w:t>95.</w:t>
      </w:r>
      <w:r w:rsidRPr="00EF35F3">
        <w:tab/>
        <w:t xml:space="preserve">Kurien M, Johnston A, Avgerinos A, Sanders DS. Does IgA tissue transglutaminase antibody levels correlate with histological findings of Coeliac Disease (CD)? </w:t>
      </w:r>
      <w:r w:rsidRPr="00EF35F3">
        <w:rPr>
          <w:i/>
        </w:rPr>
        <w:t>United European Gastroenterology Journal</w:t>
      </w:r>
      <w:r w:rsidRPr="00EF35F3">
        <w:t xml:space="preserve"> 2013;</w:t>
      </w:r>
      <w:r w:rsidRPr="00EF35F3">
        <w:rPr>
          <w:b/>
        </w:rPr>
        <w:t>1</w:t>
      </w:r>
      <w:r w:rsidRPr="00EF35F3">
        <w:t xml:space="preserve">:A22-A3. </w:t>
      </w:r>
      <w:hyperlink r:id="rId120" w:history="1">
        <w:r w:rsidRPr="00EF35F3">
          <w:rPr>
            <w:rStyle w:val="Hyperlink"/>
          </w:rPr>
          <w:t>https://doi.org/http://dx.doi.org/10.1177/2050640613502899</w:t>
        </w:r>
      </w:hyperlink>
    </w:p>
    <w:p w14:paraId="2793B225" w14:textId="65269496" w:rsidR="00EF35F3" w:rsidRPr="00EF35F3" w:rsidRDefault="00EF35F3" w:rsidP="00EF35F3">
      <w:pPr>
        <w:pStyle w:val="EndNoteBibliography"/>
        <w:spacing w:after="0"/>
      </w:pPr>
      <w:r w:rsidRPr="00EF35F3">
        <w:t>96.</w:t>
      </w:r>
      <w:r w:rsidRPr="00EF35F3">
        <w:tab/>
        <w:t>Lau MS, Mooney PD, White WL, Rees MA, Wong SH, Hadjivassiliou M</w:t>
      </w:r>
      <w:r w:rsidRPr="00EF35F3">
        <w:rPr>
          <w:i/>
        </w:rPr>
        <w:t>, et al.</w:t>
      </w:r>
      <w:r w:rsidRPr="00EF35F3">
        <w:t xml:space="preserve"> Office-Based Point of Care Testing (IgA/IgG-Deamidated Gliadin Peptide) for Celiac Disease. </w:t>
      </w:r>
      <w:r w:rsidRPr="00EF35F3">
        <w:rPr>
          <w:i/>
        </w:rPr>
        <w:t>American Journal of Gastroenterology</w:t>
      </w:r>
      <w:r w:rsidRPr="00EF35F3">
        <w:t xml:space="preserve"> 2018;</w:t>
      </w:r>
      <w:r w:rsidRPr="00EF35F3">
        <w:rPr>
          <w:b/>
        </w:rPr>
        <w:t>113</w:t>
      </w:r>
      <w:r w:rsidRPr="00EF35F3">
        <w:t xml:space="preserve">:1238-46. </w:t>
      </w:r>
      <w:hyperlink r:id="rId121" w:history="1">
        <w:r w:rsidRPr="00EF35F3">
          <w:rPr>
            <w:rStyle w:val="Hyperlink"/>
          </w:rPr>
          <w:t>https://doi.org/http://dx.doi.org/10.1038/s41395-018-0143-3</w:t>
        </w:r>
      </w:hyperlink>
    </w:p>
    <w:p w14:paraId="749EB100" w14:textId="77777777" w:rsidR="00EF35F3" w:rsidRPr="00EF35F3" w:rsidRDefault="00EF35F3" w:rsidP="00EF35F3">
      <w:pPr>
        <w:pStyle w:val="EndNoteBibliography"/>
        <w:spacing w:after="0"/>
      </w:pPr>
      <w:r w:rsidRPr="00EF35F3">
        <w:t>97.</w:t>
      </w:r>
      <w:r w:rsidRPr="00EF35F3">
        <w:tab/>
        <w:t xml:space="preserve">Llorente MJ, Sebastian M, Fernandez-Acenero M, Prieto JG, Villanueva S. IgA antibodies against tissue transglutaminase in the diagnosis of celiac disease: concordance with intestinal biopsy in children and adults. </w:t>
      </w:r>
      <w:r w:rsidRPr="00EF35F3">
        <w:rPr>
          <w:i/>
        </w:rPr>
        <w:t>Clinical Chemistry</w:t>
      </w:r>
      <w:r w:rsidRPr="00EF35F3">
        <w:t xml:space="preserve"> 2004;</w:t>
      </w:r>
      <w:r w:rsidRPr="00EF35F3">
        <w:rPr>
          <w:b/>
        </w:rPr>
        <w:t>50</w:t>
      </w:r>
      <w:r w:rsidRPr="00EF35F3">
        <w:t>:451+.</w:t>
      </w:r>
    </w:p>
    <w:p w14:paraId="11C19890" w14:textId="77777777" w:rsidR="00EF35F3" w:rsidRPr="00EF35F3" w:rsidRDefault="00EF35F3" w:rsidP="00EF35F3">
      <w:pPr>
        <w:pStyle w:val="EndNoteBibliography"/>
        <w:spacing w:after="0"/>
      </w:pPr>
      <w:r w:rsidRPr="00EF35F3">
        <w:t>98.</w:t>
      </w:r>
      <w:r w:rsidRPr="00EF35F3">
        <w:tab/>
        <w:t xml:space="preserve">Longarini GI, Sugai E, Hwang H, al. e. How does specific serology match with esphgan serologic guidelines for diagnosis of celiac disease in a prospective cohort of adults with high pretest probability? </w:t>
      </w:r>
      <w:r w:rsidRPr="00EF35F3">
        <w:rPr>
          <w:i/>
        </w:rPr>
        <w:t xml:space="preserve">United European Gastroenterology Journal </w:t>
      </w:r>
      <w:r w:rsidRPr="00EF35F3">
        <w:t>2014;</w:t>
      </w:r>
      <w:r w:rsidRPr="00EF35F3">
        <w:rPr>
          <w:b/>
        </w:rPr>
        <w:t>2</w:t>
      </w:r>
      <w:r w:rsidRPr="00EF35F3">
        <w:t>:A278.</w:t>
      </w:r>
    </w:p>
    <w:p w14:paraId="016F1972" w14:textId="72A0CA4D" w:rsidR="00EF35F3" w:rsidRPr="00EF35F3" w:rsidRDefault="00EF35F3" w:rsidP="00EF35F3">
      <w:pPr>
        <w:pStyle w:val="EndNoteBibliography"/>
        <w:spacing w:after="0"/>
      </w:pPr>
      <w:r w:rsidRPr="00EF35F3">
        <w:t>99.</w:t>
      </w:r>
      <w:r w:rsidRPr="00EF35F3">
        <w:tab/>
        <w:t>Mooney PD, Kurien M, Johnston AJ, Wong SH, Avgerinos A, Hadjivassiliou M</w:t>
      </w:r>
      <w:r w:rsidRPr="00EF35F3">
        <w:rPr>
          <w:i/>
        </w:rPr>
        <w:t>, et al.</w:t>
      </w:r>
      <w:r w:rsidRPr="00EF35F3">
        <w:t xml:space="preserve"> Point of care testing for adult celiac disease: A novel role in endoscopy. </w:t>
      </w:r>
      <w:r w:rsidRPr="00EF35F3">
        <w:rPr>
          <w:i/>
        </w:rPr>
        <w:t>Gastroenterology</w:t>
      </w:r>
      <w:r w:rsidRPr="00EF35F3">
        <w:t xml:space="preserve"> 2014;</w:t>
      </w:r>
      <w:r w:rsidRPr="00EF35F3">
        <w:rPr>
          <w:b/>
        </w:rPr>
        <w:t>146</w:t>
      </w:r>
      <w:r w:rsidRPr="00EF35F3">
        <w:t xml:space="preserve">:S-472. </w:t>
      </w:r>
      <w:hyperlink r:id="rId122" w:history="1">
        <w:r w:rsidRPr="00EF35F3">
          <w:rPr>
            <w:rStyle w:val="Hyperlink"/>
          </w:rPr>
          <w:t>https://doi.org/http://dx.doi.org/10.1016/S0016-5085%2814%2961693-0</w:t>
        </w:r>
      </w:hyperlink>
    </w:p>
    <w:p w14:paraId="0CC33830" w14:textId="0F191C27" w:rsidR="00EF35F3" w:rsidRPr="00EF35F3" w:rsidRDefault="00EF35F3" w:rsidP="00EF35F3">
      <w:pPr>
        <w:pStyle w:val="EndNoteBibliography"/>
        <w:spacing w:after="0"/>
      </w:pPr>
      <w:r w:rsidRPr="00EF35F3">
        <w:t>100.</w:t>
      </w:r>
      <w:r w:rsidRPr="00EF35F3">
        <w:tab/>
        <w:t xml:space="preserve">Mooney PD, Wong SH, Johnston AJ, Kurien M, Avgerinos A, Sanders DS. Increased detection of celiac disease with measurement of deamidated gliadin peptide antibody before endoscopy. </w:t>
      </w:r>
      <w:r w:rsidRPr="00EF35F3">
        <w:rPr>
          <w:i/>
        </w:rPr>
        <w:t>Clinical Gastroenterology and Hepatology</w:t>
      </w:r>
      <w:r w:rsidRPr="00EF35F3">
        <w:t xml:space="preserve"> 2015;</w:t>
      </w:r>
      <w:r w:rsidRPr="00EF35F3">
        <w:rPr>
          <w:b/>
        </w:rPr>
        <w:t>13</w:t>
      </w:r>
      <w:r w:rsidRPr="00EF35F3">
        <w:t xml:space="preserve">:1278-84. </w:t>
      </w:r>
      <w:hyperlink r:id="rId123" w:history="1">
        <w:r w:rsidRPr="00EF35F3">
          <w:rPr>
            <w:rStyle w:val="Hyperlink"/>
          </w:rPr>
          <w:t>https://doi.org/http://dx.doi.org/10.1016/j.cgh.2015.01.010</w:t>
        </w:r>
      </w:hyperlink>
    </w:p>
    <w:p w14:paraId="68AE0E20" w14:textId="04D46949" w:rsidR="00EF35F3" w:rsidRPr="00EF35F3" w:rsidRDefault="00EF35F3" w:rsidP="00EF35F3">
      <w:pPr>
        <w:pStyle w:val="EndNoteBibliography"/>
        <w:spacing w:after="0"/>
      </w:pPr>
      <w:r w:rsidRPr="00EF35F3">
        <w:t>101.</w:t>
      </w:r>
      <w:r w:rsidRPr="00EF35F3">
        <w:tab/>
        <w:t>Niveloni S, Sugai E, Cabanne A, Vazquez H, Argonz J, Smecuol E</w:t>
      </w:r>
      <w:r w:rsidRPr="00EF35F3">
        <w:rPr>
          <w:i/>
        </w:rPr>
        <w:t>, et al.</w:t>
      </w:r>
      <w:r w:rsidRPr="00EF35F3">
        <w:t xml:space="preserve"> Antibodies against synthetic deamidated gliadin peptides as predictors of celiac disease: Prospective assessment in an adult population with a high pretest probability of disease. </w:t>
      </w:r>
      <w:r w:rsidRPr="00EF35F3">
        <w:rPr>
          <w:i/>
        </w:rPr>
        <w:t>Clinical Chemistry</w:t>
      </w:r>
      <w:r w:rsidRPr="00EF35F3">
        <w:t xml:space="preserve"> 2007;</w:t>
      </w:r>
      <w:r w:rsidRPr="00EF35F3">
        <w:rPr>
          <w:b/>
        </w:rPr>
        <w:t>53</w:t>
      </w:r>
      <w:r w:rsidRPr="00EF35F3">
        <w:t xml:space="preserve">:2186-92. </w:t>
      </w:r>
      <w:hyperlink r:id="rId124" w:history="1">
        <w:r w:rsidRPr="00EF35F3">
          <w:rPr>
            <w:rStyle w:val="Hyperlink"/>
          </w:rPr>
          <w:t>https://doi.org/http://dx.doi.org/10.1373/clinchem.2006.081364</w:t>
        </w:r>
      </w:hyperlink>
    </w:p>
    <w:p w14:paraId="0DB12D4B" w14:textId="3976C5AC" w:rsidR="00EF35F3" w:rsidRPr="00EF35F3" w:rsidRDefault="00EF35F3" w:rsidP="00EF35F3">
      <w:pPr>
        <w:pStyle w:val="EndNoteBibliography"/>
        <w:spacing w:after="0"/>
      </w:pPr>
      <w:r w:rsidRPr="00EF35F3">
        <w:t>102.</w:t>
      </w:r>
      <w:r w:rsidRPr="00EF35F3">
        <w:tab/>
        <w:t xml:space="preserve">Pallav K, Kabbani T, Tariq S, Vanga R, Kelly CP, Leffler DA. Clinical Utility of Celiac Disease-Associated HLA Testing. </w:t>
      </w:r>
      <w:r w:rsidRPr="00EF35F3">
        <w:rPr>
          <w:i/>
        </w:rPr>
        <w:t>Digestive Diseases and Sciences</w:t>
      </w:r>
      <w:r w:rsidRPr="00EF35F3">
        <w:t xml:space="preserve"> 2014;</w:t>
      </w:r>
      <w:r w:rsidRPr="00EF35F3">
        <w:rPr>
          <w:b/>
        </w:rPr>
        <w:t>59</w:t>
      </w:r>
      <w:r w:rsidRPr="00EF35F3">
        <w:t xml:space="preserve">:2199-206. </w:t>
      </w:r>
      <w:hyperlink r:id="rId125" w:history="1">
        <w:r w:rsidRPr="00EF35F3">
          <w:rPr>
            <w:rStyle w:val="Hyperlink"/>
          </w:rPr>
          <w:t>https://doi.org/http://dx.doi.org/10.1007/s10620-014-3143-1</w:t>
        </w:r>
      </w:hyperlink>
    </w:p>
    <w:p w14:paraId="5C01D6CA" w14:textId="7925DC96" w:rsidR="00EF35F3" w:rsidRPr="00EF35F3" w:rsidRDefault="00EF35F3" w:rsidP="00EF35F3">
      <w:pPr>
        <w:pStyle w:val="EndNoteBibliography"/>
        <w:spacing w:after="0"/>
      </w:pPr>
      <w:r w:rsidRPr="00EF35F3">
        <w:t>103.</w:t>
      </w:r>
      <w:r w:rsidRPr="00EF35F3">
        <w:tab/>
        <w:t>Previtali G, Licini L, D'Antiga L, Marseglia A, Ravasio R, Nembrini F</w:t>
      </w:r>
      <w:r w:rsidRPr="00EF35F3">
        <w:rPr>
          <w:i/>
        </w:rPr>
        <w:t>, et al.</w:t>
      </w:r>
      <w:r w:rsidRPr="00EF35F3">
        <w:t xml:space="preserve"> Celiac Disease Diagnosis Without Biopsy: Is a 10x ULN Antitransglutaminase Result Suitable for a Chemiluminescence Method? </w:t>
      </w:r>
      <w:r w:rsidRPr="00EF35F3">
        <w:rPr>
          <w:i/>
        </w:rPr>
        <w:t>Journal of Pediatric Gastroenterology and Nutrition</w:t>
      </w:r>
      <w:r w:rsidRPr="00EF35F3">
        <w:t xml:space="preserve"> 2018;</w:t>
      </w:r>
      <w:r w:rsidRPr="00EF35F3">
        <w:rPr>
          <w:b/>
        </w:rPr>
        <w:t>66</w:t>
      </w:r>
      <w:r w:rsidRPr="00EF35F3">
        <w:t xml:space="preserve">:645-50. </w:t>
      </w:r>
      <w:hyperlink r:id="rId126" w:history="1">
        <w:r w:rsidRPr="00EF35F3">
          <w:rPr>
            <w:rStyle w:val="Hyperlink"/>
          </w:rPr>
          <w:t>https://doi.org/http://dx.doi.org/10.1097/MPG.0000000000001773</w:t>
        </w:r>
      </w:hyperlink>
    </w:p>
    <w:p w14:paraId="5669ABF5" w14:textId="77777777" w:rsidR="00EF35F3" w:rsidRPr="00EF35F3" w:rsidRDefault="00EF35F3" w:rsidP="00EF35F3">
      <w:pPr>
        <w:pStyle w:val="EndNoteBibliography"/>
        <w:spacing w:after="0"/>
      </w:pPr>
      <w:r w:rsidRPr="00EF35F3">
        <w:t>104.</w:t>
      </w:r>
      <w:r w:rsidRPr="00EF35F3">
        <w:tab/>
        <w:t>Rahmati A, Shakeri R, Sohrabi M, Alipour A, Boghratian A, Setareh M</w:t>
      </w:r>
      <w:r w:rsidRPr="00EF35F3">
        <w:rPr>
          <w:i/>
        </w:rPr>
        <w:t>, et al.</w:t>
      </w:r>
      <w:r w:rsidRPr="00EF35F3">
        <w:t xml:space="preserve"> Correlation of tissue transglutaminase antibody with duodenal histologic marsh grading. </w:t>
      </w:r>
      <w:r w:rsidRPr="00EF35F3">
        <w:rPr>
          <w:i/>
        </w:rPr>
        <w:t>Middle East journal of digestive diseases</w:t>
      </w:r>
      <w:r w:rsidRPr="00EF35F3">
        <w:t xml:space="preserve"> 2014;</w:t>
      </w:r>
      <w:r w:rsidRPr="00EF35F3">
        <w:rPr>
          <w:b/>
        </w:rPr>
        <w:t>6</w:t>
      </w:r>
      <w:r w:rsidRPr="00EF35F3">
        <w:t>:131-6.</w:t>
      </w:r>
    </w:p>
    <w:p w14:paraId="572B91FB" w14:textId="72EDF2C9" w:rsidR="00EF35F3" w:rsidRPr="00EF35F3" w:rsidRDefault="00EF35F3" w:rsidP="00EF35F3">
      <w:pPr>
        <w:pStyle w:val="EndNoteBibliography"/>
        <w:spacing w:after="0"/>
      </w:pPr>
      <w:r w:rsidRPr="00EF35F3">
        <w:t>105.</w:t>
      </w:r>
      <w:r w:rsidRPr="00EF35F3">
        <w:tab/>
        <w:t>Reeves GE, Squance ML, Duggan AE, Murugasu RR, Wilson RJ, Wong RC</w:t>
      </w:r>
      <w:r w:rsidRPr="00EF35F3">
        <w:rPr>
          <w:i/>
        </w:rPr>
        <w:t>, et al.</w:t>
      </w:r>
      <w:r w:rsidRPr="00EF35F3">
        <w:t xml:space="preserve"> Diagnostic accuracy of coeliac serological tests: a prospective study. </w:t>
      </w:r>
      <w:r w:rsidRPr="00EF35F3">
        <w:rPr>
          <w:i/>
        </w:rPr>
        <w:t>Eur J Gastroenterol Hepatol</w:t>
      </w:r>
      <w:r w:rsidRPr="00EF35F3">
        <w:t xml:space="preserve"> 2006;</w:t>
      </w:r>
      <w:r w:rsidRPr="00EF35F3">
        <w:rPr>
          <w:b/>
        </w:rPr>
        <w:t>18</w:t>
      </w:r>
      <w:r w:rsidRPr="00EF35F3">
        <w:t xml:space="preserve">:493-501. </w:t>
      </w:r>
      <w:hyperlink r:id="rId127" w:history="1">
        <w:r w:rsidRPr="00EF35F3">
          <w:rPr>
            <w:rStyle w:val="Hyperlink"/>
          </w:rPr>
          <w:t>https://doi.org/10.1097/00042737-200605000-00006</w:t>
        </w:r>
      </w:hyperlink>
    </w:p>
    <w:p w14:paraId="1D2470CA" w14:textId="083A7391" w:rsidR="00EF35F3" w:rsidRPr="00EF35F3" w:rsidRDefault="00EF35F3" w:rsidP="00EF35F3">
      <w:pPr>
        <w:pStyle w:val="EndNoteBibliography"/>
        <w:spacing w:after="0"/>
      </w:pPr>
      <w:r w:rsidRPr="00EF35F3">
        <w:t>106.</w:t>
      </w:r>
      <w:r w:rsidRPr="00EF35F3">
        <w:tab/>
        <w:t>Santaolalla R, Fernandez-Banares F, Rodriguez R, Alsina M, Rosinach M, Marine M</w:t>
      </w:r>
      <w:r w:rsidRPr="00EF35F3">
        <w:rPr>
          <w:i/>
        </w:rPr>
        <w:t>, et al.</w:t>
      </w:r>
      <w:r w:rsidRPr="00EF35F3">
        <w:t xml:space="preserve"> Diagnostic value of duodenal antitissue transglutaminase antibodies in gluten-sensitive enteropathy. </w:t>
      </w:r>
      <w:r w:rsidRPr="00EF35F3">
        <w:rPr>
          <w:i/>
        </w:rPr>
        <w:t>Alimentary Pharmacology and Therapeutics</w:t>
      </w:r>
      <w:r w:rsidRPr="00EF35F3">
        <w:t xml:space="preserve"> 2008;</w:t>
      </w:r>
      <w:r w:rsidRPr="00EF35F3">
        <w:rPr>
          <w:b/>
        </w:rPr>
        <w:t>27</w:t>
      </w:r>
      <w:r w:rsidRPr="00EF35F3">
        <w:t xml:space="preserve">:820-9. </w:t>
      </w:r>
      <w:hyperlink r:id="rId128" w:history="1">
        <w:r w:rsidRPr="00EF35F3">
          <w:rPr>
            <w:rStyle w:val="Hyperlink"/>
          </w:rPr>
          <w:t>https://doi.org/http://dx.doi.org/10.1111/j.1365-2036.2008.03652.x</w:t>
        </w:r>
      </w:hyperlink>
    </w:p>
    <w:p w14:paraId="354CF5EB" w14:textId="77777777" w:rsidR="00EF35F3" w:rsidRPr="00EF35F3" w:rsidRDefault="00EF35F3" w:rsidP="00EF35F3">
      <w:pPr>
        <w:pStyle w:val="EndNoteBibliography"/>
        <w:spacing w:after="0"/>
      </w:pPr>
      <w:r w:rsidRPr="00EF35F3">
        <w:t>107.</w:t>
      </w:r>
      <w:r w:rsidRPr="00EF35F3">
        <w:tab/>
        <w:t xml:space="preserve">Sayed SK, Imam HM, Mahran AM, Refaiy AM. Diagnostic utility of deamidated gliadin peptide antibody in celiac disease compared to anti-tissue transglutaminase and IgA- endomysium antibodies. </w:t>
      </w:r>
      <w:r w:rsidRPr="00EF35F3">
        <w:rPr>
          <w:i/>
        </w:rPr>
        <w:t>Egypt J Immunol</w:t>
      </w:r>
      <w:r w:rsidRPr="00EF35F3">
        <w:t xml:space="preserve"> 2012;</w:t>
      </w:r>
      <w:r w:rsidRPr="00EF35F3">
        <w:rPr>
          <w:b/>
        </w:rPr>
        <w:t>19</w:t>
      </w:r>
      <w:r w:rsidRPr="00EF35F3">
        <w:t>:41-52.</w:t>
      </w:r>
    </w:p>
    <w:p w14:paraId="2979B746" w14:textId="0DE9B0FF" w:rsidR="00EF35F3" w:rsidRPr="00EF35F3" w:rsidRDefault="00EF35F3" w:rsidP="00EF35F3">
      <w:pPr>
        <w:pStyle w:val="EndNoteBibliography"/>
        <w:spacing w:after="0"/>
      </w:pPr>
      <w:r w:rsidRPr="00EF35F3">
        <w:lastRenderedPageBreak/>
        <w:t>108.</w:t>
      </w:r>
      <w:r w:rsidRPr="00EF35F3">
        <w:tab/>
        <w:t xml:space="preserve">Scoglio R, Di Pasquale G, Pagano G, Lucanto MC, Magazzu G, Sferlazzas C. Is intestinal biopsy always needed for diagnosis of celiac disease? </w:t>
      </w:r>
      <w:r w:rsidRPr="00EF35F3">
        <w:rPr>
          <w:i/>
        </w:rPr>
        <w:t>American Journal of Gastroenterology</w:t>
      </w:r>
      <w:r w:rsidRPr="00EF35F3">
        <w:t xml:space="preserve"> 2003;</w:t>
      </w:r>
      <w:r w:rsidRPr="00EF35F3">
        <w:rPr>
          <w:b/>
        </w:rPr>
        <w:t>98</w:t>
      </w:r>
      <w:r w:rsidRPr="00EF35F3">
        <w:t xml:space="preserve">:1325-31. </w:t>
      </w:r>
      <w:hyperlink r:id="rId129" w:history="1">
        <w:r w:rsidRPr="00EF35F3">
          <w:rPr>
            <w:rStyle w:val="Hyperlink"/>
          </w:rPr>
          <w:t>https://doi.org/http://dx.doi.org/10.1111/j.1572-0241.2003.07455.x</w:t>
        </w:r>
      </w:hyperlink>
    </w:p>
    <w:p w14:paraId="7979AF84" w14:textId="43627D69" w:rsidR="00EF35F3" w:rsidRPr="00EF35F3" w:rsidRDefault="00EF35F3" w:rsidP="00EF35F3">
      <w:pPr>
        <w:pStyle w:val="EndNoteBibliography"/>
        <w:spacing w:after="0"/>
      </w:pPr>
      <w:r w:rsidRPr="00EF35F3">
        <w:t>109.</w:t>
      </w:r>
      <w:r w:rsidRPr="00EF35F3">
        <w:tab/>
        <w:t>Sugai E, Moreno ML, Hwang HJ, Cabanne A, Crivelli A, Nachman F</w:t>
      </w:r>
      <w:r w:rsidRPr="00EF35F3">
        <w:rPr>
          <w:i/>
        </w:rPr>
        <w:t>, et al.</w:t>
      </w:r>
      <w:r w:rsidRPr="00EF35F3">
        <w:t xml:space="preserve"> Celiac disease serology in patients with different pretest probabilities: Is biopsy avoidable? </w:t>
      </w:r>
      <w:r w:rsidRPr="00EF35F3">
        <w:rPr>
          <w:i/>
        </w:rPr>
        <w:t>World Journal of Gastroenterology</w:t>
      </w:r>
      <w:r w:rsidRPr="00EF35F3">
        <w:t xml:space="preserve"> 2010;</w:t>
      </w:r>
      <w:r w:rsidRPr="00EF35F3">
        <w:rPr>
          <w:b/>
        </w:rPr>
        <w:t>16</w:t>
      </w:r>
      <w:r w:rsidRPr="00EF35F3">
        <w:t xml:space="preserve">:3144-52. </w:t>
      </w:r>
      <w:hyperlink r:id="rId130" w:history="1">
        <w:r w:rsidRPr="00EF35F3">
          <w:rPr>
            <w:rStyle w:val="Hyperlink"/>
          </w:rPr>
          <w:t>https://doi.org/http://dx.doi.org/10.3748/wjg.v16.i25.3144</w:t>
        </w:r>
      </w:hyperlink>
    </w:p>
    <w:p w14:paraId="0BC0490C" w14:textId="082065BD" w:rsidR="00EF35F3" w:rsidRPr="00C34531" w:rsidRDefault="00EF35F3" w:rsidP="00EF35F3">
      <w:pPr>
        <w:pStyle w:val="EndNoteBibliography"/>
        <w:spacing w:after="0"/>
        <w:rPr>
          <w:lang w:val="it-IT"/>
        </w:rPr>
      </w:pPr>
      <w:r w:rsidRPr="00EF35F3">
        <w:t>110.</w:t>
      </w:r>
      <w:r w:rsidRPr="00EF35F3">
        <w:tab/>
        <w:t>Swallow K, Wild G, Sargur R, Sanders DS, Aziz I, Hopper AD</w:t>
      </w:r>
      <w:r w:rsidRPr="00EF35F3">
        <w:rPr>
          <w:i/>
        </w:rPr>
        <w:t>, et al.</w:t>
      </w:r>
      <w:r w:rsidRPr="00EF35F3">
        <w:t xml:space="preserve"> Quality not quantity for transglutaminase antibody 2: the performance of an endomysial and tissue transglutaminase test in screening coeliac disease remains stable over time. </w:t>
      </w:r>
      <w:r w:rsidRPr="00C34531">
        <w:rPr>
          <w:i/>
          <w:lang w:val="it-IT"/>
        </w:rPr>
        <w:t>Clin Exp Immunol</w:t>
      </w:r>
      <w:r w:rsidRPr="00C34531">
        <w:rPr>
          <w:lang w:val="it-IT"/>
        </w:rPr>
        <w:t xml:space="preserve"> 2013;</w:t>
      </w:r>
      <w:r w:rsidRPr="00C34531">
        <w:rPr>
          <w:b/>
          <w:lang w:val="it-IT"/>
        </w:rPr>
        <w:t>171</w:t>
      </w:r>
      <w:r w:rsidRPr="00C34531">
        <w:rPr>
          <w:lang w:val="it-IT"/>
        </w:rPr>
        <w:t xml:space="preserve">:100-6. </w:t>
      </w:r>
      <w:hyperlink r:id="rId131" w:history="1">
        <w:r w:rsidRPr="00C34531">
          <w:rPr>
            <w:rStyle w:val="Hyperlink"/>
            <w:lang w:val="it-IT"/>
          </w:rPr>
          <w:t>https://doi.org/10.1111/cei.12000</w:t>
        </w:r>
      </w:hyperlink>
    </w:p>
    <w:p w14:paraId="52982AAE" w14:textId="0F847912" w:rsidR="00EF35F3" w:rsidRPr="00C34531" w:rsidRDefault="00EF35F3" w:rsidP="00EF35F3">
      <w:pPr>
        <w:pStyle w:val="EndNoteBibliography"/>
        <w:spacing w:after="0"/>
        <w:rPr>
          <w:lang w:val="it-IT"/>
        </w:rPr>
      </w:pPr>
      <w:r w:rsidRPr="00C34531">
        <w:rPr>
          <w:lang w:val="it-IT"/>
        </w:rPr>
        <w:t>111.</w:t>
      </w:r>
      <w:r w:rsidRPr="00C34531">
        <w:rPr>
          <w:lang w:val="it-IT"/>
        </w:rPr>
        <w:tab/>
        <w:t>Tesei N, Sugai E, Vazquez H, Smecuol E, Niveloni S, Mazure R</w:t>
      </w:r>
      <w:r w:rsidRPr="00C34531">
        <w:rPr>
          <w:i/>
          <w:lang w:val="it-IT"/>
        </w:rPr>
        <w:t>, et al.</w:t>
      </w:r>
      <w:r w:rsidRPr="00C34531">
        <w:rPr>
          <w:lang w:val="it-IT"/>
        </w:rPr>
        <w:t xml:space="preserve"> </w:t>
      </w:r>
      <w:r w:rsidRPr="00EF35F3">
        <w:t xml:space="preserve">Antibodies to human recombinant tissue transglutaminase may detect coeliac disease patients undiagnosed by endomysial antibodies. </w:t>
      </w:r>
      <w:r w:rsidRPr="00C34531">
        <w:rPr>
          <w:i/>
          <w:lang w:val="it-IT"/>
        </w:rPr>
        <w:t>Alimentary Pharmacology and Therapeutics</w:t>
      </w:r>
      <w:r w:rsidRPr="00C34531">
        <w:rPr>
          <w:lang w:val="it-IT"/>
        </w:rPr>
        <w:t xml:space="preserve"> 2003;</w:t>
      </w:r>
      <w:r w:rsidRPr="00C34531">
        <w:rPr>
          <w:b/>
          <w:lang w:val="it-IT"/>
        </w:rPr>
        <w:t>17</w:t>
      </w:r>
      <w:r w:rsidRPr="00C34531">
        <w:rPr>
          <w:lang w:val="it-IT"/>
        </w:rPr>
        <w:t xml:space="preserve">:1415-23. </w:t>
      </w:r>
      <w:hyperlink r:id="rId132" w:history="1">
        <w:r w:rsidRPr="00C34531">
          <w:rPr>
            <w:rStyle w:val="Hyperlink"/>
            <w:lang w:val="it-IT"/>
          </w:rPr>
          <w:t>https://doi.org/http://dx.doi.org/10.1046/j.1365-2036.2003.01595.x</w:t>
        </w:r>
      </w:hyperlink>
    </w:p>
    <w:p w14:paraId="28011CF0" w14:textId="1D842C2F" w:rsidR="00EF35F3" w:rsidRPr="00EF35F3" w:rsidRDefault="00EF35F3" w:rsidP="00EF35F3">
      <w:pPr>
        <w:pStyle w:val="EndNoteBibliography"/>
        <w:spacing w:after="0"/>
      </w:pPr>
      <w:r w:rsidRPr="00C34531">
        <w:rPr>
          <w:lang w:val="it-IT"/>
        </w:rPr>
        <w:t>112.</w:t>
      </w:r>
      <w:r w:rsidRPr="00C34531">
        <w:rPr>
          <w:lang w:val="it-IT"/>
        </w:rPr>
        <w:tab/>
        <w:t>Volta U, Granito A, Parisi C, Fabbri A, Fiorini E, Piscaglia M</w:t>
      </w:r>
      <w:r w:rsidRPr="00C34531">
        <w:rPr>
          <w:i/>
          <w:lang w:val="it-IT"/>
        </w:rPr>
        <w:t>, et al.</w:t>
      </w:r>
      <w:r w:rsidRPr="00C34531">
        <w:rPr>
          <w:lang w:val="it-IT"/>
        </w:rPr>
        <w:t xml:space="preserve"> </w:t>
      </w:r>
      <w:r w:rsidRPr="00EF35F3">
        <w:t xml:space="preserve">Deamidated gliadin peptide antibodies as a routine test for celiac disease: A prospective analysis. </w:t>
      </w:r>
      <w:r w:rsidRPr="00EF35F3">
        <w:rPr>
          <w:i/>
        </w:rPr>
        <w:t>Journal of Clinical Gastroenterology</w:t>
      </w:r>
      <w:r w:rsidRPr="00EF35F3">
        <w:t xml:space="preserve"> 2010;</w:t>
      </w:r>
      <w:r w:rsidRPr="00EF35F3">
        <w:rPr>
          <w:b/>
        </w:rPr>
        <w:t>44</w:t>
      </w:r>
      <w:r w:rsidRPr="00EF35F3">
        <w:t xml:space="preserve">:186-90. </w:t>
      </w:r>
      <w:hyperlink r:id="rId133" w:history="1">
        <w:r w:rsidRPr="00EF35F3">
          <w:rPr>
            <w:rStyle w:val="Hyperlink"/>
          </w:rPr>
          <w:t>https://doi.org/http://dx.doi.org/10.1097/MCG.0b013e3181c378f6</w:t>
        </w:r>
      </w:hyperlink>
    </w:p>
    <w:p w14:paraId="05612A9C" w14:textId="7C8A44F3" w:rsidR="00EF35F3" w:rsidRPr="00C34531" w:rsidRDefault="00EF35F3" w:rsidP="00EF35F3">
      <w:pPr>
        <w:pStyle w:val="EndNoteBibliography"/>
        <w:spacing w:after="0"/>
        <w:rPr>
          <w:lang w:val="it-IT"/>
        </w:rPr>
      </w:pPr>
      <w:r w:rsidRPr="00EF35F3">
        <w:t>113.</w:t>
      </w:r>
      <w:r w:rsidRPr="00EF35F3">
        <w:tab/>
        <w:t>Whyte M, Smale S, Heil PM, Prasad P, Davis T, Sewell C</w:t>
      </w:r>
      <w:r w:rsidRPr="00EF35F3">
        <w:rPr>
          <w:i/>
        </w:rPr>
        <w:t>, et al.</w:t>
      </w:r>
      <w:r w:rsidRPr="00EF35F3">
        <w:t xml:space="preserve"> IgA antibody to tissue transglutaminase is a highly sensitive predictor of adult onset coeliac disease in clinical practice. </w:t>
      </w:r>
      <w:r w:rsidRPr="00C34531">
        <w:rPr>
          <w:i/>
          <w:lang w:val="it-IT"/>
        </w:rPr>
        <w:t>Gut</w:t>
      </w:r>
      <w:r w:rsidRPr="00C34531">
        <w:rPr>
          <w:lang w:val="it-IT"/>
        </w:rPr>
        <w:t xml:space="preserve"> 2001;</w:t>
      </w:r>
      <w:r w:rsidRPr="00C34531">
        <w:rPr>
          <w:b/>
          <w:lang w:val="it-IT"/>
        </w:rPr>
        <w:t>48</w:t>
      </w:r>
      <w:r w:rsidRPr="00C34531">
        <w:rPr>
          <w:lang w:val="it-IT"/>
        </w:rPr>
        <w:t xml:space="preserve">:A77. </w:t>
      </w:r>
      <w:hyperlink r:id="rId134" w:history="1">
        <w:r w:rsidRPr="00C34531">
          <w:rPr>
            <w:rStyle w:val="Hyperlink"/>
            <w:lang w:val="it-IT"/>
          </w:rPr>
          <w:t>https://doi.org/10.1136/gut.48.suppl_1.A77</w:t>
        </w:r>
      </w:hyperlink>
    </w:p>
    <w:p w14:paraId="5BFA14F5" w14:textId="7946F37B" w:rsidR="00EF35F3" w:rsidRPr="00C34531" w:rsidRDefault="00EF35F3" w:rsidP="00EF35F3">
      <w:pPr>
        <w:pStyle w:val="EndNoteBibliography"/>
        <w:spacing w:after="0"/>
        <w:rPr>
          <w:lang w:val="it-IT"/>
        </w:rPr>
      </w:pPr>
      <w:r w:rsidRPr="00C34531">
        <w:rPr>
          <w:lang w:val="it-IT"/>
        </w:rPr>
        <w:t>114.</w:t>
      </w:r>
      <w:r w:rsidRPr="00C34531">
        <w:rPr>
          <w:lang w:val="it-IT"/>
        </w:rPr>
        <w:tab/>
        <w:t>Zanini B, Magni A, Caselani F, Lanzarotto F, Carabellese N, Villanacci V</w:t>
      </w:r>
      <w:r w:rsidRPr="00C34531">
        <w:rPr>
          <w:i/>
          <w:lang w:val="it-IT"/>
        </w:rPr>
        <w:t>, et al.</w:t>
      </w:r>
      <w:r w:rsidRPr="00C34531">
        <w:rPr>
          <w:lang w:val="it-IT"/>
        </w:rPr>
        <w:t xml:space="preserve"> </w:t>
      </w:r>
      <w:r w:rsidRPr="00EF35F3">
        <w:t xml:space="preserve">High tissue-transglutaminase antibody level predicts small intestinal villous atrophy in adult patients at high risk of celiac disease. </w:t>
      </w:r>
      <w:r w:rsidRPr="00C34531">
        <w:rPr>
          <w:i/>
          <w:lang w:val="it-IT"/>
        </w:rPr>
        <w:t>Digestive and Liver Disease</w:t>
      </w:r>
      <w:r w:rsidRPr="00C34531">
        <w:rPr>
          <w:lang w:val="it-IT"/>
        </w:rPr>
        <w:t xml:space="preserve"> 2012;</w:t>
      </w:r>
      <w:r w:rsidRPr="00C34531">
        <w:rPr>
          <w:b/>
          <w:lang w:val="it-IT"/>
        </w:rPr>
        <w:t>44</w:t>
      </w:r>
      <w:r w:rsidRPr="00C34531">
        <w:rPr>
          <w:lang w:val="it-IT"/>
        </w:rPr>
        <w:t xml:space="preserve">:280-5. </w:t>
      </w:r>
      <w:hyperlink r:id="rId135" w:history="1">
        <w:r w:rsidRPr="00C34531">
          <w:rPr>
            <w:rStyle w:val="Hyperlink"/>
            <w:lang w:val="it-IT"/>
          </w:rPr>
          <w:t>https://doi.org/http://dx.doi.org/10.1016/j.dld.2011.10.013</w:t>
        </w:r>
      </w:hyperlink>
    </w:p>
    <w:p w14:paraId="1F77C86E" w14:textId="77777777" w:rsidR="00EF35F3" w:rsidRPr="00EF35F3" w:rsidRDefault="00EF35F3" w:rsidP="00EF35F3">
      <w:pPr>
        <w:pStyle w:val="EndNoteBibliography"/>
        <w:spacing w:after="0"/>
      </w:pPr>
      <w:r w:rsidRPr="00C34531">
        <w:rPr>
          <w:lang w:val="it-IT"/>
        </w:rPr>
        <w:t>115.</w:t>
      </w:r>
      <w:r w:rsidRPr="00C34531">
        <w:rPr>
          <w:lang w:val="it-IT"/>
        </w:rPr>
        <w:tab/>
        <w:t xml:space="preserve">Pretto LE, Hernandez MA, Eusebi SM, et al. </w:t>
      </w:r>
      <w:r w:rsidRPr="00EF35F3">
        <w:t xml:space="preserve">Utility of anti deamidated gliadin peptides antibodies in the screening of celiac disease in children. </w:t>
      </w:r>
      <w:r w:rsidRPr="00EF35F3">
        <w:rPr>
          <w:i/>
        </w:rPr>
        <w:t xml:space="preserve">Biocell 20th Congress 38th Annual Meeting of Rosario Biology Society </w:t>
      </w:r>
      <w:r w:rsidRPr="00EF35F3">
        <w:t>2019;</w:t>
      </w:r>
      <w:r w:rsidRPr="00EF35F3">
        <w:rPr>
          <w:b/>
        </w:rPr>
        <w:t>43</w:t>
      </w:r>
      <w:r w:rsidRPr="00EF35F3">
        <w:t>:A60.</w:t>
      </w:r>
    </w:p>
    <w:p w14:paraId="31A355C3" w14:textId="77777777" w:rsidR="00EF35F3" w:rsidRPr="00C34531" w:rsidRDefault="00EF35F3" w:rsidP="00EF35F3">
      <w:pPr>
        <w:pStyle w:val="EndNoteBibliography"/>
        <w:spacing w:after="0"/>
        <w:rPr>
          <w:lang w:val="it-IT"/>
        </w:rPr>
      </w:pPr>
      <w:r w:rsidRPr="00EF35F3">
        <w:t>116.</w:t>
      </w:r>
      <w:r w:rsidRPr="00EF35F3">
        <w:tab/>
        <w:t xml:space="preserve">Rabbani MW, Aziz MT, Basit A, Iqbal I. Diagnostic accuracy of serum anti-tissue transglutaminase IgA, in the diagnosis of celiac disease, taking small bowel biopsy as a gold standard. </w:t>
      </w:r>
      <w:r w:rsidRPr="00C34531">
        <w:rPr>
          <w:i/>
          <w:lang w:val="it-IT"/>
        </w:rPr>
        <w:t>Pakistan Paediatric Journal</w:t>
      </w:r>
      <w:r w:rsidRPr="00C34531">
        <w:rPr>
          <w:lang w:val="it-IT"/>
        </w:rPr>
        <w:t xml:space="preserve"> 2015;</w:t>
      </w:r>
      <w:r w:rsidRPr="00C34531">
        <w:rPr>
          <w:b/>
          <w:lang w:val="it-IT"/>
        </w:rPr>
        <w:t>39</w:t>
      </w:r>
      <w:r w:rsidRPr="00C34531">
        <w:rPr>
          <w:lang w:val="it-IT"/>
        </w:rPr>
        <w:t>:203-8.</w:t>
      </w:r>
    </w:p>
    <w:p w14:paraId="492847EF" w14:textId="21593A3F" w:rsidR="00EF35F3" w:rsidRPr="00EF35F3" w:rsidRDefault="00EF35F3" w:rsidP="00EF35F3">
      <w:pPr>
        <w:pStyle w:val="EndNoteBibliography"/>
        <w:spacing w:after="0"/>
      </w:pPr>
      <w:r w:rsidRPr="00C34531">
        <w:rPr>
          <w:lang w:val="it-IT"/>
        </w:rPr>
        <w:t>117.</w:t>
      </w:r>
      <w:r w:rsidRPr="00C34531">
        <w:rPr>
          <w:lang w:val="it-IT"/>
        </w:rPr>
        <w:tab/>
        <w:t>Roca M, Donat E, Marco-Maestud N, Masip E, Hervas-Marin D, Ramos D</w:t>
      </w:r>
      <w:r w:rsidRPr="00C34531">
        <w:rPr>
          <w:i/>
          <w:lang w:val="it-IT"/>
        </w:rPr>
        <w:t>, et al.</w:t>
      </w:r>
      <w:r w:rsidRPr="00C34531">
        <w:rPr>
          <w:lang w:val="it-IT"/>
        </w:rPr>
        <w:t xml:space="preserve"> </w:t>
      </w:r>
      <w:r w:rsidRPr="00EF35F3">
        <w:t xml:space="preserve">Efficacy study of anti-endomysium antibodies for celiac disease diagnosis: A retrospective study in a spanish pediatric population. </w:t>
      </w:r>
      <w:r w:rsidRPr="00EF35F3">
        <w:rPr>
          <w:i/>
        </w:rPr>
        <w:t>Journal of Clinical Medicine</w:t>
      </w:r>
      <w:r w:rsidRPr="00EF35F3">
        <w:t xml:space="preserve"> 2019;</w:t>
      </w:r>
      <w:r w:rsidRPr="00EF35F3">
        <w:rPr>
          <w:b/>
        </w:rPr>
        <w:t>8</w:t>
      </w:r>
      <w:r w:rsidRPr="00EF35F3">
        <w:t xml:space="preserve">:2179. </w:t>
      </w:r>
      <w:hyperlink r:id="rId136" w:history="1">
        <w:r w:rsidRPr="00EF35F3">
          <w:rPr>
            <w:rStyle w:val="Hyperlink"/>
          </w:rPr>
          <w:t>https://doi.org/http://dx.doi.org/10.3390/jcm8122179</w:t>
        </w:r>
      </w:hyperlink>
    </w:p>
    <w:p w14:paraId="5BE12381" w14:textId="77777777" w:rsidR="00EF35F3" w:rsidRPr="00EF35F3" w:rsidRDefault="00EF35F3" w:rsidP="00EF35F3">
      <w:pPr>
        <w:pStyle w:val="EndNoteBibliography"/>
        <w:spacing w:after="0"/>
      </w:pPr>
      <w:r w:rsidRPr="00EF35F3">
        <w:t>118.</w:t>
      </w:r>
      <w:r w:rsidRPr="00EF35F3">
        <w:tab/>
        <w:t xml:space="preserve">Saneian H, Gorgani AM. Diagnostic value of serologic tests in celiac screening. </w:t>
      </w:r>
      <w:r w:rsidRPr="00EF35F3">
        <w:rPr>
          <w:i/>
        </w:rPr>
        <w:t>International journal of preventive medicine</w:t>
      </w:r>
      <w:r w:rsidRPr="00EF35F3">
        <w:t xml:space="preserve"> 2012;</w:t>
      </w:r>
      <w:r w:rsidRPr="00EF35F3">
        <w:rPr>
          <w:b/>
        </w:rPr>
        <w:t>3</w:t>
      </w:r>
      <w:r w:rsidRPr="00EF35F3">
        <w:t>:S58-63.</w:t>
      </w:r>
    </w:p>
    <w:p w14:paraId="5BC1D0F2" w14:textId="77777777" w:rsidR="00EF35F3" w:rsidRPr="00EF35F3" w:rsidRDefault="00EF35F3" w:rsidP="00EF35F3">
      <w:pPr>
        <w:pStyle w:val="EndNoteBibliography"/>
        <w:spacing w:after="0"/>
      </w:pPr>
      <w:r w:rsidRPr="00EF35F3">
        <w:t>119.</w:t>
      </w:r>
      <w:r w:rsidRPr="00EF35F3">
        <w:tab/>
        <w:t xml:space="preserve">Tronconi GM, Parma B, Bazzigaluppi E, Corsin P, Barera G. Antibodies against synthetic deamidated gliadin peptides for the diagnosis of childhood celiac disease: Do they play a role? </w:t>
      </w:r>
      <w:r w:rsidRPr="00EF35F3">
        <w:rPr>
          <w:i/>
        </w:rPr>
        <w:t>Digestive and Liver Disease</w:t>
      </w:r>
      <w:r w:rsidRPr="00EF35F3">
        <w:t xml:space="preserve"> 2010;</w:t>
      </w:r>
      <w:r w:rsidRPr="00EF35F3">
        <w:rPr>
          <w:b/>
        </w:rPr>
        <w:t>42</w:t>
      </w:r>
      <w:r w:rsidRPr="00EF35F3">
        <w:t>:S350.</w:t>
      </w:r>
    </w:p>
    <w:p w14:paraId="110EE60C" w14:textId="04A6EF01" w:rsidR="00EF35F3" w:rsidRPr="00EF35F3" w:rsidRDefault="00EF35F3" w:rsidP="00EF35F3">
      <w:pPr>
        <w:pStyle w:val="EndNoteBibliography"/>
        <w:spacing w:after="0"/>
      </w:pPr>
      <w:r w:rsidRPr="00EF35F3">
        <w:t>120.</w:t>
      </w:r>
      <w:r w:rsidRPr="00EF35F3">
        <w:tab/>
        <w:t xml:space="preserve">Weile B, Heegaard NH, Høier-Madsen M, Wiik A, Krasilnikoff PA. Tissue transglutaminase and endomysial autoantibodies measured in an historical cohort of children and young adults in whom coeliac disease was suspected. </w:t>
      </w:r>
      <w:r w:rsidRPr="00EF35F3">
        <w:rPr>
          <w:i/>
        </w:rPr>
        <w:t>Eur J Gastroenterol Hepatol</w:t>
      </w:r>
      <w:r w:rsidRPr="00EF35F3">
        <w:t xml:space="preserve"> 2002;</w:t>
      </w:r>
      <w:r w:rsidRPr="00EF35F3">
        <w:rPr>
          <w:b/>
        </w:rPr>
        <w:t>14</w:t>
      </w:r>
      <w:r w:rsidRPr="00EF35F3">
        <w:t xml:space="preserve">:71-6. </w:t>
      </w:r>
      <w:hyperlink r:id="rId137" w:history="1">
        <w:r w:rsidRPr="00EF35F3">
          <w:rPr>
            <w:rStyle w:val="Hyperlink"/>
          </w:rPr>
          <w:t>https://doi.org/10.1097/00042737-200201000-00012</w:t>
        </w:r>
      </w:hyperlink>
    </w:p>
    <w:p w14:paraId="0B06E8FE" w14:textId="09F692E1" w:rsidR="00EF35F3" w:rsidRPr="00EF35F3" w:rsidRDefault="00EF35F3" w:rsidP="00EF35F3">
      <w:pPr>
        <w:pStyle w:val="EndNoteBibliography"/>
        <w:spacing w:after="0"/>
      </w:pPr>
      <w:r w:rsidRPr="00EF35F3">
        <w:t>121.</w:t>
      </w:r>
      <w:r w:rsidRPr="00EF35F3">
        <w:tab/>
        <w:t>Wolf J, Petroff D, Richter T, Auth MKH, Uhlig HH, Laass MW</w:t>
      </w:r>
      <w:r w:rsidRPr="00EF35F3">
        <w:rPr>
          <w:i/>
        </w:rPr>
        <w:t>, et al.</w:t>
      </w:r>
      <w:r w:rsidRPr="00EF35F3">
        <w:t xml:space="preserve"> Validation of Antibody-Based Strategies for Diagnosis of Pediatric Celiac Disease Without Biopsy. </w:t>
      </w:r>
      <w:r w:rsidRPr="00EF35F3">
        <w:rPr>
          <w:i/>
        </w:rPr>
        <w:t>Gastroenterology</w:t>
      </w:r>
      <w:r w:rsidRPr="00EF35F3">
        <w:t xml:space="preserve"> 2017;</w:t>
      </w:r>
      <w:r w:rsidRPr="00EF35F3">
        <w:rPr>
          <w:b/>
        </w:rPr>
        <w:t>153</w:t>
      </w:r>
      <w:r w:rsidRPr="00EF35F3">
        <w:t xml:space="preserve">:410‐9.e17. </w:t>
      </w:r>
      <w:hyperlink r:id="rId138" w:history="1">
        <w:r w:rsidRPr="00EF35F3">
          <w:rPr>
            <w:rStyle w:val="Hyperlink"/>
          </w:rPr>
          <w:t>https://doi.org/10.1053/j.gastro.2017.04.023</w:t>
        </w:r>
      </w:hyperlink>
    </w:p>
    <w:p w14:paraId="2CAE96F6" w14:textId="77777777" w:rsidR="00EF35F3" w:rsidRPr="00EF35F3" w:rsidRDefault="00EF35F3" w:rsidP="00EF35F3">
      <w:pPr>
        <w:pStyle w:val="EndNoteBibliography"/>
        <w:spacing w:after="0"/>
      </w:pPr>
      <w:r w:rsidRPr="00EF35F3">
        <w:t>122.</w:t>
      </w:r>
      <w:r w:rsidRPr="00EF35F3">
        <w:tab/>
        <w:t xml:space="preserve">Mubarak A, Houwen R. Tissue transglutaminase antibody levels &gt;=100 U/mL and celiac disease: The first prospective study. </w:t>
      </w:r>
      <w:r w:rsidRPr="00EF35F3">
        <w:rPr>
          <w:i/>
        </w:rPr>
        <w:t>Gastroenterology</w:t>
      </w:r>
      <w:r w:rsidRPr="00EF35F3">
        <w:t xml:space="preserve"> 2012;</w:t>
      </w:r>
      <w:r w:rsidRPr="00EF35F3">
        <w:rPr>
          <w:b/>
        </w:rPr>
        <w:t>142</w:t>
      </w:r>
      <w:r w:rsidRPr="00EF35F3">
        <w:t>:S277.</w:t>
      </w:r>
    </w:p>
    <w:p w14:paraId="3D7C3928" w14:textId="1ED51A7F" w:rsidR="00EF35F3" w:rsidRPr="00EF35F3" w:rsidRDefault="00EF35F3" w:rsidP="00EF35F3">
      <w:pPr>
        <w:pStyle w:val="EndNoteBibliography"/>
        <w:spacing w:after="0"/>
      </w:pPr>
      <w:r w:rsidRPr="00EF35F3">
        <w:t>123.</w:t>
      </w:r>
      <w:r w:rsidRPr="00EF35F3">
        <w:tab/>
        <w:t xml:space="preserve">Panetta F, Torre G, Colistro F, Ferretti F, Daniele A, Diamanti A. Clinical accuracy of anti-tissue transglutaminase as screening test for celiac disease under 2 years. </w:t>
      </w:r>
      <w:r w:rsidRPr="00EF35F3">
        <w:rPr>
          <w:i/>
        </w:rPr>
        <w:t xml:space="preserve">Acta paediatrica (Oslo, </w:t>
      </w:r>
      <w:r w:rsidRPr="00EF35F3">
        <w:rPr>
          <w:i/>
        </w:rPr>
        <w:lastRenderedPageBreak/>
        <w:t>Norway : 1992)</w:t>
      </w:r>
      <w:r w:rsidRPr="00EF35F3">
        <w:t xml:space="preserve"> 2011;</w:t>
      </w:r>
      <w:r w:rsidRPr="00EF35F3">
        <w:rPr>
          <w:b/>
        </w:rPr>
        <w:t>100</w:t>
      </w:r>
      <w:r w:rsidRPr="00EF35F3">
        <w:t xml:space="preserve">:728-31. </w:t>
      </w:r>
      <w:hyperlink r:id="rId139" w:history="1">
        <w:r w:rsidRPr="00EF35F3">
          <w:rPr>
            <w:rStyle w:val="Hyperlink"/>
          </w:rPr>
          <w:t>https://doi.org/https://dx.doi.org/10.1111/j.1651-2227.2010.02124.x</w:t>
        </w:r>
      </w:hyperlink>
    </w:p>
    <w:p w14:paraId="6C8231C7" w14:textId="287EAFD2" w:rsidR="00EF35F3" w:rsidRPr="00EF35F3" w:rsidRDefault="00EF35F3" w:rsidP="00EF35F3">
      <w:pPr>
        <w:pStyle w:val="EndNoteBibliography"/>
        <w:spacing w:after="0"/>
      </w:pPr>
      <w:r w:rsidRPr="00EF35F3">
        <w:t>124.</w:t>
      </w:r>
      <w:r w:rsidRPr="00EF35F3">
        <w:tab/>
        <w:t xml:space="preserve">Parizade M, Bujanover Y, Weiss B, Nachmias V, Shainberg B. Performance of serology assays for diagnosing celiac disease in a clinical setting. </w:t>
      </w:r>
      <w:r w:rsidRPr="00EF35F3">
        <w:rPr>
          <w:i/>
        </w:rPr>
        <w:t>Clinical and Vaccine Immunology</w:t>
      </w:r>
      <w:r w:rsidRPr="00EF35F3">
        <w:t xml:space="preserve"> 2009;</w:t>
      </w:r>
      <w:r w:rsidRPr="00EF35F3">
        <w:rPr>
          <w:b/>
        </w:rPr>
        <w:t>16</w:t>
      </w:r>
      <w:r w:rsidRPr="00EF35F3">
        <w:t xml:space="preserve">:1576-82. </w:t>
      </w:r>
      <w:hyperlink r:id="rId140" w:history="1">
        <w:r w:rsidRPr="00EF35F3">
          <w:rPr>
            <w:rStyle w:val="Hyperlink"/>
          </w:rPr>
          <w:t>https://doi.org/http://dx.doi.org/10.1128/CVI.00205-09</w:t>
        </w:r>
      </w:hyperlink>
    </w:p>
    <w:p w14:paraId="357D3117" w14:textId="77777777" w:rsidR="00EF35F3" w:rsidRPr="00EF35F3" w:rsidRDefault="00EF35F3" w:rsidP="00EF35F3">
      <w:pPr>
        <w:pStyle w:val="EndNoteBibliography"/>
        <w:spacing w:after="0"/>
      </w:pPr>
      <w:r w:rsidRPr="00EF35F3">
        <w:t>125.</w:t>
      </w:r>
      <w:r w:rsidRPr="00EF35F3">
        <w:tab/>
        <w:t xml:space="preserve">Pettie MJ, Levine JJ. The use of tissue transglutaminase IGG antibody (TTG-G) in the diagnosis of celiac disease. </w:t>
      </w:r>
      <w:r w:rsidRPr="00EF35F3">
        <w:rPr>
          <w:i/>
        </w:rPr>
        <w:t xml:space="preserve">Journal of Pediatric Gastroenterology and Nutrition </w:t>
      </w:r>
      <w:r w:rsidRPr="00EF35F3">
        <w:t>2009;</w:t>
      </w:r>
      <w:r w:rsidRPr="00EF35F3">
        <w:rPr>
          <w:b/>
        </w:rPr>
        <w:t>49</w:t>
      </w:r>
      <w:r w:rsidRPr="00EF35F3">
        <w:t>:E16.</w:t>
      </w:r>
    </w:p>
    <w:p w14:paraId="02DA82A9" w14:textId="16630C5A" w:rsidR="00EF35F3" w:rsidRPr="00EF35F3" w:rsidRDefault="00EF35F3" w:rsidP="00EF35F3">
      <w:pPr>
        <w:pStyle w:val="EndNoteBibliography"/>
        <w:spacing w:after="0"/>
      </w:pPr>
      <w:r w:rsidRPr="00EF35F3">
        <w:t>126.</w:t>
      </w:r>
      <w:r w:rsidRPr="00EF35F3">
        <w:tab/>
        <w:t xml:space="preserve">Poddar U, Thapa BR, Nain CK, Singh K. Is tissue transglutaminase autoantibody the best for diagnosing celiac disease in children of developing countries? </w:t>
      </w:r>
      <w:r w:rsidRPr="00EF35F3">
        <w:rPr>
          <w:i/>
        </w:rPr>
        <w:t>Journal of Clinical Gastroenterology</w:t>
      </w:r>
      <w:r w:rsidRPr="00EF35F3">
        <w:t xml:space="preserve"> 2008;</w:t>
      </w:r>
      <w:r w:rsidRPr="00EF35F3">
        <w:rPr>
          <w:b/>
        </w:rPr>
        <w:t>42</w:t>
      </w:r>
      <w:r w:rsidRPr="00EF35F3">
        <w:t xml:space="preserve">:147-51. </w:t>
      </w:r>
      <w:hyperlink r:id="rId141" w:history="1">
        <w:r w:rsidRPr="00EF35F3">
          <w:rPr>
            <w:rStyle w:val="Hyperlink"/>
          </w:rPr>
          <w:t>https://doi.org/http://dx.doi.org/10.1097/MCG.0b013e31802fc1e3</w:t>
        </w:r>
      </w:hyperlink>
    </w:p>
    <w:p w14:paraId="1CB3FA96" w14:textId="77777777" w:rsidR="00EF35F3" w:rsidRPr="00EF35F3" w:rsidRDefault="00EF35F3" w:rsidP="00EF35F3">
      <w:pPr>
        <w:pStyle w:val="EndNoteBibliography"/>
        <w:spacing w:after="0"/>
      </w:pPr>
      <w:r w:rsidRPr="00EF35F3">
        <w:t>127.</w:t>
      </w:r>
      <w:r w:rsidRPr="00EF35F3">
        <w:tab/>
        <w:t xml:space="preserve">Polanco I, Esteban MM, Larrauri J. Relation of anti-tissue transglutaminase IgA antibodies with the morphology of the intestinal mucosa in children with celiac disease. </w:t>
      </w:r>
      <w:r w:rsidRPr="00EF35F3">
        <w:rPr>
          <w:i/>
        </w:rPr>
        <w:t>Pediatrika</w:t>
      </w:r>
      <w:r w:rsidRPr="00EF35F3">
        <w:t xml:space="preserve"> 2001;</w:t>
      </w:r>
      <w:r w:rsidRPr="00EF35F3">
        <w:rPr>
          <w:b/>
        </w:rPr>
        <w:t>21</w:t>
      </w:r>
      <w:r w:rsidRPr="00EF35F3">
        <w:t>:9-20.</w:t>
      </w:r>
    </w:p>
    <w:p w14:paraId="7E2C83D3" w14:textId="77777777" w:rsidR="00EF35F3" w:rsidRPr="00EF35F3" w:rsidRDefault="00EF35F3" w:rsidP="00EF35F3">
      <w:pPr>
        <w:pStyle w:val="EndNoteBibliography"/>
        <w:spacing w:after="0"/>
      </w:pPr>
      <w:r w:rsidRPr="00EF35F3">
        <w:t>128.</w:t>
      </w:r>
      <w:r w:rsidRPr="00EF35F3">
        <w:tab/>
        <w:t>Olen O, Gudjónsdóttir AH, Browaldh L, Hessami M, Elvin K, Liedberg A-S</w:t>
      </w:r>
      <w:r w:rsidRPr="00EF35F3">
        <w:rPr>
          <w:i/>
        </w:rPr>
        <w:t>, et al.</w:t>
      </w:r>
      <w:r w:rsidRPr="00EF35F3">
        <w:t xml:space="preserve"> Antibodies Against Deamidated Gliadin Peptides and Tissue Transglutaminase for Diagnosis of Pediatric Celiac Disease. </w:t>
      </w:r>
      <w:r w:rsidRPr="00EF35F3">
        <w:rPr>
          <w:i/>
        </w:rPr>
        <w:t>Journal of Pediatric Gastroenterology and Nutrition</w:t>
      </w:r>
      <w:r w:rsidRPr="00EF35F3">
        <w:t xml:space="preserve"> 2012;</w:t>
      </w:r>
      <w:r w:rsidRPr="00EF35F3">
        <w:rPr>
          <w:b/>
        </w:rPr>
        <w:t>55</w:t>
      </w:r>
      <w:r w:rsidRPr="00EF35F3">
        <w:t>.</w:t>
      </w:r>
    </w:p>
    <w:p w14:paraId="4327F3D3" w14:textId="77777777" w:rsidR="00EF35F3" w:rsidRPr="00EF35F3" w:rsidRDefault="00EF35F3" w:rsidP="00EF35F3">
      <w:pPr>
        <w:pStyle w:val="EndNoteBibliography"/>
        <w:spacing w:after="0"/>
      </w:pPr>
      <w:r w:rsidRPr="00EF35F3">
        <w:t>129.</w:t>
      </w:r>
      <w:r w:rsidRPr="00EF35F3">
        <w:tab/>
        <w:t xml:space="preserve">Nguyen CMT, Portolese O, Yazdani PA, et al. Validation of the ESPGHAN guidelines for the diagnosis of coeliac disease in a Canadian population. </w:t>
      </w:r>
      <w:r w:rsidRPr="00EF35F3">
        <w:rPr>
          <w:i/>
        </w:rPr>
        <w:t xml:space="preserve">Journal of Pediatric Gastroenterology and Nutrition </w:t>
      </w:r>
      <w:r w:rsidRPr="00EF35F3">
        <w:t>2019;</w:t>
      </w:r>
      <w:r w:rsidRPr="00EF35F3">
        <w:rPr>
          <w:b/>
        </w:rPr>
        <w:t>130</w:t>
      </w:r>
      <w:r w:rsidRPr="00EF35F3">
        <w:t>:167.</w:t>
      </w:r>
    </w:p>
    <w:p w14:paraId="00AAFF39" w14:textId="1A3EE77A" w:rsidR="00EF35F3" w:rsidRPr="00EF35F3" w:rsidRDefault="00EF35F3" w:rsidP="00EF35F3">
      <w:pPr>
        <w:pStyle w:val="EndNoteBibliography"/>
        <w:spacing w:after="0"/>
      </w:pPr>
      <w:r w:rsidRPr="00EF35F3">
        <w:t>130.</w:t>
      </w:r>
      <w:r w:rsidRPr="00EF35F3">
        <w:tab/>
        <w:t>Kutty JS, McDermott M, O'Sullivan M, Quinn S, Broderick A, Bourke B</w:t>
      </w:r>
      <w:r w:rsidRPr="00EF35F3">
        <w:rPr>
          <w:i/>
        </w:rPr>
        <w:t>, et al.</w:t>
      </w:r>
      <w:r w:rsidRPr="00EF35F3">
        <w:t xml:space="preserve"> Coeliac serology testing in Irish children-a substitute for biopsy? </w:t>
      </w:r>
      <w:r w:rsidRPr="00EF35F3">
        <w:rPr>
          <w:i/>
        </w:rPr>
        <w:t>Archives of Disease in Childhood</w:t>
      </w:r>
      <w:r w:rsidRPr="00EF35F3">
        <w:t xml:space="preserve"> 2014;</w:t>
      </w:r>
      <w:r w:rsidRPr="00EF35F3">
        <w:rPr>
          <w:b/>
        </w:rPr>
        <w:t>99</w:t>
      </w:r>
      <w:r w:rsidRPr="00EF35F3">
        <w:t xml:space="preserve">:A3-A4. </w:t>
      </w:r>
      <w:hyperlink r:id="rId142" w:history="1">
        <w:r w:rsidRPr="00EF35F3">
          <w:rPr>
            <w:rStyle w:val="Hyperlink"/>
          </w:rPr>
          <w:t>https://doi.org/http://dx.doi.org/10.1136/archdischild-2014-306237.7</w:t>
        </w:r>
      </w:hyperlink>
    </w:p>
    <w:p w14:paraId="3AEF432C" w14:textId="7E145581" w:rsidR="00EF35F3" w:rsidRPr="00EF35F3" w:rsidRDefault="00EF35F3" w:rsidP="00EF35F3">
      <w:pPr>
        <w:pStyle w:val="EndNoteBibliography"/>
        <w:spacing w:after="0"/>
      </w:pPr>
      <w:r w:rsidRPr="00EF35F3">
        <w:t>131.</w:t>
      </w:r>
      <w:r w:rsidRPr="00EF35F3">
        <w:tab/>
        <w:t xml:space="preserve">Mubarak A, Gmelig-Meyling F, Wolters V, Ten Kate F, Houwen R. Immunoglobulin G antibodies against deamidated-gliadin-peptides outperform anti-endomysium and tissue transglutaminase antibodies in children &lt;2 years age. </w:t>
      </w:r>
      <w:r w:rsidRPr="00EF35F3">
        <w:rPr>
          <w:i/>
        </w:rPr>
        <w:t>APMIS</w:t>
      </w:r>
      <w:r w:rsidRPr="00EF35F3">
        <w:t xml:space="preserve"> 2011;</w:t>
      </w:r>
      <w:r w:rsidRPr="00EF35F3">
        <w:rPr>
          <w:b/>
        </w:rPr>
        <w:t>119</w:t>
      </w:r>
      <w:r w:rsidRPr="00EF35F3">
        <w:t xml:space="preserve">:894-900. </w:t>
      </w:r>
      <w:hyperlink r:id="rId143" w:history="1">
        <w:r w:rsidRPr="00EF35F3">
          <w:rPr>
            <w:rStyle w:val="Hyperlink"/>
          </w:rPr>
          <w:t>https://doi.org/http://dx.doi.org/10.1111/j.1600-0463.2011.02817.x</w:t>
        </w:r>
      </w:hyperlink>
    </w:p>
    <w:p w14:paraId="4E9F03E2" w14:textId="4DB61C94" w:rsidR="00EF35F3" w:rsidRPr="00EF35F3" w:rsidRDefault="00EF35F3" w:rsidP="00EF35F3">
      <w:pPr>
        <w:pStyle w:val="EndNoteBibliography"/>
        <w:spacing w:after="0"/>
      </w:pPr>
      <w:r w:rsidRPr="00EF35F3">
        <w:t>132.</w:t>
      </w:r>
      <w:r w:rsidRPr="00EF35F3">
        <w:tab/>
        <w:t xml:space="preserve">Kabatova J, Hust'ak R, Blazickova S, Bosak V. Evaluation and applicability of nonbiopsy criteria in children and adolescents according to espghan for diagnosis of celiac disease. </w:t>
      </w:r>
      <w:r w:rsidRPr="00EF35F3">
        <w:rPr>
          <w:i/>
        </w:rPr>
        <w:t>Gastroenterologie a Hepatologie</w:t>
      </w:r>
      <w:r w:rsidRPr="00EF35F3">
        <w:t xml:space="preserve"> 2017;</w:t>
      </w:r>
      <w:r w:rsidRPr="00EF35F3">
        <w:rPr>
          <w:b/>
        </w:rPr>
        <w:t>71</w:t>
      </w:r>
      <w:r w:rsidRPr="00EF35F3">
        <w:t xml:space="preserve">:469-75. </w:t>
      </w:r>
      <w:hyperlink r:id="rId144" w:history="1">
        <w:r w:rsidRPr="00EF35F3">
          <w:rPr>
            <w:rStyle w:val="Hyperlink"/>
          </w:rPr>
          <w:t>https://doi.org/http://dx.doi.org/10.14735/amgh2017csgh.info07</w:t>
        </w:r>
      </w:hyperlink>
    </w:p>
    <w:p w14:paraId="35FFABC6" w14:textId="77777777" w:rsidR="00EF35F3" w:rsidRPr="00EF35F3" w:rsidRDefault="00EF35F3" w:rsidP="00EF35F3">
      <w:pPr>
        <w:pStyle w:val="EndNoteBibliography"/>
        <w:spacing w:after="0"/>
      </w:pPr>
      <w:r w:rsidRPr="00EF35F3">
        <w:t>133.</w:t>
      </w:r>
      <w:r w:rsidRPr="00EF35F3">
        <w:tab/>
        <w:t>Iwańczak F, Iwanczak B, Matusiewicz K, Mowszet K. Assessment of serum antibodies against gliadin, endomysium and tissue transglutaminase in diagnosis of celiac disease in children. 2003;</w:t>
      </w:r>
      <w:r w:rsidRPr="00EF35F3">
        <w:rPr>
          <w:b/>
        </w:rPr>
        <w:t>10</w:t>
      </w:r>
      <w:r w:rsidRPr="00EF35F3">
        <w:t>:323-8.</w:t>
      </w:r>
    </w:p>
    <w:p w14:paraId="6F3A08D9" w14:textId="630AD684" w:rsidR="00EF35F3" w:rsidRPr="00EF35F3" w:rsidRDefault="00EF35F3" w:rsidP="00EF35F3">
      <w:pPr>
        <w:pStyle w:val="EndNoteBibliography"/>
        <w:spacing w:after="0"/>
      </w:pPr>
      <w:r w:rsidRPr="00EF35F3">
        <w:t>134.</w:t>
      </w:r>
      <w:r w:rsidRPr="00EF35F3">
        <w:tab/>
        <w:t xml:space="preserve">Jora R, Raghuvanshi V, Payal V, Sharma P, Vishnoi SK. Correlation of Tissue Transglutaminase with Modified Marsh Grading in Celiac Disease: A Prospective Cohort Study. </w:t>
      </w:r>
      <w:r w:rsidRPr="00EF35F3">
        <w:rPr>
          <w:i/>
        </w:rPr>
        <w:t>Indian Journal of Pediatrics</w:t>
      </w:r>
      <w:r w:rsidRPr="00EF35F3">
        <w:t xml:space="preserve"> 2017;</w:t>
      </w:r>
      <w:r w:rsidRPr="00EF35F3">
        <w:rPr>
          <w:b/>
        </w:rPr>
        <w:t>84</w:t>
      </w:r>
      <w:r w:rsidRPr="00EF35F3">
        <w:t xml:space="preserve">:515-20. </w:t>
      </w:r>
      <w:hyperlink r:id="rId145" w:history="1">
        <w:r w:rsidRPr="00EF35F3">
          <w:rPr>
            <w:rStyle w:val="Hyperlink"/>
          </w:rPr>
          <w:t>https://doi.org/http://dx.doi.org/10.1007/s12098-017-2323-3</w:t>
        </w:r>
      </w:hyperlink>
    </w:p>
    <w:p w14:paraId="23E01288" w14:textId="136C178A" w:rsidR="00EF35F3" w:rsidRPr="00EF35F3" w:rsidRDefault="00EF35F3" w:rsidP="00EF35F3">
      <w:pPr>
        <w:pStyle w:val="EndNoteBibliography"/>
        <w:spacing w:after="0"/>
      </w:pPr>
      <w:r w:rsidRPr="00EF35F3">
        <w:t>135.</w:t>
      </w:r>
      <w:r w:rsidRPr="00EF35F3">
        <w:tab/>
        <w:t xml:space="preserve">Hollen E, Farneback M, Forslund T, Magnusson K-E, Sundqvist T, Falth-Magnusson K. Evaluation of Multiple Diagnostic Indicators in Comparison to the Intestinal Biopsy as the Golden Standard in Diagnosing Celiac Disease in Children. </w:t>
      </w:r>
      <w:r w:rsidRPr="00EF35F3">
        <w:rPr>
          <w:i/>
        </w:rPr>
        <w:t>Medical sciences (Basel, Switzerland)</w:t>
      </w:r>
      <w:r w:rsidRPr="00EF35F3">
        <w:t xml:space="preserve"> 2016;</w:t>
      </w:r>
      <w:r w:rsidRPr="00EF35F3">
        <w:rPr>
          <w:b/>
        </w:rPr>
        <w:t>4</w:t>
      </w:r>
      <w:r w:rsidRPr="00EF35F3">
        <w:t xml:space="preserve">. </w:t>
      </w:r>
      <w:hyperlink r:id="rId146" w:history="1">
        <w:r w:rsidRPr="00EF35F3">
          <w:rPr>
            <w:rStyle w:val="Hyperlink"/>
          </w:rPr>
          <w:t>https://doi.org/https://dx.doi.org/10.3390/medsci4040020</w:t>
        </w:r>
      </w:hyperlink>
    </w:p>
    <w:p w14:paraId="69CA2643" w14:textId="2518E30B" w:rsidR="00EF35F3" w:rsidRPr="00C34531" w:rsidRDefault="00EF35F3" w:rsidP="00EF35F3">
      <w:pPr>
        <w:pStyle w:val="EndNoteBibliography"/>
        <w:spacing w:after="0"/>
        <w:rPr>
          <w:lang w:val="fr-FR"/>
        </w:rPr>
      </w:pPr>
      <w:r w:rsidRPr="00EF35F3">
        <w:t>136.</w:t>
      </w:r>
      <w:r w:rsidRPr="00EF35F3">
        <w:tab/>
        <w:t xml:space="preserve">Hojsak I, Mozer-Glassberg Y, Segal Gilboa N, Weinberger R, Hartman C, Shamir R. Celiac Disease Screening Assays for Children Younger than 3 Years of Age: The Performance of Three Serological Tests. </w:t>
      </w:r>
      <w:r w:rsidRPr="00C34531">
        <w:rPr>
          <w:i/>
          <w:lang w:val="fr-FR"/>
        </w:rPr>
        <w:t>Digestive Diseases and Sciences</w:t>
      </w:r>
      <w:r w:rsidRPr="00C34531">
        <w:rPr>
          <w:lang w:val="fr-FR"/>
        </w:rPr>
        <w:t xml:space="preserve"> 2012;</w:t>
      </w:r>
      <w:r w:rsidRPr="00C34531">
        <w:rPr>
          <w:b/>
          <w:lang w:val="fr-FR"/>
        </w:rPr>
        <w:t>57</w:t>
      </w:r>
      <w:r w:rsidRPr="00C34531">
        <w:rPr>
          <w:lang w:val="fr-FR"/>
        </w:rPr>
        <w:t xml:space="preserve">:127-32. </w:t>
      </w:r>
      <w:hyperlink r:id="rId147" w:history="1">
        <w:r w:rsidRPr="00C34531">
          <w:rPr>
            <w:rStyle w:val="Hyperlink"/>
            <w:lang w:val="fr-FR"/>
          </w:rPr>
          <w:t>https://doi.org/10.1007/s10620-011-1857-x</w:t>
        </w:r>
      </w:hyperlink>
    </w:p>
    <w:p w14:paraId="7B5183A5" w14:textId="77777777" w:rsidR="00EF35F3" w:rsidRPr="00EF35F3" w:rsidRDefault="00EF35F3" w:rsidP="00EF35F3">
      <w:pPr>
        <w:pStyle w:val="EndNoteBibliography"/>
        <w:spacing w:after="0"/>
      </w:pPr>
      <w:r w:rsidRPr="00C34531">
        <w:rPr>
          <w:lang w:val="fr-FR"/>
        </w:rPr>
        <w:t>137.</w:t>
      </w:r>
      <w:r w:rsidRPr="00C34531">
        <w:rPr>
          <w:lang w:val="fr-FR"/>
        </w:rPr>
        <w:tab/>
        <w:t xml:space="preserve">Clouzeau H, Taupin JL, Le Bail B, et al. </w:t>
      </w:r>
      <w:r w:rsidRPr="00EF35F3">
        <w:t xml:space="preserve">Diagnostic value of HLA DQ2/DQ8 and antitransglutaminase antibodies for the diagnosis of coeliac disease: Is jejunal biopsy still mandatory? </w:t>
      </w:r>
      <w:r w:rsidRPr="00EF35F3">
        <w:rPr>
          <w:i/>
        </w:rPr>
        <w:t>Journal of Pediatric Gastroenterology and Nutrition</w:t>
      </w:r>
      <w:r w:rsidRPr="00EF35F3">
        <w:t xml:space="preserve"> 2007;</w:t>
      </w:r>
      <w:r w:rsidRPr="00EF35F3">
        <w:rPr>
          <w:b/>
        </w:rPr>
        <w:t>44</w:t>
      </w:r>
      <w:r w:rsidRPr="00EF35F3">
        <w:t>:e63.</w:t>
      </w:r>
    </w:p>
    <w:p w14:paraId="4A0946F9" w14:textId="763C048F" w:rsidR="00EF35F3" w:rsidRPr="00EF35F3" w:rsidRDefault="00EF35F3" w:rsidP="00EF35F3">
      <w:pPr>
        <w:pStyle w:val="EndNoteBibliography"/>
        <w:spacing w:after="0"/>
      </w:pPr>
      <w:r w:rsidRPr="00EF35F3">
        <w:t>138.</w:t>
      </w:r>
      <w:r w:rsidRPr="00EF35F3">
        <w:tab/>
        <w:t xml:space="preserve">Dahlbom I, Nyberg B-I, Berntson L, Hansson T. Simultaneous detection of IgA and IgG antibodies against tissue transglutaminase: The preferred pre-biopsy test in childhood celiac disease. </w:t>
      </w:r>
      <w:r w:rsidRPr="00EF35F3">
        <w:rPr>
          <w:i/>
        </w:rPr>
        <w:t>Scandinavian journal of clinical and laboratory investigation</w:t>
      </w:r>
      <w:r w:rsidRPr="00EF35F3">
        <w:t xml:space="preserve"> 2016;</w:t>
      </w:r>
      <w:r w:rsidRPr="00EF35F3">
        <w:rPr>
          <w:b/>
        </w:rPr>
        <w:t>76</w:t>
      </w:r>
      <w:r w:rsidRPr="00EF35F3">
        <w:t xml:space="preserve">:208-16. </w:t>
      </w:r>
      <w:hyperlink r:id="rId148" w:history="1">
        <w:r w:rsidRPr="00EF35F3">
          <w:rPr>
            <w:rStyle w:val="Hyperlink"/>
          </w:rPr>
          <w:t>https://doi.org/https://dx.doi.org/10.3109/00365513.2015.1137348</w:t>
        </w:r>
      </w:hyperlink>
    </w:p>
    <w:p w14:paraId="6C03B0EB" w14:textId="5686A0A5" w:rsidR="00EF35F3" w:rsidRPr="00EF35F3" w:rsidRDefault="00EF35F3" w:rsidP="00EF35F3">
      <w:pPr>
        <w:pStyle w:val="EndNoteBibliography"/>
        <w:spacing w:after="0"/>
      </w:pPr>
      <w:r w:rsidRPr="00EF35F3">
        <w:lastRenderedPageBreak/>
        <w:t>139.</w:t>
      </w:r>
      <w:r w:rsidRPr="00EF35F3">
        <w:tab/>
        <w:t>Diamanti A, Colistro F, Calce A, Devito R, Ferretti F, Minozzi A</w:t>
      </w:r>
      <w:r w:rsidRPr="00EF35F3">
        <w:rPr>
          <w:i/>
        </w:rPr>
        <w:t>, et al.</w:t>
      </w:r>
      <w:r w:rsidRPr="00EF35F3">
        <w:t xml:space="preserve"> Clinical value of immunoglobulin A antitransglutaminase assay in the diagnosis of celiac disease. </w:t>
      </w:r>
      <w:r w:rsidRPr="00EF35F3">
        <w:rPr>
          <w:i/>
        </w:rPr>
        <w:t>Pediatrics</w:t>
      </w:r>
      <w:r w:rsidRPr="00EF35F3">
        <w:t xml:space="preserve"> 2006;</w:t>
      </w:r>
      <w:r w:rsidRPr="00EF35F3">
        <w:rPr>
          <w:b/>
        </w:rPr>
        <w:t>118</w:t>
      </w:r>
      <w:r w:rsidRPr="00EF35F3">
        <w:t xml:space="preserve">:e1696-e700. </w:t>
      </w:r>
      <w:hyperlink r:id="rId149" w:history="1">
        <w:r w:rsidRPr="00EF35F3">
          <w:rPr>
            <w:rStyle w:val="Hyperlink"/>
          </w:rPr>
          <w:t>https://doi.org/http://dx.doi.org/10.1542/peds.2006-0604</w:t>
        </w:r>
      </w:hyperlink>
    </w:p>
    <w:p w14:paraId="3F524F1B" w14:textId="1AFAACB8" w:rsidR="00EF35F3" w:rsidRPr="00EF35F3" w:rsidRDefault="00EF35F3" w:rsidP="00EF35F3">
      <w:pPr>
        <w:pStyle w:val="EndNoteBibliography"/>
        <w:spacing w:after="0"/>
      </w:pPr>
      <w:r w:rsidRPr="00EF35F3">
        <w:t>140.</w:t>
      </w:r>
      <w:r w:rsidRPr="00EF35F3">
        <w:tab/>
        <w:t>Donaldson MR, Firth SD, Wimpee H, Leiferman KM, Zone JJ, Horsley W</w:t>
      </w:r>
      <w:r w:rsidRPr="00EF35F3">
        <w:rPr>
          <w:i/>
        </w:rPr>
        <w:t>, et al.</w:t>
      </w:r>
      <w:r w:rsidRPr="00EF35F3">
        <w:t xml:space="preserve"> Correlation of Duodenal Histology With Tissue Transglutaminase and Endomysial Antibody Levels in Pediatric Celiac Disease. </w:t>
      </w:r>
      <w:r w:rsidRPr="00EF35F3">
        <w:rPr>
          <w:i/>
        </w:rPr>
        <w:t>Clinical Gastroenterology and Hepatology</w:t>
      </w:r>
      <w:r w:rsidRPr="00EF35F3">
        <w:t xml:space="preserve"> 2007;</w:t>
      </w:r>
      <w:r w:rsidRPr="00EF35F3">
        <w:rPr>
          <w:b/>
        </w:rPr>
        <w:t>5</w:t>
      </w:r>
      <w:r w:rsidRPr="00EF35F3">
        <w:t xml:space="preserve">:567-73. </w:t>
      </w:r>
      <w:hyperlink r:id="rId150" w:history="1">
        <w:r w:rsidRPr="00EF35F3">
          <w:rPr>
            <w:rStyle w:val="Hyperlink"/>
          </w:rPr>
          <w:t>https://doi.org/http://dx.doi.org/10.1016/j.cgh.2007.01.003</w:t>
        </w:r>
      </w:hyperlink>
    </w:p>
    <w:p w14:paraId="7CD39816" w14:textId="27A7BC79" w:rsidR="00EF35F3" w:rsidRPr="00EF35F3" w:rsidRDefault="00EF35F3" w:rsidP="00EF35F3">
      <w:pPr>
        <w:pStyle w:val="EndNoteBibliography"/>
        <w:spacing w:after="0"/>
      </w:pPr>
      <w:r w:rsidRPr="00EF35F3">
        <w:t>141.</w:t>
      </w:r>
      <w:r w:rsidRPr="00EF35F3">
        <w:tab/>
        <w:t xml:space="preserve">Gidrewicz D, Potter K, Trevenen CL, Lyon M, Butzner JD. Evaluation of the ESPGHAN celiac guidelines in a North American pediatric population. </w:t>
      </w:r>
      <w:r w:rsidRPr="00EF35F3">
        <w:rPr>
          <w:i/>
        </w:rPr>
        <w:t>American Journal of Gastroenterology</w:t>
      </w:r>
      <w:r w:rsidRPr="00EF35F3">
        <w:t xml:space="preserve"> 2015;</w:t>
      </w:r>
      <w:r w:rsidRPr="00EF35F3">
        <w:rPr>
          <w:b/>
        </w:rPr>
        <w:t>110</w:t>
      </w:r>
      <w:r w:rsidRPr="00EF35F3">
        <w:t xml:space="preserve">:760-7. </w:t>
      </w:r>
      <w:hyperlink r:id="rId151" w:history="1">
        <w:r w:rsidRPr="00EF35F3">
          <w:rPr>
            <w:rStyle w:val="Hyperlink"/>
          </w:rPr>
          <w:t>https://doi.org/http://dx.doi.org/10.1038/ajg.2015.87</w:t>
        </w:r>
      </w:hyperlink>
    </w:p>
    <w:p w14:paraId="1BA38B76" w14:textId="77777777" w:rsidR="00EF35F3" w:rsidRPr="00EF35F3" w:rsidRDefault="00EF35F3" w:rsidP="00EF35F3">
      <w:pPr>
        <w:pStyle w:val="EndNoteBibliography"/>
        <w:spacing w:after="0"/>
      </w:pPr>
      <w:r w:rsidRPr="00EF35F3">
        <w:t>142.</w:t>
      </w:r>
      <w:r w:rsidRPr="00EF35F3">
        <w:tab/>
        <w:t xml:space="preserve">Hashmi MA, Hussain T, Masood N, Younas M, Asghar RM, Shafi MS. Accuracy of anti-tissue transglutaminase IgA antibody in the diagnosis of paediatric celiac disease. </w:t>
      </w:r>
      <w:r w:rsidRPr="00EF35F3">
        <w:rPr>
          <w:i/>
        </w:rPr>
        <w:t>Journal of the College of Physicians and Surgeons Pakistan</w:t>
      </w:r>
      <w:r w:rsidRPr="00EF35F3">
        <w:t xml:space="preserve"> 2016;</w:t>
      </w:r>
      <w:r w:rsidRPr="00EF35F3">
        <w:rPr>
          <w:b/>
        </w:rPr>
        <w:t>26</w:t>
      </w:r>
      <w:r w:rsidRPr="00EF35F3">
        <w:t>:263-6.</w:t>
      </w:r>
    </w:p>
    <w:p w14:paraId="5D56607E" w14:textId="4F844D2B" w:rsidR="00EF35F3" w:rsidRPr="00EF35F3" w:rsidRDefault="00EF35F3" w:rsidP="00EF35F3">
      <w:pPr>
        <w:pStyle w:val="EndNoteBibliography"/>
        <w:spacing w:after="0"/>
      </w:pPr>
      <w:r w:rsidRPr="00EF35F3">
        <w:t>143.</w:t>
      </w:r>
      <w:r w:rsidRPr="00EF35F3">
        <w:tab/>
        <w:t>Bozzato D, Rossi E, Pelloso M, Guariso G, Moz S, Padoan A</w:t>
      </w:r>
      <w:r w:rsidRPr="00EF35F3">
        <w:rPr>
          <w:i/>
        </w:rPr>
        <w:t>, et al.</w:t>
      </w:r>
      <w:r w:rsidRPr="00EF35F3">
        <w:t xml:space="preserve"> Aeskulisa and H-TTG/DGP screen for celiac disease diagnosis. </w:t>
      </w:r>
      <w:r w:rsidRPr="00EF35F3">
        <w:rPr>
          <w:i/>
        </w:rPr>
        <w:t>Clinical Chemistry and Laboratory Medicine</w:t>
      </w:r>
      <w:r w:rsidRPr="00EF35F3">
        <w:t xml:space="preserve"> 2011;</w:t>
      </w:r>
      <w:r w:rsidRPr="00EF35F3">
        <w:rPr>
          <w:b/>
        </w:rPr>
        <w:t>49</w:t>
      </w:r>
      <w:r w:rsidRPr="00EF35F3">
        <w:t xml:space="preserve">:S596. </w:t>
      </w:r>
      <w:hyperlink r:id="rId152" w:history="1">
        <w:r w:rsidRPr="00EF35F3">
          <w:rPr>
            <w:rStyle w:val="Hyperlink"/>
          </w:rPr>
          <w:t>https://doi.org/http://dx.doi.org/10.1515/CCLM.2011.518</w:t>
        </w:r>
      </w:hyperlink>
    </w:p>
    <w:p w14:paraId="139D19A3" w14:textId="77777777" w:rsidR="00EF35F3" w:rsidRPr="00EF35F3" w:rsidRDefault="00EF35F3" w:rsidP="00EF35F3">
      <w:pPr>
        <w:pStyle w:val="EndNoteBibliography"/>
        <w:spacing w:after="0"/>
      </w:pPr>
      <w:r w:rsidRPr="00EF35F3">
        <w:t>144.</w:t>
      </w:r>
      <w:r w:rsidRPr="00EF35F3">
        <w:tab/>
        <w:t xml:space="preserve">Chan AW, Butzner JD, McKenna R, Fritzler MJ. Tissue transglutaminase enzyme-linked immunosorbent assay as a screening test for celiac disease in pediatric patients. </w:t>
      </w:r>
      <w:r w:rsidRPr="00EF35F3">
        <w:rPr>
          <w:i/>
        </w:rPr>
        <w:t>Pediatrics</w:t>
      </w:r>
      <w:r w:rsidRPr="00EF35F3">
        <w:t xml:space="preserve"> 2001;</w:t>
      </w:r>
      <w:r w:rsidRPr="00EF35F3">
        <w:rPr>
          <w:b/>
        </w:rPr>
        <w:t>107</w:t>
      </w:r>
      <w:r w:rsidRPr="00EF35F3">
        <w:t>:E8.</w:t>
      </w:r>
    </w:p>
    <w:p w14:paraId="08FAC83B" w14:textId="0FD48EF0" w:rsidR="00EF35F3" w:rsidRPr="00EF35F3" w:rsidRDefault="00EF35F3" w:rsidP="00EF35F3">
      <w:pPr>
        <w:pStyle w:val="EndNoteBibliography"/>
        <w:spacing w:after="0"/>
      </w:pPr>
      <w:r w:rsidRPr="00EF35F3">
        <w:t>145.</w:t>
      </w:r>
      <w:r w:rsidRPr="00EF35F3">
        <w:tab/>
        <w:t>Bishop J, Reed P, Austin P, Hurst M, Ameratunga R, Craigie A</w:t>
      </w:r>
      <w:r w:rsidRPr="00EF35F3">
        <w:rPr>
          <w:i/>
        </w:rPr>
        <w:t>, et al.</w:t>
      </w:r>
      <w:r w:rsidRPr="00EF35F3">
        <w:t xml:space="preserve"> Prospective evaluation of the ESPGHAN guidelines for diagnosis of celiac disease in New Zealand children. </w:t>
      </w:r>
      <w:r w:rsidRPr="00EF35F3">
        <w:rPr>
          <w:i/>
        </w:rPr>
        <w:t>Journal of Pediatric Gastroenterology and Nutrition</w:t>
      </w:r>
      <w:r w:rsidRPr="00EF35F3">
        <w:t xml:space="preserve"> 2018;</w:t>
      </w:r>
      <w:r w:rsidRPr="00EF35F3">
        <w:rPr>
          <w:b/>
        </w:rPr>
        <w:t>67</w:t>
      </w:r>
      <w:r w:rsidRPr="00EF35F3">
        <w:t xml:space="preserve">:749-54. </w:t>
      </w:r>
      <w:hyperlink r:id="rId153" w:history="1">
        <w:r w:rsidRPr="00EF35F3">
          <w:rPr>
            <w:rStyle w:val="Hyperlink"/>
          </w:rPr>
          <w:t>https://doi.org/http://dx.doi.org/10.1097/MPG.0000000000002065</w:t>
        </w:r>
      </w:hyperlink>
    </w:p>
    <w:p w14:paraId="5AD9A5A2" w14:textId="715E271C" w:rsidR="00EF35F3" w:rsidRPr="00EF35F3" w:rsidRDefault="00EF35F3" w:rsidP="00EF35F3">
      <w:pPr>
        <w:pStyle w:val="EndNoteBibliography"/>
        <w:spacing w:after="0"/>
      </w:pPr>
      <w:r w:rsidRPr="00EF35F3">
        <w:t>146.</w:t>
      </w:r>
      <w:r w:rsidRPr="00EF35F3">
        <w:tab/>
        <w:t xml:space="preserve">Barker CC, Mitton C, Jevon G, Mock T. Can tissue transglutaminase antibody titers replace small-bowel biopsy to diagnose celiac disease in select pediatric populations? </w:t>
      </w:r>
      <w:r w:rsidRPr="00EF35F3">
        <w:rPr>
          <w:i/>
        </w:rPr>
        <w:t>Pediatrics</w:t>
      </w:r>
      <w:r w:rsidRPr="00EF35F3">
        <w:t xml:space="preserve"> 2005;</w:t>
      </w:r>
      <w:r w:rsidRPr="00EF35F3">
        <w:rPr>
          <w:b/>
        </w:rPr>
        <w:t>115</w:t>
      </w:r>
      <w:r w:rsidRPr="00EF35F3">
        <w:t xml:space="preserve">:1341-6. </w:t>
      </w:r>
      <w:hyperlink r:id="rId154" w:history="1">
        <w:r w:rsidRPr="00EF35F3">
          <w:rPr>
            <w:rStyle w:val="Hyperlink"/>
          </w:rPr>
          <w:t>https://doi.org/http://dx.doi.org/10.1542/peds.2004-1392</w:t>
        </w:r>
      </w:hyperlink>
    </w:p>
    <w:p w14:paraId="2DFEDEF3" w14:textId="6BC5DF21" w:rsidR="00EF35F3" w:rsidRPr="00EF35F3" w:rsidRDefault="00EF35F3" w:rsidP="00EF35F3">
      <w:pPr>
        <w:pStyle w:val="EndNoteBibliography"/>
        <w:spacing w:after="0"/>
      </w:pPr>
      <w:r w:rsidRPr="00EF35F3">
        <w:t>147.</w:t>
      </w:r>
      <w:r w:rsidRPr="00EF35F3">
        <w:tab/>
        <w:t xml:space="preserve">Basso D, Gallo N, Guariso G, Pittoni M, Piva MG, Plebani M. Role of anti-transglutaminase (anti-tTG), anti-gliadin, and anti-endomysium serum antibodies in diagnosing celiac disease: A comparison of four different commercial kits for anti-tTG determination. </w:t>
      </w:r>
      <w:r w:rsidRPr="00EF35F3">
        <w:rPr>
          <w:i/>
        </w:rPr>
        <w:t>Journal of Clinical Laboratory Analysis</w:t>
      </w:r>
      <w:r w:rsidRPr="00EF35F3">
        <w:t xml:space="preserve"> 2001;</w:t>
      </w:r>
      <w:r w:rsidRPr="00EF35F3">
        <w:rPr>
          <w:b/>
        </w:rPr>
        <w:t>15</w:t>
      </w:r>
      <w:r w:rsidRPr="00EF35F3">
        <w:t xml:space="preserve">:112-5. </w:t>
      </w:r>
      <w:hyperlink r:id="rId155" w:history="1">
        <w:r w:rsidRPr="00EF35F3">
          <w:rPr>
            <w:rStyle w:val="Hyperlink"/>
          </w:rPr>
          <w:t>https://doi.org/http://dx.doi.org/10.1002/jcla.1012</w:t>
        </w:r>
      </w:hyperlink>
    </w:p>
    <w:p w14:paraId="68AE3886" w14:textId="602BF7E4" w:rsidR="00EF35F3" w:rsidRPr="00EF35F3" w:rsidRDefault="00EF35F3" w:rsidP="00EF35F3">
      <w:pPr>
        <w:pStyle w:val="EndNoteBibliography"/>
        <w:spacing w:after="0"/>
      </w:pPr>
      <w:r w:rsidRPr="00EF35F3">
        <w:t>148.</w:t>
      </w:r>
      <w:r w:rsidRPr="00EF35F3">
        <w:tab/>
        <w:t>Alonso M, Saenz M, Echaniz P, Prada A, De Juan MD, Urreta I</w:t>
      </w:r>
      <w:r w:rsidRPr="00EF35F3">
        <w:rPr>
          <w:i/>
        </w:rPr>
        <w:t>, et al.</w:t>
      </w:r>
      <w:r w:rsidRPr="00EF35F3">
        <w:t xml:space="preserve"> Evaluation of intraepithelial duodenal subsets, marsh pathological grades, and anti transglutaminase antibodies in diagnosis of celiac disease in a paediatric population. </w:t>
      </w:r>
      <w:r w:rsidRPr="00EF35F3">
        <w:rPr>
          <w:i/>
        </w:rPr>
        <w:t>European Journal of Immunology</w:t>
      </w:r>
      <w:r w:rsidRPr="00EF35F3">
        <w:t xml:space="preserve"> 2009;</w:t>
      </w:r>
      <w:r w:rsidRPr="00EF35F3">
        <w:rPr>
          <w:b/>
        </w:rPr>
        <w:t>39</w:t>
      </w:r>
      <w:r w:rsidRPr="00EF35F3">
        <w:t xml:space="preserve">:S704. </w:t>
      </w:r>
      <w:hyperlink r:id="rId156" w:history="1">
        <w:r w:rsidRPr="00EF35F3">
          <w:rPr>
            <w:rStyle w:val="Hyperlink"/>
          </w:rPr>
          <w:t>https://doi.org/http://dx.doi.org/10.1002/eji.200990286</w:t>
        </w:r>
      </w:hyperlink>
    </w:p>
    <w:p w14:paraId="7707EEE0" w14:textId="77777777" w:rsidR="00EF35F3" w:rsidRPr="00EF35F3" w:rsidRDefault="00EF35F3" w:rsidP="00EF35F3">
      <w:pPr>
        <w:pStyle w:val="EndNoteBibliography"/>
        <w:spacing w:after="0"/>
      </w:pPr>
      <w:r w:rsidRPr="00EF35F3">
        <w:t>149.</w:t>
      </w:r>
      <w:r w:rsidRPr="00EF35F3">
        <w:tab/>
        <w:t xml:space="preserve">Ali Z, Hagglund K, Lyons A, Sheikh U, Lyons H. Is Small Intestinal Biopsy Always Necessary to Diagnose Celiac Disease in Children?: 1930. </w:t>
      </w:r>
      <w:r w:rsidRPr="00EF35F3">
        <w:rPr>
          <w:i/>
        </w:rPr>
        <w:t>Official journal of the American College of Gastroenterology | ACG</w:t>
      </w:r>
      <w:r w:rsidRPr="00EF35F3">
        <w:t xml:space="preserve"> 2012;</w:t>
      </w:r>
      <w:r w:rsidRPr="00EF35F3">
        <w:rPr>
          <w:b/>
        </w:rPr>
        <w:t>107</w:t>
      </w:r>
      <w:r w:rsidRPr="00EF35F3">
        <w:t>.</w:t>
      </w:r>
    </w:p>
    <w:p w14:paraId="63BA7EC5" w14:textId="19D27B23" w:rsidR="00EF35F3" w:rsidRPr="00EF35F3" w:rsidRDefault="00EF35F3" w:rsidP="00EF35F3">
      <w:pPr>
        <w:pStyle w:val="EndNoteBibliography"/>
        <w:spacing w:after="0"/>
      </w:pPr>
      <w:r w:rsidRPr="00EF35F3">
        <w:t>150.</w:t>
      </w:r>
      <w:r w:rsidRPr="00EF35F3">
        <w:tab/>
        <w:t xml:space="preserve">Aberg AK, Olcen P. Serologic screening for celiac disease in children: a comparison between established assays and tests with deamidated gliadin-derived peptides plus conjugates for both IgA and IgG antibodies. </w:t>
      </w:r>
      <w:r w:rsidRPr="00EF35F3">
        <w:rPr>
          <w:i/>
        </w:rPr>
        <w:t>Apmis</w:t>
      </w:r>
      <w:r w:rsidRPr="00EF35F3">
        <w:t xml:space="preserve"> 2009;</w:t>
      </w:r>
      <w:r w:rsidRPr="00EF35F3">
        <w:rPr>
          <w:b/>
        </w:rPr>
        <w:t>117</w:t>
      </w:r>
      <w:r w:rsidRPr="00EF35F3">
        <w:t xml:space="preserve">:808-13. </w:t>
      </w:r>
      <w:hyperlink r:id="rId157" w:history="1">
        <w:r w:rsidRPr="00EF35F3">
          <w:rPr>
            <w:rStyle w:val="Hyperlink"/>
          </w:rPr>
          <w:t>https://doi.org/10.1111/j.1600-0463.2009.02541.x</w:t>
        </w:r>
      </w:hyperlink>
    </w:p>
    <w:p w14:paraId="627B9083" w14:textId="0253A2A9" w:rsidR="00EF35F3" w:rsidRPr="00EF35F3" w:rsidRDefault="00EF35F3" w:rsidP="00EF35F3">
      <w:pPr>
        <w:pStyle w:val="EndNoteBibliography"/>
        <w:spacing w:after="0"/>
      </w:pPr>
      <w:r w:rsidRPr="00EF35F3">
        <w:t>151.</w:t>
      </w:r>
      <w:r w:rsidRPr="00EF35F3">
        <w:tab/>
        <w:t xml:space="preserve">Abdollahi A, Mehrazma M, Talachian E. The Diagnostic Value of Serum IGG-Antigliadin, IGA Anti-Endomysial and IGA Anti-Tissue Transglutaminase Antibodies for Pediatric Celiac Disease. </w:t>
      </w:r>
      <w:r w:rsidRPr="00EF35F3">
        <w:rPr>
          <w:i/>
        </w:rPr>
        <w:t>Pediatric Research</w:t>
      </w:r>
      <w:r w:rsidRPr="00EF35F3">
        <w:t xml:space="preserve"> 2011;</w:t>
      </w:r>
      <w:r w:rsidRPr="00EF35F3">
        <w:rPr>
          <w:b/>
        </w:rPr>
        <w:t>70</w:t>
      </w:r>
      <w:r w:rsidRPr="00EF35F3">
        <w:t xml:space="preserve">:775-. </w:t>
      </w:r>
      <w:hyperlink r:id="rId158" w:history="1">
        <w:r w:rsidRPr="00EF35F3">
          <w:rPr>
            <w:rStyle w:val="Hyperlink"/>
          </w:rPr>
          <w:t>https://doi.org/10.1038/pr.2011.1000</w:t>
        </w:r>
      </w:hyperlink>
    </w:p>
    <w:p w14:paraId="49A77146" w14:textId="7D505882" w:rsidR="00EF35F3" w:rsidRPr="00C34531" w:rsidRDefault="00EF35F3" w:rsidP="00EF35F3">
      <w:pPr>
        <w:pStyle w:val="EndNoteBibliography"/>
        <w:spacing w:after="0"/>
        <w:rPr>
          <w:lang w:val="it-IT"/>
        </w:rPr>
      </w:pPr>
      <w:r w:rsidRPr="00EF35F3">
        <w:t>152.</w:t>
      </w:r>
      <w:r w:rsidRPr="00EF35F3">
        <w:tab/>
        <w:t xml:space="preserve">Bowron A, Moorghen M, Morgan JE, Osborne JR, Stansbie D, Stone JE. Cost-effective strategy for the serological investigation of coeliac disease. </w:t>
      </w:r>
      <w:r w:rsidRPr="00C34531">
        <w:rPr>
          <w:i/>
          <w:lang w:val="it-IT"/>
        </w:rPr>
        <w:t>Ann Clin Biochem</w:t>
      </w:r>
      <w:r w:rsidRPr="00C34531">
        <w:rPr>
          <w:lang w:val="it-IT"/>
        </w:rPr>
        <w:t xml:space="preserve"> 2000;</w:t>
      </w:r>
      <w:r w:rsidRPr="00C34531">
        <w:rPr>
          <w:b/>
          <w:lang w:val="it-IT"/>
        </w:rPr>
        <w:t>37 ( Pt 4)</w:t>
      </w:r>
      <w:r w:rsidRPr="00C34531">
        <w:rPr>
          <w:lang w:val="it-IT"/>
        </w:rPr>
        <w:t xml:space="preserve">:467-70. </w:t>
      </w:r>
      <w:hyperlink r:id="rId159" w:history="1">
        <w:r w:rsidRPr="00C34531">
          <w:rPr>
            <w:rStyle w:val="Hyperlink"/>
            <w:lang w:val="it-IT"/>
          </w:rPr>
          <w:t>https://doi.org/10.1177/000456320003700406</w:t>
        </w:r>
      </w:hyperlink>
    </w:p>
    <w:p w14:paraId="78C8CBDE" w14:textId="2261288C" w:rsidR="00EF35F3" w:rsidRPr="00EF35F3" w:rsidRDefault="00EF35F3" w:rsidP="00EF35F3">
      <w:pPr>
        <w:pStyle w:val="EndNoteBibliography"/>
        <w:spacing w:after="0"/>
      </w:pPr>
      <w:r w:rsidRPr="00C34531">
        <w:rPr>
          <w:lang w:val="it-IT"/>
        </w:rPr>
        <w:t>153.</w:t>
      </w:r>
      <w:r w:rsidRPr="00C34531">
        <w:rPr>
          <w:lang w:val="it-IT"/>
        </w:rPr>
        <w:tab/>
        <w:t>Corrao G, Corazza GR, Andreani ML, Torchio P, Valentini RA, Galatola G</w:t>
      </w:r>
      <w:r w:rsidRPr="00C34531">
        <w:rPr>
          <w:i/>
          <w:lang w:val="it-IT"/>
        </w:rPr>
        <w:t>, et al.</w:t>
      </w:r>
      <w:r w:rsidRPr="00C34531">
        <w:rPr>
          <w:lang w:val="it-IT"/>
        </w:rPr>
        <w:t xml:space="preserve"> </w:t>
      </w:r>
      <w:r w:rsidRPr="00EF35F3">
        <w:t xml:space="preserve">Serological screening of coeliac disease: choosing the optimal procedure according to various prevalence values. </w:t>
      </w:r>
      <w:r w:rsidRPr="00EF35F3">
        <w:rPr>
          <w:i/>
        </w:rPr>
        <w:t>Gut</w:t>
      </w:r>
      <w:r w:rsidRPr="00EF35F3">
        <w:t xml:space="preserve"> 1994;</w:t>
      </w:r>
      <w:r w:rsidRPr="00EF35F3">
        <w:rPr>
          <w:b/>
        </w:rPr>
        <w:t>35</w:t>
      </w:r>
      <w:r w:rsidRPr="00EF35F3">
        <w:t xml:space="preserve">:771. </w:t>
      </w:r>
      <w:hyperlink r:id="rId160" w:history="1">
        <w:r w:rsidRPr="00EF35F3">
          <w:rPr>
            <w:rStyle w:val="Hyperlink"/>
          </w:rPr>
          <w:t>https://doi.org/10.1136/gut.35.6.771</w:t>
        </w:r>
      </w:hyperlink>
    </w:p>
    <w:p w14:paraId="4504BB01" w14:textId="0ED04DD1" w:rsidR="00EF35F3" w:rsidRPr="00EF35F3" w:rsidRDefault="00EF35F3" w:rsidP="00EF35F3">
      <w:pPr>
        <w:pStyle w:val="EndNoteBibliography"/>
        <w:spacing w:after="0"/>
      </w:pPr>
      <w:r w:rsidRPr="00EF35F3">
        <w:lastRenderedPageBreak/>
        <w:t>154.</w:t>
      </w:r>
      <w:r w:rsidRPr="00EF35F3">
        <w:tab/>
        <w:t xml:space="preserve">Al Saidi SS, Al Harthi SO, Mula-Abed WA. Diagnostic utility of coeliac disease: a descriptive study in a tertiary care hospital, oman. </w:t>
      </w:r>
      <w:r w:rsidRPr="00EF35F3">
        <w:rPr>
          <w:i/>
        </w:rPr>
        <w:t>Oman Med J</w:t>
      </w:r>
      <w:r w:rsidRPr="00EF35F3">
        <w:t xml:space="preserve"> 2013;</w:t>
      </w:r>
      <w:r w:rsidRPr="00EF35F3">
        <w:rPr>
          <w:b/>
        </w:rPr>
        <w:t>28</w:t>
      </w:r>
      <w:r w:rsidRPr="00EF35F3">
        <w:t xml:space="preserve">:232-6. </w:t>
      </w:r>
      <w:hyperlink r:id="rId161" w:history="1">
        <w:r w:rsidRPr="00EF35F3">
          <w:rPr>
            <w:rStyle w:val="Hyperlink"/>
          </w:rPr>
          <w:t>https://doi.org/10.5001/omj.2013.68</w:t>
        </w:r>
      </w:hyperlink>
    </w:p>
    <w:p w14:paraId="5BAC9224" w14:textId="70C93223" w:rsidR="00EF35F3" w:rsidRPr="00EF35F3" w:rsidRDefault="00EF35F3" w:rsidP="00EF35F3">
      <w:pPr>
        <w:pStyle w:val="EndNoteBibliography"/>
        <w:spacing w:after="0"/>
      </w:pPr>
      <w:r w:rsidRPr="00EF35F3">
        <w:t>155.</w:t>
      </w:r>
      <w:r w:rsidRPr="00EF35F3">
        <w:tab/>
        <w:t xml:space="preserve">Atkinson K, Tokmakajian S, Watson W, Gregor J. Evaluation of the endomysial antibody for celiac disease: Operating properties and associated cost implications in clinical practice. </w:t>
      </w:r>
      <w:r w:rsidRPr="00EF35F3">
        <w:rPr>
          <w:i/>
        </w:rPr>
        <w:t>Canadian Journal of Gastroenterology</w:t>
      </w:r>
      <w:r w:rsidRPr="00EF35F3">
        <w:t xml:space="preserve"> 1997;</w:t>
      </w:r>
      <w:r w:rsidRPr="00EF35F3">
        <w:rPr>
          <w:b/>
        </w:rPr>
        <w:t>11</w:t>
      </w:r>
      <w:r w:rsidRPr="00EF35F3">
        <w:t xml:space="preserve">:673-7. </w:t>
      </w:r>
      <w:hyperlink r:id="rId162" w:history="1">
        <w:r w:rsidRPr="00EF35F3">
          <w:rPr>
            <w:rStyle w:val="Hyperlink"/>
          </w:rPr>
          <w:t>https://doi.org/http://dx.doi.org/10.1155/1997/813148</w:t>
        </w:r>
      </w:hyperlink>
    </w:p>
    <w:p w14:paraId="633BADBD" w14:textId="752BF85E" w:rsidR="00EF35F3" w:rsidRPr="00EF35F3" w:rsidRDefault="00EF35F3" w:rsidP="00EF35F3">
      <w:pPr>
        <w:pStyle w:val="EndNoteBibliography"/>
        <w:spacing w:after="0"/>
      </w:pPr>
      <w:r w:rsidRPr="00EF35F3">
        <w:t>156.</w:t>
      </w:r>
      <w:r w:rsidRPr="00EF35F3">
        <w:tab/>
        <w:t xml:space="preserve">Dickey W, McMillan SA, McCrum EE, Evans AE. Association between serum levels of total IgA and IgA class endomysial and antigliadin antibodies: Implications for coeliac disease screening. </w:t>
      </w:r>
      <w:r w:rsidRPr="00EF35F3">
        <w:rPr>
          <w:i/>
        </w:rPr>
        <w:t>European Journal of Gastroenterology and Hepatology</w:t>
      </w:r>
      <w:r w:rsidRPr="00EF35F3">
        <w:t xml:space="preserve"> 1997;</w:t>
      </w:r>
      <w:r w:rsidRPr="00EF35F3">
        <w:rPr>
          <w:b/>
        </w:rPr>
        <w:t>9</w:t>
      </w:r>
      <w:r w:rsidRPr="00EF35F3">
        <w:t xml:space="preserve">:559-62. </w:t>
      </w:r>
      <w:hyperlink r:id="rId163" w:history="1">
        <w:r w:rsidRPr="00EF35F3">
          <w:rPr>
            <w:rStyle w:val="Hyperlink"/>
          </w:rPr>
          <w:t>https://doi.org/http://dx.doi.org/10.1097/00042737-199706000-00002</w:t>
        </w:r>
      </w:hyperlink>
    </w:p>
    <w:p w14:paraId="1D88752B" w14:textId="77777777" w:rsidR="00EF35F3" w:rsidRPr="00EF35F3" w:rsidRDefault="00EF35F3" w:rsidP="00EF35F3">
      <w:pPr>
        <w:pStyle w:val="EndNoteBibliography"/>
        <w:spacing w:after="0"/>
      </w:pPr>
      <w:r w:rsidRPr="00EF35F3">
        <w:t>157.</w:t>
      </w:r>
      <w:r w:rsidRPr="00EF35F3">
        <w:tab/>
        <w:t>Feighery C, Weir DG, Whelan A, Willoughby R, Youngprapakorn S, Lynch S</w:t>
      </w:r>
      <w:r w:rsidRPr="00EF35F3">
        <w:rPr>
          <w:i/>
        </w:rPr>
        <w:t>, et al.</w:t>
      </w:r>
      <w:r w:rsidRPr="00EF35F3">
        <w:t xml:space="preserve"> Diagnosis of gluten-sensitive enteropathy: Is exclusive reliance on histology appropriate? </w:t>
      </w:r>
      <w:r w:rsidRPr="00EF35F3">
        <w:rPr>
          <w:i/>
        </w:rPr>
        <w:t>European Journal of Gastroenterology and Hepatology</w:t>
      </w:r>
      <w:r w:rsidRPr="00EF35F3">
        <w:t xml:space="preserve"> 1998;</w:t>
      </w:r>
      <w:r w:rsidRPr="00EF35F3">
        <w:rPr>
          <w:b/>
        </w:rPr>
        <w:t>10</w:t>
      </w:r>
      <w:r w:rsidRPr="00EF35F3">
        <w:t>:919-25.</w:t>
      </w:r>
    </w:p>
    <w:p w14:paraId="04E7BDA6" w14:textId="77777777" w:rsidR="00EF35F3" w:rsidRPr="00EF35F3" w:rsidRDefault="00EF35F3" w:rsidP="00EF35F3">
      <w:pPr>
        <w:pStyle w:val="EndNoteBibliography"/>
        <w:spacing w:after="0"/>
      </w:pPr>
      <w:r w:rsidRPr="00EF35F3">
        <w:t>158.</w:t>
      </w:r>
      <w:r w:rsidRPr="00EF35F3">
        <w:tab/>
        <w:t>Jarmi V, Cejas N, Kiener O, de Elias R, Balzola S, Cordoba C</w:t>
      </w:r>
      <w:r w:rsidRPr="00EF35F3">
        <w:rPr>
          <w:i/>
        </w:rPr>
        <w:t>, et al.</w:t>
      </w:r>
      <w:r w:rsidRPr="00EF35F3">
        <w:t xml:space="preserve"> Diagnostic accuracy of antibodies to deamidated gliadin peptides. </w:t>
      </w:r>
      <w:r w:rsidRPr="00EF35F3">
        <w:rPr>
          <w:i/>
        </w:rPr>
        <w:t>Acta Bioquimica Clinica Latinoamericana</w:t>
      </w:r>
      <w:r w:rsidRPr="00EF35F3">
        <w:t xml:space="preserve"> 2010;</w:t>
      </w:r>
      <w:r w:rsidRPr="00EF35F3">
        <w:rPr>
          <w:b/>
        </w:rPr>
        <w:t>44</w:t>
      </w:r>
      <w:r w:rsidRPr="00EF35F3">
        <w:t>:47-52.</w:t>
      </w:r>
    </w:p>
    <w:p w14:paraId="2A9A5693" w14:textId="77777777" w:rsidR="00EF35F3" w:rsidRPr="00EF35F3" w:rsidRDefault="00EF35F3" w:rsidP="00EF35F3">
      <w:pPr>
        <w:pStyle w:val="EndNoteBibliography"/>
        <w:spacing w:after="0"/>
      </w:pPr>
      <w:r w:rsidRPr="00EF35F3">
        <w:t>159.</w:t>
      </w:r>
      <w:r w:rsidRPr="00EF35F3">
        <w:tab/>
        <w:t xml:space="preserve">Kotze LM, Utiyama SR, Nisihara RM, de Camargo VF, Ioshii SO. IgA class anti-endomysial and anti-tissue transglutaminase antibodies in relation to duodenal mucosa changes in coeliac disease. </w:t>
      </w:r>
      <w:r w:rsidRPr="00EF35F3">
        <w:rPr>
          <w:i/>
        </w:rPr>
        <w:t>Pathology</w:t>
      </w:r>
      <w:r w:rsidRPr="00EF35F3">
        <w:t xml:space="preserve"> 2003;</w:t>
      </w:r>
      <w:r w:rsidRPr="00EF35F3">
        <w:rPr>
          <w:b/>
        </w:rPr>
        <w:t>35</w:t>
      </w:r>
      <w:r w:rsidRPr="00EF35F3">
        <w:t>:56-60.</w:t>
      </w:r>
    </w:p>
    <w:p w14:paraId="7E1DE911" w14:textId="43B101A7" w:rsidR="00EF35F3" w:rsidRPr="00EF35F3" w:rsidRDefault="00EF35F3" w:rsidP="00EF35F3">
      <w:pPr>
        <w:pStyle w:val="EndNoteBibliography"/>
        <w:spacing w:after="0"/>
      </w:pPr>
      <w:r w:rsidRPr="00EF35F3">
        <w:t>160.</w:t>
      </w:r>
      <w:r w:rsidRPr="00EF35F3">
        <w:tab/>
        <w:t>Lau MS, Mooney PD, Rees MA, White WL, Marks LJ, Hadjivassiliou M</w:t>
      </w:r>
      <w:r w:rsidRPr="00EF35F3">
        <w:rPr>
          <w:i/>
        </w:rPr>
        <w:t>, et al.</w:t>
      </w:r>
      <w:r w:rsidRPr="00EF35F3">
        <w:t xml:space="preserve"> Gluten free diet adherence assessment using CDAT and BIAGI questionnaires in patients with coeliac disease. </w:t>
      </w:r>
      <w:r w:rsidRPr="00EF35F3">
        <w:rPr>
          <w:i/>
        </w:rPr>
        <w:t>Gut</w:t>
      </w:r>
      <w:r w:rsidRPr="00EF35F3">
        <w:t xml:space="preserve"> 2018;</w:t>
      </w:r>
      <w:r w:rsidRPr="00EF35F3">
        <w:rPr>
          <w:b/>
        </w:rPr>
        <w:t>67</w:t>
      </w:r>
      <w:r w:rsidRPr="00EF35F3">
        <w:t xml:space="preserve">:A160-A1. </w:t>
      </w:r>
      <w:hyperlink r:id="rId164" w:history="1">
        <w:r w:rsidRPr="00EF35F3">
          <w:rPr>
            <w:rStyle w:val="Hyperlink"/>
          </w:rPr>
          <w:t>https://doi.org/http://dx.doi.org/10.1136/gutjnl-2018-BSGAbstracts.318</w:t>
        </w:r>
      </w:hyperlink>
    </w:p>
    <w:p w14:paraId="67E52DAF" w14:textId="5AF93E3D" w:rsidR="00EF35F3" w:rsidRPr="00EF35F3" w:rsidRDefault="00EF35F3" w:rsidP="00EF35F3">
      <w:pPr>
        <w:pStyle w:val="EndNoteBibliography"/>
        <w:spacing w:after="0"/>
      </w:pPr>
      <w:r w:rsidRPr="00EF35F3">
        <w:t>161.</w:t>
      </w:r>
      <w:r w:rsidRPr="00EF35F3">
        <w:tab/>
        <w:t xml:space="preserve">McMillan SA, Haughton DJ, Biggart JD, Edgar JD, Porter KG, McNeill TA. Predictive value for coeliac disease of antibodies to gliadin, endomysium, and jejunum in patients attending for jejunal biopsy. </w:t>
      </w:r>
      <w:r w:rsidRPr="00EF35F3">
        <w:rPr>
          <w:i/>
        </w:rPr>
        <w:t>British Medical Journal</w:t>
      </w:r>
      <w:r w:rsidRPr="00EF35F3">
        <w:t xml:space="preserve"> 1991;</w:t>
      </w:r>
      <w:r w:rsidRPr="00EF35F3">
        <w:rPr>
          <w:b/>
        </w:rPr>
        <w:t>303</w:t>
      </w:r>
      <w:r w:rsidRPr="00EF35F3">
        <w:t xml:space="preserve">:1163. </w:t>
      </w:r>
      <w:hyperlink r:id="rId165" w:history="1">
        <w:r w:rsidRPr="00EF35F3">
          <w:rPr>
            <w:rStyle w:val="Hyperlink"/>
          </w:rPr>
          <w:t>https://doi.org/10.1136/bmj.303.6811.1163</w:t>
        </w:r>
      </w:hyperlink>
    </w:p>
    <w:p w14:paraId="7906EBB4" w14:textId="628FFF50" w:rsidR="00EF35F3" w:rsidRPr="00EF35F3" w:rsidRDefault="00EF35F3" w:rsidP="00EF35F3">
      <w:pPr>
        <w:pStyle w:val="EndNoteBibliography"/>
        <w:spacing w:after="0"/>
      </w:pPr>
      <w:r w:rsidRPr="00EF35F3">
        <w:t>162.</w:t>
      </w:r>
      <w:r w:rsidRPr="00EF35F3">
        <w:tab/>
        <w:t>Mooney PD, Kurien M, Evans KE, Chalkiadakis I, Hale MF, Kannan MZ</w:t>
      </w:r>
      <w:r w:rsidRPr="00EF35F3">
        <w:rPr>
          <w:i/>
        </w:rPr>
        <w:t>, et al.</w:t>
      </w:r>
      <w:r w:rsidRPr="00EF35F3">
        <w:t xml:space="preserve"> Point-of-care testing for celiac disease has a low sensitivity in endoscopy. </w:t>
      </w:r>
      <w:r w:rsidRPr="00EF35F3">
        <w:rPr>
          <w:i/>
        </w:rPr>
        <w:t>Gastrointestinal Endoscopy</w:t>
      </w:r>
      <w:r w:rsidRPr="00EF35F3">
        <w:t xml:space="preserve"> 2014;</w:t>
      </w:r>
      <w:r w:rsidRPr="00EF35F3">
        <w:rPr>
          <w:b/>
        </w:rPr>
        <w:t>80</w:t>
      </w:r>
      <w:r w:rsidRPr="00EF35F3">
        <w:t xml:space="preserve">:456-62. </w:t>
      </w:r>
      <w:hyperlink r:id="rId166" w:history="1">
        <w:r w:rsidRPr="00EF35F3">
          <w:rPr>
            <w:rStyle w:val="Hyperlink"/>
          </w:rPr>
          <w:t>https://doi.org/http://dx.doi.org/10.1016/j.gie.2014.02.009</w:t>
        </w:r>
      </w:hyperlink>
    </w:p>
    <w:p w14:paraId="28DA92DF" w14:textId="1FFD9132" w:rsidR="00EF35F3" w:rsidRPr="00EF35F3" w:rsidRDefault="00EF35F3" w:rsidP="00EF35F3">
      <w:pPr>
        <w:pStyle w:val="EndNoteBibliography"/>
        <w:spacing w:after="0"/>
      </w:pPr>
      <w:r w:rsidRPr="00EF35F3">
        <w:t>163.</w:t>
      </w:r>
      <w:r w:rsidRPr="00EF35F3">
        <w:tab/>
        <w:t xml:space="preserve">Valdimarsson T, Franzen L, Grodzinsky E, Skogh T, Ström M. Is small bowel biopsy necessary in adults with suspected celiac disease and IgA anti-endomysium antibodies? </w:t>
      </w:r>
      <w:r w:rsidRPr="00EF35F3">
        <w:rPr>
          <w:i/>
        </w:rPr>
        <w:t>Digestive Diseases and Sciences</w:t>
      </w:r>
      <w:r w:rsidRPr="00EF35F3">
        <w:t xml:space="preserve"> 1996;</w:t>
      </w:r>
      <w:r w:rsidRPr="00EF35F3">
        <w:rPr>
          <w:b/>
        </w:rPr>
        <w:t>41</w:t>
      </w:r>
      <w:r w:rsidRPr="00EF35F3">
        <w:t xml:space="preserve">:83-7. </w:t>
      </w:r>
      <w:hyperlink r:id="rId167" w:history="1">
        <w:r w:rsidRPr="00EF35F3">
          <w:rPr>
            <w:rStyle w:val="Hyperlink"/>
          </w:rPr>
          <w:t>https://doi.org/10.1007/BF02208588</w:t>
        </w:r>
      </w:hyperlink>
    </w:p>
    <w:p w14:paraId="0E9B9DA0" w14:textId="77777777" w:rsidR="00EF35F3" w:rsidRPr="00EF35F3" w:rsidRDefault="00EF35F3" w:rsidP="00EF35F3">
      <w:pPr>
        <w:pStyle w:val="EndNoteBibliography"/>
        <w:spacing w:after="0"/>
      </w:pPr>
      <w:r w:rsidRPr="00EF35F3">
        <w:t>164.</w:t>
      </w:r>
      <w:r w:rsidRPr="00EF35F3">
        <w:tab/>
        <w:t>Vogelsang H, Genser D, Wyatt J, Lochs H, Ferenci P, Granditsch G</w:t>
      </w:r>
      <w:r w:rsidRPr="00EF35F3">
        <w:rPr>
          <w:i/>
        </w:rPr>
        <w:t>, et al.</w:t>
      </w:r>
      <w:r w:rsidRPr="00EF35F3">
        <w:t xml:space="preserve"> Screening for celiac disease: a prospective study on the value of noninvasive tests. </w:t>
      </w:r>
      <w:r w:rsidRPr="00EF35F3">
        <w:rPr>
          <w:i/>
        </w:rPr>
        <w:t>Am J Gastroenterol</w:t>
      </w:r>
      <w:r w:rsidRPr="00EF35F3">
        <w:t xml:space="preserve"> 1995;</w:t>
      </w:r>
      <w:r w:rsidRPr="00EF35F3">
        <w:rPr>
          <w:b/>
        </w:rPr>
        <w:t>90</w:t>
      </w:r>
      <w:r w:rsidRPr="00EF35F3">
        <w:t>:394-8.</w:t>
      </w:r>
    </w:p>
    <w:p w14:paraId="686CE4B8" w14:textId="77777777" w:rsidR="00EF35F3" w:rsidRPr="00EF35F3" w:rsidRDefault="00EF35F3" w:rsidP="00EF35F3">
      <w:pPr>
        <w:pStyle w:val="EndNoteBibliography"/>
        <w:spacing w:after="0"/>
      </w:pPr>
      <w:r w:rsidRPr="00EF35F3">
        <w:t>165.</w:t>
      </w:r>
      <w:r w:rsidRPr="00EF35F3">
        <w:tab/>
        <w:t>Bhatnagar S, Gupta SD, Mathur M, Phillips AD, Kumar R, Knutton S</w:t>
      </w:r>
      <w:r w:rsidRPr="00EF35F3">
        <w:rPr>
          <w:i/>
        </w:rPr>
        <w:t>, et al.</w:t>
      </w:r>
      <w:r w:rsidRPr="00EF35F3">
        <w:t xml:space="preserve"> Celiac Disease with Mild to Moderate Histologic Changes is a Common Cause of Chronic Diarrhea in Indian Children. </w:t>
      </w:r>
      <w:r w:rsidRPr="00EF35F3">
        <w:rPr>
          <w:i/>
        </w:rPr>
        <w:t>Journal of Pediatric Gastroenterology and Nutrition</w:t>
      </w:r>
      <w:r w:rsidRPr="00EF35F3">
        <w:t xml:space="preserve"> 2005;</w:t>
      </w:r>
      <w:r w:rsidRPr="00EF35F3">
        <w:rPr>
          <w:b/>
        </w:rPr>
        <w:t>41</w:t>
      </w:r>
      <w:r w:rsidRPr="00EF35F3">
        <w:t>.</w:t>
      </w:r>
    </w:p>
    <w:p w14:paraId="5EF63B44" w14:textId="77777777" w:rsidR="00EF35F3" w:rsidRPr="00EF35F3" w:rsidRDefault="00EF35F3" w:rsidP="00EF35F3">
      <w:pPr>
        <w:pStyle w:val="EndNoteBibliography"/>
        <w:spacing w:after="0"/>
      </w:pPr>
      <w:r w:rsidRPr="00EF35F3">
        <w:t>166.</w:t>
      </w:r>
      <w:r w:rsidRPr="00EF35F3">
        <w:tab/>
        <w:t xml:space="preserve">Bürgin-Wolff A, Gaze H, Hadziselimovic F, Lentze M, Nusslé D. The diagnostic significance of gliadin and endomysium antibodies in childhood coeliac disease. In: </w:t>
      </w:r>
      <w:r w:rsidRPr="00EF35F3">
        <w:rPr>
          <w:i/>
        </w:rPr>
        <w:t>Inflammatory bowel disease and coeliac disease in children</w:t>
      </w:r>
      <w:r w:rsidRPr="00EF35F3">
        <w:t>: Springer; 1990:177-87.</w:t>
      </w:r>
    </w:p>
    <w:p w14:paraId="60872EE5" w14:textId="77777777" w:rsidR="00EF35F3" w:rsidRPr="00C34531" w:rsidRDefault="00EF35F3" w:rsidP="00EF35F3">
      <w:pPr>
        <w:pStyle w:val="EndNoteBibliography"/>
        <w:spacing w:after="0"/>
        <w:rPr>
          <w:lang w:val="it-IT"/>
        </w:rPr>
      </w:pPr>
      <w:r w:rsidRPr="00C34531">
        <w:rPr>
          <w:lang w:val="it-IT"/>
        </w:rPr>
        <w:t>167.</w:t>
      </w:r>
      <w:r w:rsidRPr="00C34531">
        <w:rPr>
          <w:lang w:val="it-IT"/>
        </w:rPr>
        <w:tab/>
        <w:t>Camarero C, Roldan B, Sebastian M, Barrio A, Alvarez I, Eiras P</w:t>
      </w:r>
      <w:r w:rsidRPr="00C34531">
        <w:rPr>
          <w:i/>
          <w:lang w:val="it-IT"/>
        </w:rPr>
        <w:t>, et al.</w:t>
      </w:r>
      <w:r w:rsidRPr="00C34531">
        <w:rPr>
          <w:lang w:val="it-IT"/>
        </w:rPr>
        <w:t xml:space="preserve"> </w:t>
      </w:r>
      <w:r w:rsidRPr="00EF35F3">
        <w:t xml:space="preserve">Predictive value of antigliadin, antireticulin, and antiendomysium antibodies in the diagnosis of gluten-associated enteropathy. </w:t>
      </w:r>
      <w:r w:rsidRPr="00C34531">
        <w:rPr>
          <w:i/>
          <w:lang w:val="it-IT"/>
        </w:rPr>
        <w:t>Revista Espanola de Pediatria</w:t>
      </w:r>
      <w:r w:rsidRPr="00C34531">
        <w:rPr>
          <w:lang w:val="it-IT"/>
        </w:rPr>
        <w:t xml:space="preserve"> 1997;</w:t>
      </w:r>
      <w:r w:rsidRPr="00C34531">
        <w:rPr>
          <w:b/>
          <w:lang w:val="it-IT"/>
        </w:rPr>
        <w:t>53</w:t>
      </w:r>
      <w:r w:rsidRPr="00C34531">
        <w:rPr>
          <w:lang w:val="it-IT"/>
        </w:rPr>
        <w:t>:309-14.</w:t>
      </w:r>
    </w:p>
    <w:p w14:paraId="72F55F7C" w14:textId="6A88DAB0" w:rsidR="00EF35F3" w:rsidRPr="00EF35F3" w:rsidRDefault="00EF35F3" w:rsidP="00EF35F3">
      <w:pPr>
        <w:pStyle w:val="EndNoteBibliography"/>
        <w:spacing w:after="0"/>
      </w:pPr>
      <w:r w:rsidRPr="00C34531">
        <w:rPr>
          <w:lang w:val="it-IT"/>
        </w:rPr>
        <w:t>168.</w:t>
      </w:r>
      <w:r w:rsidRPr="00C34531">
        <w:rPr>
          <w:lang w:val="it-IT"/>
        </w:rPr>
        <w:tab/>
        <w:t xml:space="preserve">Del Rosario MA, Fitzgerald JF, Chong SK, Croffie JM, Gupta SK. </w:t>
      </w:r>
      <w:r w:rsidRPr="00EF35F3">
        <w:t xml:space="preserve">Further studies of anti-endomysium and anti-gliadin antibodies in patients with suspected celiac disease. </w:t>
      </w:r>
      <w:r w:rsidRPr="00EF35F3">
        <w:rPr>
          <w:i/>
        </w:rPr>
        <w:t>Journal of Pediatric Gastroenterology and Nutrition</w:t>
      </w:r>
      <w:r w:rsidRPr="00EF35F3">
        <w:t xml:space="preserve"> 1998;</w:t>
      </w:r>
      <w:r w:rsidRPr="00EF35F3">
        <w:rPr>
          <w:b/>
        </w:rPr>
        <w:t>27</w:t>
      </w:r>
      <w:r w:rsidRPr="00EF35F3">
        <w:t xml:space="preserve">:191-5. </w:t>
      </w:r>
      <w:hyperlink r:id="rId168" w:history="1">
        <w:r w:rsidRPr="00EF35F3">
          <w:rPr>
            <w:rStyle w:val="Hyperlink"/>
          </w:rPr>
          <w:t>https://doi.org/http://dx.doi.org/10.1097/00005176-199808000-00012</w:t>
        </w:r>
      </w:hyperlink>
    </w:p>
    <w:p w14:paraId="460DB557" w14:textId="4E31FACD" w:rsidR="00EF35F3" w:rsidRPr="00EF35F3" w:rsidRDefault="00EF35F3" w:rsidP="00EF35F3">
      <w:pPr>
        <w:pStyle w:val="EndNoteBibliography"/>
        <w:spacing w:after="0"/>
      </w:pPr>
      <w:r w:rsidRPr="00EF35F3">
        <w:t>169.</w:t>
      </w:r>
      <w:r w:rsidRPr="00EF35F3">
        <w:tab/>
        <w:t>Fernandez E, Riestra S, Rodrigo L, Blanco C, Lopez-Vazquez A, Fuentes D</w:t>
      </w:r>
      <w:r w:rsidRPr="00EF35F3">
        <w:rPr>
          <w:i/>
        </w:rPr>
        <w:t>, et al.</w:t>
      </w:r>
      <w:r w:rsidRPr="00EF35F3">
        <w:t xml:space="preserve"> Comparison of six human anti-transglutaminase ELISA-tests in the diagnosis of celiac disease in the Saharawi population. </w:t>
      </w:r>
      <w:r w:rsidRPr="00EF35F3">
        <w:rPr>
          <w:i/>
        </w:rPr>
        <w:t>World Journal of Gastroenterology</w:t>
      </w:r>
      <w:r w:rsidRPr="00EF35F3">
        <w:t xml:space="preserve"> 2005;</w:t>
      </w:r>
      <w:r w:rsidRPr="00EF35F3">
        <w:rPr>
          <w:b/>
        </w:rPr>
        <w:t>11</w:t>
      </w:r>
      <w:r w:rsidRPr="00EF35F3">
        <w:t xml:space="preserve">:3762-6. </w:t>
      </w:r>
      <w:hyperlink r:id="rId169" w:history="1">
        <w:r w:rsidRPr="00EF35F3">
          <w:rPr>
            <w:rStyle w:val="Hyperlink"/>
          </w:rPr>
          <w:t>https://doi.org/http://dx.doi.org/10.3748/wjg.v11.i24.3762</w:t>
        </w:r>
      </w:hyperlink>
    </w:p>
    <w:p w14:paraId="68ECF17D" w14:textId="77777777" w:rsidR="00EF35F3" w:rsidRPr="00EF35F3" w:rsidRDefault="00EF35F3" w:rsidP="00EF35F3">
      <w:pPr>
        <w:pStyle w:val="EndNoteBibliography"/>
        <w:spacing w:after="0"/>
      </w:pPr>
      <w:r w:rsidRPr="00EF35F3">
        <w:lastRenderedPageBreak/>
        <w:t>170.</w:t>
      </w:r>
      <w:r w:rsidRPr="00EF35F3">
        <w:tab/>
        <w:t xml:space="preserve">Gandolfi L, Catassi C, Garcia S, Modelli IC, Campos D, Jr., Pratesi R. Antiendomysial antibody test reliability in children with frequent diarrhea and malnutrition: is it celiac disease? </w:t>
      </w:r>
      <w:r w:rsidRPr="00EF35F3">
        <w:rPr>
          <w:i/>
        </w:rPr>
        <w:t>Journal of pediatric gastroenterology and nutrition</w:t>
      </w:r>
      <w:r w:rsidRPr="00EF35F3">
        <w:t xml:space="preserve"> 2001;</w:t>
      </w:r>
      <w:r w:rsidRPr="00EF35F3">
        <w:rPr>
          <w:b/>
        </w:rPr>
        <w:t>33</w:t>
      </w:r>
      <w:r w:rsidRPr="00EF35F3">
        <w:t>:483-7.</w:t>
      </w:r>
    </w:p>
    <w:p w14:paraId="2246EDA1" w14:textId="095E606C" w:rsidR="00EF35F3" w:rsidRPr="00EF35F3" w:rsidRDefault="00EF35F3" w:rsidP="00EF35F3">
      <w:pPr>
        <w:pStyle w:val="EndNoteBibliography"/>
        <w:spacing w:after="0"/>
      </w:pPr>
      <w:r w:rsidRPr="00EF35F3">
        <w:t>171.</w:t>
      </w:r>
      <w:r w:rsidRPr="00EF35F3">
        <w:tab/>
        <w:t xml:space="preserve">Grodzinsky E, Jansson G, Skogh T, Stenhammar L, Falth-Magnusson K. Anti-endomysium and anti-gliadin antibodies as serological markers for coeliac disease in childhood: a clinical study to develop a practical routine. </w:t>
      </w:r>
      <w:r w:rsidRPr="00EF35F3">
        <w:rPr>
          <w:i/>
        </w:rPr>
        <w:t>Acta Paediatrica</w:t>
      </w:r>
      <w:r w:rsidRPr="00EF35F3">
        <w:t xml:space="preserve"> 1995;</w:t>
      </w:r>
      <w:r w:rsidRPr="00EF35F3">
        <w:rPr>
          <w:b/>
        </w:rPr>
        <w:t>84</w:t>
      </w:r>
      <w:r w:rsidRPr="00EF35F3">
        <w:t xml:space="preserve">:294-8. </w:t>
      </w:r>
      <w:hyperlink r:id="rId170" w:history="1">
        <w:r w:rsidRPr="00EF35F3">
          <w:rPr>
            <w:rStyle w:val="Hyperlink"/>
          </w:rPr>
          <w:t>https://doi.org/https://doi.org/10.1111/j.1651-2227.1995.tb13631.x</w:t>
        </w:r>
      </w:hyperlink>
    </w:p>
    <w:p w14:paraId="61700742" w14:textId="2B5C1090" w:rsidR="00EF35F3" w:rsidRPr="00EF35F3" w:rsidRDefault="00EF35F3" w:rsidP="00EF35F3">
      <w:pPr>
        <w:pStyle w:val="EndNoteBibliography"/>
        <w:spacing w:after="0"/>
      </w:pPr>
      <w:r w:rsidRPr="00EF35F3">
        <w:t>172.</w:t>
      </w:r>
      <w:r w:rsidRPr="00EF35F3">
        <w:tab/>
        <w:t xml:space="preserve">Kotze LMD, Utiyama SRD, Nisihara RM, de Camargo VF, Ioshii SO. IgA class anti-endomysial and anti-tissue transglutaminase antibodies in relation to duodenal mucosa changes in coeliac disease. </w:t>
      </w:r>
      <w:r w:rsidRPr="00EF35F3">
        <w:rPr>
          <w:i/>
        </w:rPr>
        <w:t>Pathology</w:t>
      </w:r>
      <w:r w:rsidRPr="00EF35F3">
        <w:t xml:space="preserve"> 2003;</w:t>
      </w:r>
      <w:r w:rsidRPr="00EF35F3">
        <w:rPr>
          <w:b/>
        </w:rPr>
        <w:t>35</w:t>
      </w:r>
      <w:r w:rsidRPr="00EF35F3">
        <w:t xml:space="preserve">:56-60. </w:t>
      </w:r>
      <w:hyperlink r:id="rId171" w:history="1">
        <w:r w:rsidRPr="00EF35F3">
          <w:rPr>
            <w:rStyle w:val="Hyperlink"/>
          </w:rPr>
          <w:t>https://doi.org/10.1080/003130202201479</w:t>
        </w:r>
      </w:hyperlink>
    </w:p>
    <w:p w14:paraId="577C0834" w14:textId="04C6EBB4" w:rsidR="00EF35F3" w:rsidRPr="00EF35F3" w:rsidRDefault="00EF35F3" w:rsidP="00EF35F3">
      <w:pPr>
        <w:pStyle w:val="EndNoteBibliography"/>
        <w:spacing w:after="0"/>
      </w:pPr>
      <w:r w:rsidRPr="00EF35F3">
        <w:t>173.</w:t>
      </w:r>
      <w:r w:rsidRPr="00EF35F3">
        <w:tab/>
        <w:t xml:space="preserve">Lindquist BL, Rogozinski T, Moi H, Danielsson D, Olcen P. Endomysium and Gliadin IgA Antibodies in Children with Coeliac Disease. </w:t>
      </w:r>
      <w:r w:rsidRPr="00EF35F3">
        <w:rPr>
          <w:i/>
        </w:rPr>
        <w:t>Scandinavian Journal of Gastroenterology</w:t>
      </w:r>
      <w:r w:rsidRPr="00EF35F3">
        <w:t xml:space="preserve"> 1994;</w:t>
      </w:r>
      <w:r w:rsidRPr="00EF35F3">
        <w:rPr>
          <w:b/>
        </w:rPr>
        <w:t>29</w:t>
      </w:r>
      <w:r w:rsidRPr="00EF35F3">
        <w:t xml:space="preserve">:452-6. </w:t>
      </w:r>
      <w:hyperlink r:id="rId172" w:history="1">
        <w:r w:rsidRPr="00EF35F3">
          <w:rPr>
            <w:rStyle w:val="Hyperlink"/>
          </w:rPr>
          <w:t>https://doi.org/10.3109/00365529409096837</w:t>
        </w:r>
      </w:hyperlink>
    </w:p>
    <w:p w14:paraId="6F15B0C0" w14:textId="77777777" w:rsidR="00EF35F3" w:rsidRPr="00EF35F3" w:rsidRDefault="00EF35F3" w:rsidP="00EF35F3">
      <w:pPr>
        <w:pStyle w:val="EndNoteBibliography"/>
        <w:spacing w:after="0"/>
      </w:pPr>
      <w:r w:rsidRPr="00EF35F3">
        <w:t>174.</w:t>
      </w:r>
      <w:r w:rsidRPr="00EF35F3">
        <w:tab/>
        <w:t xml:space="preserve">Mendez NI, Guastavino MA, Zacharzewski CL, Zapata PD, Sprang M. Autoantibodies: Utility in coeliac disease. A study in Misiones province. </w:t>
      </w:r>
      <w:r w:rsidRPr="00EF35F3">
        <w:rPr>
          <w:i/>
        </w:rPr>
        <w:t>Acta Bioquimica Clinica Latinoamericana</w:t>
      </w:r>
      <w:r w:rsidRPr="00EF35F3">
        <w:t xml:space="preserve"> 1998;</w:t>
      </w:r>
      <w:r w:rsidRPr="00EF35F3">
        <w:rPr>
          <w:b/>
        </w:rPr>
        <w:t>32</w:t>
      </w:r>
      <w:r w:rsidRPr="00EF35F3">
        <w:t>:55-61.</w:t>
      </w:r>
    </w:p>
    <w:p w14:paraId="36A1AE40" w14:textId="77777777" w:rsidR="00EF35F3" w:rsidRPr="00EF35F3" w:rsidRDefault="00EF35F3" w:rsidP="00EF35F3">
      <w:pPr>
        <w:pStyle w:val="EndNoteBibliography"/>
        <w:spacing w:after="0"/>
      </w:pPr>
      <w:r w:rsidRPr="00EF35F3">
        <w:t>175.</w:t>
      </w:r>
      <w:r w:rsidRPr="00EF35F3">
        <w:tab/>
        <w:t xml:space="preserve">Russo PA, Chartrand LJ, Seidman E. Comparative analysis of serologic screening tests for the initial diagnosis of celiac disease. </w:t>
      </w:r>
      <w:r w:rsidRPr="00EF35F3">
        <w:rPr>
          <w:i/>
        </w:rPr>
        <w:t>Pediatrics</w:t>
      </w:r>
      <w:r w:rsidRPr="00EF35F3">
        <w:t xml:space="preserve"> 1999;</w:t>
      </w:r>
      <w:r w:rsidRPr="00EF35F3">
        <w:rPr>
          <w:b/>
        </w:rPr>
        <w:t>104</w:t>
      </w:r>
      <w:r w:rsidRPr="00EF35F3">
        <w:t>:75-8.</w:t>
      </w:r>
    </w:p>
    <w:p w14:paraId="6F6DAC2E" w14:textId="675883E0" w:rsidR="00EF35F3" w:rsidRPr="00EF35F3" w:rsidRDefault="00EF35F3" w:rsidP="00EF35F3">
      <w:pPr>
        <w:pStyle w:val="EndNoteBibliography"/>
        <w:spacing w:after="0"/>
      </w:pPr>
      <w:r w:rsidRPr="00EF35F3">
        <w:t>176.</w:t>
      </w:r>
      <w:r w:rsidRPr="00EF35F3">
        <w:tab/>
        <w:t xml:space="preserve">Vargas Perez Ma L, Melero Ruiz J, Fernandez De Mera JJ, Gonzalez Roiz C, Catalina Fernandez I, Romero Albillos A. Serological and genetic markers in the diagnosis and follow-up of coeliac disease. </w:t>
      </w:r>
      <w:r w:rsidRPr="00EF35F3">
        <w:rPr>
          <w:i/>
        </w:rPr>
        <w:t>Anales de Pediatria</w:t>
      </w:r>
      <w:r w:rsidRPr="00EF35F3">
        <w:t xml:space="preserve"> 2005;</w:t>
      </w:r>
      <w:r w:rsidRPr="00EF35F3">
        <w:rPr>
          <w:b/>
        </w:rPr>
        <w:t>62</w:t>
      </w:r>
      <w:r w:rsidRPr="00EF35F3">
        <w:t xml:space="preserve">:412-9. </w:t>
      </w:r>
      <w:hyperlink r:id="rId173" w:history="1">
        <w:r w:rsidRPr="00EF35F3">
          <w:rPr>
            <w:rStyle w:val="Hyperlink"/>
          </w:rPr>
          <w:t>https://doi.org/http://dx.doi.org/10.1157/13074614</w:t>
        </w:r>
      </w:hyperlink>
    </w:p>
    <w:p w14:paraId="3CD3B93D" w14:textId="77777777" w:rsidR="00EF35F3" w:rsidRPr="00EF35F3" w:rsidRDefault="00EF35F3" w:rsidP="00EF35F3">
      <w:pPr>
        <w:pStyle w:val="EndNoteBibliography"/>
        <w:spacing w:after="0"/>
      </w:pPr>
      <w:r w:rsidRPr="00EF35F3">
        <w:t>177.</w:t>
      </w:r>
      <w:r w:rsidRPr="00EF35F3">
        <w:tab/>
        <w:t xml:space="preserve">Wildfang S, Knauss M, Stern M. IgA endomysium antibodies. Detection in children with celiac disease. </w:t>
      </w:r>
      <w:r w:rsidRPr="00EF35F3">
        <w:rPr>
          <w:i/>
        </w:rPr>
        <w:t>Monatsschr Kinderheilkd</w:t>
      </w:r>
      <w:r w:rsidRPr="00EF35F3">
        <w:t xml:space="preserve"> 1992;</w:t>
      </w:r>
      <w:r w:rsidRPr="00EF35F3">
        <w:rPr>
          <w:b/>
        </w:rPr>
        <w:t>140</w:t>
      </w:r>
      <w:r w:rsidRPr="00EF35F3">
        <w:t>:639-45.</w:t>
      </w:r>
    </w:p>
    <w:p w14:paraId="0DD5E008" w14:textId="7FE96822" w:rsidR="00EF35F3" w:rsidRPr="00EF35F3" w:rsidRDefault="00EF35F3" w:rsidP="00EF35F3">
      <w:pPr>
        <w:pStyle w:val="EndNoteBibliography"/>
        <w:spacing w:after="0"/>
      </w:pPr>
      <w:r w:rsidRPr="00EF35F3">
        <w:t>178.</w:t>
      </w:r>
      <w:r w:rsidRPr="00EF35F3">
        <w:tab/>
        <w:t xml:space="preserve">Kurien M, Johnston A, Avgerinos A, Sanders D. Does IGA Tissue Transglutaminase Antibody Levels Correlate with Histological findings of Coeliac Disease (CD)? </w:t>
      </w:r>
      <w:r w:rsidRPr="00EF35F3">
        <w:rPr>
          <w:i/>
        </w:rPr>
        <w:t>Gut</w:t>
      </w:r>
      <w:r w:rsidRPr="00EF35F3">
        <w:t xml:space="preserve"> 2013;</w:t>
      </w:r>
      <w:r w:rsidRPr="00EF35F3">
        <w:rPr>
          <w:b/>
        </w:rPr>
        <w:t>62</w:t>
      </w:r>
      <w:r w:rsidRPr="00EF35F3">
        <w:t xml:space="preserve">:A26-A. </w:t>
      </w:r>
      <w:hyperlink r:id="rId174" w:history="1">
        <w:r w:rsidRPr="00EF35F3">
          <w:rPr>
            <w:rStyle w:val="Hyperlink"/>
          </w:rPr>
          <w:t>https://doi.org/10.1136/gutjnl-2013-304907.059</w:t>
        </w:r>
      </w:hyperlink>
    </w:p>
    <w:p w14:paraId="100F3D90" w14:textId="54193B3F" w:rsidR="00EF35F3" w:rsidRPr="00EF35F3" w:rsidRDefault="00EF35F3" w:rsidP="00EF35F3">
      <w:pPr>
        <w:pStyle w:val="EndNoteBibliography"/>
        <w:spacing w:after="0"/>
      </w:pPr>
      <w:r w:rsidRPr="00EF35F3">
        <w:t>179.</w:t>
      </w:r>
      <w:r w:rsidRPr="00EF35F3">
        <w:tab/>
        <w:t xml:space="preserve">Mooney PD, Kurien M, Wong S, Sanders DS. Point of care testing for adult coeliac disease: A potential role in endoscopy. </w:t>
      </w:r>
      <w:r w:rsidRPr="00EF35F3">
        <w:rPr>
          <w:i/>
        </w:rPr>
        <w:t>United European Gastroenterology Journal</w:t>
      </w:r>
      <w:r w:rsidRPr="00EF35F3">
        <w:t xml:space="preserve"> 2014;</w:t>
      </w:r>
      <w:r w:rsidRPr="00EF35F3">
        <w:rPr>
          <w:b/>
        </w:rPr>
        <w:t>2</w:t>
      </w:r>
      <w:r w:rsidRPr="00EF35F3">
        <w:t xml:space="preserve">:A435. </w:t>
      </w:r>
      <w:hyperlink r:id="rId175" w:history="1">
        <w:r w:rsidRPr="00EF35F3">
          <w:rPr>
            <w:rStyle w:val="Hyperlink"/>
          </w:rPr>
          <w:t>https://doi.org/http://dx.doi.org/10.1177/2050640614548980</w:t>
        </w:r>
      </w:hyperlink>
    </w:p>
    <w:p w14:paraId="519EBB1B" w14:textId="016F9478" w:rsidR="00EF35F3" w:rsidRPr="00EF35F3" w:rsidRDefault="00EF35F3" w:rsidP="00EF35F3">
      <w:pPr>
        <w:pStyle w:val="EndNoteBibliography"/>
        <w:spacing w:after="0"/>
      </w:pPr>
      <w:r w:rsidRPr="00EF35F3">
        <w:t>180.</w:t>
      </w:r>
      <w:r w:rsidRPr="00EF35F3">
        <w:tab/>
        <w:t xml:space="preserve">Bjorck S, Brundin C, Lorinc E, Lynch KF, Agardh D. Screening detects a high proportion of celiac disease in young HLA-genotyped children. </w:t>
      </w:r>
      <w:r w:rsidRPr="00EF35F3">
        <w:rPr>
          <w:i/>
        </w:rPr>
        <w:t>Journal of Pediatric Gastroenterology and Nutrition</w:t>
      </w:r>
      <w:r w:rsidRPr="00EF35F3">
        <w:t xml:space="preserve"> 2010;</w:t>
      </w:r>
      <w:r w:rsidRPr="00EF35F3">
        <w:rPr>
          <w:b/>
        </w:rPr>
        <w:t>50</w:t>
      </w:r>
      <w:r w:rsidRPr="00EF35F3">
        <w:t xml:space="preserve">:49-53. </w:t>
      </w:r>
      <w:hyperlink r:id="rId176" w:history="1">
        <w:r w:rsidRPr="00EF35F3">
          <w:rPr>
            <w:rStyle w:val="Hyperlink"/>
          </w:rPr>
          <w:t>https://doi.org/http://dx.doi.org/10.1097/MPG.0b013e3181b477a6</w:t>
        </w:r>
      </w:hyperlink>
    </w:p>
    <w:p w14:paraId="538C0A2F" w14:textId="77777777" w:rsidR="00EF35F3" w:rsidRPr="00EF35F3" w:rsidRDefault="00EF35F3" w:rsidP="00EF35F3">
      <w:pPr>
        <w:pStyle w:val="EndNoteBibliography"/>
        <w:spacing w:after="0"/>
      </w:pPr>
      <w:r w:rsidRPr="00EF35F3">
        <w:t>181.</w:t>
      </w:r>
      <w:r w:rsidRPr="00EF35F3">
        <w:tab/>
        <w:t>Maki M, Mustalahti K, Kokkonen J, Kulmala P, Haapalahti M, Karttunen T</w:t>
      </w:r>
      <w:r w:rsidRPr="00EF35F3">
        <w:rPr>
          <w:i/>
        </w:rPr>
        <w:t>, et al.</w:t>
      </w:r>
      <w:r w:rsidRPr="00EF35F3">
        <w:t xml:space="preserve"> Prevalence of Celiac disease among children in Finland. </w:t>
      </w:r>
      <w:r w:rsidRPr="00EF35F3">
        <w:rPr>
          <w:i/>
        </w:rPr>
        <w:t>The New England journal of medicine</w:t>
      </w:r>
      <w:r w:rsidRPr="00EF35F3">
        <w:t xml:space="preserve"> 2003;</w:t>
      </w:r>
      <w:r w:rsidRPr="00EF35F3">
        <w:rPr>
          <w:b/>
        </w:rPr>
        <w:t>348</w:t>
      </w:r>
      <w:r w:rsidRPr="00EF35F3">
        <w:t>:2517-24.</w:t>
      </w:r>
    </w:p>
    <w:p w14:paraId="5E6C3467" w14:textId="50E95A52" w:rsidR="00EF35F3" w:rsidRPr="00EF35F3" w:rsidRDefault="00EF35F3" w:rsidP="00EF35F3">
      <w:pPr>
        <w:pStyle w:val="EndNoteBibliography"/>
        <w:spacing w:after="0"/>
      </w:pPr>
      <w:r w:rsidRPr="00EF35F3">
        <w:t>182.</w:t>
      </w:r>
      <w:r w:rsidRPr="00EF35F3">
        <w:tab/>
        <w:t>Sandstrom O, Rosen A, Lagerqvist C, Carlsson A, Hernell O, Hogberg L</w:t>
      </w:r>
      <w:r w:rsidRPr="00EF35F3">
        <w:rPr>
          <w:i/>
        </w:rPr>
        <w:t>, et al.</w:t>
      </w:r>
      <w:r w:rsidRPr="00EF35F3">
        <w:t xml:space="preserve"> Transglutaminase IgA antibodies in a celiac disease mass screening and the role of HLA-DQ genotyping and endomysial antibodies in sequential testing. </w:t>
      </w:r>
      <w:r w:rsidRPr="00EF35F3">
        <w:rPr>
          <w:i/>
        </w:rPr>
        <w:t>Journal of Pediatric Gastroenterology and Nutrition</w:t>
      </w:r>
      <w:r w:rsidRPr="00EF35F3">
        <w:t xml:space="preserve"> 2013;</w:t>
      </w:r>
      <w:r w:rsidRPr="00EF35F3">
        <w:rPr>
          <w:b/>
        </w:rPr>
        <w:t>57</w:t>
      </w:r>
      <w:r w:rsidRPr="00EF35F3">
        <w:t xml:space="preserve">:472-6. </w:t>
      </w:r>
      <w:hyperlink r:id="rId177" w:history="1">
        <w:r w:rsidRPr="00EF35F3">
          <w:rPr>
            <w:rStyle w:val="Hyperlink"/>
          </w:rPr>
          <w:t>https://doi.org/http://dx.doi.org/10.1097/MPG.0b013e31829ef65d</w:t>
        </w:r>
      </w:hyperlink>
    </w:p>
    <w:p w14:paraId="17D2C1CC" w14:textId="708215BF" w:rsidR="00EF35F3" w:rsidRPr="00EF35F3" w:rsidRDefault="00EF35F3" w:rsidP="00EF35F3">
      <w:pPr>
        <w:pStyle w:val="EndNoteBibliography"/>
        <w:spacing w:after="0"/>
      </w:pPr>
      <w:r w:rsidRPr="00EF35F3">
        <w:t>183.</w:t>
      </w:r>
      <w:r w:rsidRPr="00EF35F3">
        <w:tab/>
        <w:t xml:space="preserve">Wahab RJ, Beth SA, Derks IPM, Jansen PW, Moll HA, Kiefte-De Jong JC. Celiac disease autoimmunity and emotional and behavioral problems in childhood. </w:t>
      </w:r>
      <w:r w:rsidRPr="00EF35F3">
        <w:rPr>
          <w:i/>
        </w:rPr>
        <w:t>Pediatrics</w:t>
      </w:r>
      <w:r w:rsidRPr="00EF35F3">
        <w:t xml:space="preserve"> 2019;</w:t>
      </w:r>
      <w:r w:rsidRPr="00EF35F3">
        <w:rPr>
          <w:b/>
        </w:rPr>
        <w:t>144</w:t>
      </w:r>
      <w:r w:rsidRPr="00EF35F3">
        <w:t xml:space="preserve">:e20183933. </w:t>
      </w:r>
      <w:hyperlink r:id="rId178" w:history="1">
        <w:r w:rsidRPr="00EF35F3">
          <w:rPr>
            <w:rStyle w:val="Hyperlink"/>
          </w:rPr>
          <w:t>https://doi.org/http://dx.doi.org/10.1542/peds.2018-3933</w:t>
        </w:r>
      </w:hyperlink>
    </w:p>
    <w:p w14:paraId="4FE750D8" w14:textId="4B2C8936" w:rsidR="00EF35F3" w:rsidRPr="00EF35F3" w:rsidRDefault="00EF35F3" w:rsidP="00EF35F3">
      <w:pPr>
        <w:pStyle w:val="EndNoteBibliography"/>
        <w:spacing w:after="0"/>
      </w:pPr>
      <w:r w:rsidRPr="00EF35F3">
        <w:t>184.</w:t>
      </w:r>
      <w:r w:rsidRPr="00EF35F3">
        <w:tab/>
        <w:t>Beth SA, Jansen MAE, Elfrink MEC, Kiefte-de Jong JC, Wolvius EB, Jaddoe VWV</w:t>
      </w:r>
      <w:r w:rsidRPr="00EF35F3">
        <w:rPr>
          <w:i/>
        </w:rPr>
        <w:t>, et al.</w:t>
      </w:r>
      <w:r w:rsidRPr="00EF35F3">
        <w:t xml:space="preserve"> Generation R birth cohort study shows that specific enamel defects were not associated with elevated serum transglutaminase type 2 antibodies. </w:t>
      </w:r>
      <w:r w:rsidRPr="00EF35F3">
        <w:rPr>
          <w:i/>
        </w:rPr>
        <w:t>Acta Paediatrica</w:t>
      </w:r>
      <w:r w:rsidRPr="00EF35F3">
        <w:t xml:space="preserve"> 2016;</w:t>
      </w:r>
      <w:r w:rsidRPr="00EF35F3">
        <w:rPr>
          <w:b/>
        </w:rPr>
        <w:t>105</w:t>
      </w:r>
      <w:r w:rsidRPr="00EF35F3">
        <w:t xml:space="preserve">:e485-e91. </w:t>
      </w:r>
      <w:hyperlink r:id="rId179" w:history="1">
        <w:r w:rsidRPr="00EF35F3">
          <w:rPr>
            <w:rStyle w:val="Hyperlink"/>
          </w:rPr>
          <w:t>https://doi.org/10.1111/apa.13533</w:t>
        </w:r>
      </w:hyperlink>
    </w:p>
    <w:p w14:paraId="1F818D38" w14:textId="4716AA6D" w:rsidR="00EF35F3" w:rsidRPr="00EF35F3" w:rsidRDefault="00EF35F3" w:rsidP="00EF35F3">
      <w:pPr>
        <w:pStyle w:val="EndNoteBibliography"/>
        <w:spacing w:after="0"/>
      </w:pPr>
      <w:r w:rsidRPr="00EF35F3">
        <w:t>185.</w:t>
      </w:r>
      <w:r w:rsidRPr="00EF35F3">
        <w:tab/>
        <w:t>Jansen MAE, Kiefte-de Jong JC, Gaillard R, Escher JC, Hofman A, Jaddoe VWV</w:t>
      </w:r>
      <w:r w:rsidRPr="00EF35F3">
        <w:rPr>
          <w:i/>
        </w:rPr>
        <w:t>, et al.</w:t>
      </w:r>
      <w:r w:rsidRPr="00EF35F3">
        <w:t xml:space="preserve"> Growth trajectories and bone mineral density in anti-tissue transglutaminase antibody-positive children: The generation R study. </w:t>
      </w:r>
      <w:r w:rsidRPr="00EF35F3">
        <w:rPr>
          <w:i/>
        </w:rPr>
        <w:t>Clinical Gastroenterology and Hepatology</w:t>
      </w:r>
      <w:r w:rsidRPr="00EF35F3">
        <w:t xml:space="preserve"> 2015;</w:t>
      </w:r>
      <w:r w:rsidRPr="00EF35F3">
        <w:rPr>
          <w:b/>
        </w:rPr>
        <w:t>13</w:t>
      </w:r>
      <w:r w:rsidRPr="00EF35F3">
        <w:t xml:space="preserve">:913-20. </w:t>
      </w:r>
      <w:hyperlink r:id="rId180" w:history="1">
        <w:r w:rsidRPr="00EF35F3">
          <w:rPr>
            <w:rStyle w:val="Hyperlink"/>
          </w:rPr>
          <w:t>https://doi.org/http://dx.doi.org/10.1016/j.cgh.2014.09.032</w:t>
        </w:r>
      </w:hyperlink>
    </w:p>
    <w:p w14:paraId="2A8E7D41" w14:textId="37C0FFC7" w:rsidR="00EF35F3" w:rsidRPr="00EF35F3" w:rsidRDefault="00EF35F3" w:rsidP="00EF35F3">
      <w:pPr>
        <w:pStyle w:val="EndNoteBibliography"/>
        <w:spacing w:after="0"/>
      </w:pPr>
      <w:r w:rsidRPr="00EF35F3">
        <w:t>186.</w:t>
      </w:r>
      <w:r w:rsidRPr="00EF35F3">
        <w:tab/>
        <w:t xml:space="preserve">VideoScribe: Easy animation software to make whiteboard videos fast. </w:t>
      </w:r>
      <w:hyperlink r:id="rId181" w:history="1">
        <w:r w:rsidRPr="00EF35F3">
          <w:rPr>
            <w:rStyle w:val="Hyperlink"/>
          </w:rPr>
          <w:t>https://www.videoscribe.co/en/</w:t>
        </w:r>
      </w:hyperlink>
      <w:r w:rsidRPr="00EF35F3">
        <w:t>. In; (Last accessed in Sept 2020).</w:t>
      </w:r>
    </w:p>
    <w:p w14:paraId="30588C10" w14:textId="096AFD10" w:rsidR="00EF35F3" w:rsidRPr="00EF35F3" w:rsidRDefault="00EF35F3" w:rsidP="00EF35F3">
      <w:pPr>
        <w:pStyle w:val="EndNoteBibliography"/>
        <w:spacing w:after="0"/>
      </w:pPr>
      <w:r w:rsidRPr="00EF35F3">
        <w:lastRenderedPageBreak/>
        <w:t>187.</w:t>
      </w:r>
      <w:r w:rsidRPr="00EF35F3">
        <w:tab/>
        <w:t xml:space="preserve">NIHR ARC West. Coeliac Disease Survey, Video 1. </w:t>
      </w:r>
      <w:hyperlink r:id="rId182" w:history="1">
        <w:r w:rsidRPr="00EF35F3">
          <w:rPr>
            <w:rStyle w:val="Hyperlink"/>
          </w:rPr>
          <w:t>https://youtu.be/M5tfW8-yLfM</w:t>
        </w:r>
      </w:hyperlink>
      <w:r w:rsidRPr="00EF35F3">
        <w:t xml:space="preserve"> [last accessed 07/02/2022]; 2020.</w:t>
      </w:r>
    </w:p>
    <w:p w14:paraId="78792F0A" w14:textId="4C0AAE0C" w:rsidR="00EF35F3" w:rsidRPr="00EF35F3" w:rsidRDefault="00EF35F3" w:rsidP="00EF35F3">
      <w:pPr>
        <w:pStyle w:val="EndNoteBibliography"/>
        <w:spacing w:after="0"/>
      </w:pPr>
      <w:r w:rsidRPr="00EF35F3">
        <w:t>188.</w:t>
      </w:r>
      <w:r w:rsidRPr="00EF35F3">
        <w:tab/>
        <w:t xml:space="preserve">NIHR ARC West. Coeliac Disease Survey, Video 2. </w:t>
      </w:r>
      <w:hyperlink r:id="rId183" w:history="1">
        <w:r w:rsidRPr="00EF35F3">
          <w:rPr>
            <w:rStyle w:val="Hyperlink"/>
          </w:rPr>
          <w:t>https://youtu.be/_PVLGDVSL3E</w:t>
        </w:r>
      </w:hyperlink>
      <w:r w:rsidRPr="00EF35F3">
        <w:t xml:space="preserve"> [last accessed 07/02/2022]; 2020.</w:t>
      </w:r>
    </w:p>
    <w:p w14:paraId="35F30FC3" w14:textId="3D734EB1" w:rsidR="00EF35F3" w:rsidRPr="00EF35F3" w:rsidRDefault="00EF35F3" w:rsidP="00EF35F3">
      <w:pPr>
        <w:pStyle w:val="EndNoteBibliography"/>
        <w:spacing w:after="0"/>
      </w:pPr>
      <w:r w:rsidRPr="00EF35F3">
        <w:t>189.</w:t>
      </w:r>
      <w:r w:rsidRPr="00EF35F3">
        <w:tab/>
        <w:t xml:space="preserve">NIHR ARC West. Coeliac Disease Survey, Video 3. </w:t>
      </w:r>
      <w:hyperlink r:id="rId184" w:history="1">
        <w:r w:rsidRPr="00EF35F3">
          <w:rPr>
            <w:rStyle w:val="Hyperlink"/>
          </w:rPr>
          <w:t>https://youtu.be/GL8tzH4IxAk</w:t>
        </w:r>
      </w:hyperlink>
      <w:r w:rsidRPr="00EF35F3">
        <w:t xml:space="preserve"> [last accessed 07/02/2022]; 2020.</w:t>
      </w:r>
    </w:p>
    <w:p w14:paraId="10F89C8B" w14:textId="77777777" w:rsidR="00EF35F3" w:rsidRPr="00EF35F3" w:rsidRDefault="00EF35F3" w:rsidP="00EF35F3">
      <w:pPr>
        <w:pStyle w:val="EndNoteBibliography"/>
        <w:spacing w:after="0"/>
      </w:pPr>
      <w:r w:rsidRPr="00EF35F3">
        <w:t>190.</w:t>
      </w:r>
      <w:r w:rsidRPr="00EF35F3">
        <w:tab/>
        <w:t xml:space="preserve">ISO. ISO/IEC 27001 INFORMATION SECURITY MANAGEMENT. </w:t>
      </w:r>
      <w:r w:rsidRPr="00EF35F3">
        <w:rPr>
          <w:i/>
        </w:rPr>
        <w:t>wwwisoorg/isoiec-27001-information-securityhtml</w:t>
      </w:r>
      <w:r w:rsidRPr="00EF35F3">
        <w:t>.</w:t>
      </w:r>
    </w:p>
    <w:p w14:paraId="11914794" w14:textId="77777777" w:rsidR="00EF35F3" w:rsidRPr="00EF35F3" w:rsidRDefault="00EF35F3" w:rsidP="00EF35F3">
      <w:pPr>
        <w:pStyle w:val="EndNoteBibliography"/>
        <w:spacing w:after="0"/>
      </w:pPr>
      <w:r w:rsidRPr="00EF35F3">
        <w:t>191.</w:t>
      </w:r>
      <w:r w:rsidRPr="00EF35F3">
        <w:tab/>
        <w:t xml:space="preserve">Information Commissioner's Office. Guide to the General Data Protection Regulation (GDPR). </w:t>
      </w:r>
      <w:r w:rsidRPr="00EF35F3">
        <w:rPr>
          <w:i/>
        </w:rPr>
        <w:t>icoorguk/for-organisations/guide-to-data-protection/guide-to-the-general-data-protection-regulation-gdpr/</w:t>
      </w:r>
      <w:r w:rsidRPr="00EF35F3">
        <w:t>.</w:t>
      </w:r>
    </w:p>
    <w:p w14:paraId="4A5D5675" w14:textId="17E1E4EC" w:rsidR="00EF35F3" w:rsidRPr="00EF35F3" w:rsidRDefault="00EF35F3" w:rsidP="00EF35F3">
      <w:pPr>
        <w:pStyle w:val="EndNoteBibliography"/>
        <w:spacing w:after="0"/>
      </w:pPr>
      <w:r w:rsidRPr="00C34531">
        <w:rPr>
          <w:lang w:val="fr-FR"/>
        </w:rPr>
        <w:t>192.</w:t>
      </w:r>
      <w:r w:rsidRPr="00C34531">
        <w:rPr>
          <w:lang w:val="fr-FR"/>
        </w:rPr>
        <w:tab/>
        <w:t>Dorn SD, Hernandez L, Minaya MT, Morris CB, Hu Y, Leserman J</w:t>
      </w:r>
      <w:r w:rsidRPr="00C34531">
        <w:rPr>
          <w:i/>
          <w:lang w:val="fr-FR"/>
        </w:rPr>
        <w:t>, et al.</w:t>
      </w:r>
      <w:r w:rsidRPr="00C34531">
        <w:rPr>
          <w:lang w:val="fr-FR"/>
        </w:rPr>
        <w:t xml:space="preserve"> </w:t>
      </w:r>
      <w:r w:rsidRPr="00EF35F3">
        <w:t xml:space="preserve">The development and validation of a new coeliac disease quality of life survey (CD-QOL). </w:t>
      </w:r>
      <w:r w:rsidRPr="00EF35F3">
        <w:rPr>
          <w:i/>
        </w:rPr>
        <w:t>Aliment Pharmacol Ther</w:t>
      </w:r>
      <w:r w:rsidRPr="00EF35F3">
        <w:t xml:space="preserve"> 2010;</w:t>
      </w:r>
      <w:r w:rsidRPr="00EF35F3">
        <w:rPr>
          <w:b/>
        </w:rPr>
        <w:t>31</w:t>
      </w:r>
      <w:r w:rsidRPr="00EF35F3">
        <w:t xml:space="preserve">:666-75. </w:t>
      </w:r>
      <w:hyperlink r:id="rId185" w:history="1">
        <w:r w:rsidRPr="00EF35F3">
          <w:rPr>
            <w:rStyle w:val="Hyperlink"/>
          </w:rPr>
          <w:t>https://doi.org/10.1111/j.1365-2036.2009.04220.x</w:t>
        </w:r>
      </w:hyperlink>
    </w:p>
    <w:p w14:paraId="6C7EECC3" w14:textId="77777777" w:rsidR="00EF35F3" w:rsidRPr="00EF35F3" w:rsidRDefault="00EF35F3" w:rsidP="00EF35F3">
      <w:pPr>
        <w:pStyle w:val="EndNoteBibliography"/>
        <w:spacing w:after="0"/>
      </w:pPr>
      <w:r w:rsidRPr="00EF35F3">
        <w:t>193.</w:t>
      </w:r>
      <w:r w:rsidRPr="00EF35F3">
        <w:tab/>
        <w:t xml:space="preserve">National Statistics. The English Indices of Deprivation 2015. </w:t>
      </w:r>
      <w:r w:rsidRPr="00EF35F3">
        <w:rPr>
          <w:i/>
        </w:rPr>
        <w:t>Department for Communirties and Local Government</w:t>
      </w:r>
      <w:r w:rsidRPr="00EF35F3">
        <w:t xml:space="preserve"> 2015.</w:t>
      </w:r>
    </w:p>
    <w:p w14:paraId="523F24AE" w14:textId="77777777" w:rsidR="00EF35F3" w:rsidRPr="00EF35F3" w:rsidRDefault="00EF35F3" w:rsidP="00EF35F3">
      <w:pPr>
        <w:pStyle w:val="EndNoteBibliography"/>
        <w:spacing w:after="0"/>
      </w:pPr>
      <w:r w:rsidRPr="00EF35F3">
        <w:t>194.</w:t>
      </w:r>
      <w:r w:rsidRPr="00EF35F3">
        <w:tab/>
        <w:t xml:space="preserve">STATISTICS P-. Scottish Index of Multiple Deprivation 2020v2 postcode lookup file. </w:t>
      </w:r>
      <w:r w:rsidRPr="00EF35F3">
        <w:rPr>
          <w:i/>
        </w:rPr>
        <w:t>Housing and Social Justice Directorate</w:t>
      </w:r>
      <w:r w:rsidRPr="00EF35F3">
        <w:t xml:space="preserve"> 2020.</w:t>
      </w:r>
    </w:p>
    <w:p w14:paraId="4AEFF3C2" w14:textId="77777777" w:rsidR="00EF35F3" w:rsidRPr="00EF35F3" w:rsidRDefault="00EF35F3" w:rsidP="00EF35F3">
      <w:pPr>
        <w:pStyle w:val="EndNoteBibliography"/>
        <w:spacing w:after="0"/>
      </w:pPr>
      <w:r w:rsidRPr="00EF35F3">
        <w:t>195.</w:t>
      </w:r>
      <w:r w:rsidRPr="00EF35F3">
        <w:tab/>
        <w:t xml:space="preserve">Statistics for Wales. Welsh Index of Multiple Deprivation (WIMD) index guidance, technical information and background documentation. </w:t>
      </w:r>
      <w:r w:rsidRPr="00EF35F3">
        <w:rPr>
          <w:i/>
        </w:rPr>
        <w:t>Welsh Government</w:t>
      </w:r>
      <w:r w:rsidRPr="00EF35F3">
        <w:t xml:space="preserve"> 2019.</w:t>
      </w:r>
    </w:p>
    <w:p w14:paraId="7D8CEC0F" w14:textId="77777777" w:rsidR="00EF35F3" w:rsidRPr="00EF35F3" w:rsidRDefault="00EF35F3" w:rsidP="00EF35F3">
      <w:pPr>
        <w:pStyle w:val="EndNoteBibliography"/>
        <w:spacing w:after="0"/>
      </w:pPr>
      <w:r w:rsidRPr="00EF35F3">
        <w:t>196.</w:t>
      </w:r>
      <w:r w:rsidRPr="00EF35F3">
        <w:tab/>
        <w:t>Agency NISaR. NI Multiple Deprivation Measures.</w:t>
      </w:r>
    </w:p>
    <w:p w14:paraId="4952D03C" w14:textId="233B837F" w:rsidR="00EF35F3" w:rsidRPr="00EF35F3" w:rsidRDefault="00EF35F3" w:rsidP="00EF35F3">
      <w:pPr>
        <w:pStyle w:val="EndNoteBibliography"/>
        <w:spacing w:after="0"/>
      </w:pPr>
      <w:r w:rsidRPr="00EF35F3">
        <w:t>197.</w:t>
      </w:r>
      <w:r w:rsidRPr="00EF35F3">
        <w:tab/>
        <w:t xml:space="preserve">Hsieh H-F, Shannon SE. Three Approaches to Qualitative Content Analysis. </w:t>
      </w:r>
      <w:r w:rsidRPr="00EF35F3">
        <w:rPr>
          <w:i/>
        </w:rPr>
        <w:t>Qualitative Health Research</w:t>
      </w:r>
      <w:r w:rsidRPr="00EF35F3">
        <w:t xml:space="preserve"> 2005;</w:t>
      </w:r>
      <w:r w:rsidRPr="00EF35F3">
        <w:rPr>
          <w:b/>
        </w:rPr>
        <w:t>15</w:t>
      </w:r>
      <w:r w:rsidRPr="00EF35F3">
        <w:t xml:space="preserve">:1277-88. </w:t>
      </w:r>
      <w:hyperlink r:id="rId186" w:history="1">
        <w:r w:rsidRPr="00EF35F3">
          <w:rPr>
            <w:rStyle w:val="Hyperlink"/>
          </w:rPr>
          <w:t>https://doi.org/10.1177/1049732305276687</w:t>
        </w:r>
      </w:hyperlink>
    </w:p>
    <w:p w14:paraId="1548ED41" w14:textId="77777777" w:rsidR="00EF35F3" w:rsidRPr="00EF35F3" w:rsidRDefault="00EF35F3" w:rsidP="00EF35F3">
      <w:pPr>
        <w:pStyle w:val="EndNoteBibliography"/>
        <w:spacing w:after="0"/>
      </w:pPr>
      <w:r w:rsidRPr="00EF35F3">
        <w:t>198.</w:t>
      </w:r>
      <w:r w:rsidRPr="00EF35F3">
        <w:tab/>
        <w:t>NICE. Coeliac Disease. Full Health Economics Report. 2015.</w:t>
      </w:r>
    </w:p>
    <w:p w14:paraId="7AE0A02D" w14:textId="244D372D" w:rsidR="00EF35F3" w:rsidRPr="00EF35F3" w:rsidRDefault="00EF35F3" w:rsidP="00EF35F3">
      <w:pPr>
        <w:pStyle w:val="EndNoteBibliography"/>
        <w:spacing w:after="0"/>
      </w:pPr>
      <w:r w:rsidRPr="00EF35F3">
        <w:t>199.</w:t>
      </w:r>
      <w:r w:rsidRPr="00EF35F3">
        <w:tab/>
        <w:t xml:space="preserve">Harewood GC, Murray JA. Diagnostic approach to a patient with suspected celiac disease: a cost analysis. </w:t>
      </w:r>
      <w:r w:rsidRPr="00EF35F3">
        <w:rPr>
          <w:i/>
        </w:rPr>
        <w:t>Dig Dis Sci</w:t>
      </w:r>
      <w:r w:rsidRPr="00EF35F3">
        <w:t xml:space="preserve"> 2001;</w:t>
      </w:r>
      <w:r w:rsidRPr="00EF35F3">
        <w:rPr>
          <w:b/>
        </w:rPr>
        <w:t>46</w:t>
      </w:r>
      <w:r w:rsidRPr="00EF35F3">
        <w:t xml:space="preserve">:2510-4. </w:t>
      </w:r>
      <w:hyperlink r:id="rId187" w:history="1">
        <w:r w:rsidRPr="00EF35F3">
          <w:rPr>
            <w:rStyle w:val="Hyperlink"/>
          </w:rPr>
          <w:t>https://doi.org/10.1023/a:1012396408370</w:t>
        </w:r>
      </w:hyperlink>
    </w:p>
    <w:p w14:paraId="69C36AC6" w14:textId="08FC8EE3" w:rsidR="00EF35F3" w:rsidRPr="00EF35F3" w:rsidRDefault="00EF35F3" w:rsidP="00EF35F3">
      <w:pPr>
        <w:pStyle w:val="EndNoteBibliography"/>
        <w:spacing w:after="0"/>
      </w:pPr>
      <w:r w:rsidRPr="00EF35F3">
        <w:t>200.</w:t>
      </w:r>
      <w:r w:rsidRPr="00EF35F3">
        <w:tab/>
        <w:t xml:space="preserve">Mein SM, Ladabaum U. Serological testing for coeliac disease in patients with symptoms of irritable bowel syndrome: a cost-effectiveness analysis. </w:t>
      </w:r>
      <w:r w:rsidRPr="00EF35F3">
        <w:rPr>
          <w:i/>
        </w:rPr>
        <w:t>Aliment Pharmacol Ther</w:t>
      </w:r>
      <w:r w:rsidRPr="00EF35F3">
        <w:t xml:space="preserve"> 2004;</w:t>
      </w:r>
      <w:r w:rsidRPr="00EF35F3">
        <w:rPr>
          <w:b/>
        </w:rPr>
        <w:t>19</w:t>
      </w:r>
      <w:r w:rsidRPr="00EF35F3">
        <w:t xml:space="preserve">:1199-210. </w:t>
      </w:r>
      <w:hyperlink r:id="rId188" w:history="1">
        <w:r w:rsidRPr="00EF35F3">
          <w:rPr>
            <w:rStyle w:val="Hyperlink"/>
          </w:rPr>
          <w:t>https://doi.org/10.1111/j.1365-2036.2004.01958.x</w:t>
        </w:r>
      </w:hyperlink>
    </w:p>
    <w:p w14:paraId="78417B87" w14:textId="77777777" w:rsidR="00EF35F3" w:rsidRPr="00EF35F3" w:rsidRDefault="00EF35F3" w:rsidP="00EF35F3">
      <w:pPr>
        <w:pStyle w:val="EndNoteBibliography"/>
        <w:spacing w:after="0"/>
      </w:pPr>
      <w:r w:rsidRPr="00EF35F3">
        <w:t>201.</w:t>
      </w:r>
      <w:r w:rsidRPr="00EF35F3">
        <w:tab/>
        <w:t xml:space="preserve">Spiegel BM, DeRosa VP, Gralnek IM, Wang V, Dulai GS. Testing for celiac sprue in irritable bowel syndrome with predominant diarrhea: a cost-effectiveness analysis. </w:t>
      </w:r>
      <w:r w:rsidRPr="00EF35F3">
        <w:rPr>
          <w:i/>
        </w:rPr>
        <w:t>Gastroenterology</w:t>
      </w:r>
      <w:r w:rsidRPr="00EF35F3">
        <w:t xml:space="preserve"> 2004;</w:t>
      </w:r>
      <w:r w:rsidRPr="00EF35F3">
        <w:rPr>
          <w:b/>
        </w:rPr>
        <w:t>126</w:t>
      </w:r>
      <w:r w:rsidRPr="00EF35F3">
        <w:t>:1721-32.</w:t>
      </w:r>
    </w:p>
    <w:p w14:paraId="5D4B39E2" w14:textId="5370327D" w:rsidR="00EF35F3" w:rsidRPr="00EF35F3" w:rsidRDefault="00EF35F3" w:rsidP="00EF35F3">
      <w:pPr>
        <w:pStyle w:val="EndNoteBibliography"/>
        <w:spacing w:after="0"/>
      </w:pPr>
      <w:r w:rsidRPr="00EF35F3">
        <w:t>202.</w:t>
      </w:r>
      <w:r w:rsidRPr="00EF35F3">
        <w:tab/>
        <w:t xml:space="preserve">Shamir R, Hernell O, Leshno M. Cost-effectiveness analysis of screening for celiac disease in the adult population. </w:t>
      </w:r>
      <w:r w:rsidRPr="00EF35F3">
        <w:rPr>
          <w:i/>
        </w:rPr>
        <w:t>Med Decis Making</w:t>
      </w:r>
      <w:r w:rsidRPr="00EF35F3">
        <w:t xml:space="preserve"> 2006;</w:t>
      </w:r>
      <w:r w:rsidRPr="00EF35F3">
        <w:rPr>
          <w:b/>
        </w:rPr>
        <w:t>26</w:t>
      </w:r>
      <w:r w:rsidRPr="00EF35F3">
        <w:t xml:space="preserve">:282-93. </w:t>
      </w:r>
      <w:hyperlink r:id="rId189" w:history="1">
        <w:r w:rsidRPr="00EF35F3">
          <w:rPr>
            <w:rStyle w:val="Hyperlink"/>
          </w:rPr>
          <w:t>https://doi.org/10.1177/0272989X06289012</w:t>
        </w:r>
      </w:hyperlink>
    </w:p>
    <w:p w14:paraId="09487E64" w14:textId="11E8FCC7" w:rsidR="00EF35F3" w:rsidRPr="00EF35F3" w:rsidRDefault="00EF35F3" w:rsidP="00EF35F3">
      <w:pPr>
        <w:pStyle w:val="EndNoteBibliography"/>
        <w:spacing w:after="0"/>
      </w:pPr>
      <w:r w:rsidRPr="00EF35F3">
        <w:t>203.</w:t>
      </w:r>
      <w:r w:rsidRPr="00EF35F3">
        <w:tab/>
        <w:t xml:space="preserve">Swigonski NL, Kuhlenschmidt HL, Bull MJ, Corkins MR, Downs SM. Screening for celiac disease in asymptomatic children with Down syndrome: Cost-effectiveness of preventing lymphoma. </w:t>
      </w:r>
      <w:r w:rsidRPr="00EF35F3">
        <w:rPr>
          <w:i/>
        </w:rPr>
        <w:t>Pediatrics</w:t>
      </w:r>
      <w:r w:rsidRPr="00EF35F3">
        <w:t xml:space="preserve"> 2006;</w:t>
      </w:r>
      <w:r w:rsidRPr="00EF35F3">
        <w:rPr>
          <w:b/>
        </w:rPr>
        <w:t>118</w:t>
      </w:r>
      <w:r w:rsidRPr="00EF35F3">
        <w:t xml:space="preserve">:594-602. </w:t>
      </w:r>
      <w:hyperlink r:id="rId190" w:history="1">
        <w:r w:rsidRPr="00EF35F3">
          <w:rPr>
            <w:rStyle w:val="Hyperlink"/>
          </w:rPr>
          <w:t>https://doi.org/http://dx.doi.org/10.1542/peds.2005-2123</w:t>
        </w:r>
      </w:hyperlink>
    </w:p>
    <w:p w14:paraId="609857D8" w14:textId="1F9B691B" w:rsidR="00EF35F3" w:rsidRPr="00EF35F3" w:rsidRDefault="00EF35F3" w:rsidP="00EF35F3">
      <w:pPr>
        <w:pStyle w:val="EndNoteBibliography"/>
        <w:spacing w:after="0"/>
      </w:pPr>
      <w:r w:rsidRPr="00EF35F3">
        <w:t>204.</w:t>
      </w:r>
      <w:r w:rsidRPr="00EF35F3">
        <w:tab/>
        <w:t xml:space="preserve">Dorn SD, Matchar DB. Cost-effectiveness analysis of strategies for diagnosing celiac disease. </w:t>
      </w:r>
      <w:r w:rsidRPr="00EF35F3">
        <w:rPr>
          <w:i/>
        </w:rPr>
        <w:t>Dig Dis Sci</w:t>
      </w:r>
      <w:r w:rsidRPr="00EF35F3">
        <w:t xml:space="preserve"> 2008;</w:t>
      </w:r>
      <w:r w:rsidRPr="00EF35F3">
        <w:rPr>
          <w:b/>
        </w:rPr>
        <w:t>53</w:t>
      </w:r>
      <w:r w:rsidRPr="00EF35F3">
        <w:t xml:space="preserve">:680-8. </w:t>
      </w:r>
      <w:hyperlink r:id="rId191" w:history="1">
        <w:r w:rsidRPr="00EF35F3">
          <w:rPr>
            <w:rStyle w:val="Hyperlink"/>
          </w:rPr>
          <w:t>https://doi.org/10.1007/s10620-007-9939-5</w:t>
        </w:r>
      </w:hyperlink>
    </w:p>
    <w:p w14:paraId="4A4624CC" w14:textId="347D17C3" w:rsidR="00EF35F3" w:rsidRPr="00EF35F3" w:rsidRDefault="00EF35F3" w:rsidP="00EF35F3">
      <w:pPr>
        <w:pStyle w:val="EndNoteBibliography"/>
        <w:spacing w:after="0"/>
      </w:pPr>
      <w:r w:rsidRPr="00EF35F3">
        <w:t>205.</w:t>
      </w:r>
      <w:r w:rsidRPr="00EF35F3">
        <w:tab/>
        <w:t xml:space="preserve">Chang M, Green PH. Genetic testing before serologic screening in relatives of patients with celiac disease as a cost containment method. </w:t>
      </w:r>
      <w:r w:rsidRPr="00EF35F3">
        <w:rPr>
          <w:i/>
        </w:rPr>
        <w:t>J Clin Gastroenterol</w:t>
      </w:r>
      <w:r w:rsidRPr="00EF35F3">
        <w:t xml:space="preserve"> 2009;</w:t>
      </w:r>
      <w:r w:rsidRPr="00EF35F3">
        <w:rPr>
          <w:b/>
        </w:rPr>
        <w:t>43</w:t>
      </w:r>
      <w:r w:rsidRPr="00EF35F3">
        <w:t xml:space="preserve">:43-50. </w:t>
      </w:r>
      <w:hyperlink r:id="rId192" w:history="1">
        <w:r w:rsidRPr="00EF35F3">
          <w:rPr>
            <w:rStyle w:val="Hyperlink"/>
          </w:rPr>
          <w:t>https://doi.org/10.1097/MCG.0b013e318187311d</w:t>
        </w:r>
      </w:hyperlink>
    </w:p>
    <w:p w14:paraId="50EA2401" w14:textId="1BBD7010" w:rsidR="00EF35F3" w:rsidRPr="00EF35F3" w:rsidRDefault="00EF35F3" w:rsidP="00EF35F3">
      <w:pPr>
        <w:pStyle w:val="EndNoteBibliography"/>
        <w:spacing w:after="0"/>
      </w:pPr>
      <w:r w:rsidRPr="00EF35F3">
        <w:t>206.</w:t>
      </w:r>
      <w:r w:rsidRPr="00EF35F3">
        <w:tab/>
        <w:t xml:space="preserve">Hershcovici T, Leshno M, Goldin E, Shamir R, Israeli E. Cost effectiveness of mass screening for coeliac disease is determined by time-delay to diagnosis and quality of life on a gluten-free diet. </w:t>
      </w:r>
      <w:r w:rsidRPr="00EF35F3">
        <w:rPr>
          <w:i/>
        </w:rPr>
        <w:t>Aliment Pharmacol Ther</w:t>
      </w:r>
      <w:r w:rsidRPr="00EF35F3">
        <w:t xml:space="preserve"> 2010;</w:t>
      </w:r>
      <w:r w:rsidRPr="00EF35F3">
        <w:rPr>
          <w:b/>
        </w:rPr>
        <w:t>31</w:t>
      </w:r>
      <w:r w:rsidRPr="00EF35F3">
        <w:t xml:space="preserve">:901-10. </w:t>
      </w:r>
      <w:hyperlink r:id="rId193" w:history="1">
        <w:r w:rsidRPr="00EF35F3">
          <w:rPr>
            <w:rStyle w:val="Hyperlink"/>
          </w:rPr>
          <w:t>https://doi.org/10.1111/j.1365-2036.2010.04242.x</w:t>
        </w:r>
      </w:hyperlink>
    </w:p>
    <w:p w14:paraId="4AB4433F" w14:textId="379962D4" w:rsidR="00EF35F3" w:rsidRPr="00EF35F3" w:rsidRDefault="00EF35F3" w:rsidP="00EF35F3">
      <w:pPr>
        <w:pStyle w:val="EndNoteBibliography"/>
        <w:spacing w:after="0"/>
      </w:pPr>
      <w:r w:rsidRPr="00EF35F3">
        <w:t>207.</w:t>
      </w:r>
      <w:r w:rsidRPr="00EF35F3">
        <w:tab/>
        <w:t xml:space="preserve">Mohseninejad L, Feenstra T, van der Horst HE, Woutersen-Koch H, Buskens E. Targeted screening for Coeliac Disease among irritable bowel syndrome patients: analysis of cost-effectiveness and value of information. </w:t>
      </w:r>
      <w:r w:rsidRPr="00EF35F3">
        <w:rPr>
          <w:i/>
        </w:rPr>
        <w:t>Eur J Health Econ</w:t>
      </w:r>
      <w:r w:rsidRPr="00EF35F3">
        <w:t xml:space="preserve"> 2013;</w:t>
      </w:r>
      <w:r w:rsidRPr="00EF35F3">
        <w:rPr>
          <w:b/>
        </w:rPr>
        <w:t>14</w:t>
      </w:r>
      <w:r w:rsidRPr="00EF35F3">
        <w:t xml:space="preserve">:947-57. </w:t>
      </w:r>
      <w:hyperlink r:id="rId194" w:history="1">
        <w:r w:rsidRPr="00EF35F3">
          <w:rPr>
            <w:rStyle w:val="Hyperlink"/>
          </w:rPr>
          <w:t>https://doi.org/10.1007/s10198-012-0441-4</w:t>
        </w:r>
      </w:hyperlink>
    </w:p>
    <w:p w14:paraId="22FF8248" w14:textId="7D17375D" w:rsidR="00EF35F3" w:rsidRPr="00EF35F3" w:rsidRDefault="00EF35F3" w:rsidP="00EF35F3">
      <w:pPr>
        <w:pStyle w:val="EndNoteBibliography"/>
        <w:spacing w:after="0"/>
      </w:pPr>
      <w:r w:rsidRPr="00EF35F3">
        <w:lastRenderedPageBreak/>
        <w:t>208.</w:t>
      </w:r>
      <w:r w:rsidRPr="00EF35F3">
        <w:tab/>
        <w:t xml:space="preserve">Park KT, Tsai R, Wang L, Khavari N, Bachrach L, Bass D. Cost-effectiveness of universal serologic screening to prevent nontraumatic hip and vertebral fractures in patients with celiac disease. </w:t>
      </w:r>
      <w:r w:rsidRPr="00EF35F3">
        <w:rPr>
          <w:i/>
        </w:rPr>
        <w:t>Clin Gastroenterol Hepatol</w:t>
      </w:r>
      <w:r w:rsidRPr="00EF35F3">
        <w:t xml:space="preserve"> 2013;</w:t>
      </w:r>
      <w:r w:rsidRPr="00EF35F3">
        <w:rPr>
          <w:b/>
        </w:rPr>
        <w:t>11</w:t>
      </w:r>
      <w:r w:rsidRPr="00EF35F3">
        <w:t xml:space="preserve">:645-53. </w:t>
      </w:r>
      <w:hyperlink r:id="rId195" w:history="1">
        <w:r w:rsidRPr="00EF35F3">
          <w:rPr>
            <w:rStyle w:val="Hyperlink"/>
          </w:rPr>
          <w:t>https://doi.org/10.1016/j.cgh.2012.12.037</w:t>
        </w:r>
      </w:hyperlink>
    </w:p>
    <w:p w14:paraId="7DFD84B0" w14:textId="48EBA495" w:rsidR="00EF35F3" w:rsidRPr="00EF35F3" w:rsidRDefault="00EF35F3" w:rsidP="00EF35F3">
      <w:pPr>
        <w:pStyle w:val="EndNoteBibliography"/>
        <w:spacing w:after="0"/>
      </w:pPr>
      <w:r w:rsidRPr="00EF35F3">
        <w:t>209.</w:t>
      </w:r>
      <w:r w:rsidRPr="00EF35F3">
        <w:tab/>
        <w:t xml:space="preserve">Yang JJ, Thanataveerat A, Green PH, Lebwohl B. Cost Effectiveness of Routine Duodenal Biopsy Analysis for Celiac Disease During Endoscopy for Gastroesophageal Reflux. </w:t>
      </w:r>
      <w:r w:rsidRPr="00EF35F3">
        <w:rPr>
          <w:i/>
        </w:rPr>
        <w:t>Clin Gastroenterol Hepatol</w:t>
      </w:r>
      <w:r w:rsidRPr="00EF35F3">
        <w:t xml:space="preserve"> 2015;</w:t>
      </w:r>
      <w:r w:rsidRPr="00EF35F3">
        <w:rPr>
          <w:b/>
        </w:rPr>
        <w:t>13</w:t>
      </w:r>
      <w:r w:rsidRPr="00EF35F3">
        <w:t xml:space="preserve">:1437-43. </w:t>
      </w:r>
      <w:hyperlink r:id="rId196" w:history="1">
        <w:r w:rsidRPr="00EF35F3">
          <w:rPr>
            <w:rStyle w:val="Hyperlink"/>
          </w:rPr>
          <w:t>https://doi.org/10.1016/j.cgh.2015.03.022</w:t>
        </w:r>
      </w:hyperlink>
    </w:p>
    <w:p w14:paraId="63D8B28C" w14:textId="5A6504E5" w:rsidR="00EF35F3" w:rsidRPr="00EF35F3" w:rsidRDefault="00EF35F3" w:rsidP="00EF35F3">
      <w:pPr>
        <w:pStyle w:val="EndNoteBibliography"/>
        <w:spacing w:after="0"/>
      </w:pPr>
      <w:r w:rsidRPr="00EF35F3">
        <w:t>210.</w:t>
      </w:r>
      <w:r w:rsidRPr="00EF35F3">
        <w:tab/>
        <w:t xml:space="preserve">Broide E, Matalon S, Kriger-Sharabi O, Richter V, Shirin H, Leshno M. Cost effectiveness of routine duodenal biopsies in iron deficiency anemia. </w:t>
      </w:r>
      <w:r w:rsidRPr="00EF35F3">
        <w:rPr>
          <w:i/>
        </w:rPr>
        <w:t>World J Gastroenterol</w:t>
      </w:r>
      <w:r w:rsidRPr="00EF35F3">
        <w:t xml:space="preserve"> 2016;</w:t>
      </w:r>
      <w:r w:rsidRPr="00EF35F3">
        <w:rPr>
          <w:b/>
        </w:rPr>
        <w:t>22</w:t>
      </w:r>
      <w:r w:rsidRPr="00EF35F3">
        <w:t xml:space="preserve">:7813-23. </w:t>
      </w:r>
      <w:hyperlink r:id="rId197" w:history="1">
        <w:r w:rsidRPr="00EF35F3">
          <w:rPr>
            <w:rStyle w:val="Hyperlink"/>
          </w:rPr>
          <w:t>https://doi.org/10.3748/wjg.v22.i34.7813</w:t>
        </w:r>
      </w:hyperlink>
    </w:p>
    <w:p w14:paraId="51401C34" w14:textId="77777777" w:rsidR="00EF35F3" w:rsidRPr="00EF35F3" w:rsidRDefault="00EF35F3" w:rsidP="00EF35F3">
      <w:pPr>
        <w:pStyle w:val="EndNoteBibliography"/>
        <w:spacing w:after="0"/>
      </w:pPr>
      <w:r w:rsidRPr="00EF35F3">
        <w:t>211.</w:t>
      </w:r>
      <w:r w:rsidRPr="00EF35F3">
        <w:tab/>
        <w:t>Siebert U, Alagoz O, Bayoumi AM, Jahn B, Owens DK, Cohen DJ</w:t>
      </w:r>
      <w:r w:rsidRPr="00EF35F3">
        <w:rPr>
          <w:i/>
        </w:rPr>
        <w:t>, et al.</w:t>
      </w:r>
      <w:r w:rsidRPr="00EF35F3">
        <w:t xml:space="preserve"> State-Transition Modelling: A report of the ISPOR-SMDM Modelling Good Research Practices Task Force-3. </w:t>
      </w:r>
      <w:r w:rsidRPr="00EF35F3">
        <w:rPr>
          <w:i/>
        </w:rPr>
        <w:t>Value in Health</w:t>
      </w:r>
      <w:r w:rsidRPr="00EF35F3">
        <w:t xml:space="preserve"> 2012;</w:t>
      </w:r>
      <w:r w:rsidRPr="00EF35F3">
        <w:rPr>
          <w:b/>
        </w:rPr>
        <w:t>15</w:t>
      </w:r>
      <w:r w:rsidRPr="00EF35F3">
        <w:t>:812-20.</w:t>
      </w:r>
    </w:p>
    <w:p w14:paraId="4A8871E0" w14:textId="7C63910D" w:rsidR="00EF35F3" w:rsidRPr="00EF35F3" w:rsidRDefault="00EF35F3" w:rsidP="00EF35F3">
      <w:pPr>
        <w:pStyle w:val="EndNoteBibliography"/>
        <w:spacing w:after="0"/>
      </w:pPr>
      <w:r w:rsidRPr="00EF35F3">
        <w:t>212.</w:t>
      </w:r>
      <w:r w:rsidRPr="00EF35F3">
        <w:tab/>
        <w:t xml:space="preserve">UK C. </w:t>
      </w:r>
      <w:r w:rsidRPr="00EF35F3">
        <w:rPr>
          <w:i/>
        </w:rPr>
        <w:t>Ongoing symptoms and complications</w:t>
      </w:r>
      <w:r w:rsidRPr="00EF35F3">
        <w:t xml:space="preserve">. 2021. URL: </w:t>
      </w:r>
      <w:hyperlink r:id="rId198" w:history="1">
        <w:r w:rsidRPr="00EF35F3">
          <w:rPr>
            <w:rStyle w:val="Hyperlink"/>
          </w:rPr>
          <w:t>https://www.coeliac.org.uk/healthcare-professionals/management/ongoing-symptoms-and-complications/</w:t>
        </w:r>
      </w:hyperlink>
      <w:r w:rsidRPr="00EF35F3">
        <w:t xml:space="preserve"> (accessed Accessed on 25/01/21).</w:t>
      </w:r>
    </w:p>
    <w:p w14:paraId="1C1A6604" w14:textId="62D213A8" w:rsidR="00EF35F3" w:rsidRPr="00EF35F3" w:rsidRDefault="00EF35F3" w:rsidP="00EF35F3">
      <w:pPr>
        <w:pStyle w:val="EndNoteBibliography"/>
        <w:spacing w:after="0"/>
      </w:pPr>
      <w:r w:rsidRPr="00EF35F3">
        <w:t>213.</w:t>
      </w:r>
      <w:r w:rsidRPr="00EF35F3">
        <w:tab/>
        <w:t>Welton NJ, McAleenan A, Thom HH, Davies P, Hollingworth W, Higgins JP</w:t>
      </w:r>
      <w:r w:rsidRPr="00EF35F3">
        <w:rPr>
          <w:i/>
        </w:rPr>
        <w:t>, et al.</w:t>
      </w:r>
      <w:r w:rsidRPr="00EF35F3">
        <w:t xml:space="preserve"> Screening strategies for atrial fibrillation: a systematic review and cost-effectiveness analysis. </w:t>
      </w:r>
      <w:r w:rsidRPr="00EF35F3">
        <w:rPr>
          <w:i/>
        </w:rPr>
        <w:t>Health Technol Assess</w:t>
      </w:r>
      <w:r w:rsidRPr="00EF35F3">
        <w:t xml:space="preserve"> 2017;</w:t>
      </w:r>
      <w:r w:rsidRPr="00EF35F3">
        <w:rPr>
          <w:b/>
        </w:rPr>
        <w:t>21</w:t>
      </w:r>
      <w:r w:rsidRPr="00EF35F3">
        <w:t xml:space="preserve">:1-236. </w:t>
      </w:r>
      <w:hyperlink r:id="rId199" w:history="1">
        <w:r w:rsidRPr="00EF35F3">
          <w:rPr>
            <w:rStyle w:val="Hyperlink"/>
          </w:rPr>
          <w:t>https://doi.org/10.3310/hta21290</w:t>
        </w:r>
      </w:hyperlink>
    </w:p>
    <w:p w14:paraId="1CC0BA50" w14:textId="0FF38E57" w:rsidR="00EF35F3" w:rsidRPr="00EF35F3" w:rsidRDefault="00EF35F3" w:rsidP="00EF35F3">
      <w:pPr>
        <w:pStyle w:val="EndNoteBibliography"/>
        <w:spacing w:after="0"/>
      </w:pPr>
      <w:r w:rsidRPr="00EF35F3">
        <w:t>214.</w:t>
      </w:r>
      <w:r w:rsidRPr="00EF35F3">
        <w:tab/>
        <w:t xml:space="preserve">Iragorri N, Spackman E. Assessing the value of screening tools: reviewing the challenges and opportunities of cost-effectiveness analysis. </w:t>
      </w:r>
      <w:r w:rsidRPr="00EF35F3">
        <w:rPr>
          <w:i/>
        </w:rPr>
        <w:t>Public Health Rev</w:t>
      </w:r>
      <w:r w:rsidRPr="00EF35F3">
        <w:t xml:space="preserve"> 2018;</w:t>
      </w:r>
      <w:r w:rsidRPr="00EF35F3">
        <w:rPr>
          <w:b/>
        </w:rPr>
        <w:t>39</w:t>
      </w:r>
      <w:r w:rsidRPr="00EF35F3">
        <w:t xml:space="preserve">:17. </w:t>
      </w:r>
      <w:hyperlink r:id="rId200" w:history="1">
        <w:r w:rsidRPr="00EF35F3">
          <w:rPr>
            <w:rStyle w:val="Hyperlink"/>
          </w:rPr>
          <w:t>https://doi.org/10.1186/s40985-018-0093-8</w:t>
        </w:r>
      </w:hyperlink>
    </w:p>
    <w:p w14:paraId="43613153" w14:textId="77777777" w:rsidR="00EF35F3" w:rsidRPr="00EF35F3" w:rsidRDefault="00EF35F3" w:rsidP="00EF35F3">
      <w:pPr>
        <w:pStyle w:val="EndNoteBibliography"/>
        <w:spacing w:after="0"/>
      </w:pPr>
      <w:r w:rsidRPr="00EF35F3">
        <w:t>215.</w:t>
      </w:r>
      <w:r w:rsidRPr="00EF35F3">
        <w:tab/>
        <w:t xml:space="preserve">Briggs AH, Claxton K, Sculpher MJ. </w:t>
      </w:r>
      <w:r w:rsidRPr="00EF35F3">
        <w:rPr>
          <w:i/>
        </w:rPr>
        <w:t>Decision modelling for health economic evaluation</w:t>
      </w:r>
      <w:r w:rsidRPr="00EF35F3">
        <w:t>. Oxford: Oxford University Press; 2006.</w:t>
      </w:r>
    </w:p>
    <w:p w14:paraId="226F79DD" w14:textId="1E2BF231" w:rsidR="00EF35F3" w:rsidRPr="00EF35F3" w:rsidRDefault="00EF35F3" w:rsidP="00EF35F3">
      <w:pPr>
        <w:pStyle w:val="EndNoteBibliography"/>
        <w:spacing w:after="0"/>
      </w:pPr>
      <w:r w:rsidRPr="00EF35F3">
        <w:t>216.</w:t>
      </w:r>
      <w:r w:rsidRPr="00EF35F3">
        <w:tab/>
        <w:t xml:space="preserve">Johnson B, Basson MD. Absence of Complications after Endoscopic Mucosal Biopsy. </w:t>
      </w:r>
      <w:r w:rsidRPr="00EF35F3">
        <w:rPr>
          <w:i/>
        </w:rPr>
        <w:t>Digestive Diseases</w:t>
      </w:r>
      <w:r w:rsidRPr="00EF35F3">
        <w:t xml:space="preserve"> 2018; 10.1159/000489394:328-32. </w:t>
      </w:r>
      <w:hyperlink r:id="rId201" w:history="1">
        <w:r w:rsidRPr="00EF35F3">
          <w:rPr>
            <w:rStyle w:val="Hyperlink"/>
          </w:rPr>
          <w:t>https://doi.org/10.1159/000489394</w:t>
        </w:r>
      </w:hyperlink>
    </w:p>
    <w:p w14:paraId="5F780BFB" w14:textId="337435F0" w:rsidR="00EF35F3" w:rsidRPr="00EF35F3" w:rsidRDefault="00EF35F3" w:rsidP="00EF35F3">
      <w:pPr>
        <w:pStyle w:val="EndNoteBibliography"/>
        <w:spacing w:after="0"/>
      </w:pPr>
      <w:r w:rsidRPr="00EF35F3">
        <w:t>217.</w:t>
      </w:r>
      <w:r w:rsidRPr="00EF35F3">
        <w:tab/>
        <w:t xml:space="preserve">Hall NJ, Rubin G, Charnock A. Systematic review: adherence to a gluten-free diet in adult patients with coeliac disease. </w:t>
      </w:r>
      <w:r w:rsidRPr="00EF35F3">
        <w:rPr>
          <w:i/>
        </w:rPr>
        <w:t>Aliment Pharmacol Ther</w:t>
      </w:r>
      <w:r w:rsidRPr="00EF35F3">
        <w:t xml:space="preserve"> 2009;</w:t>
      </w:r>
      <w:r w:rsidRPr="00EF35F3">
        <w:rPr>
          <w:b/>
        </w:rPr>
        <w:t>30</w:t>
      </w:r>
      <w:r w:rsidRPr="00EF35F3">
        <w:t xml:space="preserve">:315-30. </w:t>
      </w:r>
      <w:hyperlink r:id="rId202" w:history="1">
        <w:r w:rsidRPr="00EF35F3">
          <w:rPr>
            <w:rStyle w:val="Hyperlink"/>
          </w:rPr>
          <w:t>https://doi.org/10.1111/j.1365-2036.2009.04053.x</w:t>
        </w:r>
      </w:hyperlink>
    </w:p>
    <w:p w14:paraId="281FE58C" w14:textId="6143E9DB" w:rsidR="00EF35F3" w:rsidRPr="00EF35F3" w:rsidRDefault="00EF35F3" w:rsidP="00EF35F3">
      <w:pPr>
        <w:pStyle w:val="EndNoteBibliography"/>
        <w:spacing w:after="0"/>
      </w:pPr>
      <w:r w:rsidRPr="00EF35F3">
        <w:t>218.</w:t>
      </w:r>
      <w:r w:rsidRPr="00EF35F3">
        <w:tab/>
        <w:t xml:space="preserve">Muhammad H, Reeves S, Jeanes YM. Identifying and improving adherence to the gluten-free diet in people with coeliac disease. </w:t>
      </w:r>
      <w:r w:rsidRPr="00EF35F3">
        <w:rPr>
          <w:i/>
        </w:rPr>
        <w:t>Proc Nutr Soc</w:t>
      </w:r>
      <w:r w:rsidRPr="00EF35F3">
        <w:t xml:space="preserve"> 2019;</w:t>
      </w:r>
      <w:r w:rsidRPr="00EF35F3">
        <w:rPr>
          <w:b/>
        </w:rPr>
        <w:t>78</w:t>
      </w:r>
      <w:r w:rsidRPr="00EF35F3">
        <w:t xml:space="preserve">:418-25. </w:t>
      </w:r>
      <w:hyperlink r:id="rId203" w:history="1">
        <w:r w:rsidRPr="00EF35F3">
          <w:rPr>
            <w:rStyle w:val="Hyperlink"/>
          </w:rPr>
          <w:t>https://doi.org/10.1017/s002966511800277x</w:t>
        </w:r>
      </w:hyperlink>
    </w:p>
    <w:p w14:paraId="4322C01F" w14:textId="57287D7B" w:rsidR="00EF35F3" w:rsidRPr="00EF35F3" w:rsidRDefault="00EF35F3" w:rsidP="00EF35F3">
      <w:pPr>
        <w:pStyle w:val="EndNoteBibliography"/>
        <w:spacing w:after="0"/>
      </w:pPr>
      <w:r w:rsidRPr="00EF35F3">
        <w:t>219.</w:t>
      </w:r>
      <w:r w:rsidRPr="00EF35F3">
        <w:tab/>
        <w:t xml:space="preserve">Dhalwani NN, West J, Sultan AA, Ban L, Tata LJ. Women with celiac disease present with fertility problems no more often than women in the general population. </w:t>
      </w:r>
      <w:r w:rsidRPr="00EF35F3">
        <w:rPr>
          <w:i/>
        </w:rPr>
        <w:t>Gastroenterology</w:t>
      </w:r>
      <w:r w:rsidRPr="00EF35F3">
        <w:t xml:space="preserve"> 2014;</w:t>
      </w:r>
      <w:r w:rsidRPr="00EF35F3">
        <w:rPr>
          <w:b/>
        </w:rPr>
        <w:t>147</w:t>
      </w:r>
      <w:r w:rsidRPr="00EF35F3">
        <w:t xml:space="preserve">:1267-74 e1; quiz e13-4. </w:t>
      </w:r>
      <w:hyperlink r:id="rId204" w:history="1">
        <w:r w:rsidRPr="00EF35F3">
          <w:rPr>
            <w:rStyle w:val="Hyperlink"/>
          </w:rPr>
          <w:t>https://doi.org/10.1053/j.gastro.2014.08.025</w:t>
        </w:r>
      </w:hyperlink>
    </w:p>
    <w:p w14:paraId="09502AD8" w14:textId="16C09EEF" w:rsidR="00EF35F3" w:rsidRPr="00C34531" w:rsidRDefault="00EF35F3" w:rsidP="00EF35F3">
      <w:pPr>
        <w:pStyle w:val="EndNoteBibliography"/>
        <w:spacing w:after="0"/>
        <w:rPr>
          <w:lang w:val="it-IT"/>
        </w:rPr>
      </w:pPr>
      <w:r w:rsidRPr="00EF35F3">
        <w:t>220.</w:t>
      </w:r>
      <w:r w:rsidRPr="00EF35F3">
        <w:tab/>
        <w:t xml:space="preserve">Tata LJ, Card TR, Logan RF, Hubbard RB, Smith CJ, West J. Fertility and pregnancy-related events in women with celiac disease: a population-based cohort study. </w:t>
      </w:r>
      <w:r w:rsidRPr="00C34531">
        <w:rPr>
          <w:i/>
          <w:lang w:val="it-IT"/>
        </w:rPr>
        <w:t>Gastroenterology</w:t>
      </w:r>
      <w:r w:rsidRPr="00C34531">
        <w:rPr>
          <w:lang w:val="it-IT"/>
        </w:rPr>
        <w:t xml:space="preserve"> 2005;</w:t>
      </w:r>
      <w:r w:rsidRPr="00C34531">
        <w:rPr>
          <w:b/>
          <w:lang w:val="it-IT"/>
        </w:rPr>
        <w:t>128</w:t>
      </w:r>
      <w:r w:rsidRPr="00C34531">
        <w:rPr>
          <w:lang w:val="it-IT"/>
        </w:rPr>
        <w:t xml:space="preserve">:849-55. </w:t>
      </w:r>
      <w:hyperlink r:id="rId205" w:history="1">
        <w:r w:rsidRPr="00C34531">
          <w:rPr>
            <w:rStyle w:val="Hyperlink"/>
            <w:lang w:val="it-IT"/>
          </w:rPr>
          <w:t>https://doi.org/10.1053/j.gastro.2005.02.017</w:t>
        </w:r>
      </w:hyperlink>
    </w:p>
    <w:p w14:paraId="17189D92" w14:textId="385E3BC0" w:rsidR="00EF35F3" w:rsidRPr="00C34531" w:rsidRDefault="00EF35F3" w:rsidP="00EF35F3">
      <w:pPr>
        <w:pStyle w:val="EndNoteBibliography"/>
        <w:spacing w:after="0"/>
        <w:rPr>
          <w:lang w:val="nl-NL"/>
        </w:rPr>
      </w:pPr>
      <w:r w:rsidRPr="00C34531">
        <w:rPr>
          <w:lang w:val="it-IT"/>
        </w:rPr>
        <w:t>221.</w:t>
      </w:r>
      <w:r w:rsidRPr="00C34531">
        <w:rPr>
          <w:lang w:val="it-IT"/>
        </w:rPr>
        <w:tab/>
        <w:t xml:space="preserve">Zugna D, Richiardi L, Akre O, Stephansson O, Ludvigsson JF. </w:t>
      </w:r>
      <w:r w:rsidRPr="00EF35F3">
        <w:t xml:space="preserve">A nationwide population-based study to determine whether coeliac disease is associated with infertility. </w:t>
      </w:r>
      <w:r w:rsidRPr="00C34531">
        <w:rPr>
          <w:i/>
          <w:lang w:val="nl-NL"/>
        </w:rPr>
        <w:t>Gut</w:t>
      </w:r>
      <w:r w:rsidRPr="00C34531">
        <w:rPr>
          <w:lang w:val="nl-NL"/>
        </w:rPr>
        <w:t xml:space="preserve"> 2010;</w:t>
      </w:r>
      <w:r w:rsidRPr="00C34531">
        <w:rPr>
          <w:b/>
          <w:lang w:val="nl-NL"/>
        </w:rPr>
        <w:t>59</w:t>
      </w:r>
      <w:r w:rsidRPr="00C34531">
        <w:rPr>
          <w:lang w:val="nl-NL"/>
        </w:rPr>
        <w:t xml:space="preserve">:1471-5. </w:t>
      </w:r>
      <w:hyperlink r:id="rId206" w:history="1">
        <w:r w:rsidRPr="00C34531">
          <w:rPr>
            <w:rStyle w:val="Hyperlink"/>
            <w:lang w:val="nl-NL"/>
          </w:rPr>
          <w:t>https://doi.org/10.1136/gut.2010.219030</w:t>
        </w:r>
      </w:hyperlink>
    </w:p>
    <w:p w14:paraId="0AFE55F4" w14:textId="4EDE93BC" w:rsidR="00EF35F3" w:rsidRPr="00EF35F3" w:rsidRDefault="00EF35F3" w:rsidP="00EF35F3">
      <w:pPr>
        <w:pStyle w:val="EndNoteBibliography"/>
        <w:spacing w:after="0"/>
      </w:pPr>
      <w:r w:rsidRPr="00C34531">
        <w:rPr>
          <w:lang w:val="nl-NL"/>
        </w:rPr>
        <w:t>222.</w:t>
      </w:r>
      <w:r w:rsidRPr="00C34531">
        <w:rPr>
          <w:lang w:val="nl-NL"/>
        </w:rPr>
        <w:tab/>
        <w:t>Hogen Esch CE, Van Rijssen MJ, Roos A, Koning F, Dekker FW, Mearin ML</w:t>
      </w:r>
      <w:r w:rsidRPr="00C34531">
        <w:rPr>
          <w:i/>
          <w:lang w:val="nl-NL"/>
        </w:rPr>
        <w:t>, et al.</w:t>
      </w:r>
      <w:r w:rsidRPr="00C34531">
        <w:rPr>
          <w:lang w:val="nl-NL"/>
        </w:rPr>
        <w:t xml:space="preserve"> </w:t>
      </w:r>
      <w:r w:rsidRPr="00EF35F3">
        <w:t xml:space="preserve">Screening for unrecognized coeliac disease in subfertile couples. </w:t>
      </w:r>
      <w:r w:rsidRPr="00EF35F3">
        <w:rPr>
          <w:i/>
        </w:rPr>
        <w:t>Scand J Gastroenterol</w:t>
      </w:r>
      <w:r w:rsidRPr="00EF35F3">
        <w:t xml:space="preserve"> 2011;</w:t>
      </w:r>
      <w:r w:rsidRPr="00EF35F3">
        <w:rPr>
          <w:b/>
        </w:rPr>
        <w:t>46</w:t>
      </w:r>
      <w:r w:rsidRPr="00EF35F3">
        <w:t xml:space="preserve">:1423-8. </w:t>
      </w:r>
      <w:hyperlink r:id="rId207" w:history="1">
        <w:r w:rsidRPr="00EF35F3">
          <w:rPr>
            <w:rStyle w:val="Hyperlink"/>
          </w:rPr>
          <w:t>https://doi.org/10.3109/00365521.2011.615858</w:t>
        </w:r>
      </w:hyperlink>
    </w:p>
    <w:p w14:paraId="187875A1" w14:textId="35765550" w:rsidR="00EF35F3" w:rsidRPr="00EF35F3" w:rsidRDefault="00EF35F3" w:rsidP="00EF35F3">
      <w:pPr>
        <w:pStyle w:val="EndNoteBibliography"/>
        <w:spacing w:after="0"/>
      </w:pPr>
      <w:r w:rsidRPr="00EF35F3">
        <w:t>223.</w:t>
      </w:r>
      <w:r w:rsidRPr="00EF35F3">
        <w:tab/>
        <w:t>Fuchs V, Kurppa K, Huhtala H, Laurila K, Mäki M, Collin P</w:t>
      </w:r>
      <w:r w:rsidRPr="00EF35F3">
        <w:rPr>
          <w:i/>
        </w:rPr>
        <w:t>, et al.</w:t>
      </w:r>
      <w:r w:rsidRPr="00EF35F3">
        <w:t xml:space="preserve"> Serology-based criteria for adult coeliac disease have excellent accuracy across the range of pre-test probabilities. </w:t>
      </w:r>
      <w:r w:rsidRPr="00EF35F3">
        <w:rPr>
          <w:i/>
        </w:rPr>
        <w:t>Aliment Pharmacol Ther</w:t>
      </w:r>
      <w:r w:rsidRPr="00EF35F3">
        <w:t xml:space="preserve"> 2019;</w:t>
      </w:r>
      <w:r w:rsidRPr="00EF35F3">
        <w:rPr>
          <w:b/>
        </w:rPr>
        <w:t>49</w:t>
      </w:r>
      <w:r w:rsidRPr="00EF35F3">
        <w:t xml:space="preserve">:277-84. </w:t>
      </w:r>
      <w:hyperlink r:id="rId208" w:history="1">
        <w:r w:rsidRPr="00EF35F3">
          <w:rPr>
            <w:rStyle w:val="Hyperlink"/>
          </w:rPr>
          <w:t>https://doi.org/10.1111/apt.15109</w:t>
        </w:r>
      </w:hyperlink>
    </w:p>
    <w:p w14:paraId="418E07B3" w14:textId="66014365" w:rsidR="00EF35F3" w:rsidRPr="00EF35F3" w:rsidRDefault="00EF35F3" w:rsidP="00EF35F3">
      <w:pPr>
        <w:pStyle w:val="EndNoteBibliography"/>
        <w:spacing w:after="0"/>
      </w:pPr>
      <w:r w:rsidRPr="00EF35F3">
        <w:t>224.</w:t>
      </w:r>
      <w:r w:rsidRPr="00EF35F3">
        <w:tab/>
        <w:t xml:space="preserve">Hill PG, Holmes GK. Coeliac disease: a biopsy is not always necessary for diagnosis. </w:t>
      </w:r>
      <w:r w:rsidRPr="00EF35F3">
        <w:rPr>
          <w:i/>
        </w:rPr>
        <w:t>Aliment Pharmacol Ther</w:t>
      </w:r>
      <w:r w:rsidRPr="00EF35F3">
        <w:t xml:space="preserve"> 2008;</w:t>
      </w:r>
      <w:r w:rsidRPr="00EF35F3">
        <w:rPr>
          <w:b/>
        </w:rPr>
        <w:t>27</w:t>
      </w:r>
      <w:r w:rsidRPr="00EF35F3">
        <w:t xml:space="preserve">:572-7. </w:t>
      </w:r>
      <w:hyperlink r:id="rId209" w:history="1">
        <w:r w:rsidRPr="00EF35F3">
          <w:rPr>
            <w:rStyle w:val="Hyperlink"/>
          </w:rPr>
          <w:t>https://doi.org/10.1111/j.1365-2036.2008.03609.x</w:t>
        </w:r>
      </w:hyperlink>
    </w:p>
    <w:p w14:paraId="27394495" w14:textId="1A18AFDC" w:rsidR="00EF35F3" w:rsidRPr="00EF35F3" w:rsidRDefault="00EF35F3" w:rsidP="00EF35F3">
      <w:pPr>
        <w:pStyle w:val="EndNoteBibliography"/>
        <w:spacing w:after="0"/>
      </w:pPr>
      <w:r w:rsidRPr="00EF35F3">
        <w:t>225.</w:t>
      </w:r>
      <w:r w:rsidRPr="00EF35F3">
        <w:tab/>
        <w:t xml:space="preserve">Holmes GKT, Forsyth JM, Knowles S, Seddon H, Hill PG, Austin AS. Coeliac disease: further evidence that biopsy is not always necessary for diagnosis. </w:t>
      </w:r>
      <w:r w:rsidRPr="00EF35F3">
        <w:rPr>
          <w:i/>
        </w:rPr>
        <w:t>Eur J Gastroenterol Hepatol</w:t>
      </w:r>
      <w:r w:rsidRPr="00EF35F3">
        <w:t xml:space="preserve"> 2017;</w:t>
      </w:r>
      <w:r w:rsidRPr="00EF35F3">
        <w:rPr>
          <w:b/>
        </w:rPr>
        <w:t>29</w:t>
      </w:r>
      <w:r w:rsidRPr="00EF35F3">
        <w:t xml:space="preserve">:640-5. </w:t>
      </w:r>
      <w:hyperlink r:id="rId210" w:history="1">
        <w:r w:rsidRPr="00EF35F3">
          <w:rPr>
            <w:rStyle w:val="Hyperlink"/>
          </w:rPr>
          <w:t>https://doi.org/10.1097/meg.0000000000000841</w:t>
        </w:r>
      </w:hyperlink>
    </w:p>
    <w:p w14:paraId="6CA6CAD5" w14:textId="77777777" w:rsidR="00EF35F3" w:rsidRPr="00EF35F3" w:rsidRDefault="00EF35F3" w:rsidP="00EF35F3">
      <w:pPr>
        <w:pStyle w:val="EndNoteBibliography"/>
        <w:spacing w:after="0"/>
      </w:pPr>
      <w:r w:rsidRPr="00EF35F3">
        <w:lastRenderedPageBreak/>
        <w:t>226.</w:t>
      </w:r>
      <w:r w:rsidRPr="00EF35F3">
        <w:tab/>
        <w:t xml:space="preserve">Holmes G, Ciacci C. The serological diagnosis of coeliac disease - a step forward. </w:t>
      </w:r>
      <w:r w:rsidRPr="00EF35F3">
        <w:rPr>
          <w:i/>
        </w:rPr>
        <w:t>Gastroenterol Hepatol Bed Bench</w:t>
      </w:r>
      <w:r w:rsidRPr="00EF35F3">
        <w:t xml:space="preserve"> 2018;</w:t>
      </w:r>
      <w:r w:rsidRPr="00EF35F3">
        <w:rPr>
          <w:b/>
        </w:rPr>
        <w:t>11</w:t>
      </w:r>
      <w:r w:rsidRPr="00EF35F3">
        <w:t>:209-15.</w:t>
      </w:r>
    </w:p>
    <w:p w14:paraId="49B8898E" w14:textId="7361C832" w:rsidR="00EF35F3" w:rsidRPr="00EF35F3" w:rsidRDefault="00EF35F3" w:rsidP="00EF35F3">
      <w:pPr>
        <w:pStyle w:val="EndNoteBibliography"/>
        <w:spacing w:after="0"/>
      </w:pPr>
      <w:r w:rsidRPr="00EF35F3">
        <w:t>227.</w:t>
      </w:r>
      <w:r w:rsidRPr="00EF35F3">
        <w:tab/>
        <w:t xml:space="preserve">National Health Service. National Schedule of NHS costs. In: NHS, ed. </w:t>
      </w:r>
      <w:hyperlink r:id="rId211" w:history="1">
        <w:r w:rsidRPr="00EF35F3">
          <w:rPr>
            <w:rStyle w:val="Hyperlink"/>
          </w:rPr>
          <w:t>https://www.england.nhs.uk/national-cost-collection/</w:t>
        </w:r>
      </w:hyperlink>
      <w:r w:rsidRPr="00EF35F3">
        <w:t xml:space="preserve"> [last accessed 05/10/2021]; 2019.</w:t>
      </w:r>
    </w:p>
    <w:p w14:paraId="6EA148C6" w14:textId="196D2284" w:rsidR="00EF35F3" w:rsidRPr="00EF35F3" w:rsidRDefault="00EF35F3" w:rsidP="00EF35F3">
      <w:pPr>
        <w:pStyle w:val="EndNoteBibliography"/>
        <w:spacing w:after="0"/>
      </w:pPr>
      <w:r w:rsidRPr="00EF35F3">
        <w:t>228.</w:t>
      </w:r>
      <w:r w:rsidRPr="00EF35F3">
        <w:tab/>
        <w:t xml:space="preserve">Beecham J, Curtis L. Unit Costs of Health and Social Care. In: PSSRU. </w:t>
      </w:r>
      <w:hyperlink r:id="rId212" w:history="1">
        <w:r w:rsidRPr="00EF35F3">
          <w:rPr>
            <w:rStyle w:val="Hyperlink"/>
          </w:rPr>
          <w:t>https://www.pssru.ac.uk/research/354</w:t>
        </w:r>
      </w:hyperlink>
      <w:r w:rsidRPr="00EF35F3">
        <w:t xml:space="preserve"> [last accessed 04/10/2021]; 2020.</w:t>
      </w:r>
    </w:p>
    <w:p w14:paraId="74B33BCE" w14:textId="6310D9E6" w:rsidR="00EF35F3" w:rsidRPr="00EF35F3" w:rsidRDefault="00EF35F3" w:rsidP="00EF35F3">
      <w:pPr>
        <w:pStyle w:val="EndNoteBibliography"/>
        <w:spacing w:after="0"/>
      </w:pPr>
      <w:r w:rsidRPr="00EF35F3">
        <w:t>229.</w:t>
      </w:r>
      <w:r w:rsidRPr="00EF35F3">
        <w:tab/>
        <w:t xml:space="preserve">NHS. National Schedule of NHS costs. In. </w:t>
      </w:r>
      <w:hyperlink r:id="rId213" w:history="1">
        <w:r w:rsidRPr="00EF35F3">
          <w:rPr>
            <w:rStyle w:val="Hyperlink"/>
          </w:rPr>
          <w:t>https://www.england.nhs.uk/national-cost-collection/</w:t>
        </w:r>
      </w:hyperlink>
      <w:r w:rsidRPr="00EF35F3">
        <w:t xml:space="preserve"> [last accessed 05/10/2021]; 2019.</w:t>
      </w:r>
    </w:p>
    <w:p w14:paraId="4F8F4F8B" w14:textId="77777777" w:rsidR="00EF35F3" w:rsidRPr="00EF35F3" w:rsidRDefault="00EF35F3" w:rsidP="00EF35F3">
      <w:pPr>
        <w:pStyle w:val="EndNoteBibliography"/>
        <w:spacing w:after="0"/>
      </w:pPr>
      <w:r w:rsidRPr="00EF35F3">
        <w:t>230.</w:t>
      </w:r>
      <w:r w:rsidRPr="00EF35F3">
        <w:tab/>
        <w:t xml:space="preserve">. </w:t>
      </w:r>
      <w:r w:rsidRPr="00EF35F3">
        <w:rPr>
          <w:i/>
        </w:rPr>
        <w:t>National Schedule of NHS costs</w:t>
      </w:r>
      <w:r w:rsidRPr="00EF35F3">
        <w:t>; 2019.</w:t>
      </w:r>
    </w:p>
    <w:p w14:paraId="35E10C48" w14:textId="5F1F2865" w:rsidR="00EF35F3" w:rsidRPr="00C34531" w:rsidRDefault="00EF35F3" w:rsidP="00EF35F3">
      <w:pPr>
        <w:pStyle w:val="EndNoteBibliography"/>
        <w:spacing w:after="0"/>
        <w:rPr>
          <w:lang w:val="nl-NL"/>
        </w:rPr>
      </w:pPr>
      <w:r w:rsidRPr="00EF35F3">
        <w:t>231.</w:t>
      </w:r>
      <w:r w:rsidRPr="00EF35F3">
        <w:tab/>
        <w:t>Wang HI, Smith A, Aas E, Roman E, Crouch S, Burton C</w:t>
      </w:r>
      <w:r w:rsidRPr="00EF35F3">
        <w:rPr>
          <w:i/>
        </w:rPr>
        <w:t>, et al.</w:t>
      </w:r>
      <w:r w:rsidRPr="00EF35F3">
        <w:t xml:space="preserve"> Treatment cost and life expectancy of diffuse large B-cell lymphoma (DLBCL): a discrete event simulation model on a UK population-based observational cohort. </w:t>
      </w:r>
      <w:r w:rsidRPr="00C34531">
        <w:rPr>
          <w:i/>
          <w:lang w:val="nl-NL"/>
        </w:rPr>
        <w:t>Eur J Health Econ</w:t>
      </w:r>
      <w:r w:rsidRPr="00C34531">
        <w:rPr>
          <w:lang w:val="nl-NL"/>
        </w:rPr>
        <w:t xml:space="preserve"> 2017;</w:t>
      </w:r>
      <w:r w:rsidRPr="00C34531">
        <w:rPr>
          <w:b/>
          <w:lang w:val="nl-NL"/>
        </w:rPr>
        <w:t>18</w:t>
      </w:r>
      <w:r w:rsidRPr="00C34531">
        <w:rPr>
          <w:lang w:val="nl-NL"/>
        </w:rPr>
        <w:t xml:space="preserve">:255-67. </w:t>
      </w:r>
      <w:hyperlink r:id="rId214" w:history="1">
        <w:r w:rsidRPr="00C34531">
          <w:rPr>
            <w:rStyle w:val="Hyperlink"/>
            <w:lang w:val="nl-NL"/>
          </w:rPr>
          <w:t>https://doi.org/10.1007/s10198-016-0775-4</w:t>
        </w:r>
      </w:hyperlink>
    </w:p>
    <w:p w14:paraId="6F450A6B" w14:textId="30FA5EEF" w:rsidR="00EF35F3" w:rsidRPr="00EF35F3" w:rsidRDefault="00EF35F3" w:rsidP="00EF35F3">
      <w:pPr>
        <w:pStyle w:val="EndNoteBibliography"/>
        <w:spacing w:after="0"/>
      </w:pPr>
      <w:r w:rsidRPr="00C34531">
        <w:rPr>
          <w:lang w:val="nl-NL"/>
        </w:rPr>
        <w:t>232.</w:t>
      </w:r>
      <w:r w:rsidRPr="00C34531">
        <w:rPr>
          <w:lang w:val="nl-NL"/>
        </w:rPr>
        <w:tab/>
        <w:t>Curtis EM, van der Velde R, Moon RJ, van den Bergh JP, Geusens P, de Vries F</w:t>
      </w:r>
      <w:r w:rsidRPr="00C34531">
        <w:rPr>
          <w:i/>
          <w:lang w:val="nl-NL"/>
        </w:rPr>
        <w:t>, et al.</w:t>
      </w:r>
      <w:r w:rsidRPr="00C34531">
        <w:rPr>
          <w:lang w:val="nl-NL"/>
        </w:rPr>
        <w:t xml:space="preserve"> </w:t>
      </w:r>
      <w:r w:rsidRPr="00EF35F3">
        <w:t xml:space="preserve">Epidemiology of fractures in the United Kingdom 1988-2012: Variation with age, sex, geography, ethnicity and socioeconomic status. </w:t>
      </w:r>
      <w:r w:rsidRPr="00EF35F3">
        <w:rPr>
          <w:i/>
        </w:rPr>
        <w:t>Bone</w:t>
      </w:r>
      <w:r w:rsidRPr="00EF35F3">
        <w:t xml:space="preserve"> 2016;</w:t>
      </w:r>
      <w:r w:rsidRPr="00EF35F3">
        <w:rPr>
          <w:b/>
        </w:rPr>
        <w:t>87</w:t>
      </w:r>
      <w:r w:rsidRPr="00EF35F3">
        <w:t xml:space="preserve">:19-26. </w:t>
      </w:r>
      <w:hyperlink r:id="rId215" w:history="1">
        <w:r w:rsidRPr="00EF35F3">
          <w:rPr>
            <w:rStyle w:val="Hyperlink"/>
          </w:rPr>
          <w:t>https://doi.org/10.1016/j.bone.2016.03.006</w:t>
        </w:r>
      </w:hyperlink>
    </w:p>
    <w:p w14:paraId="1E1B093F" w14:textId="1F708998" w:rsidR="00EF35F3" w:rsidRPr="00EF35F3" w:rsidRDefault="00EF35F3" w:rsidP="00EF35F3">
      <w:pPr>
        <w:pStyle w:val="EndNoteBibliography"/>
        <w:spacing w:after="0"/>
      </w:pPr>
      <w:r w:rsidRPr="00EF35F3">
        <w:t>233.</w:t>
      </w:r>
      <w:r w:rsidRPr="00EF35F3">
        <w:tab/>
        <w:t>Leal J, Gray AM, Prieto-Alhambra D, Arden NK, Cooper C, Javaid MK</w:t>
      </w:r>
      <w:r w:rsidRPr="00EF35F3">
        <w:rPr>
          <w:i/>
        </w:rPr>
        <w:t>, et al.</w:t>
      </w:r>
      <w:r w:rsidRPr="00EF35F3">
        <w:t xml:space="preserve"> Impact of hip fracture on hospital care costs: a population-based study. </w:t>
      </w:r>
      <w:r w:rsidRPr="00EF35F3">
        <w:rPr>
          <w:i/>
        </w:rPr>
        <w:t>Osteoporosis International</w:t>
      </w:r>
      <w:r w:rsidRPr="00EF35F3">
        <w:t xml:space="preserve"> 2016;</w:t>
      </w:r>
      <w:r w:rsidRPr="00EF35F3">
        <w:rPr>
          <w:b/>
        </w:rPr>
        <w:t>27</w:t>
      </w:r>
      <w:r w:rsidRPr="00EF35F3">
        <w:t xml:space="preserve">:549-58. </w:t>
      </w:r>
      <w:hyperlink r:id="rId216" w:history="1">
        <w:r w:rsidRPr="00EF35F3">
          <w:rPr>
            <w:rStyle w:val="Hyperlink"/>
          </w:rPr>
          <w:t>https://doi.org/10.1007/s00198-015-3277-9</w:t>
        </w:r>
      </w:hyperlink>
    </w:p>
    <w:p w14:paraId="15B584D6" w14:textId="41626A9C" w:rsidR="00EF35F3" w:rsidRPr="00EF35F3" w:rsidRDefault="00EF35F3" w:rsidP="00EF35F3">
      <w:pPr>
        <w:pStyle w:val="EndNoteBibliography"/>
        <w:spacing w:after="0"/>
      </w:pPr>
      <w:r w:rsidRPr="00EF35F3">
        <w:t>234.</w:t>
      </w:r>
      <w:r w:rsidRPr="00EF35F3">
        <w:tab/>
        <w:t xml:space="preserve">Dolan P, Torgerson DJ. The Cost of Treating Osteoporotic Fractures in the United Kingdom Female Population. </w:t>
      </w:r>
      <w:r w:rsidRPr="00EF35F3">
        <w:rPr>
          <w:i/>
        </w:rPr>
        <w:t>Osteoporosis International</w:t>
      </w:r>
      <w:r w:rsidRPr="00EF35F3">
        <w:t xml:space="preserve"> 1998;</w:t>
      </w:r>
      <w:r w:rsidRPr="00EF35F3">
        <w:rPr>
          <w:b/>
        </w:rPr>
        <w:t>8</w:t>
      </w:r>
      <w:r w:rsidRPr="00EF35F3">
        <w:t xml:space="preserve">:611-7. </w:t>
      </w:r>
      <w:hyperlink r:id="rId217" w:history="1">
        <w:r w:rsidRPr="00EF35F3">
          <w:rPr>
            <w:rStyle w:val="Hyperlink"/>
          </w:rPr>
          <w:t>https://doi.org/10.1007/s001980050107</w:t>
        </w:r>
      </w:hyperlink>
    </w:p>
    <w:p w14:paraId="29644CF5" w14:textId="57BD492D" w:rsidR="00EF35F3" w:rsidRPr="00EF35F3" w:rsidRDefault="00EF35F3" w:rsidP="00EF35F3">
      <w:pPr>
        <w:pStyle w:val="EndNoteBibliography"/>
        <w:spacing w:after="0"/>
      </w:pPr>
      <w:r w:rsidRPr="00EF35F3">
        <w:t>235.</w:t>
      </w:r>
      <w:r w:rsidRPr="00EF35F3">
        <w:tab/>
        <w:t xml:space="preserve">ONS. Consumer price inflation tables. In. </w:t>
      </w:r>
      <w:hyperlink r:id="rId218" w:history="1">
        <w:r w:rsidRPr="00EF35F3">
          <w:rPr>
            <w:rStyle w:val="Hyperlink"/>
          </w:rPr>
          <w:t>www.ons.gov.uk/economy/inflationandpriceindices/datasets/consumerpriceinflation</w:t>
        </w:r>
      </w:hyperlink>
      <w:r w:rsidRPr="00EF35F3">
        <w:t xml:space="preserve"> [last accessed 11/11/2021]; 2021.</w:t>
      </w:r>
    </w:p>
    <w:p w14:paraId="151FC687" w14:textId="77777777" w:rsidR="00EF35F3" w:rsidRPr="00EF35F3" w:rsidRDefault="00EF35F3" w:rsidP="00EF35F3">
      <w:pPr>
        <w:pStyle w:val="EndNoteBibliography"/>
        <w:spacing w:after="0"/>
      </w:pPr>
      <w:r w:rsidRPr="00EF35F3">
        <w:t>236.</w:t>
      </w:r>
      <w:r w:rsidRPr="00EF35F3">
        <w:tab/>
        <w:t xml:space="preserve">. </w:t>
      </w:r>
      <w:r w:rsidRPr="00EF35F3">
        <w:rPr>
          <w:i/>
        </w:rPr>
        <w:t>Consumer price inflation tables</w:t>
      </w:r>
      <w:r w:rsidRPr="00EF35F3">
        <w:t>; 2021.</w:t>
      </w:r>
    </w:p>
    <w:p w14:paraId="659133C4" w14:textId="6784EA7E" w:rsidR="00EF35F3" w:rsidRPr="00EF35F3" w:rsidRDefault="00EF35F3" w:rsidP="00EF35F3">
      <w:pPr>
        <w:pStyle w:val="EndNoteBibliography"/>
        <w:spacing w:after="0"/>
      </w:pPr>
      <w:r w:rsidRPr="00EF35F3">
        <w:t>237.</w:t>
      </w:r>
      <w:r w:rsidRPr="00EF35F3">
        <w:tab/>
        <w:t xml:space="preserve">Janssen B, Szende A. Population Norms for the EQ-5D. In: Szende A, Janssen B, Cabases J, editors. </w:t>
      </w:r>
      <w:r w:rsidRPr="00EF35F3">
        <w:rPr>
          <w:i/>
        </w:rPr>
        <w:t>Self-Reported Population Health: An International Perspective based on EQ-5D</w:t>
      </w:r>
      <w:r w:rsidRPr="00EF35F3">
        <w:t xml:space="preserve">Dordrecht: Springer Netherlands; 2014:19-30. </w:t>
      </w:r>
      <w:hyperlink r:id="rId219" w:history="1">
        <w:r w:rsidRPr="00EF35F3">
          <w:rPr>
            <w:rStyle w:val="Hyperlink"/>
          </w:rPr>
          <w:t>https://doi.org/10.1007/978-94-007-7596-1_3</w:t>
        </w:r>
      </w:hyperlink>
    </w:p>
    <w:p w14:paraId="2869B6D0" w14:textId="2A5AD8B0" w:rsidR="00EF35F3" w:rsidRPr="00EF35F3" w:rsidRDefault="00EF35F3" w:rsidP="00EF35F3">
      <w:pPr>
        <w:pStyle w:val="EndNoteBibliography"/>
        <w:spacing w:after="0"/>
      </w:pPr>
      <w:r w:rsidRPr="00EF35F3">
        <w:t>238.</w:t>
      </w:r>
      <w:r w:rsidRPr="00EF35F3">
        <w:tab/>
        <w:t xml:space="preserve">Violato M, Gray A. The impact of diagnosis on health-related quality of life in people with coeliac disease: a UK population-based longitudinal perspective. </w:t>
      </w:r>
      <w:r w:rsidRPr="00EF35F3">
        <w:rPr>
          <w:i/>
        </w:rPr>
        <w:t>BMC Gastroenterology</w:t>
      </w:r>
      <w:r w:rsidRPr="00EF35F3">
        <w:t xml:space="preserve"> 2019;</w:t>
      </w:r>
      <w:r w:rsidRPr="00EF35F3">
        <w:rPr>
          <w:b/>
        </w:rPr>
        <w:t>19</w:t>
      </w:r>
      <w:r w:rsidRPr="00EF35F3">
        <w:t xml:space="preserve">:68. </w:t>
      </w:r>
      <w:hyperlink r:id="rId220" w:history="1">
        <w:r w:rsidRPr="00EF35F3">
          <w:rPr>
            <w:rStyle w:val="Hyperlink"/>
          </w:rPr>
          <w:t>https://doi.org/10.1186/s12876-019-0980-6</w:t>
        </w:r>
      </w:hyperlink>
    </w:p>
    <w:p w14:paraId="3C2CCA54" w14:textId="4BDA1EEB" w:rsidR="00EF35F3" w:rsidRPr="00C34531" w:rsidRDefault="00EF35F3" w:rsidP="00EF35F3">
      <w:pPr>
        <w:pStyle w:val="EndNoteBibliography"/>
        <w:spacing w:after="0"/>
        <w:rPr>
          <w:lang w:val="nl-NL"/>
        </w:rPr>
      </w:pPr>
      <w:r w:rsidRPr="00EF35F3">
        <w:t>239.</w:t>
      </w:r>
      <w:r w:rsidRPr="00EF35F3">
        <w:tab/>
        <w:t>Casellas F, Rodrigo L, Vivancos JL, Riestra S, Pantiga C, Baudet JS</w:t>
      </w:r>
      <w:r w:rsidRPr="00EF35F3">
        <w:rPr>
          <w:i/>
        </w:rPr>
        <w:t>, et al.</w:t>
      </w:r>
      <w:r w:rsidRPr="00EF35F3">
        <w:t xml:space="preserve"> Factors that impact health-related quality of life in adults with celiac disease: a multicenter study. </w:t>
      </w:r>
      <w:r w:rsidRPr="00C34531">
        <w:rPr>
          <w:i/>
          <w:lang w:val="nl-NL"/>
        </w:rPr>
        <w:t>World J Gastroenterol</w:t>
      </w:r>
      <w:r w:rsidRPr="00C34531">
        <w:rPr>
          <w:lang w:val="nl-NL"/>
        </w:rPr>
        <w:t xml:space="preserve"> 2008;</w:t>
      </w:r>
      <w:r w:rsidRPr="00C34531">
        <w:rPr>
          <w:b/>
          <w:lang w:val="nl-NL"/>
        </w:rPr>
        <w:t>14</w:t>
      </w:r>
      <w:r w:rsidRPr="00C34531">
        <w:rPr>
          <w:lang w:val="nl-NL"/>
        </w:rPr>
        <w:t xml:space="preserve">:46-52. </w:t>
      </w:r>
      <w:hyperlink r:id="rId221" w:history="1">
        <w:r w:rsidRPr="00C34531">
          <w:rPr>
            <w:rStyle w:val="Hyperlink"/>
            <w:lang w:val="nl-NL"/>
          </w:rPr>
          <w:t>https://doi.org/10.3748/wjg.14.46</w:t>
        </w:r>
      </w:hyperlink>
    </w:p>
    <w:p w14:paraId="4227801E" w14:textId="30BB34A2" w:rsidR="00EF35F3" w:rsidRPr="00EF35F3" w:rsidRDefault="00EF35F3" w:rsidP="00EF35F3">
      <w:pPr>
        <w:pStyle w:val="EndNoteBibliography"/>
        <w:spacing w:after="0"/>
      </w:pPr>
      <w:r w:rsidRPr="00C34531">
        <w:rPr>
          <w:lang w:val="nl-NL"/>
        </w:rPr>
        <w:t>240.</w:t>
      </w:r>
      <w:r w:rsidRPr="00C34531">
        <w:rPr>
          <w:lang w:val="nl-NL"/>
        </w:rPr>
        <w:tab/>
        <w:t xml:space="preserve">Si L, Winzenberg TM, de Graaff B, Palmer AJ. </w:t>
      </w:r>
      <w:r w:rsidRPr="00EF35F3">
        <w:t xml:space="preserve">A systematic review and meta-analysis of utility-based quality of life for osteoporosis-related conditions. </w:t>
      </w:r>
      <w:r w:rsidRPr="00EF35F3">
        <w:rPr>
          <w:i/>
        </w:rPr>
        <w:t>Osteoporosis International</w:t>
      </w:r>
      <w:r w:rsidRPr="00EF35F3">
        <w:t xml:space="preserve"> 2014;</w:t>
      </w:r>
      <w:r w:rsidRPr="00EF35F3">
        <w:rPr>
          <w:b/>
        </w:rPr>
        <w:t>25</w:t>
      </w:r>
      <w:r w:rsidRPr="00EF35F3">
        <w:t xml:space="preserve">:1987-97. </w:t>
      </w:r>
      <w:hyperlink r:id="rId222" w:history="1">
        <w:r w:rsidRPr="00EF35F3">
          <w:rPr>
            <w:rStyle w:val="Hyperlink"/>
          </w:rPr>
          <w:t>https://doi.org/10.1007/s00198-014-2636-2</w:t>
        </w:r>
      </w:hyperlink>
    </w:p>
    <w:p w14:paraId="3B08F333" w14:textId="1A13BBC2" w:rsidR="00EF35F3" w:rsidRPr="00EF35F3" w:rsidRDefault="00EF35F3" w:rsidP="00EF35F3">
      <w:pPr>
        <w:pStyle w:val="EndNoteBibliography"/>
        <w:spacing w:after="0"/>
      </w:pPr>
      <w:r w:rsidRPr="00EF35F3">
        <w:t>241.</w:t>
      </w:r>
      <w:r w:rsidRPr="00EF35F3">
        <w:tab/>
        <w:t>Fargier E, Ranchon F, Huot L, Guerre P, Safar V, Dony A</w:t>
      </w:r>
      <w:r w:rsidRPr="00EF35F3">
        <w:rPr>
          <w:i/>
        </w:rPr>
        <w:t>, et al.</w:t>
      </w:r>
      <w:r w:rsidRPr="00EF35F3">
        <w:t xml:space="preserve"> SMABcare study: subcutaneous monoclonal antibody in cancer care: cost-consequence analysis of subcutaneous rituximab in patients with follicular lymphoma. </w:t>
      </w:r>
      <w:r w:rsidRPr="00EF35F3">
        <w:rPr>
          <w:i/>
        </w:rPr>
        <w:t>Annals of Hematology</w:t>
      </w:r>
      <w:r w:rsidRPr="00EF35F3">
        <w:t xml:space="preserve"> 2018;</w:t>
      </w:r>
      <w:r w:rsidRPr="00EF35F3">
        <w:rPr>
          <w:b/>
        </w:rPr>
        <w:t>97</w:t>
      </w:r>
      <w:r w:rsidRPr="00EF35F3">
        <w:t xml:space="preserve">:123-31. </w:t>
      </w:r>
      <w:hyperlink r:id="rId223" w:history="1">
        <w:r w:rsidRPr="00EF35F3">
          <w:rPr>
            <w:rStyle w:val="Hyperlink"/>
          </w:rPr>
          <w:t>https://doi.org/10.1007/s00277-017-3147-y</w:t>
        </w:r>
      </w:hyperlink>
    </w:p>
    <w:p w14:paraId="290ADF98" w14:textId="7F08CD80" w:rsidR="00EF35F3" w:rsidRPr="00EF35F3" w:rsidRDefault="00EF35F3" w:rsidP="00EF35F3">
      <w:pPr>
        <w:pStyle w:val="EndNoteBibliography"/>
        <w:spacing w:after="0"/>
      </w:pPr>
      <w:r w:rsidRPr="00EF35F3">
        <w:t>242.</w:t>
      </w:r>
      <w:r w:rsidRPr="00EF35F3">
        <w:tab/>
        <w:t xml:space="preserve">Ludvigsson JF, Michaelsson K, Ekbom A, Montgomery SM. Coeliac disease and the risk of fractures - a general population-based cohort study. </w:t>
      </w:r>
      <w:r w:rsidRPr="00EF35F3">
        <w:rPr>
          <w:i/>
        </w:rPr>
        <w:t>Aliment Pharmacol Ther</w:t>
      </w:r>
      <w:r w:rsidRPr="00EF35F3">
        <w:t xml:space="preserve"> 2007;</w:t>
      </w:r>
      <w:r w:rsidRPr="00EF35F3">
        <w:rPr>
          <w:b/>
        </w:rPr>
        <w:t>25</w:t>
      </w:r>
      <w:r w:rsidRPr="00EF35F3">
        <w:t xml:space="preserve">:273-85. </w:t>
      </w:r>
      <w:hyperlink r:id="rId224" w:history="1">
        <w:r w:rsidRPr="00EF35F3">
          <w:rPr>
            <w:rStyle w:val="Hyperlink"/>
          </w:rPr>
          <w:t>https://doi.org/10.1111/j.1365-2036.2006.03203.x</w:t>
        </w:r>
      </w:hyperlink>
    </w:p>
    <w:p w14:paraId="481593D6" w14:textId="5687D64F" w:rsidR="00EF35F3" w:rsidRPr="00C34531" w:rsidRDefault="00EF35F3" w:rsidP="00EF35F3">
      <w:pPr>
        <w:pStyle w:val="EndNoteBibliography"/>
        <w:spacing w:after="0"/>
        <w:rPr>
          <w:lang w:val="it-IT"/>
        </w:rPr>
      </w:pPr>
      <w:r w:rsidRPr="00EF35F3">
        <w:t>243.</w:t>
      </w:r>
      <w:r w:rsidRPr="00EF35F3">
        <w:tab/>
        <w:t>Godfrey JD, Brantner TL, Brinjikji W, Christensen KN, Brogan DL, Van Dyke CT</w:t>
      </w:r>
      <w:r w:rsidRPr="00EF35F3">
        <w:rPr>
          <w:i/>
        </w:rPr>
        <w:t>, et al.</w:t>
      </w:r>
      <w:r w:rsidRPr="00EF35F3">
        <w:t xml:space="preserve"> Morbidity and Mortality Among Older Individuals With Undiagnosed Celiac Disease. </w:t>
      </w:r>
      <w:r w:rsidRPr="00C34531">
        <w:rPr>
          <w:i/>
          <w:lang w:val="it-IT"/>
        </w:rPr>
        <w:t>Gastroenterology</w:t>
      </w:r>
      <w:r w:rsidRPr="00C34531">
        <w:rPr>
          <w:lang w:val="it-IT"/>
        </w:rPr>
        <w:t xml:space="preserve"> 2010;</w:t>
      </w:r>
      <w:r w:rsidRPr="00C34531">
        <w:rPr>
          <w:b/>
          <w:lang w:val="it-IT"/>
        </w:rPr>
        <w:t>139</w:t>
      </w:r>
      <w:r w:rsidRPr="00C34531">
        <w:rPr>
          <w:lang w:val="it-IT"/>
        </w:rPr>
        <w:t xml:space="preserve">:763-9. </w:t>
      </w:r>
      <w:hyperlink r:id="rId225" w:history="1">
        <w:r w:rsidRPr="00C34531">
          <w:rPr>
            <w:rStyle w:val="Hyperlink"/>
            <w:lang w:val="it-IT"/>
          </w:rPr>
          <w:t>https://doi.org/10.1053/j.gastro.2010.05.041</w:t>
        </w:r>
      </w:hyperlink>
    </w:p>
    <w:p w14:paraId="51B6E4D6" w14:textId="6AED71AB" w:rsidR="00EF35F3" w:rsidRPr="00EF35F3" w:rsidRDefault="00EF35F3" w:rsidP="00EF35F3">
      <w:pPr>
        <w:pStyle w:val="EndNoteBibliography"/>
        <w:spacing w:after="0"/>
      </w:pPr>
      <w:r w:rsidRPr="00C34531">
        <w:rPr>
          <w:lang w:val="it-IT"/>
        </w:rPr>
        <w:lastRenderedPageBreak/>
        <w:t>244.</w:t>
      </w:r>
      <w:r w:rsidRPr="00C34531">
        <w:rPr>
          <w:lang w:val="it-IT"/>
        </w:rPr>
        <w:tab/>
        <w:t>Silano M, Volta U, Mecchia AM, Dessì M, Di Benedetto R, De Vincenzi M</w:t>
      </w:r>
      <w:r w:rsidRPr="00C34531">
        <w:rPr>
          <w:i/>
          <w:lang w:val="it-IT"/>
        </w:rPr>
        <w:t>, et al.</w:t>
      </w:r>
      <w:r w:rsidRPr="00C34531">
        <w:rPr>
          <w:lang w:val="it-IT"/>
        </w:rPr>
        <w:t xml:space="preserve"> </w:t>
      </w:r>
      <w:r w:rsidRPr="00EF35F3">
        <w:t xml:space="preserve">Delayed diagnosis of coeliac disease increases cancer risk. </w:t>
      </w:r>
      <w:r w:rsidRPr="00EF35F3">
        <w:rPr>
          <w:i/>
        </w:rPr>
        <w:t>BMC gastroenterology</w:t>
      </w:r>
      <w:r w:rsidRPr="00EF35F3">
        <w:t xml:space="preserve"> 2007;</w:t>
      </w:r>
      <w:r w:rsidRPr="00EF35F3">
        <w:rPr>
          <w:b/>
        </w:rPr>
        <w:t>7</w:t>
      </w:r>
      <w:r w:rsidRPr="00EF35F3">
        <w:t xml:space="preserve">:8-. </w:t>
      </w:r>
      <w:hyperlink r:id="rId226" w:history="1">
        <w:r w:rsidRPr="00EF35F3">
          <w:rPr>
            <w:rStyle w:val="Hyperlink"/>
          </w:rPr>
          <w:t>https://doi.org/10.1186/1471-230X-7-8</w:t>
        </w:r>
      </w:hyperlink>
    </w:p>
    <w:p w14:paraId="03B594BC" w14:textId="77777777" w:rsidR="00EF35F3" w:rsidRPr="00EF35F3" w:rsidRDefault="00EF35F3" w:rsidP="00EF35F3">
      <w:pPr>
        <w:pStyle w:val="EndNoteBibliography"/>
        <w:spacing w:after="0"/>
      </w:pPr>
      <w:r w:rsidRPr="00EF35F3">
        <w:t>245.</w:t>
      </w:r>
      <w:r w:rsidRPr="00EF35F3">
        <w:tab/>
        <w:t xml:space="preserve">Goldacre MJ, Wotton CJ, Yeates D, Seagroatt V, Jewell D. Cancer in patients with ulcerative colitis, Crohn's disease and coeliac disease: record linkage study. </w:t>
      </w:r>
      <w:r w:rsidRPr="00EF35F3">
        <w:rPr>
          <w:i/>
        </w:rPr>
        <w:t>European Journal of Gastroenterology &amp; Hepatology</w:t>
      </w:r>
      <w:r w:rsidRPr="00EF35F3">
        <w:t xml:space="preserve"> 2008;</w:t>
      </w:r>
      <w:r w:rsidRPr="00EF35F3">
        <w:rPr>
          <w:b/>
        </w:rPr>
        <w:t>20</w:t>
      </w:r>
      <w:r w:rsidRPr="00EF35F3">
        <w:t>.</w:t>
      </w:r>
    </w:p>
    <w:p w14:paraId="5A2BE3FC" w14:textId="36DFC34B" w:rsidR="00EF35F3" w:rsidRPr="00EF35F3" w:rsidRDefault="00EF35F3" w:rsidP="00EF35F3">
      <w:pPr>
        <w:pStyle w:val="EndNoteBibliography"/>
        <w:spacing w:after="0"/>
      </w:pPr>
      <w:r w:rsidRPr="00EF35F3">
        <w:t>246.</w:t>
      </w:r>
      <w:r w:rsidRPr="00EF35F3">
        <w:tab/>
        <w:t xml:space="preserve">Fleurence RL, Hollenbeak CS. Rates and probabilities in economic modelling: transformation, translation and appropriate application. </w:t>
      </w:r>
      <w:r w:rsidRPr="00EF35F3">
        <w:rPr>
          <w:i/>
        </w:rPr>
        <w:t>PharmacoEconomics</w:t>
      </w:r>
      <w:r w:rsidRPr="00EF35F3">
        <w:t xml:space="preserve"> 2007;</w:t>
      </w:r>
      <w:r w:rsidRPr="00EF35F3">
        <w:rPr>
          <w:b/>
        </w:rPr>
        <w:t>25</w:t>
      </w:r>
      <w:r w:rsidRPr="00EF35F3">
        <w:t xml:space="preserve">:3-6. </w:t>
      </w:r>
      <w:hyperlink r:id="rId227" w:history="1">
        <w:r w:rsidRPr="00EF35F3">
          <w:rPr>
            <w:rStyle w:val="Hyperlink"/>
          </w:rPr>
          <w:t>https://doi.org/10.2165/00019053-200725010-00002</w:t>
        </w:r>
      </w:hyperlink>
    </w:p>
    <w:p w14:paraId="36D75FBD" w14:textId="1C80ED5D" w:rsidR="00EF35F3" w:rsidRPr="00EF35F3" w:rsidRDefault="00EF35F3" w:rsidP="00EF35F3">
      <w:pPr>
        <w:pStyle w:val="EndNoteBibliography"/>
        <w:spacing w:after="0"/>
      </w:pPr>
      <w:r w:rsidRPr="00EF35F3">
        <w:t>247.</w:t>
      </w:r>
      <w:r w:rsidRPr="00EF35F3">
        <w:tab/>
        <w:t xml:space="preserve">ONS. National Life Tables, United Kingdom, 1980-1982 to 2017-2019. </w:t>
      </w:r>
      <w:hyperlink r:id="rId228" w:history="1">
        <w:r w:rsidRPr="00EF35F3">
          <w:rPr>
            <w:rStyle w:val="Hyperlink"/>
            <w:i/>
          </w:rPr>
          <w:t>https://wwwonsgovuk/peoplepopulationandcommunity/birthsdeathsandmarriages/lifeexpectancies/datasets/nationallifetablesunitedkingdomreferencetables</w:t>
        </w:r>
      </w:hyperlink>
      <w:r w:rsidRPr="00EF35F3">
        <w:rPr>
          <w:i/>
        </w:rPr>
        <w:t xml:space="preserve"> [last accessed 10/11/2020]</w:t>
      </w:r>
      <w:r w:rsidRPr="00EF35F3">
        <w:t xml:space="preserve"> 2019.</w:t>
      </w:r>
    </w:p>
    <w:p w14:paraId="04D70A53" w14:textId="77777777" w:rsidR="00EF35F3" w:rsidRPr="00EF35F3" w:rsidRDefault="00EF35F3" w:rsidP="00EF35F3">
      <w:pPr>
        <w:pStyle w:val="EndNoteBibliography"/>
        <w:spacing w:after="0"/>
      </w:pPr>
      <w:r w:rsidRPr="00EF35F3">
        <w:t>248.</w:t>
      </w:r>
      <w:r w:rsidRPr="00EF35F3">
        <w:tab/>
        <w:t>ONS. Cancer Survival in England: adults diagnosed between 2013 and 2017 and followed up to 2018. 2018.</w:t>
      </w:r>
    </w:p>
    <w:p w14:paraId="7ACFE909" w14:textId="77777777" w:rsidR="00EF35F3" w:rsidRPr="00EF35F3" w:rsidRDefault="00EF35F3" w:rsidP="00EF35F3">
      <w:pPr>
        <w:pStyle w:val="EndNoteBibliography"/>
        <w:spacing w:after="0"/>
      </w:pPr>
      <w:r w:rsidRPr="00EF35F3">
        <w:t>249.</w:t>
      </w:r>
      <w:r w:rsidRPr="00EF35F3">
        <w:tab/>
        <w:t xml:space="preserve">Lunn D, Jackson C, Best N, Thomas A, Spiegelhalter DJ. </w:t>
      </w:r>
      <w:r w:rsidRPr="00EF35F3">
        <w:rPr>
          <w:i/>
        </w:rPr>
        <w:t>The BUGS book : a practical introduction to Bayesian analysis</w:t>
      </w:r>
      <w:r w:rsidRPr="00EF35F3">
        <w:t>. Boca Raton ; London: CRC Press; 2013.</w:t>
      </w:r>
    </w:p>
    <w:p w14:paraId="12176C94" w14:textId="0C8E0651" w:rsidR="00EF35F3" w:rsidRPr="00EF35F3" w:rsidRDefault="00EF35F3" w:rsidP="00EF35F3">
      <w:pPr>
        <w:pStyle w:val="EndNoteBibliography"/>
        <w:spacing w:after="0"/>
      </w:pPr>
      <w:r w:rsidRPr="00EF35F3">
        <w:t>250.</w:t>
      </w:r>
      <w:r w:rsidRPr="00EF35F3">
        <w:tab/>
        <w:t>Klop C, Welsing PMJ, Cooper C, Harvey NC, Elders PJM, Bijlsma JWJ</w:t>
      </w:r>
      <w:r w:rsidRPr="00EF35F3">
        <w:rPr>
          <w:i/>
        </w:rPr>
        <w:t>, et al.</w:t>
      </w:r>
      <w:r w:rsidRPr="00EF35F3">
        <w:t xml:space="preserve"> Mortality in British hip fracture patients, 2000–2010: A population-based retrospective cohort study. </w:t>
      </w:r>
      <w:r w:rsidRPr="00EF35F3">
        <w:rPr>
          <w:i/>
        </w:rPr>
        <w:t>Bone</w:t>
      </w:r>
      <w:r w:rsidRPr="00EF35F3">
        <w:t xml:space="preserve"> 2014;</w:t>
      </w:r>
      <w:r w:rsidRPr="00EF35F3">
        <w:rPr>
          <w:b/>
        </w:rPr>
        <w:t>66</w:t>
      </w:r>
      <w:r w:rsidRPr="00EF35F3">
        <w:t xml:space="preserve">:171-7. </w:t>
      </w:r>
      <w:hyperlink r:id="rId229" w:history="1">
        <w:r w:rsidRPr="00EF35F3">
          <w:rPr>
            <w:rStyle w:val="Hyperlink"/>
          </w:rPr>
          <w:t>https://doi.org/https://doi.org/10.1016/j.bone.2014.06.011</w:t>
        </w:r>
      </w:hyperlink>
    </w:p>
    <w:p w14:paraId="3B07BA00" w14:textId="5188CD75" w:rsidR="00EF35F3" w:rsidRPr="00EF35F3" w:rsidRDefault="00EF35F3" w:rsidP="00EF35F3">
      <w:pPr>
        <w:pStyle w:val="EndNoteBibliography"/>
        <w:spacing w:after="0"/>
      </w:pPr>
      <w:r w:rsidRPr="00EF35F3">
        <w:t>251.</w:t>
      </w:r>
      <w:r w:rsidRPr="00EF35F3">
        <w:tab/>
        <w:t xml:space="preserve">BNF. British National Formulary. In: Press BGaP, ed. </w:t>
      </w:r>
      <w:hyperlink r:id="rId230" w:history="1">
        <w:r w:rsidRPr="00EF35F3">
          <w:rPr>
            <w:rStyle w:val="Hyperlink"/>
          </w:rPr>
          <w:t>https://bnf.nice.org.uk/</w:t>
        </w:r>
      </w:hyperlink>
      <w:r w:rsidRPr="00EF35F3">
        <w:t xml:space="preserve"> [last accessed 11/11/2021]; 2020.</w:t>
      </w:r>
    </w:p>
    <w:p w14:paraId="68061D8F" w14:textId="2F6F8C01" w:rsidR="00EF35F3" w:rsidRPr="00EF35F3" w:rsidRDefault="00EF35F3" w:rsidP="00EF35F3">
      <w:pPr>
        <w:pStyle w:val="EndNoteBibliography"/>
        <w:spacing w:after="0"/>
      </w:pPr>
      <w:r w:rsidRPr="00EF35F3">
        <w:t>252.</w:t>
      </w:r>
      <w:r w:rsidRPr="00EF35F3">
        <w:tab/>
        <w:t xml:space="preserve">National Institute for Health and Care Excellence. Guide to the methods of technology appraisal. </w:t>
      </w:r>
      <w:r w:rsidRPr="00EF35F3">
        <w:rPr>
          <w:i/>
        </w:rPr>
        <w:t xml:space="preserve">Process and methods guides, </w:t>
      </w:r>
      <w:hyperlink r:id="rId231" w:history="1">
        <w:r w:rsidRPr="00EF35F3">
          <w:rPr>
            <w:rStyle w:val="Hyperlink"/>
            <w:i/>
          </w:rPr>
          <w:t>http://publicationsniceorguk/pmg9</w:t>
        </w:r>
      </w:hyperlink>
      <w:r w:rsidRPr="00EF35F3">
        <w:t xml:space="preserve"> 2013.</w:t>
      </w:r>
    </w:p>
    <w:p w14:paraId="029D51D0" w14:textId="137143E4" w:rsidR="00EF35F3" w:rsidRPr="00EF35F3" w:rsidRDefault="00EF35F3" w:rsidP="00EF35F3">
      <w:pPr>
        <w:pStyle w:val="EndNoteBibliography"/>
        <w:spacing w:after="0"/>
      </w:pPr>
      <w:r w:rsidRPr="00EF35F3">
        <w:t>253.</w:t>
      </w:r>
      <w:r w:rsidRPr="00EF35F3">
        <w:tab/>
        <w:t xml:space="preserve">Wilson ECF. Methodological Note: Reporting Deterministic versus Probabilistic Results of Markov, Partitioned Survival and Other Non-Linear Models. </w:t>
      </w:r>
      <w:r w:rsidRPr="00EF35F3">
        <w:rPr>
          <w:i/>
        </w:rPr>
        <w:t>Appl Health Econ Health Policy</w:t>
      </w:r>
      <w:r w:rsidRPr="00EF35F3">
        <w:t xml:space="preserve"> 2021;</w:t>
      </w:r>
      <w:r w:rsidRPr="00EF35F3">
        <w:rPr>
          <w:b/>
        </w:rPr>
        <w:t>19</w:t>
      </w:r>
      <w:r w:rsidRPr="00EF35F3">
        <w:t xml:space="preserve">:789-95. </w:t>
      </w:r>
      <w:hyperlink r:id="rId232" w:history="1">
        <w:r w:rsidRPr="00EF35F3">
          <w:rPr>
            <w:rStyle w:val="Hyperlink"/>
          </w:rPr>
          <w:t>https://doi.org/10.1007/s40258-021-00664-2</w:t>
        </w:r>
      </w:hyperlink>
    </w:p>
    <w:p w14:paraId="49345A52" w14:textId="04BC063F" w:rsidR="00EF35F3" w:rsidRPr="00EF35F3" w:rsidRDefault="00EF35F3" w:rsidP="00EF35F3">
      <w:pPr>
        <w:pStyle w:val="EndNoteBibliography"/>
        <w:spacing w:after="0"/>
      </w:pPr>
      <w:r w:rsidRPr="00EF35F3">
        <w:t>254.</w:t>
      </w:r>
      <w:r w:rsidRPr="00EF35F3">
        <w:tab/>
        <w:t xml:space="preserve">Paul SP, Harries SL, Basude D. Barriers to implementing the revised ESPGHAN guidelines for coeliac disease in children: a cross-sectional survey of coeliac screen reporting in laboratories in England. </w:t>
      </w:r>
      <w:r w:rsidRPr="00EF35F3">
        <w:rPr>
          <w:i/>
        </w:rPr>
        <w:t>Arch Dis Child</w:t>
      </w:r>
      <w:r w:rsidRPr="00EF35F3">
        <w:t xml:space="preserve"> 2017;</w:t>
      </w:r>
      <w:r w:rsidRPr="00EF35F3">
        <w:rPr>
          <w:b/>
        </w:rPr>
        <w:t>102</w:t>
      </w:r>
      <w:r w:rsidRPr="00EF35F3">
        <w:t xml:space="preserve">:942-6. </w:t>
      </w:r>
      <w:hyperlink r:id="rId233" w:history="1">
        <w:r w:rsidRPr="00EF35F3">
          <w:rPr>
            <w:rStyle w:val="Hyperlink"/>
          </w:rPr>
          <w:t>https://doi.org/10.1136/archdischild-2016-312027</w:t>
        </w:r>
      </w:hyperlink>
    </w:p>
    <w:p w14:paraId="1B7AE672" w14:textId="7D3F104F" w:rsidR="00EF35F3" w:rsidRPr="00EF35F3" w:rsidRDefault="00EF35F3" w:rsidP="00EF35F3">
      <w:pPr>
        <w:pStyle w:val="EndNoteBibliography"/>
        <w:spacing w:after="0"/>
      </w:pPr>
      <w:r w:rsidRPr="00EF35F3">
        <w:t>255.</w:t>
      </w:r>
      <w:r w:rsidRPr="00EF35F3">
        <w:tab/>
        <w:t xml:space="preserve">Barton GR, Briggs AH, Fenwick EA. Optimal cost-effectiveness decisions: the role of the cost-effectiveness acceptability curve (CEAC), the cost-effectiveness acceptability frontier (CEAF), and the expected value of perfection information (EVPI). </w:t>
      </w:r>
      <w:r w:rsidRPr="00EF35F3">
        <w:rPr>
          <w:i/>
        </w:rPr>
        <w:t>Value Health</w:t>
      </w:r>
      <w:r w:rsidRPr="00EF35F3">
        <w:t xml:space="preserve"> 2008;</w:t>
      </w:r>
      <w:r w:rsidRPr="00EF35F3">
        <w:rPr>
          <w:b/>
        </w:rPr>
        <w:t>11</w:t>
      </w:r>
      <w:r w:rsidRPr="00EF35F3">
        <w:t xml:space="preserve">:886-97. </w:t>
      </w:r>
      <w:hyperlink r:id="rId234" w:history="1">
        <w:r w:rsidRPr="00EF35F3">
          <w:rPr>
            <w:rStyle w:val="Hyperlink"/>
          </w:rPr>
          <w:t>https://doi.org/10.1111/j.1524-4733.2008.00358.x</w:t>
        </w:r>
      </w:hyperlink>
    </w:p>
    <w:p w14:paraId="39588930" w14:textId="66297D32" w:rsidR="00EF35F3" w:rsidRPr="00EF35F3" w:rsidRDefault="00EF35F3" w:rsidP="00EF35F3">
      <w:pPr>
        <w:pStyle w:val="EndNoteBibliography"/>
        <w:spacing w:after="0"/>
      </w:pPr>
      <w:r w:rsidRPr="00EF35F3">
        <w:t>256.</w:t>
      </w:r>
      <w:r w:rsidRPr="00EF35F3">
        <w:tab/>
        <w:t>Fenwick E, Steuten L, Knies S, Ghabri S, Basu A, Murray JF</w:t>
      </w:r>
      <w:r w:rsidRPr="00EF35F3">
        <w:rPr>
          <w:i/>
        </w:rPr>
        <w:t>, et al.</w:t>
      </w:r>
      <w:r w:rsidRPr="00EF35F3">
        <w:t xml:space="preserve"> Value of Information Analysis for Research Decisions-An Introduction: Report 1 of the ISPOR Value of Information Analysis Emerging Good Practices Task Force. </w:t>
      </w:r>
      <w:r w:rsidRPr="00EF35F3">
        <w:rPr>
          <w:i/>
        </w:rPr>
        <w:t>Value Health</w:t>
      </w:r>
      <w:r w:rsidRPr="00EF35F3">
        <w:t xml:space="preserve"> 2020;</w:t>
      </w:r>
      <w:r w:rsidRPr="00EF35F3">
        <w:rPr>
          <w:b/>
        </w:rPr>
        <w:t>23</w:t>
      </w:r>
      <w:r w:rsidRPr="00EF35F3">
        <w:t xml:space="preserve">:139-50. </w:t>
      </w:r>
      <w:hyperlink r:id="rId235" w:history="1">
        <w:r w:rsidRPr="00EF35F3">
          <w:rPr>
            <w:rStyle w:val="Hyperlink"/>
          </w:rPr>
          <w:t>https://doi.org/10.1016/j.jval.2020.01.001</w:t>
        </w:r>
      </w:hyperlink>
    </w:p>
    <w:p w14:paraId="3785C0CE" w14:textId="37E835E6" w:rsidR="00EF35F3" w:rsidRPr="00EF35F3" w:rsidRDefault="00EF35F3" w:rsidP="00EF35F3">
      <w:pPr>
        <w:pStyle w:val="EndNoteBibliography"/>
        <w:spacing w:after="0"/>
      </w:pPr>
      <w:r w:rsidRPr="00EF35F3">
        <w:t>257.</w:t>
      </w:r>
      <w:r w:rsidRPr="00EF35F3">
        <w:tab/>
        <w:t>Rothery C, Strong M, Koffijberg HE, Basu A, Ghabri S, Knies S</w:t>
      </w:r>
      <w:r w:rsidRPr="00EF35F3">
        <w:rPr>
          <w:i/>
        </w:rPr>
        <w:t>, et al.</w:t>
      </w:r>
      <w:r w:rsidRPr="00EF35F3">
        <w:t xml:space="preserve"> Value of Information Analytical Methods: Report 2 of the ISPOR Value of Information Analysis Emerging Good Practices Task Force. </w:t>
      </w:r>
      <w:r w:rsidRPr="00EF35F3">
        <w:rPr>
          <w:i/>
        </w:rPr>
        <w:t>Value Health</w:t>
      </w:r>
      <w:r w:rsidRPr="00EF35F3">
        <w:t xml:space="preserve"> 2020;</w:t>
      </w:r>
      <w:r w:rsidRPr="00EF35F3">
        <w:rPr>
          <w:b/>
        </w:rPr>
        <w:t>23</w:t>
      </w:r>
      <w:r w:rsidRPr="00EF35F3">
        <w:t xml:space="preserve">:277-86. </w:t>
      </w:r>
      <w:hyperlink r:id="rId236" w:history="1">
        <w:r w:rsidRPr="00EF35F3">
          <w:rPr>
            <w:rStyle w:val="Hyperlink"/>
          </w:rPr>
          <w:t>https://doi.org/10.1016/j.jval.2020.01.004</w:t>
        </w:r>
      </w:hyperlink>
    </w:p>
    <w:p w14:paraId="0D673EAC" w14:textId="303F8B9E" w:rsidR="00EF35F3" w:rsidRPr="00EF35F3" w:rsidRDefault="00EF35F3" w:rsidP="00EF35F3">
      <w:pPr>
        <w:pStyle w:val="EndNoteBibliography"/>
        <w:spacing w:after="0"/>
      </w:pPr>
      <w:r w:rsidRPr="00EF35F3">
        <w:t>258.</w:t>
      </w:r>
      <w:r w:rsidRPr="00EF35F3">
        <w:tab/>
        <w:t xml:space="preserve">Baio G, Dawid AP. Probabilistic sensitivity analysis in health economics. </w:t>
      </w:r>
      <w:r w:rsidRPr="00EF35F3">
        <w:rPr>
          <w:i/>
        </w:rPr>
        <w:t>Stat Methods Med Res</w:t>
      </w:r>
      <w:r w:rsidRPr="00EF35F3">
        <w:t xml:space="preserve"> 2015;</w:t>
      </w:r>
      <w:r w:rsidRPr="00EF35F3">
        <w:rPr>
          <w:b/>
        </w:rPr>
        <w:t>24</w:t>
      </w:r>
      <w:r w:rsidRPr="00EF35F3">
        <w:t xml:space="preserve">:615-34. </w:t>
      </w:r>
      <w:hyperlink r:id="rId237" w:history="1">
        <w:r w:rsidRPr="00EF35F3">
          <w:rPr>
            <w:rStyle w:val="Hyperlink"/>
          </w:rPr>
          <w:t>https://doi.org/10.1177/0962280211419832</w:t>
        </w:r>
      </w:hyperlink>
    </w:p>
    <w:p w14:paraId="08B16EB1" w14:textId="604F60D6" w:rsidR="00EF35F3" w:rsidRPr="00EF35F3" w:rsidRDefault="00EF35F3" w:rsidP="00EF35F3">
      <w:pPr>
        <w:pStyle w:val="EndNoteBibliography"/>
        <w:spacing w:after="0"/>
      </w:pPr>
      <w:r w:rsidRPr="00EF35F3">
        <w:t>259.</w:t>
      </w:r>
      <w:r w:rsidRPr="00EF35F3">
        <w:tab/>
        <w:t xml:space="preserve">Strong M, Oakley JE, Brennan A. Estimating multiparameter partial expected value of perfect information from a probabilistic sensitivity analysis sample: a nonparametric regression approach. </w:t>
      </w:r>
      <w:r w:rsidRPr="00EF35F3">
        <w:rPr>
          <w:i/>
        </w:rPr>
        <w:t>Med Decis Making</w:t>
      </w:r>
      <w:r w:rsidRPr="00EF35F3">
        <w:t xml:space="preserve"> 2014;</w:t>
      </w:r>
      <w:r w:rsidRPr="00EF35F3">
        <w:rPr>
          <w:b/>
        </w:rPr>
        <w:t>34</w:t>
      </w:r>
      <w:r w:rsidRPr="00EF35F3">
        <w:t xml:space="preserve">:311-26. </w:t>
      </w:r>
      <w:hyperlink r:id="rId238" w:history="1">
        <w:r w:rsidRPr="00EF35F3">
          <w:rPr>
            <w:rStyle w:val="Hyperlink"/>
          </w:rPr>
          <w:t>https://doi.org/10.1177/0272989X13505910</w:t>
        </w:r>
      </w:hyperlink>
    </w:p>
    <w:p w14:paraId="2A45E872" w14:textId="255FF8CB" w:rsidR="00EF35F3" w:rsidRPr="00EF35F3" w:rsidRDefault="00EF35F3" w:rsidP="00EF35F3">
      <w:pPr>
        <w:pStyle w:val="EndNoteBibliography"/>
        <w:spacing w:after="0"/>
      </w:pPr>
      <w:r w:rsidRPr="00EF35F3">
        <w:t>260.</w:t>
      </w:r>
      <w:r w:rsidRPr="00EF35F3">
        <w:tab/>
        <w:t xml:space="preserve">Strong M, Oakley JE, Brennan A, Breeze P. Estimating the Expected Value of Sample Information Using the Probabilistic Sensitivity Analysis Sample: A Fast, Nonparametric Regression-Based Method. </w:t>
      </w:r>
      <w:r w:rsidRPr="00EF35F3">
        <w:rPr>
          <w:i/>
        </w:rPr>
        <w:t>Med Decis Making</w:t>
      </w:r>
      <w:r w:rsidRPr="00EF35F3">
        <w:t xml:space="preserve"> 2015;</w:t>
      </w:r>
      <w:r w:rsidRPr="00EF35F3">
        <w:rPr>
          <w:b/>
        </w:rPr>
        <w:t>35</w:t>
      </w:r>
      <w:r w:rsidRPr="00EF35F3">
        <w:t xml:space="preserve">:570-83. </w:t>
      </w:r>
      <w:hyperlink r:id="rId239" w:history="1">
        <w:r w:rsidRPr="00EF35F3">
          <w:rPr>
            <w:rStyle w:val="Hyperlink"/>
          </w:rPr>
          <w:t>https://doi.org/10.1177/0272989X15575286</w:t>
        </w:r>
      </w:hyperlink>
    </w:p>
    <w:p w14:paraId="1143885F" w14:textId="1490F82F" w:rsidR="00EF35F3" w:rsidRPr="00EF35F3" w:rsidRDefault="00EF35F3" w:rsidP="00EF35F3">
      <w:pPr>
        <w:pStyle w:val="EndNoteBibliography"/>
        <w:spacing w:after="0"/>
      </w:pPr>
      <w:r w:rsidRPr="00EF35F3">
        <w:t>261.</w:t>
      </w:r>
      <w:r w:rsidRPr="00EF35F3">
        <w:tab/>
        <w:t>Fang W, Wang Z, Giles MB, Jackson CH, Welton NJ, Andrieu C</w:t>
      </w:r>
      <w:r w:rsidRPr="00EF35F3">
        <w:rPr>
          <w:i/>
        </w:rPr>
        <w:t>, et al.</w:t>
      </w:r>
      <w:r w:rsidRPr="00EF35F3">
        <w:t xml:space="preserve"> Multilevel and Quasi Monte Carlo Methods for the Calculation of the Expected Value of Partial Perfect Information. </w:t>
      </w:r>
      <w:r w:rsidRPr="00EF35F3">
        <w:rPr>
          <w:i/>
        </w:rPr>
        <w:t xml:space="preserve">Med </w:t>
      </w:r>
      <w:r w:rsidRPr="00EF35F3">
        <w:rPr>
          <w:i/>
        </w:rPr>
        <w:lastRenderedPageBreak/>
        <w:t>Decis Making</w:t>
      </w:r>
      <w:r w:rsidRPr="00EF35F3">
        <w:t xml:space="preserve"> 2021; 10.1177/0272989X211026305:272989X211026305. </w:t>
      </w:r>
      <w:hyperlink r:id="rId240" w:history="1">
        <w:r w:rsidRPr="00EF35F3">
          <w:rPr>
            <w:rStyle w:val="Hyperlink"/>
          </w:rPr>
          <w:t>https://doi.org/10.1177/0272989X211026305</w:t>
        </w:r>
      </w:hyperlink>
    </w:p>
    <w:p w14:paraId="5422BF3F" w14:textId="7A499F4F" w:rsidR="00EF35F3" w:rsidRPr="00EF35F3" w:rsidRDefault="00EF35F3" w:rsidP="00EF35F3">
      <w:pPr>
        <w:pStyle w:val="EndNoteBibliography"/>
        <w:spacing w:after="0"/>
      </w:pPr>
      <w:r w:rsidRPr="00EF35F3">
        <w:t>262.</w:t>
      </w:r>
      <w:r w:rsidRPr="00EF35F3">
        <w:tab/>
        <w:t xml:space="preserve">gov.uk. Population estimates. </w:t>
      </w:r>
      <w:hyperlink r:id="rId241" w:history="1">
        <w:r w:rsidRPr="00EF35F3">
          <w:rPr>
            <w:rStyle w:val="Hyperlink"/>
          </w:rPr>
          <w:t>https://www.ons.gov.uk/peoplepopulationandcommunity/populationandmigration/populationestimates</w:t>
        </w:r>
      </w:hyperlink>
      <w:r w:rsidRPr="00EF35F3">
        <w:t xml:space="preserve"> (accessed 10-November-2021). 2020.</w:t>
      </w:r>
    </w:p>
    <w:p w14:paraId="154D9187" w14:textId="77777777" w:rsidR="00EF35F3" w:rsidRPr="00EF35F3" w:rsidRDefault="00EF35F3" w:rsidP="00EF35F3">
      <w:pPr>
        <w:pStyle w:val="EndNoteBibliography"/>
        <w:spacing w:after="0"/>
      </w:pPr>
      <w:r w:rsidRPr="00EF35F3">
        <w:t>263.</w:t>
      </w:r>
      <w:r w:rsidRPr="00EF35F3">
        <w:tab/>
        <w:t>gov.uk. UK population by ethnicity. Age groups. Published 22 August 2018. Last updated 17 August 2020. 2020.</w:t>
      </w:r>
    </w:p>
    <w:p w14:paraId="09F6E59C" w14:textId="77777777" w:rsidR="00EF35F3" w:rsidRPr="00EF35F3" w:rsidRDefault="00EF35F3" w:rsidP="00EF35F3">
      <w:pPr>
        <w:pStyle w:val="EndNoteBibliography"/>
        <w:spacing w:after="0"/>
      </w:pPr>
      <w:r w:rsidRPr="00EF35F3">
        <w:t>264.</w:t>
      </w:r>
      <w:r w:rsidRPr="00EF35F3">
        <w:tab/>
        <w:t>Team RC. R: A language and environment for statistical computing. 2013.</w:t>
      </w:r>
    </w:p>
    <w:p w14:paraId="17A6FF5C" w14:textId="77777777" w:rsidR="00EF35F3" w:rsidRPr="00EF35F3" w:rsidRDefault="00EF35F3" w:rsidP="00EF35F3">
      <w:pPr>
        <w:pStyle w:val="EndNoteBibliography"/>
        <w:spacing w:after="0"/>
      </w:pPr>
      <w:r w:rsidRPr="00EF35F3">
        <w:t>265.</w:t>
      </w:r>
      <w:r w:rsidRPr="00EF35F3">
        <w:tab/>
        <w:t xml:space="preserve">Incerti D, Thom H, Baio G, Jansen JP. R you still using Excel? the advantages of modern software tools for health technology assessment. </w:t>
      </w:r>
      <w:r w:rsidRPr="00EF35F3">
        <w:rPr>
          <w:i/>
        </w:rPr>
        <w:t>Value in Health</w:t>
      </w:r>
      <w:r w:rsidRPr="00EF35F3">
        <w:t xml:space="preserve"> 2019;</w:t>
      </w:r>
      <w:r w:rsidRPr="00EF35F3">
        <w:rPr>
          <w:b/>
        </w:rPr>
        <w:t>22</w:t>
      </w:r>
      <w:r w:rsidRPr="00EF35F3">
        <w:t>:575-9.</w:t>
      </w:r>
    </w:p>
    <w:p w14:paraId="617721C8" w14:textId="57C83A27" w:rsidR="00EF35F3" w:rsidRPr="00EF35F3" w:rsidRDefault="00EF35F3" w:rsidP="00EF35F3">
      <w:pPr>
        <w:pStyle w:val="EndNoteBibliography"/>
        <w:spacing w:after="0"/>
      </w:pPr>
      <w:r w:rsidRPr="00EF35F3">
        <w:t>266.</w:t>
      </w:r>
      <w:r w:rsidRPr="00EF35F3">
        <w:tab/>
        <w:t>Fang W, Wang Z, Giles MB, Jackson CH, Welton NJ, Andrieu C</w:t>
      </w:r>
      <w:r w:rsidRPr="00EF35F3">
        <w:rPr>
          <w:i/>
        </w:rPr>
        <w:t>, et al.</w:t>
      </w:r>
      <w:r w:rsidRPr="00EF35F3">
        <w:t xml:space="preserve"> Multilevel and Quasi Monte Carlo Methods for the Calculation of the Expected Value of Partial Perfect Information. </w:t>
      </w:r>
      <w:r w:rsidRPr="00EF35F3">
        <w:rPr>
          <w:i/>
        </w:rPr>
        <w:t>Med Decis Making</w:t>
      </w:r>
      <w:r w:rsidRPr="00EF35F3">
        <w:t xml:space="preserve"> 2022;</w:t>
      </w:r>
      <w:r w:rsidRPr="00EF35F3">
        <w:rPr>
          <w:b/>
        </w:rPr>
        <w:t>42</w:t>
      </w:r>
      <w:r w:rsidRPr="00EF35F3">
        <w:t xml:space="preserve">:168-81. </w:t>
      </w:r>
      <w:hyperlink r:id="rId242" w:history="1">
        <w:r w:rsidRPr="00EF35F3">
          <w:rPr>
            <w:rStyle w:val="Hyperlink"/>
          </w:rPr>
          <w:t>https://doi.org/10.1177/0272989X211026305</w:t>
        </w:r>
      </w:hyperlink>
    </w:p>
    <w:p w14:paraId="71C23EA3" w14:textId="51821CDA" w:rsidR="00EF35F3" w:rsidRPr="00EF35F3" w:rsidRDefault="00EF35F3" w:rsidP="00EF35F3">
      <w:pPr>
        <w:pStyle w:val="EndNoteBibliography"/>
        <w:spacing w:after="0"/>
      </w:pPr>
      <w:r w:rsidRPr="00EF35F3">
        <w:t>267.</w:t>
      </w:r>
      <w:r w:rsidRPr="00EF35F3">
        <w:tab/>
        <w:t xml:space="preserve">Antiga E, Caproni M. The diagnosis and treatment of dermatitis herpetiformis. </w:t>
      </w:r>
      <w:r w:rsidRPr="00EF35F3">
        <w:rPr>
          <w:i/>
        </w:rPr>
        <w:t>Clin Cosmet Investig Dermatol</w:t>
      </w:r>
      <w:r w:rsidRPr="00EF35F3">
        <w:t xml:space="preserve"> 2015;</w:t>
      </w:r>
      <w:r w:rsidRPr="00EF35F3">
        <w:rPr>
          <w:b/>
        </w:rPr>
        <w:t>8</w:t>
      </w:r>
      <w:r w:rsidRPr="00EF35F3">
        <w:t xml:space="preserve">:257-65. </w:t>
      </w:r>
      <w:hyperlink r:id="rId243" w:history="1">
        <w:r w:rsidRPr="00EF35F3">
          <w:rPr>
            <w:rStyle w:val="Hyperlink"/>
          </w:rPr>
          <w:t>https://doi.org/10.2147/CCID.S69127</w:t>
        </w:r>
      </w:hyperlink>
    </w:p>
    <w:p w14:paraId="6432E4DA" w14:textId="77777777" w:rsidR="00EF35F3" w:rsidRPr="00EF35F3" w:rsidRDefault="00EF35F3" w:rsidP="00EF35F3">
      <w:pPr>
        <w:pStyle w:val="EndNoteBibliography"/>
        <w:spacing w:after="0"/>
      </w:pPr>
      <w:r w:rsidRPr="00EF35F3">
        <w:t>268.</w:t>
      </w:r>
      <w:r w:rsidRPr="00EF35F3">
        <w:tab/>
        <w:t>Kunst N, Wilson E, Alarid-Escudero F, Baio G, Brennan A, Fairley M</w:t>
      </w:r>
      <w:r w:rsidRPr="00EF35F3">
        <w:rPr>
          <w:i/>
        </w:rPr>
        <w:t>, et al.</w:t>
      </w:r>
      <w:r w:rsidRPr="00EF35F3">
        <w:t xml:space="preserve"> Computing the Expected Value of Sample Information Efficiently: Practical Guidance and Recommendations for Four Model-Based Methods. </w:t>
      </w:r>
      <w:r w:rsidRPr="00EF35F3">
        <w:rPr>
          <w:i/>
        </w:rPr>
        <w:t>Value in Health</w:t>
      </w:r>
      <w:r w:rsidRPr="00EF35F3">
        <w:t xml:space="preserve"> 2020;</w:t>
      </w:r>
      <w:r w:rsidRPr="00EF35F3">
        <w:rPr>
          <w:b/>
        </w:rPr>
        <w:t>In press</w:t>
      </w:r>
      <w:r w:rsidRPr="00EF35F3">
        <w:t>.</w:t>
      </w:r>
    </w:p>
    <w:p w14:paraId="41570BE4" w14:textId="40C4E29D" w:rsidR="00EF35F3" w:rsidRPr="00EF35F3" w:rsidRDefault="00EF35F3" w:rsidP="00EF35F3">
      <w:pPr>
        <w:pStyle w:val="EndNoteBibliography"/>
        <w:spacing w:after="0"/>
      </w:pPr>
      <w:r w:rsidRPr="00EF35F3">
        <w:t>269.</w:t>
      </w:r>
      <w:r w:rsidRPr="00EF35F3">
        <w:tab/>
        <w:t xml:space="preserve">Watson J, Nicholson BD, Hamilton W, Price S. Identifying clinical features in primary care electronic health record studies: methods for codelist development. </w:t>
      </w:r>
      <w:r w:rsidRPr="00EF35F3">
        <w:rPr>
          <w:i/>
        </w:rPr>
        <w:t>BMJ Open</w:t>
      </w:r>
      <w:r w:rsidRPr="00EF35F3">
        <w:t xml:space="preserve"> 2017;</w:t>
      </w:r>
      <w:r w:rsidRPr="00EF35F3">
        <w:rPr>
          <w:b/>
        </w:rPr>
        <w:t>7</w:t>
      </w:r>
      <w:r w:rsidRPr="00EF35F3">
        <w:t xml:space="preserve">:e019637. </w:t>
      </w:r>
      <w:hyperlink r:id="rId244" w:history="1">
        <w:r w:rsidRPr="00EF35F3">
          <w:rPr>
            <w:rStyle w:val="Hyperlink"/>
          </w:rPr>
          <w:t>https://doi.org/10.1136/bmjopen-2017-019637</w:t>
        </w:r>
      </w:hyperlink>
    </w:p>
    <w:p w14:paraId="2A8BF1C8" w14:textId="18E25C53" w:rsidR="00EF35F3" w:rsidRPr="00EF35F3" w:rsidRDefault="00EF35F3" w:rsidP="00EF35F3">
      <w:pPr>
        <w:pStyle w:val="EndNoteBibliography"/>
        <w:spacing w:after="0"/>
      </w:pPr>
      <w:r w:rsidRPr="00EF35F3">
        <w:t>270.</w:t>
      </w:r>
      <w:r w:rsidRPr="00EF35F3">
        <w:tab/>
        <w:t xml:space="preserve">National Health Institute for Health and Care Excellence (NICE). Coeliac disease: recognition, assessment and management (NICE guideline 20). </w:t>
      </w:r>
      <w:r w:rsidRPr="00EF35F3">
        <w:rPr>
          <w:i/>
        </w:rPr>
        <w:t xml:space="preserve">Available at: </w:t>
      </w:r>
      <w:hyperlink r:id="rId245" w:history="1">
        <w:r w:rsidRPr="00EF35F3">
          <w:rPr>
            <w:rStyle w:val="Hyperlink"/>
            <w:i/>
          </w:rPr>
          <w:t>https://wwwniceorguk/guidance/ng20</w:t>
        </w:r>
      </w:hyperlink>
      <w:r w:rsidRPr="00EF35F3">
        <w:rPr>
          <w:i/>
        </w:rPr>
        <w:t xml:space="preserve"> [last acessed 19/01/2021]</w:t>
      </w:r>
      <w:r w:rsidRPr="00EF35F3">
        <w:t xml:space="preserve"> 2015.</w:t>
      </w:r>
    </w:p>
    <w:p w14:paraId="538DBCBA" w14:textId="77777777" w:rsidR="00EF35F3" w:rsidRPr="00EF35F3" w:rsidRDefault="00EF35F3" w:rsidP="00EF35F3">
      <w:pPr>
        <w:pStyle w:val="EndNoteBibliography"/>
        <w:spacing w:after="0"/>
      </w:pPr>
      <w:r w:rsidRPr="00EF35F3">
        <w:t>271.</w:t>
      </w:r>
      <w:r w:rsidRPr="00EF35F3">
        <w:tab/>
        <w:t xml:space="preserve">Davis S, Stevenson M, Tappenden P, Wailoo A. In: </w:t>
      </w:r>
      <w:r w:rsidRPr="00EF35F3">
        <w:rPr>
          <w:i/>
        </w:rPr>
        <w:t>NICE DSU Technical Support Document 15: Cost-Effectiveness Modelling Using Patient-Level Simulation</w:t>
      </w:r>
      <w:r w:rsidRPr="00EF35F3">
        <w:t>London; 2014.</w:t>
      </w:r>
    </w:p>
    <w:p w14:paraId="7FD05722" w14:textId="2D2A773C" w:rsidR="00EF35F3" w:rsidRPr="00EF35F3" w:rsidRDefault="00EF35F3" w:rsidP="00EF35F3">
      <w:pPr>
        <w:pStyle w:val="EndNoteBibliography"/>
        <w:spacing w:after="0"/>
      </w:pPr>
      <w:r w:rsidRPr="00EF35F3">
        <w:t>272.</w:t>
      </w:r>
      <w:r w:rsidRPr="00EF35F3">
        <w:tab/>
        <w:t xml:space="preserve">Ravelli A, Villanacci V, Monfredini C, Martinazzi S, Grassi V, Manenti S. How patchy is patchy villous atrophy?: distribution pattern of histological lesions in the duodenum of children with celiac disease. </w:t>
      </w:r>
      <w:r w:rsidRPr="00EF35F3">
        <w:rPr>
          <w:i/>
        </w:rPr>
        <w:t>Am J Gastroenterol</w:t>
      </w:r>
      <w:r w:rsidRPr="00EF35F3">
        <w:t xml:space="preserve"> 2010;</w:t>
      </w:r>
      <w:r w:rsidRPr="00EF35F3">
        <w:rPr>
          <w:b/>
        </w:rPr>
        <w:t>105</w:t>
      </w:r>
      <w:r w:rsidRPr="00EF35F3">
        <w:t xml:space="preserve">:2103-10. </w:t>
      </w:r>
      <w:hyperlink r:id="rId246" w:history="1">
        <w:r w:rsidRPr="00EF35F3">
          <w:rPr>
            <w:rStyle w:val="Hyperlink"/>
          </w:rPr>
          <w:t>https://doi.org/10.1038/ajg.2010.153</w:t>
        </w:r>
      </w:hyperlink>
    </w:p>
    <w:p w14:paraId="07517CE5" w14:textId="52C58B90" w:rsidR="00EF35F3" w:rsidRPr="00EF35F3" w:rsidRDefault="00EF35F3" w:rsidP="00EF35F3">
      <w:pPr>
        <w:pStyle w:val="EndNoteBibliography"/>
        <w:spacing w:after="0"/>
      </w:pPr>
      <w:r w:rsidRPr="00EF35F3">
        <w:t>273.</w:t>
      </w:r>
      <w:r w:rsidRPr="00EF35F3">
        <w:tab/>
        <w:t xml:space="preserve">Lebwohl B, Kapel RC, Neugut AI, Green PH, Genta RM. Adherence to biopsy guidelines increases celiac disease diagnosis. </w:t>
      </w:r>
      <w:r w:rsidRPr="00EF35F3">
        <w:rPr>
          <w:i/>
        </w:rPr>
        <w:t>Gastrointest Endosc</w:t>
      </w:r>
      <w:r w:rsidRPr="00EF35F3">
        <w:t xml:space="preserve"> 2011;</w:t>
      </w:r>
      <w:r w:rsidRPr="00EF35F3">
        <w:rPr>
          <w:b/>
        </w:rPr>
        <w:t>74</w:t>
      </w:r>
      <w:r w:rsidRPr="00EF35F3">
        <w:t xml:space="preserve">:103-9. </w:t>
      </w:r>
      <w:hyperlink r:id="rId247" w:history="1">
        <w:r w:rsidRPr="00EF35F3">
          <w:rPr>
            <w:rStyle w:val="Hyperlink"/>
          </w:rPr>
          <w:t>https://doi.org/10.1016/j.gie.2011.03.1236</w:t>
        </w:r>
      </w:hyperlink>
    </w:p>
    <w:p w14:paraId="24DBA22E" w14:textId="60DBD293" w:rsidR="00EF35F3" w:rsidRPr="00EF35F3" w:rsidRDefault="00EF35F3" w:rsidP="00EF35F3">
      <w:pPr>
        <w:pStyle w:val="EndNoteBibliography"/>
        <w:spacing w:after="0"/>
      </w:pPr>
      <w:r w:rsidRPr="00EF35F3">
        <w:t>274.</w:t>
      </w:r>
      <w:r w:rsidRPr="00EF35F3">
        <w:tab/>
        <w:t xml:space="preserve">Cohn A, Sofia AM, Kupfer SS. Type 1 diabetes and celiac disease: Clinical overlap and new insights into disease pathogenesis. </w:t>
      </w:r>
      <w:r w:rsidRPr="00EF35F3">
        <w:rPr>
          <w:i/>
        </w:rPr>
        <w:t>Current Diabetes Reports</w:t>
      </w:r>
      <w:r w:rsidRPr="00EF35F3">
        <w:t xml:space="preserve"> 2014;</w:t>
      </w:r>
      <w:r w:rsidRPr="00EF35F3">
        <w:rPr>
          <w:b/>
        </w:rPr>
        <w:t>14</w:t>
      </w:r>
      <w:r w:rsidRPr="00EF35F3">
        <w:t xml:space="preserve">:517. </w:t>
      </w:r>
      <w:hyperlink r:id="rId248" w:history="1">
        <w:r w:rsidRPr="00EF35F3">
          <w:rPr>
            <w:rStyle w:val="Hyperlink"/>
          </w:rPr>
          <w:t>https://doi.org/http://dx.doi.org/10.1007/s11892-014-0517-x</w:t>
        </w:r>
      </w:hyperlink>
    </w:p>
    <w:p w14:paraId="5456D7C0" w14:textId="0A24E82E" w:rsidR="00EF35F3" w:rsidRPr="00EF35F3" w:rsidRDefault="00EF35F3" w:rsidP="00EF35F3">
      <w:pPr>
        <w:pStyle w:val="EndNoteBibliography"/>
        <w:spacing w:after="0"/>
      </w:pPr>
      <w:r w:rsidRPr="00EF35F3">
        <w:t>275.</w:t>
      </w:r>
      <w:r w:rsidRPr="00EF35F3">
        <w:tab/>
        <w:t xml:space="preserve">Irvine AJ, Chey WD, Ford AC. Screening for Celiac Disease in Irritable Bowel Syndrome: An Updated Systematic Review and Meta-analysis. </w:t>
      </w:r>
      <w:r w:rsidRPr="00EF35F3">
        <w:rPr>
          <w:i/>
        </w:rPr>
        <w:t>American Journal of Gastroenterology</w:t>
      </w:r>
      <w:r w:rsidRPr="00EF35F3">
        <w:t xml:space="preserve"> 2017;</w:t>
      </w:r>
      <w:r w:rsidRPr="00EF35F3">
        <w:rPr>
          <w:b/>
        </w:rPr>
        <w:t>112</w:t>
      </w:r>
      <w:r w:rsidRPr="00EF35F3">
        <w:t xml:space="preserve">:65-76. </w:t>
      </w:r>
      <w:hyperlink r:id="rId249" w:history="1">
        <w:r w:rsidRPr="00EF35F3">
          <w:rPr>
            <w:rStyle w:val="Hyperlink"/>
          </w:rPr>
          <w:t>https://doi.org/http://dx.doi.org/10.1038/ajg.2016.466</w:t>
        </w:r>
      </w:hyperlink>
    </w:p>
    <w:p w14:paraId="1B896B54" w14:textId="0CCC6610" w:rsidR="00EF35F3" w:rsidRPr="00EF35F3" w:rsidRDefault="00EF35F3" w:rsidP="00EF35F3">
      <w:pPr>
        <w:pStyle w:val="EndNoteBibliography"/>
        <w:spacing w:after="0"/>
      </w:pPr>
      <w:r w:rsidRPr="00EF35F3">
        <w:t>276.</w:t>
      </w:r>
      <w:r w:rsidRPr="00EF35F3">
        <w:tab/>
        <w:t>Mahadev S, Laszkowska M, Sundstrom J, Bjorkholm M, Lebwohl B, Green PHR</w:t>
      </w:r>
      <w:r w:rsidRPr="00EF35F3">
        <w:rPr>
          <w:i/>
        </w:rPr>
        <w:t>, et al.</w:t>
      </w:r>
      <w:r w:rsidRPr="00EF35F3">
        <w:t xml:space="preserve"> Prevalence of Celiac Disease in Patients With Iron Deficiency Anemia-A Systematic Review With Meta-analysis. </w:t>
      </w:r>
      <w:r w:rsidRPr="00EF35F3">
        <w:rPr>
          <w:i/>
        </w:rPr>
        <w:t>Gastroenterology</w:t>
      </w:r>
      <w:r w:rsidRPr="00EF35F3">
        <w:t xml:space="preserve"> 2018;</w:t>
      </w:r>
      <w:r w:rsidRPr="00EF35F3">
        <w:rPr>
          <w:b/>
        </w:rPr>
        <w:t>155</w:t>
      </w:r>
      <w:r w:rsidRPr="00EF35F3">
        <w:t xml:space="preserve">:374-82 e1. </w:t>
      </w:r>
      <w:hyperlink r:id="rId250" w:history="1">
        <w:r w:rsidRPr="00EF35F3">
          <w:rPr>
            <w:rStyle w:val="Hyperlink"/>
          </w:rPr>
          <w:t>https://doi.org/10.1053/j.gastro.2018.04.016</w:t>
        </w:r>
      </w:hyperlink>
    </w:p>
    <w:p w14:paraId="1E0513F6" w14:textId="354943F6" w:rsidR="00EF35F3" w:rsidRPr="00EF35F3" w:rsidRDefault="00EF35F3" w:rsidP="00EF35F3">
      <w:pPr>
        <w:pStyle w:val="EndNoteBibliography"/>
        <w:spacing w:after="0"/>
      </w:pPr>
      <w:r w:rsidRPr="00EF35F3">
        <w:t>277.</w:t>
      </w:r>
      <w:r w:rsidRPr="00EF35F3">
        <w:tab/>
        <w:t xml:space="preserve">Julian T, Hadjivassiliou M, Zis P. Gluten sensitivity and epilepsy: a systematic review. </w:t>
      </w:r>
      <w:r w:rsidRPr="00EF35F3">
        <w:rPr>
          <w:i/>
        </w:rPr>
        <w:t>Journal of Neurology</w:t>
      </w:r>
      <w:r w:rsidRPr="00EF35F3">
        <w:t xml:space="preserve"> 2019;</w:t>
      </w:r>
      <w:r w:rsidRPr="00EF35F3">
        <w:rPr>
          <w:b/>
        </w:rPr>
        <w:t>266</w:t>
      </w:r>
      <w:r w:rsidRPr="00EF35F3">
        <w:t xml:space="preserve">:1557-65. </w:t>
      </w:r>
      <w:hyperlink r:id="rId251" w:history="1">
        <w:r w:rsidRPr="00EF35F3">
          <w:rPr>
            <w:rStyle w:val="Hyperlink"/>
          </w:rPr>
          <w:t>https://doi.org/10.1007/s00415-018-9025-2</w:t>
        </w:r>
      </w:hyperlink>
    </w:p>
    <w:p w14:paraId="088C7518" w14:textId="5A114B3E" w:rsidR="00EF35F3" w:rsidRPr="00EF35F3" w:rsidRDefault="00EF35F3" w:rsidP="00EF35F3">
      <w:pPr>
        <w:pStyle w:val="EndNoteBibliography"/>
        <w:spacing w:after="0"/>
      </w:pPr>
      <w:r w:rsidRPr="00EF35F3">
        <w:t>278.</w:t>
      </w:r>
      <w:r w:rsidRPr="00EF35F3">
        <w:tab/>
        <w:t xml:space="preserve">Singh P, Arora S, Lal S, Strand TA, Makharia GK. Celiac Disease in Women with Infertility: A Meta-Analysis. </w:t>
      </w:r>
      <w:r w:rsidRPr="00EF35F3">
        <w:rPr>
          <w:i/>
        </w:rPr>
        <w:t>Journal of Clinical Gastroenterology</w:t>
      </w:r>
      <w:r w:rsidRPr="00EF35F3">
        <w:t xml:space="preserve"> 2016;</w:t>
      </w:r>
      <w:r w:rsidRPr="00EF35F3">
        <w:rPr>
          <w:b/>
        </w:rPr>
        <w:t>50</w:t>
      </w:r>
      <w:r w:rsidRPr="00EF35F3">
        <w:t xml:space="preserve">:33-9. </w:t>
      </w:r>
      <w:hyperlink r:id="rId252" w:history="1">
        <w:r w:rsidRPr="00EF35F3">
          <w:rPr>
            <w:rStyle w:val="Hyperlink"/>
          </w:rPr>
          <w:t>https://doi.org/http://dx.doi.org/10.1097/MCG.0000000000000285</w:t>
        </w:r>
      </w:hyperlink>
    </w:p>
    <w:p w14:paraId="4FD80773" w14:textId="5B23804F" w:rsidR="00EF35F3" w:rsidRPr="00EF35F3" w:rsidRDefault="00EF35F3" w:rsidP="00EF35F3">
      <w:pPr>
        <w:pStyle w:val="EndNoteBibliography"/>
        <w:spacing w:after="0"/>
      </w:pPr>
      <w:r w:rsidRPr="00EF35F3">
        <w:t>279.</w:t>
      </w:r>
      <w:r w:rsidRPr="00EF35F3">
        <w:tab/>
        <w:t>Roy A, Laszkowska M, Sundstrom J, Lebwohl B, Green PHR, Kampe O</w:t>
      </w:r>
      <w:r w:rsidRPr="00EF35F3">
        <w:rPr>
          <w:i/>
        </w:rPr>
        <w:t>, et al.</w:t>
      </w:r>
      <w:r w:rsidRPr="00EF35F3">
        <w:t xml:space="preserve"> Prevalence of Celiac Disease in Patients with Autoimmune Thyroid Disease: A Meta-Analysis. </w:t>
      </w:r>
      <w:r w:rsidRPr="00EF35F3">
        <w:rPr>
          <w:i/>
        </w:rPr>
        <w:t>Thyroid</w:t>
      </w:r>
      <w:r w:rsidRPr="00EF35F3">
        <w:t xml:space="preserve"> 2016;</w:t>
      </w:r>
      <w:r w:rsidRPr="00EF35F3">
        <w:rPr>
          <w:b/>
        </w:rPr>
        <w:t>26</w:t>
      </w:r>
      <w:r w:rsidRPr="00EF35F3">
        <w:t xml:space="preserve">:880-90. </w:t>
      </w:r>
      <w:hyperlink r:id="rId253" w:history="1">
        <w:r w:rsidRPr="00EF35F3">
          <w:rPr>
            <w:rStyle w:val="Hyperlink"/>
          </w:rPr>
          <w:t>https://doi.org/http://dx.doi.org/10.1089/thy.2016.0108</w:t>
        </w:r>
      </w:hyperlink>
    </w:p>
    <w:p w14:paraId="0511AF75" w14:textId="5D123B7C" w:rsidR="00EF35F3" w:rsidRPr="00EF35F3" w:rsidRDefault="00EF35F3" w:rsidP="00EF35F3">
      <w:pPr>
        <w:pStyle w:val="EndNoteBibliography"/>
        <w:spacing w:after="0"/>
      </w:pPr>
      <w:r w:rsidRPr="00EF35F3">
        <w:lastRenderedPageBreak/>
        <w:t>280.</w:t>
      </w:r>
      <w:r w:rsidRPr="00EF35F3">
        <w:tab/>
        <w:t xml:space="preserve">Sainsbury A, Sanders DS, Ford AC. Meta-analysis: Coeliac disease and hypertransaminasaemia. </w:t>
      </w:r>
      <w:r w:rsidRPr="00EF35F3">
        <w:rPr>
          <w:i/>
        </w:rPr>
        <w:t>Alimentary Pharmacology and Therapeutics</w:t>
      </w:r>
      <w:r w:rsidRPr="00EF35F3">
        <w:t xml:space="preserve"> 2011;</w:t>
      </w:r>
      <w:r w:rsidRPr="00EF35F3">
        <w:rPr>
          <w:b/>
        </w:rPr>
        <w:t>34</w:t>
      </w:r>
      <w:r w:rsidRPr="00EF35F3">
        <w:t xml:space="preserve">:33-40. </w:t>
      </w:r>
      <w:hyperlink r:id="rId254" w:history="1">
        <w:r w:rsidRPr="00EF35F3">
          <w:rPr>
            <w:rStyle w:val="Hyperlink"/>
          </w:rPr>
          <w:t>https://doi.org/http://dx.doi.org/10.1111/j.1365-2036.2011.04685.x</w:t>
        </w:r>
      </w:hyperlink>
    </w:p>
    <w:p w14:paraId="3955947B" w14:textId="5C68875F" w:rsidR="00EF35F3" w:rsidRPr="00EF35F3" w:rsidRDefault="00EF35F3" w:rsidP="00EF35F3">
      <w:pPr>
        <w:pStyle w:val="EndNoteBibliography"/>
        <w:spacing w:after="0"/>
      </w:pPr>
      <w:r w:rsidRPr="00EF35F3">
        <w:t>281.</w:t>
      </w:r>
      <w:r w:rsidRPr="00EF35F3">
        <w:tab/>
        <w:t>Laszkowska M, Mahadev S, Sundstrom J, Lebwohl B, Green PHR, Michaelsson K</w:t>
      </w:r>
      <w:r w:rsidRPr="00EF35F3">
        <w:rPr>
          <w:i/>
        </w:rPr>
        <w:t>, et al.</w:t>
      </w:r>
      <w:r w:rsidRPr="00EF35F3">
        <w:t xml:space="preserve"> Systematic review with meta-analysis: the prevalence of coeliac disease in patients with osteoporosis. </w:t>
      </w:r>
      <w:r w:rsidRPr="00EF35F3">
        <w:rPr>
          <w:i/>
        </w:rPr>
        <w:t>Alimentary Pharmacology and Therapeutics</w:t>
      </w:r>
      <w:r w:rsidRPr="00EF35F3">
        <w:t xml:space="preserve"> 2018;</w:t>
      </w:r>
      <w:r w:rsidRPr="00EF35F3">
        <w:rPr>
          <w:b/>
        </w:rPr>
        <w:t>48</w:t>
      </w:r>
      <w:r w:rsidRPr="00EF35F3">
        <w:t xml:space="preserve">:590-7. </w:t>
      </w:r>
      <w:hyperlink r:id="rId255" w:history="1">
        <w:r w:rsidRPr="00EF35F3">
          <w:rPr>
            <w:rStyle w:val="Hyperlink"/>
          </w:rPr>
          <w:t>https://doi.org/http://dx.doi.org/10.1111/apt.14911</w:t>
        </w:r>
      </w:hyperlink>
    </w:p>
    <w:p w14:paraId="7E523EAF" w14:textId="75B29CB7" w:rsidR="00EF35F3" w:rsidRPr="00C34531" w:rsidRDefault="00EF35F3" w:rsidP="00EF35F3">
      <w:pPr>
        <w:pStyle w:val="EndNoteBibliography"/>
        <w:spacing w:after="0"/>
        <w:rPr>
          <w:lang w:val="it-IT"/>
        </w:rPr>
      </w:pPr>
      <w:r w:rsidRPr="00EF35F3">
        <w:t>282.</w:t>
      </w:r>
      <w:r w:rsidRPr="00EF35F3">
        <w:tab/>
        <w:t xml:space="preserve">Acharya P, Mathur M. Association between psoriasis and celiac disease: A systematic review and meta-analysis. </w:t>
      </w:r>
      <w:r w:rsidRPr="00C34531">
        <w:rPr>
          <w:i/>
          <w:lang w:val="it-IT"/>
        </w:rPr>
        <w:t>J Am Acad Dermatol</w:t>
      </w:r>
      <w:r w:rsidRPr="00C34531">
        <w:rPr>
          <w:lang w:val="it-IT"/>
        </w:rPr>
        <w:t xml:space="preserve"> 2020;</w:t>
      </w:r>
      <w:r w:rsidRPr="00C34531">
        <w:rPr>
          <w:b/>
          <w:lang w:val="it-IT"/>
        </w:rPr>
        <w:t>82</w:t>
      </w:r>
      <w:r w:rsidRPr="00C34531">
        <w:rPr>
          <w:lang w:val="it-IT"/>
        </w:rPr>
        <w:t xml:space="preserve">:1376-85. </w:t>
      </w:r>
      <w:hyperlink r:id="rId256" w:history="1">
        <w:r w:rsidRPr="00C34531">
          <w:rPr>
            <w:rStyle w:val="Hyperlink"/>
            <w:lang w:val="it-IT"/>
          </w:rPr>
          <w:t>https://doi.org/10.1016/j.jaad.2019.11.039</w:t>
        </w:r>
      </w:hyperlink>
    </w:p>
    <w:p w14:paraId="276606FC" w14:textId="232559BC" w:rsidR="00EF35F3" w:rsidRPr="00EF35F3" w:rsidRDefault="00EF35F3" w:rsidP="00EF35F3">
      <w:pPr>
        <w:pStyle w:val="EndNoteBibliography"/>
        <w:spacing w:after="0"/>
      </w:pPr>
      <w:r w:rsidRPr="00C34531">
        <w:rPr>
          <w:lang w:val="it-IT"/>
        </w:rPr>
        <w:t>283.</w:t>
      </w:r>
      <w:r w:rsidRPr="00C34531">
        <w:rPr>
          <w:lang w:val="it-IT"/>
        </w:rPr>
        <w:tab/>
        <w:t>Pinto-Sanchez MI, Seiler CL, Santesso N, Alaedini A, Semrad C, Lee AR</w:t>
      </w:r>
      <w:r w:rsidRPr="00C34531">
        <w:rPr>
          <w:i/>
          <w:lang w:val="it-IT"/>
        </w:rPr>
        <w:t>, et al.</w:t>
      </w:r>
      <w:r w:rsidRPr="00C34531">
        <w:rPr>
          <w:lang w:val="it-IT"/>
        </w:rPr>
        <w:t xml:space="preserve"> </w:t>
      </w:r>
      <w:r w:rsidRPr="00EF35F3">
        <w:t xml:space="preserve">Association Between Inflammatory Bowel Diseases and Celiac Disease: A Systematic Review and Meta-Analysis. </w:t>
      </w:r>
      <w:r w:rsidRPr="00EF35F3">
        <w:rPr>
          <w:i/>
        </w:rPr>
        <w:t>Gastroenterology</w:t>
      </w:r>
      <w:r w:rsidRPr="00EF35F3">
        <w:t xml:space="preserve"> 2020;</w:t>
      </w:r>
      <w:r w:rsidRPr="00EF35F3">
        <w:rPr>
          <w:b/>
        </w:rPr>
        <w:t>159</w:t>
      </w:r>
      <w:r w:rsidRPr="00EF35F3">
        <w:t xml:space="preserve">:884-903 e31. </w:t>
      </w:r>
      <w:hyperlink r:id="rId257" w:history="1">
        <w:r w:rsidRPr="00EF35F3">
          <w:rPr>
            <w:rStyle w:val="Hyperlink"/>
          </w:rPr>
          <w:t>https://doi.org/10.1053/j.gastro.2020.05.016</w:t>
        </w:r>
      </w:hyperlink>
    </w:p>
    <w:p w14:paraId="76AF6755" w14:textId="417E9D6C" w:rsidR="00EF35F3" w:rsidRPr="00C34531" w:rsidRDefault="00EF35F3" w:rsidP="00EF35F3">
      <w:pPr>
        <w:pStyle w:val="EndNoteBibliography"/>
        <w:spacing w:after="0"/>
        <w:rPr>
          <w:lang w:val="it-IT"/>
        </w:rPr>
      </w:pPr>
      <w:r w:rsidRPr="00EF35F3">
        <w:t>284.</w:t>
      </w:r>
      <w:r w:rsidRPr="00EF35F3">
        <w:tab/>
        <w:t xml:space="preserve">Zis P, Julian T, Hadjivassiliou M. Headache Associated with Coeliac Disease: A Systematic Review and Meta-Analysis. </w:t>
      </w:r>
      <w:r w:rsidRPr="00C34531">
        <w:rPr>
          <w:i/>
          <w:lang w:val="it-IT"/>
        </w:rPr>
        <w:t>Nutrients</w:t>
      </w:r>
      <w:r w:rsidRPr="00C34531">
        <w:rPr>
          <w:lang w:val="it-IT"/>
        </w:rPr>
        <w:t xml:space="preserve"> 2018;</w:t>
      </w:r>
      <w:r w:rsidRPr="00C34531">
        <w:rPr>
          <w:b/>
          <w:lang w:val="it-IT"/>
        </w:rPr>
        <w:t>10</w:t>
      </w:r>
      <w:r w:rsidRPr="00C34531">
        <w:rPr>
          <w:lang w:val="it-IT"/>
        </w:rPr>
        <w:t xml:space="preserve">. </w:t>
      </w:r>
      <w:hyperlink r:id="rId258" w:history="1">
        <w:r w:rsidRPr="00C34531">
          <w:rPr>
            <w:rStyle w:val="Hyperlink"/>
            <w:lang w:val="it-IT"/>
          </w:rPr>
          <w:t>https://doi.org/10.3390/nu10101445</w:t>
        </w:r>
      </w:hyperlink>
    </w:p>
    <w:p w14:paraId="7593AF11" w14:textId="77777777" w:rsidR="00EF35F3" w:rsidRPr="00EF35F3" w:rsidRDefault="00EF35F3" w:rsidP="00EF35F3">
      <w:pPr>
        <w:pStyle w:val="EndNoteBibliography"/>
        <w:spacing w:after="0"/>
      </w:pPr>
      <w:r w:rsidRPr="00C34531">
        <w:rPr>
          <w:lang w:val="it-IT"/>
        </w:rPr>
        <w:t>285.</w:t>
      </w:r>
      <w:r w:rsidRPr="00C34531">
        <w:rPr>
          <w:lang w:val="it-IT"/>
        </w:rPr>
        <w:tab/>
        <w:t>Gabrielli M, Cremonini F, Fiore G, Addolorato G, Padalino C, Candelli M</w:t>
      </w:r>
      <w:r w:rsidRPr="00C34531">
        <w:rPr>
          <w:i/>
          <w:lang w:val="it-IT"/>
        </w:rPr>
        <w:t>, et al.</w:t>
      </w:r>
      <w:r w:rsidRPr="00C34531">
        <w:rPr>
          <w:lang w:val="it-IT"/>
        </w:rPr>
        <w:t xml:space="preserve"> </w:t>
      </w:r>
      <w:r w:rsidRPr="00EF35F3">
        <w:t xml:space="preserve">Association between migraine and Celiac disease: results from a preliminary case-control and therapeutic study. </w:t>
      </w:r>
      <w:r w:rsidRPr="00EF35F3">
        <w:rPr>
          <w:i/>
        </w:rPr>
        <w:t>The American journal of gastroenterology</w:t>
      </w:r>
      <w:r w:rsidRPr="00EF35F3">
        <w:t xml:space="preserve"> 2003;</w:t>
      </w:r>
      <w:r w:rsidRPr="00EF35F3">
        <w:rPr>
          <w:b/>
        </w:rPr>
        <w:t>98</w:t>
      </w:r>
      <w:r w:rsidRPr="00EF35F3">
        <w:t>:625-9.</w:t>
      </w:r>
    </w:p>
    <w:p w14:paraId="5C19935D" w14:textId="264D4CC8" w:rsidR="00EF35F3" w:rsidRPr="00EF35F3" w:rsidRDefault="00EF35F3" w:rsidP="00EF35F3">
      <w:pPr>
        <w:pStyle w:val="EndNoteBibliography"/>
        <w:spacing w:after="0"/>
      </w:pPr>
      <w:r w:rsidRPr="00EF35F3">
        <w:t>286.</w:t>
      </w:r>
      <w:r w:rsidRPr="00EF35F3">
        <w:tab/>
        <w:t xml:space="preserve">Singh P, Arora S, Lal S, Strand TA, Makharia GK. Risk of Celiac Disease in the First- and Second-Degree Relatives of Patients With Celiac Disease: A Systematic Review and Meta-Analysis. </w:t>
      </w:r>
      <w:r w:rsidRPr="00EF35F3">
        <w:rPr>
          <w:i/>
        </w:rPr>
        <w:t>Am J Gastroenterol</w:t>
      </w:r>
      <w:r w:rsidRPr="00EF35F3">
        <w:t xml:space="preserve"> 2015;</w:t>
      </w:r>
      <w:r w:rsidRPr="00EF35F3">
        <w:rPr>
          <w:b/>
        </w:rPr>
        <w:t>110</w:t>
      </w:r>
      <w:r w:rsidRPr="00EF35F3">
        <w:t xml:space="preserve">:1539-48. </w:t>
      </w:r>
      <w:hyperlink r:id="rId259" w:history="1">
        <w:r w:rsidRPr="00EF35F3">
          <w:rPr>
            <w:rStyle w:val="Hyperlink"/>
          </w:rPr>
          <w:t>https://doi.org/10.1038/ajg.2015.296</w:t>
        </w:r>
      </w:hyperlink>
    </w:p>
    <w:p w14:paraId="5B57D5D0" w14:textId="1EAAB81F" w:rsidR="00EF35F3" w:rsidRPr="00EF35F3" w:rsidRDefault="00EF35F3" w:rsidP="00EF35F3">
      <w:pPr>
        <w:pStyle w:val="EndNoteBibliography"/>
        <w:spacing w:after="0"/>
      </w:pPr>
      <w:r w:rsidRPr="00EF35F3">
        <w:t>287.</w:t>
      </w:r>
      <w:r w:rsidRPr="00EF35F3">
        <w:tab/>
        <w:t>Yap TWC, Chan WK, Leow AHR, Azmi AN, Loke MF, Vadivelu J</w:t>
      </w:r>
      <w:r w:rsidRPr="00EF35F3">
        <w:rPr>
          <w:i/>
        </w:rPr>
        <w:t>, et al.</w:t>
      </w:r>
      <w:r w:rsidRPr="00EF35F3">
        <w:t xml:space="preserve"> Prevalence of serum celiac antibodies in a multiracial asian population - A first study in the Young Asian adult population of Malaysia. </w:t>
      </w:r>
      <w:r w:rsidRPr="00EF35F3">
        <w:rPr>
          <w:i/>
        </w:rPr>
        <w:t>PLoS ONE</w:t>
      </w:r>
      <w:r w:rsidRPr="00EF35F3">
        <w:t xml:space="preserve"> 2015;</w:t>
      </w:r>
      <w:r w:rsidRPr="00EF35F3">
        <w:rPr>
          <w:b/>
        </w:rPr>
        <w:t>10</w:t>
      </w:r>
      <w:r w:rsidRPr="00EF35F3">
        <w:t xml:space="preserve">:e0121908. </w:t>
      </w:r>
      <w:hyperlink r:id="rId260" w:history="1">
        <w:r w:rsidRPr="00EF35F3">
          <w:rPr>
            <w:rStyle w:val="Hyperlink"/>
          </w:rPr>
          <w:t>https://doi.org/http://dx.doi.org/10.1371/journal.pone.0121908</w:t>
        </w:r>
      </w:hyperlink>
    </w:p>
    <w:p w14:paraId="3F3FCA47" w14:textId="648180E4" w:rsidR="00EF35F3" w:rsidRPr="00EF35F3" w:rsidRDefault="00EF35F3" w:rsidP="00EF35F3">
      <w:pPr>
        <w:pStyle w:val="EndNoteBibliography"/>
        <w:spacing w:after="0"/>
      </w:pPr>
      <w:r w:rsidRPr="00EF35F3">
        <w:t>288.</w:t>
      </w:r>
      <w:r w:rsidRPr="00EF35F3">
        <w:tab/>
        <w:t xml:space="preserve">Abu-Zeid YA, Jasem WS, Lebwohl B, Green PH, ElGhazali G. Seroprevalence of celiac disease among United Arab Emirates healthy adult nationals: A gender disparity. </w:t>
      </w:r>
      <w:r w:rsidRPr="00EF35F3">
        <w:rPr>
          <w:i/>
        </w:rPr>
        <w:t>World Journal of Gastroenterology</w:t>
      </w:r>
      <w:r w:rsidRPr="00EF35F3">
        <w:t xml:space="preserve"> 2014;</w:t>
      </w:r>
      <w:r w:rsidRPr="00EF35F3">
        <w:rPr>
          <w:b/>
        </w:rPr>
        <w:t>20</w:t>
      </w:r>
      <w:r w:rsidRPr="00EF35F3">
        <w:t xml:space="preserve">:15830-6. </w:t>
      </w:r>
      <w:hyperlink r:id="rId261" w:history="1">
        <w:r w:rsidRPr="00EF35F3">
          <w:rPr>
            <w:rStyle w:val="Hyperlink"/>
          </w:rPr>
          <w:t>https://doi.org/http://dx.doi.org/10.3748/wjg.v20.i42.15830</w:t>
        </w:r>
      </w:hyperlink>
    </w:p>
    <w:p w14:paraId="52F1F1E5" w14:textId="230C6C50" w:rsidR="00EF35F3" w:rsidRPr="00EF35F3" w:rsidRDefault="00EF35F3" w:rsidP="00EF35F3">
      <w:pPr>
        <w:pStyle w:val="EndNoteBibliography"/>
        <w:spacing w:after="0"/>
      </w:pPr>
      <w:r w:rsidRPr="00EF35F3">
        <w:t>289.</w:t>
      </w:r>
      <w:r w:rsidRPr="00EF35F3">
        <w:tab/>
        <w:t>Romanos J, van Diemen CC, Nolte IM, Trynka G, Zhernakova A, Fu J</w:t>
      </w:r>
      <w:r w:rsidRPr="00EF35F3">
        <w:rPr>
          <w:i/>
        </w:rPr>
        <w:t>, et al.</w:t>
      </w:r>
      <w:r w:rsidRPr="00EF35F3">
        <w:t xml:space="preserve"> Analysis of HLA and non-HLA alleles can identify individuals at high risk for celiac disease. </w:t>
      </w:r>
      <w:r w:rsidRPr="00EF35F3">
        <w:rPr>
          <w:i/>
        </w:rPr>
        <w:t>Gastroenterology</w:t>
      </w:r>
      <w:r w:rsidRPr="00EF35F3">
        <w:t xml:space="preserve"> 2009;</w:t>
      </w:r>
      <w:r w:rsidRPr="00EF35F3">
        <w:rPr>
          <w:b/>
        </w:rPr>
        <w:t>137</w:t>
      </w:r>
      <w:r w:rsidRPr="00EF35F3">
        <w:t xml:space="preserve">:834-40, 40.e1-3. </w:t>
      </w:r>
      <w:hyperlink r:id="rId262" w:history="1">
        <w:r w:rsidRPr="00EF35F3">
          <w:rPr>
            <w:rStyle w:val="Hyperlink"/>
          </w:rPr>
          <w:t>https://doi.org/10.1053/j.gastro.2009.05.040</w:t>
        </w:r>
      </w:hyperlink>
    </w:p>
    <w:p w14:paraId="0F8ED990" w14:textId="3478E1A1" w:rsidR="00EF35F3" w:rsidRPr="00C34531" w:rsidRDefault="00EF35F3" w:rsidP="00EF35F3">
      <w:pPr>
        <w:pStyle w:val="EndNoteBibliography"/>
        <w:spacing w:after="0"/>
        <w:rPr>
          <w:lang w:val="de-DE"/>
        </w:rPr>
      </w:pPr>
      <w:r w:rsidRPr="00EF35F3">
        <w:t>290.</w:t>
      </w:r>
      <w:r w:rsidRPr="00EF35F3">
        <w:tab/>
        <w:t>Romanos J, Rosén A, Kumar V, Trynka G, Franke L, Szperl A</w:t>
      </w:r>
      <w:r w:rsidRPr="00EF35F3">
        <w:rPr>
          <w:i/>
        </w:rPr>
        <w:t>, et al.</w:t>
      </w:r>
      <w:r w:rsidRPr="00EF35F3">
        <w:t xml:space="preserve"> Improving coeliac disease risk prediction by testing non-HLA variants additional to HLA variants. </w:t>
      </w:r>
      <w:r w:rsidRPr="00C34531">
        <w:rPr>
          <w:i/>
          <w:lang w:val="de-DE"/>
        </w:rPr>
        <w:t>Gut</w:t>
      </w:r>
      <w:r w:rsidRPr="00C34531">
        <w:rPr>
          <w:lang w:val="de-DE"/>
        </w:rPr>
        <w:t xml:space="preserve"> 2014;</w:t>
      </w:r>
      <w:r w:rsidRPr="00C34531">
        <w:rPr>
          <w:b/>
          <w:lang w:val="de-DE"/>
        </w:rPr>
        <w:t>63</w:t>
      </w:r>
      <w:r w:rsidRPr="00C34531">
        <w:rPr>
          <w:lang w:val="de-DE"/>
        </w:rPr>
        <w:t xml:space="preserve">:415. </w:t>
      </w:r>
      <w:hyperlink r:id="rId263" w:history="1">
        <w:r w:rsidRPr="00C34531">
          <w:rPr>
            <w:rStyle w:val="Hyperlink"/>
            <w:lang w:val="de-DE"/>
          </w:rPr>
          <w:t>https://doi.org/10.1136/gutjnl-2012-304110</w:t>
        </w:r>
      </w:hyperlink>
    </w:p>
    <w:p w14:paraId="1CB7748C" w14:textId="7050D0FE" w:rsidR="00EF35F3" w:rsidRPr="00EF35F3" w:rsidRDefault="00EF35F3" w:rsidP="00EF35F3">
      <w:pPr>
        <w:pStyle w:val="EndNoteBibliography"/>
        <w:spacing w:after="0"/>
      </w:pPr>
      <w:r w:rsidRPr="00C34531">
        <w:rPr>
          <w:lang w:val="de-DE"/>
        </w:rPr>
        <w:t>291.</w:t>
      </w:r>
      <w:r w:rsidRPr="00C34531">
        <w:rPr>
          <w:lang w:val="de-DE"/>
        </w:rPr>
        <w:tab/>
        <w:t xml:space="preserve">Wilson PW, D'Agostino RB, Levy D, Belanger AM, Silbershatz H, Kannel WB. </w:t>
      </w:r>
      <w:r w:rsidRPr="00EF35F3">
        <w:t xml:space="preserve">Prediction of coronary heart disease using risk factor categories. </w:t>
      </w:r>
      <w:r w:rsidRPr="00EF35F3">
        <w:rPr>
          <w:i/>
        </w:rPr>
        <w:t>Circulation</w:t>
      </w:r>
      <w:r w:rsidRPr="00EF35F3">
        <w:t xml:space="preserve"> 1998;</w:t>
      </w:r>
      <w:r w:rsidRPr="00EF35F3">
        <w:rPr>
          <w:b/>
        </w:rPr>
        <w:t>97</w:t>
      </w:r>
      <w:r w:rsidRPr="00EF35F3">
        <w:t xml:space="preserve">:1837-47. </w:t>
      </w:r>
      <w:hyperlink r:id="rId264" w:history="1">
        <w:r w:rsidRPr="00EF35F3">
          <w:rPr>
            <w:rStyle w:val="Hyperlink"/>
          </w:rPr>
          <w:t>https://doi.org/10.1161/01.cir.97.18.1837</w:t>
        </w:r>
      </w:hyperlink>
    </w:p>
    <w:p w14:paraId="6E56D21B" w14:textId="5D8E342A" w:rsidR="00EF35F3" w:rsidRPr="00EF35F3" w:rsidRDefault="00EF35F3" w:rsidP="00EF35F3">
      <w:pPr>
        <w:pStyle w:val="EndNoteBibliography"/>
        <w:spacing w:after="0"/>
      </w:pPr>
      <w:r w:rsidRPr="00EF35F3">
        <w:t>292.</w:t>
      </w:r>
      <w:r w:rsidRPr="00EF35F3">
        <w:tab/>
        <w:t xml:space="preserve">Hippisley-Cox J, Coupland C. Symptoms and risk factors to identify women with suspected cancer in primary care: derivation and validation of an algorithm. </w:t>
      </w:r>
      <w:r w:rsidRPr="00EF35F3">
        <w:rPr>
          <w:i/>
        </w:rPr>
        <w:t>British Journal of General Practice</w:t>
      </w:r>
      <w:r w:rsidRPr="00EF35F3">
        <w:t xml:space="preserve"> 2013;</w:t>
      </w:r>
      <w:r w:rsidRPr="00EF35F3">
        <w:rPr>
          <w:b/>
        </w:rPr>
        <w:t>63</w:t>
      </w:r>
      <w:r w:rsidRPr="00EF35F3">
        <w:t xml:space="preserve">:e11. </w:t>
      </w:r>
      <w:hyperlink r:id="rId265" w:history="1">
        <w:r w:rsidRPr="00EF35F3">
          <w:rPr>
            <w:rStyle w:val="Hyperlink"/>
          </w:rPr>
          <w:t>https://doi.org/10.3399/bjgp13X660733</w:t>
        </w:r>
      </w:hyperlink>
    </w:p>
    <w:p w14:paraId="517253A3" w14:textId="4562ED5B" w:rsidR="00EF35F3" w:rsidRPr="00EF35F3" w:rsidRDefault="00EF35F3" w:rsidP="00EF35F3">
      <w:pPr>
        <w:pStyle w:val="EndNoteBibliography"/>
        <w:spacing w:after="0"/>
      </w:pPr>
      <w:r w:rsidRPr="00EF35F3">
        <w:t>293.</w:t>
      </w:r>
      <w:r w:rsidRPr="00EF35F3">
        <w:tab/>
        <w:t xml:space="preserve">Hippisley-Cox J, Coupland C. Symptoms and risk factors to identify men with suspected cancer in primary care: derivation and validation of an algorithm. </w:t>
      </w:r>
      <w:r w:rsidRPr="00EF35F3">
        <w:rPr>
          <w:i/>
        </w:rPr>
        <w:t>British Journal of General Practice</w:t>
      </w:r>
      <w:r w:rsidRPr="00EF35F3">
        <w:t xml:space="preserve"> 2013;</w:t>
      </w:r>
      <w:r w:rsidRPr="00EF35F3">
        <w:rPr>
          <w:b/>
        </w:rPr>
        <w:t>63</w:t>
      </w:r>
      <w:r w:rsidRPr="00EF35F3">
        <w:t xml:space="preserve">:e1. </w:t>
      </w:r>
      <w:hyperlink r:id="rId266" w:history="1">
        <w:r w:rsidRPr="00EF35F3">
          <w:rPr>
            <w:rStyle w:val="Hyperlink"/>
          </w:rPr>
          <w:t>https://doi.org/10.3399/bjgp13X660724</w:t>
        </w:r>
      </w:hyperlink>
    </w:p>
    <w:p w14:paraId="0F1FC296" w14:textId="6EF12038" w:rsidR="00EF35F3" w:rsidRPr="00EF35F3" w:rsidRDefault="00EF35F3" w:rsidP="00EF35F3">
      <w:pPr>
        <w:pStyle w:val="EndNoteBibliography"/>
        <w:spacing w:after="0"/>
      </w:pPr>
      <w:r w:rsidRPr="00EF35F3">
        <w:t>294.</w:t>
      </w:r>
      <w:r w:rsidRPr="00EF35F3">
        <w:tab/>
        <w:t xml:space="preserve">Diaz-Redondo A, Miranda-Bautista J, Garcia-Lledo J, Gisbert JP, Menchen L. The potential usefulness of human leukocyte antigen typing for celiac disease screening: A systematic review and meta-analysis. </w:t>
      </w:r>
      <w:r w:rsidRPr="00EF35F3">
        <w:rPr>
          <w:i/>
        </w:rPr>
        <w:t>Rev Esp Enferm Dig</w:t>
      </w:r>
      <w:r w:rsidRPr="00EF35F3">
        <w:t xml:space="preserve"> 2015;</w:t>
      </w:r>
      <w:r w:rsidRPr="00EF35F3">
        <w:rPr>
          <w:b/>
        </w:rPr>
        <w:t>107</w:t>
      </w:r>
      <w:r w:rsidRPr="00EF35F3">
        <w:t xml:space="preserve">:423-9. </w:t>
      </w:r>
      <w:hyperlink r:id="rId267" w:history="1">
        <w:r w:rsidRPr="00EF35F3">
          <w:rPr>
            <w:rStyle w:val="Hyperlink"/>
          </w:rPr>
          <w:t>https://doi.org/10.17235/reed.2015.3758/2015</w:t>
        </w:r>
      </w:hyperlink>
    </w:p>
    <w:p w14:paraId="3E5257F7" w14:textId="77777777" w:rsidR="00EF35F3" w:rsidRPr="00EF35F3" w:rsidRDefault="00EF35F3" w:rsidP="00EF35F3">
      <w:pPr>
        <w:pStyle w:val="EndNoteBibliography"/>
        <w:spacing w:after="0"/>
      </w:pPr>
      <w:r w:rsidRPr="00EF35F3">
        <w:t>295.</w:t>
      </w:r>
      <w:r w:rsidRPr="00EF35F3">
        <w:tab/>
        <w:t xml:space="preserve">. </w:t>
      </w:r>
      <w:r w:rsidRPr="00EF35F3">
        <w:rPr>
          <w:i/>
        </w:rPr>
        <w:t>Criteria for appraising the viability, effectiveness and appropriateness of a screening programme</w:t>
      </w:r>
      <w:r w:rsidRPr="00EF35F3">
        <w:t>; 2015.</w:t>
      </w:r>
    </w:p>
    <w:p w14:paraId="27DA542B" w14:textId="5165EE77" w:rsidR="00EF35F3" w:rsidRPr="00EF35F3" w:rsidRDefault="00EF35F3" w:rsidP="00EF35F3">
      <w:pPr>
        <w:pStyle w:val="EndNoteBibliography"/>
        <w:spacing w:after="0"/>
      </w:pPr>
      <w:r w:rsidRPr="00EF35F3">
        <w:t>296.</w:t>
      </w:r>
      <w:r w:rsidRPr="00EF35F3">
        <w:tab/>
        <w:t xml:space="preserve">Sarna VK, Lundin KEA, Morkrid L, Qiao SW, Sollid LM, Christophersen A. HLA-DQ-Gluten Tetramer Blood Test Accurately Identifies Patients With and Without Celiac Disease in Absence of </w:t>
      </w:r>
      <w:r w:rsidRPr="00EF35F3">
        <w:lastRenderedPageBreak/>
        <w:t xml:space="preserve">Gluten Consumption. </w:t>
      </w:r>
      <w:r w:rsidRPr="00EF35F3">
        <w:rPr>
          <w:i/>
        </w:rPr>
        <w:t>Gastroenterology</w:t>
      </w:r>
      <w:r w:rsidRPr="00EF35F3">
        <w:t xml:space="preserve"> 2018;</w:t>
      </w:r>
      <w:r w:rsidRPr="00EF35F3">
        <w:rPr>
          <w:b/>
        </w:rPr>
        <w:t>154</w:t>
      </w:r>
      <w:r w:rsidRPr="00EF35F3">
        <w:t xml:space="preserve">:886-96 e6. </w:t>
      </w:r>
      <w:hyperlink r:id="rId268" w:history="1">
        <w:r w:rsidRPr="00EF35F3">
          <w:rPr>
            <w:rStyle w:val="Hyperlink"/>
          </w:rPr>
          <w:t>https://doi.org/10.1053/j.gastro.2017.11.006</w:t>
        </w:r>
      </w:hyperlink>
    </w:p>
    <w:p w14:paraId="67D2F641" w14:textId="77777777" w:rsidR="00EF35F3" w:rsidRPr="00EF35F3" w:rsidRDefault="00EF35F3" w:rsidP="00EF35F3">
      <w:pPr>
        <w:pStyle w:val="EndNoteBibliography"/>
        <w:spacing w:after="0"/>
      </w:pPr>
      <w:r w:rsidRPr="00EF35F3">
        <w:t>297.</w:t>
      </w:r>
      <w:r w:rsidRPr="00EF35F3">
        <w:tab/>
        <w:t>Hopper AD, Azmy IA, Rahman N, Hurlstone DP, Leeds JS, George RR</w:t>
      </w:r>
      <w:r w:rsidRPr="00EF35F3">
        <w:rPr>
          <w:i/>
        </w:rPr>
        <w:t>, et al.</w:t>
      </w:r>
      <w:r w:rsidRPr="00EF35F3">
        <w:t xml:space="preserve"> Association of adult coeliac disease with surgical abdominal pain: a case controlled study in patients referred to secondary care. </w:t>
      </w:r>
      <w:r w:rsidRPr="00EF35F3">
        <w:rPr>
          <w:i/>
        </w:rPr>
        <w:t>Gastroenterology</w:t>
      </w:r>
      <w:r w:rsidRPr="00EF35F3">
        <w:t xml:space="preserve"> 2005;</w:t>
      </w:r>
      <w:r w:rsidRPr="00EF35F3">
        <w:rPr>
          <w:b/>
        </w:rPr>
        <w:t>128</w:t>
      </w:r>
      <w:r w:rsidRPr="00EF35F3">
        <w:t>:A255-A.</w:t>
      </w:r>
    </w:p>
    <w:p w14:paraId="3B33577E" w14:textId="0B013342" w:rsidR="00EF35F3" w:rsidRPr="00EF35F3" w:rsidRDefault="00EF35F3" w:rsidP="00EF35F3">
      <w:pPr>
        <w:pStyle w:val="EndNoteBibliography"/>
        <w:spacing w:after="0"/>
      </w:pPr>
      <w:r w:rsidRPr="00EF35F3">
        <w:t>298.</w:t>
      </w:r>
      <w:r w:rsidRPr="00EF35F3">
        <w:tab/>
        <w:t>Sanders DS, Hopper AD, Azmy IAF, Rahman N, Hurlstone DP, Leeds JS</w:t>
      </w:r>
      <w:r w:rsidRPr="00EF35F3">
        <w:rPr>
          <w:i/>
        </w:rPr>
        <w:t>, et al.</w:t>
      </w:r>
      <w:r w:rsidRPr="00EF35F3">
        <w:t xml:space="preserve"> Association of adult Celiac disease with surgical abdominal pain - A case-control study in patients referred to secondary care. </w:t>
      </w:r>
      <w:r w:rsidRPr="00EF35F3">
        <w:rPr>
          <w:i/>
        </w:rPr>
        <w:t>Annals of Surgery</w:t>
      </w:r>
      <w:r w:rsidRPr="00EF35F3">
        <w:t xml:space="preserve"> 2005;</w:t>
      </w:r>
      <w:r w:rsidRPr="00EF35F3">
        <w:rPr>
          <w:b/>
        </w:rPr>
        <w:t>242</w:t>
      </w:r>
      <w:r w:rsidRPr="00EF35F3">
        <w:t xml:space="preserve">:201-7. </w:t>
      </w:r>
      <w:hyperlink r:id="rId269" w:history="1">
        <w:r w:rsidRPr="00EF35F3">
          <w:rPr>
            <w:rStyle w:val="Hyperlink"/>
          </w:rPr>
          <w:t>https://doi.org/10.1097/01.sla.0000171301.35513.cf</w:t>
        </w:r>
      </w:hyperlink>
    </w:p>
    <w:p w14:paraId="32C4A106" w14:textId="3A9ED806" w:rsidR="00EF35F3" w:rsidRPr="00EF35F3" w:rsidRDefault="00EF35F3" w:rsidP="00EF35F3">
      <w:pPr>
        <w:pStyle w:val="EndNoteBibliography"/>
        <w:spacing w:after="0"/>
      </w:pPr>
      <w:r w:rsidRPr="00EF35F3">
        <w:t>299.</w:t>
      </w:r>
      <w:r w:rsidRPr="00EF35F3">
        <w:tab/>
        <w:t>Choung RS, Rubio-Tapia A, Lahr BD, Kyle RA, Camilleri MJ, Locke GR</w:t>
      </w:r>
      <w:r w:rsidRPr="00EF35F3">
        <w:rPr>
          <w:i/>
        </w:rPr>
        <w:t>, et al.</w:t>
      </w:r>
      <w:r w:rsidRPr="00EF35F3">
        <w:t xml:space="preserve"> Evidence Against Routine Testing of Patients With Functional Gastrointestinal Disorders for Celiac Disease: A Population-based Study. </w:t>
      </w:r>
      <w:r w:rsidRPr="00EF35F3">
        <w:rPr>
          <w:i/>
        </w:rPr>
        <w:t>Clinical Gastroenterology and Hepatology</w:t>
      </w:r>
      <w:r w:rsidRPr="00EF35F3">
        <w:t xml:space="preserve"> 2015;</w:t>
      </w:r>
      <w:r w:rsidRPr="00EF35F3">
        <w:rPr>
          <w:b/>
        </w:rPr>
        <w:t>13</w:t>
      </w:r>
      <w:r w:rsidRPr="00EF35F3">
        <w:t xml:space="preserve">:1937-43. </w:t>
      </w:r>
      <w:hyperlink r:id="rId270" w:history="1">
        <w:r w:rsidRPr="00EF35F3">
          <w:rPr>
            <w:rStyle w:val="Hyperlink"/>
          </w:rPr>
          <w:t>https://doi.org/http://dx.doi.org/10.1016/j.cgh.2015.05.014</w:t>
        </w:r>
      </w:hyperlink>
    </w:p>
    <w:p w14:paraId="1F927D02" w14:textId="3614C46B" w:rsidR="00EF35F3" w:rsidRPr="00EF35F3" w:rsidRDefault="00EF35F3" w:rsidP="00EF35F3">
      <w:pPr>
        <w:pStyle w:val="EndNoteBibliography"/>
        <w:spacing w:after="0"/>
      </w:pPr>
      <w:r w:rsidRPr="00EF35F3">
        <w:t>300.</w:t>
      </w:r>
      <w:r w:rsidRPr="00EF35F3">
        <w:tab/>
        <w:t>Oliveira RP, Sdepanian VL, Barreto JA, Cortez AJP, Carvalho FO, Bordin JO</w:t>
      </w:r>
      <w:r w:rsidRPr="00EF35F3">
        <w:rPr>
          <w:i/>
        </w:rPr>
        <w:t>, et al.</w:t>
      </w:r>
      <w:r w:rsidRPr="00EF35F3">
        <w:t xml:space="preserve"> High prevalence of celiac disease in Brazilian blood donor volunteers based on screening by IgA antitissue transglutaminase antibody. </w:t>
      </w:r>
      <w:r w:rsidRPr="00EF35F3">
        <w:rPr>
          <w:i/>
        </w:rPr>
        <w:t>European Journal of Gastroenterology &amp; Hepatology</w:t>
      </w:r>
      <w:r w:rsidRPr="00EF35F3">
        <w:t xml:space="preserve"> 2007;</w:t>
      </w:r>
      <w:r w:rsidRPr="00EF35F3">
        <w:rPr>
          <w:b/>
        </w:rPr>
        <w:t>19</w:t>
      </w:r>
      <w:r w:rsidRPr="00EF35F3">
        <w:t xml:space="preserve">:43-9. </w:t>
      </w:r>
      <w:hyperlink r:id="rId271" w:history="1">
        <w:r w:rsidRPr="00EF35F3">
          <w:rPr>
            <w:rStyle w:val="Hyperlink"/>
          </w:rPr>
          <w:t>https://doi.org/10.1097/01.meg.0000250586.61232.a3</w:t>
        </w:r>
      </w:hyperlink>
    </w:p>
    <w:p w14:paraId="7D533CBE" w14:textId="1A23F8DB" w:rsidR="00EF35F3" w:rsidRPr="00EF35F3" w:rsidRDefault="00EF35F3" w:rsidP="00EF35F3">
      <w:pPr>
        <w:pStyle w:val="EndNoteBibliography"/>
        <w:spacing w:after="0"/>
      </w:pPr>
      <w:r w:rsidRPr="00EF35F3">
        <w:t>301.</w:t>
      </w:r>
      <w:r w:rsidRPr="00EF35F3">
        <w:tab/>
        <w:t>Hujoel IA, Van Dyke CT, Brantner T, Larson J, King KS, Sharma A</w:t>
      </w:r>
      <w:r w:rsidRPr="00EF35F3">
        <w:rPr>
          <w:i/>
        </w:rPr>
        <w:t>, et al.</w:t>
      </w:r>
      <w:r w:rsidRPr="00EF35F3">
        <w:t xml:space="preserve"> Natural history and clinical detection of undiagnosed coeliac disease in a North American community. </w:t>
      </w:r>
      <w:r w:rsidRPr="00EF35F3">
        <w:rPr>
          <w:i/>
        </w:rPr>
        <w:t>Alimentary Pharmacology and Therapeutics</w:t>
      </w:r>
      <w:r w:rsidRPr="00EF35F3">
        <w:t xml:space="preserve"> 2018;</w:t>
      </w:r>
      <w:r w:rsidRPr="00EF35F3">
        <w:rPr>
          <w:b/>
        </w:rPr>
        <w:t>47</w:t>
      </w:r>
      <w:r w:rsidRPr="00EF35F3">
        <w:t xml:space="preserve">:1358-66. </w:t>
      </w:r>
      <w:hyperlink r:id="rId272" w:history="1">
        <w:r w:rsidRPr="00EF35F3">
          <w:rPr>
            <w:rStyle w:val="Hyperlink"/>
          </w:rPr>
          <w:t>https://doi.org/http://dx.doi.org/10.1111/apt.14625</w:t>
        </w:r>
      </w:hyperlink>
    </w:p>
    <w:p w14:paraId="60FCBE8D" w14:textId="1C54F4BC" w:rsidR="00EF35F3" w:rsidRPr="00EF35F3" w:rsidRDefault="00EF35F3" w:rsidP="00EF35F3">
      <w:pPr>
        <w:pStyle w:val="EndNoteBibliography"/>
        <w:spacing w:after="0"/>
      </w:pPr>
      <w:r w:rsidRPr="00EF35F3">
        <w:t>302.</w:t>
      </w:r>
      <w:r w:rsidRPr="00EF35F3">
        <w:tab/>
        <w:t>Godfrey JD, Brantner TL, Brinjikji W, Christensen KN, Brogan DL, Van Dyke CT</w:t>
      </w:r>
      <w:r w:rsidRPr="00EF35F3">
        <w:rPr>
          <w:i/>
        </w:rPr>
        <w:t>, et al.</w:t>
      </w:r>
      <w:r w:rsidRPr="00EF35F3">
        <w:t xml:space="preserve"> Morbidity and mortality among older individuals with undiagnosed celiac disease. </w:t>
      </w:r>
      <w:r w:rsidRPr="00EF35F3">
        <w:rPr>
          <w:i/>
        </w:rPr>
        <w:t>Gastroenterology</w:t>
      </w:r>
      <w:r w:rsidRPr="00EF35F3">
        <w:t xml:space="preserve"> 2010;</w:t>
      </w:r>
      <w:r w:rsidRPr="00EF35F3">
        <w:rPr>
          <w:b/>
        </w:rPr>
        <w:t>139</w:t>
      </w:r>
      <w:r w:rsidRPr="00EF35F3">
        <w:t xml:space="preserve">:763-9. </w:t>
      </w:r>
      <w:hyperlink r:id="rId273" w:history="1">
        <w:r w:rsidRPr="00EF35F3">
          <w:rPr>
            <w:rStyle w:val="Hyperlink"/>
          </w:rPr>
          <w:t>https://doi.org/http://dx.doi.org/10.1053/j.gastro.2010.05.041</w:t>
        </w:r>
      </w:hyperlink>
    </w:p>
    <w:p w14:paraId="4FB6BF2E" w14:textId="3AB2FD2A" w:rsidR="00EF35F3" w:rsidRPr="00EF35F3" w:rsidRDefault="00EF35F3" w:rsidP="00EF35F3">
      <w:pPr>
        <w:pStyle w:val="EndNoteBibliography"/>
        <w:spacing w:after="0"/>
      </w:pPr>
      <w:r w:rsidRPr="00EF35F3">
        <w:t>303.</w:t>
      </w:r>
      <w:r w:rsidRPr="00EF35F3">
        <w:tab/>
        <w:t xml:space="preserve">Fitzpatrick KP, Sherman PA, Ipp T, Saunders T, Macarthur C. Screening for celiac disease in children with recurrent abdominal pain. </w:t>
      </w:r>
      <w:r w:rsidRPr="00EF35F3">
        <w:rPr>
          <w:i/>
        </w:rPr>
        <w:t>Journal of Pediatric Gastroenterology and Nutrition</w:t>
      </w:r>
      <w:r w:rsidRPr="00EF35F3">
        <w:t xml:space="preserve"> 2001;</w:t>
      </w:r>
      <w:r w:rsidRPr="00EF35F3">
        <w:rPr>
          <w:b/>
        </w:rPr>
        <w:t>33</w:t>
      </w:r>
      <w:r w:rsidRPr="00EF35F3">
        <w:t xml:space="preserve">:250-2. </w:t>
      </w:r>
      <w:hyperlink r:id="rId274" w:history="1">
        <w:r w:rsidRPr="00EF35F3">
          <w:rPr>
            <w:rStyle w:val="Hyperlink"/>
          </w:rPr>
          <w:t>https://doi.org/10.1097/00005176-200109000-00004</w:t>
        </w:r>
      </w:hyperlink>
    </w:p>
    <w:p w14:paraId="02661036" w14:textId="07F7DB3D" w:rsidR="00EF35F3" w:rsidRPr="00EF35F3" w:rsidRDefault="00EF35F3" w:rsidP="00EF35F3">
      <w:pPr>
        <w:pStyle w:val="EndNoteBibliography"/>
        <w:spacing w:after="0"/>
      </w:pPr>
      <w:r w:rsidRPr="00EF35F3">
        <w:t>304.</w:t>
      </w:r>
      <w:r w:rsidRPr="00EF35F3">
        <w:tab/>
        <w:t>Dalgic B, Sari S, Ozcan B, Basturk B, Ensari A, Egritas O</w:t>
      </w:r>
      <w:r w:rsidRPr="00EF35F3">
        <w:rPr>
          <w:i/>
        </w:rPr>
        <w:t>, et al.</w:t>
      </w:r>
      <w:r w:rsidRPr="00EF35F3">
        <w:t xml:space="preserve"> The evaluation of factors and symptoms related to celiac disease in Turkish children. </w:t>
      </w:r>
      <w:r w:rsidRPr="00EF35F3">
        <w:rPr>
          <w:i/>
        </w:rPr>
        <w:t>Turk Pediatri Arsivi</w:t>
      </w:r>
      <w:r w:rsidRPr="00EF35F3">
        <w:t xml:space="preserve"> 2011;</w:t>
      </w:r>
      <w:r w:rsidRPr="00EF35F3">
        <w:rPr>
          <w:b/>
        </w:rPr>
        <w:t>46</w:t>
      </w:r>
      <w:r w:rsidRPr="00EF35F3">
        <w:t xml:space="preserve">:314-21. </w:t>
      </w:r>
      <w:hyperlink r:id="rId275" w:history="1">
        <w:r w:rsidRPr="00EF35F3">
          <w:rPr>
            <w:rStyle w:val="Hyperlink"/>
          </w:rPr>
          <w:t>https://doi.org/http://dx.doi.org/10.4274/tpa.672</w:t>
        </w:r>
      </w:hyperlink>
    </w:p>
    <w:p w14:paraId="74DB61C9" w14:textId="07F4B0BA" w:rsidR="00EF35F3" w:rsidRPr="00EF35F3" w:rsidRDefault="00EF35F3" w:rsidP="00EF35F3">
      <w:pPr>
        <w:pStyle w:val="EndNoteBibliography"/>
        <w:spacing w:after="0"/>
      </w:pPr>
      <w:r w:rsidRPr="00EF35F3">
        <w:t>305.</w:t>
      </w:r>
      <w:r w:rsidRPr="00EF35F3">
        <w:tab/>
        <w:t>Stahl MG, Rasmussen CG, Dong F, Waugh K, Norris JM, Baxter J</w:t>
      </w:r>
      <w:r w:rsidRPr="00EF35F3">
        <w:rPr>
          <w:i/>
        </w:rPr>
        <w:t>, et al.</w:t>
      </w:r>
      <w:r w:rsidRPr="00EF35F3">
        <w:t xml:space="preserve"> Mass Screening for Celiac Disease: The Autoimmunity Screening for Kids Study. </w:t>
      </w:r>
      <w:r w:rsidRPr="00EF35F3">
        <w:rPr>
          <w:i/>
        </w:rPr>
        <w:t>American Journal of Gastroenterology</w:t>
      </w:r>
      <w:r w:rsidRPr="00EF35F3">
        <w:t xml:space="preserve"> 2021;</w:t>
      </w:r>
      <w:r w:rsidRPr="00EF35F3">
        <w:rPr>
          <w:b/>
        </w:rPr>
        <w:t>116</w:t>
      </w:r>
      <w:r w:rsidRPr="00EF35F3">
        <w:t xml:space="preserve">:180-7. </w:t>
      </w:r>
      <w:hyperlink r:id="rId276" w:history="1">
        <w:r w:rsidRPr="00EF35F3">
          <w:rPr>
            <w:rStyle w:val="Hyperlink"/>
          </w:rPr>
          <w:t>https://doi.org/10.14309/ajg.0000000000000751</w:t>
        </w:r>
      </w:hyperlink>
    </w:p>
    <w:p w14:paraId="7EB37933" w14:textId="5645660A" w:rsidR="00EF35F3" w:rsidRPr="00EF35F3" w:rsidRDefault="00EF35F3" w:rsidP="00EF35F3">
      <w:pPr>
        <w:pStyle w:val="EndNoteBibliography"/>
        <w:spacing w:after="0"/>
      </w:pPr>
      <w:r w:rsidRPr="00EF35F3">
        <w:t>306.</w:t>
      </w:r>
      <w:r w:rsidRPr="00EF35F3">
        <w:tab/>
        <w:t xml:space="preserve">Lasa J, Spallone L, Gandara S, Chaar E, Berman S, Zagalsky D. Celiac disease prevalence is not increased in patients with functional dyspepsia. </w:t>
      </w:r>
      <w:r w:rsidRPr="00EF35F3">
        <w:rPr>
          <w:i/>
        </w:rPr>
        <w:t>Arquivos de Gastroenterologia</w:t>
      </w:r>
      <w:r w:rsidRPr="00EF35F3">
        <w:t xml:space="preserve"> 2017;</w:t>
      </w:r>
      <w:r w:rsidRPr="00EF35F3">
        <w:rPr>
          <w:b/>
        </w:rPr>
        <w:t>54</w:t>
      </w:r>
      <w:r w:rsidRPr="00EF35F3">
        <w:t xml:space="preserve">:37-40. </w:t>
      </w:r>
      <w:hyperlink r:id="rId277" w:history="1">
        <w:r w:rsidRPr="00EF35F3">
          <w:rPr>
            <w:rStyle w:val="Hyperlink"/>
          </w:rPr>
          <w:t>https://doi.org/http://dx.doi.org/10.1590/S0004-2803.2017v54n1-07</w:t>
        </w:r>
      </w:hyperlink>
    </w:p>
    <w:p w14:paraId="44CFD72F" w14:textId="77777777" w:rsidR="00EF35F3" w:rsidRPr="00EF35F3" w:rsidRDefault="00EF35F3" w:rsidP="00EF35F3">
      <w:pPr>
        <w:pStyle w:val="EndNoteBibliography"/>
        <w:spacing w:after="0"/>
      </w:pPr>
      <w:r w:rsidRPr="00EF35F3">
        <w:t>307.</w:t>
      </w:r>
      <w:r w:rsidRPr="00EF35F3">
        <w:tab/>
        <w:t xml:space="preserve">Lecleire S, Di Fiore F, Antonietti M, Savoye G, Lerebours E, Ducrotte P. Endoscopic markers for screening of villous atrophy in patients with dyspepsia or high-risk of celiac disease: a prospective controlled study. </w:t>
      </w:r>
      <w:r w:rsidRPr="00EF35F3">
        <w:rPr>
          <w:i/>
        </w:rPr>
        <w:t>Gastroenterology</w:t>
      </w:r>
      <w:r w:rsidRPr="00EF35F3">
        <w:t xml:space="preserve"> 2005;</w:t>
      </w:r>
      <w:r w:rsidRPr="00EF35F3">
        <w:rPr>
          <w:b/>
        </w:rPr>
        <w:t>128</w:t>
      </w:r>
      <w:r w:rsidRPr="00EF35F3">
        <w:t>:A257-A.</w:t>
      </w:r>
    </w:p>
    <w:p w14:paraId="09BAFEB5" w14:textId="0D8062F5" w:rsidR="00EF35F3" w:rsidRPr="00EF35F3" w:rsidRDefault="00EF35F3" w:rsidP="00EF35F3">
      <w:pPr>
        <w:pStyle w:val="EndNoteBibliography"/>
        <w:spacing w:after="0"/>
      </w:pPr>
      <w:r w:rsidRPr="00EF35F3">
        <w:t>308.</w:t>
      </w:r>
      <w:r w:rsidRPr="00EF35F3">
        <w:tab/>
        <w:t>Katz KD, Rashtak S, Lahr BD, Melton LJ, Krause PK, Maggi K</w:t>
      </w:r>
      <w:r w:rsidRPr="00EF35F3">
        <w:rPr>
          <w:i/>
        </w:rPr>
        <w:t>, et al.</w:t>
      </w:r>
      <w:r w:rsidRPr="00EF35F3">
        <w:t xml:space="preserve"> Screening for celiac disease in a North American population: Sequential serology and gastrointestinal symptoms. </w:t>
      </w:r>
      <w:r w:rsidRPr="00EF35F3">
        <w:rPr>
          <w:i/>
        </w:rPr>
        <w:t>American Journal of Gastroenterology</w:t>
      </w:r>
      <w:r w:rsidRPr="00EF35F3">
        <w:t xml:space="preserve"> 2011;</w:t>
      </w:r>
      <w:r w:rsidRPr="00EF35F3">
        <w:rPr>
          <w:b/>
        </w:rPr>
        <w:t>106</w:t>
      </w:r>
      <w:r w:rsidRPr="00EF35F3">
        <w:t xml:space="preserve">:1333-9. </w:t>
      </w:r>
      <w:hyperlink r:id="rId278" w:history="1">
        <w:r w:rsidRPr="00EF35F3">
          <w:rPr>
            <w:rStyle w:val="Hyperlink"/>
          </w:rPr>
          <w:t>https://doi.org/http://dx.doi.org/10.1038/ajg.2011.21</w:t>
        </w:r>
      </w:hyperlink>
    </w:p>
    <w:p w14:paraId="6EAACC17" w14:textId="46860F53" w:rsidR="00EF35F3" w:rsidRPr="00EF35F3" w:rsidRDefault="00EF35F3" w:rsidP="00EF35F3">
      <w:pPr>
        <w:pStyle w:val="EndNoteBibliography"/>
        <w:spacing w:after="0"/>
      </w:pPr>
      <w:r w:rsidRPr="00EF35F3">
        <w:t>309.</w:t>
      </w:r>
      <w:r w:rsidRPr="00EF35F3">
        <w:tab/>
        <w:t>Lara-Carmona J, Amieva-Balmori M, Martinez-Conejo A, Jorge FJC, Garcia-Zermeno KR, Flores KH</w:t>
      </w:r>
      <w:r w:rsidRPr="00EF35F3">
        <w:rPr>
          <w:i/>
        </w:rPr>
        <w:t>, et al.</w:t>
      </w:r>
      <w:r w:rsidRPr="00EF35F3">
        <w:t xml:space="preserve"> PREVALENCE OF CELIAC DISEASE (CD) IN SUBJECTS WITH DYSPEPTIC SYMPTOMS. A CASE-CONTROL STUDY. </w:t>
      </w:r>
      <w:r w:rsidRPr="00EF35F3">
        <w:rPr>
          <w:i/>
        </w:rPr>
        <w:t>Gastroenterology</w:t>
      </w:r>
      <w:r w:rsidRPr="00EF35F3">
        <w:t xml:space="preserve"> 2019;</w:t>
      </w:r>
      <w:r w:rsidRPr="00EF35F3">
        <w:rPr>
          <w:b/>
        </w:rPr>
        <w:t>156</w:t>
      </w:r>
      <w:r w:rsidRPr="00EF35F3">
        <w:t xml:space="preserve">:S-918. </w:t>
      </w:r>
      <w:hyperlink r:id="rId279" w:history="1">
        <w:r w:rsidRPr="00EF35F3">
          <w:rPr>
            <w:rStyle w:val="Hyperlink"/>
          </w:rPr>
          <w:t>https://doi.org/http://dx.doi.org/10.1016/S0016-5085%2819%2939262-5</w:t>
        </w:r>
      </w:hyperlink>
    </w:p>
    <w:p w14:paraId="1175F902" w14:textId="77777777" w:rsidR="00EF35F3" w:rsidRPr="00EF35F3" w:rsidRDefault="00EF35F3" w:rsidP="00EF35F3">
      <w:pPr>
        <w:pStyle w:val="EndNoteBibliography"/>
        <w:spacing w:after="0"/>
      </w:pPr>
      <w:r w:rsidRPr="00EF35F3">
        <w:t>310.</w:t>
      </w:r>
      <w:r w:rsidRPr="00EF35F3">
        <w:tab/>
        <w:t xml:space="preserve">Tikkakoski S, Savilahti E, Kolho K-L. Undiagnosed coeliac disease and nutritional deficiencies in adults screened in primary health care. </w:t>
      </w:r>
      <w:r w:rsidRPr="00EF35F3">
        <w:rPr>
          <w:i/>
        </w:rPr>
        <w:t>Scandinavian journal of gastroenterology</w:t>
      </w:r>
      <w:r w:rsidRPr="00EF35F3">
        <w:t xml:space="preserve"> 2007;</w:t>
      </w:r>
      <w:r w:rsidRPr="00EF35F3">
        <w:rPr>
          <w:b/>
        </w:rPr>
        <w:t>42</w:t>
      </w:r>
      <w:r w:rsidRPr="00EF35F3">
        <w:t>:60-5.</w:t>
      </w:r>
    </w:p>
    <w:p w14:paraId="379EF96A" w14:textId="19944243" w:rsidR="00EF35F3" w:rsidRPr="00EF35F3" w:rsidRDefault="00EF35F3" w:rsidP="00EF35F3">
      <w:pPr>
        <w:pStyle w:val="EndNoteBibliography"/>
        <w:spacing w:after="0"/>
      </w:pPr>
      <w:r w:rsidRPr="00EF35F3">
        <w:t>311.</w:t>
      </w:r>
      <w:r w:rsidRPr="00EF35F3">
        <w:tab/>
        <w:t>Ludvigsson JF, Aro P, Walker MM, Vieth M, Agreus L, Talley NJ</w:t>
      </w:r>
      <w:r w:rsidRPr="00EF35F3">
        <w:rPr>
          <w:i/>
        </w:rPr>
        <w:t>, et al.</w:t>
      </w:r>
      <w:r w:rsidRPr="00EF35F3">
        <w:t xml:space="preserve"> Celiac disease, eosinophilic esophagitis and gastroesophageal reflux disease, an adult population-based study. </w:t>
      </w:r>
      <w:r w:rsidRPr="00EF35F3">
        <w:rPr>
          <w:i/>
        </w:rPr>
        <w:lastRenderedPageBreak/>
        <w:t>Scandinavian Journal of Gastroenterology</w:t>
      </w:r>
      <w:r w:rsidRPr="00EF35F3">
        <w:t xml:space="preserve"> 2013;</w:t>
      </w:r>
      <w:r w:rsidRPr="00EF35F3">
        <w:rPr>
          <w:b/>
        </w:rPr>
        <w:t>48</w:t>
      </w:r>
      <w:r w:rsidRPr="00EF35F3">
        <w:t xml:space="preserve">:808-14. </w:t>
      </w:r>
      <w:hyperlink r:id="rId280" w:history="1">
        <w:r w:rsidRPr="00EF35F3">
          <w:rPr>
            <w:rStyle w:val="Hyperlink"/>
          </w:rPr>
          <w:t>https://doi.org/http://dx.doi.org/10.3109/00365521.2013.792389</w:t>
        </w:r>
      </w:hyperlink>
    </w:p>
    <w:p w14:paraId="08E25777" w14:textId="77777777" w:rsidR="00EF35F3" w:rsidRPr="00EF35F3" w:rsidRDefault="00EF35F3" w:rsidP="00EF35F3">
      <w:pPr>
        <w:pStyle w:val="EndNoteBibliography"/>
        <w:spacing w:after="0"/>
      </w:pPr>
      <w:r w:rsidRPr="00EF35F3">
        <w:t>312.</w:t>
      </w:r>
      <w:r w:rsidRPr="00EF35F3">
        <w:tab/>
        <w:t xml:space="preserve">Locke GR, 3rd, Murray JA, Zinsmeister AR, Melton LJ, 3rd, Talley NJ. Celiac disease serology in irritable bowel syndrome and dyspepsia: a population-based case-control study. </w:t>
      </w:r>
      <w:r w:rsidRPr="00EF35F3">
        <w:rPr>
          <w:i/>
        </w:rPr>
        <w:t>Mayo Clinic proceedings</w:t>
      </w:r>
      <w:r w:rsidRPr="00EF35F3">
        <w:t xml:space="preserve"> 2004;</w:t>
      </w:r>
      <w:r w:rsidRPr="00EF35F3">
        <w:rPr>
          <w:b/>
        </w:rPr>
        <w:t>79</w:t>
      </w:r>
      <w:r w:rsidRPr="00EF35F3">
        <w:t>:476-82.</w:t>
      </w:r>
    </w:p>
    <w:p w14:paraId="4507E91F" w14:textId="423B0D82" w:rsidR="00EF35F3" w:rsidRPr="00EF35F3" w:rsidRDefault="00EF35F3" w:rsidP="00EF35F3">
      <w:pPr>
        <w:pStyle w:val="EndNoteBibliography"/>
        <w:spacing w:after="0"/>
      </w:pPr>
      <w:r w:rsidRPr="00EF35F3">
        <w:t>313.</w:t>
      </w:r>
      <w:r w:rsidRPr="00EF35F3">
        <w:tab/>
        <w:t>Vivas S, Ruiz De Morales JM, Martinez J, Gonzalez MC, Martin S, Martin J</w:t>
      </w:r>
      <w:r w:rsidRPr="00EF35F3">
        <w:rPr>
          <w:i/>
        </w:rPr>
        <w:t>, et al.</w:t>
      </w:r>
      <w:r w:rsidRPr="00EF35F3">
        <w:t xml:space="preserve"> Human recombinant anti-transglutaminase antibody testing is useful in the diagnosis of silent coeliac disease in a selected group of at-risk patients. </w:t>
      </w:r>
      <w:r w:rsidRPr="00EF35F3">
        <w:rPr>
          <w:i/>
        </w:rPr>
        <w:t>European Journal of Gastroenterology and Hepatology</w:t>
      </w:r>
      <w:r w:rsidRPr="00EF35F3">
        <w:t xml:space="preserve"> 2003;</w:t>
      </w:r>
      <w:r w:rsidRPr="00EF35F3">
        <w:rPr>
          <w:b/>
        </w:rPr>
        <w:t>15</w:t>
      </w:r>
      <w:r w:rsidRPr="00EF35F3">
        <w:t xml:space="preserve">:479-83. </w:t>
      </w:r>
      <w:hyperlink r:id="rId281" w:history="1">
        <w:r w:rsidRPr="00EF35F3">
          <w:rPr>
            <w:rStyle w:val="Hyperlink"/>
          </w:rPr>
          <w:t>https://doi.org/http://dx.doi.org/10.1097/01.meg.0000059104.41030.1c</w:t>
        </w:r>
      </w:hyperlink>
    </w:p>
    <w:p w14:paraId="3678FED0" w14:textId="7C985F0E" w:rsidR="00EF35F3" w:rsidRPr="00EF35F3" w:rsidRDefault="00EF35F3" w:rsidP="00EF35F3">
      <w:pPr>
        <w:pStyle w:val="EndNoteBibliography"/>
        <w:spacing w:after="0"/>
      </w:pPr>
      <w:r w:rsidRPr="00EF35F3">
        <w:t>314.</w:t>
      </w:r>
      <w:r w:rsidRPr="00EF35F3">
        <w:tab/>
        <w:t xml:space="preserve">Alexander TS, Oshilaja O, Define L. The incidence of celiac disease antibodies in plasma specimens with low hemoglobin levels. </w:t>
      </w:r>
      <w:r w:rsidRPr="00EF35F3">
        <w:rPr>
          <w:i/>
        </w:rPr>
        <w:t>Contemporary Challenges in Autoimmunity</w:t>
      </w:r>
      <w:r w:rsidRPr="00EF35F3">
        <w:t xml:space="preserve"> 2009;</w:t>
      </w:r>
      <w:r w:rsidRPr="00EF35F3">
        <w:rPr>
          <w:b/>
        </w:rPr>
        <w:t>1173</w:t>
      </w:r>
      <w:r w:rsidRPr="00EF35F3">
        <w:t xml:space="preserve">:186-9. </w:t>
      </w:r>
      <w:hyperlink r:id="rId282" w:history="1">
        <w:r w:rsidRPr="00EF35F3">
          <w:rPr>
            <w:rStyle w:val="Hyperlink"/>
          </w:rPr>
          <w:t>https://doi.org/http://dx.doi.org/10.1111/j.1749-6632.2009.04755.x</w:t>
        </w:r>
      </w:hyperlink>
    </w:p>
    <w:p w14:paraId="23B6780C" w14:textId="52C880C2" w:rsidR="00EF35F3" w:rsidRPr="00EF35F3" w:rsidRDefault="00EF35F3" w:rsidP="00EF35F3">
      <w:pPr>
        <w:pStyle w:val="EndNoteBibliography"/>
        <w:spacing w:after="0"/>
      </w:pPr>
      <w:r w:rsidRPr="00EF35F3">
        <w:t>315.</w:t>
      </w:r>
      <w:r w:rsidRPr="00EF35F3">
        <w:tab/>
        <w:t>Javid G, Lone SN, Shoukat A, Khan BA, Yattoo GN, Shah A</w:t>
      </w:r>
      <w:r w:rsidRPr="00EF35F3">
        <w:rPr>
          <w:i/>
        </w:rPr>
        <w:t>, et al.</w:t>
      </w:r>
      <w:r w:rsidRPr="00EF35F3">
        <w:t xml:space="preserve"> Prevalence of celiac disease in adult patients with iron-deficiency anemia of obscure origin in Kashmir (India). </w:t>
      </w:r>
      <w:r w:rsidRPr="00EF35F3">
        <w:rPr>
          <w:i/>
        </w:rPr>
        <w:t>Indian Journal of Gastroenterology</w:t>
      </w:r>
      <w:r w:rsidRPr="00EF35F3">
        <w:t xml:space="preserve"> 2015;</w:t>
      </w:r>
      <w:r w:rsidRPr="00EF35F3">
        <w:rPr>
          <w:b/>
        </w:rPr>
        <w:t>34</w:t>
      </w:r>
      <w:r w:rsidRPr="00EF35F3">
        <w:t xml:space="preserve">:314-9. </w:t>
      </w:r>
      <w:hyperlink r:id="rId283" w:history="1">
        <w:r w:rsidRPr="00EF35F3">
          <w:rPr>
            <w:rStyle w:val="Hyperlink"/>
          </w:rPr>
          <w:t>https://doi.org/http://dx.doi.org/10.1007/s12664-015-0586-z</w:t>
        </w:r>
      </w:hyperlink>
    </w:p>
    <w:p w14:paraId="5DA8A26C" w14:textId="7700E66D" w:rsidR="00EF35F3" w:rsidRPr="00EF35F3" w:rsidRDefault="00EF35F3" w:rsidP="00EF35F3">
      <w:pPr>
        <w:pStyle w:val="EndNoteBibliography"/>
        <w:spacing w:after="0"/>
      </w:pPr>
      <w:r w:rsidRPr="00EF35F3">
        <w:t>316.</w:t>
      </w:r>
      <w:r w:rsidRPr="00EF35F3">
        <w:tab/>
        <w:t xml:space="preserve">Ucardag D, Guliter S, Ceneli O, Yakaryilmaz F, Atasoy P, Caglayan O. Celiac disease prevalence in patients with iron deficiency anemia of obscure origin. </w:t>
      </w:r>
      <w:r w:rsidRPr="00EF35F3">
        <w:rPr>
          <w:i/>
        </w:rPr>
        <w:t>Turkish Journal of Gastroenterology</w:t>
      </w:r>
      <w:r w:rsidRPr="00EF35F3">
        <w:t xml:space="preserve"> 2009;</w:t>
      </w:r>
      <w:r w:rsidRPr="00EF35F3">
        <w:rPr>
          <w:b/>
        </w:rPr>
        <w:t>20</w:t>
      </w:r>
      <w:r w:rsidRPr="00EF35F3">
        <w:t xml:space="preserve">:266-70. </w:t>
      </w:r>
      <w:hyperlink r:id="rId284" w:history="1">
        <w:r w:rsidRPr="00EF35F3">
          <w:rPr>
            <w:rStyle w:val="Hyperlink"/>
          </w:rPr>
          <w:t>https://doi.org/http://dx.doi.org/10.4318/tjg.2009.0024</w:t>
        </w:r>
      </w:hyperlink>
    </w:p>
    <w:p w14:paraId="44821353" w14:textId="04A425EA" w:rsidR="00EF35F3" w:rsidRPr="00EF35F3" w:rsidRDefault="00EF35F3" w:rsidP="00EF35F3">
      <w:pPr>
        <w:pStyle w:val="EndNoteBibliography"/>
        <w:spacing w:after="0"/>
      </w:pPr>
      <w:r w:rsidRPr="00EF35F3">
        <w:t>317.</w:t>
      </w:r>
      <w:r w:rsidRPr="00EF35F3">
        <w:tab/>
        <w:t xml:space="preserve">Lasa JS, Olivera P, Soifer L, Moore R. Iron-deficiency anemia as a subclinical celiac disease presentation in an Argentinian population. </w:t>
      </w:r>
      <w:r w:rsidRPr="00EF35F3">
        <w:rPr>
          <w:i/>
        </w:rPr>
        <w:t>Revista de Gastroenterologia de Mexico</w:t>
      </w:r>
      <w:r w:rsidRPr="00EF35F3">
        <w:t xml:space="preserve"> 2017;</w:t>
      </w:r>
      <w:r w:rsidRPr="00EF35F3">
        <w:rPr>
          <w:b/>
        </w:rPr>
        <w:t>82</w:t>
      </w:r>
      <w:r w:rsidRPr="00EF35F3">
        <w:t xml:space="preserve">:270-3. </w:t>
      </w:r>
      <w:hyperlink r:id="rId285" w:history="1">
        <w:r w:rsidRPr="00EF35F3">
          <w:rPr>
            <w:rStyle w:val="Hyperlink"/>
          </w:rPr>
          <w:t>https://doi.org/http://dx.doi.org/10.1016/j.rgmx.2016.12.008</w:t>
        </w:r>
      </w:hyperlink>
    </w:p>
    <w:p w14:paraId="255178E8" w14:textId="77777777" w:rsidR="00EF35F3" w:rsidRPr="00EF35F3" w:rsidRDefault="00EF35F3" w:rsidP="00EF35F3">
      <w:pPr>
        <w:pStyle w:val="EndNoteBibliography"/>
        <w:spacing w:after="0"/>
      </w:pPr>
      <w:r w:rsidRPr="00EF35F3">
        <w:t>318.</w:t>
      </w:r>
      <w:r w:rsidRPr="00EF35F3">
        <w:tab/>
        <w:t>Cikrikcioglu MA, Halac G, Hursitoglu M, Erkal H, Cakirca M, Kinas BE</w:t>
      </w:r>
      <w:r w:rsidRPr="00EF35F3">
        <w:rPr>
          <w:i/>
        </w:rPr>
        <w:t>, et al.</w:t>
      </w:r>
      <w:r w:rsidRPr="00EF35F3">
        <w:t xml:space="preserve"> Prevalence of gluten sensitive enteropathy antibodies in restless legs syndrome. </w:t>
      </w:r>
      <w:r w:rsidRPr="00EF35F3">
        <w:rPr>
          <w:i/>
        </w:rPr>
        <w:t>Acta neurologica Belgica</w:t>
      </w:r>
      <w:r w:rsidRPr="00EF35F3">
        <w:t xml:space="preserve"> 2011;</w:t>
      </w:r>
      <w:r w:rsidRPr="00EF35F3">
        <w:rPr>
          <w:b/>
        </w:rPr>
        <w:t>111</w:t>
      </w:r>
      <w:r w:rsidRPr="00EF35F3">
        <w:t>:282-6.</w:t>
      </w:r>
    </w:p>
    <w:p w14:paraId="6C030A34" w14:textId="7BD14ABD" w:rsidR="00EF35F3" w:rsidRPr="00EF35F3" w:rsidRDefault="00EF35F3" w:rsidP="00EF35F3">
      <w:pPr>
        <w:pStyle w:val="EndNoteBibliography"/>
        <w:spacing w:after="0"/>
      </w:pPr>
      <w:r w:rsidRPr="00EF35F3">
        <w:t>319.</w:t>
      </w:r>
      <w:r w:rsidRPr="00EF35F3">
        <w:tab/>
        <w:t xml:space="preserve">Morawiec-Szymonik E, Foltyn W, Marek B, Glogowska-Szelag J, Kos-Kudla B, Kajdaniuk D. Antibodies involved in the development of pernicious anemia and other autoimmune diseases. </w:t>
      </w:r>
      <w:r w:rsidRPr="00EF35F3">
        <w:rPr>
          <w:i/>
        </w:rPr>
        <w:t>Polish archives of internal medicine</w:t>
      </w:r>
      <w:r w:rsidRPr="00EF35F3">
        <w:t xml:space="preserve"> 2020;</w:t>
      </w:r>
      <w:r w:rsidRPr="00EF35F3">
        <w:rPr>
          <w:b/>
        </w:rPr>
        <w:t>130</w:t>
      </w:r>
      <w:r w:rsidRPr="00EF35F3">
        <w:t xml:space="preserve">:31-7. </w:t>
      </w:r>
      <w:hyperlink r:id="rId286" w:history="1">
        <w:r w:rsidRPr="00EF35F3">
          <w:rPr>
            <w:rStyle w:val="Hyperlink"/>
          </w:rPr>
          <w:t>https://doi.org/https://dx.doi.org/10.20452/pamw.15094</w:t>
        </w:r>
      </w:hyperlink>
    </w:p>
    <w:p w14:paraId="20D3EBA8" w14:textId="3311F91A" w:rsidR="00EF35F3" w:rsidRPr="00EF35F3" w:rsidRDefault="00EF35F3" w:rsidP="00EF35F3">
      <w:pPr>
        <w:pStyle w:val="EndNoteBibliography"/>
        <w:spacing w:after="0"/>
      </w:pPr>
      <w:r w:rsidRPr="00EF35F3">
        <w:t>320.</w:t>
      </w:r>
      <w:r w:rsidRPr="00EF35F3">
        <w:tab/>
        <w:t xml:space="preserve">Ransford RAJ, Hayes M, Palmer M, Hall MJ. A controlled, prospective screening study of celiac disease presenting as iron deficiency anemia. </w:t>
      </w:r>
      <w:r w:rsidRPr="00EF35F3">
        <w:rPr>
          <w:i/>
        </w:rPr>
        <w:t>Journal of Clinical Gastroenterology</w:t>
      </w:r>
      <w:r w:rsidRPr="00EF35F3">
        <w:t xml:space="preserve"> 2002;</w:t>
      </w:r>
      <w:r w:rsidRPr="00EF35F3">
        <w:rPr>
          <w:b/>
        </w:rPr>
        <w:t>35</w:t>
      </w:r>
      <w:r w:rsidRPr="00EF35F3">
        <w:t xml:space="preserve">:228-33. </w:t>
      </w:r>
      <w:hyperlink r:id="rId287" w:history="1">
        <w:r w:rsidRPr="00EF35F3">
          <w:rPr>
            <w:rStyle w:val="Hyperlink"/>
          </w:rPr>
          <w:t>https://doi.org/http://dx.doi.org/10.1097/00004836-200209000-00006</w:t>
        </w:r>
      </w:hyperlink>
    </w:p>
    <w:p w14:paraId="515029AD" w14:textId="11EC9F93" w:rsidR="00EF35F3" w:rsidRPr="00C34531" w:rsidRDefault="00EF35F3" w:rsidP="00EF35F3">
      <w:pPr>
        <w:pStyle w:val="EndNoteBibliography"/>
        <w:spacing w:after="0"/>
        <w:rPr>
          <w:lang w:val="it-IT"/>
        </w:rPr>
      </w:pPr>
      <w:r w:rsidRPr="00EF35F3">
        <w:t>321.</w:t>
      </w:r>
      <w:r w:rsidRPr="00EF35F3">
        <w:tab/>
        <w:t>Sanders DS, Patel D, Stephenson TJ, Ward AM, McCloskey EV, Hadjivassiliou M</w:t>
      </w:r>
      <w:r w:rsidRPr="00EF35F3">
        <w:rPr>
          <w:i/>
        </w:rPr>
        <w:t>, et al.</w:t>
      </w:r>
      <w:r w:rsidRPr="00EF35F3">
        <w:t xml:space="preserve"> A primary care cross-sectional study of undiagnosed adult coeliac disease. </w:t>
      </w:r>
      <w:r w:rsidRPr="00C34531">
        <w:rPr>
          <w:i/>
          <w:lang w:val="it-IT"/>
        </w:rPr>
        <w:t>European Journal of Gastroenterology and Hepatology</w:t>
      </w:r>
      <w:r w:rsidRPr="00C34531">
        <w:rPr>
          <w:lang w:val="it-IT"/>
        </w:rPr>
        <w:t xml:space="preserve"> 2003;</w:t>
      </w:r>
      <w:r w:rsidRPr="00C34531">
        <w:rPr>
          <w:b/>
          <w:lang w:val="it-IT"/>
        </w:rPr>
        <w:t>15</w:t>
      </w:r>
      <w:r w:rsidRPr="00C34531">
        <w:rPr>
          <w:lang w:val="it-IT"/>
        </w:rPr>
        <w:t xml:space="preserve">:407-13. </w:t>
      </w:r>
      <w:hyperlink r:id="rId288" w:history="1">
        <w:r w:rsidRPr="00C34531">
          <w:rPr>
            <w:rStyle w:val="Hyperlink"/>
            <w:lang w:val="it-IT"/>
          </w:rPr>
          <w:t>https://doi.org/http://dx.doi.org/10.1097/00042737-200304000-00012</w:t>
        </w:r>
      </w:hyperlink>
    </w:p>
    <w:p w14:paraId="6119B19C" w14:textId="3C5F4C44" w:rsidR="00EF35F3" w:rsidRPr="00EF35F3" w:rsidRDefault="00EF35F3" w:rsidP="00EF35F3">
      <w:pPr>
        <w:pStyle w:val="EndNoteBibliography"/>
        <w:spacing w:after="0"/>
      </w:pPr>
      <w:r w:rsidRPr="00C34531">
        <w:rPr>
          <w:lang w:val="it-IT"/>
        </w:rPr>
        <w:t>322.</w:t>
      </w:r>
      <w:r w:rsidRPr="00C34531">
        <w:rPr>
          <w:lang w:val="it-IT"/>
        </w:rPr>
        <w:tab/>
        <w:t>Greco L, Veneziano A, Di Donato L, Zampella C, Pecoraro M, Paladini D</w:t>
      </w:r>
      <w:r w:rsidRPr="00C34531">
        <w:rPr>
          <w:i/>
          <w:lang w:val="it-IT"/>
        </w:rPr>
        <w:t>, et al.</w:t>
      </w:r>
      <w:r w:rsidRPr="00C34531">
        <w:rPr>
          <w:lang w:val="it-IT"/>
        </w:rPr>
        <w:t xml:space="preserve"> </w:t>
      </w:r>
      <w:r w:rsidRPr="00EF35F3">
        <w:t xml:space="preserve">Undiagnosed coeliac disease does not appear to be associated with unfavourable outcome of pregnancy. </w:t>
      </w:r>
      <w:r w:rsidRPr="00EF35F3">
        <w:rPr>
          <w:i/>
        </w:rPr>
        <w:t>Gut</w:t>
      </w:r>
      <w:r w:rsidRPr="00EF35F3">
        <w:t xml:space="preserve"> 2004;</w:t>
      </w:r>
      <w:r w:rsidRPr="00EF35F3">
        <w:rPr>
          <w:b/>
        </w:rPr>
        <w:t>53</w:t>
      </w:r>
      <w:r w:rsidRPr="00EF35F3">
        <w:t xml:space="preserve">:149-51. </w:t>
      </w:r>
      <w:hyperlink r:id="rId289" w:history="1">
        <w:r w:rsidRPr="00EF35F3">
          <w:rPr>
            <w:rStyle w:val="Hyperlink"/>
          </w:rPr>
          <w:t>https://doi.org/http://dx.doi.org/10.1136/gut.53.1.149</w:t>
        </w:r>
      </w:hyperlink>
    </w:p>
    <w:p w14:paraId="4480926C" w14:textId="46BE1A62" w:rsidR="00EF35F3" w:rsidRPr="00EF35F3" w:rsidRDefault="00EF35F3" w:rsidP="00EF35F3">
      <w:pPr>
        <w:pStyle w:val="EndNoteBibliography"/>
        <w:spacing w:after="0"/>
      </w:pPr>
      <w:r w:rsidRPr="00EF35F3">
        <w:t>323.</w:t>
      </w:r>
      <w:r w:rsidRPr="00EF35F3">
        <w:tab/>
        <w:t xml:space="preserve">Kalayci AG, Kanber Y, Birinci A, Yildiz L, Albayrak D. The prevalence of coeliac disease as detected by screening in children with iron deficiency anaemia. </w:t>
      </w:r>
      <w:r w:rsidRPr="00EF35F3">
        <w:rPr>
          <w:i/>
        </w:rPr>
        <w:t>Acta Paediatrica, International Journal of Paediatrics</w:t>
      </w:r>
      <w:r w:rsidRPr="00EF35F3">
        <w:t xml:space="preserve"> 2005;</w:t>
      </w:r>
      <w:r w:rsidRPr="00EF35F3">
        <w:rPr>
          <w:b/>
        </w:rPr>
        <w:t>94</w:t>
      </w:r>
      <w:r w:rsidRPr="00EF35F3">
        <w:t xml:space="preserve">:678-81. </w:t>
      </w:r>
      <w:hyperlink r:id="rId290" w:history="1">
        <w:r w:rsidRPr="00EF35F3">
          <w:rPr>
            <w:rStyle w:val="Hyperlink"/>
          </w:rPr>
          <w:t>https://doi.org/http://dx.doi.org/10.1080/08035250510025879</w:t>
        </w:r>
      </w:hyperlink>
    </w:p>
    <w:p w14:paraId="4009C9AA" w14:textId="0287C40B" w:rsidR="00EF35F3" w:rsidRPr="00EF35F3" w:rsidRDefault="00EF35F3" w:rsidP="00EF35F3">
      <w:pPr>
        <w:pStyle w:val="EndNoteBibliography"/>
        <w:spacing w:after="0"/>
      </w:pPr>
      <w:r w:rsidRPr="00EF35F3">
        <w:t>324.</w:t>
      </w:r>
      <w:r w:rsidRPr="00EF35F3">
        <w:tab/>
        <w:t xml:space="preserve">Shahriari M, Honar N, Yousefi A, Javaherizadeh H. Association of potential celiac disease and refractory iron deficiency anemia in children and adolescents. </w:t>
      </w:r>
      <w:r w:rsidRPr="00EF35F3">
        <w:rPr>
          <w:i/>
        </w:rPr>
        <w:t>Arquivos de Gastroenterologia</w:t>
      </w:r>
      <w:r w:rsidRPr="00EF35F3">
        <w:t xml:space="preserve"> 2018;</w:t>
      </w:r>
      <w:r w:rsidRPr="00EF35F3">
        <w:rPr>
          <w:b/>
        </w:rPr>
        <w:t>55</w:t>
      </w:r>
      <w:r w:rsidRPr="00EF35F3">
        <w:t xml:space="preserve">:78-81. </w:t>
      </w:r>
      <w:hyperlink r:id="rId291" w:history="1">
        <w:r w:rsidRPr="00EF35F3">
          <w:rPr>
            <w:rStyle w:val="Hyperlink"/>
          </w:rPr>
          <w:t>https://doi.org/http://dx.doi.org/10.1590/s0004-2803.201800000-15</w:t>
        </w:r>
      </w:hyperlink>
    </w:p>
    <w:p w14:paraId="1E2E3182" w14:textId="784360FD" w:rsidR="00EF35F3" w:rsidRPr="00EF35F3" w:rsidRDefault="00EF35F3" w:rsidP="00EF35F3">
      <w:pPr>
        <w:pStyle w:val="EndNoteBibliography"/>
        <w:spacing w:after="0"/>
      </w:pPr>
      <w:r w:rsidRPr="00EF35F3">
        <w:t>325.</w:t>
      </w:r>
      <w:r w:rsidRPr="00EF35F3">
        <w:tab/>
        <w:t xml:space="preserve">Narang M, Natarajan R, Shah D, Puri AS, Manchanda V, Kotru M. Celiac Disease in Children with Moderate-to-Severe Iron-deficiency Anemia. </w:t>
      </w:r>
      <w:r w:rsidRPr="00EF35F3">
        <w:rPr>
          <w:i/>
        </w:rPr>
        <w:t>Indian Pediatrics</w:t>
      </w:r>
      <w:r w:rsidRPr="00EF35F3">
        <w:t xml:space="preserve"> 2018;</w:t>
      </w:r>
      <w:r w:rsidRPr="00EF35F3">
        <w:rPr>
          <w:b/>
        </w:rPr>
        <w:t>55</w:t>
      </w:r>
      <w:r w:rsidRPr="00EF35F3">
        <w:t xml:space="preserve">:31-4. </w:t>
      </w:r>
      <w:hyperlink r:id="rId292" w:history="1">
        <w:r w:rsidRPr="00EF35F3">
          <w:rPr>
            <w:rStyle w:val="Hyperlink"/>
          </w:rPr>
          <w:t>https://doi.org/http://dx.doi.org/10.1007/s13312-018-1223-6</w:t>
        </w:r>
      </w:hyperlink>
    </w:p>
    <w:p w14:paraId="23016AC7" w14:textId="0404DC35" w:rsidR="00EF35F3" w:rsidRPr="00C34531" w:rsidRDefault="00EF35F3" w:rsidP="00EF35F3">
      <w:pPr>
        <w:pStyle w:val="EndNoteBibliography"/>
        <w:spacing w:after="0"/>
        <w:rPr>
          <w:lang w:val="it-IT"/>
        </w:rPr>
      </w:pPr>
      <w:r w:rsidRPr="00EF35F3">
        <w:t>326.</w:t>
      </w:r>
      <w:r w:rsidRPr="00EF35F3">
        <w:tab/>
        <w:t xml:space="preserve">Ertekin V, Selimoglu MA, Kardas F, Aktas E. Prevalence of celiac disease in Turkish children. </w:t>
      </w:r>
      <w:r w:rsidRPr="00C34531">
        <w:rPr>
          <w:i/>
          <w:lang w:val="it-IT"/>
        </w:rPr>
        <w:t>Journal of Clinical Gastroenterology</w:t>
      </w:r>
      <w:r w:rsidRPr="00C34531">
        <w:rPr>
          <w:lang w:val="it-IT"/>
        </w:rPr>
        <w:t xml:space="preserve"> 2005;</w:t>
      </w:r>
      <w:r w:rsidRPr="00C34531">
        <w:rPr>
          <w:b/>
          <w:lang w:val="it-IT"/>
        </w:rPr>
        <w:t>39</w:t>
      </w:r>
      <w:r w:rsidRPr="00C34531">
        <w:rPr>
          <w:lang w:val="it-IT"/>
        </w:rPr>
        <w:t xml:space="preserve">:689-91. </w:t>
      </w:r>
      <w:hyperlink r:id="rId293" w:history="1">
        <w:r w:rsidRPr="00C34531">
          <w:rPr>
            <w:rStyle w:val="Hyperlink"/>
            <w:lang w:val="it-IT"/>
          </w:rPr>
          <w:t>https://doi.org/http://dx.doi.org/10.1097/01.mcg.0000174026.26838.56</w:t>
        </w:r>
      </w:hyperlink>
    </w:p>
    <w:p w14:paraId="1AF53336" w14:textId="241ADA40" w:rsidR="00EF35F3" w:rsidRPr="00EF35F3" w:rsidRDefault="00EF35F3" w:rsidP="00EF35F3">
      <w:pPr>
        <w:pStyle w:val="EndNoteBibliography"/>
        <w:spacing w:after="0"/>
      </w:pPr>
      <w:r w:rsidRPr="00C34531">
        <w:rPr>
          <w:lang w:val="it-IT"/>
        </w:rPr>
        <w:lastRenderedPageBreak/>
        <w:t>327.</w:t>
      </w:r>
      <w:r w:rsidRPr="00C34531">
        <w:rPr>
          <w:lang w:val="it-IT"/>
        </w:rPr>
        <w:tab/>
        <w:t>Bizzaro N, Villalta D, Tonutti E, Doria A, Tampoia M, Bassetti D</w:t>
      </w:r>
      <w:r w:rsidRPr="00C34531">
        <w:rPr>
          <w:i/>
          <w:lang w:val="it-IT"/>
        </w:rPr>
        <w:t>, et al.</w:t>
      </w:r>
      <w:r w:rsidRPr="00C34531">
        <w:rPr>
          <w:lang w:val="it-IT"/>
        </w:rPr>
        <w:t xml:space="preserve"> </w:t>
      </w:r>
      <w:r w:rsidRPr="00EF35F3">
        <w:t xml:space="preserve">IgA and IgG Tissue Transglutaminase Antibody Prevalence and Clinical Significance in Connective Tissue Diseases, Inflammatory Bowel Disease, and Primary Biliary Cirrhosis. </w:t>
      </w:r>
      <w:r w:rsidRPr="00EF35F3">
        <w:rPr>
          <w:i/>
        </w:rPr>
        <w:t>Digestive Diseases and Sciences</w:t>
      </w:r>
      <w:r w:rsidRPr="00EF35F3">
        <w:t xml:space="preserve"> 2003;</w:t>
      </w:r>
      <w:r w:rsidRPr="00EF35F3">
        <w:rPr>
          <w:b/>
        </w:rPr>
        <w:t>48</w:t>
      </w:r>
      <w:r w:rsidRPr="00EF35F3">
        <w:t xml:space="preserve">:2360-5. </w:t>
      </w:r>
      <w:hyperlink r:id="rId294" w:history="1">
        <w:r w:rsidRPr="00EF35F3">
          <w:rPr>
            <w:rStyle w:val="Hyperlink"/>
          </w:rPr>
          <w:t>https://doi.org/http://dx.doi.org/10.1023/B:DDAS.0000007875.72256.e8</w:t>
        </w:r>
      </w:hyperlink>
    </w:p>
    <w:p w14:paraId="4ADB7E63" w14:textId="2DB90D0F" w:rsidR="00EF35F3" w:rsidRPr="00EF35F3" w:rsidRDefault="00EF35F3" w:rsidP="00EF35F3">
      <w:pPr>
        <w:pStyle w:val="EndNoteBibliography"/>
        <w:spacing w:after="0"/>
      </w:pPr>
      <w:r w:rsidRPr="00EF35F3">
        <w:t>328.</w:t>
      </w:r>
      <w:r w:rsidRPr="00EF35F3">
        <w:tab/>
        <w:t>Feighery L, Collins C, Feighery C, Mahmud N, Coughlan G, Willoughby R</w:t>
      </w:r>
      <w:r w:rsidRPr="00EF35F3">
        <w:rPr>
          <w:i/>
        </w:rPr>
        <w:t>, et al.</w:t>
      </w:r>
      <w:r w:rsidRPr="00EF35F3">
        <w:t xml:space="preserve"> Anti-transglutaminase antibodies and the serological diagnosis of coeliac disease. </w:t>
      </w:r>
      <w:r w:rsidRPr="00EF35F3">
        <w:rPr>
          <w:i/>
        </w:rPr>
        <w:t>British Journal of Biomedical Science</w:t>
      </w:r>
      <w:r w:rsidRPr="00EF35F3">
        <w:t xml:space="preserve"> 2003;</w:t>
      </w:r>
      <w:r w:rsidRPr="00EF35F3">
        <w:rPr>
          <w:b/>
        </w:rPr>
        <w:t>60</w:t>
      </w:r>
      <w:r w:rsidRPr="00EF35F3">
        <w:t xml:space="preserve">:14-8. </w:t>
      </w:r>
      <w:hyperlink r:id="rId295" w:history="1">
        <w:r w:rsidRPr="00EF35F3">
          <w:rPr>
            <w:rStyle w:val="Hyperlink"/>
          </w:rPr>
          <w:t>https://doi.org/http://dx.doi.org/10.1080/09674845.2003.11783671</w:t>
        </w:r>
      </w:hyperlink>
    </w:p>
    <w:p w14:paraId="6525AAC8" w14:textId="77777777" w:rsidR="00EF35F3" w:rsidRPr="00C34531" w:rsidRDefault="00EF35F3" w:rsidP="00EF35F3">
      <w:pPr>
        <w:pStyle w:val="EndNoteBibliography"/>
        <w:spacing w:after="0"/>
        <w:rPr>
          <w:lang w:val="it-IT"/>
        </w:rPr>
      </w:pPr>
      <w:r w:rsidRPr="00EF35F3">
        <w:t>329.</w:t>
      </w:r>
      <w:r w:rsidRPr="00EF35F3">
        <w:tab/>
        <w:t xml:space="preserve">Nisihara RM, Skare TL, Silva MB, Utiyama S. Rheumatoid arthritis and anti-endomysial antibodies. </w:t>
      </w:r>
      <w:r w:rsidRPr="00C34531">
        <w:rPr>
          <w:i/>
          <w:lang w:val="it-IT"/>
        </w:rPr>
        <w:t>Acta Reumatologica Portuguesa</w:t>
      </w:r>
      <w:r w:rsidRPr="00C34531">
        <w:rPr>
          <w:lang w:val="it-IT"/>
        </w:rPr>
        <w:t xml:space="preserve"> 2007;</w:t>
      </w:r>
      <w:r w:rsidRPr="00C34531">
        <w:rPr>
          <w:b/>
          <w:lang w:val="it-IT"/>
        </w:rPr>
        <w:t>32</w:t>
      </w:r>
      <w:r w:rsidRPr="00C34531">
        <w:rPr>
          <w:lang w:val="it-IT"/>
        </w:rPr>
        <w:t>:163-7.</w:t>
      </w:r>
    </w:p>
    <w:p w14:paraId="10D21D12" w14:textId="77777777" w:rsidR="00EF35F3" w:rsidRPr="00C34531" w:rsidRDefault="00EF35F3" w:rsidP="00EF35F3">
      <w:pPr>
        <w:pStyle w:val="EndNoteBibliography"/>
        <w:spacing w:after="0"/>
        <w:rPr>
          <w:lang w:val="it-IT"/>
        </w:rPr>
      </w:pPr>
      <w:r w:rsidRPr="00C34531">
        <w:rPr>
          <w:lang w:val="it-IT"/>
        </w:rPr>
        <w:t>330.</w:t>
      </w:r>
      <w:r w:rsidRPr="00C34531">
        <w:rPr>
          <w:lang w:val="it-IT"/>
        </w:rPr>
        <w:tab/>
        <w:t>Picarelli A, Di Tola M, Sabbatella L, Vetrano S, Anania MC, Spadaro A</w:t>
      </w:r>
      <w:r w:rsidRPr="00C34531">
        <w:rPr>
          <w:i/>
          <w:lang w:val="it-IT"/>
        </w:rPr>
        <w:t>, et al.</w:t>
      </w:r>
      <w:r w:rsidRPr="00C34531">
        <w:rPr>
          <w:lang w:val="it-IT"/>
        </w:rPr>
        <w:t xml:space="preserve"> </w:t>
      </w:r>
      <w:r w:rsidRPr="00EF35F3">
        <w:t xml:space="preserve">Anti-tissue transglutaminase antibodies in arthritic patients: a disease-specific finding? </w:t>
      </w:r>
      <w:r w:rsidRPr="00C34531">
        <w:rPr>
          <w:i/>
          <w:lang w:val="it-IT"/>
        </w:rPr>
        <w:t>Clinical chemistry</w:t>
      </w:r>
      <w:r w:rsidRPr="00C34531">
        <w:rPr>
          <w:lang w:val="it-IT"/>
        </w:rPr>
        <w:t xml:space="preserve"> 2003;</w:t>
      </w:r>
      <w:r w:rsidRPr="00C34531">
        <w:rPr>
          <w:b/>
          <w:lang w:val="it-IT"/>
        </w:rPr>
        <w:t>49</w:t>
      </w:r>
      <w:r w:rsidRPr="00C34531">
        <w:rPr>
          <w:lang w:val="it-IT"/>
        </w:rPr>
        <w:t>:2091-4.</w:t>
      </w:r>
    </w:p>
    <w:p w14:paraId="56FF894E" w14:textId="77777777" w:rsidR="00EF35F3" w:rsidRPr="00EF35F3" w:rsidRDefault="00EF35F3" w:rsidP="00EF35F3">
      <w:pPr>
        <w:pStyle w:val="EndNoteBibliography"/>
        <w:spacing w:after="0"/>
      </w:pPr>
      <w:r w:rsidRPr="00C34531">
        <w:rPr>
          <w:lang w:val="it-IT"/>
        </w:rPr>
        <w:t>331.</w:t>
      </w:r>
      <w:r w:rsidRPr="00C34531">
        <w:rPr>
          <w:lang w:val="it-IT"/>
        </w:rPr>
        <w:tab/>
        <w:t>Riente L, Chimenti D, Pratesi F, Delle Sedie A, Tommasi S, Tommasi C</w:t>
      </w:r>
      <w:r w:rsidRPr="00C34531">
        <w:rPr>
          <w:i/>
          <w:lang w:val="it-IT"/>
        </w:rPr>
        <w:t>, et al.</w:t>
      </w:r>
      <w:r w:rsidRPr="00C34531">
        <w:rPr>
          <w:lang w:val="it-IT"/>
        </w:rPr>
        <w:t xml:space="preserve"> </w:t>
      </w:r>
      <w:r w:rsidRPr="00EF35F3">
        <w:t xml:space="preserve">Antibodies to tissue transglutaminase and Saccharomyces cerevisiae in Ankylosing spondylitis and psoriatic arthritis. </w:t>
      </w:r>
      <w:r w:rsidRPr="00EF35F3">
        <w:rPr>
          <w:i/>
        </w:rPr>
        <w:t>Journal of Rheumatology</w:t>
      </w:r>
      <w:r w:rsidRPr="00EF35F3">
        <w:t xml:space="preserve"> 2004;</w:t>
      </w:r>
      <w:r w:rsidRPr="00EF35F3">
        <w:rPr>
          <w:b/>
        </w:rPr>
        <w:t>31</w:t>
      </w:r>
      <w:r w:rsidRPr="00EF35F3">
        <w:t>:920-4.</w:t>
      </w:r>
    </w:p>
    <w:p w14:paraId="5DD03AA6" w14:textId="77777777" w:rsidR="00EF35F3" w:rsidRPr="00EF35F3" w:rsidRDefault="00EF35F3" w:rsidP="00EF35F3">
      <w:pPr>
        <w:pStyle w:val="EndNoteBibliography"/>
        <w:spacing w:after="0"/>
      </w:pPr>
      <w:r w:rsidRPr="00EF35F3">
        <w:t>332.</w:t>
      </w:r>
      <w:r w:rsidRPr="00EF35F3">
        <w:tab/>
        <w:t xml:space="preserve">Luft LM, Barr SG, Martin LO, Chan EKL, Fritzler MJ. Autoantibodies to Tissue Transglutaminase in Sjogren's Syndrome and Related Rheumatic Diseases. </w:t>
      </w:r>
      <w:r w:rsidRPr="00EF35F3">
        <w:rPr>
          <w:i/>
        </w:rPr>
        <w:t>Journal of Rheumatology</w:t>
      </w:r>
      <w:r w:rsidRPr="00EF35F3">
        <w:t xml:space="preserve"> 2003;</w:t>
      </w:r>
      <w:r w:rsidRPr="00EF35F3">
        <w:rPr>
          <w:b/>
        </w:rPr>
        <w:t>30</w:t>
      </w:r>
      <w:r w:rsidRPr="00EF35F3">
        <w:t>:2613-9.</w:t>
      </w:r>
    </w:p>
    <w:p w14:paraId="2CEFB611" w14:textId="2D47B167" w:rsidR="00EF35F3" w:rsidRPr="00EF35F3" w:rsidRDefault="00EF35F3" w:rsidP="00EF35F3">
      <w:pPr>
        <w:pStyle w:val="EndNoteBibliography"/>
        <w:spacing w:after="0"/>
      </w:pPr>
      <w:r w:rsidRPr="00EF35F3">
        <w:t>333.</w:t>
      </w:r>
      <w:r w:rsidRPr="00EF35F3">
        <w:tab/>
        <w:t>Heikkila K, Heliovaara M, Impivaara O, Kroger H, Knekt P, Rissanen H</w:t>
      </w:r>
      <w:r w:rsidRPr="00EF35F3">
        <w:rPr>
          <w:i/>
        </w:rPr>
        <w:t>, et al.</w:t>
      </w:r>
      <w:r w:rsidRPr="00EF35F3">
        <w:t xml:space="preserve"> Celiac disease autoimmunity and hip fracture risk: Findings from a prospective cohort study. </w:t>
      </w:r>
      <w:r w:rsidRPr="00EF35F3">
        <w:rPr>
          <w:i/>
        </w:rPr>
        <w:t>Journal of Bone and Mineral Research</w:t>
      </w:r>
      <w:r w:rsidRPr="00EF35F3">
        <w:t xml:space="preserve"> 2015;</w:t>
      </w:r>
      <w:r w:rsidRPr="00EF35F3">
        <w:rPr>
          <w:b/>
        </w:rPr>
        <w:t>30</w:t>
      </w:r>
      <w:r w:rsidRPr="00EF35F3">
        <w:t xml:space="preserve">:630-6. </w:t>
      </w:r>
      <w:hyperlink r:id="rId296" w:history="1">
        <w:r w:rsidRPr="00EF35F3">
          <w:rPr>
            <w:rStyle w:val="Hyperlink"/>
          </w:rPr>
          <w:t>https://doi.org/http://dx.doi.org/10.1002/jbmr.2380</w:t>
        </w:r>
      </w:hyperlink>
    </w:p>
    <w:p w14:paraId="4DD1D6A8" w14:textId="1D1B6DA2" w:rsidR="00EF35F3" w:rsidRPr="00EF35F3" w:rsidRDefault="00EF35F3" w:rsidP="00EF35F3">
      <w:pPr>
        <w:pStyle w:val="EndNoteBibliography"/>
        <w:spacing w:after="0"/>
      </w:pPr>
      <w:r w:rsidRPr="00EF35F3">
        <w:t>334.</w:t>
      </w:r>
      <w:r w:rsidRPr="00EF35F3">
        <w:tab/>
        <w:t xml:space="preserve">Gheita TA, Fawzy SM, Nour El-Din AM, Gomaa HE. Asymptomatic celiac sprue in juvenile rheumatic diseases children. </w:t>
      </w:r>
      <w:r w:rsidRPr="00EF35F3">
        <w:rPr>
          <w:i/>
        </w:rPr>
        <w:t>International journal of rheumatic diseases</w:t>
      </w:r>
      <w:r w:rsidRPr="00EF35F3">
        <w:t xml:space="preserve"> 2012;</w:t>
      </w:r>
      <w:r w:rsidRPr="00EF35F3">
        <w:rPr>
          <w:b/>
        </w:rPr>
        <w:t>15</w:t>
      </w:r>
      <w:r w:rsidRPr="00EF35F3">
        <w:t xml:space="preserve">:220-6. </w:t>
      </w:r>
      <w:hyperlink r:id="rId297" w:history="1">
        <w:r w:rsidRPr="00EF35F3">
          <w:rPr>
            <w:rStyle w:val="Hyperlink"/>
          </w:rPr>
          <w:t>https://doi.org/https://dx.doi.org/10.1111/j.1756-185X.2011.01681.x</w:t>
        </w:r>
      </w:hyperlink>
    </w:p>
    <w:p w14:paraId="3C302BA1" w14:textId="79389C9D" w:rsidR="00EF35F3" w:rsidRPr="00EF35F3" w:rsidRDefault="00EF35F3" w:rsidP="00EF35F3">
      <w:pPr>
        <w:pStyle w:val="EndNoteBibliography"/>
        <w:spacing w:after="0"/>
      </w:pPr>
      <w:r w:rsidRPr="00EF35F3">
        <w:t>335.</w:t>
      </w:r>
      <w:r w:rsidRPr="00EF35F3">
        <w:tab/>
        <w:t>Sahin Y, Sahin S, Barut K, Cokugras FC, Erkan T, Adrovic A</w:t>
      </w:r>
      <w:r w:rsidRPr="00EF35F3">
        <w:rPr>
          <w:i/>
        </w:rPr>
        <w:t>, et al.</w:t>
      </w:r>
      <w:r w:rsidRPr="00EF35F3">
        <w:t xml:space="preserve"> The frequency of the celiac disease in patients with juvenile idiopathic arthritis. </w:t>
      </w:r>
      <w:r w:rsidRPr="00EF35F3">
        <w:rPr>
          <w:i/>
        </w:rPr>
        <w:t>Journal of Pediatric Gastroenterology and Nutrition</w:t>
      </w:r>
      <w:r w:rsidRPr="00EF35F3">
        <w:t xml:space="preserve"> 2017;</w:t>
      </w:r>
      <w:r w:rsidRPr="00EF35F3">
        <w:rPr>
          <w:b/>
        </w:rPr>
        <w:t>64</w:t>
      </w:r>
      <w:r w:rsidRPr="00EF35F3">
        <w:t xml:space="preserve">:222-3. </w:t>
      </w:r>
      <w:hyperlink r:id="rId298" w:history="1">
        <w:r w:rsidRPr="00EF35F3">
          <w:rPr>
            <w:rStyle w:val="Hyperlink"/>
          </w:rPr>
          <w:t>https://doi.org/http://dx.doi.org/10.1097/01.mpg.0000516381.25680.b4</w:t>
        </w:r>
      </w:hyperlink>
    </w:p>
    <w:p w14:paraId="30695211" w14:textId="16E400F2" w:rsidR="00EF35F3" w:rsidRPr="00EF35F3" w:rsidRDefault="00EF35F3" w:rsidP="00EF35F3">
      <w:pPr>
        <w:pStyle w:val="EndNoteBibliography"/>
        <w:spacing w:after="0"/>
      </w:pPr>
      <w:r w:rsidRPr="00EF35F3">
        <w:t>336.</w:t>
      </w:r>
      <w:r w:rsidRPr="00EF35F3">
        <w:tab/>
        <w:t xml:space="preserve">Skrabl-Baumgartner A, Christine Hauer A, Erwa W, Jahnel J. HLA genotyping as first-line screening tool for coeliac disease in children with juvenile idiopathic arthritis. </w:t>
      </w:r>
      <w:r w:rsidRPr="00EF35F3">
        <w:rPr>
          <w:i/>
        </w:rPr>
        <w:t>Archives of disease in childhood</w:t>
      </w:r>
      <w:r w:rsidRPr="00EF35F3">
        <w:t xml:space="preserve"> 2017;</w:t>
      </w:r>
      <w:r w:rsidRPr="00EF35F3">
        <w:rPr>
          <w:b/>
        </w:rPr>
        <w:t>102</w:t>
      </w:r>
      <w:r w:rsidRPr="00EF35F3">
        <w:t xml:space="preserve">:607-11. </w:t>
      </w:r>
      <w:hyperlink r:id="rId299" w:history="1">
        <w:r w:rsidRPr="00EF35F3">
          <w:rPr>
            <w:rStyle w:val="Hyperlink"/>
          </w:rPr>
          <w:t>https://doi.org/https://dx.doi.org/10.1136/archdischild-2016-311544</w:t>
        </w:r>
      </w:hyperlink>
    </w:p>
    <w:p w14:paraId="0E862622" w14:textId="6C50AE05" w:rsidR="00EF35F3" w:rsidRPr="00EF35F3" w:rsidRDefault="00EF35F3" w:rsidP="00EF35F3">
      <w:pPr>
        <w:pStyle w:val="EndNoteBibliography"/>
        <w:spacing w:after="0"/>
      </w:pPr>
      <w:r w:rsidRPr="00EF35F3">
        <w:t>337.</w:t>
      </w:r>
      <w:r w:rsidRPr="00EF35F3">
        <w:tab/>
        <w:t xml:space="preserve">Stagi S, Giani T, Simonini G, Falcini F. Thyroid function, autoimmune thyroiditis and coeliac disease in juvenile idiopathic arthritis. </w:t>
      </w:r>
      <w:r w:rsidRPr="00EF35F3">
        <w:rPr>
          <w:i/>
        </w:rPr>
        <w:t>Rheumatology</w:t>
      </w:r>
      <w:r w:rsidRPr="00EF35F3">
        <w:t xml:space="preserve"> 2005;</w:t>
      </w:r>
      <w:r w:rsidRPr="00EF35F3">
        <w:rPr>
          <w:b/>
        </w:rPr>
        <w:t>44</w:t>
      </w:r>
      <w:r w:rsidRPr="00EF35F3">
        <w:t xml:space="preserve">:517-20. </w:t>
      </w:r>
      <w:hyperlink r:id="rId300" w:history="1">
        <w:r w:rsidRPr="00EF35F3">
          <w:rPr>
            <w:rStyle w:val="Hyperlink"/>
          </w:rPr>
          <w:t>https://doi.org/http://dx.doi.org/10.1093/rheumatology/keh531</w:t>
        </w:r>
      </w:hyperlink>
    </w:p>
    <w:p w14:paraId="3E87CDE6" w14:textId="77777777" w:rsidR="00EF35F3" w:rsidRPr="00EF35F3" w:rsidRDefault="00EF35F3" w:rsidP="00EF35F3">
      <w:pPr>
        <w:pStyle w:val="EndNoteBibliography"/>
        <w:spacing w:after="0"/>
      </w:pPr>
      <w:r w:rsidRPr="00EF35F3">
        <w:t>338.</w:t>
      </w:r>
      <w:r w:rsidRPr="00EF35F3">
        <w:tab/>
        <w:t>Robazzi TC, Adan LF, Pimentel K, Guimaraes I, Magalhaes J, Toralles MB</w:t>
      </w:r>
      <w:r w:rsidRPr="00EF35F3">
        <w:rPr>
          <w:i/>
        </w:rPr>
        <w:t>, et al.</w:t>
      </w:r>
      <w:r w:rsidRPr="00EF35F3">
        <w:t xml:space="preserve"> Autoimmune endocrine disorders and coeliac disease in children and adolescents with juvenile idiopathic arthritis and rheumatic fever. </w:t>
      </w:r>
      <w:r w:rsidRPr="00EF35F3">
        <w:rPr>
          <w:i/>
        </w:rPr>
        <w:t>Clinical and Experimental Rheumatology</w:t>
      </w:r>
      <w:r w:rsidRPr="00EF35F3">
        <w:t xml:space="preserve"> 2013;</w:t>
      </w:r>
      <w:r w:rsidRPr="00EF35F3">
        <w:rPr>
          <w:b/>
        </w:rPr>
        <w:t>31</w:t>
      </w:r>
      <w:r w:rsidRPr="00EF35F3">
        <w:t>:310-7.</w:t>
      </w:r>
    </w:p>
    <w:p w14:paraId="65164604" w14:textId="4A3C204C" w:rsidR="00EF35F3" w:rsidRPr="00EF35F3" w:rsidRDefault="00EF35F3" w:rsidP="00EF35F3">
      <w:pPr>
        <w:pStyle w:val="EndNoteBibliography"/>
        <w:spacing w:after="0"/>
      </w:pPr>
      <w:r w:rsidRPr="00EF35F3">
        <w:t>339.</w:t>
      </w:r>
      <w:r w:rsidRPr="00EF35F3">
        <w:tab/>
        <w:t>Taneja A, Prahalad S, Hersh AO, Ponder L, Chan LHK, Rouster-Stevens KA</w:t>
      </w:r>
      <w:r w:rsidRPr="00EF35F3">
        <w:rPr>
          <w:i/>
        </w:rPr>
        <w:t>, et al.</w:t>
      </w:r>
      <w:r w:rsidRPr="00EF35F3">
        <w:t xml:space="preserve"> Prevalence of celiac antibodies and IgA deficiency in juvenile idiopathic arthritis. </w:t>
      </w:r>
      <w:r w:rsidRPr="00EF35F3">
        <w:rPr>
          <w:i/>
        </w:rPr>
        <w:t>Arthritis and Rheumatology</w:t>
      </w:r>
      <w:r w:rsidRPr="00EF35F3">
        <w:t xml:space="preserve"> 2017;</w:t>
      </w:r>
      <w:r w:rsidRPr="00EF35F3">
        <w:rPr>
          <w:b/>
        </w:rPr>
        <w:t>69</w:t>
      </w:r>
      <w:r w:rsidRPr="00EF35F3">
        <w:t xml:space="preserve">:22-3. </w:t>
      </w:r>
      <w:hyperlink r:id="rId301" w:history="1">
        <w:r w:rsidRPr="00EF35F3">
          <w:rPr>
            <w:rStyle w:val="Hyperlink"/>
          </w:rPr>
          <w:t>https://doi.org/http://dx.doi.org/10.1002/art.v69.S4</w:t>
        </w:r>
      </w:hyperlink>
    </w:p>
    <w:p w14:paraId="14585819" w14:textId="3A4C1A2F" w:rsidR="00EF35F3" w:rsidRPr="00C34531" w:rsidRDefault="00EF35F3" w:rsidP="00EF35F3">
      <w:pPr>
        <w:pStyle w:val="EndNoteBibliography"/>
        <w:spacing w:after="0"/>
        <w:rPr>
          <w:lang w:val="it-IT"/>
        </w:rPr>
      </w:pPr>
      <w:r w:rsidRPr="00EF35F3">
        <w:t>340.</w:t>
      </w:r>
      <w:r w:rsidRPr="00EF35F3">
        <w:tab/>
        <w:t>Togrol RE, Nalbant S, Solmazgul E, Ozyurt M, Kaplan M, Kiralp MZ</w:t>
      </w:r>
      <w:r w:rsidRPr="00EF35F3">
        <w:rPr>
          <w:i/>
        </w:rPr>
        <w:t>, et al.</w:t>
      </w:r>
      <w:r w:rsidRPr="00EF35F3">
        <w:t xml:space="preserve"> The significance of coeliac disease antibodies in patients with ankylosing spondylitis: A case-controlled study. </w:t>
      </w:r>
      <w:r w:rsidRPr="00C34531">
        <w:rPr>
          <w:i/>
          <w:lang w:val="it-IT"/>
        </w:rPr>
        <w:t>Journal of International Medical Research</w:t>
      </w:r>
      <w:r w:rsidRPr="00C34531">
        <w:rPr>
          <w:lang w:val="it-IT"/>
        </w:rPr>
        <w:t xml:space="preserve"> 2009;</w:t>
      </w:r>
      <w:r w:rsidRPr="00C34531">
        <w:rPr>
          <w:b/>
          <w:lang w:val="it-IT"/>
        </w:rPr>
        <w:t>37</w:t>
      </w:r>
      <w:r w:rsidRPr="00C34531">
        <w:rPr>
          <w:lang w:val="it-IT"/>
        </w:rPr>
        <w:t xml:space="preserve">:220-6. </w:t>
      </w:r>
      <w:hyperlink r:id="rId302" w:history="1">
        <w:r w:rsidRPr="00C34531">
          <w:rPr>
            <w:rStyle w:val="Hyperlink"/>
            <w:lang w:val="it-IT"/>
          </w:rPr>
          <w:t>https://doi.org/http://dx.doi.org/10.1177/147323000903700127</w:t>
        </w:r>
      </w:hyperlink>
    </w:p>
    <w:p w14:paraId="359B5BA2" w14:textId="721E586A" w:rsidR="00EF35F3" w:rsidRPr="00EF35F3" w:rsidRDefault="00EF35F3" w:rsidP="00EF35F3">
      <w:pPr>
        <w:pStyle w:val="EndNoteBibliography"/>
        <w:spacing w:after="0"/>
      </w:pPr>
      <w:r w:rsidRPr="00C34531">
        <w:rPr>
          <w:lang w:val="it-IT"/>
        </w:rPr>
        <w:t>341.</w:t>
      </w:r>
      <w:r w:rsidRPr="00C34531">
        <w:rPr>
          <w:lang w:val="it-IT"/>
        </w:rPr>
        <w:tab/>
        <w:t>Nenna R, Tiberti C, Petrarca L, Lucantoni F, Mennini M, Luparia RPL</w:t>
      </w:r>
      <w:r w:rsidRPr="00C34531">
        <w:rPr>
          <w:i/>
          <w:lang w:val="it-IT"/>
        </w:rPr>
        <w:t>, et al.</w:t>
      </w:r>
      <w:r w:rsidRPr="00C34531">
        <w:rPr>
          <w:lang w:val="it-IT"/>
        </w:rPr>
        <w:t xml:space="preserve"> </w:t>
      </w:r>
      <w:r w:rsidRPr="00EF35F3">
        <w:t xml:space="preserve">The celiac iceberg: characterization of the disease in primary schoolchildren. </w:t>
      </w:r>
      <w:r w:rsidRPr="00EF35F3">
        <w:rPr>
          <w:i/>
        </w:rPr>
        <w:t>Journal of pediatric gastroenterology and nutrition</w:t>
      </w:r>
      <w:r w:rsidRPr="00EF35F3">
        <w:t xml:space="preserve"> 2013;</w:t>
      </w:r>
      <w:r w:rsidRPr="00EF35F3">
        <w:rPr>
          <w:b/>
        </w:rPr>
        <w:t>56</w:t>
      </w:r>
      <w:r w:rsidRPr="00EF35F3">
        <w:t xml:space="preserve">:416-21. </w:t>
      </w:r>
      <w:hyperlink r:id="rId303" w:history="1">
        <w:r w:rsidRPr="00EF35F3">
          <w:rPr>
            <w:rStyle w:val="Hyperlink"/>
          </w:rPr>
          <w:t>https://doi.org/https://dx.doi.org/10.1097/MPG.0b013e31827b7f64</w:t>
        </w:r>
      </w:hyperlink>
    </w:p>
    <w:p w14:paraId="26AA80B4" w14:textId="0040DC03" w:rsidR="00EF35F3" w:rsidRPr="00EF35F3" w:rsidRDefault="00EF35F3" w:rsidP="00EF35F3">
      <w:pPr>
        <w:pStyle w:val="EndNoteBibliography"/>
        <w:spacing w:after="0"/>
      </w:pPr>
      <w:r w:rsidRPr="00EF35F3">
        <w:t>342.</w:t>
      </w:r>
      <w:r w:rsidRPr="00EF35F3">
        <w:tab/>
        <w:t xml:space="preserve">Cakir M, Cezaroglu S, Cobanoglu U. Celiac disease in children with chronic constipation. </w:t>
      </w:r>
      <w:r w:rsidRPr="00EF35F3">
        <w:rPr>
          <w:i/>
        </w:rPr>
        <w:t>Turkish Journal of Medical Sciences</w:t>
      </w:r>
      <w:r w:rsidRPr="00EF35F3">
        <w:t xml:space="preserve"> 2016;</w:t>
      </w:r>
      <w:r w:rsidRPr="00EF35F3">
        <w:rPr>
          <w:b/>
        </w:rPr>
        <w:t>46</w:t>
      </w:r>
      <w:r w:rsidRPr="00EF35F3">
        <w:t xml:space="preserve">:651-6. </w:t>
      </w:r>
      <w:hyperlink r:id="rId304" w:history="1">
        <w:r w:rsidRPr="00EF35F3">
          <w:rPr>
            <w:rStyle w:val="Hyperlink"/>
          </w:rPr>
          <w:t>https://doi.org/http://dx.doi.org/10.3906/sag-1502-130</w:t>
        </w:r>
      </w:hyperlink>
    </w:p>
    <w:p w14:paraId="78851F35" w14:textId="13AD262E" w:rsidR="00EF35F3" w:rsidRPr="00EF35F3" w:rsidRDefault="00EF35F3" w:rsidP="00EF35F3">
      <w:pPr>
        <w:pStyle w:val="EndNoteBibliography"/>
        <w:spacing w:after="0"/>
      </w:pPr>
      <w:r w:rsidRPr="00EF35F3">
        <w:lastRenderedPageBreak/>
        <w:t>343.</w:t>
      </w:r>
      <w:r w:rsidRPr="00EF35F3">
        <w:tab/>
        <w:t xml:space="preserve">Fifi AC, Velasco-Benitez C, Saps M. Celiac Disease in Children with Functional Constipation: A School-Based Multicity Study. </w:t>
      </w:r>
      <w:r w:rsidRPr="00EF35F3">
        <w:rPr>
          <w:i/>
        </w:rPr>
        <w:t>Journal of Pediatrics</w:t>
      </w:r>
      <w:r w:rsidRPr="00EF35F3">
        <w:t xml:space="preserve"> 2020; </w:t>
      </w:r>
      <w:hyperlink r:id="rId305" w:history="1">
        <w:r w:rsidRPr="00EF35F3">
          <w:rPr>
            <w:rStyle w:val="Hyperlink"/>
          </w:rPr>
          <w:t>http://dx.doi.org/10.1016/j.jpeds.2020.07.052</w:t>
        </w:r>
      </w:hyperlink>
      <w:r w:rsidRPr="00EF35F3">
        <w:t xml:space="preserve">. </w:t>
      </w:r>
    </w:p>
    <w:p w14:paraId="13FC207D" w14:textId="0DEB590F" w:rsidR="00EF35F3" w:rsidRPr="00EF35F3" w:rsidRDefault="00EF35F3" w:rsidP="00EF35F3">
      <w:pPr>
        <w:pStyle w:val="EndNoteBibliography"/>
        <w:spacing w:after="0"/>
      </w:pPr>
      <w:r w:rsidRPr="00EF35F3">
        <w:t>344.</w:t>
      </w:r>
      <w:r w:rsidRPr="00EF35F3">
        <w:tab/>
        <w:t xml:space="preserve">Kumar V, Jarzabek-Chorzelska M, Sulej J, Rajadhyaksha M, Jablonska S. Tissue transglutaminase and endomysial antibodies - Diagnostic markers of gluten-sensitive enteropathy in dermatitis herpetiformis. </w:t>
      </w:r>
      <w:r w:rsidRPr="00EF35F3">
        <w:rPr>
          <w:i/>
        </w:rPr>
        <w:t>Clinical Immunology</w:t>
      </w:r>
      <w:r w:rsidRPr="00EF35F3">
        <w:t xml:space="preserve"> 2001;</w:t>
      </w:r>
      <w:r w:rsidRPr="00EF35F3">
        <w:rPr>
          <w:b/>
        </w:rPr>
        <w:t>98</w:t>
      </w:r>
      <w:r w:rsidRPr="00EF35F3">
        <w:t xml:space="preserve">:378-82. </w:t>
      </w:r>
      <w:hyperlink r:id="rId306" w:history="1">
        <w:r w:rsidRPr="00EF35F3">
          <w:rPr>
            <w:rStyle w:val="Hyperlink"/>
          </w:rPr>
          <w:t>https://doi.org/http://dx.doi.org/10.1006/clim.2000.4983</w:t>
        </w:r>
      </w:hyperlink>
    </w:p>
    <w:p w14:paraId="4ADAF372" w14:textId="30BFCB1E" w:rsidR="00EF35F3" w:rsidRPr="00EF35F3" w:rsidRDefault="00EF35F3" w:rsidP="00EF35F3">
      <w:pPr>
        <w:pStyle w:val="EndNoteBibliography"/>
        <w:spacing w:after="0"/>
      </w:pPr>
      <w:r w:rsidRPr="00EF35F3">
        <w:t>345.</w:t>
      </w:r>
      <w:r w:rsidRPr="00EF35F3">
        <w:tab/>
        <w:t>Velikova T, Shahid M, Ivanova-Todorova E, Drenovska K, Tumangelova-Yuzeir K, Altankova I</w:t>
      </w:r>
      <w:r w:rsidRPr="00EF35F3">
        <w:rPr>
          <w:i/>
        </w:rPr>
        <w:t>, et al.</w:t>
      </w:r>
      <w:r w:rsidRPr="00EF35F3">
        <w:t xml:space="preserve"> Celiac-Related Autoantibodies and IL-17A in Bulgarian Patients with Dermatitis Herpetiformis: A Cross-Sectional Study. </w:t>
      </w:r>
      <w:r w:rsidRPr="00EF35F3">
        <w:rPr>
          <w:i/>
        </w:rPr>
        <w:t>Medicina (Kaunas, Lithuania)</w:t>
      </w:r>
      <w:r w:rsidRPr="00EF35F3">
        <w:t xml:space="preserve"> 2019;</w:t>
      </w:r>
      <w:r w:rsidRPr="00EF35F3">
        <w:rPr>
          <w:b/>
        </w:rPr>
        <w:t>55</w:t>
      </w:r>
      <w:r w:rsidRPr="00EF35F3">
        <w:t xml:space="preserve">. </w:t>
      </w:r>
      <w:hyperlink r:id="rId307" w:history="1">
        <w:r w:rsidRPr="00EF35F3">
          <w:rPr>
            <w:rStyle w:val="Hyperlink"/>
          </w:rPr>
          <w:t>https://doi.org/https://dx.doi.org/10.3390/medicina55050136</w:t>
        </w:r>
      </w:hyperlink>
    </w:p>
    <w:p w14:paraId="246E4A80" w14:textId="57ED496B" w:rsidR="00EF35F3" w:rsidRPr="00EF35F3" w:rsidRDefault="00EF35F3" w:rsidP="00EF35F3">
      <w:pPr>
        <w:pStyle w:val="EndNoteBibliography"/>
        <w:spacing w:after="0"/>
      </w:pPr>
      <w:r w:rsidRPr="00EF35F3">
        <w:t>346.</w:t>
      </w:r>
      <w:r w:rsidRPr="00EF35F3">
        <w:tab/>
        <w:t>Smecuol E, Sugai E, Niveloni S, Vazquez H, Pedreira S, Mazure R</w:t>
      </w:r>
      <w:r w:rsidRPr="00EF35F3">
        <w:rPr>
          <w:i/>
        </w:rPr>
        <w:t>, et al.</w:t>
      </w:r>
      <w:r w:rsidRPr="00EF35F3">
        <w:t xml:space="preserve"> Permeability, zonulin production, and enteropathy in dermatitis herpetiformis. </w:t>
      </w:r>
      <w:r w:rsidRPr="00EF35F3">
        <w:rPr>
          <w:i/>
        </w:rPr>
        <w:t>Clinical Gastroenterology and Hepatology</w:t>
      </w:r>
      <w:r w:rsidRPr="00EF35F3">
        <w:t xml:space="preserve"> 2005;</w:t>
      </w:r>
      <w:r w:rsidRPr="00EF35F3">
        <w:rPr>
          <w:b/>
        </w:rPr>
        <w:t>3</w:t>
      </w:r>
      <w:r w:rsidRPr="00EF35F3">
        <w:t xml:space="preserve">:335-41. </w:t>
      </w:r>
      <w:hyperlink r:id="rId308" w:history="1">
        <w:r w:rsidRPr="00EF35F3">
          <w:rPr>
            <w:rStyle w:val="Hyperlink"/>
          </w:rPr>
          <w:t>https://doi.org/http://dx.doi.org/10.1016/S1542-3565%2804%2900778-5</w:t>
        </w:r>
      </w:hyperlink>
    </w:p>
    <w:p w14:paraId="0C6E371A" w14:textId="47732E0D" w:rsidR="00EF35F3" w:rsidRPr="00EF35F3" w:rsidRDefault="00EF35F3" w:rsidP="00EF35F3">
      <w:pPr>
        <w:pStyle w:val="EndNoteBibliography"/>
        <w:spacing w:after="0"/>
      </w:pPr>
      <w:r w:rsidRPr="00EF35F3">
        <w:t>347.</w:t>
      </w:r>
      <w:r w:rsidRPr="00EF35F3">
        <w:tab/>
        <w:t xml:space="preserve">Imanzadeh F, Sayyari AA, Yaghoobi M, Akbari MR, Shafagh H, Farsar AR. Celiac disease in children with diarrhea is more frequent than previously suspected. </w:t>
      </w:r>
      <w:r w:rsidRPr="00EF35F3">
        <w:rPr>
          <w:i/>
        </w:rPr>
        <w:t>Journal of Pediatric Gastroenterology and Nutrition</w:t>
      </w:r>
      <w:r w:rsidRPr="00EF35F3">
        <w:t xml:space="preserve"> 2005;</w:t>
      </w:r>
      <w:r w:rsidRPr="00EF35F3">
        <w:rPr>
          <w:b/>
        </w:rPr>
        <w:t>40</w:t>
      </w:r>
      <w:r w:rsidRPr="00EF35F3">
        <w:t xml:space="preserve">:309-11. </w:t>
      </w:r>
      <w:hyperlink r:id="rId309" w:history="1">
        <w:r w:rsidRPr="00EF35F3">
          <w:rPr>
            <w:rStyle w:val="Hyperlink"/>
          </w:rPr>
          <w:t>https://doi.org/http://dx.doi.org/10.1097/01.MPG.0000154012.10420.08</w:t>
        </w:r>
      </w:hyperlink>
    </w:p>
    <w:p w14:paraId="720F94E1" w14:textId="77777777" w:rsidR="00EF35F3" w:rsidRPr="00EF35F3" w:rsidRDefault="00EF35F3" w:rsidP="00EF35F3">
      <w:pPr>
        <w:pStyle w:val="EndNoteBibliography"/>
        <w:spacing w:after="0"/>
      </w:pPr>
      <w:r w:rsidRPr="00EF35F3">
        <w:t>348.</w:t>
      </w:r>
      <w:r w:rsidRPr="00EF35F3">
        <w:tab/>
        <w:t>Ranua J, Luoma K, Auvinen A, Maki M, Haapala A-M, Peltola J</w:t>
      </w:r>
      <w:r w:rsidRPr="00EF35F3">
        <w:rPr>
          <w:i/>
        </w:rPr>
        <w:t>, et al.</w:t>
      </w:r>
      <w:r w:rsidRPr="00EF35F3">
        <w:t xml:space="preserve"> Celiac disease-related antibodies in an epilepsy cohort and matched reference population. </w:t>
      </w:r>
      <w:r w:rsidRPr="00EF35F3">
        <w:rPr>
          <w:i/>
        </w:rPr>
        <w:t>Epilepsy &amp; behavior : E&amp;B</w:t>
      </w:r>
      <w:r w:rsidRPr="00EF35F3">
        <w:t xml:space="preserve"> 2005;</w:t>
      </w:r>
      <w:r w:rsidRPr="00EF35F3">
        <w:rPr>
          <w:b/>
        </w:rPr>
        <w:t>6</w:t>
      </w:r>
      <w:r w:rsidRPr="00EF35F3">
        <w:t>:388-92.</w:t>
      </w:r>
    </w:p>
    <w:p w14:paraId="7719A242" w14:textId="77777777" w:rsidR="00EF35F3" w:rsidRPr="00EF35F3" w:rsidRDefault="00EF35F3" w:rsidP="00EF35F3">
      <w:pPr>
        <w:pStyle w:val="EndNoteBibliography"/>
        <w:spacing w:after="0"/>
      </w:pPr>
      <w:r w:rsidRPr="00EF35F3">
        <w:t>349.</w:t>
      </w:r>
      <w:r w:rsidRPr="00EF35F3">
        <w:tab/>
        <w:t>Mavroudi A, Xinias I, Papastavrou T, Karatza E, Fotoulaki M, Panteliadis C</w:t>
      </w:r>
      <w:r w:rsidRPr="00EF35F3">
        <w:rPr>
          <w:i/>
        </w:rPr>
        <w:t>, et al.</w:t>
      </w:r>
      <w:r w:rsidRPr="00EF35F3">
        <w:t xml:space="preserve"> Increased prevalence of silent celiac disease among Greek epileptic children. </w:t>
      </w:r>
      <w:r w:rsidRPr="00EF35F3">
        <w:rPr>
          <w:i/>
        </w:rPr>
        <w:t>Pediatric neurology</w:t>
      </w:r>
      <w:r w:rsidRPr="00EF35F3">
        <w:t xml:space="preserve"> 2007;</w:t>
      </w:r>
      <w:r w:rsidRPr="00EF35F3">
        <w:rPr>
          <w:b/>
        </w:rPr>
        <w:t>36</w:t>
      </w:r>
      <w:r w:rsidRPr="00EF35F3">
        <w:t>:165-9.</w:t>
      </w:r>
    </w:p>
    <w:p w14:paraId="36E891F5" w14:textId="6E8B44EC" w:rsidR="00EF35F3" w:rsidRPr="00EF35F3" w:rsidRDefault="00EF35F3" w:rsidP="00EF35F3">
      <w:pPr>
        <w:pStyle w:val="EndNoteBibliography"/>
        <w:spacing w:after="0"/>
      </w:pPr>
      <w:r w:rsidRPr="00EF35F3">
        <w:t>350.</w:t>
      </w:r>
      <w:r w:rsidRPr="00EF35F3">
        <w:tab/>
        <w:t>Antigoni M, Xinias I, Theodouli P, Karatza E, Maria F, Panteliadis C</w:t>
      </w:r>
      <w:r w:rsidRPr="00EF35F3">
        <w:rPr>
          <w:i/>
        </w:rPr>
        <w:t>, et al.</w:t>
      </w:r>
      <w:r w:rsidRPr="00EF35F3">
        <w:t xml:space="preserve"> Increased Prevalence of Silent Celiac Disease Among Greek Epileptic Children. </w:t>
      </w:r>
      <w:r w:rsidRPr="00EF35F3">
        <w:rPr>
          <w:i/>
        </w:rPr>
        <w:t>Pediatric Neurology</w:t>
      </w:r>
      <w:r w:rsidRPr="00EF35F3">
        <w:t xml:space="preserve"> 2007;</w:t>
      </w:r>
      <w:r w:rsidRPr="00EF35F3">
        <w:rPr>
          <w:b/>
        </w:rPr>
        <w:t>36</w:t>
      </w:r>
      <w:r w:rsidRPr="00EF35F3">
        <w:t xml:space="preserve">:165-9. </w:t>
      </w:r>
      <w:hyperlink r:id="rId310" w:history="1">
        <w:r w:rsidRPr="00EF35F3">
          <w:rPr>
            <w:rStyle w:val="Hyperlink"/>
          </w:rPr>
          <w:t>https://doi.org/http://dx.doi.org/10.1016/j.pediatrneurol.2006.11.011</w:t>
        </w:r>
      </w:hyperlink>
    </w:p>
    <w:p w14:paraId="582607E5" w14:textId="42972B58" w:rsidR="00EF35F3" w:rsidRPr="00EF35F3" w:rsidRDefault="00EF35F3" w:rsidP="00EF35F3">
      <w:pPr>
        <w:pStyle w:val="EndNoteBibliography"/>
        <w:spacing w:after="0"/>
      </w:pPr>
      <w:r w:rsidRPr="00EF35F3">
        <w:t>351.</w:t>
      </w:r>
      <w:r w:rsidRPr="00EF35F3">
        <w:tab/>
        <w:t xml:space="preserve">Dalgic B, Dursun I, Serdaroglu A, Dursun A. Latent and potential celiac disease in epileptic Turkish children. </w:t>
      </w:r>
      <w:r w:rsidRPr="00EF35F3">
        <w:rPr>
          <w:i/>
        </w:rPr>
        <w:t>Journal of Child Neurology</w:t>
      </w:r>
      <w:r w:rsidRPr="00EF35F3">
        <w:t xml:space="preserve"> 2006;</w:t>
      </w:r>
      <w:r w:rsidRPr="00EF35F3">
        <w:rPr>
          <w:b/>
        </w:rPr>
        <w:t>21</w:t>
      </w:r>
      <w:r w:rsidRPr="00EF35F3">
        <w:t xml:space="preserve">:6-7. </w:t>
      </w:r>
      <w:hyperlink r:id="rId311" w:history="1">
        <w:r w:rsidRPr="00EF35F3">
          <w:rPr>
            <w:rStyle w:val="Hyperlink"/>
          </w:rPr>
          <w:t>https://doi.org/http://dx.doi.org/10.1177/08830738060210010301</w:t>
        </w:r>
      </w:hyperlink>
    </w:p>
    <w:p w14:paraId="5B17E24C" w14:textId="386641D2" w:rsidR="00EF35F3" w:rsidRPr="00EF35F3" w:rsidRDefault="00EF35F3" w:rsidP="00EF35F3">
      <w:pPr>
        <w:pStyle w:val="EndNoteBibliography"/>
        <w:spacing w:after="0"/>
      </w:pPr>
      <w:r w:rsidRPr="00EF35F3">
        <w:t>352.</w:t>
      </w:r>
      <w:r w:rsidRPr="00EF35F3">
        <w:tab/>
        <w:t xml:space="preserve">Dai AI, Akcali A, Varan C, Demiryurek AT. Prevalence of resistant occipital lobe epilepsy associated with celiac disease in children. </w:t>
      </w:r>
      <w:r w:rsidRPr="00EF35F3">
        <w:rPr>
          <w:i/>
        </w:rPr>
        <w:t>Child's Nervous System</w:t>
      </w:r>
      <w:r w:rsidRPr="00EF35F3">
        <w:t xml:space="preserve"> 2014;</w:t>
      </w:r>
      <w:r w:rsidRPr="00EF35F3">
        <w:rPr>
          <w:b/>
        </w:rPr>
        <w:t>30</w:t>
      </w:r>
      <w:r w:rsidRPr="00EF35F3">
        <w:t xml:space="preserve">:1091-8. </w:t>
      </w:r>
      <w:hyperlink r:id="rId312" w:history="1">
        <w:r w:rsidRPr="00EF35F3">
          <w:rPr>
            <w:rStyle w:val="Hyperlink"/>
          </w:rPr>
          <w:t>https://doi.org/http://dx.doi.org/10.1007/s00381-014-2387-6</w:t>
        </w:r>
      </w:hyperlink>
    </w:p>
    <w:p w14:paraId="546907DC" w14:textId="77777777" w:rsidR="00EF35F3" w:rsidRPr="00EF35F3" w:rsidRDefault="00EF35F3" w:rsidP="00EF35F3">
      <w:pPr>
        <w:pStyle w:val="EndNoteBibliography"/>
        <w:spacing w:after="0"/>
      </w:pPr>
      <w:r w:rsidRPr="00EF35F3">
        <w:t>353.</w:t>
      </w:r>
      <w:r w:rsidRPr="00EF35F3">
        <w:tab/>
        <w:t>Djuric Z, Nagorni A, Jocic-Jakubi B, Dimic M, Novak M, Milicevic R</w:t>
      </w:r>
      <w:r w:rsidRPr="00EF35F3">
        <w:rPr>
          <w:i/>
        </w:rPr>
        <w:t>, et al.</w:t>
      </w:r>
      <w:r w:rsidRPr="00EF35F3">
        <w:t xml:space="preserve"> Celiac disease prevalence in epileptic children from Serbia. </w:t>
      </w:r>
      <w:r w:rsidRPr="00EF35F3">
        <w:rPr>
          <w:i/>
        </w:rPr>
        <w:t>Turkish Journal of Pediatrics</w:t>
      </w:r>
      <w:r w:rsidRPr="00EF35F3">
        <w:t xml:space="preserve"> 2012;</w:t>
      </w:r>
      <w:r w:rsidRPr="00EF35F3">
        <w:rPr>
          <w:b/>
        </w:rPr>
        <w:t>54</w:t>
      </w:r>
      <w:r w:rsidRPr="00EF35F3">
        <w:t>:247-50.</w:t>
      </w:r>
    </w:p>
    <w:p w14:paraId="311FF993" w14:textId="3D4129FA" w:rsidR="00EF35F3" w:rsidRPr="00EF35F3" w:rsidRDefault="00EF35F3" w:rsidP="00EF35F3">
      <w:pPr>
        <w:pStyle w:val="EndNoteBibliography"/>
        <w:spacing w:after="0"/>
      </w:pPr>
      <w:r w:rsidRPr="00C34531">
        <w:rPr>
          <w:lang w:val="it-IT"/>
        </w:rPr>
        <w:t>354.</w:t>
      </w:r>
      <w:r w:rsidRPr="00C34531">
        <w:rPr>
          <w:lang w:val="it-IT"/>
        </w:rPr>
        <w:tab/>
        <w:t xml:space="preserve">Giordano L, Valotti M, Bosetti A, Accorsi P, Caimi L, Imberti L. Celiac Disease-Related Antibodies in Italian Children With Epilepsy. </w:t>
      </w:r>
      <w:r w:rsidRPr="00EF35F3">
        <w:rPr>
          <w:i/>
        </w:rPr>
        <w:t>Pediatric Neurology</w:t>
      </w:r>
      <w:r w:rsidRPr="00EF35F3">
        <w:t xml:space="preserve"> 2009;</w:t>
      </w:r>
      <w:r w:rsidRPr="00EF35F3">
        <w:rPr>
          <w:b/>
        </w:rPr>
        <w:t>41</w:t>
      </w:r>
      <w:r w:rsidRPr="00EF35F3">
        <w:t xml:space="preserve">:34-6. </w:t>
      </w:r>
      <w:hyperlink r:id="rId313" w:history="1">
        <w:r w:rsidRPr="00EF35F3">
          <w:rPr>
            <w:rStyle w:val="Hyperlink"/>
          </w:rPr>
          <w:t>https://doi.org/http://dx.doi.org/10.1016/j.pediatrneurol.2009.02.009</w:t>
        </w:r>
      </w:hyperlink>
    </w:p>
    <w:p w14:paraId="18870F77" w14:textId="77777777" w:rsidR="00EF35F3" w:rsidRPr="00EF35F3" w:rsidRDefault="00EF35F3" w:rsidP="00EF35F3">
      <w:pPr>
        <w:pStyle w:val="EndNoteBibliography"/>
        <w:spacing w:after="0"/>
      </w:pPr>
      <w:r w:rsidRPr="00EF35F3">
        <w:t>355.</w:t>
      </w:r>
      <w:r w:rsidRPr="00EF35F3">
        <w:tab/>
        <w:t xml:space="preserve">Isikay S, Hizli S, Yilmaz K. Prevalence of celiac disease in Turkish children with idiopathic epilepsy. </w:t>
      </w:r>
      <w:r w:rsidRPr="00EF35F3">
        <w:rPr>
          <w:i/>
        </w:rPr>
        <w:t>Iranian Journal of Pediatrics</w:t>
      </w:r>
      <w:r w:rsidRPr="00EF35F3">
        <w:t xml:space="preserve"> 2014;</w:t>
      </w:r>
      <w:r w:rsidRPr="00EF35F3">
        <w:rPr>
          <w:b/>
        </w:rPr>
        <w:t>24</w:t>
      </w:r>
      <w:r w:rsidRPr="00EF35F3">
        <w:t>:280-4.</w:t>
      </w:r>
    </w:p>
    <w:p w14:paraId="59D5EF8D" w14:textId="548DF7D3" w:rsidR="00EF35F3" w:rsidRPr="00EF35F3" w:rsidRDefault="00EF35F3" w:rsidP="00EF35F3">
      <w:pPr>
        <w:pStyle w:val="EndNoteBibliography"/>
        <w:spacing w:after="0"/>
      </w:pPr>
      <w:r w:rsidRPr="00EF35F3">
        <w:t>356.</w:t>
      </w:r>
      <w:r w:rsidRPr="00EF35F3">
        <w:tab/>
        <w:t xml:space="preserve">Isikay S, Kocamaz H. Prevalence of celiac disease in children with idiopathic epilepsy in Southeast Turkey. </w:t>
      </w:r>
      <w:r w:rsidRPr="00EF35F3">
        <w:rPr>
          <w:i/>
        </w:rPr>
        <w:t>Pediatric Neurology</w:t>
      </w:r>
      <w:r w:rsidRPr="00EF35F3">
        <w:t xml:space="preserve"> 2014;</w:t>
      </w:r>
      <w:r w:rsidRPr="00EF35F3">
        <w:rPr>
          <w:b/>
        </w:rPr>
        <w:t>50</w:t>
      </w:r>
      <w:r w:rsidRPr="00EF35F3">
        <w:t xml:space="preserve">:479-81. </w:t>
      </w:r>
      <w:hyperlink r:id="rId314" w:history="1">
        <w:r w:rsidRPr="00EF35F3">
          <w:rPr>
            <w:rStyle w:val="Hyperlink"/>
          </w:rPr>
          <w:t>https://doi.org/http://dx.doi.org/10.1016/j.pediatrneurol.2014.01.021</w:t>
        </w:r>
      </w:hyperlink>
    </w:p>
    <w:p w14:paraId="6C95AD48" w14:textId="2C49BCA5" w:rsidR="00EF35F3" w:rsidRPr="00EF35F3" w:rsidRDefault="00EF35F3" w:rsidP="00EF35F3">
      <w:pPr>
        <w:pStyle w:val="EndNoteBibliography"/>
        <w:spacing w:after="0"/>
      </w:pPr>
      <w:r w:rsidRPr="00EF35F3">
        <w:t>357.</w:t>
      </w:r>
      <w:r w:rsidRPr="00EF35F3">
        <w:tab/>
        <w:t xml:space="preserve">Lahat E, Broide E, Leshem M, Evans S, Scapa E. Prevalence of celiac antibodies in children with neurologic disorders. </w:t>
      </w:r>
      <w:r w:rsidRPr="00EF35F3">
        <w:rPr>
          <w:i/>
        </w:rPr>
        <w:t>Pediatric Neurology</w:t>
      </w:r>
      <w:r w:rsidRPr="00EF35F3">
        <w:t xml:space="preserve"> 2000;</w:t>
      </w:r>
      <w:r w:rsidRPr="00EF35F3">
        <w:rPr>
          <w:b/>
        </w:rPr>
        <w:t>22</w:t>
      </w:r>
      <w:r w:rsidRPr="00EF35F3">
        <w:t xml:space="preserve">:393-6. </w:t>
      </w:r>
      <w:hyperlink r:id="rId315" w:history="1">
        <w:r w:rsidRPr="00EF35F3">
          <w:rPr>
            <w:rStyle w:val="Hyperlink"/>
          </w:rPr>
          <w:t>https://doi.org/http://dx.doi.org/10.1016/S0887-8994%2800%2900129-6</w:t>
        </w:r>
      </w:hyperlink>
    </w:p>
    <w:p w14:paraId="3D5DE374" w14:textId="3C0BE6A4" w:rsidR="00EF35F3" w:rsidRPr="00EF35F3" w:rsidRDefault="00EF35F3" w:rsidP="00EF35F3">
      <w:pPr>
        <w:pStyle w:val="EndNoteBibliography"/>
        <w:spacing w:after="0"/>
      </w:pPr>
      <w:r w:rsidRPr="00EF35F3">
        <w:t>358.</w:t>
      </w:r>
      <w:r w:rsidRPr="00EF35F3">
        <w:tab/>
        <w:t xml:space="preserve">Pratesi R, Gandolfi L, Martins RC, Tauil PL, Nobrega YK, Teixeira WA. Is the prevalence of celiac disease increased among epileptic patients? </w:t>
      </w:r>
      <w:r w:rsidRPr="00EF35F3">
        <w:rPr>
          <w:i/>
        </w:rPr>
        <w:t>Arquivos de Neuro-Psiquiatria</w:t>
      </w:r>
      <w:r w:rsidRPr="00EF35F3">
        <w:t xml:space="preserve"> 2003;</w:t>
      </w:r>
      <w:r w:rsidRPr="00EF35F3">
        <w:rPr>
          <w:b/>
        </w:rPr>
        <w:t>61</w:t>
      </w:r>
      <w:r w:rsidRPr="00EF35F3">
        <w:t xml:space="preserve">:330-4. </w:t>
      </w:r>
      <w:hyperlink r:id="rId316" w:history="1">
        <w:r w:rsidRPr="00EF35F3">
          <w:rPr>
            <w:rStyle w:val="Hyperlink"/>
          </w:rPr>
          <w:t>https://doi.org/http://dx.doi.org/10.1590/S0004-282X2003000300002</w:t>
        </w:r>
      </w:hyperlink>
    </w:p>
    <w:p w14:paraId="6EA55BFA" w14:textId="6C71A28C" w:rsidR="00EF35F3" w:rsidRPr="00EF35F3" w:rsidRDefault="00EF35F3" w:rsidP="00EF35F3">
      <w:pPr>
        <w:pStyle w:val="EndNoteBibliography"/>
        <w:spacing w:after="0"/>
      </w:pPr>
      <w:r w:rsidRPr="00EF35F3">
        <w:lastRenderedPageBreak/>
        <w:t>359.</w:t>
      </w:r>
      <w:r w:rsidRPr="00EF35F3">
        <w:tab/>
        <w:t>Soni S, Agarwal A, Singh A, Gupta V, Khadgawat R, Chaturvedi PK</w:t>
      </w:r>
      <w:r w:rsidRPr="00EF35F3">
        <w:rPr>
          <w:i/>
        </w:rPr>
        <w:t>, et al.</w:t>
      </w:r>
      <w:r w:rsidRPr="00EF35F3">
        <w:t xml:space="preserve"> Prevalence of thyroid autoimmunity in first-degree relatives of patients with celiac disease. </w:t>
      </w:r>
      <w:r w:rsidRPr="00EF35F3">
        <w:rPr>
          <w:i/>
        </w:rPr>
        <w:t>Indian Journal of Gastroenterology</w:t>
      </w:r>
      <w:r w:rsidRPr="00EF35F3">
        <w:t xml:space="preserve"> 2019;</w:t>
      </w:r>
      <w:r w:rsidRPr="00EF35F3">
        <w:rPr>
          <w:b/>
        </w:rPr>
        <w:t>38</w:t>
      </w:r>
      <w:r w:rsidRPr="00EF35F3">
        <w:t xml:space="preserve">:450-5. </w:t>
      </w:r>
      <w:hyperlink r:id="rId317" w:history="1">
        <w:r w:rsidRPr="00EF35F3">
          <w:rPr>
            <w:rStyle w:val="Hyperlink"/>
          </w:rPr>
          <w:t>https://doi.org/http://dx.doi.org/10.1007/s12664-019-00990-3</w:t>
        </w:r>
      </w:hyperlink>
    </w:p>
    <w:p w14:paraId="5F40B56B" w14:textId="5FD3838C" w:rsidR="00EF35F3" w:rsidRPr="00EF35F3" w:rsidRDefault="00EF35F3" w:rsidP="00EF35F3">
      <w:pPr>
        <w:pStyle w:val="EndNoteBibliography"/>
        <w:spacing w:after="0"/>
      </w:pPr>
      <w:r w:rsidRPr="00EF35F3">
        <w:t>360.</w:t>
      </w:r>
      <w:r w:rsidRPr="00EF35F3">
        <w:tab/>
        <w:t xml:space="preserve">Choung RS, Horwath IE, Marietta E, Bublitz JT, Olson JE, Murray JA. PREVALENCE OF CELIAC DISEASE AUTOIMMUNITY AND ASSOCIATED MORBID CONDITIONS IN FIRST-DEGREE RELATIVES OF PATIENTS WITH CELIAC DISEASE. </w:t>
      </w:r>
      <w:r w:rsidRPr="00EF35F3">
        <w:rPr>
          <w:i/>
        </w:rPr>
        <w:t>Gastroenterology</w:t>
      </w:r>
      <w:r w:rsidRPr="00EF35F3">
        <w:t xml:space="preserve"> 2019;</w:t>
      </w:r>
      <w:r w:rsidRPr="00EF35F3">
        <w:rPr>
          <w:b/>
        </w:rPr>
        <w:t>156</w:t>
      </w:r>
      <w:r w:rsidRPr="00EF35F3">
        <w:t xml:space="preserve">:S-136. </w:t>
      </w:r>
      <w:hyperlink r:id="rId318" w:history="1">
        <w:r w:rsidRPr="00EF35F3">
          <w:rPr>
            <w:rStyle w:val="Hyperlink"/>
          </w:rPr>
          <w:t>https://doi.org/http://dx.doi.org/10.1016/S0016-5085%2819%2937130-6</w:t>
        </w:r>
      </w:hyperlink>
    </w:p>
    <w:p w14:paraId="211D8052" w14:textId="529C7AB5" w:rsidR="00EF35F3" w:rsidRPr="00EF35F3" w:rsidRDefault="00EF35F3" w:rsidP="00EF35F3">
      <w:pPr>
        <w:pStyle w:val="EndNoteBibliography"/>
        <w:spacing w:after="0"/>
      </w:pPr>
      <w:r w:rsidRPr="00EF35F3">
        <w:t>361.</w:t>
      </w:r>
      <w:r w:rsidRPr="00EF35F3">
        <w:tab/>
        <w:t>Fasano A, Berti I, Gerarduzzi T, Not T, Colletti RB, Drago S</w:t>
      </w:r>
      <w:r w:rsidRPr="00EF35F3">
        <w:rPr>
          <w:i/>
        </w:rPr>
        <w:t>, et al.</w:t>
      </w:r>
      <w:r w:rsidRPr="00EF35F3">
        <w:t xml:space="preserve"> Prevalence of Celiac disease in at-risk and not-at-risk groups in the United States: A large multicenter study. </w:t>
      </w:r>
      <w:r w:rsidRPr="00EF35F3">
        <w:rPr>
          <w:i/>
        </w:rPr>
        <w:t>Archives of Internal Medicine</w:t>
      </w:r>
      <w:r w:rsidRPr="00EF35F3">
        <w:t xml:space="preserve"> 2003;</w:t>
      </w:r>
      <w:r w:rsidRPr="00EF35F3">
        <w:rPr>
          <w:b/>
        </w:rPr>
        <w:t>163</w:t>
      </w:r>
      <w:r w:rsidRPr="00EF35F3">
        <w:t xml:space="preserve">:286-92. </w:t>
      </w:r>
      <w:hyperlink r:id="rId319" w:history="1">
        <w:r w:rsidRPr="00EF35F3">
          <w:rPr>
            <w:rStyle w:val="Hyperlink"/>
          </w:rPr>
          <w:t>https://doi.org/http://dx.doi.org/10.1001/archinte.163.3.286</w:t>
        </w:r>
      </w:hyperlink>
    </w:p>
    <w:p w14:paraId="0879DFE2" w14:textId="43D727AB" w:rsidR="00EF35F3" w:rsidRPr="00EF35F3" w:rsidRDefault="00EF35F3" w:rsidP="00EF35F3">
      <w:pPr>
        <w:pStyle w:val="EndNoteBibliography"/>
        <w:spacing w:after="0"/>
      </w:pPr>
      <w:r w:rsidRPr="00EF35F3">
        <w:t>362.</w:t>
      </w:r>
      <w:r w:rsidRPr="00EF35F3">
        <w:tab/>
        <w:t>Beser OF, Gulluelli E, Cokugras FC, Erkan T, Kutlu T, Yagci RV</w:t>
      </w:r>
      <w:r w:rsidRPr="00EF35F3">
        <w:rPr>
          <w:i/>
        </w:rPr>
        <w:t>, et al.</w:t>
      </w:r>
      <w:r w:rsidRPr="00EF35F3">
        <w:t xml:space="preserve"> Prevalence and Clinical Features of Celiac Disease in Healthy School-Aged Children. </w:t>
      </w:r>
      <w:r w:rsidRPr="00EF35F3">
        <w:rPr>
          <w:i/>
        </w:rPr>
        <w:t>Digestive Diseases and Sciences</w:t>
      </w:r>
      <w:r w:rsidRPr="00EF35F3">
        <w:t xml:space="preserve"> 2019;</w:t>
      </w:r>
      <w:r w:rsidRPr="00EF35F3">
        <w:rPr>
          <w:b/>
        </w:rPr>
        <w:t>64</w:t>
      </w:r>
      <w:r w:rsidRPr="00EF35F3">
        <w:t xml:space="preserve">:173-81. </w:t>
      </w:r>
      <w:hyperlink r:id="rId320" w:history="1">
        <w:r w:rsidRPr="00EF35F3">
          <w:rPr>
            <w:rStyle w:val="Hyperlink"/>
          </w:rPr>
          <w:t>https://doi.org/10.1007/s10620-018-5320-0</w:t>
        </w:r>
      </w:hyperlink>
    </w:p>
    <w:p w14:paraId="61196B15" w14:textId="38F651D3" w:rsidR="00EF35F3" w:rsidRPr="00EF35F3" w:rsidRDefault="00EF35F3" w:rsidP="00EF35F3">
      <w:pPr>
        <w:pStyle w:val="EndNoteBibliography"/>
        <w:spacing w:after="0"/>
      </w:pPr>
      <w:r w:rsidRPr="00EF35F3">
        <w:t>363.</w:t>
      </w:r>
      <w:r w:rsidRPr="00EF35F3">
        <w:tab/>
        <w:t>Cintado A, Sorell L, Galvan JA, Martinez L, Castaneda C, Fragoso T</w:t>
      </w:r>
      <w:r w:rsidRPr="00EF35F3">
        <w:rPr>
          <w:i/>
        </w:rPr>
        <w:t>, et al.</w:t>
      </w:r>
      <w:r w:rsidRPr="00EF35F3">
        <w:t xml:space="preserve"> HLA DQA1*0501 and DQB 1*02 in Cuban celiac patients. </w:t>
      </w:r>
      <w:r w:rsidRPr="00EF35F3">
        <w:rPr>
          <w:i/>
        </w:rPr>
        <w:t>Human Immunology</w:t>
      </w:r>
      <w:r w:rsidRPr="00EF35F3">
        <w:t xml:space="preserve"> 2006;</w:t>
      </w:r>
      <w:r w:rsidRPr="00EF35F3">
        <w:rPr>
          <w:b/>
        </w:rPr>
        <w:t>67</w:t>
      </w:r>
      <w:r w:rsidRPr="00EF35F3">
        <w:t xml:space="preserve">:639-42. </w:t>
      </w:r>
      <w:hyperlink r:id="rId321" w:history="1">
        <w:r w:rsidRPr="00EF35F3">
          <w:rPr>
            <w:rStyle w:val="Hyperlink"/>
          </w:rPr>
          <w:t>https://doi.org/10.1016/j.humimm.2006.04.009</w:t>
        </w:r>
      </w:hyperlink>
    </w:p>
    <w:p w14:paraId="2831A60C" w14:textId="77777777" w:rsidR="00EF35F3" w:rsidRPr="00EF35F3" w:rsidRDefault="00EF35F3" w:rsidP="00EF35F3">
      <w:pPr>
        <w:pStyle w:val="EndNoteBibliography"/>
        <w:spacing w:after="0"/>
      </w:pPr>
      <w:r w:rsidRPr="00EF35F3">
        <w:t>364.</w:t>
      </w:r>
      <w:r w:rsidRPr="00EF35F3">
        <w:tab/>
        <w:t xml:space="preserve">Kotze LM, Utiyama SR, Nisihara RM, Zeni MP, de Sena MG, Amarante HM. Antiendomysium antibodies in Brazilian patients with celiac disease and their first-degree relatives. </w:t>
      </w:r>
      <w:r w:rsidRPr="00EF35F3">
        <w:rPr>
          <w:i/>
        </w:rPr>
        <w:t>Arquivos de gastroenterologia</w:t>
      </w:r>
      <w:r w:rsidRPr="00EF35F3">
        <w:t xml:space="preserve"> 2001;</w:t>
      </w:r>
      <w:r w:rsidRPr="00EF35F3">
        <w:rPr>
          <w:b/>
        </w:rPr>
        <w:t>38</w:t>
      </w:r>
      <w:r w:rsidRPr="00EF35F3">
        <w:t>:94-103.</w:t>
      </w:r>
    </w:p>
    <w:p w14:paraId="5CF9FB9F" w14:textId="2FA4B935" w:rsidR="00EF35F3" w:rsidRPr="00EF35F3" w:rsidRDefault="00EF35F3" w:rsidP="00EF35F3">
      <w:pPr>
        <w:pStyle w:val="EndNoteBibliography"/>
        <w:spacing w:after="0"/>
      </w:pPr>
      <w:r w:rsidRPr="00EF35F3">
        <w:t>365.</w:t>
      </w:r>
      <w:r w:rsidRPr="00EF35F3">
        <w:tab/>
        <w:t xml:space="preserve">Nass FR, Kotze LMD, Nisiharaa RM, de Messias-Reason LJ, Utiyama SRD. Serological and Clinical Follow-Up of Relatives of Celiac Disease Patients from Southern Brazil. </w:t>
      </w:r>
      <w:r w:rsidRPr="00EF35F3">
        <w:rPr>
          <w:i/>
        </w:rPr>
        <w:t>Digestion</w:t>
      </w:r>
      <w:r w:rsidRPr="00EF35F3">
        <w:t xml:space="preserve"> 2011;</w:t>
      </w:r>
      <w:r w:rsidRPr="00EF35F3">
        <w:rPr>
          <w:b/>
        </w:rPr>
        <w:t>83</w:t>
      </w:r>
      <w:r w:rsidRPr="00EF35F3">
        <w:t xml:space="preserve">:89-95. </w:t>
      </w:r>
      <w:hyperlink r:id="rId322" w:history="1">
        <w:r w:rsidRPr="00EF35F3">
          <w:rPr>
            <w:rStyle w:val="Hyperlink"/>
          </w:rPr>
          <w:t>https://doi.org/10.1159/000320451</w:t>
        </w:r>
      </w:hyperlink>
    </w:p>
    <w:p w14:paraId="1384B16E" w14:textId="77777777" w:rsidR="00EF35F3" w:rsidRPr="00EF35F3" w:rsidRDefault="00EF35F3" w:rsidP="00EF35F3">
      <w:pPr>
        <w:pStyle w:val="EndNoteBibliography"/>
        <w:spacing w:after="0"/>
      </w:pPr>
      <w:r w:rsidRPr="00EF35F3">
        <w:t>366.</w:t>
      </w:r>
      <w:r w:rsidRPr="00EF35F3">
        <w:tab/>
        <w:t xml:space="preserve">Utiyama SRDR, Nass FR, Kotze LMDS, Nisihara RM, Ambrosio AR, De Messias-Reason IT. Serological screening of relatives of celiac disease patients: Antiendomysium antibodies, anti-tissue transglutaminase or both? </w:t>
      </w:r>
      <w:r w:rsidRPr="00EF35F3">
        <w:rPr>
          <w:i/>
        </w:rPr>
        <w:t>Arquivos de Gastroenterologia</w:t>
      </w:r>
      <w:r w:rsidRPr="00EF35F3">
        <w:t xml:space="preserve"> 2007;</w:t>
      </w:r>
      <w:r w:rsidRPr="00EF35F3">
        <w:rPr>
          <w:b/>
        </w:rPr>
        <w:t>44</w:t>
      </w:r>
      <w:r w:rsidRPr="00EF35F3">
        <w:t>:156-61.</w:t>
      </w:r>
    </w:p>
    <w:p w14:paraId="6A155F54" w14:textId="4F6F7F88" w:rsidR="00EF35F3" w:rsidRPr="00EF35F3" w:rsidRDefault="00EF35F3" w:rsidP="00EF35F3">
      <w:pPr>
        <w:pStyle w:val="EndNoteBibliography"/>
        <w:spacing w:after="0"/>
      </w:pPr>
      <w:r w:rsidRPr="00EF35F3">
        <w:t>367.</w:t>
      </w:r>
      <w:r w:rsidRPr="00EF35F3">
        <w:tab/>
        <w:t xml:space="preserve">Hjelle AM, Apalset E, Mielnik P, Nilsen RM, Lundin KEA, Tell GS. Positive IgA against transglutaminase 2 in patients with distal radius and ankle fractures compared to community-based controls. </w:t>
      </w:r>
      <w:r w:rsidRPr="00EF35F3">
        <w:rPr>
          <w:i/>
        </w:rPr>
        <w:t>Scandinavian Journal of Gastroenterology</w:t>
      </w:r>
      <w:r w:rsidRPr="00EF35F3">
        <w:t xml:space="preserve"> 2018;</w:t>
      </w:r>
      <w:r w:rsidRPr="00EF35F3">
        <w:rPr>
          <w:b/>
        </w:rPr>
        <w:t>53</w:t>
      </w:r>
      <w:r w:rsidRPr="00EF35F3">
        <w:t xml:space="preserve">:1212-6. </w:t>
      </w:r>
      <w:hyperlink r:id="rId323" w:history="1">
        <w:r w:rsidRPr="00EF35F3">
          <w:rPr>
            <w:rStyle w:val="Hyperlink"/>
          </w:rPr>
          <w:t>https://doi.org/http://dx.doi.org/10.1080/00365521.2018.1509122</w:t>
        </w:r>
      </w:hyperlink>
    </w:p>
    <w:p w14:paraId="730DD9DE" w14:textId="6CED15A7" w:rsidR="00EF35F3" w:rsidRPr="00EF35F3" w:rsidRDefault="00EF35F3" w:rsidP="00EF35F3">
      <w:pPr>
        <w:pStyle w:val="EndNoteBibliography"/>
        <w:spacing w:after="0"/>
      </w:pPr>
      <w:r w:rsidRPr="00EF35F3">
        <w:t>368.</w:t>
      </w:r>
      <w:r w:rsidRPr="00EF35F3">
        <w:tab/>
        <w:t xml:space="preserve">Hjelle AM, Mielnik P, Apalset E, Tell GS. Celiac disease and positive iga tissue transglutaminase in patients with distal radius or ankle fracture: Interim analysis. </w:t>
      </w:r>
      <w:r w:rsidRPr="00EF35F3">
        <w:rPr>
          <w:i/>
        </w:rPr>
        <w:t>Annals of the Rheumatic Diseases</w:t>
      </w:r>
      <w:r w:rsidRPr="00EF35F3">
        <w:t xml:space="preserve"> 2014;</w:t>
      </w:r>
      <w:r w:rsidRPr="00EF35F3">
        <w:rPr>
          <w:b/>
        </w:rPr>
        <w:t>73</w:t>
      </w:r>
      <w:r w:rsidRPr="00EF35F3">
        <w:t xml:space="preserve">. </w:t>
      </w:r>
      <w:hyperlink r:id="rId324" w:history="1">
        <w:r w:rsidRPr="00EF35F3">
          <w:rPr>
            <w:rStyle w:val="Hyperlink"/>
          </w:rPr>
          <w:t>https://doi.org/http://dx.doi.org/10.1136/annrheumdis-2014-eular.1238</w:t>
        </w:r>
      </w:hyperlink>
    </w:p>
    <w:p w14:paraId="535E8773" w14:textId="21C8A6EA" w:rsidR="00EF35F3" w:rsidRPr="00EF35F3" w:rsidRDefault="00EF35F3" w:rsidP="00EF35F3">
      <w:pPr>
        <w:pStyle w:val="EndNoteBibliography"/>
        <w:spacing w:after="0"/>
      </w:pPr>
      <w:r w:rsidRPr="00EF35F3">
        <w:t>369.</w:t>
      </w:r>
      <w:r w:rsidRPr="00EF35F3">
        <w:tab/>
        <w:t>LeBoff MS, Cobb H, Gao LY, Hawkes W, Yu-Yahiro J, Kolatkar NS</w:t>
      </w:r>
      <w:r w:rsidRPr="00EF35F3">
        <w:rPr>
          <w:i/>
        </w:rPr>
        <w:t>, et al.</w:t>
      </w:r>
      <w:r w:rsidRPr="00EF35F3">
        <w:t xml:space="preserve"> Celiac disease is not increased in women with hip fractures and low vitamin D levels. </w:t>
      </w:r>
      <w:r w:rsidRPr="00EF35F3">
        <w:rPr>
          <w:i/>
        </w:rPr>
        <w:t>Journal of Nutrition, Health and Aging</w:t>
      </w:r>
      <w:r w:rsidRPr="00EF35F3">
        <w:t xml:space="preserve"> 2013;</w:t>
      </w:r>
      <w:r w:rsidRPr="00EF35F3">
        <w:rPr>
          <w:b/>
        </w:rPr>
        <w:t>17</w:t>
      </w:r>
      <w:r w:rsidRPr="00EF35F3">
        <w:t xml:space="preserve">:562-5. </w:t>
      </w:r>
      <w:hyperlink r:id="rId325" w:history="1">
        <w:r w:rsidRPr="00EF35F3">
          <w:rPr>
            <w:rStyle w:val="Hyperlink"/>
          </w:rPr>
          <w:t>https://doi.org/http://dx.doi.org/10.1007/s12603-013-0017-8</w:t>
        </w:r>
      </w:hyperlink>
    </w:p>
    <w:p w14:paraId="1D23B8DF" w14:textId="0E6BB79D" w:rsidR="00EF35F3" w:rsidRPr="00EF35F3" w:rsidRDefault="00EF35F3" w:rsidP="00EF35F3">
      <w:pPr>
        <w:pStyle w:val="EndNoteBibliography"/>
        <w:spacing w:after="0"/>
      </w:pPr>
      <w:r w:rsidRPr="00EF35F3">
        <w:t>370.</w:t>
      </w:r>
      <w:r w:rsidRPr="00EF35F3">
        <w:tab/>
        <w:t>Potter MDE, Walker MM, Hancock S, Holliday E, Brogan G, Jones M</w:t>
      </w:r>
      <w:r w:rsidRPr="00EF35F3">
        <w:rPr>
          <w:i/>
        </w:rPr>
        <w:t>, et al.</w:t>
      </w:r>
      <w:r w:rsidRPr="00EF35F3">
        <w:t xml:space="preserve"> A serological diagnosis of coeliac disease is associated with osteoporosis in older Australian adults. </w:t>
      </w:r>
      <w:r w:rsidRPr="00EF35F3">
        <w:rPr>
          <w:i/>
        </w:rPr>
        <w:t>Nutrients</w:t>
      </w:r>
      <w:r w:rsidRPr="00EF35F3">
        <w:t xml:space="preserve"> 2018;</w:t>
      </w:r>
      <w:r w:rsidRPr="00EF35F3">
        <w:rPr>
          <w:b/>
        </w:rPr>
        <w:t>10</w:t>
      </w:r>
      <w:r w:rsidRPr="00EF35F3">
        <w:t xml:space="preserve">:849. </w:t>
      </w:r>
      <w:hyperlink r:id="rId326" w:history="1">
        <w:r w:rsidRPr="00EF35F3">
          <w:rPr>
            <w:rStyle w:val="Hyperlink"/>
          </w:rPr>
          <w:t>https://doi.org/http://dx.doi.org/10.3390/nu10070849</w:t>
        </w:r>
      </w:hyperlink>
    </w:p>
    <w:p w14:paraId="5C08822B" w14:textId="629E824E" w:rsidR="00EF35F3" w:rsidRPr="00EF35F3" w:rsidRDefault="00EF35F3" w:rsidP="00EF35F3">
      <w:pPr>
        <w:pStyle w:val="EndNoteBibliography"/>
        <w:spacing w:after="0"/>
      </w:pPr>
      <w:r w:rsidRPr="00EF35F3">
        <w:t>371.</w:t>
      </w:r>
      <w:r w:rsidRPr="00EF35F3">
        <w:tab/>
        <w:t xml:space="preserve">Agardh D, Bjorck S, Agardh CD, Lidfeldt J. Coeliac disease-specific tissue transglutaminase autoantibodies are associated with osteoporosis and related fractures in middle-aged women. </w:t>
      </w:r>
      <w:r w:rsidRPr="00EF35F3">
        <w:rPr>
          <w:i/>
        </w:rPr>
        <w:t>Scandinavian Journal of Gastroenterology</w:t>
      </w:r>
      <w:r w:rsidRPr="00EF35F3">
        <w:t xml:space="preserve"> 2009;</w:t>
      </w:r>
      <w:r w:rsidRPr="00EF35F3">
        <w:rPr>
          <w:b/>
        </w:rPr>
        <w:t>44</w:t>
      </w:r>
      <w:r w:rsidRPr="00EF35F3">
        <w:t xml:space="preserve">:571-8. </w:t>
      </w:r>
      <w:hyperlink r:id="rId327" w:history="1">
        <w:r w:rsidRPr="00EF35F3">
          <w:rPr>
            <w:rStyle w:val="Hyperlink"/>
          </w:rPr>
          <w:t>https://doi.org/http://dx.doi.org/10.1080/00365520902718929</w:t>
        </w:r>
      </w:hyperlink>
    </w:p>
    <w:p w14:paraId="751A4BB4" w14:textId="4370E665" w:rsidR="00EF35F3" w:rsidRPr="00EF35F3" w:rsidRDefault="00EF35F3" w:rsidP="00EF35F3">
      <w:pPr>
        <w:pStyle w:val="EndNoteBibliography"/>
        <w:spacing w:after="0"/>
      </w:pPr>
      <w:r w:rsidRPr="00EF35F3">
        <w:t>372.</w:t>
      </w:r>
      <w:r w:rsidRPr="00EF35F3">
        <w:tab/>
        <w:t>West J, Logan RFA, Hill PG, Lloyd A, Lewis S, Hubbard R</w:t>
      </w:r>
      <w:r w:rsidRPr="00EF35F3">
        <w:rPr>
          <w:i/>
        </w:rPr>
        <w:t>, et al.</w:t>
      </w:r>
      <w:r w:rsidRPr="00EF35F3">
        <w:t xml:space="preserve"> Seroprevalence, correlates, and characteristics of undetected coeliac disease in England. </w:t>
      </w:r>
      <w:r w:rsidRPr="00EF35F3">
        <w:rPr>
          <w:i/>
        </w:rPr>
        <w:t>Gut</w:t>
      </w:r>
      <w:r w:rsidRPr="00EF35F3">
        <w:t xml:space="preserve"> 2003;</w:t>
      </w:r>
      <w:r w:rsidRPr="00EF35F3">
        <w:rPr>
          <w:b/>
        </w:rPr>
        <w:t>52</w:t>
      </w:r>
      <w:r w:rsidRPr="00EF35F3">
        <w:t xml:space="preserve">:960-5. </w:t>
      </w:r>
      <w:hyperlink r:id="rId328" w:history="1">
        <w:r w:rsidRPr="00EF35F3">
          <w:rPr>
            <w:rStyle w:val="Hyperlink"/>
          </w:rPr>
          <w:t>https://doi.org/http://dx.doi.org/10.1136/gut.52.7.960</w:t>
        </w:r>
      </w:hyperlink>
    </w:p>
    <w:p w14:paraId="301DD2E8" w14:textId="77FE476F" w:rsidR="00EF35F3" w:rsidRPr="00EF35F3" w:rsidRDefault="00EF35F3" w:rsidP="00EF35F3">
      <w:pPr>
        <w:pStyle w:val="EndNoteBibliography"/>
        <w:spacing w:after="0"/>
      </w:pPr>
      <w:r w:rsidRPr="00EF35F3">
        <w:t>373.</w:t>
      </w:r>
      <w:r w:rsidRPr="00EF35F3">
        <w:tab/>
        <w:t>Choung RS, Larson SA, Khaleghi S, Rubio-Tapia A, Ovsyannikova IG, King KS</w:t>
      </w:r>
      <w:r w:rsidRPr="00EF35F3">
        <w:rPr>
          <w:i/>
        </w:rPr>
        <w:t>, et al.</w:t>
      </w:r>
      <w:r w:rsidRPr="00EF35F3">
        <w:t xml:space="preserve"> Prevalence and Morbidity of Undiagnosed Celiac Disease From a Community-Based Study. </w:t>
      </w:r>
      <w:r w:rsidRPr="00EF35F3">
        <w:rPr>
          <w:i/>
        </w:rPr>
        <w:t>Gastroenterology</w:t>
      </w:r>
      <w:r w:rsidRPr="00EF35F3">
        <w:t xml:space="preserve"> 2017;</w:t>
      </w:r>
      <w:r w:rsidRPr="00EF35F3">
        <w:rPr>
          <w:b/>
        </w:rPr>
        <w:t>152</w:t>
      </w:r>
      <w:r w:rsidRPr="00EF35F3">
        <w:t xml:space="preserve">:830-9. </w:t>
      </w:r>
      <w:hyperlink r:id="rId329" w:history="1">
        <w:r w:rsidRPr="00EF35F3">
          <w:rPr>
            <w:rStyle w:val="Hyperlink"/>
          </w:rPr>
          <w:t>https://doi.org/http://dx.doi.org/10.1053/j.gastro.2016.11.043</w:t>
        </w:r>
      </w:hyperlink>
    </w:p>
    <w:p w14:paraId="7D0075F7" w14:textId="7ACCC083" w:rsidR="00EF35F3" w:rsidRPr="00EF35F3" w:rsidRDefault="00EF35F3" w:rsidP="00EF35F3">
      <w:pPr>
        <w:pStyle w:val="EndNoteBibliography"/>
        <w:spacing w:after="0"/>
      </w:pPr>
      <w:r w:rsidRPr="00EF35F3">
        <w:t>374.</w:t>
      </w:r>
      <w:r w:rsidRPr="00EF35F3">
        <w:tab/>
        <w:t>Walker MM, Murray JA, Ronkainen J, Aro P, Storskrubb T, D'Amato M</w:t>
      </w:r>
      <w:r w:rsidRPr="00EF35F3">
        <w:rPr>
          <w:i/>
        </w:rPr>
        <w:t>, et al.</w:t>
      </w:r>
      <w:r w:rsidRPr="00EF35F3">
        <w:t xml:space="preserve"> Detection of Celiac Disease and Lymphocytic Enteropathy by Parallel Serology and Histopathology in a </w:t>
      </w:r>
      <w:r w:rsidRPr="00EF35F3">
        <w:lastRenderedPageBreak/>
        <w:t xml:space="preserve">Population-Based Study. </w:t>
      </w:r>
      <w:r w:rsidRPr="00EF35F3">
        <w:rPr>
          <w:i/>
        </w:rPr>
        <w:t>Gastroenterology</w:t>
      </w:r>
      <w:r w:rsidRPr="00EF35F3">
        <w:t xml:space="preserve"> 2010;</w:t>
      </w:r>
      <w:r w:rsidRPr="00EF35F3">
        <w:rPr>
          <w:b/>
        </w:rPr>
        <w:t>139</w:t>
      </w:r>
      <w:r w:rsidRPr="00EF35F3">
        <w:t xml:space="preserve">:112-9. </w:t>
      </w:r>
      <w:hyperlink r:id="rId330" w:history="1">
        <w:r w:rsidRPr="00EF35F3">
          <w:rPr>
            <w:rStyle w:val="Hyperlink"/>
          </w:rPr>
          <w:t>https://doi.org/http://dx.doi.org/10.1053/j.gastro.2010.04.007</w:t>
        </w:r>
      </w:hyperlink>
    </w:p>
    <w:p w14:paraId="497B29C0" w14:textId="384DA45C" w:rsidR="00EF35F3" w:rsidRPr="00EF35F3" w:rsidRDefault="00EF35F3" w:rsidP="00EF35F3">
      <w:pPr>
        <w:pStyle w:val="EndNoteBibliography"/>
        <w:spacing w:after="0"/>
      </w:pPr>
      <w:r w:rsidRPr="00EF35F3">
        <w:t>375.</w:t>
      </w:r>
      <w:r w:rsidRPr="00EF35F3">
        <w:tab/>
        <w:t xml:space="preserve">Khudher SN, Mohammed KAS, Ali NH. Influence of HLA-DQ on clinical and serological biomarkers in patients with celiac disease. </w:t>
      </w:r>
      <w:r w:rsidRPr="00EF35F3">
        <w:rPr>
          <w:i/>
        </w:rPr>
        <w:t>Annals of Tropical Medicine and Public Health</w:t>
      </w:r>
      <w:r w:rsidRPr="00EF35F3">
        <w:t xml:space="preserve"> 2020;</w:t>
      </w:r>
      <w:r w:rsidRPr="00EF35F3">
        <w:rPr>
          <w:b/>
        </w:rPr>
        <w:t>23 (16) (no pagination)</w:t>
      </w:r>
      <w:r w:rsidRPr="00EF35F3">
        <w:t xml:space="preserve">. </w:t>
      </w:r>
      <w:hyperlink r:id="rId331" w:history="1">
        <w:r w:rsidRPr="00EF35F3">
          <w:rPr>
            <w:rStyle w:val="Hyperlink"/>
          </w:rPr>
          <w:t>https://doi.org/http://dx.doi.org/10.36295/ASRO.2020.231617</w:t>
        </w:r>
      </w:hyperlink>
    </w:p>
    <w:p w14:paraId="5D4D2118" w14:textId="77777777" w:rsidR="00EF35F3" w:rsidRPr="00EF35F3" w:rsidRDefault="00EF35F3" w:rsidP="00EF35F3">
      <w:pPr>
        <w:pStyle w:val="EndNoteBibliography"/>
        <w:spacing w:after="0"/>
      </w:pPr>
      <w:r w:rsidRPr="00EF35F3">
        <w:t>376.</w:t>
      </w:r>
      <w:r w:rsidRPr="00EF35F3">
        <w:tab/>
        <w:t>Horoldt BS, Leeds JS, Sidhu R, Hopper AD, Robinson K, Toulson B</w:t>
      </w:r>
      <w:r w:rsidRPr="00EF35F3">
        <w:rPr>
          <w:i/>
        </w:rPr>
        <w:t>, et al.</w:t>
      </w:r>
      <w:r w:rsidRPr="00EF35F3">
        <w:t xml:space="preserve"> Is there a relationship between coeliac disease and inflammatory bowel disease? A bidirectional prevalence study with controls. </w:t>
      </w:r>
      <w:r w:rsidRPr="00EF35F3">
        <w:rPr>
          <w:i/>
        </w:rPr>
        <w:t>Gut</w:t>
      </w:r>
      <w:r w:rsidRPr="00EF35F3">
        <w:t xml:space="preserve"> 2006;</w:t>
      </w:r>
      <w:r w:rsidRPr="00EF35F3">
        <w:rPr>
          <w:b/>
        </w:rPr>
        <w:t>55</w:t>
      </w:r>
      <w:r w:rsidRPr="00EF35F3">
        <w:t>:A98-A.</w:t>
      </w:r>
    </w:p>
    <w:p w14:paraId="4FDD529C" w14:textId="618D2A18" w:rsidR="00EF35F3" w:rsidRPr="00EF35F3" w:rsidRDefault="00EF35F3" w:rsidP="00EF35F3">
      <w:pPr>
        <w:pStyle w:val="EndNoteBibliography"/>
        <w:spacing w:after="0"/>
      </w:pPr>
      <w:r w:rsidRPr="00EF35F3">
        <w:t>377.</w:t>
      </w:r>
      <w:r w:rsidRPr="00EF35F3">
        <w:tab/>
        <w:t>Leeds JS, Hoeroldt BS, Sidhu R, Hopper AD, Robinson K, Toulson B</w:t>
      </w:r>
      <w:r w:rsidRPr="00EF35F3">
        <w:rPr>
          <w:i/>
        </w:rPr>
        <w:t>, et al.</w:t>
      </w:r>
      <w:r w:rsidRPr="00EF35F3">
        <w:t xml:space="preserve"> Is there an association between coeliac disease and inflammatory bowel diseases? A study of relative prevalence in comparison with population controls. </w:t>
      </w:r>
      <w:r w:rsidRPr="00EF35F3">
        <w:rPr>
          <w:i/>
        </w:rPr>
        <w:t>Scandinavian Journal of Gastroenterology</w:t>
      </w:r>
      <w:r w:rsidRPr="00EF35F3">
        <w:t xml:space="preserve"> 2007;</w:t>
      </w:r>
      <w:r w:rsidRPr="00EF35F3">
        <w:rPr>
          <w:b/>
        </w:rPr>
        <w:t>42</w:t>
      </w:r>
      <w:r w:rsidRPr="00EF35F3">
        <w:t xml:space="preserve">:1214-20. </w:t>
      </w:r>
      <w:hyperlink r:id="rId332" w:history="1">
        <w:r w:rsidRPr="00EF35F3">
          <w:rPr>
            <w:rStyle w:val="Hyperlink"/>
          </w:rPr>
          <w:t>https://doi.org/10.1080/00365520701365112</w:t>
        </w:r>
      </w:hyperlink>
    </w:p>
    <w:p w14:paraId="7758F1A2" w14:textId="6AFED66E" w:rsidR="00EF35F3" w:rsidRPr="00EF35F3" w:rsidRDefault="00EF35F3" w:rsidP="00EF35F3">
      <w:pPr>
        <w:pStyle w:val="EndNoteBibliography"/>
        <w:spacing w:after="0"/>
      </w:pPr>
      <w:r w:rsidRPr="00EF35F3">
        <w:t>378.</w:t>
      </w:r>
      <w:r w:rsidRPr="00EF35F3">
        <w:tab/>
        <w:t>Watanabe C, Komoto S, Hokari R, Kurihara C, Okada Y, Hozumi H</w:t>
      </w:r>
      <w:r w:rsidRPr="00EF35F3">
        <w:rPr>
          <w:i/>
        </w:rPr>
        <w:t>, et al.</w:t>
      </w:r>
      <w:r w:rsidRPr="00EF35F3">
        <w:t xml:space="preserve"> Prevalence of serum celiac antibody in patients with IBD in Japan. </w:t>
      </w:r>
      <w:r w:rsidRPr="00EF35F3">
        <w:rPr>
          <w:i/>
        </w:rPr>
        <w:t>Journal of Gastroenterology</w:t>
      </w:r>
      <w:r w:rsidRPr="00EF35F3">
        <w:t xml:space="preserve"> 2014;</w:t>
      </w:r>
      <w:r w:rsidRPr="00EF35F3">
        <w:rPr>
          <w:b/>
        </w:rPr>
        <w:t>49</w:t>
      </w:r>
      <w:r w:rsidRPr="00EF35F3">
        <w:t xml:space="preserve">:825-34. </w:t>
      </w:r>
      <w:hyperlink r:id="rId333" w:history="1">
        <w:r w:rsidRPr="00EF35F3">
          <w:rPr>
            <w:rStyle w:val="Hyperlink"/>
          </w:rPr>
          <w:t>https://doi.org/http://dx.doi.org/10.1007/s00535-013-0838-6</w:t>
        </w:r>
      </w:hyperlink>
    </w:p>
    <w:p w14:paraId="2CB81C7D" w14:textId="77777777" w:rsidR="00EF35F3" w:rsidRPr="00EF35F3" w:rsidRDefault="00EF35F3" w:rsidP="00EF35F3">
      <w:pPr>
        <w:pStyle w:val="EndNoteBibliography"/>
        <w:spacing w:after="0"/>
      </w:pPr>
      <w:r w:rsidRPr="00EF35F3">
        <w:t>379.</w:t>
      </w:r>
      <w:r w:rsidRPr="00EF35F3">
        <w:tab/>
        <w:t xml:space="preserve">El-Matary W, Fedorak RN, Senthilselvan A, Spady D. Celiac disease and inflammatory bowel disease in children: Is there a link? </w:t>
      </w:r>
      <w:r w:rsidRPr="00EF35F3">
        <w:rPr>
          <w:i/>
        </w:rPr>
        <w:t>Gastroenterology</w:t>
      </w:r>
      <w:r w:rsidRPr="00EF35F3">
        <w:t xml:space="preserve"> 2012;</w:t>
      </w:r>
      <w:r w:rsidRPr="00EF35F3">
        <w:rPr>
          <w:b/>
        </w:rPr>
        <w:t>142</w:t>
      </w:r>
      <w:r w:rsidRPr="00EF35F3">
        <w:t>:S370-S1.</w:t>
      </w:r>
    </w:p>
    <w:p w14:paraId="6D0D5AC9" w14:textId="21DEAEA2" w:rsidR="00EF35F3" w:rsidRPr="00EF35F3" w:rsidRDefault="00EF35F3" w:rsidP="00EF35F3">
      <w:pPr>
        <w:pStyle w:val="EndNoteBibliography"/>
        <w:spacing w:after="0"/>
      </w:pPr>
      <w:r w:rsidRPr="00EF35F3">
        <w:t>380.</w:t>
      </w:r>
      <w:r w:rsidRPr="00EF35F3">
        <w:tab/>
        <w:t xml:space="preserve">Kull K, Uibo O, Salupere R, Metskula K, Uibo R. High frequency of antigliadin antibodies and absence of antireticulin and antiendomysium antibodies in patients with ulcerative colitis. </w:t>
      </w:r>
      <w:r w:rsidRPr="00EF35F3">
        <w:rPr>
          <w:i/>
        </w:rPr>
        <w:t>Journal of Gastroenterology</w:t>
      </w:r>
      <w:r w:rsidRPr="00EF35F3">
        <w:t xml:space="preserve"> 1999;</w:t>
      </w:r>
      <w:r w:rsidRPr="00EF35F3">
        <w:rPr>
          <w:b/>
        </w:rPr>
        <w:t>34</w:t>
      </w:r>
      <w:r w:rsidRPr="00EF35F3">
        <w:t xml:space="preserve">:61-5. </w:t>
      </w:r>
      <w:hyperlink r:id="rId334" w:history="1">
        <w:r w:rsidRPr="00EF35F3">
          <w:rPr>
            <w:rStyle w:val="Hyperlink"/>
          </w:rPr>
          <w:t>https://doi.org/http://dx.doi.org/10.1007/s005350050217</w:t>
        </w:r>
      </w:hyperlink>
    </w:p>
    <w:p w14:paraId="69F257CE" w14:textId="77777777" w:rsidR="00EF35F3" w:rsidRPr="00EF35F3" w:rsidRDefault="00EF35F3" w:rsidP="00EF35F3">
      <w:pPr>
        <w:pStyle w:val="EndNoteBibliography"/>
        <w:spacing w:after="0"/>
      </w:pPr>
      <w:r w:rsidRPr="00EF35F3">
        <w:t>381.</w:t>
      </w:r>
      <w:r w:rsidRPr="00EF35F3">
        <w:tab/>
        <w:t xml:space="preserve">Mehdi Z, Sakineh E, Mohammad F, Mansour R, Alireza A. Celiac disease: Serologic prevalence in patients with irritable bowel syndrome. </w:t>
      </w:r>
      <w:r w:rsidRPr="00EF35F3">
        <w:rPr>
          <w:i/>
        </w:rPr>
        <w:t>Journal of Research in Medical Sciences</w:t>
      </w:r>
      <w:r w:rsidRPr="00EF35F3">
        <w:t xml:space="preserve"> 2012;</w:t>
      </w:r>
      <w:r w:rsidRPr="00EF35F3">
        <w:rPr>
          <w:b/>
        </w:rPr>
        <w:t>17</w:t>
      </w:r>
      <w:r w:rsidRPr="00EF35F3">
        <w:t>:839-42.</w:t>
      </w:r>
    </w:p>
    <w:p w14:paraId="2C5E4978" w14:textId="6D0C72F2" w:rsidR="00EF35F3" w:rsidRPr="00EF35F3" w:rsidRDefault="00EF35F3" w:rsidP="00EF35F3">
      <w:pPr>
        <w:pStyle w:val="EndNoteBibliography"/>
        <w:spacing w:after="0"/>
      </w:pPr>
      <w:r w:rsidRPr="00EF35F3">
        <w:t>382.</w:t>
      </w:r>
      <w:r w:rsidRPr="00EF35F3">
        <w:tab/>
        <w:t xml:space="preserve">Respondek W, Tomasiuk R, Jarosz M, Traczyk I, Mekus M. Is it reasonable to perform serological tests for celiac disease in patients with irritable bowel syndrome? </w:t>
      </w:r>
      <w:r w:rsidRPr="00EF35F3">
        <w:rPr>
          <w:i/>
        </w:rPr>
        <w:t>Przeglad Gastroenterologiczny</w:t>
      </w:r>
      <w:r w:rsidRPr="00EF35F3">
        <w:t xml:space="preserve"> 2013;</w:t>
      </w:r>
      <w:r w:rsidRPr="00EF35F3">
        <w:rPr>
          <w:b/>
        </w:rPr>
        <w:t>8</w:t>
      </w:r>
      <w:r w:rsidRPr="00EF35F3">
        <w:t xml:space="preserve">:184-90. </w:t>
      </w:r>
      <w:hyperlink r:id="rId335" w:history="1">
        <w:r w:rsidRPr="00EF35F3">
          <w:rPr>
            <w:rStyle w:val="Hyperlink"/>
          </w:rPr>
          <w:t>https://doi.org/http://dx.doi.org/10.5114/pg.2013.36333</w:t>
        </w:r>
      </w:hyperlink>
    </w:p>
    <w:p w14:paraId="38E39D04" w14:textId="53B5D3D2" w:rsidR="00EF35F3" w:rsidRPr="00EF35F3" w:rsidRDefault="00EF35F3" w:rsidP="00EF35F3">
      <w:pPr>
        <w:pStyle w:val="EndNoteBibliography"/>
        <w:spacing w:after="0"/>
      </w:pPr>
      <w:r w:rsidRPr="00EF35F3">
        <w:t>383.</w:t>
      </w:r>
      <w:r w:rsidRPr="00EF35F3">
        <w:tab/>
        <w:t xml:space="preserve">Almazar AE, Talley NJ, Larson JJ, Atkinson EJ, Murray JA, Saito YA. Celiac disease is uncommon in irritable bowel syndrome in the USA. </w:t>
      </w:r>
      <w:r w:rsidRPr="00EF35F3">
        <w:rPr>
          <w:i/>
        </w:rPr>
        <w:t>European Journal of Gastroenterology and Hepatology</w:t>
      </w:r>
      <w:r w:rsidRPr="00EF35F3">
        <w:t xml:space="preserve"> 2018;</w:t>
      </w:r>
      <w:r w:rsidRPr="00EF35F3">
        <w:rPr>
          <w:b/>
        </w:rPr>
        <w:t>30</w:t>
      </w:r>
      <w:r w:rsidRPr="00EF35F3">
        <w:t xml:space="preserve">:149-54. </w:t>
      </w:r>
      <w:hyperlink r:id="rId336" w:history="1">
        <w:r w:rsidRPr="00EF35F3">
          <w:rPr>
            <w:rStyle w:val="Hyperlink"/>
          </w:rPr>
          <w:t>https://doi.org/http://dx.doi.org/10.1097/MEG.0000000000001022</w:t>
        </w:r>
      </w:hyperlink>
    </w:p>
    <w:p w14:paraId="439FB39C" w14:textId="6874F769" w:rsidR="00EF35F3" w:rsidRPr="00EF35F3" w:rsidRDefault="00EF35F3" w:rsidP="00EF35F3">
      <w:pPr>
        <w:pStyle w:val="EndNoteBibliography"/>
        <w:spacing w:after="0"/>
      </w:pPr>
      <w:r w:rsidRPr="00EF35F3">
        <w:t>384.</w:t>
      </w:r>
      <w:r w:rsidRPr="00EF35F3">
        <w:tab/>
        <w:t>Cash BD, Rubenstein JH, Young PE, Gentry A, Nojkov B, Lee D</w:t>
      </w:r>
      <w:r w:rsidRPr="00EF35F3">
        <w:rPr>
          <w:i/>
        </w:rPr>
        <w:t>, et al.</w:t>
      </w:r>
      <w:r w:rsidRPr="00EF35F3">
        <w:t xml:space="preserve"> The prevalence of celiac disease among patients with nonconstipated irritable bowel syndrome is similar to controls. </w:t>
      </w:r>
      <w:r w:rsidRPr="00EF35F3">
        <w:rPr>
          <w:i/>
        </w:rPr>
        <w:t>Gastroenterology</w:t>
      </w:r>
      <w:r w:rsidRPr="00EF35F3">
        <w:t xml:space="preserve"> 2011;</w:t>
      </w:r>
      <w:r w:rsidRPr="00EF35F3">
        <w:rPr>
          <w:b/>
        </w:rPr>
        <w:t>141</w:t>
      </w:r>
      <w:r w:rsidRPr="00EF35F3">
        <w:t xml:space="preserve">:1187-93. </w:t>
      </w:r>
      <w:hyperlink r:id="rId337" w:history="1">
        <w:r w:rsidRPr="00EF35F3">
          <w:rPr>
            <w:rStyle w:val="Hyperlink"/>
          </w:rPr>
          <w:t>https://doi.org/http://dx.doi.org/10.1053/j.gastro.2011.06.084</w:t>
        </w:r>
      </w:hyperlink>
    </w:p>
    <w:p w14:paraId="5A2AAB53" w14:textId="4B8FBB5A" w:rsidR="00EF35F3" w:rsidRPr="00EF35F3" w:rsidRDefault="00EF35F3" w:rsidP="00EF35F3">
      <w:pPr>
        <w:pStyle w:val="EndNoteBibliography"/>
        <w:spacing w:after="0"/>
      </w:pPr>
      <w:r w:rsidRPr="00EF35F3">
        <w:t>385.</w:t>
      </w:r>
      <w:r w:rsidRPr="00EF35F3">
        <w:tab/>
        <w:t xml:space="preserve">Domzal-Magrowska D, Kowalski MK, Szczesniak P, Bulska M, Orszulak-Michalak D, Malecka-Panas E. The prevalence of celiac disease in patients with irritable bowel syndrome and its subtypes. </w:t>
      </w:r>
      <w:r w:rsidRPr="00EF35F3">
        <w:rPr>
          <w:i/>
        </w:rPr>
        <w:t>Przeglad Gastroenterologiczny</w:t>
      </w:r>
      <w:r w:rsidRPr="00EF35F3">
        <w:t xml:space="preserve"> 2016;</w:t>
      </w:r>
      <w:r w:rsidRPr="00EF35F3">
        <w:rPr>
          <w:b/>
        </w:rPr>
        <w:t>11</w:t>
      </w:r>
      <w:r w:rsidRPr="00EF35F3">
        <w:t xml:space="preserve">:276-81. </w:t>
      </w:r>
      <w:hyperlink r:id="rId338" w:history="1">
        <w:r w:rsidRPr="00EF35F3">
          <w:rPr>
            <w:rStyle w:val="Hyperlink"/>
          </w:rPr>
          <w:t>https://doi.org/http://dx.doi.org/10.5114/pg.2016.57941</w:t>
        </w:r>
      </w:hyperlink>
    </w:p>
    <w:p w14:paraId="649305C9" w14:textId="3BD87164" w:rsidR="00EF35F3" w:rsidRPr="00EF35F3" w:rsidRDefault="00EF35F3" w:rsidP="00EF35F3">
      <w:pPr>
        <w:pStyle w:val="EndNoteBibliography"/>
        <w:spacing w:after="0"/>
      </w:pPr>
      <w:r w:rsidRPr="00EF35F3">
        <w:t>386.</w:t>
      </w:r>
      <w:r w:rsidRPr="00EF35F3">
        <w:tab/>
        <w:t>Kou GJ, Guo J, Zuo XL, Li CQ, Liu C, Ji R</w:t>
      </w:r>
      <w:r w:rsidRPr="00EF35F3">
        <w:rPr>
          <w:i/>
        </w:rPr>
        <w:t>, et al.</w:t>
      </w:r>
      <w:r w:rsidRPr="00EF35F3">
        <w:t xml:space="preserve"> Prevalence of celiac disease in adult Chinese patients with diarrhea-predominant irritable bowel syndrome: A prospective, controlled, cohort study. </w:t>
      </w:r>
      <w:r w:rsidRPr="00EF35F3">
        <w:rPr>
          <w:i/>
        </w:rPr>
        <w:t>Journal of Digestive Diseases</w:t>
      </w:r>
      <w:r w:rsidRPr="00EF35F3">
        <w:t xml:space="preserve"> 2018;</w:t>
      </w:r>
      <w:r w:rsidRPr="00EF35F3">
        <w:rPr>
          <w:b/>
        </w:rPr>
        <w:t>19</w:t>
      </w:r>
      <w:r w:rsidRPr="00EF35F3">
        <w:t xml:space="preserve">:136-43. </w:t>
      </w:r>
      <w:hyperlink r:id="rId339" w:history="1">
        <w:r w:rsidRPr="00EF35F3">
          <w:rPr>
            <w:rStyle w:val="Hyperlink"/>
          </w:rPr>
          <w:t>https://doi.org/http://dx.doi.org/10.1111/1751-2980.12587</w:t>
        </w:r>
      </w:hyperlink>
    </w:p>
    <w:p w14:paraId="200AB327" w14:textId="77777777" w:rsidR="00EF35F3" w:rsidRPr="00EF35F3" w:rsidRDefault="00EF35F3" w:rsidP="00EF35F3">
      <w:pPr>
        <w:pStyle w:val="EndNoteBibliography"/>
        <w:spacing w:after="0"/>
      </w:pPr>
      <w:r w:rsidRPr="00EF35F3">
        <w:t>387.</w:t>
      </w:r>
      <w:r w:rsidRPr="00EF35F3">
        <w:tab/>
        <w:t xml:space="preserve">Saito-Loftus Y, Brantner T, Zimmerman J, Talley N, Murray J. The prevalence of positive serologic tests for celiac sprue does not differ between irritable bowel syndrome (IBS) patients compared with controls. </w:t>
      </w:r>
      <w:r w:rsidRPr="00EF35F3">
        <w:rPr>
          <w:i/>
        </w:rPr>
        <w:t>American Journal of Gastroenterology</w:t>
      </w:r>
      <w:r w:rsidRPr="00EF35F3">
        <w:t xml:space="preserve"> 2008;</w:t>
      </w:r>
      <w:r w:rsidRPr="00EF35F3">
        <w:rPr>
          <w:b/>
        </w:rPr>
        <w:t>103</w:t>
      </w:r>
      <w:r w:rsidRPr="00EF35F3">
        <w:t>:S472-S.</w:t>
      </w:r>
    </w:p>
    <w:p w14:paraId="76FD61EB" w14:textId="6E351D28" w:rsidR="00EF35F3" w:rsidRPr="00EF35F3" w:rsidRDefault="00EF35F3" w:rsidP="00EF35F3">
      <w:pPr>
        <w:pStyle w:val="EndNoteBibliography"/>
        <w:spacing w:after="0"/>
      </w:pPr>
      <w:r w:rsidRPr="00EF35F3">
        <w:t>388.</w:t>
      </w:r>
      <w:r w:rsidRPr="00EF35F3">
        <w:tab/>
        <w:t>Sanchez-Vargas LA, Thomas-Dupont P, Torres-Aguilera M, Azamar-Jacome AA, Ramirez-Ceervanes KL, Aedo-Garces MR</w:t>
      </w:r>
      <w:r w:rsidRPr="00EF35F3">
        <w:rPr>
          <w:i/>
        </w:rPr>
        <w:t>, et al.</w:t>
      </w:r>
      <w:r w:rsidRPr="00EF35F3">
        <w:t xml:space="preserve"> Prevalence of celiac disease and related antibodies in patients diagnosed with irritable bowel syndrome according to the Rome III criteria. A case-control study. </w:t>
      </w:r>
      <w:r w:rsidRPr="00EF35F3">
        <w:rPr>
          <w:i/>
        </w:rPr>
        <w:t>Neurogastroenterology and Motility</w:t>
      </w:r>
      <w:r w:rsidRPr="00EF35F3">
        <w:t xml:space="preserve"> 2016;</w:t>
      </w:r>
      <w:r w:rsidRPr="00EF35F3">
        <w:rPr>
          <w:b/>
        </w:rPr>
        <w:t>28</w:t>
      </w:r>
      <w:r w:rsidRPr="00EF35F3">
        <w:t xml:space="preserve">:994-1000. </w:t>
      </w:r>
      <w:hyperlink r:id="rId340" w:history="1">
        <w:r w:rsidRPr="00EF35F3">
          <w:rPr>
            <w:rStyle w:val="Hyperlink"/>
          </w:rPr>
          <w:t>https://doi.org/http://dx.doi.org/10.1111/nmo.12799</w:t>
        </w:r>
      </w:hyperlink>
    </w:p>
    <w:p w14:paraId="3006291A" w14:textId="2A8487E5" w:rsidR="00EF35F3" w:rsidRPr="00EF35F3" w:rsidRDefault="00EF35F3" w:rsidP="00EF35F3">
      <w:pPr>
        <w:pStyle w:val="EndNoteBibliography"/>
        <w:spacing w:after="0"/>
      </w:pPr>
      <w:r w:rsidRPr="00EF35F3">
        <w:t>389.</w:t>
      </w:r>
      <w:r w:rsidRPr="00EF35F3">
        <w:tab/>
        <w:t>Sanders DS, Carter MJ, Hurlstone DP, Pearce A, Ward AM, McAlindon ME</w:t>
      </w:r>
      <w:r w:rsidRPr="00EF35F3">
        <w:rPr>
          <w:i/>
        </w:rPr>
        <w:t>, et al.</w:t>
      </w:r>
      <w:r w:rsidRPr="00EF35F3">
        <w:t xml:space="preserve"> Association of adult coeliac disease with irritable bowel syndrome: A case-control study in patients fulfilling </w:t>
      </w:r>
      <w:r w:rsidRPr="00EF35F3">
        <w:lastRenderedPageBreak/>
        <w:t xml:space="preserve">ROME II criteria referred to secondary care. </w:t>
      </w:r>
      <w:r w:rsidRPr="00EF35F3">
        <w:rPr>
          <w:i/>
        </w:rPr>
        <w:t>Lancet</w:t>
      </w:r>
      <w:r w:rsidRPr="00EF35F3">
        <w:t xml:space="preserve"> 2001;</w:t>
      </w:r>
      <w:r w:rsidRPr="00EF35F3">
        <w:rPr>
          <w:b/>
        </w:rPr>
        <w:t>358</w:t>
      </w:r>
      <w:r w:rsidRPr="00EF35F3">
        <w:t xml:space="preserve">:1504-8. </w:t>
      </w:r>
      <w:hyperlink r:id="rId341" w:history="1">
        <w:r w:rsidRPr="00EF35F3">
          <w:rPr>
            <w:rStyle w:val="Hyperlink"/>
          </w:rPr>
          <w:t>https://doi.org/http://dx.doi.org/10.1016/S0140-6736%2801%2906581-3</w:t>
        </w:r>
      </w:hyperlink>
    </w:p>
    <w:p w14:paraId="6FF876D6" w14:textId="77777777" w:rsidR="00EF35F3" w:rsidRPr="00EF35F3" w:rsidRDefault="00EF35F3" w:rsidP="00EF35F3">
      <w:pPr>
        <w:pStyle w:val="EndNoteBibliography"/>
        <w:spacing w:after="0"/>
      </w:pPr>
      <w:r w:rsidRPr="00EF35F3">
        <w:t>390.</w:t>
      </w:r>
      <w:r w:rsidRPr="00EF35F3">
        <w:tab/>
        <w:t>Vargas LAS, Garces M, Dupont PT, Meixueiro A, Jacome AAA, Roesch FB</w:t>
      </w:r>
      <w:r w:rsidRPr="00EF35F3">
        <w:rPr>
          <w:i/>
        </w:rPr>
        <w:t>, et al.</w:t>
      </w:r>
      <w:r w:rsidRPr="00EF35F3">
        <w:t xml:space="preserve"> Prevalence of Antibodies Related to Celiac Disease (CD) in Patients With Irritable Bowel Syndrome (IBS) According to ROME III Criteria. A Case-Control Study. </w:t>
      </w:r>
      <w:r w:rsidRPr="00EF35F3">
        <w:rPr>
          <w:i/>
        </w:rPr>
        <w:t>Gastroenterology</w:t>
      </w:r>
      <w:r w:rsidRPr="00EF35F3">
        <w:t xml:space="preserve"> 2013;</w:t>
      </w:r>
      <w:r w:rsidRPr="00EF35F3">
        <w:rPr>
          <w:b/>
        </w:rPr>
        <w:t>144</w:t>
      </w:r>
      <w:r w:rsidRPr="00EF35F3">
        <w:t>:S252-S.</w:t>
      </w:r>
    </w:p>
    <w:p w14:paraId="36388CD3" w14:textId="1FB5F9E5" w:rsidR="00EF35F3" w:rsidRPr="00EF35F3" w:rsidRDefault="00EF35F3" w:rsidP="00EF35F3">
      <w:pPr>
        <w:pStyle w:val="EndNoteBibliography"/>
        <w:spacing w:after="0"/>
      </w:pPr>
      <w:r w:rsidRPr="00EF35F3">
        <w:t>391.</w:t>
      </w:r>
      <w:r w:rsidRPr="00EF35F3">
        <w:tab/>
        <w:t>Wang H, Zhou G, Luo L, Crusius JBA, Yuan A, Kou J</w:t>
      </w:r>
      <w:r w:rsidRPr="00EF35F3">
        <w:rPr>
          <w:i/>
        </w:rPr>
        <w:t>, et al.</w:t>
      </w:r>
      <w:r w:rsidRPr="00EF35F3">
        <w:t xml:space="preserve"> Serological screening for celiac disease in adult Chinese patients with diarrhea predominant irritable bowel syndrome. </w:t>
      </w:r>
      <w:r w:rsidRPr="00EF35F3">
        <w:rPr>
          <w:i/>
        </w:rPr>
        <w:t>Medicine (United States)</w:t>
      </w:r>
      <w:r w:rsidRPr="00EF35F3">
        <w:t xml:space="preserve"> 2015;</w:t>
      </w:r>
      <w:r w:rsidRPr="00EF35F3">
        <w:rPr>
          <w:b/>
        </w:rPr>
        <w:t>94</w:t>
      </w:r>
      <w:r w:rsidRPr="00EF35F3">
        <w:t xml:space="preserve">:e1779. </w:t>
      </w:r>
      <w:hyperlink r:id="rId342" w:history="1">
        <w:r w:rsidRPr="00EF35F3">
          <w:rPr>
            <w:rStyle w:val="Hyperlink"/>
          </w:rPr>
          <w:t>https://doi.org/http://dx.doi.org/10.1097/MD.0000000000001779</w:t>
        </w:r>
      </w:hyperlink>
    </w:p>
    <w:p w14:paraId="57D6D985" w14:textId="77777777" w:rsidR="00EF35F3" w:rsidRPr="00EF35F3" w:rsidRDefault="00EF35F3" w:rsidP="00EF35F3">
      <w:pPr>
        <w:pStyle w:val="EndNoteBibliography"/>
        <w:spacing w:after="0"/>
      </w:pPr>
      <w:r w:rsidRPr="00EF35F3">
        <w:t>392.</w:t>
      </w:r>
      <w:r w:rsidRPr="00EF35F3">
        <w:tab/>
        <w:t xml:space="preserve">Khayyat YM. Undiagnosed Celiac Disease In Patients Presenting With Irritable Bowel Syndrome Symptoms. </w:t>
      </w:r>
      <w:r w:rsidRPr="00EF35F3">
        <w:rPr>
          <w:i/>
        </w:rPr>
        <w:t>Journal of Ayub Medical College, Abbottabad: JAMC</w:t>
      </w:r>
      <w:r w:rsidRPr="00EF35F3">
        <w:t xml:space="preserve"> 2020;</w:t>
      </w:r>
      <w:r w:rsidRPr="00EF35F3">
        <w:rPr>
          <w:b/>
        </w:rPr>
        <w:t>32</w:t>
      </w:r>
      <w:r w:rsidRPr="00EF35F3">
        <w:t>:18-23.</w:t>
      </w:r>
    </w:p>
    <w:p w14:paraId="6D58D2D5" w14:textId="7247B988" w:rsidR="00EF35F3" w:rsidRPr="00EF35F3" w:rsidRDefault="00EF35F3" w:rsidP="00EF35F3">
      <w:pPr>
        <w:pStyle w:val="EndNoteBibliography"/>
        <w:spacing w:after="0"/>
      </w:pPr>
      <w:r w:rsidRPr="00EF35F3">
        <w:t>393.</w:t>
      </w:r>
      <w:r w:rsidRPr="00EF35F3">
        <w:tab/>
        <w:t>Olen O, Sandstrom O, Myleus A, Rosen A, Carlsson A, Hogberg L</w:t>
      </w:r>
      <w:r w:rsidRPr="00EF35F3">
        <w:rPr>
          <w:i/>
        </w:rPr>
        <w:t>, et al.</w:t>
      </w:r>
      <w:r w:rsidRPr="00EF35F3">
        <w:t xml:space="preserve"> Functional gastrointestinal disorders and the association to celiac disease-a population based screening study in children. </w:t>
      </w:r>
      <w:r w:rsidRPr="00EF35F3">
        <w:rPr>
          <w:i/>
        </w:rPr>
        <w:t>Gastroenterology</w:t>
      </w:r>
      <w:r w:rsidRPr="00EF35F3">
        <w:t xml:space="preserve"> 2014;</w:t>
      </w:r>
      <w:r w:rsidRPr="00EF35F3">
        <w:rPr>
          <w:b/>
        </w:rPr>
        <w:t>146</w:t>
      </w:r>
      <w:r w:rsidRPr="00EF35F3">
        <w:t xml:space="preserve">:S-173. </w:t>
      </w:r>
      <w:hyperlink r:id="rId343" w:history="1">
        <w:r w:rsidRPr="00EF35F3">
          <w:rPr>
            <w:rStyle w:val="Hyperlink"/>
          </w:rPr>
          <w:t>https://doi.org/http://dx.doi.org/10.1016/S0016-5085%2814%2960611-9</w:t>
        </w:r>
      </w:hyperlink>
    </w:p>
    <w:p w14:paraId="04E3926A" w14:textId="6AE4F18D" w:rsidR="00EF35F3" w:rsidRPr="00C34531" w:rsidRDefault="00EF35F3" w:rsidP="00EF35F3">
      <w:pPr>
        <w:pStyle w:val="EndNoteBibliography"/>
        <w:spacing w:after="0"/>
        <w:rPr>
          <w:lang w:val="it-IT"/>
        </w:rPr>
      </w:pPr>
      <w:r w:rsidRPr="00EF35F3">
        <w:t>394.</w:t>
      </w:r>
      <w:r w:rsidRPr="00EF35F3">
        <w:tab/>
        <w:t>Chatzicostas C, Roussomoustakaki M, Drygiannakis D, Niniraki M, Tzardi M, Koulentaki M</w:t>
      </w:r>
      <w:r w:rsidRPr="00EF35F3">
        <w:rPr>
          <w:i/>
        </w:rPr>
        <w:t>, et al.</w:t>
      </w:r>
      <w:r w:rsidRPr="00EF35F3">
        <w:t xml:space="preserve"> Primary biliary cirrhosis and autoimmune cholangitis are not associated with coeliac disease in Crete. </w:t>
      </w:r>
      <w:r w:rsidRPr="00C34531">
        <w:rPr>
          <w:i/>
          <w:lang w:val="it-IT"/>
        </w:rPr>
        <w:t>BMC Gastroenterology</w:t>
      </w:r>
      <w:r w:rsidRPr="00C34531">
        <w:rPr>
          <w:lang w:val="it-IT"/>
        </w:rPr>
        <w:t xml:space="preserve"> 2002;</w:t>
      </w:r>
      <w:r w:rsidRPr="00C34531">
        <w:rPr>
          <w:b/>
          <w:lang w:val="it-IT"/>
        </w:rPr>
        <w:t>2</w:t>
      </w:r>
      <w:r w:rsidRPr="00C34531">
        <w:rPr>
          <w:lang w:val="it-IT"/>
        </w:rPr>
        <w:t xml:space="preserve">:5. </w:t>
      </w:r>
      <w:hyperlink r:id="rId344" w:history="1">
        <w:r w:rsidRPr="00C34531">
          <w:rPr>
            <w:rStyle w:val="Hyperlink"/>
            <w:lang w:val="it-IT"/>
          </w:rPr>
          <w:t>https://doi.org/http://dx.doi.org/10.1186/1471-230X-2-5</w:t>
        </w:r>
      </w:hyperlink>
    </w:p>
    <w:p w14:paraId="6EAF0E24" w14:textId="4554F17B" w:rsidR="00EF35F3" w:rsidRPr="00EF35F3" w:rsidRDefault="00EF35F3" w:rsidP="00EF35F3">
      <w:pPr>
        <w:pStyle w:val="EndNoteBibliography"/>
        <w:spacing w:after="0"/>
      </w:pPr>
      <w:r w:rsidRPr="00C34531">
        <w:rPr>
          <w:lang w:val="it-IT"/>
        </w:rPr>
        <w:t>395.</w:t>
      </w:r>
      <w:r w:rsidRPr="00C34531">
        <w:rPr>
          <w:lang w:val="it-IT"/>
        </w:rPr>
        <w:tab/>
        <w:t>Durante-Mangoni E, Iardino P, Resse M, Cesaro G, Sica A, Farzati B</w:t>
      </w:r>
      <w:r w:rsidRPr="00C34531">
        <w:rPr>
          <w:i/>
          <w:lang w:val="it-IT"/>
        </w:rPr>
        <w:t>, et al.</w:t>
      </w:r>
      <w:r w:rsidRPr="00C34531">
        <w:rPr>
          <w:lang w:val="it-IT"/>
        </w:rPr>
        <w:t xml:space="preserve"> </w:t>
      </w:r>
      <w:r w:rsidRPr="00EF35F3">
        <w:t xml:space="preserve">Silent celiac disease in chronic hepatitis C - Impact of interferon treatment on the disease onset and clinical outcome. </w:t>
      </w:r>
      <w:r w:rsidRPr="00EF35F3">
        <w:rPr>
          <w:i/>
        </w:rPr>
        <w:t>Journal of Clinical Gastroenterology</w:t>
      </w:r>
      <w:r w:rsidRPr="00EF35F3">
        <w:t xml:space="preserve"> 2004;</w:t>
      </w:r>
      <w:r w:rsidRPr="00EF35F3">
        <w:rPr>
          <w:b/>
        </w:rPr>
        <w:t>38</w:t>
      </w:r>
      <w:r w:rsidRPr="00EF35F3">
        <w:t xml:space="preserve">:901-5. </w:t>
      </w:r>
      <w:hyperlink r:id="rId345" w:history="1">
        <w:r w:rsidRPr="00EF35F3">
          <w:rPr>
            <w:rStyle w:val="Hyperlink"/>
          </w:rPr>
          <w:t>https://doi.org/10.1097/00004836-200411000-00014</w:t>
        </w:r>
      </w:hyperlink>
    </w:p>
    <w:p w14:paraId="05BA1F26" w14:textId="77777777" w:rsidR="00EF35F3" w:rsidRPr="00EF35F3" w:rsidRDefault="00EF35F3" w:rsidP="00EF35F3">
      <w:pPr>
        <w:pStyle w:val="EndNoteBibliography"/>
        <w:spacing w:after="0"/>
      </w:pPr>
      <w:r w:rsidRPr="00EF35F3">
        <w:t>396.</w:t>
      </w:r>
      <w:r w:rsidRPr="00EF35F3">
        <w:tab/>
        <w:t>Hernandez L, Johnson TC, Naiyer AJ, Kryszak D, Ciaccio EJ, Min A</w:t>
      </w:r>
      <w:r w:rsidRPr="00EF35F3">
        <w:rPr>
          <w:i/>
        </w:rPr>
        <w:t>, et al.</w:t>
      </w:r>
      <w:r w:rsidRPr="00EF35F3">
        <w:t xml:space="preserve"> Chronic hepatitis C virus and celiac disease, is there an association? </w:t>
      </w:r>
      <w:r w:rsidRPr="00EF35F3">
        <w:rPr>
          <w:i/>
        </w:rPr>
        <w:t>Digestive diseases and sciences</w:t>
      </w:r>
      <w:r w:rsidRPr="00EF35F3">
        <w:t xml:space="preserve"> 2008;</w:t>
      </w:r>
      <w:r w:rsidRPr="00EF35F3">
        <w:rPr>
          <w:b/>
        </w:rPr>
        <w:t>53</w:t>
      </w:r>
      <w:r w:rsidRPr="00EF35F3">
        <w:t>:256-61.</w:t>
      </w:r>
    </w:p>
    <w:p w14:paraId="6F7A42C0" w14:textId="5DE003F3" w:rsidR="00EF35F3" w:rsidRPr="00EF35F3" w:rsidRDefault="00EF35F3" w:rsidP="00EF35F3">
      <w:pPr>
        <w:pStyle w:val="EndNoteBibliography"/>
        <w:spacing w:after="0"/>
      </w:pPr>
      <w:r w:rsidRPr="00EF35F3">
        <w:t>397.</w:t>
      </w:r>
      <w:r w:rsidRPr="00EF35F3">
        <w:tab/>
        <w:t xml:space="preserve">Sjoberg K, Lindgren S, Eriksson S. Frequent occurrence of non-specific gliadin antibodies in chronic liver disease: Endomysial but not gliadin antibodies predict coeliac disease in patients with chronic liver diseases. </w:t>
      </w:r>
      <w:r w:rsidRPr="00EF35F3">
        <w:rPr>
          <w:i/>
        </w:rPr>
        <w:t>Scandinavian Journal of Gastroenterology</w:t>
      </w:r>
      <w:r w:rsidRPr="00EF35F3">
        <w:t xml:space="preserve"> 1997;</w:t>
      </w:r>
      <w:r w:rsidRPr="00EF35F3">
        <w:rPr>
          <w:b/>
        </w:rPr>
        <w:t>32</w:t>
      </w:r>
      <w:r w:rsidRPr="00EF35F3">
        <w:t xml:space="preserve">:1162-7. </w:t>
      </w:r>
      <w:hyperlink r:id="rId346" w:history="1">
        <w:r w:rsidRPr="00EF35F3">
          <w:rPr>
            <w:rStyle w:val="Hyperlink"/>
          </w:rPr>
          <w:t>https://doi.org/http://dx.doi.org/10.3109/00365529709002997</w:t>
        </w:r>
      </w:hyperlink>
    </w:p>
    <w:p w14:paraId="579E64DD" w14:textId="2520F579" w:rsidR="00EF35F3" w:rsidRPr="00EF35F3" w:rsidRDefault="00EF35F3" w:rsidP="00EF35F3">
      <w:pPr>
        <w:pStyle w:val="EndNoteBibliography"/>
        <w:spacing w:after="0"/>
      </w:pPr>
      <w:r w:rsidRPr="00EF35F3">
        <w:t>398.</w:t>
      </w:r>
      <w:r w:rsidRPr="00EF35F3">
        <w:tab/>
        <w:t xml:space="preserve">Yuan J, Gao J, Yao Y, Chen H. Serologic testing for celiac disease in young people with elevated transaminases. </w:t>
      </w:r>
      <w:r w:rsidRPr="00EF35F3">
        <w:rPr>
          <w:i/>
        </w:rPr>
        <w:t>Turkish Journal of Medical Sciences</w:t>
      </w:r>
      <w:r w:rsidRPr="00EF35F3">
        <w:t xml:space="preserve"> 2015;</w:t>
      </w:r>
      <w:r w:rsidRPr="00EF35F3">
        <w:rPr>
          <w:b/>
        </w:rPr>
        <w:t>45</w:t>
      </w:r>
      <w:r w:rsidRPr="00EF35F3">
        <w:t xml:space="preserve">:668-73. </w:t>
      </w:r>
      <w:hyperlink r:id="rId347" w:history="1">
        <w:r w:rsidRPr="00EF35F3">
          <w:rPr>
            <w:rStyle w:val="Hyperlink"/>
          </w:rPr>
          <w:t>https://doi.org/http://dx.doi.org/10.3906/sag-1403-127</w:t>
        </w:r>
      </w:hyperlink>
    </w:p>
    <w:p w14:paraId="1944515B" w14:textId="4FB78575" w:rsidR="00EF35F3" w:rsidRPr="00EF35F3" w:rsidRDefault="00EF35F3" w:rsidP="00EF35F3">
      <w:pPr>
        <w:pStyle w:val="EndNoteBibliography"/>
        <w:spacing w:after="0"/>
      </w:pPr>
      <w:r w:rsidRPr="00EF35F3">
        <w:t>399.</w:t>
      </w:r>
      <w:r w:rsidRPr="00EF35F3">
        <w:tab/>
        <w:t xml:space="preserve">El-Shabrawi M, El-Karaksy H, Mohsen N, Isa M, Al-Biltagi M, El-Ansari M. Celiac disease in children and adolescents with autoimmune hepatitis: A single-centre experience. </w:t>
      </w:r>
      <w:r w:rsidRPr="00EF35F3">
        <w:rPr>
          <w:i/>
        </w:rPr>
        <w:t>Journal of Tropical Pediatrics</w:t>
      </w:r>
      <w:r w:rsidRPr="00EF35F3">
        <w:t xml:space="preserve"> 2011;</w:t>
      </w:r>
      <w:r w:rsidRPr="00EF35F3">
        <w:rPr>
          <w:b/>
        </w:rPr>
        <w:t>57</w:t>
      </w:r>
      <w:r w:rsidRPr="00EF35F3">
        <w:t xml:space="preserve">:104-8. </w:t>
      </w:r>
      <w:hyperlink r:id="rId348" w:history="1">
        <w:r w:rsidRPr="00EF35F3">
          <w:rPr>
            <w:rStyle w:val="Hyperlink"/>
          </w:rPr>
          <w:t>https://doi.org/http://dx.doi.org/10.1093/tropej/fmq057</w:t>
        </w:r>
      </w:hyperlink>
    </w:p>
    <w:p w14:paraId="5B426831" w14:textId="77777777" w:rsidR="00EF35F3" w:rsidRPr="00EF35F3" w:rsidRDefault="00EF35F3" w:rsidP="00EF35F3">
      <w:pPr>
        <w:pStyle w:val="EndNoteBibliography"/>
        <w:spacing w:after="0"/>
      </w:pPr>
      <w:r w:rsidRPr="00EF35F3">
        <w:t>400.</w:t>
      </w:r>
      <w:r w:rsidRPr="00EF35F3">
        <w:tab/>
        <w:t xml:space="preserve">Oana B, Laura O, Ioan S, Tamara M, Otilia M. Celiac disease prevalence among children with autoimmune hepatitis and autoimmune thyroid disorders. A 10-years single centre exp erience. </w:t>
      </w:r>
      <w:r w:rsidRPr="00EF35F3">
        <w:rPr>
          <w:i/>
        </w:rPr>
        <w:t>Journal of Gastrointestinal and Liver Diseases</w:t>
      </w:r>
      <w:r w:rsidRPr="00EF35F3">
        <w:t xml:space="preserve"> 2018;</w:t>
      </w:r>
      <w:r w:rsidRPr="00EF35F3">
        <w:rPr>
          <w:b/>
        </w:rPr>
        <w:t>27 (Supplement 2)</w:t>
      </w:r>
      <w:r w:rsidRPr="00EF35F3">
        <w:t>:79.</w:t>
      </w:r>
    </w:p>
    <w:p w14:paraId="048523CA" w14:textId="77777777" w:rsidR="00EF35F3" w:rsidRPr="00C34531" w:rsidRDefault="00EF35F3" w:rsidP="00EF35F3">
      <w:pPr>
        <w:pStyle w:val="EndNoteBibliography"/>
        <w:spacing w:after="0"/>
        <w:rPr>
          <w:lang w:val="it-IT"/>
        </w:rPr>
      </w:pPr>
      <w:r w:rsidRPr="00C34531">
        <w:rPr>
          <w:lang w:val="nl-NL"/>
        </w:rPr>
        <w:t>401.</w:t>
      </w:r>
      <w:r w:rsidRPr="00C34531">
        <w:rPr>
          <w:lang w:val="nl-NL"/>
        </w:rPr>
        <w:tab/>
        <w:t>Germenis AE, Yiannaki EE, Zachou K, Roka V, Barbanis S, Liaskos C</w:t>
      </w:r>
      <w:r w:rsidRPr="00C34531">
        <w:rPr>
          <w:i/>
          <w:lang w:val="nl-NL"/>
        </w:rPr>
        <w:t>, et al.</w:t>
      </w:r>
      <w:r w:rsidRPr="00C34531">
        <w:rPr>
          <w:lang w:val="nl-NL"/>
        </w:rPr>
        <w:t xml:space="preserve"> </w:t>
      </w:r>
      <w:r w:rsidRPr="00EF35F3">
        <w:t xml:space="preserve">Prevalence and clinical significance of immunoglobulin A antibodies against tissue transglutaminase in patients with diverse chronic liver diseases. </w:t>
      </w:r>
      <w:r w:rsidRPr="00C34531">
        <w:rPr>
          <w:i/>
          <w:lang w:val="it-IT"/>
        </w:rPr>
        <w:t>Clinical and diagnostic laboratory immunology</w:t>
      </w:r>
      <w:r w:rsidRPr="00C34531">
        <w:rPr>
          <w:lang w:val="it-IT"/>
        </w:rPr>
        <w:t xml:space="preserve"> 2005;</w:t>
      </w:r>
      <w:r w:rsidRPr="00C34531">
        <w:rPr>
          <w:b/>
          <w:lang w:val="it-IT"/>
        </w:rPr>
        <w:t>12</w:t>
      </w:r>
      <w:r w:rsidRPr="00C34531">
        <w:rPr>
          <w:lang w:val="it-IT"/>
        </w:rPr>
        <w:t>:941-8.</w:t>
      </w:r>
    </w:p>
    <w:p w14:paraId="1F708CC7" w14:textId="01AAE4B0" w:rsidR="00EF35F3" w:rsidRPr="00C34531" w:rsidRDefault="00EF35F3" w:rsidP="00EF35F3">
      <w:pPr>
        <w:pStyle w:val="EndNoteBibliography"/>
        <w:spacing w:after="0"/>
        <w:rPr>
          <w:lang w:val="it-IT"/>
        </w:rPr>
      </w:pPr>
      <w:r w:rsidRPr="00C34531">
        <w:rPr>
          <w:lang w:val="it-IT"/>
        </w:rPr>
        <w:t>402.</w:t>
      </w:r>
      <w:r w:rsidRPr="00C34531">
        <w:rPr>
          <w:lang w:val="it-IT"/>
        </w:rPr>
        <w:tab/>
        <w:t>Villalta D, Girolami D, Bidoli E, Bizzaro N, Tampoia M, Liguori M</w:t>
      </w:r>
      <w:r w:rsidRPr="00C34531">
        <w:rPr>
          <w:i/>
          <w:lang w:val="it-IT"/>
        </w:rPr>
        <w:t>, et al.</w:t>
      </w:r>
      <w:r w:rsidRPr="00C34531">
        <w:rPr>
          <w:lang w:val="it-IT"/>
        </w:rPr>
        <w:t xml:space="preserve"> </w:t>
      </w:r>
      <w:r w:rsidRPr="00EF35F3">
        <w:t xml:space="preserve">High prevalence of celiac disease in autoimmune hepatitis detected by anti-tissue tranglutaminase autoantibodies. </w:t>
      </w:r>
      <w:r w:rsidRPr="00C34531">
        <w:rPr>
          <w:i/>
          <w:lang w:val="it-IT"/>
        </w:rPr>
        <w:t>Journal of Clinical Laboratory Analysis</w:t>
      </w:r>
      <w:r w:rsidRPr="00C34531">
        <w:rPr>
          <w:lang w:val="it-IT"/>
        </w:rPr>
        <w:t xml:space="preserve"> 2005;</w:t>
      </w:r>
      <w:r w:rsidRPr="00C34531">
        <w:rPr>
          <w:b/>
          <w:lang w:val="it-IT"/>
        </w:rPr>
        <w:t>19</w:t>
      </w:r>
      <w:r w:rsidRPr="00C34531">
        <w:rPr>
          <w:lang w:val="it-IT"/>
        </w:rPr>
        <w:t xml:space="preserve">:6-10. </w:t>
      </w:r>
      <w:hyperlink r:id="rId349" w:history="1">
        <w:r w:rsidRPr="00C34531">
          <w:rPr>
            <w:rStyle w:val="Hyperlink"/>
            <w:lang w:val="it-IT"/>
          </w:rPr>
          <w:t>https://doi.org/http://dx.doi.org/10.1002/jcla.20047</w:t>
        </w:r>
      </w:hyperlink>
    </w:p>
    <w:p w14:paraId="37CAE467" w14:textId="77777777" w:rsidR="00EF35F3" w:rsidRPr="00EF35F3" w:rsidRDefault="00EF35F3" w:rsidP="00EF35F3">
      <w:pPr>
        <w:pStyle w:val="EndNoteBibliography"/>
        <w:spacing w:after="0"/>
      </w:pPr>
      <w:r w:rsidRPr="00C34531">
        <w:rPr>
          <w:lang w:val="it-IT"/>
        </w:rPr>
        <w:t>403.</w:t>
      </w:r>
      <w:r w:rsidRPr="00C34531">
        <w:rPr>
          <w:lang w:val="it-IT"/>
        </w:rPr>
        <w:tab/>
        <w:t>Gabrielli M, Fiore G, Addolorato G, Padalino C, Candelli M, De Leo ME</w:t>
      </w:r>
      <w:r w:rsidRPr="00C34531">
        <w:rPr>
          <w:i/>
          <w:lang w:val="it-IT"/>
        </w:rPr>
        <w:t>, et al.</w:t>
      </w:r>
      <w:r w:rsidRPr="00C34531">
        <w:rPr>
          <w:lang w:val="it-IT"/>
        </w:rPr>
        <w:t xml:space="preserve"> </w:t>
      </w:r>
      <w:r w:rsidRPr="00EF35F3">
        <w:t xml:space="preserve">Association between migraine and celiac disease: Results from a preliminary case-control and therapeutic study. (vol 98, pg 625, 2003). </w:t>
      </w:r>
      <w:r w:rsidRPr="00EF35F3">
        <w:rPr>
          <w:i/>
        </w:rPr>
        <w:t>American Journal of Gastroenterology</w:t>
      </w:r>
      <w:r w:rsidRPr="00EF35F3">
        <w:t xml:space="preserve"> 2003;</w:t>
      </w:r>
      <w:r w:rsidRPr="00EF35F3">
        <w:rPr>
          <w:b/>
        </w:rPr>
        <w:t>98</w:t>
      </w:r>
      <w:r w:rsidRPr="00EF35F3">
        <w:t>:1674-.</w:t>
      </w:r>
    </w:p>
    <w:p w14:paraId="5B80E266" w14:textId="3CEFA319" w:rsidR="00EF35F3" w:rsidRPr="00EF35F3" w:rsidRDefault="00EF35F3" w:rsidP="00EF35F3">
      <w:pPr>
        <w:pStyle w:val="EndNoteBibliography"/>
        <w:spacing w:after="0"/>
      </w:pPr>
      <w:r w:rsidRPr="00EF35F3">
        <w:t>404.</w:t>
      </w:r>
      <w:r w:rsidRPr="00EF35F3">
        <w:tab/>
        <w:t xml:space="preserve">Balci O, Yilmaz D, Sezer T, Hizli S. Is Celiac Disease an Etiological Factor in Children With Migraine? </w:t>
      </w:r>
      <w:r w:rsidRPr="00EF35F3">
        <w:rPr>
          <w:i/>
        </w:rPr>
        <w:t>Journal of child neurology</w:t>
      </w:r>
      <w:r w:rsidRPr="00EF35F3">
        <w:t xml:space="preserve"> 2016;</w:t>
      </w:r>
      <w:r w:rsidRPr="00EF35F3">
        <w:rPr>
          <w:b/>
        </w:rPr>
        <w:t>31</w:t>
      </w:r>
      <w:r w:rsidRPr="00EF35F3">
        <w:t xml:space="preserve">:929-31. </w:t>
      </w:r>
      <w:hyperlink r:id="rId350" w:history="1">
        <w:r w:rsidRPr="00EF35F3">
          <w:rPr>
            <w:rStyle w:val="Hyperlink"/>
          </w:rPr>
          <w:t>https://doi.org/https://dx.doi.org/10.1177/0883073816630088</w:t>
        </w:r>
      </w:hyperlink>
    </w:p>
    <w:p w14:paraId="6978C3C5" w14:textId="635A3D6C" w:rsidR="00EF35F3" w:rsidRPr="00EF35F3" w:rsidRDefault="00EF35F3" w:rsidP="00EF35F3">
      <w:pPr>
        <w:pStyle w:val="EndNoteBibliography"/>
        <w:spacing w:after="0"/>
      </w:pPr>
      <w:r w:rsidRPr="00EF35F3">
        <w:lastRenderedPageBreak/>
        <w:t>405.</w:t>
      </w:r>
      <w:r w:rsidRPr="00EF35F3">
        <w:tab/>
        <w:t xml:space="preserve">Alehan F, Ozcay F, Erol I, Canan O, Cemil T. Increased risk for coeliac disease in paediatric patients with migraine. </w:t>
      </w:r>
      <w:r w:rsidRPr="00EF35F3">
        <w:rPr>
          <w:i/>
        </w:rPr>
        <w:t>Cephalalgia</w:t>
      </w:r>
      <w:r w:rsidRPr="00EF35F3">
        <w:t xml:space="preserve"> 2008;</w:t>
      </w:r>
      <w:r w:rsidRPr="00EF35F3">
        <w:rPr>
          <w:b/>
        </w:rPr>
        <w:t>28</w:t>
      </w:r>
      <w:r w:rsidRPr="00EF35F3">
        <w:t xml:space="preserve">:945-9. </w:t>
      </w:r>
      <w:hyperlink r:id="rId351" w:history="1">
        <w:r w:rsidRPr="00EF35F3">
          <w:rPr>
            <w:rStyle w:val="Hyperlink"/>
          </w:rPr>
          <w:t>https://doi.org/http://dx.doi.org/10.1111/j.1468-2982.2008.01630.x</w:t>
        </w:r>
      </w:hyperlink>
    </w:p>
    <w:p w14:paraId="53769DF5" w14:textId="475CE51A" w:rsidR="00EF35F3" w:rsidRPr="00EF35F3" w:rsidRDefault="00EF35F3" w:rsidP="00EF35F3">
      <w:pPr>
        <w:pStyle w:val="EndNoteBibliography"/>
        <w:spacing w:after="0"/>
      </w:pPr>
      <w:r w:rsidRPr="00EF35F3">
        <w:t>406.</w:t>
      </w:r>
      <w:r w:rsidRPr="00EF35F3">
        <w:tab/>
        <w:t xml:space="preserve">Inaloo S, Dehghani SM, Farzadi F, Haghighat M, Imanieh MH. A comparative study of celiac disease in children with migraine headache and a normal control group. </w:t>
      </w:r>
      <w:r w:rsidRPr="00EF35F3">
        <w:rPr>
          <w:i/>
        </w:rPr>
        <w:t>Turkish Journal of Gastroenterology</w:t>
      </w:r>
      <w:r w:rsidRPr="00EF35F3">
        <w:t xml:space="preserve"> 2011;</w:t>
      </w:r>
      <w:r w:rsidRPr="00EF35F3">
        <w:rPr>
          <w:b/>
        </w:rPr>
        <w:t>22</w:t>
      </w:r>
      <w:r w:rsidRPr="00EF35F3">
        <w:t xml:space="preserve">:32-5. </w:t>
      </w:r>
      <w:hyperlink r:id="rId352" w:history="1">
        <w:r w:rsidRPr="00EF35F3">
          <w:rPr>
            <w:rStyle w:val="Hyperlink"/>
          </w:rPr>
          <w:t>https://doi.org/http://dx.doi.org/10.4318/tjg.2011.0153</w:t>
        </w:r>
      </w:hyperlink>
    </w:p>
    <w:p w14:paraId="2281C187" w14:textId="77777777" w:rsidR="00EF35F3" w:rsidRPr="00C34531" w:rsidRDefault="00EF35F3" w:rsidP="00EF35F3">
      <w:pPr>
        <w:pStyle w:val="EndNoteBibliography"/>
        <w:spacing w:after="0"/>
        <w:rPr>
          <w:lang w:val="it-IT"/>
        </w:rPr>
      </w:pPr>
      <w:r w:rsidRPr="00EF35F3">
        <w:t>407.</w:t>
      </w:r>
      <w:r w:rsidRPr="00EF35F3">
        <w:tab/>
        <w:t xml:space="preserve">Abolfazli R, Mirbagheri A, Rabbani Anari M, Samadzadeh S. The association of celiac disease with multiple sclerosis. </w:t>
      </w:r>
      <w:r w:rsidRPr="00C34531">
        <w:rPr>
          <w:i/>
          <w:lang w:val="it-IT"/>
        </w:rPr>
        <w:t>Journal of the Neurological Sciences</w:t>
      </w:r>
      <w:r w:rsidRPr="00C34531">
        <w:rPr>
          <w:lang w:val="it-IT"/>
        </w:rPr>
        <w:t xml:space="preserve"> 2009;</w:t>
      </w:r>
      <w:r w:rsidRPr="00C34531">
        <w:rPr>
          <w:b/>
          <w:lang w:val="it-IT"/>
        </w:rPr>
        <w:t>285</w:t>
      </w:r>
      <w:r w:rsidRPr="00C34531">
        <w:rPr>
          <w:lang w:val="it-IT"/>
        </w:rPr>
        <w:t>:S214.</w:t>
      </w:r>
    </w:p>
    <w:p w14:paraId="4DD2F695" w14:textId="6908B2AF" w:rsidR="00EF35F3" w:rsidRPr="00EF35F3" w:rsidRDefault="00EF35F3" w:rsidP="00EF35F3">
      <w:pPr>
        <w:pStyle w:val="EndNoteBibliography"/>
        <w:spacing w:after="0"/>
      </w:pPr>
      <w:r w:rsidRPr="00C34531">
        <w:rPr>
          <w:lang w:val="it-IT"/>
        </w:rPr>
        <w:t>408.</w:t>
      </w:r>
      <w:r w:rsidRPr="00C34531">
        <w:rPr>
          <w:lang w:val="it-IT"/>
        </w:rPr>
        <w:tab/>
        <w:t>Nicoletti A, Patti F, Lo Fermo S, Sciacca A, Laisa P, Liberto A</w:t>
      </w:r>
      <w:r w:rsidRPr="00C34531">
        <w:rPr>
          <w:i/>
          <w:lang w:val="it-IT"/>
        </w:rPr>
        <w:t>, et al.</w:t>
      </w:r>
      <w:r w:rsidRPr="00C34531">
        <w:rPr>
          <w:lang w:val="it-IT"/>
        </w:rPr>
        <w:t xml:space="preserve"> </w:t>
      </w:r>
      <w:r w:rsidRPr="00EF35F3">
        <w:t xml:space="preserve">Frequency of celiac disease is not increased among multiple sclerosis patients. </w:t>
      </w:r>
      <w:r w:rsidRPr="00EF35F3">
        <w:rPr>
          <w:i/>
        </w:rPr>
        <w:t>Multiple sclerosis (Houndmills, Basingstoke, England)</w:t>
      </w:r>
      <w:r w:rsidRPr="00EF35F3">
        <w:t xml:space="preserve"> 2008;</w:t>
      </w:r>
      <w:r w:rsidRPr="00EF35F3">
        <w:rPr>
          <w:b/>
        </w:rPr>
        <w:t>14</w:t>
      </w:r>
      <w:r w:rsidRPr="00EF35F3">
        <w:t xml:space="preserve">:698-700. </w:t>
      </w:r>
      <w:hyperlink r:id="rId353" w:history="1">
        <w:r w:rsidRPr="00EF35F3">
          <w:rPr>
            <w:rStyle w:val="Hyperlink"/>
          </w:rPr>
          <w:t>https://doi.org/https://dx.doi.org/10.1177/1352458507087268</w:t>
        </w:r>
      </w:hyperlink>
    </w:p>
    <w:p w14:paraId="49452FDE" w14:textId="7956D73E" w:rsidR="00EF35F3" w:rsidRPr="00EF35F3" w:rsidRDefault="00EF35F3" w:rsidP="00EF35F3">
      <w:pPr>
        <w:pStyle w:val="EndNoteBibliography"/>
        <w:spacing w:after="0"/>
      </w:pPr>
      <w:r w:rsidRPr="00EF35F3">
        <w:t>409.</w:t>
      </w:r>
      <w:r w:rsidRPr="00EF35F3">
        <w:tab/>
        <w:t xml:space="preserve">Rodrigo L, Hernandez-Lahoz C, Fuentes D, Alvarez N, Lopez-Vazquez A, Gonzalez S. Prevalence of celiac disease in multiple sclerosis. </w:t>
      </w:r>
      <w:r w:rsidRPr="00EF35F3">
        <w:rPr>
          <w:i/>
        </w:rPr>
        <w:t>BMC Neurology</w:t>
      </w:r>
      <w:r w:rsidRPr="00EF35F3">
        <w:t xml:space="preserve"> 2011;</w:t>
      </w:r>
      <w:r w:rsidRPr="00EF35F3">
        <w:rPr>
          <w:b/>
        </w:rPr>
        <w:t>11</w:t>
      </w:r>
      <w:r w:rsidRPr="00EF35F3">
        <w:t xml:space="preserve">:31. </w:t>
      </w:r>
      <w:hyperlink r:id="rId354" w:history="1">
        <w:r w:rsidRPr="00EF35F3">
          <w:rPr>
            <w:rStyle w:val="Hyperlink"/>
          </w:rPr>
          <w:t>https://doi.org/http://dx.doi.org/10.1186/1471-2377-11-31</w:t>
        </w:r>
      </w:hyperlink>
    </w:p>
    <w:p w14:paraId="6EE07AEE" w14:textId="2CAF3570" w:rsidR="00EF35F3" w:rsidRPr="00EF35F3" w:rsidRDefault="00EF35F3" w:rsidP="00EF35F3">
      <w:pPr>
        <w:pStyle w:val="EndNoteBibliography"/>
        <w:spacing w:after="0"/>
      </w:pPr>
      <w:r w:rsidRPr="00EF35F3">
        <w:t>410.</w:t>
      </w:r>
      <w:r w:rsidRPr="00EF35F3">
        <w:tab/>
        <w:t>Roth EB, Theander E, Londos E, Sandberg-Wollheim M, Larsson A, Sjoberg K</w:t>
      </w:r>
      <w:r w:rsidRPr="00EF35F3">
        <w:rPr>
          <w:i/>
        </w:rPr>
        <w:t>, et al.</w:t>
      </w:r>
      <w:r w:rsidRPr="00EF35F3">
        <w:t xml:space="preserve"> Pathogenesis of autoimmune diseases: Antibodies against transglutaminase, peptidylarginine deiminase and protein-bound citrulline in primary Sjogren's syndrome, multiple sclerosis and Alzheimer's disease. </w:t>
      </w:r>
      <w:r w:rsidRPr="00EF35F3">
        <w:rPr>
          <w:i/>
        </w:rPr>
        <w:t>Scandinavian Journal of Immunology</w:t>
      </w:r>
      <w:r w:rsidRPr="00EF35F3">
        <w:t xml:space="preserve"> 2008;</w:t>
      </w:r>
      <w:r w:rsidRPr="00EF35F3">
        <w:rPr>
          <w:b/>
        </w:rPr>
        <w:t>67</w:t>
      </w:r>
      <w:r w:rsidRPr="00EF35F3">
        <w:t xml:space="preserve">:626-31. </w:t>
      </w:r>
      <w:hyperlink r:id="rId355" w:history="1">
        <w:r w:rsidRPr="00EF35F3">
          <w:rPr>
            <w:rStyle w:val="Hyperlink"/>
          </w:rPr>
          <w:t>https://doi.org/10.1111/j.1365-3083.2008.02115.x</w:t>
        </w:r>
      </w:hyperlink>
    </w:p>
    <w:p w14:paraId="015C6ECA" w14:textId="77777777" w:rsidR="00EF35F3" w:rsidRPr="00EF35F3" w:rsidRDefault="00EF35F3" w:rsidP="00EF35F3">
      <w:pPr>
        <w:pStyle w:val="EndNoteBibliography"/>
        <w:spacing w:after="0"/>
      </w:pPr>
      <w:r w:rsidRPr="00EF35F3">
        <w:t>411.</w:t>
      </w:r>
      <w:r w:rsidRPr="00EF35F3">
        <w:tab/>
        <w:t>Khoshbaten M, Farhoudi M, Nikanfar M, Ayromlou H, Shaafi S, Sadreddini SA</w:t>
      </w:r>
      <w:r w:rsidRPr="00EF35F3">
        <w:rPr>
          <w:i/>
        </w:rPr>
        <w:t>, et al.</w:t>
      </w:r>
      <w:r w:rsidRPr="00EF35F3">
        <w:t xml:space="preserve"> Celiac disease and multiple sclerosis in the northwest of Iran. </w:t>
      </w:r>
      <w:r w:rsidRPr="00EF35F3">
        <w:rPr>
          <w:i/>
        </w:rPr>
        <w:t>Bratislavske lekarske listy</w:t>
      </w:r>
      <w:r w:rsidRPr="00EF35F3">
        <w:t xml:space="preserve"> 2012;</w:t>
      </w:r>
      <w:r w:rsidRPr="00EF35F3">
        <w:rPr>
          <w:b/>
        </w:rPr>
        <w:t>113</w:t>
      </w:r>
      <w:r w:rsidRPr="00EF35F3">
        <w:t>:495-7.</w:t>
      </w:r>
    </w:p>
    <w:p w14:paraId="4797E8BC" w14:textId="77777777" w:rsidR="00EF35F3" w:rsidRPr="00EF35F3" w:rsidRDefault="00EF35F3" w:rsidP="00EF35F3">
      <w:pPr>
        <w:pStyle w:val="EndNoteBibliography"/>
        <w:spacing w:after="0"/>
      </w:pPr>
      <w:r w:rsidRPr="00EF35F3">
        <w:t>412.</w:t>
      </w:r>
      <w:r w:rsidRPr="00EF35F3">
        <w:tab/>
        <w:t xml:space="preserve">Gusso L, Simoes MC, Skare TL, Nisihara R, Burkiewicz CC, Utiyama S. Celiac disease screening in Brazilian patients with osteoporosis. </w:t>
      </w:r>
      <w:r w:rsidRPr="00EF35F3">
        <w:rPr>
          <w:i/>
        </w:rPr>
        <w:t>Arquivos brasileiros de endocrinologia e metabologia</w:t>
      </w:r>
      <w:r w:rsidRPr="00EF35F3">
        <w:t xml:space="preserve"> 2014;</w:t>
      </w:r>
      <w:r w:rsidRPr="00EF35F3">
        <w:rPr>
          <w:b/>
        </w:rPr>
        <w:t>58</w:t>
      </w:r>
      <w:r w:rsidRPr="00EF35F3">
        <w:t>:270-3.</w:t>
      </w:r>
    </w:p>
    <w:p w14:paraId="6160765E" w14:textId="77777777" w:rsidR="00EF35F3" w:rsidRPr="00EF35F3" w:rsidRDefault="00EF35F3" w:rsidP="00EF35F3">
      <w:pPr>
        <w:pStyle w:val="EndNoteBibliography"/>
        <w:spacing w:after="0"/>
      </w:pPr>
      <w:r w:rsidRPr="00EF35F3">
        <w:t>413.</w:t>
      </w:r>
      <w:r w:rsidRPr="00EF35F3">
        <w:tab/>
        <w:t xml:space="preserve">Shahbazkhani B, Aletaha N, Khonche A, Farahvash B, Malekzadeh R. Is it necessary to screen for celiac disease in adult idiopathic osteoporosis? </w:t>
      </w:r>
      <w:r w:rsidRPr="00EF35F3">
        <w:rPr>
          <w:i/>
        </w:rPr>
        <w:t>Gastroenterology and Hepatology from Bed to Bench</w:t>
      </w:r>
      <w:r w:rsidRPr="00EF35F3">
        <w:t xml:space="preserve"> 2015;</w:t>
      </w:r>
      <w:r w:rsidRPr="00EF35F3">
        <w:rPr>
          <w:b/>
        </w:rPr>
        <w:t>8</w:t>
      </w:r>
      <w:r w:rsidRPr="00EF35F3">
        <w:t>:140-5.</w:t>
      </w:r>
    </w:p>
    <w:p w14:paraId="2F905991" w14:textId="77777777" w:rsidR="00EF35F3" w:rsidRPr="00EF35F3" w:rsidRDefault="00EF35F3" w:rsidP="00EF35F3">
      <w:pPr>
        <w:pStyle w:val="EndNoteBibliography"/>
        <w:spacing w:after="0"/>
      </w:pPr>
      <w:r w:rsidRPr="00EF35F3">
        <w:t>414.</w:t>
      </w:r>
      <w:r w:rsidRPr="00EF35F3">
        <w:tab/>
        <w:t xml:space="preserve">Stenson WF, Newberry R, Lorenz R, Baldus C, Civitelli R. Increased prevalence of celiac disease and need for routine screening among patients with osteoporosis. </w:t>
      </w:r>
      <w:r w:rsidRPr="00EF35F3">
        <w:rPr>
          <w:i/>
        </w:rPr>
        <w:t>Archives of internal medicine</w:t>
      </w:r>
      <w:r w:rsidRPr="00EF35F3">
        <w:t xml:space="preserve"> 2005;</w:t>
      </w:r>
      <w:r w:rsidRPr="00EF35F3">
        <w:rPr>
          <w:b/>
        </w:rPr>
        <w:t>165</w:t>
      </w:r>
      <w:r w:rsidRPr="00EF35F3">
        <w:t>:393-9.</w:t>
      </w:r>
    </w:p>
    <w:p w14:paraId="7960849D" w14:textId="77777777" w:rsidR="00EF35F3" w:rsidRPr="00EF35F3" w:rsidRDefault="00EF35F3" w:rsidP="00EF35F3">
      <w:pPr>
        <w:pStyle w:val="EndNoteBibliography"/>
        <w:spacing w:after="0"/>
      </w:pPr>
      <w:r w:rsidRPr="00EF35F3">
        <w:t>415.</w:t>
      </w:r>
      <w:r w:rsidRPr="00EF35F3">
        <w:tab/>
        <w:t>Vancikova Z, Chlumecky V, Sokol D, Horakova D, Hamsikova E, Fucikova T</w:t>
      </w:r>
      <w:r w:rsidRPr="00EF35F3">
        <w:rPr>
          <w:i/>
        </w:rPr>
        <w:t>, et al.</w:t>
      </w:r>
      <w:r w:rsidRPr="00EF35F3">
        <w:t xml:space="preserve"> The serologic screening for celiac disease in the general population (blood donors) and in some high-risk groups of adults (patients with autoimmune diseases, osteoporosis and infertility) in the Czech republic. </w:t>
      </w:r>
      <w:r w:rsidRPr="00EF35F3">
        <w:rPr>
          <w:i/>
        </w:rPr>
        <w:t>Folia microbiologica</w:t>
      </w:r>
      <w:r w:rsidRPr="00EF35F3">
        <w:t xml:space="preserve"> 2002;</w:t>
      </w:r>
      <w:r w:rsidRPr="00EF35F3">
        <w:rPr>
          <w:b/>
        </w:rPr>
        <w:t>47</w:t>
      </w:r>
      <w:r w:rsidRPr="00EF35F3">
        <w:t>:753-8.</w:t>
      </w:r>
    </w:p>
    <w:p w14:paraId="6C7B8322" w14:textId="7342D2E9" w:rsidR="00EF35F3" w:rsidRPr="00C34531" w:rsidRDefault="00EF35F3" w:rsidP="00EF35F3">
      <w:pPr>
        <w:pStyle w:val="EndNoteBibliography"/>
        <w:spacing w:after="0"/>
        <w:rPr>
          <w:lang w:val="it-IT"/>
        </w:rPr>
      </w:pPr>
      <w:r w:rsidRPr="00EF35F3">
        <w:t>416.</w:t>
      </w:r>
      <w:r w:rsidRPr="00EF35F3">
        <w:tab/>
        <w:t xml:space="preserve">Shen Y, Wang M, Martinez D. Celiac disease and low femoral bone density in a multiethnic us national survey. </w:t>
      </w:r>
      <w:r w:rsidRPr="00C34531">
        <w:rPr>
          <w:i/>
          <w:lang w:val="it-IT"/>
        </w:rPr>
        <w:t>Osteoporosis International</w:t>
      </w:r>
      <w:r w:rsidRPr="00C34531">
        <w:rPr>
          <w:lang w:val="it-IT"/>
        </w:rPr>
        <w:t xml:space="preserve"> 2014;</w:t>
      </w:r>
      <w:r w:rsidRPr="00C34531">
        <w:rPr>
          <w:b/>
          <w:lang w:val="it-IT"/>
        </w:rPr>
        <w:t>25</w:t>
      </w:r>
      <w:r w:rsidRPr="00C34531">
        <w:rPr>
          <w:lang w:val="it-IT"/>
        </w:rPr>
        <w:t xml:space="preserve">:578. </w:t>
      </w:r>
      <w:hyperlink r:id="rId356" w:history="1">
        <w:r w:rsidRPr="00C34531">
          <w:rPr>
            <w:rStyle w:val="Hyperlink"/>
            <w:lang w:val="it-IT"/>
          </w:rPr>
          <w:t>https://doi.org/http://dx.doi.org/10.1007/s00198-014-2891-2</w:t>
        </w:r>
      </w:hyperlink>
    </w:p>
    <w:p w14:paraId="50784C7B" w14:textId="6E2302E5" w:rsidR="00EF35F3" w:rsidRPr="00EF35F3" w:rsidRDefault="00EF35F3" w:rsidP="00EF35F3">
      <w:pPr>
        <w:pStyle w:val="EndNoteBibliography"/>
        <w:spacing w:after="0"/>
      </w:pPr>
      <w:r w:rsidRPr="00C34531">
        <w:rPr>
          <w:lang w:val="it-IT"/>
        </w:rPr>
        <w:t>417.</w:t>
      </w:r>
      <w:r w:rsidRPr="00C34531">
        <w:rPr>
          <w:lang w:val="it-IT"/>
        </w:rPr>
        <w:tab/>
        <w:t>De Bastiani R, Gabrielli M, Lora L, Napoli L, Tosetti C, Pirrotta E</w:t>
      </w:r>
      <w:r w:rsidRPr="00C34531">
        <w:rPr>
          <w:i/>
          <w:lang w:val="it-IT"/>
        </w:rPr>
        <w:t>, et al.</w:t>
      </w:r>
      <w:r w:rsidRPr="00C34531">
        <w:rPr>
          <w:lang w:val="it-IT"/>
        </w:rPr>
        <w:t xml:space="preserve"> </w:t>
      </w:r>
      <w:r w:rsidRPr="00EF35F3">
        <w:t xml:space="preserve">Association between coeliac disease and psoriasis: Italian primary care multicentre study. </w:t>
      </w:r>
      <w:r w:rsidRPr="00EF35F3">
        <w:rPr>
          <w:i/>
        </w:rPr>
        <w:t>Dermatology</w:t>
      </w:r>
      <w:r w:rsidRPr="00EF35F3">
        <w:t xml:space="preserve"> 2015;</w:t>
      </w:r>
      <w:r w:rsidRPr="00EF35F3">
        <w:rPr>
          <w:b/>
        </w:rPr>
        <w:t>230</w:t>
      </w:r>
      <w:r w:rsidRPr="00EF35F3">
        <w:t xml:space="preserve">:156-60. </w:t>
      </w:r>
      <w:hyperlink r:id="rId357" w:history="1">
        <w:r w:rsidRPr="00EF35F3">
          <w:rPr>
            <w:rStyle w:val="Hyperlink"/>
          </w:rPr>
          <w:t>https://doi.org/http://dx.doi.org/10.1159/000369615</w:t>
        </w:r>
      </w:hyperlink>
    </w:p>
    <w:p w14:paraId="377B9B4D" w14:textId="1D62CE0F" w:rsidR="00EF35F3" w:rsidRPr="00EF35F3" w:rsidRDefault="00EF35F3" w:rsidP="00EF35F3">
      <w:pPr>
        <w:pStyle w:val="EndNoteBibliography"/>
        <w:spacing w:after="0"/>
      </w:pPr>
      <w:r w:rsidRPr="00EF35F3">
        <w:t>418.</w:t>
      </w:r>
      <w:r w:rsidRPr="00EF35F3">
        <w:tab/>
        <w:t>Akbulut S, Gur G, Topal F, Senel E, Topal FE, Alli N</w:t>
      </w:r>
      <w:r w:rsidRPr="00EF35F3">
        <w:rPr>
          <w:i/>
        </w:rPr>
        <w:t>, et al.</w:t>
      </w:r>
      <w:r w:rsidRPr="00EF35F3">
        <w:t xml:space="preserve"> Coeliac disease-associated antibodies in psoriasis. </w:t>
      </w:r>
      <w:r w:rsidRPr="00EF35F3">
        <w:rPr>
          <w:i/>
        </w:rPr>
        <w:t>Annals of dermatology</w:t>
      </w:r>
      <w:r w:rsidRPr="00EF35F3">
        <w:t xml:space="preserve"> 2013;</w:t>
      </w:r>
      <w:r w:rsidRPr="00EF35F3">
        <w:rPr>
          <w:b/>
        </w:rPr>
        <w:t>25</w:t>
      </w:r>
      <w:r w:rsidRPr="00EF35F3">
        <w:t xml:space="preserve">:298-303. </w:t>
      </w:r>
      <w:hyperlink r:id="rId358" w:history="1">
        <w:r w:rsidRPr="00EF35F3">
          <w:rPr>
            <w:rStyle w:val="Hyperlink"/>
          </w:rPr>
          <w:t>https://doi.org/https://dx.doi.org/10.5021/ad.2013.25.3.298</w:t>
        </w:r>
      </w:hyperlink>
    </w:p>
    <w:p w14:paraId="2ECAAD3C" w14:textId="3E2BF0F2" w:rsidR="00EF35F3" w:rsidRPr="00EF35F3" w:rsidRDefault="00EF35F3" w:rsidP="00EF35F3">
      <w:pPr>
        <w:pStyle w:val="EndNoteBibliography"/>
        <w:spacing w:after="0"/>
      </w:pPr>
      <w:r w:rsidRPr="00EF35F3">
        <w:t>419.</w:t>
      </w:r>
      <w:r w:rsidRPr="00EF35F3">
        <w:tab/>
        <w:t>Dhattarwal N, Mahajan VK, Mehta KS, Chauhan PS, Yadav RS, Sharma SB</w:t>
      </w:r>
      <w:r w:rsidRPr="00EF35F3">
        <w:rPr>
          <w:i/>
        </w:rPr>
        <w:t>, et al.</w:t>
      </w:r>
      <w:r w:rsidRPr="00EF35F3">
        <w:t xml:space="preserve"> The association of anti-gliadin and anti-transglutaminase antibodies and chronic plaque psoriasis in Indian patients: Preliminary results of a descriptive cross-sectional study. </w:t>
      </w:r>
      <w:r w:rsidRPr="00EF35F3">
        <w:rPr>
          <w:i/>
        </w:rPr>
        <w:t>Australasian Journal of Dermatology</w:t>
      </w:r>
      <w:r w:rsidRPr="00EF35F3">
        <w:t xml:space="preserve"> 2020;</w:t>
      </w:r>
      <w:r w:rsidRPr="00EF35F3">
        <w:rPr>
          <w:b/>
        </w:rPr>
        <w:t>61</w:t>
      </w:r>
      <w:r w:rsidRPr="00EF35F3">
        <w:t xml:space="preserve">:e378-e82. </w:t>
      </w:r>
      <w:hyperlink r:id="rId359" w:history="1">
        <w:r w:rsidRPr="00EF35F3">
          <w:rPr>
            <w:rStyle w:val="Hyperlink"/>
          </w:rPr>
          <w:t>https://doi.org/http://dx.doi.org/10.1111/ajd.13308</w:t>
        </w:r>
      </w:hyperlink>
    </w:p>
    <w:p w14:paraId="06684E0B" w14:textId="34FE57E2" w:rsidR="00EF35F3" w:rsidRPr="00EF35F3" w:rsidRDefault="00EF35F3" w:rsidP="00EF35F3">
      <w:pPr>
        <w:pStyle w:val="EndNoteBibliography"/>
        <w:spacing w:after="0"/>
      </w:pPr>
      <w:r w:rsidRPr="00EF35F3">
        <w:t>420.</w:t>
      </w:r>
      <w:r w:rsidRPr="00EF35F3">
        <w:tab/>
        <w:t xml:space="preserve">Montesu MA, Dessi-Fulgheri C, Pattaro C, Ventura V, Satta R, Cottoni F. Association Between Psoriasis and Coeliac Disease? A Case-control Study. </w:t>
      </w:r>
      <w:r w:rsidRPr="00EF35F3">
        <w:rPr>
          <w:i/>
        </w:rPr>
        <w:t>Acta Dermato-Venereologica</w:t>
      </w:r>
      <w:r w:rsidRPr="00EF35F3">
        <w:t xml:space="preserve"> 2011;</w:t>
      </w:r>
      <w:r w:rsidRPr="00EF35F3">
        <w:rPr>
          <w:b/>
        </w:rPr>
        <w:t>91</w:t>
      </w:r>
      <w:r w:rsidRPr="00EF35F3">
        <w:t xml:space="preserve">:92-3. </w:t>
      </w:r>
      <w:hyperlink r:id="rId360" w:history="1">
        <w:r w:rsidRPr="00EF35F3">
          <w:rPr>
            <w:rStyle w:val="Hyperlink"/>
          </w:rPr>
          <w:t>https://doi.org/10.2340/00015555-0960</w:t>
        </w:r>
      </w:hyperlink>
    </w:p>
    <w:p w14:paraId="6617F5C7" w14:textId="68521C59" w:rsidR="00EF35F3" w:rsidRPr="00EF35F3" w:rsidRDefault="00EF35F3" w:rsidP="00EF35F3">
      <w:pPr>
        <w:pStyle w:val="EndNoteBibliography"/>
        <w:spacing w:after="0"/>
      </w:pPr>
      <w:r w:rsidRPr="00EF35F3">
        <w:lastRenderedPageBreak/>
        <w:t>421.</w:t>
      </w:r>
      <w:r w:rsidRPr="00EF35F3">
        <w:tab/>
        <w:t xml:space="preserve">Nagui N, El Nabarawy E, Mahgoub D, Mashaly HM, Saad NE, El-Deeb DF. Estimation of (IgA) anti-gliadin, anti-endomysium and tissue transglutaminase in the serum of patients with psoriasis. </w:t>
      </w:r>
      <w:r w:rsidRPr="00EF35F3">
        <w:rPr>
          <w:i/>
        </w:rPr>
        <w:t>Clinical and experimental dermatology</w:t>
      </w:r>
      <w:r w:rsidRPr="00EF35F3">
        <w:t xml:space="preserve"> 2011;</w:t>
      </w:r>
      <w:r w:rsidRPr="00EF35F3">
        <w:rPr>
          <w:b/>
        </w:rPr>
        <w:t>36</w:t>
      </w:r>
      <w:r w:rsidRPr="00EF35F3">
        <w:t xml:space="preserve">:302-4. </w:t>
      </w:r>
      <w:hyperlink r:id="rId361" w:history="1">
        <w:r w:rsidRPr="00EF35F3">
          <w:rPr>
            <w:rStyle w:val="Hyperlink"/>
          </w:rPr>
          <w:t>https://doi.org/https://dx.doi.org/10.1111/j.1365-2230.2010.03980.x</w:t>
        </w:r>
      </w:hyperlink>
    </w:p>
    <w:p w14:paraId="10D06EFC" w14:textId="1214EFFC" w:rsidR="00EF35F3" w:rsidRPr="00EF35F3" w:rsidRDefault="00EF35F3" w:rsidP="00EF35F3">
      <w:pPr>
        <w:pStyle w:val="EndNoteBibliography"/>
        <w:spacing w:after="0"/>
      </w:pPr>
      <w:r w:rsidRPr="00EF35F3">
        <w:t>422.</w:t>
      </w:r>
      <w:r w:rsidRPr="00EF35F3">
        <w:tab/>
        <w:t xml:space="preserve">Singh S, Sonkar GK, Usha, Singh S. Celiac disease-associated antibodies in patients with psoriasis and correlation with HLA Cw6. </w:t>
      </w:r>
      <w:r w:rsidRPr="00EF35F3">
        <w:rPr>
          <w:i/>
        </w:rPr>
        <w:t>Journal of clinical laboratory analysis</w:t>
      </w:r>
      <w:r w:rsidRPr="00EF35F3">
        <w:t xml:space="preserve"> 2010;</w:t>
      </w:r>
      <w:r w:rsidRPr="00EF35F3">
        <w:rPr>
          <w:b/>
        </w:rPr>
        <w:t>24</w:t>
      </w:r>
      <w:r w:rsidRPr="00EF35F3">
        <w:t xml:space="preserve">:269-72. </w:t>
      </w:r>
      <w:hyperlink r:id="rId362" w:history="1">
        <w:r w:rsidRPr="00EF35F3">
          <w:rPr>
            <w:rStyle w:val="Hyperlink"/>
          </w:rPr>
          <w:t>https://doi.org/https://dx.doi.org/10.1002/jcla.20398</w:t>
        </w:r>
      </w:hyperlink>
    </w:p>
    <w:p w14:paraId="1C675375" w14:textId="2D5FA5A7" w:rsidR="00EF35F3" w:rsidRPr="00EF35F3" w:rsidRDefault="00EF35F3" w:rsidP="00EF35F3">
      <w:pPr>
        <w:pStyle w:val="EndNoteBibliography"/>
        <w:spacing w:after="0"/>
      </w:pPr>
      <w:r w:rsidRPr="00EF35F3">
        <w:t>423.</w:t>
      </w:r>
      <w:r w:rsidRPr="00EF35F3">
        <w:tab/>
        <w:t>Marai I, Shoenfeld Y, Bizzaro N, Villalta D, Doria A, Tonutti E</w:t>
      </w:r>
      <w:r w:rsidRPr="00EF35F3">
        <w:rPr>
          <w:i/>
        </w:rPr>
        <w:t>, et al.</w:t>
      </w:r>
      <w:r w:rsidRPr="00EF35F3">
        <w:t xml:space="preserve"> IgA and IgG tissue transglutaminase antibodies in systemic lupus erythematosus. </w:t>
      </w:r>
      <w:r w:rsidRPr="00EF35F3">
        <w:rPr>
          <w:i/>
        </w:rPr>
        <w:t>Lupus</w:t>
      </w:r>
      <w:r w:rsidRPr="00EF35F3">
        <w:t xml:space="preserve"> 2004;</w:t>
      </w:r>
      <w:r w:rsidRPr="00EF35F3">
        <w:rPr>
          <w:b/>
        </w:rPr>
        <w:t>13</w:t>
      </w:r>
      <w:r w:rsidRPr="00EF35F3">
        <w:t xml:space="preserve">:241-4. </w:t>
      </w:r>
      <w:hyperlink r:id="rId363" w:history="1">
        <w:r w:rsidRPr="00EF35F3">
          <w:rPr>
            <w:rStyle w:val="Hyperlink"/>
          </w:rPr>
          <w:t>https://doi.org/http://dx.doi.org/10.1191/0961203304lu1004oa</w:t>
        </w:r>
      </w:hyperlink>
    </w:p>
    <w:p w14:paraId="33F7C049" w14:textId="11D9B96C" w:rsidR="00EF35F3" w:rsidRPr="00EF35F3" w:rsidRDefault="00EF35F3" w:rsidP="00EF35F3">
      <w:pPr>
        <w:pStyle w:val="EndNoteBibliography"/>
        <w:spacing w:after="0"/>
      </w:pPr>
      <w:r w:rsidRPr="00EF35F3">
        <w:t>424.</w:t>
      </w:r>
      <w:r w:rsidRPr="00EF35F3">
        <w:tab/>
        <w:t xml:space="preserve">Picceli VF, Skare TL, Nisihara R, Kotze L, Messias-Reason I, Utiyama SRR. Spectrum of autoantibodies for gastrointestinal autoimmune diseases in systemic lupus erythematosus patients. </w:t>
      </w:r>
      <w:r w:rsidRPr="00EF35F3">
        <w:rPr>
          <w:i/>
        </w:rPr>
        <w:t>Lupus</w:t>
      </w:r>
      <w:r w:rsidRPr="00EF35F3">
        <w:t xml:space="preserve"> 2013;</w:t>
      </w:r>
      <w:r w:rsidRPr="00EF35F3">
        <w:rPr>
          <w:b/>
        </w:rPr>
        <w:t>22</w:t>
      </w:r>
      <w:r w:rsidRPr="00EF35F3">
        <w:t xml:space="preserve">:1150-5. </w:t>
      </w:r>
      <w:hyperlink r:id="rId364" w:history="1">
        <w:r w:rsidRPr="00EF35F3">
          <w:rPr>
            <w:rStyle w:val="Hyperlink"/>
          </w:rPr>
          <w:t>https://doi.org/http://dx.doi.org/10.1177/0961203313503911</w:t>
        </w:r>
      </w:hyperlink>
    </w:p>
    <w:p w14:paraId="54932479" w14:textId="2BFA727A" w:rsidR="00EF35F3" w:rsidRPr="00EF35F3" w:rsidRDefault="00EF35F3" w:rsidP="00EF35F3">
      <w:pPr>
        <w:pStyle w:val="EndNoteBibliography"/>
        <w:spacing w:after="0"/>
      </w:pPr>
      <w:r w:rsidRPr="00EF35F3">
        <w:t>425.</w:t>
      </w:r>
      <w:r w:rsidRPr="00EF35F3">
        <w:tab/>
        <w:t>Sahin Y, Sahin S, Adrovic A, Erkan T, Kutlu T, Barut K</w:t>
      </w:r>
      <w:r w:rsidRPr="00EF35F3">
        <w:rPr>
          <w:i/>
        </w:rPr>
        <w:t>, et al.</w:t>
      </w:r>
      <w:r w:rsidRPr="00EF35F3">
        <w:t xml:space="preserve"> The frequency of celiac disease in Turkish children with systemic lupus erythematosus. </w:t>
      </w:r>
      <w:r w:rsidRPr="00EF35F3">
        <w:rPr>
          <w:i/>
        </w:rPr>
        <w:t>Journal of Pediatric Gastroenterology and Nutrition</w:t>
      </w:r>
      <w:r w:rsidRPr="00EF35F3">
        <w:t xml:space="preserve"> 2017;</w:t>
      </w:r>
      <w:r w:rsidRPr="00EF35F3">
        <w:rPr>
          <w:b/>
        </w:rPr>
        <w:t>64</w:t>
      </w:r>
      <w:r w:rsidRPr="00EF35F3">
        <w:t xml:space="preserve">:230. </w:t>
      </w:r>
      <w:hyperlink r:id="rId365" w:history="1">
        <w:r w:rsidRPr="00EF35F3">
          <w:rPr>
            <w:rStyle w:val="Hyperlink"/>
          </w:rPr>
          <w:t>https://doi.org/http://dx.doi.org/10.1097/01.mpg.0000516381.25680.b4</w:t>
        </w:r>
      </w:hyperlink>
    </w:p>
    <w:p w14:paraId="425163C6" w14:textId="77777777" w:rsidR="00EF35F3" w:rsidRPr="00EF35F3" w:rsidRDefault="00EF35F3" w:rsidP="00EF35F3">
      <w:pPr>
        <w:pStyle w:val="EndNoteBibliography"/>
        <w:spacing w:after="0"/>
      </w:pPr>
      <w:r w:rsidRPr="00EF35F3">
        <w:t>426.</w:t>
      </w:r>
      <w:r w:rsidRPr="00EF35F3">
        <w:tab/>
        <w:t xml:space="preserve">Cedikova M, Ulcova-Gallova Z, Bibkova K, Micanova Z. [The incidence of latent asymptomatic celiac disease in women with decreased fertility]. </w:t>
      </w:r>
      <w:r w:rsidRPr="00EF35F3">
        <w:rPr>
          <w:i/>
        </w:rPr>
        <w:t>Vyskyt latentni asymptomaticke celiakie u zen se snizenou plodnosti</w:t>
      </w:r>
      <w:r w:rsidRPr="00EF35F3">
        <w:t xml:space="preserve"> 2013;</w:t>
      </w:r>
      <w:r w:rsidRPr="00EF35F3">
        <w:rPr>
          <w:b/>
        </w:rPr>
        <w:t>78</w:t>
      </w:r>
      <w:r w:rsidRPr="00EF35F3">
        <w:t>:247-51.</w:t>
      </w:r>
    </w:p>
    <w:p w14:paraId="652FD3FC" w14:textId="77777777" w:rsidR="00EF35F3" w:rsidRPr="00C34531" w:rsidRDefault="00EF35F3" w:rsidP="00EF35F3">
      <w:pPr>
        <w:pStyle w:val="EndNoteBibliography"/>
        <w:spacing w:after="0"/>
        <w:rPr>
          <w:lang w:val="it-IT"/>
        </w:rPr>
      </w:pPr>
      <w:r w:rsidRPr="00EF35F3">
        <w:t>427.</w:t>
      </w:r>
      <w:r w:rsidRPr="00EF35F3">
        <w:tab/>
        <w:t>Remes-Troche JM, Vargas LAS, Meixueiro A, Patino ED, Gonzalez-Sicilia E, Abreu JA</w:t>
      </w:r>
      <w:r w:rsidRPr="00EF35F3">
        <w:rPr>
          <w:i/>
        </w:rPr>
        <w:t>, et al.</w:t>
      </w:r>
      <w:r w:rsidRPr="00EF35F3">
        <w:t xml:space="preserve"> Celiac Disease Screening in Patients Previously Diagnosed With Infertility. A Prospective Study in Mexican Population. </w:t>
      </w:r>
      <w:r w:rsidRPr="00C34531">
        <w:rPr>
          <w:i/>
          <w:lang w:val="it-IT"/>
        </w:rPr>
        <w:t>Gastroenterology</w:t>
      </w:r>
      <w:r w:rsidRPr="00C34531">
        <w:rPr>
          <w:lang w:val="it-IT"/>
        </w:rPr>
        <w:t xml:space="preserve"> 2014;</w:t>
      </w:r>
      <w:r w:rsidRPr="00C34531">
        <w:rPr>
          <w:b/>
          <w:lang w:val="it-IT"/>
        </w:rPr>
        <w:t>146</w:t>
      </w:r>
      <w:r w:rsidRPr="00C34531">
        <w:rPr>
          <w:lang w:val="it-IT"/>
        </w:rPr>
        <w:t>:S468-S.</w:t>
      </w:r>
    </w:p>
    <w:p w14:paraId="7D155DD1" w14:textId="5AE99DED" w:rsidR="00EF35F3" w:rsidRPr="00EF35F3" w:rsidRDefault="00EF35F3" w:rsidP="00EF35F3">
      <w:pPr>
        <w:pStyle w:val="EndNoteBibliography"/>
        <w:spacing w:after="0"/>
      </w:pPr>
      <w:r w:rsidRPr="00C34531">
        <w:rPr>
          <w:lang w:val="it-IT"/>
        </w:rPr>
        <w:t>428.</w:t>
      </w:r>
      <w:r w:rsidRPr="00C34531">
        <w:rPr>
          <w:lang w:val="it-IT"/>
        </w:rPr>
        <w:tab/>
        <w:t>Herraiz-Nicuesa L, Tejera-Alhambra M, Garcia-Segovia A, Ramos-Medina R, Alonso B, Gil-Pulido J</w:t>
      </w:r>
      <w:r w:rsidRPr="00C34531">
        <w:rPr>
          <w:i/>
          <w:lang w:val="it-IT"/>
        </w:rPr>
        <w:t>, et al.</w:t>
      </w:r>
      <w:r w:rsidRPr="00C34531">
        <w:rPr>
          <w:lang w:val="it-IT"/>
        </w:rPr>
        <w:t xml:space="preserve"> </w:t>
      </w:r>
      <w:r w:rsidRPr="00EF35F3">
        <w:t xml:space="preserve">Increasing prevalence of undiagnosed celiac disease in spanish women with recurrent reproductive failure. </w:t>
      </w:r>
      <w:r w:rsidRPr="00EF35F3">
        <w:rPr>
          <w:i/>
        </w:rPr>
        <w:t>Human Reproduction</w:t>
      </w:r>
      <w:r w:rsidRPr="00EF35F3">
        <w:t xml:space="preserve"> 2013;</w:t>
      </w:r>
      <w:r w:rsidRPr="00EF35F3">
        <w:rPr>
          <w:b/>
        </w:rPr>
        <w:t>28</w:t>
      </w:r>
      <w:r w:rsidRPr="00EF35F3">
        <w:t xml:space="preserve">. </w:t>
      </w:r>
      <w:hyperlink r:id="rId366" w:history="1">
        <w:r w:rsidRPr="00EF35F3">
          <w:rPr>
            <w:rStyle w:val="Hyperlink"/>
          </w:rPr>
          <w:t>https://doi.org/http://dx.doi.org/10.1093/humrep/det209</w:t>
        </w:r>
      </w:hyperlink>
    </w:p>
    <w:p w14:paraId="014E7A04" w14:textId="44E65180" w:rsidR="00EF35F3" w:rsidRPr="00EF35F3" w:rsidRDefault="00EF35F3" w:rsidP="00EF35F3">
      <w:pPr>
        <w:pStyle w:val="EndNoteBibliography"/>
        <w:spacing w:after="0"/>
      </w:pPr>
      <w:r w:rsidRPr="00EF35F3">
        <w:t>429.</w:t>
      </w:r>
      <w:r w:rsidRPr="00EF35F3">
        <w:tab/>
        <w:t>Kumar A, Meena M, Begum N, Kumar N, Gupta RK, Aggarwal S</w:t>
      </w:r>
      <w:r w:rsidRPr="00EF35F3">
        <w:rPr>
          <w:i/>
        </w:rPr>
        <w:t>, et al.</w:t>
      </w:r>
      <w:r w:rsidRPr="00EF35F3">
        <w:t xml:space="preserve"> Latent celiac disease in reproductive performance of women. </w:t>
      </w:r>
      <w:r w:rsidRPr="00EF35F3">
        <w:rPr>
          <w:i/>
        </w:rPr>
        <w:t>Fertility and Sterility</w:t>
      </w:r>
      <w:r w:rsidRPr="00EF35F3">
        <w:t xml:space="preserve"> 2011;</w:t>
      </w:r>
      <w:r w:rsidRPr="00EF35F3">
        <w:rPr>
          <w:b/>
        </w:rPr>
        <w:t>95</w:t>
      </w:r>
      <w:r w:rsidRPr="00EF35F3">
        <w:t xml:space="preserve">:922-7. </w:t>
      </w:r>
      <w:hyperlink r:id="rId367" w:history="1">
        <w:r w:rsidRPr="00EF35F3">
          <w:rPr>
            <w:rStyle w:val="Hyperlink"/>
          </w:rPr>
          <w:t>https://doi.org/http://dx.doi.org/10.1016/j.fertnstert.2010.11.005</w:t>
        </w:r>
      </w:hyperlink>
    </w:p>
    <w:p w14:paraId="13C6DF64" w14:textId="62B79A95" w:rsidR="00EF35F3" w:rsidRPr="00EF35F3" w:rsidRDefault="00EF35F3" w:rsidP="00EF35F3">
      <w:pPr>
        <w:pStyle w:val="EndNoteBibliography"/>
        <w:spacing w:after="0"/>
      </w:pPr>
      <w:r w:rsidRPr="00EF35F3">
        <w:t>430.</w:t>
      </w:r>
      <w:r w:rsidRPr="00EF35F3">
        <w:tab/>
        <w:t xml:space="preserve">Kutteh MA, Abiad M, Norman GL, Kutteh WH. Comparison of celiac disease markers in women with early recurrent pregnancy loss and normal controls. </w:t>
      </w:r>
      <w:r w:rsidRPr="00EF35F3">
        <w:rPr>
          <w:i/>
        </w:rPr>
        <w:t>American Journal of Reproductive Immunology</w:t>
      </w:r>
      <w:r w:rsidRPr="00EF35F3">
        <w:t xml:space="preserve"> 2019;</w:t>
      </w:r>
      <w:r w:rsidRPr="00EF35F3">
        <w:rPr>
          <w:b/>
        </w:rPr>
        <w:t>82</w:t>
      </w:r>
      <w:r w:rsidRPr="00EF35F3">
        <w:t xml:space="preserve">:e13127. </w:t>
      </w:r>
      <w:hyperlink r:id="rId368" w:history="1">
        <w:r w:rsidRPr="00EF35F3">
          <w:rPr>
            <w:rStyle w:val="Hyperlink"/>
          </w:rPr>
          <w:t>https://doi.org/http://dx.doi.org/10.1111/aji.13127</w:t>
        </w:r>
      </w:hyperlink>
    </w:p>
    <w:p w14:paraId="48362036" w14:textId="688330DE" w:rsidR="00EF35F3" w:rsidRPr="00EF35F3" w:rsidRDefault="00EF35F3" w:rsidP="00EF35F3">
      <w:pPr>
        <w:pStyle w:val="EndNoteBibliography"/>
        <w:spacing w:after="0"/>
      </w:pPr>
      <w:r w:rsidRPr="00EF35F3">
        <w:t>431.</w:t>
      </w:r>
      <w:r w:rsidRPr="00EF35F3">
        <w:tab/>
        <w:t xml:space="preserve">Sarikaya E, Tokmak A, Aksoy RT, Pekcan MK, Alisik M, Alkan A. The Association Between Serological Markers of Celiac Disease and Idiopathic Recurrent Pregnancy Loss. </w:t>
      </w:r>
      <w:r w:rsidRPr="00EF35F3">
        <w:rPr>
          <w:i/>
        </w:rPr>
        <w:t>Fetal and Pediatric Pathology</w:t>
      </w:r>
      <w:r w:rsidRPr="00EF35F3">
        <w:t xml:space="preserve"> 2017;</w:t>
      </w:r>
      <w:r w:rsidRPr="00EF35F3">
        <w:rPr>
          <w:b/>
        </w:rPr>
        <w:t>36</w:t>
      </w:r>
      <w:r w:rsidRPr="00EF35F3">
        <w:t xml:space="preserve">:373-9. </w:t>
      </w:r>
      <w:hyperlink r:id="rId369" w:history="1">
        <w:r w:rsidRPr="00EF35F3">
          <w:rPr>
            <w:rStyle w:val="Hyperlink"/>
          </w:rPr>
          <w:t>https://doi.org/http://dx.doi.org/10.1080/15513815.2017.1346018</w:t>
        </w:r>
      </w:hyperlink>
    </w:p>
    <w:p w14:paraId="2E8285A9" w14:textId="2CED11DB" w:rsidR="00EF35F3" w:rsidRPr="00C34531" w:rsidRDefault="00EF35F3" w:rsidP="00EF35F3">
      <w:pPr>
        <w:pStyle w:val="EndNoteBibliography"/>
        <w:spacing w:after="0"/>
        <w:rPr>
          <w:lang w:val="it-IT"/>
        </w:rPr>
      </w:pPr>
      <w:r w:rsidRPr="00EF35F3">
        <w:t>432.</w:t>
      </w:r>
      <w:r w:rsidRPr="00EF35F3">
        <w:tab/>
        <w:t xml:space="preserve">Shamaly H, Mahameed A, Sharony A, Shamir R. Infertility and celiac disease: Do we need more than one serological marker? </w:t>
      </w:r>
      <w:r w:rsidRPr="00C34531">
        <w:rPr>
          <w:i/>
          <w:lang w:val="it-IT"/>
        </w:rPr>
        <w:t>Acta Obstetricia et Gynecologica Scandinavica</w:t>
      </w:r>
      <w:r w:rsidRPr="00C34531">
        <w:rPr>
          <w:lang w:val="it-IT"/>
        </w:rPr>
        <w:t xml:space="preserve"> 2004;</w:t>
      </w:r>
      <w:r w:rsidRPr="00C34531">
        <w:rPr>
          <w:b/>
          <w:lang w:val="it-IT"/>
        </w:rPr>
        <w:t>83</w:t>
      </w:r>
      <w:r w:rsidRPr="00C34531">
        <w:rPr>
          <w:lang w:val="it-IT"/>
        </w:rPr>
        <w:t xml:space="preserve">:1184-8. </w:t>
      </w:r>
      <w:hyperlink r:id="rId370" w:history="1">
        <w:r w:rsidRPr="00C34531">
          <w:rPr>
            <w:rStyle w:val="Hyperlink"/>
            <w:lang w:val="it-IT"/>
          </w:rPr>
          <w:t>https://doi.org/http://dx.doi.org/10.1111/j.0001-6349.2004.00592.x</w:t>
        </w:r>
      </w:hyperlink>
    </w:p>
    <w:p w14:paraId="10E6C789" w14:textId="3F22F4DE" w:rsidR="00EF35F3" w:rsidRPr="00EF35F3" w:rsidRDefault="00EF35F3" w:rsidP="00EF35F3">
      <w:pPr>
        <w:pStyle w:val="EndNoteBibliography"/>
        <w:spacing w:after="0"/>
      </w:pPr>
      <w:r w:rsidRPr="00C34531">
        <w:rPr>
          <w:lang w:val="it-IT"/>
        </w:rPr>
        <w:t>433.</w:t>
      </w:r>
      <w:r w:rsidRPr="00C34531">
        <w:rPr>
          <w:lang w:val="it-IT"/>
        </w:rPr>
        <w:tab/>
        <w:t xml:space="preserve">Sharshiner R, Romero S, Silver R, Branch DW. </w:t>
      </w:r>
      <w:r w:rsidRPr="00EF35F3">
        <w:t xml:space="preserve">Celiac disease serum markers and recurrent pregnancy loss. </w:t>
      </w:r>
      <w:r w:rsidRPr="00EF35F3">
        <w:rPr>
          <w:i/>
        </w:rPr>
        <w:t>American Journal of Obstetrics and Gynecology</w:t>
      </w:r>
      <w:r w:rsidRPr="00EF35F3">
        <w:t xml:space="preserve"> 2013;</w:t>
      </w:r>
      <w:r w:rsidRPr="00EF35F3">
        <w:rPr>
          <w:b/>
        </w:rPr>
        <w:t>208</w:t>
      </w:r>
      <w:r w:rsidRPr="00EF35F3">
        <w:t xml:space="preserve">:S75-S6. </w:t>
      </w:r>
      <w:hyperlink r:id="rId371" w:history="1">
        <w:r w:rsidRPr="00EF35F3">
          <w:rPr>
            <w:rStyle w:val="Hyperlink"/>
          </w:rPr>
          <w:t>https://doi.org/http://dx.doi.org/10.1016/j.ajog.2012.10.315</w:t>
        </w:r>
      </w:hyperlink>
    </w:p>
    <w:p w14:paraId="3BB7921B" w14:textId="4879AC17" w:rsidR="00EF35F3" w:rsidRPr="00EF35F3" w:rsidRDefault="00EF35F3" w:rsidP="00EF35F3">
      <w:pPr>
        <w:pStyle w:val="EndNoteBibliography"/>
        <w:spacing w:after="0"/>
      </w:pPr>
      <w:r w:rsidRPr="00EF35F3">
        <w:t>434.</w:t>
      </w:r>
      <w:r w:rsidRPr="00EF35F3">
        <w:tab/>
        <w:t xml:space="preserve">Tiboni GM, de Vita MG, Faricelli R, Giampietro F, Liberati M. Serological testing for celiac disease in women undergoing assisted reproduction techniques. </w:t>
      </w:r>
      <w:r w:rsidRPr="00EF35F3">
        <w:rPr>
          <w:i/>
        </w:rPr>
        <w:t>Human Reproduction</w:t>
      </w:r>
      <w:r w:rsidRPr="00EF35F3">
        <w:t xml:space="preserve"> 2006;</w:t>
      </w:r>
      <w:r w:rsidRPr="00EF35F3">
        <w:rPr>
          <w:b/>
        </w:rPr>
        <w:t>21</w:t>
      </w:r>
      <w:r w:rsidRPr="00EF35F3">
        <w:t xml:space="preserve">:376-9. </w:t>
      </w:r>
      <w:hyperlink r:id="rId372" w:history="1">
        <w:r w:rsidRPr="00EF35F3">
          <w:rPr>
            <w:rStyle w:val="Hyperlink"/>
          </w:rPr>
          <w:t>https://doi.org/http://dx.doi.org/10.1093/humrep/dei314</w:t>
        </w:r>
      </w:hyperlink>
    </w:p>
    <w:p w14:paraId="4F36AA8B" w14:textId="42BF9A64" w:rsidR="00EF35F3" w:rsidRPr="00EF35F3" w:rsidRDefault="00EF35F3" w:rsidP="00EF35F3">
      <w:pPr>
        <w:pStyle w:val="EndNoteBibliography"/>
        <w:spacing w:after="0"/>
      </w:pPr>
      <w:r w:rsidRPr="00EF35F3">
        <w:t>435.</w:t>
      </w:r>
      <w:r w:rsidRPr="00EF35F3">
        <w:tab/>
        <w:t xml:space="preserve">Zahmatkeshan M. Prevalence of coeliac disease in infertile women. </w:t>
      </w:r>
      <w:r w:rsidRPr="00EF35F3">
        <w:rPr>
          <w:i/>
        </w:rPr>
        <w:t>Journal of Pediatric Gastroenterology and Nutrition</w:t>
      </w:r>
      <w:r w:rsidRPr="00EF35F3">
        <w:t xml:space="preserve"> 2019;</w:t>
      </w:r>
      <w:r w:rsidRPr="00EF35F3">
        <w:rPr>
          <w:b/>
        </w:rPr>
        <w:t>68</w:t>
      </w:r>
      <w:r w:rsidRPr="00EF35F3">
        <w:t xml:space="preserve">:199. </w:t>
      </w:r>
      <w:hyperlink r:id="rId373" w:history="1">
        <w:r w:rsidRPr="00EF35F3">
          <w:rPr>
            <w:rStyle w:val="Hyperlink"/>
          </w:rPr>
          <w:t>https://doi.org/http://dx.doi.org/10.1097/MPG.0000000000002403</w:t>
        </w:r>
      </w:hyperlink>
    </w:p>
    <w:p w14:paraId="31FF0ECC" w14:textId="37F03BAE" w:rsidR="00EF35F3" w:rsidRPr="00C34531" w:rsidRDefault="00EF35F3" w:rsidP="00EF35F3">
      <w:pPr>
        <w:pStyle w:val="EndNoteBibliography"/>
        <w:spacing w:after="0"/>
        <w:rPr>
          <w:lang w:val="it-IT"/>
        </w:rPr>
      </w:pPr>
      <w:r w:rsidRPr="00EF35F3">
        <w:t>436.</w:t>
      </w:r>
      <w:r w:rsidRPr="00EF35F3">
        <w:tab/>
        <w:t>Celdir MG, Choung RS, Rostamkolaei SK, Jansson-Knodell CL, King KS, Larson JJ</w:t>
      </w:r>
      <w:r w:rsidRPr="00EF35F3">
        <w:rPr>
          <w:i/>
        </w:rPr>
        <w:t>, et al.</w:t>
      </w:r>
      <w:r w:rsidRPr="00EF35F3">
        <w:t xml:space="preserve"> Reproductive Characteristics and Pregnancy Outcomes in Hidden Celiac Disease Autoimmunity. </w:t>
      </w:r>
      <w:r w:rsidRPr="00C34531">
        <w:rPr>
          <w:i/>
          <w:lang w:val="it-IT"/>
        </w:rPr>
        <w:t>American Journal of Gastroenterology</w:t>
      </w:r>
      <w:r w:rsidRPr="00C34531">
        <w:rPr>
          <w:lang w:val="it-IT"/>
        </w:rPr>
        <w:t xml:space="preserve"> 2021;</w:t>
      </w:r>
      <w:r w:rsidRPr="00C34531">
        <w:rPr>
          <w:b/>
          <w:lang w:val="it-IT"/>
        </w:rPr>
        <w:t>116</w:t>
      </w:r>
      <w:r w:rsidRPr="00C34531">
        <w:rPr>
          <w:lang w:val="it-IT"/>
        </w:rPr>
        <w:t xml:space="preserve">:593-9. </w:t>
      </w:r>
      <w:hyperlink r:id="rId374" w:history="1">
        <w:r w:rsidRPr="00C34531">
          <w:rPr>
            <w:rStyle w:val="Hyperlink"/>
            <w:lang w:val="it-IT"/>
          </w:rPr>
          <w:t>https://doi.org/https://dx.doi.org/10.14309/ajg.0000000000001148</w:t>
        </w:r>
      </w:hyperlink>
    </w:p>
    <w:p w14:paraId="7B743014" w14:textId="77777777" w:rsidR="00EF35F3" w:rsidRPr="00C34531" w:rsidRDefault="00EF35F3" w:rsidP="00EF35F3">
      <w:pPr>
        <w:pStyle w:val="EndNoteBibliography"/>
        <w:spacing w:after="0"/>
        <w:rPr>
          <w:lang w:val="it-IT"/>
        </w:rPr>
      </w:pPr>
      <w:r w:rsidRPr="00C34531">
        <w:rPr>
          <w:lang w:val="it-IT"/>
        </w:rPr>
        <w:lastRenderedPageBreak/>
        <w:t>437.</w:t>
      </w:r>
      <w:r w:rsidRPr="00C34531">
        <w:rPr>
          <w:lang w:val="it-IT"/>
        </w:rPr>
        <w:tab/>
        <w:t>Martinelli P, Troncone R, Paparo F, Torre P, Trapanese E, Fasano C</w:t>
      </w:r>
      <w:r w:rsidRPr="00C34531">
        <w:rPr>
          <w:i/>
          <w:lang w:val="it-IT"/>
        </w:rPr>
        <w:t>, et al.</w:t>
      </w:r>
      <w:r w:rsidRPr="00C34531">
        <w:rPr>
          <w:lang w:val="it-IT"/>
        </w:rPr>
        <w:t xml:space="preserve"> Coeliac disease and unfavourable outcome of pregnancy. </w:t>
      </w:r>
      <w:r w:rsidRPr="00C34531">
        <w:rPr>
          <w:i/>
          <w:lang w:val="it-IT"/>
        </w:rPr>
        <w:t>Gut</w:t>
      </w:r>
      <w:r w:rsidRPr="00C34531">
        <w:rPr>
          <w:lang w:val="it-IT"/>
        </w:rPr>
        <w:t xml:space="preserve"> 2000;</w:t>
      </w:r>
      <w:r w:rsidRPr="00C34531">
        <w:rPr>
          <w:b/>
          <w:lang w:val="it-IT"/>
        </w:rPr>
        <w:t>46</w:t>
      </w:r>
      <w:r w:rsidRPr="00C34531">
        <w:rPr>
          <w:lang w:val="it-IT"/>
        </w:rPr>
        <w:t>:332-5.</w:t>
      </w:r>
    </w:p>
    <w:p w14:paraId="63670305" w14:textId="4D9A8824" w:rsidR="00EF35F3" w:rsidRPr="00C34531" w:rsidRDefault="00EF35F3" w:rsidP="00EF35F3">
      <w:pPr>
        <w:pStyle w:val="EndNoteBibliography"/>
        <w:spacing w:after="0"/>
        <w:rPr>
          <w:lang w:val="it-IT"/>
        </w:rPr>
      </w:pPr>
      <w:r w:rsidRPr="00C34531">
        <w:rPr>
          <w:lang w:val="it-IT"/>
        </w:rPr>
        <w:t>438.</w:t>
      </w:r>
      <w:r w:rsidRPr="00C34531">
        <w:rPr>
          <w:lang w:val="it-IT"/>
        </w:rPr>
        <w:tab/>
        <w:t>Mohammed MA, Elrabbat AM, Omar NM, Shebl AM, Mansour AH, Elmasry E</w:t>
      </w:r>
      <w:r w:rsidRPr="00C34531">
        <w:rPr>
          <w:i/>
          <w:lang w:val="it-IT"/>
        </w:rPr>
        <w:t>, et al.</w:t>
      </w:r>
      <w:r w:rsidRPr="00C34531">
        <w:rPr>
          <w:lang w:val="it-IT"/>
        </w:rPr>
        <w:t xml:space="preserve"> </w:t>
      </w:r>
      <w:r w:rsidRPr="00EF35F3">
        <w:t xml:space="preserve">Celiac disease prevalence and its HLA-genotypic profile in Egyptian patients with type 1 diabetes mellitus. </w:t>
      </w:r>
      <w:r w:rsidRPr="00C34531">
        <w:rPr>
          <w:i/>
          <w:lang w:val="it-IT"/>
        </w:rPr>
        <w:t>Trends in Medical Research</w:t>
      </w:r>
      <w:r w:rsidRPr="00C34531">
        <w:rPr>
          <w:lang w:val="it-IT"/>
        </w:rPr>
        <w:t xml:space="preserve"> 2014;</w:t>
      </w:r>
      <w:r w:rsidRPr="00C34531">
        <w:rPr>
          <w:b/>
          <w:lang w:val="it-IT"/>
        </w:rPr>
        <w:t>9</w:t>
      </w:r>
      <w:r w:rsidRPr="00C34531">
        <w:rPr>
          <w:lang w:val="it-IT"/>
        </w:rPr>
        <w:t xml:space="preserve">:81-97. </w:t>
      </w:r>
      <w:hyperlink r:id="rId375" w:history="1">
        <w:r w:rsidRPr="00C34531">
          <w:rPr>
            <w:rStyle w:val="Hyperlink"/>
            <w:lang w:val="it-IT"/>
          </w:rPr>
          <w:t>https://doi.org/http://dx.doi.org/10.3923/tmr.2014.81.97</w:t>
        </w:r>
      </w:hyperlink>
    </w:p>
    <w:p w14:paraId="14005911" w14:textId="3EB499F6" w:rsidR="00EF35F3" w:rsidRPr="00EF35F3" w:rsidRDefault="00EF35F3" w:rsidP="00EF35F3">
      <w:pPr>
        <w:pStyle w:val="EndNoteBibliography"/>
        <w:spacing w:after="0"/>
      </w:pPr>
      <w:r w:rsidRPr="00C34531">
        <w:rPr>
          <w:lang w:val="it-IT"/>
        </w:rPr>
        <w:t>439.</w:t>
      </w:r>
      <w:r w:rsidRPr="00C34531">
        <w:rPr>
          <w:lang w:val="it-IT"/>
        </w:rPr>
        <w:tab/>
        <w:t>Picarelli A, Sabbatella L, Di Tola M, Vetrano S, Casale C, Anania MC</w:t>
      </w:r>
      <w:r w:rsidRPr="00C34531">
        <w:rPr>
          <w:i/>
          <w:lang w:val="it-IT"/>
        </w:rPr>
        <w:t>, et al.</w:t>
      </w:r>
      <w:r w:rsidRPr="00C34531">
        <w:rPr>
          <w:lang w:val="it-IT"/>
        </w:rPr>
        <w:t xml:space="preserve"> </w:t>
      </w:r>
      <w:r w:rsidRPr="00EF35F3">
        <w:t xml:space="preserve">Anti-endomysial antibody of IgG1 isotype detection strongly increases the prevalence of coeliac disease in patients affected by type I diabetes mellitus. </w:t>
      </w:r>
      <w:r w:rsidRPr="00EF35F3">
        <w:rPr>
          <w:i/>
        </w:rPr>
        <w:t>Clinical and Experimental Immunology</w:t>
      </w:r>
      <w:r w:rsidRPr="00EF35F3">
        <w:t xml:space="preserve"> 2005;</w:t>
      </w:r>
      <w:r w:rsidRPr="00EF35F3">
        <w:rPr>
          <w:b/>
        </w:rPr>
        <w:t>142</w:t>
      </w:r>
      <w:r w:rsidRPr="00EF35F3">
        <w:t xml:space="preserve">:111-5. </w:t>
      </w:r>
      <w:hyperlink r:id="rId376" w:history="1">
        <w:r w:rsidRPr="00EF35F3">
          <w:rPr>
            <w:rStyle w:val="Hyperlink"/>
          </w:rPr>
          <w:t>https://doi.org/http://dx.doi.org/10.1111/j.1365-2249.2005.02866.x</w:t>
        </w:r>
      </w:hyperlink>
    </w:p>
    <w:p w14:paraId="4FED7C27" w14:textId="5A4BA34A" w:rsidR="00EF35F3" w:rsidRPr="00EF35F3" w:rsidRDefault="00EF35F3" w:rsidP="00EF35F3">
      <w:pPr>
        <w:pStyle w:val="EndNoteBibliography"/>
        <w:spacing w:after="0"/>
      </w:pPr>
      <w:r w:rsidRPr="00EF35F3">
        <w:t>440.</w:t>
      </w:r>
      <w:r w:rsidRPr="00EF35F3">
        <w:tab/>
        <w:t xml:space="preserve">Dagdelen S, Hascelik G, Bayraktar M. Simultaneous triple organ specific autoantibody profiling in adult patients with type 1 diabetes mellitus and their first-degree relatives. </w:t>
      </w:r>
      <w:r w:rsidRPr="00EF35F3">
        <w:rPr>
          <w:i/>
        </w:rPr>
        <w:t>International Journal of Clinical Practice</w:t>
      </w:r>
      <w:r w:rsidRPr="00EF35F3">
        <w:t xml:space="preserve"> 2009;</w:t>
      </w:r>
      <w:r w:rsidRPr="00EF35F3">
        <w:rPr>
          <w:b/>
        </w:rPr>
        <w:t>63</w:t>
      </w:r>
      <w:r w:rsidRPr="00EF35F3">
        <w:t xml:space="preserve">:449-56. </w:t>
      </w:r>
      <w:hyperlink r:id="rId377" w:history="1">
        <w:r w:rsidRPr="00EF35F3">
          <w:rPr>
            <w:rStyle w:val="Hyperlink"/>
          </w:rPr>
          <w:t>https://doi.org/10.1111/j.1742-1241.2007.01619.x</w:t>
        </w:r>
      </w:hyperlink>
    </w:p>
    <w:p w14:paraId="51B35F7C" w14:textId="77777777" w:rsidR="00EF35F3" w:rsidRPr="00EF35F3" w:rsidRDefault="00EF35F3" w:rsidP="00EF35F3">
      <w:pPr>
        <w:pStyle w:val="EndNoteBibliography"/>
        <w:spacing w:after="0"/>
      </w:pPr>
      <w:r w:rsidRPr="00EF35F3">
        <w:t>441.</w:t>
      </w:r>
      <w:r w:rsidRPr="00EF35F3">
        <w:tab/>
        <w:t>Guvenc S, Kaymakoglu S, Gurel N, Karsidag K, Demir K, Dincer D</w:t>
      </w:r>
      <w:r w:rsidRPr="00EF35F3">
        <w:rPr>
          <w:i/>
        </w:rPr>
        <w:t>, et al.</w:t>
      </w:r>
      <w:r w:rsidRPr="00EF35F3">
        <w:t xml:space="preserve"> The prevalence of manifest and latent celiac disease in type 1 diabetes mellitus. </w:t>
      </w:r>
      <w:r w:rsidRPr="00EF35F3">
        <w:rPr>
          <w:i/>
        </w:rPr>
        <w:t>Turkish Journal of Gastroenterology</w:t>
      </w:r>
      <w:r w:rsidRPr="00EF35F3">
        <w:t xml:space="preserve"> 2002;</w:t>
      </w:r>
      <w:r w:rsidRPr="00EF35F3">
        <w:rPr>
          <w:b/>
        </w:rPr>
        <w:t>13</w:t>
      </w:r>
      <w:r w:rsidRPr="00EF35F3">
        <w:t>:103-7.</w:t>
      </w:r>
    </w:p>
    <w:p w14:paraId="15DF434E" w14:textId="435F66F6" w:rsidR="00EF35F3" w:rsidRPr="00EF35F3" w:rsidRDefault="00EF35F3" w:rsidP="00EF35F3">
      <w:pPr>
        <w:pStyle w:val="EndNoteBibliography"/>
        <w:spacing w:after="0"/>
      </w:pPr>
      <w:r w:rsidRPr="00EF35F3">
        <w:t>442.</w:t>
      </w:r>
      <w:r w:rsidRPr="00EF35F3">
        <w:tab/>
        <w:t>Hanukoglu A, Mizrachi A, Dalal I, Admoni O, Rakover Y, Bistritzer Z</w:t>
      </w:r>
      <w:r w:rsidRPr="00EF35F3">
        <w:rPr>
          <w:i/>
        </w:rPr>
        <w:t>, et al.</w:t>
      </w:r>
      <w:r w:rsidRPr="00EF35F3">
        <w:t xml:space="preserve"> Extrapancreatic autoimmune manifestations in type 1 diabetes patients and their first-degree relatives: A multicenter study. </w:t>
      </w:r>
      <w:r w:rsidRPr="00EF35F3">
        <w:rPr>
          <w:i/>
        </w:rPr>
        <w:t>Diabetes Care</w:t>
      </w:r>
      <w:r w:rsidRPr="00EF35F3">
        <w:t xml:space="preserve"> 2003;</w:t>
      </w:r>
      <w:r w:rsidRPr="00EF35F3">
        <w:rPr>
          <w:b/>
        </w:rPr>
        <w:t>26</w:t>
      </w:r>
      <w:r w:rsidRPr="00EF35F3">
        <w:t xml:space="preserve">:1235-40. </w:t>
      </w:r>
      <w:hyperlink r:id="rId378" w:history="1">
        <w:r w:rsidRPr="00EF35F3">
          <w:rPr>
            <w:rStyle w:val="Hyperlink"/>
          </w:rPr>
          <w:t>https://doi.org/http://dx.doi.org/10.2337/diacare.26.4.1235</w:t>
        </w:r>
      </w:hyperlink>
    </w:p>
    <w:p w14:paraId="56101000" w14:textId="10C8C10C" w:rsidR="00EF35F3" w:rsidRPr="00EF35F3" w:rsidRDefault="00EF35F3" w:rsidP="00EF35F3">
      <w:pPr>
        <w:pStyle w:val="EndNoteBibliography"/>
        <w:spacing w:after="0"/>
      </w:pPr>
      <w:r w:rsidRPr="00EF35F3">
        <w:t>443.</w:t>
      </w:r>
      <w:r w:rsidRPr="00EF35F3">
        <w:tab/>
        <w:t>Kurien M, Leeds JS, Hopper AD, Wild G, Egner W, Tesfaye S</w:t>
      </w:r>
      <w:r w:rsidRPr="00EF35F3">
        <w:rPr>
          <w:i/>
        </w:rPr>
        <w:t>, et al.</w:t>
      </w:r>
      <w:r w:rsidRPr="00EF35F3">
        <w:t xml:space="preserve"> Serological testing for coeliac disease in Type 1 diabetes mellitus: Is immunoglobulin A level measurement necessary? </w:t>
      </w:r>
      <w:r w:rsidRPr="00EF35F3">
        <w:rPr>
          <w:i/>
        </w:rPr>
        <w:t>Diabetic Medicine</w:t>
      </w:r>
      <w:r w:rsidRPr="00EF35F3">
        <w:t xml:space="preserve"> 2013;</w:t>
      </w:r>
      <w:r w:rsidRPr="00EF35F3">
        <w:rPr>
          <w:b/>
        </w:rPr>
        <w:t>30</w:t>
      </w:r>
      <w:r w:rsidRPr="00EF35F3">
        <w:t xml:space="preserve">:840-5. </w:t>
      </w:r>
      <w:hyperlink r:id="rId379" w:history="1">
        <w:r w:rsidRPr="00EF35F3">
          <w:rPr>
            <w:rStyle w:val="Hyperlink"/>
          </w:rPr>
          <w:t>https://doi.org/http://dx.doi.org/10.1111/dme.12163</w:t>
        </w:r>
      </w:hyperlink>
    </w:p>
    <w:p w14:paraId="03D7E1B3" w14:textId="4AA17925" w:rsidR="00EF35F3" w:rsidRPr="00EF35F3" w:rsidRDefault="00EF35F3" w:rsidP="00EF35F3">
      <w:pPr>
        <w:pStyle w:val="EndNoteBibliography"/>
        <w:spacing w:after="0"/>
      </w:pPr>
      <w:r w:rsidRPr="00EF35F3">
        <w:t>444.</w:t>
      </w:r>
      <w:r w:rsidRPr="00EF35F3">
        <w:tab/>
        <w:t xml:space="preserve">Shivaprasad C, Kolly A, Pulikkal A, Kumar KMP. High prevalence of organ specific autoantibodies in Indian type 1 diabetic patients. </w:t>
      </w:r>
      <w:r w:rsidRPr="00EF35F3">
        <w:rPr>
          <w:i/>
        </w:rPr>
        <w:t>Journal of Pediatric Endocrinology &amp; Metabolism</w:t>
      </w:r>
      <w:r w:rsidRPr="00EF35F3">
        <w:t xml:space="preserve"> 2017;</w:t>
      </w:r>
      <w:r w:rsidRPr="00EF35F3">
        <w:rPr>
          <w:b/>
        </w:rPr>
        <w:t>30</w:t>
      </w:r>
      <w:r w:rsidRPr="00EF35F3">
        <w:t xml:space="preserve">:707-12. </w:t>
      </w:r>
      <w:hyperlink r:id="rId380" w:history="1">
        <w:r w:rsidRPr="00EF35F3">
          <w:rPr>
            <w:rStyle w:val="Hyperlink"/>
          </w:rPr>
          <w:t>https://doi.org/10.1515/jpem-2017-0011</w:t>
        </w:r>
      </w:hyperlink>
    </w:p>
    <w:p w14:paraId="35F6B532" w14:textId="27026241" w:rsidR="00EF35F3" w:rsidRPr="00EF35F3" w:rsidRDefault="00EF35F3" w:rsidP="00EF35F3">
      <w:pPr>
        <w:pStyle w:val="EndNoteBibliography"/>
        <w:spacing w:after="0"/>
      </w:pPr>
      <w:r w:rsidRPr="00EF35F3">
        <w:t>445.</w:t>
      </w:r>
      <w:r w:rsidRPr="00EF35F3">
        <w:tab/>
        <w:t>Zhao Z, Zou J, Zhao L, Cheng Y, Cai H, Li M</w:t>
      </w:r>
      <w:r w:rsidRPr="00EF35F3">
        <w:rPr>
          <w:i/>
        </w:rPr>
        <w:t>, et al.</w:t>
      </w:r>
      <w:r w:rsidRPr="00EF35F3">
        <w:t xml:space="preserve"> Celiac disease autoimmunity in patients with autoimmune diabetes and thyroid disease among Chinese population. </w:t>
      </w:r>
      <w:r w:rsidRPr="00EF35F3">
        <w:rPr>
          <w:i/>
        </w:rPr>
        <w:t>PLoS ONE</w:t>
      </w:r>
      <w:r w:rsidRPr="00EF35F3">
        <w:t xml:space="preserve"> 2016;</w:t>
      </w:r>
      <w:r w:rsidRPr="00EF35F3">
        <w:rPr>
          <w:b/>
        </w:rPr>
        <w:t>11</w:t>
      </w:r>
      <w:r w:rsidRPr="00EF35F3">
        <w:t xml:space="preserve">:e0157510. </w:t>
      </w:r>
      <w:hyperlink r:id="rId381" w:history="1">
        <w:r w:rsidRPr="00EF35F3">
          <w:rPr>
            <w:rStyle w:val="Hyperlink"/>
          </w:rPr>
          <w:t>https://doi.org/http://dx.doi.org/10.1371/journal.pone.0157510</w:t>
        </w:r>
      </w:hyperlink>
    </w:p>
    <w:p w14:paraId="110E9DC3" w14:textId="5D440A19" w:rsidR="00EF35F3" w:rsidRPr="00EF35F3" w:rsidRDefault="00EF35F3" w:rsidP="00EF35F3">
      <w:pPr>
        <w:pStyle w:val="EndNoteBibliography"/>
        <w:spacing w:after="0"/>
      </w:pPr>
      <w:r w:rsidRPr="00EF35F3">
        <w:t>446.</w:t>
      </w:r>
      <w:r w:rsidRPr="00EF35F3">
        <w:tab/>
        <w:t xml:space="preserve">Abu-Zekry M, Kryszak D, Diab M, Catassi C, Fasano A. Prevalence of celiac disease in egyptian children disputes the east west agriculture-dependent spread of the disease. </w:t>
      </w:r>
      <w:r w:rsidRPr="00EF35F3">
        <w:rPr>
          <w:i/>
        </w:rPr>
        <w:t>Journal of Pediatric Gastroenterology and Nutrition</w:t>
      </w:r>
      <w:r w:rsidRPr="00EF35F3">
        <w:t xml:space="preserve"> 2008;</w:t>
      </w:r>
      <w:r w:rsidRPr="00EF35F3">
        <w:rPr>
          <w:b/>
        </w:rPr>
        <w:t>47</w:t>
      </w:r>
      <w:r w:rsidRPr="00EF35F3">
        <w:t xml:space="preserve">:136-40. </w:t>
      </w:r>
      <w:hyperlink r:id="rId382" w:history="1">
        <w:r w:rsidRPr="00EF35F3">
          <w:rPr>
            <w:rStyle w:val="Hyperlink"/>
          </w:rPr>
          <w:t>https://doi.org/http://dx.doi.org/10.1097/MPG.0b013e31815ce5d1</w:t>
        </w:r>
      </w:hyperlink>
    </w:p>
    <w:p w14:paraId="05B7E82A" w14:textId="43351AB5" w:rsidR="00EF35F3" w:rsidRPr="00EF35F3" w:rsidRDefault="00EF35F3" w:rsidP="00EF35F3">
      <w:pPr>
        <w:pStyle w:val="EndNoteBibliography"/>
        <w:spacing w:after="0"/>
      </w:pPr>
      <w:r w:rsidRPr="00EF35F3">
        <w:t>447.</w:t>
      </w:r>
      <w:r w:rsidRPr="00EF35F3">
        <w:tab/>
        <w:t>Adlercreutz EH, Svensson J, Hansen D, Buschard K, Lernmark A, Mortensen HB</w:t>
      </w:r>
      <w:r w:rsidRPr="00EF35F3">
        <w:rPr>
          <w:i/>
        </w:rPr>
        <w:t>, et al.</w:t>
      </w:r>
      <w:r w:rsidRPr="00EF35F3">
        <w:t xml:space="preserve"> Prevalence of celiac disease autoimmunity in children with type 1 diabetes: Regional variations across the Oresund strait between Denmark and southernmost Sweden. </w:t>
      </w:r>
      <w:r w:rsidRPr="00EF35F3">
        <w:rPr>
          <w:i/>
        </w:rPr>
        <w:t>Pediatric Diabetes</w:t>
      </w:r>
      <w:r w:rsidRPr="00EF35F3">
        <w:t xml:space="preserve"> 2015;</w:t>
      </w:r>
      <w:r w:rsidRPr="00EF35F3">
        <w:rPr>
          <w:b/>
        </w:rPr>
        <w:t>16</w:t>
      </w:r>
      <w:r w:rsidRPr="00EF35F3">
        <w:t xml:space="preserve">:504-9. </w:t>
      </w:r>
      <w:hyperlink r:id="rId383" w:history="1">
        <w:r w:rsidRPr="00EF35F3">
          <w:rPr>
            <w:rStyle w:val="Hyperlink"/>
          </w:rPr>
          <w:t>https://doi.org/http://dx.doi.org/10.1111/pedi.12200</w:t>
        </w:r>
      </w:hyperlink>
    </w:p>
    <w:p w14:paraId="7932EF53" w14:textId="5BB2F91A" w:rsidR="00EF35F3" w:rsidRPr="00EF35F3" w:rsidRDefault="00EF35F3" w:rsidP="00EF35F3">
      <w:pPr>
        <w:pStyle w:val="EndNoteBibliography"/>
        <w:spacing w:after="0"/>
      </w:pPr>
      <w:r w:rsidRPr="00EF35F3">
        <w:t>448.</w:t>
      </w:r>
      <w:r w:rsidRPr="00EF35F3">
        <w:tab/>
        <w:t xml:space="preserve">Aktay AN, Lee PC, Kumar V, Parton E, Wyatt DT, Werlin SL. The prevalence and clinical characteristics of celiac disease in juvenile diabetes in Wisconsin. </w:t>
      </w:r>
      <w:r w:rsidRPr="00EF35F3">
        <w:rPr>
          <w:i/>
        </w:rPr>
        <w:t>Journal of Pediatric Gastroenterology and Nutrition</w:t>
      </w:r>
      <w:r w:rsidRPr="00EF35F3">
        <w:t xml:space="preserve"> 2001;</w:t>
      </w:r>
      <w:r w:rsidRPr="00EF35F3">
        <w:rPr>
          <w:b/>
        </w:rPr>
        <w:t>33</w:t>
      </w:r>
      <w:r w:rsidRPr="00EF35F3">
        <w:t xml:space="preserve">:462-5. </w:t>
      </w:r>
      <w:hyperlink r:id="rId384" w:history="1">
        <w:r w:rsidRPr="00EF35F3">
          <w:rPr>
            <w:rStyle w:val="Hyperlink"/>
          </w:rPr>
          <w:t>https://doi.org/http://dx.doi.org/10.1097/00005176-200110000-00008</w:t>
        </w:r>
      </w:hyperlink>
    </w:p>
    <w:p w14:paraId="7FE930AC" w14:textId="115184BB" w:rsidR="00EF35F3" w:rsidRPr="00EF35F3" w:rsidRDefault="00EF35F3" w:rsidP="00EF35F3">
      <w:pPr>
        <w:pStyle w:val="EndNoteBibliography"/>
        <w:spacing w:after="0"/>
      </w:pPr>
      <w:r w:rsidRPr="00EF35F3">
        <w:t>449.</w:t>
      </w:r>
      <w:r w:rsidRPr="00EF35F3">
        <w:tab/>
        <w:t xml:space="preserve">Baptista ML, Koda YKL, Mitsunori R, Nisihara, Ioshii SO. Prevalence of celiac disease in Brazilian children and adolescents with type 1 diabetes mellitus. </w:t>
      </w:r>
      <w:r w:rsidRPr="00EF35F3">
        <w:rPr>
          <w:i/>
        </w:rPr>
        <w:t>Journal of Pediatric Gastroenterology and Nutrition</w:t>
      </w:r>
      <w:r w:rsidRPr="00EF35F3">
        <w:t xml:space="preserve"> 2005;</w:t>
      </w:r>
      <w:r w:rsidRPr="00EF35F3">
        <w:rPr>
          <w:b/>
        </w:rPr>
        <w:t>41</w:t>
      </w:r>
      <w:r w:rsidRPr="00EF35F3">
        <w:t xml:space="preserve">:621-4. </w:t>
      </w:r>
      <w:hyperlink r:id="rId385" w:history="1">
        <w:r w:rsidRPr="00EF35F3">
          <w:rPr>
            <w:rStyle w:val="Hyperlink"/>
          </w:rPr>
          <w:t>https://doi.org/http://dx.doi.org/10.1097/01.mpg.0000181400.57884.c3</w:t>
        </w:r>
      </w:hyperlink>
    </w:p>
    <w:p w14:paraId="6F64C09F" w14:textId="4271CF28" w:rsidR="00EF35F3" w:rsidRPr="00EF35F3" w:rsidRDefault="00EF35F3" w:rsidP="00EF35F3">
      <w:pPr>
        <w:pStyle w:val="EndNoteBibliography"/>
        <w:spacing w:after="0"/>
      </w:pPr>
      <w:r w:rsidRPr="00EF35F3">
        <w:t>450.</w:t>
      </w:r>
      <w:r w:rsidRPr="00EF35F3">
        <w:tab/>
        <w:t>Djuric Z, Stamenkovic H, Stankovic T, Milicevic R, Brankovic L, Ciric V</w:t>
      </w:r>
      <w:r w:rsidRPr="00EF35F3">
        <w:rPr>
          <w:i/>
        </w:rPr>
        <w:t>, et al.</w:t>
      </w:r>
      <w:r w:rsidRPr="00EF35F3">
        <w:t xml:space="preserve"> Celiac disease prevalence in children and adolescents with type 1 diabetes from Serbia. </w:t>
      </w:r>
      <w:r w:rsidRPr="00EF35F3">
        <w:rPr>
          <w:i/>
        </w:rPr>
        <w:t>Pediatrics International</w:t>
      </w:r>
      <w:r w:rsidRPr="00EF35F3">
        <w:t xml:space="preserve"> 2010;</w:t>
      </w:r>
      <w:r w:rsidRPr="00EF35F3">
        <w:rPr>
          <w:b/>
        </w:rPr>
        <w:t>52</w:t>
      </w:r>
      <w:r w:rsidRPr="00EF35F3">
        <w:t xml:space="preserve">:579-83. </w:t>
      </w:r>
      <w:hyperlink r:id="rId386" w:history="1">
        <w:r w:rsidRPr="00EF35F3">
          <w:rPr>
            <w:rStyle w:val="Hyperlink"/>
          </w:rPr>
          <w:t>https://doi.org/http://dx.doi.org/10.1111/j.1442-200X.2010.03085.x</w:t>
        </w:r>
      </w:hyperlink>
    </w:p>
    <w:p w14:paraId="26EDD118" w14:textId="3DEB95C5" w:rsidR="00EF35F3" w:rsidRPr="00EF35F3" w:rsidRDefault="00EF35F3" w:rsidP="00EF35F3">
      <w:pPr>
        <w:pStyle w:val="EndNoteBibliography"/>
        <w:spacing w:after="0"/>
      </w:pPr>
      <w:r w:rsidRPr="00EF35F3">
        <w:t>451.</w:t>
      </w:r>
      <w:r w:rsidRPr="00EF35F3">
        <w:tab/>
        <w:t>Frohnert BI, Simmons K, Liu E, Taki I, Klingensmith GJ, McFann K</w:t>
      </w:r>
      <w:r w:rsidRPr="00EF35F3">
        <w:rPr>
          <w:i/>
        </w:rPr>
        <w:t>, et al.</w:t>
      </w:r>
      <w:r w:rsidRPr="00EF35F3">
        <w:t xml:space="preserve"> Poor glycemic control and celiac disease autoimmunity are independently associated with reduced bone mineral density in children with type 1 diabetes. </w:t>
      </w:r>
      <w:r w:rsidRPr="00EF35F3">
        <w:rPr>
          <w:i/>
        </w:rPr>
        <w:t>Diabetes</w:t>
      </w:r>
      <w:r w:rsidRPr="00EF35F3">
        <w:t xml:space="preserve"> 2015;</w:t>
      </w:r>
      <w:r w:rsidRPr="00EF35F3">
        <w:rPr>
          <w:b/>
        </w:rPr>
        <w:t>64</w:t>
      </w:r>
      <w:r w:rsidRPr="00EF35F3">
        <w:t xml:space="preserve">:A72. </w:t>
      </w:r>
      <w:hyperlink r:id="rId387" w:history="1">
        <w:r w:rsidRPr="00EF35F3">
          <w:rPr>
            <w:rStyle w:val="Hyperlink"/>
          </w:rPr>
          <w:t>https://doi.org/http://dx.doi.org/10.2337/db151385</w:t>
        </w:r>
      </w:hyperlink>
    </w:p>
    <w:p w14:paraId="3FF740DB" w14:textId="77777777" w:rsidR="00EF35F3" w:rsidRPr="00EF35F3" w:rsidRDefault="00EF35F3" w:rsidP="00EF35F3">
      <w:pPr>
        <w:pStyle w:val="EndNoteBibliography"/>
        <w:spacing w:after="0"/>
      </w:pPr>
      <w:r w:rsidRPr="00EF35F3">
        <w:lastRenderedPageBreak/>
        <w:t>452.</w:t>
      </w:r>
      <w:r w:rsidRPr="00EF35F3">
        <w:tab/>
        <w:t xml:space="preserve">Gurau G, Dobre M, Nechita A. Anti-tissue transglutaminase antibodies in patients with anti-glutamate dehydrogenase positive type 1 diabetes mellitus. </w:t>
      </w:r>
      <w:r w:rsidRPr="00EF35F3">
        <w:rPr>
          <w:i/>
        </w:rPr>
        <w:t>Revista Romana De Medicina De Laborator</w:t>
      </w:r>
      <w:r w:rsidRPr="00EF35F3">
        <w:t xml:space="preserve"> 2012;</w:t>
      </w:r>
      <w:r w:rsidRPr="00EF35F3">
        <w:rPr>
          <w:b/>
        </w:rPr>
        <w:t>20</w:t>
      </w:r>
      <w:r w:rsidRPr="00EF35F3">
        <w:t>:39-46.</w:t>
      </w:r>
    </w:p>
    <w:p w14:paraId="7F3F9B63" w14:textId="2D4AECA8" w:rsidR="00EF35F3" w:rsidRPr="00EF35F3" w:rsidRDefault="00EF35F3" w:rsidP="00EF35F3">
      <w:pPr>
        <w:pStyle w:val="EndNoteBibliography"/>
        <w:spacing w:after="0"/>
      </w:pPr>
      <w:r w:rsidRPr="00EF35F3">
        <w:t>453.</w:t>
      </w:r>
      <w:r w:rsidRPr="00EF35F3">
        <w:tab/>
        <w:t xml:space="preserve">Hansson T, Dahlbom I, Tuvemo T, Frisk G. Silent coeliac disease is over-represented in children with type 1 diabetes and their siblings. </w:t>
      </w:r>
      <w:r w:rsidRPr="00EF35F3">
        <w:rPr>
          <w:i/>
        </w:rPr>
        <w:t>Acta Paediatrica, International Journal of Paediatrics</w:t>
      </w:r>
      <w:r w:rsidRPr="00EF35F3">
        <w:t xml:space="preserve"> 2015;</w:t>
      </w:r>
      <w:r w:rsidRPr="00EF35F3">
        <w:rPr>
          <w:b/>
        </w:rPr>
        <w:t>104</w:t>
      </w:r>
      <w:r w:rsidRPr="00EF35F3">
        <w:t xml:space="preserve">:185-91. </w:t>
      </w:r>
      <w:hyperlink r:id="rId388" w:history="1">
        <w:r w:rsidRPr="00EF35F3">
          <w:rPr>
            <w:rStyle w:val="Hyperlink"/>
          </w:rPr>
          <w:t>https://doi.org/http://dx.doi.org/10.1111/apa.12823</w:t>
        </w:r>
      </w:hyperlink>
    </w:p>
    <w:p w14:paraId="6AB090C5" w14:textId="53BD3A60" w:rsidR="00EF35F3" w:rsidRPr="00EF35F3" w:rsidRDefault="00EF35F3" w:rsidP="00EF35F3">
      <w:pPr>
        <w:pStyle w:val="EndNoteBibliography"/>
        <w:spacing w:after="0"/>
      </w:pPr>
      <w:r w:rsidRPr="00EF35F3">
        <w:t>454.</w:t>
      </w:r>
      <w:r w:rsidRPr="00EF35F3">
        <w:tab/>
        <w:t>Krause I, Anaya JM, Fraser A, Barzilai O, Ram M, Abad V</w:t>
      </w:r>
      <w:r w:rsidRPr="00EF35F3">
        <w:rPr>
          <w:i/>
        </w:rPr>
        <w:t>, et al.</w:t>
      </w:r>
      <w:r w:rsidRPr="00EF35F3">
        <w:t xml:space="preserve"> Anti-infectious antibodies and autoimmune-associated autoantibodies in patients with type i diabetes mellitus and their close family members. </w:t>
      </w:r>
      <w:r w:rsidRPr="00EF35F3">
        <w:rPr>
          <w:i/>
        </w:rPr>
        <w:t>Contemporary Challenges in Autoimmunity</w:t>
      </w:r>
      <w:r w:rsidRPr="00EF35F3">
        <w:t xml:space="preserve"> 2009;</w:t>
      </w:r>
      <w:r w:rsidRPr="00EF35F3">
        <w:rPr>
          <w:b/>
        </w:rPr>
        <w:t>1173</w:t>
      </w:r>
      <w:r w:rsidRPr="00EF35F3">
        <w:t xml:space="preserve">:633-9. </w:t>
      </w:r>
      <w:hyperlink r:id="rId389" w:history="1">
        <w:r w:rsidRPr="00EF35F3">
          <w:rPr>
            <w:rStyle w:val="Hyperlink"/>
          </w:rPr>
          <w:t>https://doi.org/http://dx.doi.org/10.1111/j.1749-6632.2009.04619.x</w:t>
        </w:r>
      </w:hyperlink>
    </w:p>
    <w:p w14:paraId="2171EF33" w14:textId="0AB146E1" w:rsidR="00EF35F3" w:rsidRPr="00EF35F3" w:rsidRDefault="00EF35F3" w:rsidP="00EF35F3">
      <w:pPr>
        <w:pStyle w:val="EndNoteBibliography"/>
        <w:spacing w:after="0"/>
      </w:pPr>
      <w:r w:rsidRPr="00EF35F3">
        <w:t>455.</w:t>
      </w:r>
      <w:r w:rsidRPr="00EF35F3">
        <w:tab/>
        <w:t xml:space="preserve">Soyucen E, Yilmaz S, Celtik C, Vatansever U, Oner N, Karasalihoglu S. Seroprevalence of autoimmune thyroiditis and celiac disease in children with insulin-dependent diabetes mellitus in the Thrace region of Turkey. </w:t>
      </w:r>
      <w:r w:rsidRPr="00EF35F3">
        <w:rPr>
          <w:i/>
        </w:rPr>
        <w:t>Turkish Journal of Gastroenterology</w:t>
      </w:r>
      <w:r w:rsidRPr="00EF35F3">
        <w:t xml:space="preserve"> 2010;</w:t>
      </w:r>
      <w:r w:rsidRPr="00EF35F3">
        <w:rPr>
          <w:b/>
        </w:rPr>
        <w:t>21</w:t>
      </w:r>
      <w:r w:rsidRPr="00EF35F3">
        <w:t xml:space="preserve">:231-5. </w:t>
      </w:r>
      <w:hyperlink r:id="rId390" w:history="1">
        <w:r w:rsidRPr="00EF35F3">
          <w:rPr>
            <w:rStyle w:val="Hyperlink"/>
          </w:rPr>
          <w:t>https://doi.org/http://dx.doi.org/10.4318/tjg.2010.0093</w:t>
        </w:r>
      </w:hyperlink>
    </w:p>
    <w:p w14:paraId="6002C8E8" w14:textId="0CD7A26E" w:rsidR="00EF35F3" w:rsidRPr="00EF35F3" w:rsidRDefault="00EF35F3" w:rsidP="00EF35F3">
      <w:pPr>
        <w:pStyle w:val="EndNoteBibliography"/>
        <w:spacing w:after="0"/>
      </w:pPr>
      <w:r w:rsidRPr="00EF35F3">
        <w:t>456.</w:t>
      </w:r>
      <w:r w:rsidRPr="00EF35F3">
        <w:tab/>
        <w:t xml:space="preserve">Velasco C, Ortiz C, Ruiz A. HLA typing in healthy and diabetic children with celiac disease in Cali, Colombia. </w:t>
      </w:r>
      <w:r w:rsidRPr="00EF35F3">
        <w:rPr>
          <w:i/>
        </w:rPr>
        <w:t>Journal of Pediatric Gastroenterology and Nutrition</w:t>
      </w:r>
      <w:r w:rsidRPr="00EF35F3">
        <w:t xml:space="preserve"> 2016;</w:t>
      </w:r>
      <w:r w:rsidRPr="00EF35F3">
        <w:rPr>
          <w:b/>
        </w:rPr>
        <w:t>63</w:t>
      </w:r>
      <w:r w:rsidRPr="00EF35F3">
        <w:t xml:space="preserve">:S293. </w:t>
      </w:r>
      <w:hyperlink r:id="rId391" w:history="1">
        <w:r w:rsidRPr="00EF35F3">
          <w:rPr>
            <w:rStyle w:val="Hyperlink"/>
          </w:rPr>
          <w:t>https://doi.org/http://dx.doi.org/10.1097/01.mpg.0000503536.79797.66</w:t>
        </w:r>
      </w:hyperlink>
    </w:p>
    <w:p w14:paraId="0700B15A" w14:textId="08876103" w:rsidR="00EF35F3" w:rsidRPr="00EF35F3" w:rsidRDefault="00EF35F3" w:rsidP="00EF35F3">
      <w:pPr>
        <w:pStyle w:val="EndNoteBibliography"/>
        <w:spacing w:after="0"/>
      </w:pPr>
      <w:r w:rsidRPr="00EF35F3">
        <w:t>457.</w:t>
      </w:r>
      <w:r w:rsidRPr="00EF35F3">
        <w:tab/>
        <w:t>Not T, Tommasini A, Tonini G, Buratti E, Pocecco M, Tortul C</w:t>
      </w:r>
      <w:r w:rsidRPr="00EF35F3">
        <w:rPr>
          <w:i/>
        </w:rPr>
        <w:t>, et al.</w:t>
      </w:r>
      <w:r w:rsidRPr="00EF35F3">
        <w:t xml:space="preserve"> Undiagnosed coeliac disease and risk of autoimmune disorders in subjects with Type I diabetes mellitus. </w:t>
      </w:r>
      <w:r w:rsidRPr="00EF35F3">
        <w:rPr>
          <w:i/>
        </w:rPr>
        <w:t>Diabetologia</w:t>
      </w:r>
      <w:r w:rsidRPr="00EF35F3">
        <w:t xml:space="preserve"> 2001;</w:t>
      </w:r>
      <w:r w:rsidRPr="00EF35F3">
        <w:rPr>
          <w:b/>
        </w:rPr>
        <w:t>44</w:t>
      </w:r>
      <w:r w:rsidRPr="00EF35F3">
        <w:t xml:space="preserve">:151-5. </w:t>
      </w:r>
      <w:hyperlink r:id="rId392" w:history="1">
        <w:r w:rsidRPr="00EF35F3">
          <w:rPr>
            <w:rStyle w:val="Hyperlink"/>
          </w:rPr>
          <w:t>https://doi.org/10.1007/s001250051593</w:t>
        </w:r>
      </w:hyperlink>
    </w:p>
    <w:p w14:paraId="0CDCA302" w14:textId="77777777" w:rsidR="00EF35F3" w:rsidRPr="00EF35F3" w:rsidRDefault="00EF35F3" w:rsidP="00EF35F3">
      <w:pPr>
        <w:pStyle w:val="EndNoteBibliography"/>
        <w:spacing w:after="0"/>
      </w:pPr>
      <w:r w:rsidRPr="00EF35F3">
        <w:t>458.</w:t>
      </w:r>
      <w:r w:rsidRPr="00EF35F3">
        <w:tab/>
        <w:t>Premawardhana LDKE, Wijeyaratne CN, Chen S, Wijesuriya M, Illangasekera U, Brooking H</w:t>
      </w:r>
      <w:r w:rsidRPr="00EF35F3">
        <w:rPr>
          <w:i/>
        </w:rPr>
        <w:t>, et al.</w:t>
      </w:r>
      <w:r w:rsidRPr="00EF35F3">
        <w:t xml:space="preserve"> Islet cell, thyroid, adrenal and celiac disease related autoantibodies in patients with Type 1 diabetes from Sri Lanka. </w:t>
      </w:r>
      <w:r w:rsidRPr="00EF35F3">
        <w:rPr>
          <w:i/>
        </w:rPr>
        <w:t>Journal of endocrinological investigation</w:t>
      </w:r>
      <w:r w:rsidRPr="00EF35F3">
        <w:t xml:space="preserve"> 2006;</w:t>
      </w:r>
      <w:r w:rsidRPr="00EF35F3">
        <w:rPr>
          <w:b/>
        </w:rPr>
        <w:t>29</w:t>
      </w:r>
      <w:r w:rsidRPr="00EF35F3">
        <w:t>:968-74.</w:t>
      </w:r>
    </w:p>
    <w:p w14:paraId="437CD765" w14:textId="6CBC6180" w:rsidR="00EF35F3" w:rsidRPr="00EF35F3" w:rsidRDefault="00EF35F3" w:rsidP="00EF35F3">
      <w:pPr>
        <w:pStyle w:val="EndNoteBibliography"/>
        <w:spacing w:after="0"/>
      </w:pPr>
      <w:r w:rsidRPr="00EF35F3">
        <w:t>459.</w:t>
      </w:r>
      <w:r w:rsidRPr="00EF35F3">
        <w:tab/>
        <w:t xml:space="preserve">Jaeger C, Hatziagelaki E, Petzoldt R, Bretzel RG. Comparative analysis of organ-specific autoantibodies and celiac disease-associated antibodies in type 1 diabetic patients, their first-degree relatives, and healthy control subjects. </w:t>
      </w:r>
      <w:r w:rsidRPr="00EF35F3">
        <w:rPr>
          <w:i/>
        </w:rPr>
        <w:t>Diabetes Care</w:t>
      </w:r>
      <w:r w:rsidRPr="00EF35F3">
        <w:t xml:space="preserve"> 2001;</w:t>
      </w:r>
      <w:r w:rsidRPr="00EF35F3">
        <w:rPr>
          <w:b/>
        </w:rPr>
        <w:t>24</w:t>
      </w:r>
      <w:r w:rsidRPr="00EF35F3">
        <w:t xml:space="preserve">:27-32. </w:t>
      </w:r>
      <w:hyperlink r:id="rId393" w:history="1">
        <w:r w:rsidRPr="00EF35F3">
          <w:rPr>
            <w:rStyle w:val="Hyperlink"/>
          </w:rPr>
          <w:t>https://doi.org/http://dx.doi.org/10.2337/diacare.24.1.27</w:t>
        </w:r>
      </w:hyperlink>
    </w:p>
    <w:p w14:paraId="580D8265" w14:textId="77777777" w:rsidR="00EF35F3" w:rsidRPr="00EF35F3" w:rsidRDefault="00EF35F3" w:rsidP="00EF35F3">
      <w:pPr>
        <w:pStyle w:val="EndNoteBibliography"/>
        <w:spacing w:after="0"/>
      </w:pPr>
      <w:r w:rsidRPr="00EF35F3">
        <w:t>460.</w:t>
      </w:r>
      <w:r w:rsidRPr="00EF35F3">
        <w:tab/>
        <w:t xml:space="preserve">Kanungo A, Shtauvere-Brameus A, Samal KC, Sanjeevi CB. Autoantibodies to tissue transglutaminase in patients from eastern India with malnutrition-modulated diabetes mellitus, insulin-dependent diabetes mellitus, and non-insulin-dependent diabetes mellitus. In: Sanjeevi CB, editor. </w:t>
      </w:r>
      <w:r w:rsidRPr="00EF35F3">
        <w:rPr>
          <w:i/>
        </w:rPr>
        <w:t>Immunology of Diabetes: Autoimmune Mechanisms and the Prevention and Cure of Type 1 Diabetes</w:t>
      </w:r>
      <w:r w:rsidRPr="00EF35F3">
        <w:t>; 2002:232-4.</w:t>
      </w:r>
    </w:p>
    <w:p w14:paraId="23BF434A" w14:textId="51ADC3C7" w:rsidR="00EF35F3" w:rsidRPr="00C34531" w:rsidRDefault="00EF35F3" w:rsidP="00EF35F3">
      <w:pPr>
        <w:pStyle w:val="EndNoteBibliography"/>
        <w:spacing w:after="0"/>
        <w:rPr>
          <w:lang w:val="it-IT"/>
        </w:rPr>
      </w:pPr>
      <w:r w:rsidRPr="00EF35F3">
        <w:t>461.</w:t>
      </w:r>
      <w:r w:rsidRPr="00EF35F3">
        <w:tab/>
        <w:t xml:space="preserve">Sari S, Yesilkaya E, Egritas O, Bideci A, Cinaz P, Dalgic B. Prevalence of celiac disease in Turkish children with type 1 diabetes mellitus and their non-diabetic first-degree relatives. </w:t>
      </w:r>
      <w:r w:rsidRPr="00C34531">
        <w:rPr>
          <w:i/>
          <w:lang w:val="it-IT"/>
        </w:rPr>
        <w:t>Turkish Journal of Gastroenterology</w:t>
      </w:r>
      <w:r w:rsidRPr="00C34531">
        <w:rPr>
          <w:lang w:val="it-IT"/>
        </w:rPr>
        <w:t xml:space="preserve"> 2010;</w:t>
      </w:r>
      <w:r w:rsidRPr="00C34531">
        <w:rPr>
          <w:b/>
          <w:lang w:val="it-IT"/>
        </w:rPr>
        <w:t>21</w:t>
      </w:r>
      <w:r w:rsidRPr="00C34531">
        <w:rPr>
          <w:lang w:val="it-IT"/>
        </w:rPr>
        <w:t xml:space="preserve">:34-8. </w:t>
      </w:r>
      <w:hyperlink r:id="rId394" w:history="1">
        <w:r w:rsidRPr="00C34531">
          <w:rPr>
            <w:rStyle w:val="Hyperlink"/>
            <w:lang w:val="it-IT"/>
          </w:rPr>
          <w:t>https://doi.org/http://dx.doi.org/10.4318/tjg.2010.0045</w:t>
        </w:r>
      </w:hyperlink>
    </w:p>
    <w:p w14:paraId="50363944" w14:textId="77777777" w:rsidR="00EF35F3" w:rsidRPr="00EF35F3" w:rsidRDefault="00EF35F3" w:rsidP="00EF35F3">
      <w:pPr>
        <w:pStyle w:val="EndNoteBibliography"/>
        <w:spacing w:after="0"/>
      </w:pPr>
      <w:r w:rsidRPr="00C34531">
        <w:rPr>
          <w:lang w:val="it-IT"/>
        </w:rPr>
        <w:t>462.</w:t>
      </w:r>
      <w:r w:rsidRPr="00C34531">
        <w:rPr>
          <w:lang w:val="it-IT"/>
        </w:rPr>
        <w:tab/>
        <w:t>Lampasona V, Bonfanti R, Bazzigaluppi E, Venerando A, Chiumello G, Bosi E</w:t>
      </w:r>
      <w:r w:rsidRPr="00C34531">
        <w:rPr>
          <w:i/>
          <w:lang w:val="it-IT"/>
        </w:rPr>
        <w:t>, et al.</w:t>
      </w:r>
      <w:r w:rsidRPr="00C34531">
        <w:rPr>
          <w:lang w:val="it-IT"/>
        </w:rPr>
        <w:t xml:space="preserve"> </w:t>
      </w:r>
      <w:r w:rsidRPr="00EF35F3">
        <w:t xml:space="preserve">Antibodies to tissue transglutaminase C in type I diabetes. </w:t>
      </w:r>
      <w:r w:rsidRPr="00EF35F3">
        <w:rPr>
          <w:i/>
        </w:rPr>
        <w:t>Diabetologia</w:t>
      </w:r>
      <w:r w:rsidRPr="00EF35F3">
        <w:t xml:space="preserve"> 1999;</w:t>
      </w:r>
      <w:r w:rsidRPr="00EF35F3">
        <w:rPr>
          <w:b/>
        </w:rPr>
        <w:t>42</w:t>
      </w:r>
      <w:r w:rsidRPr="00EF35F3">
        <w:t>:1195-8.</w:t>
      </w:r>
    </w:p>
    <w:p w14:paraId="750AEE31" w14:textId="3156D086" w:rsidR="00EF35F3" w:rsidRPr="00EF35F3" w:rsidRDefault="00EF35F3" w:rsidP="00EF35F3">
      <w:pPr>
        <w:pStyle w:val="EndNoteBibliography"/>
        <w:spacing w:after="0"/>
      </w:pPr>
      <w:r w:rsidRPr="00EF35F3">
        <w:t>463.</w:t>
      </w:r>
      <w:r w:rsidRPr="00EF35F3">
        <w:tab/>
        <w:t xml:space="preserve">Sharifi N, Khoshbaten M, Aliasgarzade A, Bahrami A. Celiac disease in patients with type-1 diabetes mellitus screened by tissue transglutaminase antibodies in northwest of Iran. </w:t>
      </w:r>
      <w:r w:rsidRPr="00EF35F3">
        <w:rPr>
          <w:i/>
        </w:rPr>
        <w:t>International journal of diabetes in developing countries</w:t>
      </w:r>
      <w:r w:rsidRPr="00EF35F3">
        <w:t xml:space="preserve"> 2008;</w:t>
      </w:r>
      <w:r w:rsidRPr="00EF35F3">
        <w:rPr>
          <w:b/>
        </w:rPr>
        <w:t>28</w:t>
      </w:r>
      <w:r w:rsidRPr="00EF35F3">
        <w:t xml:space="preserve">:95-9. </w:t>
      </w:r>
      <w:hyperlink r:id="rId395" w:history="1">
        <w:r w:rsidRPr="00EF35F3">
          <w:rPr>
            <w:rStyle w:val="Hyperlink"/>
          </w:rPr>
          <w:t>https://doi.org/https://dx.doi.org/10.4103/0973-3930.44081</w:t>
        </w:r>
      </w:hyperlink>
    </w:p>
    <w:p w14:paraId="1FC54A56" w14:textId="77777777" w:rsidR="00EF35F3" w:rsidRPr="00EF35F3" w:rsidRDefault="00EF35F3" w:rsidP="00EF35F3">
      <w:pPr>
        <w:pStyle w:val="EndNoteBibliography"/>
        <w:spacing w:after="0"/>
      </w:pPr>
      <w:r w:rsidRPr="00EF35F3">
        <w:t>464.</w:t>
      </w:r>
      <w:r w:rsidRPr="00EF35F3">
        <w:tab/>
        <w:t xml:space="preserve">Sheikholeslami H, Boostani K, Hashemipoor S, Hadjmanoochehri F, Ziaii A. Comparing frequency of celiac disease in patients with diabetes mellitus type I and non-diabetic, healthy persons. </w:t>
      </w:r>
      <w:r w:rsidRPr="00EF35F3">
        <w:rPr>
          <w:i/>
        </w:rPr>
        <w:t>Iranian Journal of Diabetes and Lipid Disorders</w:t>
      </w:r>
      <w:r w:rsidRPr="00EF35F3">
        <w:t xml:space="preserve"> 2005;</w:t>
      </w:r>
      <w:r w:rsidRPr="00EF35F3">
        <w:rPr>
          <w:b/>
        </w:rPr>
        <w:t>4</w:t>
      </w:r>
      <w:r w:rsidRPr="00EF35F3">
        <w:t>.</w:t>
      </w:r>
    </w:p>
    <w:p w14:paraId="0BD96550" w14:textId="0D194D6D" w:rsidR="00EF35F3" w:rsidRPr="00EF35F3" w:rsidRDefault="00EF35F3" w:rsidP="00EF35F3">
      <w:pPr>
        <w:pStyle w:val="EndNoteBibliography"/>
        <w:spacing w:after="0"/>
      </w:pPr>
      <w:r w:rsidRPr="00EF35F3">
        <w:t>465.</w:t>
      </w:r>
      <w:r w:rsidRPr="00EF35F3">
        <w:tab/>
        <w:t>Kizilgul M, Ozcelik O, Beysel S, Akinci H, Kan S, Ucan B</w:t>
      </w:r>
      <w:r w:rsidRPr="00EF35F3">
        <w:rPr>
          <w:i/>
        </w:rPr>
        <w:t>, et al.</w:t>
      </w:r>
      <w:r w:rsidRPr="00EF35F3">
        <w:t xml:space="preserve"> Screening for celiac disease in poorly controlled type 2 diabetes mellitus: Worth it or not? </w:t>
      </w:r>
      <w:r w:rsidRPr="00EF35F3">
        <w:rPr>
          <w:i/>
        </w:rPr>
        <w:t>BMC Endocrine Disorders</w:t>
      </w:r>
      <w:r w:rsidRPr="00EF35F3">
        <w:t xml:space="preserve"> 2017;</w:t>
      </w:r>
      <w:r w:rsidRPr="00EF35F3">
        <w:rPr>
          <w:b/>
        </w:rPr>
        <w:t>17</w:t>
      </w:r>
      <w:r w:rsidRPr="00EF35F3">
        <w:t xml:space="preserve">:62. </w:t>
      </w:r>
      <w:hyperlink r:id="rId396" w:history="1">
        <w:r w:rsidRPr="00EF35F3">
          <w:rPr>
            <w:rStyle w:val="Hyperlink"/>
          </w:rPr>
          <w:t>https://doi.org/http://dx.doi.org/10.1186/s12902-017-0212-4</w:t>
        </w:r>
      </w:hyperlink>
    </w:p>
    <w:p w14:paraId="21E725E9" w14:textId="7E88A73A" w:rsidR="00EF35F3" w:rsidRPr="00C34531" w:rsidRDefault="00EF35F3" w:rsidP="00EF35F3">
      <w:pPr>
        <w:pStyle w:val="EndNoteBibliography"/>
        <w:spacing w:after="0"/>
        <w:rPr>
          <w:lang w:val="it-IT"/>
        </w:rPr>
      </w:pPr>
      <w:r w:rsidRPr="00EF35F3">
        <w:t>466.</w:t>
      </w:r>
      <w:r w:rsidRPr="00EF35F3">
        <w:tab/>
        <w:t xml:space="preserve">Szepietowska B, Wawrusiewicz-Kurylonek N, Kretowski A, Gorska M, Szelachowska M. Endocrine autoimmunity in patients with Latent Autoimmune Diabetes in Adults (LADA) - association with HLA genotype. </w:t>
      </w:r>
      <w:r w:rsidRPr="00C34531">
        <w:rPr>
          <w:i/>
          <w:lang w:val="it-IT"/>
        </w:rPr>
        <w:t>Endokrynologia Polska</w:t>
      </w:r>
      <w:r w:rsidRPr="00C34531">
        <w:rPr>
          <w:lang w:val="it-IT"/>
        </w:rPr>
        <w:t xml:space="preserve"> 2016;</w:t>
      </w:r>
      <w:r w:rsidRPr="00C34531">
        <w:rPr>
          <w:b/>
          <w:lang w:val="it-IT"/>
        </w:rPr>
        <w:t>67</w:t>
      </w:r>
      <w:r w:rsidRPr="00C34531">
        <w:rPr>
          <w:lang w:val="it-IT"/>
        </w:rPr>
        <w:t xml:space="preserve">:197-201. </w:t>
      </w:r>
      <w:hyperlink r:id="rId397" w:history="1">
        <w:r w:rsidRPr="00C34531">
          <w:rPr>
            <w:rStyle w:val="Hyperlink"/>
            <w:lang w:val="it-IT"/>
          </w:rPr>
          <w:t>https://doi.org/10.5603/EP.a2016.0017</w:t>
        </w:r>
      </w:hyperlink>
    </w:p>
    <w:p w14:paraId="1F694A88" w14:textId="4F392847" w:rsidR="00EF35F3" w:rsidRPr="00C34531" w:rsidRDefault="00EF35F3" w:rsidP="00EF35F3">
      <w:pPr>
        <w:pStyle w:val="EndNoteBibliography"/>
        <w:spacing w:after="0"/>
        <w:rPr>
          <w:lang w:val="it-IT"/>
        </w:rPr>
      </w:pPr>
      <w:r w:rsidRPr="00C34531">
        <w:rPr>
          <w:lang w:val="it-IT"/>
        </w:rPr>
        <w:lastRenderedPageBreak/>
        <w:t>467.</w:t>
      </w:r>
      <w:r w:rsidRPr="00C34531">
        <w:rPr>
          <w:lang w:val="it-IT"/>
        </w:rPr>
        <w:tab/>
        <w:t>Ravaglia G, Forti P, Maioli F, Volta U, Arnone G, Pantieri G</w:t>
      </w:r>
      <w:r w:rsidRPr="00C34531">
        <w:rPr>
          <w:i/>
          <w:lang w:val="it-IT"/>
        </w:rPr>
        <w:t>, et al.</w:t>
      </w:r>
      <w:r w:rsidRPr="00C34531">
        <w:rPr>
          <w:lang w:val="it-IT"/>
        </w:rPr>
        <w:t xml:space="preserve"> </w:t>
      </w:r>
      <w:r w:rsidRPr="00EF35F3">
        <w:t xml:space="preserve">Increased prevalence of coeliac disease in autoimmune thyroiditis is restricted to aged patients. </w:t>
      </w:r>
      <w:r w:rsidRPr="00C34531">
        <w:rPr>
          <w:i/>
          <w:lang w:val="it-IT"/>
        </w:rPr>
        <w:t>Experimental Gerontology</w:t>
      </w:r>
      <w:r w:rsidRPr="00C34531">
        <w:rPr>
          <w:lang w:val="it-IT"/>
        </w:rPr>
        <w:t xml:space="preserve"> 2003;</w:t>
      </w:r>
      <w:r w:rsidRPr="00C34531">
        <w:rPr>
          <w:b/>
          <w:lang w:val="it-IT"/>
        </w:rPr>
        <w:t>38</w:t>
      </w:r>
      <w:r w:rsidRPr="00C34531">
        <w:rPr>
          <w:lang w:val="it-IT"/>
        </w:rPr>
        <w:t xml:space="preserve">:589-95. </w:t>
      </w:r>
      <w:hyperlink r:id="rId398" w:history="1">
        <w:r w:rsidRPr="00C34531">
          <w:rPr>
            <w:rStyle w:val="Hyperlink"/>
            <w:lang w:val="it-IT"/>
          </w:rPr>
          <w:t>https://doi.org/http://dx.doi.org/10.1016/S0531-5565%2803%2900037-8</w:t>
        </w:r>
      </w:hyperlink>
    </w:p>
    <w:p w14:paraId="43221478" w14:textId="7D2CE693" w:rsidR="00EF35F3" w:rsidRPr="00EF35F3" w:rsidRDefault="00EF35F3" w:rsidP="00EF35F3">
      <w:pPr>
        <w:pStyle w:val="EndNoteBibliography"/>
        <w:spacing w:after="0"/>
      </w:pPr>
      <w:r w:rsidRPr="00C34531">
        <w:rPr>
          <w:lang w:val="it-IT"/>
        </w:rPr>
        <w:t>468.</w:t>
      </w:r>
      <w:r w:rsidRPr="00C34531">
        <w:rPr>
          <w:lang w:val="it-IT"/>
        </w:rPr>
        <w:tab/>
        <w:t xml:space="preserve">Riseh SH, Farhang MA, Mobasseri M, Jafarabadi MA. </w:t>
      </w:r>
      <w:r w:rsidRPr="00EF35F3">
        <w:t xml:space="preserve">THE RELATIONSHIP BETWEEN THYROID HORMONES, ANTITHYROID ANTIBODIES, ANTI-TISSUE TRANSGLUTAMINASE AND ANTI-GLIADIN ANTIBODIES IN PATIENTS WITH HASHIMOTO'S THYROIDITIS. </w:t>
      </w:r>
      <w:r w:rsidRPr="00EF35F3">
        <w:rPr>
          <w:i/>
        </w:rPr>
        <w:t>Acta Endocrinologica-Bucharest</w:t>
      </w:r>
      <w:r w:rsidRPr="00EF35F3">
        <w:t xml:space="preserve"> 2017;</w:t>
      </w:r>
      <w:r w:rsidRPr="00EF35F3">
        <w:rPr>
          <w:b/>
        </w:rPr>
        <w:t>13</w:t>
      </w:r>
      <w:r w:rsidRPr="00EF35F3">
        <w:t xml:space="preserve">:174-9. </w:t>
      </w:r>
      <w:hyperlink r:id="rId399" w:history="1">
        <w:r w:rsidRPr="00EF35F3">
          <w:rPr>
            <w:rStyle w:val="Hyperlink"/>
          </w:rPr>
          <w:t>https://doi.org/10.4183/aeb.2017.174</w:t>
        </w:r>
      </w:hyperlink>
    </w:p>
    <w:p w14:paraId="78034034" w14:textId="64097E4F" w:rsidR="00EF35F3" w:rsidRPr="00C34531" w:rsidRDefault="00EF35F3" w:rsidP="00EF35F3">
      <w:pPr>
        <w:pStyle w:val="EndNoteBibliography"/>
        <w:spacing w:after="0"/>
        <w:rPr>
          <w:lang w:val="it-IT"/>
        </w:rPr>
      </w:pPr>
      <w:r w:rsidRPr="00EF35F3">
        <w:t>469.</w:t>
      </w:r>
      <w:r w:rsidRPr="00EF35F3">
        <w:tab/>
        <w:t>Miskiewicz P, Gos-Zajac A, Kurylowicz A, Plazinska TM, Franaszczyk M, Bartoszewicz Z</w:t>
      </w:r>
      <w:r w:rsidRPr="00EF35F3">
        <w:rPr>
          <w:i/>
        </w:rPr>
        <w:t>, et al.</w:t>
      </w:r>
      <w:r w:rsidRPr="00EF35F3">
        <w:t xml:space="preserve"> HLA DQ2 haplotype, early onset of graves disease, and positive family history of autoimmune disorders are risk factors for developing celiac disease in patients with graves disease. </w:t>
      </w:r>
      <w:r w:rsidRPr="00C34531">
        <w:rPr>
          <w:i/>
          <w:lang w:val="it-IT"/>
        </w:rPr>
        <w:t>Endocrine Practice</w:t>
      </w:r>
      <w:r w:rsidRPr="00C34531">
        <w:rPr>
          <w:lang w:val="it-IT"/>
        </w:rPr>
        <w:t xml:space="preserve"> 2015;</w:t>
      </w:r>
      <w:r w:rsidRPr="00C34531">
        <w:rPr>
          <w:b/>
          <w:lang w:val="it-IT"/>
        </w:rPr>
        <w:t>21</w:t>
      </w:r>
      <w:r w:rsidRPr="00C34531">
        <w:rPr>
          <w:lang w:val="it-IT"/>
        </w:rPr>
        <w:t xml:space="preserve">:993-1000. </w:t>
      </w:r>
      <w:hyperlink r:id="rId400" w:history="1">
        <w:r w:rsidRPr="00C34531">
          <w:rPr>
            <w:rStyle w:val="Hyperlink"/>
            <w:lang w:val="it-IT"/>
          </w:rPr>
          <w:t>https://doi.org/http://dx.doi.org/10.4158/EP15700.OR</w:t>
        </w:r>
      </w:hyperlink>
    </w:p>
    <w:p w14:paraId="258C569D" w14:textId="2D68E362" w:rsidR="00EF35F3" w:rsidRPr="00EF35F3" w:rsidRDefault="00EF35F3" w:rsidP="00EF35F3">
      <w:pPr>
        <w:pStyle w:val="EndNoteBibliography"/>
        <w:spacing w:after="0"/>
      </w:pPr>
      <w:r w:rsidRPr="00C34531">
        <w:rPr>
          <w:lang w:val="it-IT"/>
        </w:rPr>
        <w:t>470.</w:t>
      </w:r>
      <w:r w:rsidRPr="00C34531">
        <w:rPr>
          <w:lang w:val="it-IT"/>
        </w:rPr>
        <w:tab/>
        <w:t>Berti I, Trevisiol C, Tommasini A, Citta A, Neri E, Geatti O</w:t>
      </w:r>
      <w:r w:rsidRPr="00C34531">
        <w:rPr>
          <w:i/>
          <w:lang w:val="it-IT"/>
        </w:rPr>
        <w:t>, et al.</w:t>
      </w:r>
      <w:r w:rsidRPr="00C34531">
        <w:rPr>
          <w:lang w:val="it-IT"/>
        </w:rPr>
        <w:t xml:space="preserve"> </w:t>
      </w:r>
      <w:r w:rsidRPr="00EF35F3">
        <w:t xml:space="preserve">Usefulness of screening program for celiac disease in autoimmune thyroiditis. </w:t>
      </w:r>
      <w:r w:rsidRPr="00EF35F3">
        <w:rPr>
          <w:i/>
        </w:rPr>
        <w:t>Digestive Diseases and Sciences</w:t>
      </w:r>
      <w:r w:rsidRPr="00EF35F3">
        <w:t xml:space="preserve"> 2000;</w:t>
      </w:r>
      <w:r w:rsidRPr="00EF35F3">
        <w:rPr>
          <w:b/>
        </w:rPr>
        <w:t>45</w:t>
      </w:r>
      <w:r w:rsidRPr="00EF35F3">
        <w:t xml:space="preserve">:403-6. </w:t>
      </w:r>
      <w:hyperlink r:id="rId401" w:history="1">
        <w:r w:rsidRPr="00EF35F3">
          <w:rPr>
            <w:rStyle w:val="Hyperlink"/>
          </w:rPr>
          <w:t>https://doi.org/http://dx.doi.org/10.1023/A:1005441400107</w:t>
        </w:r>
      </w:hyperlink>
    </w:p>
    <w:p w14:paraId="6EEA9127" w14:textId="670F828A" w:rsidR="00EF35F3" w:rsidRPr="00EF35F3" w:rsidRDefault="00EF35F3" w:rsidP="00EF35F3">
      <w:pPr>
        <w:pStyle w:val="EndNoteBibliography"/>
        <w:spacing w:after="0"/>
      </w:pPr>
      <w:r w:rsidRPr="00EF35F3">
        <w:t>471.</w:t>
      </w:r>
      <w:r w:rsidRPr="00EF35F3">
        <w:tab/>
        <w:t xml:space="preserve">Ch'ng CL, Biswas M, Benton A, Jones MK, Kingham JGC. Prospective screening for coeliac disease in patients with Graves' hyperthyroidism using anti-gliadin and tissue transglutaminase antibodies. </w:t>
      </w:r>
      <w:r w:rsidRPr="00EF35F3">
        <w:rPr>
          <w:i/>
        </w:rPr>
        <w:t>Clinical Endocrinology</w:t>
      </w:r>
      <w:r w:rsidRPr="00EF35F3">
        <w:t xml:space="preserve"> 2005;</w:t>
      </w:r>
      <w:r w:rsidRPr="00EF35F3">
        <w:rPr>
          <w:b/>
        </w:rPr>
        <w:t>62</w:t>
      </w:r>
      <w:r w:rsidRPr="00EF35F3">
        <w:t xml:space="preserve">:303-6. </w:t>
      </w:r>
      <w:hyperlink r:id="rId402" w:history="1">
        <w:r w:rsidRPr="00EF35F3">
          <w:rPr>
            <w:rStyle w:val="Hyperlink"/>
          </w:rPr>
          <w:t>https://doi.org/http://dx.doi.org/10.1111/j.1365-2265.2005.02214.x</w:t>
        </w:r>
      </w:hyperlink>
    </w:p>
    <w:p w14:paraId="133E8A2F" w14:textId="77777777" w:rsidR="00EF35F3" w:rsidRPr="00C34531" w:rsidRDefault="00EF35F3" w:rsidP="00EF35F3">
      <w:pPr>
        <w:pStyle w:val="EndNoteBibliography"/>
        <w:spacing w:after="0"/>
        <w:rPr>
          <w:lang w:val="it-IT"/>
        </w:rPr>
      </w:pPr>
      <w:r w:rsidRPr="00EF35F3">
        <w:t>472.</w:t>
      </w:r>
      <w:r w:rsidRPr="00EF35F3">
        <w:tab/>
        <w:t>Guliter S, Yakaryilmaz F, Ozkurt Z, Ersoy R, Ucardag D, Caglayan O</w:t>
      </w:r>
      <w:r w:rsidRPr="00EF35F3">
        <w:rPr>
          <w:i/>
        </w:rPr>
        <w:t>, et al.</w:t>
      </w:r>
      <w:r w:rsidRPr="00EF35F3">
        <w:t xml:space="preserve"> Prevalence of coeliac disease in patients with autoimmune thyroiditis in a Turkish population. </w:t>
      </w:r>
      <w:r w:rsidRPr="00C34531">
        <w:rPr>
          <w:i/>
          <w:lang w:val="it-IT"/>
        </w:rPr>
        <w:t>World journal of gastroenterology</w:t>
      </w:r>
      <w:r w:rsidRPr="00C34531">
        <w:rPr>
          <w:lang w:val="it-IT"/>
        </w:rPr>
        <w:t xml:space="preserve"> 2007;</w:t>
      </w:r>
      <w:r w:rsidRPr="00C34531">
        <w:rPr>
          <w:b/>
          <w:lang w:val="it-IT"/>
        </w:rPr>
        <w:t>13</w:t>
      </w:r>
      <w:r w:rsidRPr="00C34531">
        <w:rPr>
          <w:lang w:val="it-IT"/>
        </w:rPr>
        <w:t>:1599-601.</w:t>
      </w:r>
    </w:p>
    <w:p w14:paraId="4F649E7C" w14:textId="25249B31" w:rsidR="00EF35F3" w:rsidRPr="00C34531" w:rsidRDefault="00EF35F3" w:rsidP="00EF35F3">
      <w:pPr>
        <w:pStyle w:val="EndNoteBibliography"/>
        <w:spacing w:after="0"/>
        <w:rPr>
          <w:lang w:val="it-IT"/>
        </w:rPr>
      </w:pPr>
      <w:r w:rsidRPr="00C34531">
        <w:rPr>
          <w:lang w:val="it-IT"/>
        </w:rPr>
        <w:t>473.</w:t>
      </w:r>
      <w:r w:rsidRPr="00C34531">
        <w:rPr>
          <w:lang w:val="it-IT"/>
        </w:rPr>
        <w:tab/>
        <w:t>Volta U, Ravaglia G, Granito A, Forti P, Maioli F, Petrolini N</w:t>
      </w:r>
      <w:r w:rsidRPr="00C34531">
        <w:rPr>
          <w:i/>
          <w:lang w:val="it-IT"/>
        </w:rPr>
        <w:t>, et al.</w:t>
      </w:r>
      <w:r w:rsidRPr="00C34531">
        <w:rPr>
          <w:lang w:val="it-IT"/>
        </w:rPr>
        <w:t xml:space="preserve"> Coeliac disease in patients with autoimmune thyroiditis. </w:t>
      </w:r>
      <w:r w:rsidRPr="00C34531">
        <w:rPr>
          <w:i/>
          <w:lang w:val="it-IT"/>
        </w:rPr>
        <w:t>Digestion</w:t>
      </w:r>
      <w:r w:rsidRPr="00C34531">
        <w:rPr>
          <w:lang w:val="it-IT"/>
        </w:rPr>
        <w:t xml:space="preserve"> 2001;</w:t>
      </w:r>
      <w:r w:rsidRPr="00C34531">
        <w:rPr>
          <w:b/>
          <w:lang w:val="it-IT"/>
        </w:rPr>
        <w:t>64</w:t>
      </w:r>
      <w:r w:rsidRPr="00C34531">
        <w:rPr>
          <w:lang w:val="it-IT"/>
        </w:rPr>
        <w:t xml:space="preserve">:61-5. </w:t>
      </w:r>
      <w:hyperlink r:id="rId403" w:history="1">
        <w:r w:rsidRPr="00C34531">
          <w:rPr>
            <w:rStyle w:val="Hyperlink"/>
            <w:lang w:val="it-IT"/>
          </w:rPr>
          <w:t>https://doi.org/http://dx.doi.org/10.1159/000048840</w:t>
        </w:r>
      </w:hyperlink>
    </w:p>
    <w:p w14:paraId="5D124697" w14:textId="7BFF2492" w:rsidR="00EF35F3" w:rsidRPr="00EF35F3" w:rsidRDefault="00EF35F3" w:rsidP="00EF35F3">
      <w:pPr>
        <w:pStyle w:val="EndNoteBibliography"/>
        <w:spacing w:after="0"/>
      </w:pPr>
      <w:r w:rsidRPr="00C34531">
        <w:rPr>
          <w:lang w:val="it-IT"/>
        </w:rPr>
        <w:t>474.</w:t>
      </w:r>
      <w:r w:rsidRPr="00C34531">
        <w:rPr>
          <w:lang w:val="it-IT"/>
        </w:rPr>
        <w:tab/>
        <w:t>Metzger MH, Heier M, Maki M, Bravi E, Schneider A, Lowel H</w:t>
      </w:r>
      <w:r w:rsidRPr="00C34531">
        <w:rPr>
          <w:i/>
          <w:lang w:val="it-IT"/>
        </w:rPr>
        <w:t>, et al.</w:t>
      </w:r>
      <w:r w:rsidRPr="00C34531">
        <w:rPr>
          <w:lang w:val="it-IT"/>
        </w:rPr>
        <w:t xml:space="preserve"> </w:t>
      </w:r>
      <w:r w:rsidRPr="00EF35F3">
        <w:t xml:space="preserve">Mortality excess in individuals with elevated IgA anti-transglutaminase antibodies: The KORA/MONICA Augsburg cohort study 1989-1998. </w:t>
      </w:r>
      <w:r w:rsidRPr="00EF35F3">
        <w:rPr>
          <w:i/>
        </w:rPr>
        <w:t>European Journal of Epidemiology</w:t>
      </w:r>
      <w:r w:rsidRPr="00EF35F3">
        <w:t xml:space="preserve"> 2006;</w:t>
      </w:r>
      <w:r w:rsidRPr="00EF35F3">
        <w:rPr>
          <w:b/>
        </w:rPr>
        <w:t>21</w:t>
      </w:r>
      <w:r w:rsidRPr="00EF35F3">
        <w:t xml:space="preserve">:359-65. </w:t>
      </w:r>
      <w:hyperlink r:id="rId404" w:history="1">
        <w:r w:rsidRPr="00EF35F3">
          <w:rPr>
            <w:rStyle w:val="Hyperlink"/>
          </w:rPr>
          <w:t>https://doi.org/http://dx.doi.org/10.1007/s10654-006-9002-4</w:t>
        </w:r>
      </w:hyperlink>
    </w:p>
    <w:p w14:paraId="42227C04" w14:textId="77777777" w:rsidR="00EF35F3" w:rsidRPr="00EF35F3" w:rsidRDefault="00EF35F3" w:rsidP="00EF35F3">
      <w:pPr>
        <w:pStyle w:val="EndNoteBibliography"/>
        <w:spacing w:after="0"/>
      </w:pPr>
      <w:r w:rsidRPr="00EF35F3">
        <w:t>475.</w:t>
      </w:r>
      <w:r w:rsidRPr="00EF35F3">
        <w:tab/>
        <w:t>Marwaha RK, Garg MK, Tandon N, Kanwar R, Narang A, Sastry A</w:t>
      </w:r>
      <w:r w:rsidRPr="00EF35F3">
        <w:rPr>
          <w:i/>
        </w:rPr>
        <w:t>, et al.</w:t>
      </w:r>
      <w:r w:rsidRPr="00EF35F3">
        <w:t xml:space="preserve"> Glutamic acid decarboxylase (anti-GAD) &amp; tissue transglutaminase (anti-TTG) antibodies in patients with thyroid autoimmunity. </w:t>
      </w:r>
      <w:r w:rsidRPr="00EF35F3">
        <w:rPr>
          <w:i/>
        </w:rPr>
        <w:t>Indian Journal of Medical Research</w:t>
      </w:r>
      <w:r w:rsidRPr="00EF35F3">
        <w:t xml:space="preserve"> 2013;</w:t>
      </w:r>
      <w:r w:rsidRPr="00EF35F3">
        <w:rPr>
          <w:b/>
        </w:rPr>
        <w:t>137</w:t>
      </w:r>
      <w:r w:rsidRPr="00EF35F3">
        <w:t>:82-6.</w:t>
      </w:r>
    </w:p>
    <w:p w14:paraId="1FCD4799" w14:textId="039D7A04" w:rsidR="00EF35F3" w:rsidRPr="00EF35F3" w:rsidRDefault="00EF35F3" w:rsidP="00EF35F3">
      <w:pPr>
        <w:pStyle w:val="EndNoteBibliography"/>
        <w:spacing w:after="0"/>
      </w:pPr>
      <w:r w:rsidRPr="00EF35F3">
        <w:t>476.</w:t>
      </w:r>
      <w:r w:rsidRPr="00EF35F3">
        <w:tab/>
        <w:t xml:space="preserve">Sahin Y, Evliyaoglu O, Erkan T, Cokugras FC, Ercan O, Kutlu T. The frequency of celiac disease in children with autoimmune thyroiditis. </w:t>
      </w:r>
      <w:r w:rsidRPr="00EF35F3">
        <w:rPr>
          <w:i/>
        </w:rPr>
        <w:t>Journal of Pediatric Gastroenterology and Nutrition</w:t>
      </w:r>
      <w:r w:rsidRPr="00EF35F3">
        <w:t xml:space="preserve"> 2017;</w:t>
      </w:r>
      <w:r w:rsidRPr="00EF35F3">
        <w:rPr>
          <w:b/>
        </w:rPr>
        <w:t>64</w:t>
      </w:r>
      <w:r w:rsidRPr="00EF35F3">
        <w:t xml:space="preserve">:227. </w:t>
      </w:r>
      <w:hyperlink r:id="rId405" w:history="1">
        <w:r w:rsidRPr="00EF35F3">
          <w:rPr>
            <w:rStyle w:val="Hyperlink"/>
          </w:rPr>
          <w:t>https://doi.org/http://dx.doi.org/10.1097/01.mpg.0000516381.25680.b4</w:t>
        </w:r>
      </w:hyperlink>
    </w:p>
    <w:p w14:paraId="17DAA3C4" w14:textId="6F82328B" w:rsidR="00EF35F3" w:rsidRPr="00EF35F3" w:rsidRDefault="00EF35F3" w:rsidP="00EF35F3">
      <w:pPr>
        <w:pStyle w:val="EndNoteBibliography"/>
        <w:spacing w:after="0"/>
      </w:pPr>
      <w:r w:rsidRPr="00EF35F3">
        <w:t>477.</w:t>
      </w:r>
      <w:r w:rsidRPr="00EF35F3">
        <w:tab/>
        <w:t xml:space="preserve">Sari S, Yesilkaya E, Egritas O, Bideci A, Dalgic B. Prevalence of celiac disease in Turkish children with autoimmune thyroiditis. </w:t>
      </w:r>
      <w:r w:rsidRPr="00EF35F3">
        <w:rPr>
          <w:i/>
        </w:rPr>
        <w:t>Digestive Diseases and Sciences</w:t>
      </w:r>
      <w:r w:rsidRPr="00EF35F3">
        <w:t xml:space="preserve"> 2009;</w:t>
      </w:r>
      <w:r w:rsidRPr="00EF35F3">
        <w:rPr>
          <w:b/>
        </w:rPr>
        <w:t>54</w:t>
      </w:r>
      <w:r w:rsidRPr="00EF35F3">
        <w:t xml:space="preserve">:830-2. </w:t>
      </w:r>
      <w:hyperlink r:id="rId406" w:history="1">
        <w:r w:rsidRPr="00EF35F3">
          <w:rPr>
            <w:rStyle w:val="Hyperlink"/>
          </w:rPr>
          <w:t>https://doi.org/http://dx.doi.org/10.1007/s10620-008-0437-1</w:t>
        </w:r>
      </w:hyperlink>
    </w:p>
    <w:p w14:paraId="15837BEA" w14:textId="336B1CF1" w:rsidR="00EF35F3" w:rsidRPr="00EF35F3" w:rsidRDefault="00EF35F3" w:rsidP="00EF35F3">
      <w:pPr>
        <w:pStyle w:val="EndNoteBibliography"/>
        <w:spacing w:after="0"/>
      </w:pPr>
      <w:r w:rsidRPr="00EF35F3">
        <w:t>478.</w:t>
      </w:r>
      <w:r w:rsidRPr="00EF35F3">
        <w:tab/>
        <w:t xml:space="preserve">van der Pals M, Ivarsson A, Norström F, Högberg L, Svensson J, Carlsson A. Prevalence of thyroid autoimmunity in children with celiac disease compared to healthy 12-year olds. </w:t>
      </w:r>
      <w:r w:rsidRPr="00EF35F3">
        <w:rPr>
          <w:i/>
        </w:rPr>
        <w:t>Autoimmune diseases</w:t>
      </w:r>
      <w:r w:rsidRPr="00EF35F3">
        <w:t xml:space="preserve"> 2014;</w:t>
      </w:r>
      <w:r w:rsidRPr="00EF35F3">
        <w:rPr>
          <w:b/>
        </w:rPr>
        <w:t>2014</w:t>
      </w:r>
      <w:r w:rsidRPr="00EF35F3">
        <w:t xml:space="preserve">:417356. </w:t>
      </w:r>
      <w:hyperlink r:id="rId407" w:history="1">
        <w:r w:rsidRPr="00EF35F3">
          <w:rPr>
            <w:rStyle w:val="Hyperlink"/>
          </w:rPr>
          <w:t>https://doi.org/10.1155/2014/417356</w:t>
        </w:r>
      </w:hyperlink>
    </w:p>
    <w:p w14:paraId="43E38D75" w14:textId="77777777" w:rsidR="00EF35F3" w:rsidRPr="00EF35F3" w:rsidRDefault="00EF35F3" w:rsidP="00EF35F3">
      <w:pPr>
        <w:pStyle w:val="EndNoteBibliography"/>
        <w:spacing w:after="0"/>
      </w:pPr>
      <w:r w:rsidRPr="00EF35F3">
        <w:t>479.</w:t>
      </w:r>
      <w:r w:rsidRPr="00EF35F3">
        <w:tab/>
        <w:t xml:space="preserve">Risan FA. Association between autoimmune thyroiditis with gluten sensitive enteropathy patients in Baghdad. </w:t>
      </w:r>
      <w:r w:rsidRPr="00EF35F3">
        <w:rPr>
          <w:i/>
        </w:rPr>
        <w:t>Journal of Pharmaceutical Sciences and Research</w:t>
      </w:r>
      <w:r w:rsidRPr="00EF35F3">
        <w:t xml:space="preserve"> 2018;</w:t>
      </w:r>
      <w:r w:rsidRPr="00EF35F3">
        <w:rPr>
          <w:b/>
        </w:rPr>
        <w:t>10</w:t>
      </w:r>
      <w:r w:rsidRPr="00EF35F3">
        <w:t>:3307-9.</w:t>
      </w:r>
    </w:p>
    <w:p w14:paraId="152BDFE4" w14:textId="77777777" w:rsidR="00EF35F3" w:rsidRPr="00EF35F3" w:rsidRDefault="00EF35F3" w:rsidP="00EF35F3">
      <w:pPr>
        <w:pStyle w:val="EndNoteBibliography"/>
        <w:spacing w:after="0"/>
      </w:pPr>
      <w:r w:rsidRPr="00EF35F3">
        <w:t>480.</w:t>
      </w:r>
      <w:r w:rsidRPr="00EF35F3">
        <w:tab/>
        <w:t xml:space="preserve">Melo FMd, Cavalcanti MSM, Santos SBd, Lopes AKBF, Oliveira FAAd. [Association between serum markers for celiac and thyroid autoimmune diseases]. </w:t>
      </w:r>
      <w:r w:rsidRPr="00EF35F3">
        <w:rPr>
          <w:i/>
        </w:rPr>
        <w:t>Associacao entre marcadores sorologicos de doenca celiaca e das doencas autoimunes da tireoide</w:t>
      </w:r>
      <w:r w:rsidRPr="00EF35F3">
        <w:t xml:space="preserve"> 2005;</w:t>
      </w:r>
      <w:r w:rsidRPr="00EF35F3">
        <w:rPr>
          <w:b/>
        </w:rPr>
        <w:t>49</w:t>
      </w:r>
      <w:r w:rsidRPr="00EF35F3">
        <w:t>:542-7.</w:t>
      </w:r>
    </w:p>
    <w:p w14:paraId="55A3ADF0" w14:textId="77777777" w:rsidR="00EF35F3" w:rsidRPr="00EF35F3" w:rsidRDefault="00EF35F3" w:rsidP="00EF35F3">
      <w:pPr>
        <w:pStyle w:val="EndNoteBibliography"/>
      </w:pPr>
      <w:r w:rsidRPr="00EF35F3">
        <w:t>481.</w:t>
      </w:r>
      <w:r w:rsidRPr="00EF35F3">
        <w:tab/>
        <w:t xml:space="preserve">NICE. Coeliac disease: recognition, assessment and management. </w:t>
      </w:r>
      <w:r w:rsidRPr="00EF35F3">
        <w:rPr>
          <w:i/>
        </w:rPr>
        <w:t>NICE guideline</w:t>
      </w:r>
      <w:r w:rsidRPr="00EF35F3">
        <w:t xml:space="preserve"> 2015;</w:t>
      </w:r>
      <w:r w:rsidRPr="00EF35F3">
        <w:rPr>
          <w:b/>
        </w:rPr>
        <w:t>NG20</w:t>
      </w:r>
      <w:r w:rsidRPr="00EF35F3">
        <w:t>.</w:t>
      </w:r>
    </w:p>
    <w:p w14:paraId="055224F8" w14:textId="4F38EB32" w:rsidR="005C2D92" w:rsidRPr="00693CFF" w:rsidRDefault="005C2D92" w:rsidP="00661542">
      <w:pPr>
        <w:rPr>
          <w:lang w:val="pt-BR"/>
        </w:rPr>
      </w:pPr>
      <w:r w:rsidRPr="00734942">
        <w:fldChar w:fldCharType="end"/>
      </w:r>
    </w:p>
    <w:p w14:paraId="2980D450" w14:textId="0FED7E4D" w:rsidR="00D5616E" w:rsidRPr="00693CFF" w:rsidRDefault="00D5616E" w:rsidP="001F52A5">
      <w:pPr>
        <w:pStyle w:val="ListParagraph"/>
        <w:numPr>
          <w:ilvl w:val="0"/>
          <w:numId w:val="117"/>
        </w:numPr>
        <w:rPr>
          <w:lang w:val="pt-BR"/>
        </w:rPr>
      </w:pPr>
      <w:r w:rsidRPr="00693CFF">
        <w:rPr>
          <w:lang w:val="pt-BR"/>
        </w:rPr>
        <w:br w:type="page"/>
      </w:r>
    </w:p>
    <w:p w14:paraId="01560516" w14:textId="3C3A3168" w:rsidR="00D5616E" w:rsidRPr="00734942" w:rsidRDefault="00D5616E" w:rsidP="00D5616E">
      <w:pPr>
        <w:pStyle w:val="Heading1"/>
      </w:pPr>
      <w:bookmarkStart w:id="340" w:name="_Toc99539919"/>
      <w:r w:rsidRPr="00734942">
        <w:lastRenderedPageBreak/>
        <w:t>Appendices</w:t>
      </w:r>
      <w:bookmarkEnd w:id="340"/>
    </w:p>
    <w:p w14:paraId="457DCB9E" w14:textId="262B1FA6" w:rsidR="005F0099" w:rsidRPr="00734942" w:rsidRDefault="00D61BB5" w:rsidP="00D61BB5">
      <w:pPr>
        <w:pStyle w:val="Heading2"/>
      </w:pPr>
      <w:bookmarkStart w:id="341" w:name="_Ref86164730"/>
      <w:bookmarkStart w:id="342" w:name="_Ref87617946"/>
      <w:bookmarkStart w:id="343" w:name="_Ref87618008"/>
      <w:bookmarkStart w:id="344" w:name="_Toc99539920"/>
      <w:bookmarkStart w:id="345" w:name="_Ref83902704"/>
      <w:bookmarkStart w:id="346" w:name="_Ref83903679"/>
      <w:r w:rsidRPr="00734942">
        <w:t xml:space="preserve">Appendix </w:t>
      </w:r>
      <w:bookmarkEnd w:id="341"/>
      <w:r w:rsidR="003B0237">
        <w:t>1</w:t>
      </w:r>
      <w:bookmarkEnd w:id="342"/>
      <w:bookmarkEnd w:id="343"/>
      <w:bookmarkEnd w:id="344"/>
    </w:p>
    <w:p w14:paraId="44D9C6D5" w14:textId="72731F1F" w:rsidR="00D61BB5" w:rsidRPr="00734942" w:rsidRDefault="00D61BB5" w:rsidP="005F0099">
      <w:pPr>
        <w:pStyle w:val="Heading3"/>
      </w:pPr>
      <w:bookmarkStart w:id="347" w:name="_Toc99539921"/>
      <w:r w:rsidRPr="00734942">
        <w:t>Search strategy – diagnostic indicator review</w:t>
      </w:r>
      <w:bookmarkEnd w:id="345"/>
      <w:bookmarkEnd w:id="347"/>
    </w:p>
    <w:p w14:paraId="22DA63E8" w14:textId="77777777" w:rsidR="00837ED2" w:rsidRPr="00734942" w:rsidRDefault="00837ED2" w:rsidP="005F0099">
      <w:r w:rsidRPr="00734942">
        <w:t>Database: Embase</w:t>
      </w:r>
    </w:p>
    <w:p w14:paraId="2F377C52" w14:textId="77777777" w:rsidR="00837ED2" w:rsidRPr="00734942" w:rsidRDefault="00837ED2" w:rsidP="00837ED2">
      <w:r w:rsidRPr="00734942">
        <w:t>--------------------------------------------------------------------------------</w:t>
      </w:r>
    </w:p>
    <w:p w14:paraId="7EA922BD" w14:textId="77777777" w:rsidR="00837ED2" w:rsidRPr="00734942" w:rsidRDefault="00837ED2" w:rsidP="00837ED2">
      <w:r w:rsidRPr="00734942">
        <w:t>1     Celiac Disease/ (29729)</w:t>
      </w:r>
    </w:p>
    <w:p w14:paraId="39A69B68" w14:textId="77777777" w:rsidR="00837ED2" w:rsidRPr="00734942" w:rsidRDefault="00837ED2" w:rsidP="00837ED2">
      <w:r w:rsidRPr="00734942">
        <w:t>2     c?eliac.ti,kw. (22813)</w:t>
      </w:r>
    </w:p>
    <w:p w14:paraId="47A4AA3D" w14:textId="77777777" w:rsidR="00837ED2" w:rsidRPr="00734942" w:rsidRDefault="00837ED2" w:rsidP="00837ED2">
      <w:r w:rsidRPr="00734942">
        <w:t>3     c?eliac.af. and gastroenterology.ec. (22352)</w:t>
      </w:r>
    </w:p>
    <w:p w14:paraId="1323CE9D" w14:textId="77777777" w:rsidR="00837ED2" w:rsidRPr="00734942" w:rsidRDefault="00837ED2" w:rsidP="00837ED2">
      <w:r w:rsidRPr="00734942">
        <w:t>4     (celiac or coeliac).ab. /freq=3 (9328)</w:t>
      </w:r>
    </w:p>
    <w:p w14:paraId="5FBA1874" w14:textId="77777777" w:rsidR="00837ED2" w:rsidRPr="00734942" w:rsidRDefault="00837ED2" w:rsidP="00837ED2">
      <w:r w:rsidRPr="00734942">
        <w:t>5     or/1-4 (39462)</w:t>
      </w:r>
    </w:p>
    <w:p w14:paraId="0148F58F" w14:textId="77777777" w:rsidR="00837ED2" w:rsidRPr="00734942" w:rsidRDefault="00837ED2" w:rsidP="00837ED2">
      <w:r w:rsidRPr="00734942">
        <w:t>6     ((detect* or diagnos* or identif* or decision* or predict* or prognos* or risk or risks or stratif* or validat*) adj3 (model* or factor* or algorithm? or scor* or system or technique? or aid? or rule or rules or index or variable* or tool? or panel or criteri* or characteristic? or history or finding* or value* or assay or stratif* or biomarker?)).ti,ab,kw. (2855495)</w:t>
      </w:r>
    </w:p>
    <w:p w14:paraId="67011323" w14:textId="77777777" w:rsidR="00837ED2" w:rsidRPr="00734942" w:rsidRDefault="00837ED2" w:rsidP="00837ED2">
      <w:r w:rsidRPr="00734942">
        <w:t>7     ((detect* or diagnos* or identif* or decision* or predict* or prognos* or stratif* or validat*) adj3 (risk or risks or model* or factor* or algorithm? or scor* or system or technique? or aid? or rule or rules or index or variable* or tool? or panel or criteri* or characteristic? or history or finding* or value* or assay or stratif* or biomarker?)).ti,ab,kw. (2225766)</w:t>
      </w:r>
    </w:p>
    <w:p w14:paraId="2F481BA8" w14:textId="77777777" w:rsidR="00837ED2" w:rsidRPr="00734942" w:rsidRDefault="00837ED2" w:rsidP="00837ED2">
      <w:r w:rsidRPr="00734942">
        <w:t>8     (clinic* adj3 (model* or algorithm? or scor* or risk or risks or rule or rules or predict* or index or tool? or panel or criteri* or decision* or stratif* or diagnos* or detect* or identif* or probabilit*)).ti,ab,kw. (632961)</w:t>
      </w:r>
    </w:p>
    <w:p w14:paraId="7C59B739" w14:textId="77777777" w:rsidR="00837ED2" w:rsidRPr="00734942" w:rsidRDefault="00837ED2" w:rsidP="00837ED2">
      <w:r w:rsidRPr="00734942">
        <w:t>9     ((multivaria* or multicomponent?) adj3 (model* or algorithm? or scor* or rule or rules or index or tool? or panel or criteri*)).ti,ab,kw. (110662)</w:t>
      </w:r>
    </w:p>
    <w:p w14:paraId="18D6F295" w14:textId="77777777" w:rsidR="00837ED2" w:rsidRPr="00734942" w:rsidRDefault="00837ED2" w:rsidP="00837ED2">
      <w:r w:rsidRPr="00734942">
        <w:t>10     clinical decision making/ or statistical model/ or algorithm/ (444594)</w:t>
      </w:r>
    </w:p>
    <w:p w14:paraId="0924EEC3" w14:textId="77777777" w:rsidR="00837ED2" w:rsidRPr="00734942" w:rsidRDefault="00837ED2" w:rsidP="00837ED2">
      <w:r w:rsidRPr="00734942">
        <w:t>11     or/6-10 (3678637)</w:t>
      </w:r>
    </w:p>
    <w:p w14:paraId="68E85DE5" w14:textId="77777777" w:rsidR="00837ED2" w:rsidRPr="00734942" w:rsidRDefault="00837ED2" w:rsidP="00837ED2">
      <w:r w:rsidRPr="00734942">
        <w:t>12     5 and 11 (6036)</w:t>
      </w:r>
    </w:p>
    <w:p w14:paraId="3566F6BB" w14:textId="77777777" w:rsidR="00837ED2" w:rsidRPr="00734942" w:rsidRDefault="00837ED2" w:rsidP="00837ED2">
      <w:r w:rsidRPr="00734942">
        <w:t xml:space="preserve">13     *physical disease by body function/ or exp *abnormal blood pressure/ or exp *abnormal posture/ or *aerophagia/ or exp *appetite disorder/ or *asthenia/ or *asymptomatic disease/ or exp *autonomic dysfunction/ or exp *balance disorder/ or exp *blood clotting disorder/ or exp *body temperature disorder/ or exp *body weight disorder/ or exp *common cold symptom/ or exp *consciousness disorder/ or exp *constipation/ or exp *coughing/ or exp *cyanosis/ or exp *diarrhea/ or exp *disability/ or exp *"disorders of higher cerebral function"/ or exp *dysphagia/ or *eructation/ or exp *faintness/ or exp *fatigue/ or *functional disease/ or exp *growth disorder/ or exp *immunopathology/ or exp *incontinence/ or exp *infertility/ or *listlessness/ or *malaise/ or *meningism/ or exp *metabolic disorder/ or exp *micturition disorder/ or exp *motor dysfunction/ or exp *multiple organ failure/ or exp *"nausea and vomiting"/ or exp *nutritional disorder/ or exp *pain/ or *pallor/ or exp *pregnancy disorder/ or *qi deficiency/ or *qi stagnation/ or exp *reflex disorder/ or exp *respiratory function disorder/ or exp *salivation disorder/ or exp *sensory </w:t>
      </w:r>
      <w:r w:rsidRPr="00734942">
        <w:lastRenderedPageBreak/>
        <w:t>dysfunction/ or exp *sexual dysfunction/ or exp *shock/ or exp *sleep disorder/ or exp *speech disorder/ or *weakness/ or *yang deficiency/ or *yin deficiency/ (4991033)</w:t>
      </w:r>
    </w:p>
    <w:p w14:paraId="4A1423EC" w14:textId="77777777" w:rsidR="00837ED2" w:rsidRPr="00734942" w:rsidRDefault="00837ED2" w:rsidP="00837ED2">
      <w:r w:rsidRPr="00734942">
        <w:t>14     *physical disease by anatomical structure/ or exp *abdominal disease/ or exp *abnormal body build/ or exp *breast disease/ or exp *cardiovascular disease/ or exp *connective tissue disease/ or exp *digestive system disease/ or exp *ear nose throat disease/ or exp *endocrine disease/ or exp *eye disease/ or exp *"head and neck disease"/ or exp *hematologic disease/ or exp *mouth disease/ or exp *mucosal disease/ or exp *musculoskeletal disease/ or exp *neurologic disease/ or exp *pelvic disease/ or exp *respiratory tract disease/ or exp *skin disease/ or exp *soft tissue disease/ or exp *thorax disease/ or exp *urogenital tract disease/ (11959905)</w:t>
      </w:r>
    </w:p>
    <w:p w14:paraId="01B2F339" w14:textId="77777777" w:rsidR="00837ED2" w:rsidRPr="00734942" w:rsidRDefault="00837ED2" w:rsidP="00837ED2">
      <w:r w:rsidRPr="00734942">
        <w:t>15     *"physical disease by composition of body fluids, excreta and secretions"/ or exp *abnormal feces composition/ or exp *abnormal substrate concentration in blood/ or exp *abnormal urine composition/ or *dehydration/ or *hypervolemia/ (344197)</w:t>
      </w:r>
    </w:p>
    <w:p w14:paraId="4929870E" w14:textId="77777777" w:rsidR="00837ED2" w:rsidRPr="00734942" w:rsidRDefault="00837ED2" w:rsidP="00837ED2">
      <w:r w:rsidRPr="00734942">
        <w:t xml:space="preserve">16     ((addison* adj3 (disease* or disorder* or syndrom*)) or alopecia or baldness or amenorrhea* or amenorrhoea* or oligomenorrhea* or oligomenorrhoea* or anxiety disorder* or anorexia or adrenal insufficienc* or adrenocortical insufficienc* or allerg* or anemi* or anaemi* or angina or aneurysm or ankylosing spondylitis or arthropath* or arthriti* or arthrosis or arthroses or asthma* or asthenia or ataxia or atrial fibrillation or atrophy or autoimmune disorder* or (autoimmune adj (disease* or disorder* or syndrom*)) or ataxia or avitaminosis or bonnevie ullrich or back pain or (biliary adj3 (disease* or disorder* or syndrom*)) or (bipolar adj3 disorder*) or blindness or blind loop syndrom* or (blood adj3 poisoning) or brain atroph* or ((bone or bones) adj3 (broken or disease* or disorder* or syndrom*)) or (bone* adj3 (mineral* or densit* or soft* or decay*)) or (brain adj3 (disease* or disorder* or syndrom*)) or (bronchi* adj3 (disease* or disorder* or syndrom*)) or (bowel* adj3 (disease* or disorder* or syndrom*)) or calcinosis or cancer* or carcinoma* or adenocarcinoma* or neoplasm* or neoplastic or metasta* or malignan* or tumour or tumours or tumor or tumors or (cardiac adj3 (arrest or arrhythmia* or disease* or disorder* or surg* or syndrom*)) or cardiomyopath* or ((cardiovascular or coronary) adj3 (disease* or disorder* or event* or syndrom*)) or cachexia or ((cecal or colon* or duoden*) adj3 (disease* or disorder* or syndrom*)) or cerebral palsy or (cerebro* adj3 (degenerat* or disease* or disorder* or event* or syndrom*)) or chronic obstructive disease* or cirrhosis or claudication or colic or copd or ((coordination or co-ordination) adj3 (impair* or lack)) or congenital abnormalit* or (congential adj3 (disease* or disorder* or syndrom*)) or ((connective or collagen* or skin) adj3 (disease* or disorder* or syndrom*)) or collagenous sprue or colitis or colotides or coxarthrosis or crohn* or cushing* or cyanosis or cystic fibrosis or cystitis or deaf* or deformit* or delayed puberty or dental or depressive disorder* or dysphoria or dysthymia or disabled or (physical adj3 (deform* or disab* or impair*)) or dermatitis or dermato* or dorsopath* or diabet* or down* syndrom* or duhring* or duehring* or duhrig* or duehrig* or dyscoordination or dys-coordination or dys-coordination or dys-co-ordination or dysentery or dyssynergia or dys-synergia or emaciat* or enteritis or enterocolitis* or enteropathy or dystonia or eczema or edema or oedema or elfin face sydrom* or encephalopath* or (endocrine adj3 (disease* or disorder* or syndrom*)) or enuresis or enteropath* or epilep* or (eye adj3 (disease* or disorder* or manifestation* or syndrom*)) or fatigue syndrome or chronic fatigue or failure to thrive or fibromyalgia or fibrosis or food hypersensitivity or fractures or gammaglobulinemia or gammaglobulinaemia or (gardner* adj3 (syndrom* or disease* or disorder*)) or gastritis or gastroenteritis or gout or (glomerul* adj3 (disease* or disorder* or syndrom*)) or (gonodal adj3 dysgen*) or (growth adj3 (disease* or disorder* or syndrom*)) or headache* or ((hemic or haemic or lymph*) adj3 (disease* or disorder* or syndrom*)) or hematuria or haematuria or hemophili* or haemophili* or ((hearing or visual or vision or sight) adj3 (aid* or impair* or loss)) </w:t>
      </w:r>
      <w:r w:rsidRPr="00734942">
        <w:lastRenderedPageBreak/>
        <w:t xml:space="preserve">or (heart adj3 (disease* or disorder* or syndrom* or manifestation* or myopath*)) or hemiplegi* or hepatitis or hemodialysis or haemodialysis or (heart adj3 (disease* or disorder* or failure or syndrom*)) or hiv or human immunodeficiency virus or acquired immunodeficieny syndrom* or heerfordt waldenstrom* or hidroa or hydroa or hippel lindau* or hypertensi* or hypotensi* or hyperthyroidism or hypothyroidism or hypocortisolism or hypocorticism or hypoadrenalism or hyperthyroidism or hypothyroidism or incoordination or inco-ordination or in-coordination or in-co-ordination or infertility or subfertility or sub-fertility or sterility or inflammatory disease* or inflammatory bowel disease* or incontinen* or intestinal atresi* or intussusception or irritable bowel or ischemi* or ischaemi* or fistula* or (joint adj3 (disease* or disorder* or syndrom*)) or (jejunal adj3 (disease* or disorder* or syndrom*)) or kyphosis or lav-htlv* or leukemia or leukaemia or ((liver or hepatic) adj3 (disease* or disorder* or failure or syndrom*)) or lordosis or (lung adj3 (disease* or disorder*)) or lupus or lymphoma or lymphogranuloma* or lymphadenopath* or lymphotrop* or machado joseph* or macular degeneration or malnutrition or (mental adj2 (disorder* or disease* or health or illness*)) or mania or manic or (menstr* adj3 (ceas* or disturb* or disease* or disorder* or stop* or syndrom*)) or migraine* or (mitochondrial adj3 (disease* or disorder* or syndrom*)) or movement disorder* or mucinosis or musculoskeletal or narp syndrom* or necrotizing or nephrotic* or neuromuscular or non-hodgkin* or nonhodgkin* or multiple sclerosis or myeloma or myocarditis or myocardiopath* or myopath* or (myocardi* adj3 (deteri* or disease* or disorder* or syndrom* or manifestation*)) or nephrotic syndrome* or ((neurodegenerat* or neuro-degenerat) adj3 (disease* or disorder* or syndrom*)) or ((nutritional or metabolic) adj3 (disease* or disorder* or syndrom*)) or ((organ* or kidney or stem cell) adj3 (transplant* or recipient*)) or (nervous system adj3 (disease* or disorder* or syndrom*)) or (neurological adj3 (condition* or disease* or disorder* or syndrom*)) or neuropath* or neurosarcoido* or occlusion* or obesity or obese or orthopedic* or orthopaedic* or ((esophageal or oesophageal) adj3 (disease* or disorder* or syndrom*)) or ((oral or mouth) adj3 (disease* or disorder* or syndrom* or manifestation*)) or osteo* or otitis media or otorhinolaryngolog* or otosclerosis or (pancrea* adj3 (disease* or disorder* or syndrom*)) or papulosquamous or paraplegi* or parkinson* or (peripheral adj3 (arterial or vascular or disease* or disorder* or syndrom*)) or (peritoneal adj3 (disease* or disorder* or syndrom*)) or photodermato* or pick disease* or pneumo* or polio* or polyp* or polydipsia or polyarthropath* or polyarteritis or polyarthrosis or polyneuropath* or porphyrias or (pregnancy adj3 complicat*) or premature aging or proteostasis or pseudophakia or psoriasis or parapsoriasis or prolapse or (pulmonary adj3 (disease* or disorder* or syndrom*)) or purpur* or (recurren* adj3 (abortion* or miscarr*)) or (rect* adj3 (disease* or disorder* or syndrom*)) or ((renal or kidney) adj3 (disease* or disorder* or failure or syndrom*)) or (respiratory adj3 (disease* or disorder* or syndrom*)) or reticulocytosis or retinopathy or rheumat* or ricket* or sarcoido* or sepsis or septic* or seizure* or sclerosis or scoliosis or sickle cell or ((sjogren* or sjoegren* or sicca*) adj3 (syndrom* or disease* or disorder*)) or ((skin or connective tissue) adj3 (disease* or disorder* or syndrom*)) or sleep disorder* or sleep apnea or sleep apnoea or insomnia* or dyssomnia* or hypersomnia* or spina bifida or muscular atropy or short stature* or short bowel syndrom* or (spin* adj3 (degenerat* or disease* or disorder* or syndrom*)) or (spleen* adj3 (disease* or disorder* or syndrom*)) or spondylo* or stenosis* or stoma* or (stomach adj3 (disease* or disorder* or syndrom*)) or stroke or strokes or cerebral infarct* or tetraplegi* or thyroiditis* or (thyroid* adj3 (disease* or disorder* or dysfunction* or syndrom*)) or ((tooth or teeth or enamel) adj3 (decay* or discolo* or disease* or disorder* or dysfunction* or syndrom*)) or tropical sprue or tuberculosis or (systemic adj3 (disorder* or disease* or syndrom*)) or thrombocyto* or tremor or tremors or (turner* adj3 (syndrom* or disease* or disorder*)) or ulcer* or (urogenital adj3 (disease* or disorder* or syndrom*)) or vasculopath* or (vascular adj3 (disease* or disorder* or occlu* or syndrom*)) or vestibular or ((virus or viral or bacteri* or parasit*) adj3 (infection* or disease*)) or </w:t>
      </w:r>
      <w:r w:rsidRPr="00734942">
        <w:lastRenderedPageBreak/>
        <w:t>(wasting adj3 (disorder* or disease* or syndrom*)) or (whipple adj3 (disorder* or disease* or syndrom*)) or (william* adj3 (syndrom* or disease* or disorder*)) or zoster*).ti,ab,kw. (14232139)</w:t>
      </w:r>
    </w:p>
    <w:p w14:paraId="592F0A84" w14:textId="77777777" w:rsidR="00837ED2" w:rsidRPr="00734942" w:rsidRDefault="00837ED2" w:rsidP="00837ED2">
      <w:r w:rsidRPr="00734942">
        <w:t>17     ((digestive system* or duoden* or gastr* or intestin* or nutrition* or malabsor* or metabolic*) adj3 (disease* or disorder* or syndrom* or manifestation*)).ti,ab,kw. (254303)</w:t>
      </w:r>
    </w:p>
    <w:p w14:paraId="7CB3400B" w14:textId="77777777" w:rsidR="00837ED2" w:rsidRPr="00734942" w:rsidRDefault="00837ED2" w:rsidP="00837ED2">
      <w:r w:rsidRPr="00734942">
        <w:t>18     (constipation or constipated or diarrhoea or diarrhea or (abdominal adj3 (disten* or pain or bloating or cramp or cramps)) or flatulence or meteorism or steatorrhoea or steatorrhea or ((acid base or calcium or cyanocobalamin* or electrolyte* or folate or folic acid or glucose or IgA or immunoglobulin A or iron or lactose or lipid* or phosph* or protein* or triglyceride* or vitamin* or mineral*) adj3 (disorder* or deficien* or imbalance* or insufficiency or intoleran*)) or fever* or febrile or malaise or fatigue or letharg* or exhaustion or vomiting or nausea or emesis or sickness or weight loss or wait gain or hot flashes or hot flushes or medically unexplained or unexplained symptoms or unexplained medical or (signs adj2 symptoms) or sleepiness or ((calciferol or cholecalciferol or colecalciferol or egocalciferol) adj3 (disorder* or deficien* or imbalance* or insufficiency or intoleran*)) or conditions linked or linked conditions).ti,ab,kw. (1126673)</w:t>
      </w:r>
    </w:p>
    <w:p w14:paraId="03ACDAE3" w14:textId="77777777" w:rsidR="00837ED2" w:rsidRPr="00734942" w:rsidRDefault="00837ED2" w:rsidP="00837ED2">
      <w:r w:rsidRPr="00734942">
        <w:t>19     (medical* morbid* or (medical* adj3 comorbid*) or (medical* adj3 co-morbid*) or multimorbid* or multi* morbid* or multi* comorbid* or multi* co-morbid* or multi* physical*).ti,ab,kw. (30923)</w:t>
      </w:r>
    </w:p>
    <w:p w14:paraId="1955F7BB" w14:textId="77777777" w:rsidR="00837ED2" w:rsidRPr="00734942" w:rsidRDefault="00837ED2" w:rsidP="00837ED2">
      <w:r w:rsidRPr="00734942">
        <w:t>20     first-degree relative/ (6249)</w:t>
      </w:r>
    </w:p>
    <w:p w14:paraId="120D7C6E" w14:textId="77777777" w:rsidR="00837ED2" w:rsidRPr="00734942" w:rsidRDefault="00837ED2" w:rsidP="00837ED2">
      <w:r w:rsidRPr="00734942">
        <w:t>21     ((first adj5 (relative* or relation?)) and c?eliac).ti,ab,kw. (452)</w:t>
      </w:r>
    </w:p>
    <w:p w14:paraId="2A6B43FB" w14:textId="77777777" w:rsidR="00837ED2" w:rsidRPr="00734942" w:rsidRDefault="00837ED2" w:rsidP="00837ED2">
      <w:r w:rsidRPr="00734942">
        <w:t>22     or/13-21 (18446309)</w:t>
      </w:r>
    </w:p>
    <w:p w14:paraId="701BBA9D" w14:textId="77777777" w:rsidR="00837ED2" w:rsidRPr="00734942" w:rsidRDefault="00837ED2" w:rsidP="00837ED2">
      <w:r w:rsidRPr="00734942">
        <w:t>23     (((case? adj2 find*) or detect* or diagnos* or predict* or incidence or prevalence or seroprevalence* or risk or risk factor? or risk indicator? or screen* or test*) adj3 c?eliac*).ti,ab,kw. (7675)</w:t>
      </w:r>
    </w:p>
    <w:p w14:paraId="72D30F58" w14:textId="77777777" w:rsidR="00837ED2" w:rsidRPr="00734942" w:rsidRDefault="00837ED2" w:rsidP="00837ED2">
      <w:r w:rsidRPr="00734942">
        <w:t>24     (c?eliac and ((detect* or diagnos* or predict* or incidence or prevalence or seroprevalence* or risk or risk factor? or screen* or test*) adj2 CD)).ab. (3440)</w:t>
      </w:r>
    </w:p>
    <w:p w14:paraId="26009BFB" w14:textId="77777777" w:rsidR="00837ED2" w:rsidRPr="00734942" w:rsidRDefault="00837ED2" w:rsidP="00837ED2">
      <w:r w:rsidRPr="00734942">
        <w:t>25     (((association? or associated or indicator? or indicated or predict*) adj3 (risk? or symptom* or disease? or disorder? or histor*)) and c?eliac).ti,ab,kw. (4503)</w:t>
      </w:r>
    </w:p>
    <w:p w14:paraId="006CAD27" w14:textId="77777777" w:rsidR="00837ED2" w:rsidRPr="00734942" w:rsidRDefault="00837ED2" w:rsidP="00837ED2">
      <w:r w:rsidRPr="00734942">
        <w:t>26     ((association between or relationship between) and c?eliac?).ti,ab,kw. (2279)</w:t>
      </w:r>
    </w:p>
    <w:p w14:paraId="643B50C9" w14:textId="77777777" w:rsidR="00837ED2" w:rsidRPr="00734942" w:rsidRDefault="00837ED2" w:rsidP="00837ED2">
      <w:r w:rsidRPr="00734942">
        <w:t>27     *celiac disease/di [Diagnosis] (5931)</w:t>
      </w:r>
    </w:p>
    <w:p w14:paraId="529721E3" w14:textId="77777777" w:rsidR="00837ED2" w:rsidRPr="00734942" w:rsidRDefault="00837ED2" w:rsidP="00837ED2">
      <w:r w:rsidRPr="00734942">
        <w:t>28     celiac disease/ and (*diagnosis/ or *differential diagnosis/ or *seroprevalence/ or *screening/ or *screening test/ or *incidence/ or *prevalence/) (1064)</w:t>
      </w:r>
    </w:p>
    <w:p w14:paraId="0AFBD1DE" w14:textId="77777777" w:rsidR="00837ED2" w:rsidRPr="00734942" w:rsidRDefault="00837ED2" w:rsidP="00837ED2">
      <w:r w:rsidRPr="00734942">
        <w:t>29     celiac disease/ and ("prediction and forecasting"/ or prediction/ or predictive validity/ or predictive value/) (755)</w:t>
      </w:r>
    </w:p>
    <w:p w14:paraId="79AEE14D" w14:textId="77777777" w:rsidR="00837ED2" w:rsidRPr="00734942" w:rsidRDefault="00837ED2" w:rsidP="00837ED2">
      <w:r w:rsidRPr="00734942">
        <w:t>30     or/23-29 (16111)</w:t>
      </w:r>
    </w:p>
    <w:p w14:paraId="450634E4" w14:textId="77777777" w:rsidR="00837ED2" w:rsidRPr="00734942" w:rsidRDefault="00837ED2" w:rsidP="00837ED2">
      <w:r w:rsidRPr="00734942">
        <w:t>31     5 and 22 and 30 (15090)</w:t>
      </w:r>
    </w:p>
    <w:p w14:paraId="1A27FAA7" w14:textId="77777777" w:rsidR="00837ED2" w:rsidRPr="00734942" w:rsidRDefault="00837ED2" w:rsidP="00837ED2">
      <w:r w:rsidRPr="00734942">
        <w:t>32     (((double* or dual*) adj5 diagnos* adj5 c?eliac?) or (comorbid* adj5 c?eliac)).ti,ab,kw. (85)</w:t>
      </w:r>
    </w:p>
    <w:p w14:paraId="0AC79AC2" w14:textId="77777777" w:rsidR="00837ED2" w:rsidRPr="00734942" w:rsidRDefault="00837ED2" w:rsidP="00837ED2">
      <w:r w:rsidRPr="00734942">
        <w:t>33     (high risk adj5 c?eliac?).ti,ab,kw. (103)</w:t>
      </w:r>
    </w:p>
    <w:p w14:paraId="2688BFE6" w14:textId="77777777" w:rsidR="00837ED2" w:rsidRPr="00734942" w:rsidRDefault="00837ED2" w:rsidP="00837ED2">
      <w:r w:rsidRPr="00734942">
        <w:t>34     (famil* histor* adj2 c?eliac).ti,ab,kw. (93)</w:t>
      </w:r>
    </w:p>
    <w:p w14:paraId="67368F9A" w14:textId="77777777" w:rsidR="00837ED2" w:rsidRPr="00734942" w:rsidRDefault="00837ED2" w:rsidP="00837ED2">
      <w:r w:rsidRPr="00734942">
        <w:lastRenderedPageBreak/>
        <w:t>35     (children adj of* adj5 c?eliac).ti,ab,kw. (30)</w:t>
      </w:r>
    </w:p>
    <w:p w14:paraId="332FF7DD" w14:textId="77777777" w:rsidR="00837ED2" w:rsidRPr="00734942" w:rsidRDefault="00837ED2" w:rsidP="00837ED2">
      <w:r w:rsidRPr="00734942">
        <w:t>36     celiac disease test kit/ (11)</w:t>
      </w:r>
    </w:p>
    <w:p w14:paraId="5244A8DC" w14:textId="77777777" w:rsidR="00837ED2" w:rsidRPr="00734942" w:rsidRDefault="00837ED2" w:rsidP="00837ED2">
      <w:r w:rsidRPr="00734942">
        <w:t>37     or/32-36 (315)</w:t>
      </w:r>
    </w:p>
    <w:p w14:paraId="2F0ED604" w14:textId="77777777" w:rsidR="00837ED2" w:rsidRPr="00734942" w:rsidRDefault="00837ED2" w:rsidP="00837ED2">
      <w:r w:rsidRPr="00734942">
        <w:t>38     12 or 31 or 37 (17603)</w:t>
      </w:r>
    </w:p>
    <w:p w14:paraId="673525FA" w14:textId="77777777" w:rsidR="00837ED2" w:rsidRPr="00734942" w:rsidRDefault="00837ED2" w:rsidP="00837ED2">
      <w:r w:rsidRPr="00734942">
        <w:t>39     limit 38 to embase status (11243)</w:t>
      </w:r>
    </w:p>
    <w:p w14:paraId="7CFECF71" w14:textId="77777777" w:rsidR="00837ED2" w:rsidRPr="00734942" w:rsidRDefault="00837ED2" w:rsidP="00837ED2">
      <w:r w:rsidRPr="00734942">
        <w:t>40     ((celiac* or coeliac*) adj2 (asymptomatic or atypical or adolesc* or adult* or cases or cohort* or child* or disease* or family or families or familial or genetic predispos* or genetic pre-dispos* or heredit* or infant* or men or patient* or people or population* or subjects or symptomatic or syndrom* or sprue or women)).ti,ab,kw. (26735)</w:t>
      </w:r>
    </w:p>
    <w:p w14:paraId="56692A45" w14:textId="77777777" w:rsidR="00837ED2" w:rsidRPr="00734942" w:rsidRDefault="00837ED2" w:rsidP="00837ED2">
      <w:r w:rsidRPr="00734942">
        <w:t>41     limit 40 to (article-in-press status or in-process status) (372)</w:t>
      </w:r>
    </w:p>
    <w:p w14:paraId="1B877B9A" w14:textId="77777777" w:rsidR="00837ED2" w:rsidRPr="00734942" w:rsidRDefault="00837ED2" w:rsidP="00837ED2">
      <w:r w:rsidRPr="00734942">
        <w:t>42     c?eliac.ti. (20558)</w:t>
      </w:r>
    </w:p>
    <w:p w14:paraId="379D70F4" w14:textId="77777777" w:rsidR="00837ED2" w:rsidRPr="00734942" w:rsidRDefault="00837ED2" w:rsidP="00837ED2">
      <w:r w:rsidRPr="00734942">
        <w:t>43     limit 38 to conference abstract status (4569)</w:t>
      </w:r>
    </w:p>
    <w:p w14:paraId="2E030859" w14:textId="77777777" w:rsidR="00837ED2" w:rsidRPr="00734942" w:rsidRDefault="00837ED2" w:rsidP="00837ED2">
      <w:r w:rsidRPr="00734942">
        <w:t>44     42 and 43 (2794)</w:t>
      </w:r>
    </w:p>
    <w:p w14:paraId="456411A7" w14:textId="77777777" w:rsidR="00837ED2" w:rsidRPr="00734942" w:rsidRDefault="00837ED2" w:rsidP="00837ED2">
      <w:r w:rsidRPr="00734942">
        <w:t>45     39 or 41 or 44 (14409)</w:t>
      </w:r>
    </w:p>
    <w:p w14:paraId="2B060CE9" w14:textId="77777777" w:rsidR="00837ED2" w:rsidRPr="00734942" w:rsidRDefault="00837ED2" w:rsidP="00837ED2">
      <w:r w:rsidRPr="00734942">
        <w:t>46     ((celiac* or coeliac*) adj (angiograp* or arter* or axis or plexus or trunk)).ti,ab,kw,hw. (12186)</w:t>
      </w:r>
    </w:p>
    <w:p w14:paraId="222A06EF" w14:textId="77777777" w:rsidR="00837ED2" w:rsidRPr="00734942" w:rsidRDefault="00837ED2" w:rsidP="00837ED2">
      <w:r w:rsidRPr="00734942">
        <w:t>47     case report.ti. (283693)</w:t>
      </w:r>
    </w:p>
    <w:p w14:paraId="4158D2D2" w14:textId="77777777" w:rsidR="00837ED2" w:rsidRPr="00734942" w:rsidRDefault="00837ED2" w:rsidP="00837ED2">
      <w:r w:rsidRPr="00734942">
        <w:t>48     ((case adj of*) and (patient or man or woman)).ti,ab. and case report.sh. (347041)</w:t>
      </w:r>
    </w:p>
    <w:p w14:paraId="079C8D85" w14:textId="77777777" w:rsidR="00837ED2" w:rsidRPr="00734942" w:rsidRDefault="00837ED2" w:rsidP="00837ED2">
      <w:r w:rsidRPr="00734942">
        <w:t>49     (editorial or letter).pt. (1747770)</w:t>
      </w:r>
    </w:p>
    <w:p w14:paraId="1BEDE8E2" w14:textId="77777777" w:rsidR="00837ED2" w:rsidRPr="00734942" w:rsidRDefault="00837ED2" w:rsidP="00837ED2">
      <w:r w:rsidRPr="00734942">
        <w:t>50     (exp experimental organism/ or animal tissue/ or animal cell/ or exp animal disease/ or exp carnivore disease/ or exp bird/ or exp experimental animal welfare/ or exp animal husbandry/ or animal behavior/ or exp animal cell culture/ or exp marine species/ or nonhuman/ or animal.hw.) not human/ (6072159)</w:t>
      </w:r>
    </w:p>
    <w:p w14:paraId="110BD71C" w14:textId="77777777" w:rsidR="00837ED2" w:rsidRPr="00734942" w:rsidRDefault="00837ED2" w:rsidP="00837ED2">
      <w:r w:rsidRPr="00734942">
        <w:t>51     ((rat or rats or mouse or mice or rodent* or animal* or murine or porcine or feline or canine or dog or dogs or cat or cats or pig or pigs or monkey* or macaque*) not human*).ti. (1957387)</w:t>
      </w:r>
    </w:p>
    <w:p w14:paraId="0E47F8B5" w14:textId="77777777" w:rsidR="00837ED2" w:rsidRPr="00734942" w:rsidRDefault="00837ED2" w:rsidP="00837ED2">
      <w:r w:rsidRPr="00734942">
        <w:t>52     or/46-51 (8620748)</w:t>
      </w:r>
    </w:p>
    <w:p w14:paraId="7A1CFFAF" w14:textId="77777777" w:rsidR="00837ED2" w:rsidRPr="00734942" w:rsidRDefault="00837ED2" w:rsidP="00837ED2">
      <w:r w:rsidRPr="00734942">
        <w:t>53     45 not 52 (12083)</w:t>
      </w:r>
    </w:p>
    <w:p w14:paraId="4589C4CD" w14:textId="77777777" w:rsidR="00837ED2" w:rsidRPr="00734942" w:rsidRDefault="00837ED2" w:rsidP="00837ED2">
      <w:r w:rsidRPr="00734942">
        <w:t>54     case control study/ or hospital based case control study/ or population based case control study/ or exp longitudinal study/ or prospective study/ or retrospective study/ (1667885)</w:t>
      </w:r>
    </w:p>
    <w:p w14:paraId="514FB96C" w14:textId="77777777" w:rsidR="00837ED2" w:rsidRPr="00734942" w:rsidRDefault="00837ED2" w:rsidP="00837ED2">
      <w:r w:rsidRPr="00734942">
        <w:t>55     case finding/ or cohort analysis/ or control group/ or correlational study/ or cross-sectional study/ (1006525)</w:t>
      </w:r>
    </w:p>
    <w:p w14:paraId="7A8952FA" w14:textId="77777777" w:rsidR="00837ED2" w:rsidRPr="00734942" w:rsidRDefault="00837ED2" w:rsidP="00837ED2">
      <w:r w:rsidRPr="00734942">
        <w:t>56     seroepidemiology/ (3934)</w:t>
      </w:r>
    </w:p>
    <w:p w14:paraId="01412C7F" w14:textId="77777777" w:rsidR="00837ED2" w:rsidRPr="00734942" w:rsidRDefault="00837ED2" w:rsidP="00837ED2">
      <w:r w:rsidRPr="00734942">
        <w:t>57     (cohort or case control* or case finding or cross-sectional or longitudinal).ti,ab,kw. (1661606)</w:t>
      </w:r>
    </w:p>
    <w:p w14:paraId="3C54B85D" w14:textId="77777777" w:rsidR="00837ED2" w:rsidRPr="00734942" w:rsidRDefault="00837ED2" w:rsidP="00837ED2">
      <w:r w:rsidRPr="00734942">
        <w:t>58     study.ti. (1569542)</w:t>
      </w:r>
    </w:p>
    <w:p w14:paraId="1931926B" w14:textId="77777777" w:rsidR="00837ED2" w:rsidRPr="00734942" w:rsidRDefault="00837ED2" w:rsidP="00837ED2">
      <w:r w:rsidRPr="00734942">
        <w:lastRenderedPageBreak/>
        <w:t>59     (study and (analys* or cases or clinical or control* or compar* or correlat* or associat* or epidemiolog* or evaluat* or examin* or investigat* or observ* or population based or prospectiv* or retrospectiv* or serolog*)).ti,ab,kw. (8983424)</w:t>
      </w:r>
    </w:p>
    <w:p w14:paraId="1DCACE84" w14:textId="77777777" w:rsidR="00837ED2" w:rsidRPr="00734942" w:rsidRDefault="00837ED2" w:rsidP="00837ED2">
      <w:r w:rsidRPr="00734942">
        <w:t>60     (case? and control*).ab. (657067)</w:t>
      </w:r>
    </w:p>
    <w:p w14:paraId="086167E9" w14:textId="77777777" w:rsidR="00837ED2" w:rsidRPr="00734942" w:rsidRDefault="00837ED2" w:rsidP="00837ED2">
      <w:r w:rsidRPr="00734942">
        <w:t>61     (controls or (control adj (group? or participants or patients))).ab. (1656326)</w:t>
      </w:r>
    </w:p>
    <w:p w14:paraId="1BDC13D6" w14:textId="77777777" w:rsidR="00837ED2" w:rsidRPr="00734942" w:rsidRDefault="00837ED2" w:rsidP="00837ED2">
      <w:r w:rsidRPr="00734942">
        <w:t>62     (groups or subgroup? or sub-group?).ab. (3028674)</w:t>
      </w:r>
    </w:p>
    <w:p w14:paraId="64F1C970" w14:textId="77777777" w:rsidR="00837ED2" w:rsidRPr="00734942" w:rsidRDefault="00837ED2" w:rsidP="00837ED2">
      <w:r w:rsidRPr="00734942">
        <w:t>63     (group? adj5 (analys* or compar* or control* or correlat* or associat*)).ab. (1489755)</w:t>
      </w:r>
    </w:p>
    <w:p w14:paraId="2AC9BF95" w14:textId="77777777" w:rsidR="00837ED2" w:rsidRPr="00734942" w:rsidRDefault="00837ED2" w:rsidP="00837ED2">
      <w:r w:rsidRPr="00734942">
        <w:t>64     exp regression analysis/ (434324)</w:t>
      </w:r>
    </w:p>
    <w:p w14:paraId="18C76E34" w14:textId="77777777" w:rsidR="00837ED2" w:rsidRPr="00734942" w:rsidRDefault="00837ED2" w:rsidP="00837ED2">
      <w:r w:rsidRPr="00734942">
        <w:t>65     statistical model/ (158724)</w:t>
      </w:r>
    </w:p>
    <w:p w14:paraId="35DB87C6" w14:textId="77777777" w:rsidR="00837ED2" w:rsidRPr="00734942" w:rsidRDefault="00837ED2" w:rsidP="00837ED2">
      <w:r w:rsidRPr="00734942">
        <w:t>66     ((analys* or logistic*) adj1 (model* or regression*)).ab. (661228)</w:t>
      </w:r>
    </w:p>
    <w:p w14:paraId="41F48A53" w14:textId="77777777" w:rsidR="00837ED2" w:rsidRPr="00734942" w:rsidRDefault="00837ED2" w:rsidP="00837ED2">
      <w:r w:rsidRPr="00734942">
        <w:t>67     study.ab. /freq=2 (3165201)</w:t>
      </w:r>
    </w:p>
    <w:p w14:paraId="5D6B725C" w14:textId="77777777" w:rsidR="00837ED2" w:rsidRPr="00734942" w:rsidRDefault="00837ED2" w:rsidP="00837ED2">
      <w:r w:rsidRPr="00734942">
        <w:t>68     or/54-67 (12212707)</w:t>
      </w:r>
    </w:p>
    <w:p w14:paraId="7E0F15F3" w14:textId="77777777" w:rsidR="00837ED2" w:rsidRPr="00734942" w:rsidRDefault="00837ED2" w:rsidP="00837ED2">
      <w:r w:rsidRPr="00734942">
        <w:t>69     53 and 68 (7566)</w:t>
      </w:r>
    </w:p>
    <w:p w14:paraId="23CA0603" w14:textId="77777777" w:rsidR="00837ED2" w:rsidRPr="00734942" w:rsidRDefault="00837ED2" w:rsidP="00837ED2">
      <w:r w:rsidRPr="00734942">
        <w:t>70     limit 69 to yr="1997 -Current" (7032)</w:t>
      </w:r>
    </w:p>
    <w:p w14:paraId="185568F3" w14:textId="77777777" w:rsidR="00837ED2" w:rsidRPr="00734942" w:rsidRDefault="00837ED2" w:rsidP="00837ED2"/>
    <w:p w14:paraId="1FA7ED2C" w14:textId="77777777" w:rsidR="00837ED2" w:rsidRPr="00734942" w:rsidRDefault="00837ED2" w:rsidP="00837ED2">
      <w:r w:rsidRPr="00734942">
        <w:t>***************************</w:t>
      </w:r>
    </w:p>
    <w:p w14:paraId="084281FC" w14:textId="77777777" w:rsidR="00837ED2" w:rsidRPr="00734942" w:rsidRDefault="00837ED2" w:rsidP="00837ED2">
      <w:pPr>
        <w:rPr>
          <w:b/>
          <w:bCs/>
        </w:rPr>
      </w:pPr>
    </w:p>
    <w:p w14:paraId="7A816195" w14:textId="77777777" w:rsidR="00837ED2" w:rsidRPr="00734942" w:rsidRDefault="00837ED2" w:rsidP="00837ED2">
      <w:r w:rsidRPr="00734942">
        <w:t>Database: Ovid MEDLINE(R) and Epub Ahead of Print, In-Process &amp; Other Non-Indexed Citations and Daily &lt;1946 to February 05, 2020&gt;</w:t>
      </w:r>
    </w:p>
    <w:p w14:paraId="50898471" w14:textId="77777777" w:rsidR="00837ED2" w:rsidRPr="00734942" w:rsidRDefault="00837ED2" w:rsidP="00837ED2">
      <w:r w:rsidRPr="00734942">
        <w:t>Search Strategy: ARC-Coeliac-MEDLINE-Final</w:t>
      </w:r>
    </w:p>
    <w:p w14:paraId="46AAD1DF" w14:textId="77777777" w:rsidR="00837ED2" w:rsidRPr="00541948" w:rsidRDefault="00837ED2" w:rsidP="00837ED2">
      <w:pPr>
        <w:rPr>
          <w:lang w:val="it-IT"/>
        </w:rPr>
      </w:pPr>
      <w:r w:rsidRPr="00541948">
        <w:rPr>
          <w:lang w:val="it-IT"/>
        </w:rPr>
        <w:t>--------------------------------------------------------------------------------</w:t>
      </w:r>
    </w:p>
    <w:p w14:paraId="2242244A" w14:textId="77777777" w:rsidR="00837ED2" w:rsidRPr="00541948" w:rsidRDefault="00837ED2" w:rsidP="00837ED2">
      <w:pPr>
        <w:rPr>
          <w:lang w:val="it-IT"/>
        </w:rPr>
      </w:pPr>
      <w:r w:rsidRPr="00541948">
        <w:rPr>
          <w:lang w:val="it-IT"/>
        </w:rPr>
        <w:t>1     Celiac Disease/ (19693)</w:t>
      </w:r>
    </w:p>
    <w:p w14:paraId="5E770146" w14:textId="77777777" w:rsidR="00837ED2" w:rsidRPr="00734942" w:rsidRDefault="00837ED2" w:rsidP="00837ED2">
      <w:r w:rsidRPr="00541948">
        <w:rPr>
          <w:lang w:val="it-IT"/>
        </w:rPr>
        <w:t xml:space="preserve">2     c?eliac.ti,ab,kf. </w:t>
      </w:r>
      <w:r w:rsidRPr="00734942">
        <w:t>(27278)</w:t>
      </w:r>
    </w:p>
    <w:p w14:paraId="1678C4D5" w14:textId="77777777" w:rsidR="00837ED2" w:rsidRPr="00734942" w:rsidRDefault="00837ED2" w:rsidP="00837ED2">
      <w:r w:rsidRPr="00734942">
        <w:t>3     or/1-2 (32722)</w:t>
      </w:r>
    </w:p>
    <w:p w14:paraId="3223D029" w14:textId="77777777" w:rsidR="00837ED2" w:rsidRPr="00734942" w:rsidRDefault="00837ED2" w:rsidP="00837ED2">
      <w:r w:rsidRPr="00734942">
        <w:t>4     ((detect* or diagnos* or identif* or decision* or predict* or prognos* or risk or risks or stratif* or validat*) adj3 (model* or factor* or algorithm? or scor* or system or technique? or aid? or rule or rules or index or variable* or tool? or panel or criteri* or characteristic? or history or finding* or value* or assay or stratif* or biomarker?)).ti,ab,kf. (1978188)</w:t>
      </w:r>
    </w:p>
    <w:p w14:paraId="22F571E3" w14:textId="77777777" w:rsidR="00837ED2" w:rsidRPr="00734942" w:rsidRDefault="00837ED2" w:rsidP="00837ED2">
      <w:r w:rsidRPr="00734942">
        <w:t>5     ((detect* or diagnos* or identif* or decision* or predict* or prognos* or stratif* or validat*) adj3 (risk or risks or model* or factor* or algorithm? or scor* or system or technique? or aid? or rule or rules or index or variable* or tool? or panel or criteri* or characteristic? or history or finding* or value* or assay or stratif* or biomarker?)).ti,ab,kf. (1547617)</w:t>
      </w:r>
    </w:p>
    <w:p w14:paraId="3D1EE5C2" w14:textId="77777777" w:rsidR="00837ED2" w:rsidRPr="00734942" w:rsidRDefault="00837ED2" w:rsidP="00837ED2">
      <w:r w:rsidRPr="00734942">
        <w:t>6     (clinic* adj3 (model* or algorithm? or scor* or risk or risks or rule or rules or predict* or index or tool? or panel or criteri* or decision* or stratif* or diagnos* or detect* or identif* or probabilit*)).ti,ab,kf. (420165)</w:t>
      </w:r>
    </w:p>
    <w:p w14:paraId="65612A93" w14:textId="77777777" w:rsidR="00837ED2" w:rsidRPr="00734942" w:rsidRDefault="00837ED2" w:rsidP="00837ED2">
      <w:r w:rsidRPr="00734942">
        <w:lastRenderedPageBreak/>
        <w:t>7     ((multivaria* or multicomponent?) adj3 (model* or algorithm? or scor* or rule or rules or index or tool? or panel or criteri*)).ti,ab,kf. (69716)</w:t>
      </w:r>
    </w:p>
    <w:p w14:paraId="5BAB4735" w14:textId="77777777" w:rsidR="00837ED2" w:rsidRPr="00734942" w:rsidRDefault="00837ED2" w:rsidP="00837ED2">
      <w:r w:rsidRPr="00734942">
        <w:t>8     (clinical decision making or (decision and logistic models)).sh. (7874)</w:t>
      </w:r>
    </w:p>
    <w:p w14:paraId="54D7951E" w14:textId="77777777" w:rsidR="00837ED2" w:rsidRPr="00734942" w:rsidRDefault="00837ED2" w:rsidP="00837ED2">
      <w:r w:rsidRPr="00734942">
        <w:t>9     or/4-8 (2337727)</w:t>
      </w:r>
    </w:p>
    <w:p w14:paraId="6D808A12" w14:textId="77777777" w:rsidR="00837ED2" w:rsidRPr="00734942" w:rsidRDefault="00837ED2" w:rsidP="00837ED2">
      <w:r w:rsidRPr="00734942">
        <w:t>10     3 and 9 (3401)</w:t>
      </w:r>
    </w:p>
    <w:p w14:paraId="773DBD23" w14:textId="77777777" w:rsidR="00837ED2" w:rsidRPr="00734942" w:rsidRDefault="00837ED2" w:rsidP="00837ED2">
      <w:r w:rsidRPr="00734942">
        <w:t>11     Risk Factors/ or Disease Predisposition/ or Genetic Predisposition to Disease/ (907433)</w:t>
      </w:r>
    </w:p>
    <w:p w14:paraId="168DD770" w14:textId="77777777" w:rsidR="00837ED2" w:rsidRPr="00734942" w:rsidRDefault="00837ED2" w:rsidP="00837ED2">
      <w:r w:rsidRPr="00734942">
        <w:t xml:space="preserve">12     exp "bacterial infections and mycoses"/ or exp virus diseases/ or exp parasitic diseases/ or exp neoplasms/ or exp musculoskeletal diseases/ or exp stomatognathic diseases/ or exp respiratory tract diseases/ or exp otorhinolaryngologic diseases/ or exp nervous system diseases/ or exp eye diseases/ or exp male urogenital diseases/ or exp "female urogenital diseases and pregnancy complications"/ or exp cardiovascular diseases/ or exp "hemic and lymphatic diseases"/ or exp "congenital, hereditary, and neonatal diseases and abnormalities"/ or exp "skin and connective tissue diseases"/ or exp endocrine system diseases/ or exp immune system diseases/ or exp "disorders of environmental origin"/ or disease/ or digestive system diseases/ or exp biliary tract diseases/ or exp digestive system abnormalities/ or exp digestive system fistula/ or exp digestive system neoplasms/ or exp liver diseases/ or exp pancreatic diseases/ or exp peritoneal diseases/ or gastrointestinal diseases/ or exp esophageal diseases/ or exp gastroenteritis/ or exp gastrointestinal hemorrhage/ or exp gastrointestinal neoplasms/ or intestinal diseases/ or exp cecal diseases/ or exp colonic diseases/ or exp duodenal diseases/ or exp dysentery/ or exp enteritis/ or exp enterocolitis/ or exp hiv enteropathy/ or exp ileal diseases/ or exp inflammatory bowel diseases/ or exp intestinal atresia/ or exp intestinal diseases, parasitic/ or exp intestinal fistula/ or exp intestinal neoplasms/ or exp intestinal obstruction/ or exp intestinal perforation/ or exp intestinal polyposis/ or exp jejunal diseases/ or malabsorption syndromes/ or blind loop syndrome/ or collagenous sprue/ or lactose intolerance/ or short bowel syndrome/ or sprue, tropical/ or steatorrhea/ or whipple disease/ or mesenteric ischemia/ or mesenteric vascular occlusion/ or pneumatosis cystoides intestinalis/ or protein-losing enteropathies/ or exp rectal diseases/ or zollinger-ellison syndrome/ or exp stomach diseases/ or exp tuberculosis, gastrointestinal/ or exp visceral prolapse/ or exp liver diseases/ or exp pancreatic diseases/ or exp peritoneal diseases/ or "nutritional and metabolic diseases"/ or metabolic diseases/ or exp acid-base imbalance/ or exp bone diseases, metabolic/ or exp brain diseases, metabolic/ or exp calcium metabolism disorders/ or exp dna repair-deficiency disorders/ or exp glucose metabolism disorders/ or exp hyperlactatemia/ or exp iron metabolism disorders/ or exp lipid metabolism disorders/ or malabsorption syndromes/ or exp blind loop syndrome/ or exp collagenous sprue/ or exp hyperhomocysteinemia/ or exp lactose intolerance/ or exp sprue, tropical/ or exp steatorrhea/ or exp whipple disease/ or exp metabolic syndrome/ or exp metabolism, inborn errors/ or exp mitochondrial diseases/ or exp phosphorus metabolism disorders/ or exp porphyrias/ or exp proteostasis deficiencies/ or exp skin diseases, metabolic/ or exp wasting syndrome/ or exp water-electrolyte imbalance/ or exp nutrition disorders/ or "SIGNS and SYMPTOMS"/ or exp aging, premature/ or exp asthenia/ or exp body temperature changes/ or exp body weight/ or exp cardiac output, high/ or exp cardiac output, low/ or exp chills/ or exp cyanosis/ or exp edema/ or exp eye manifestations/ or exp failure to thrive/ or exp fatigue/ or exp feminization/ or exp fetal distress/ or exp heart murmurs/ or exp hot flashes/ or exp hypergammaglobulinemia/ or exp hyperlactatemia/ or exp hypertriglyceridemic waist/ or exp intermittent claudication/ or exp medically unexplained symptoms/ or exp mobility limitation/ or exp motion sickness/ or exp myocardial stunning/ or exp neurologic manifestations/ or exp oral manifestations/ or exp polydipsia/ or exp prodromal symptoms/ or exp pseudophakia/ or exp renal </w:t>
      </w:r>
      <w:r w:rsidRPr="00734942">
        <w:lastRenderedPageBreak/>
        <w:t>colic/ or exp reticulocytosis/ or exp "signs and symptoms, digestive"/ or exp "signs and symptoms, respiratory"/ or exp skin manifestations/ or exp sleepiness/ or exp travel-related illness/ or exp urological manifestations/ or exp virilism/ (13521118)</w:t>
      </w:r>
    </w:p>
    <w:p w14:paraId="5A8E9091" w14:textId="77777777" w:rsidR="00837ED2" w:rsidRPr="00734942" w:rsidRDefault="00837ED2" w:rsidP="00837ED2">
      <w:r w:rsidRPr="00734942">
        <w:t>13     exp "anatomy (non mesh)"/ab, pa [abnormalities, pathology] (1686610)</w:t>
      </w:r>
    </w:p>
    <w:p w14:paraId="2A4D0350" w14:textId="77777777" w:rsidR="00837ED2" w:rsidRPr="00734942" w:rsidRDefault="00837ED2" w:rsidP="00837ED2">
      <w:r w:rsidRPr="00734942">
        <w:t xml:space="preserve">14     ((addison* adj3 (disease* or disorder* or syndrom*)) or alopecia or baldness or amenorrhea* or amenorrhoea* or oligomenorrhea* or oligomenorrhoea* or anxiety disorder* or anorexia or adrenal insufficienc* or adrenocortical insufficienc* or allerg* or anemi* or anaemi* or angina or aneurysm or ankylosing spondylitis or arthropath* or arthriti* or arthrosis or arthroses or asthma* or asthenia or ataxia or atrial fibrillation or atrophy or autoimmune disorder* or (autoimmune adj (disease* or disorder* or syndrom*)) or ataxia or avitaminosis or bonnevie ullrich or back pain or (biliary adj3 (disease* or disorder* or syndrom*)) or (bipolar adj3 disorder*) or blindness or blind loop syndrom* or (blood adj3 poisoning) or brain atroph* or ((bone or bones) adj3 (broken or disease* or disorder* or syndrom*)) or (bone* adj3 (mineral* or densit* or soft* or decay*)) or (brain adj3 (disease* or disorder* or syndrom*)) or (bronchi* adj3 (disease* or disorder* or syndrom*)) or (bowel* adj3 (disease* or disorder* or syndrom*)) or calcinosis or cancer* or carcinoma* or adenocarcinoma* or neoplasm* or neoplastic or metasta* or malignan* or tumour or tumours or tumor or tumors or (cardiac adj3 (arrest or arrhythmia* or disease* or disorder* or surg* or syndrom*)) or cardiomyopath* or ((cardiovascular or coronary) adj3 (disease* or disorder* or event* or syndrom*)) or cachexia or ((cecal or colon* or duoden*) adj3 (disease* or disorder* or syndrom*)) or cerebral palsy or (cerebro* adj3 (degenerat* or disease* or disorder* or event* or syndrom*)) or chronic obstructive disease* or cirrhosis or claudication or colic or copd or ((coordination or co-ordination) adj3 (impair* or lack)) or congenital abnormalit* or (congential adj3 (disease* or disorder* or syndrom*)) or ((connective or collagen* or skin) adj3 (disease* or disorder* or syndrom*)) or collagenous sprue or colitis or colotides or coxarthrosis or crohn* or cushing* or cyanosis or cystic fibrosis or cystitis or deaf* or deformit* or delayed puberty or dental or depressive disorder* or dysphoria or dysthymia or disabled or (physical adj3 (deform* or disab* or impair*)) or dermatitis or dermato* or dorsopath* or diabet* or down* syndrom* or duhring* or duehring* or duhrig* or duehrig* or dyscoordination or dys-coordination or dys-coordination or dys-co-ordination or dysentery or dyssynergia or dys-synergia or emaciat* or enteritis or enterocolitis* or enteropathy or dystonia or eczema or edema or oedema or elfin face sydrom* or encephalopath* or (endocrine adj3 (disease* or disorder* or syndrom*)) or enuresis or enteropath* or epilep* or (eye adj3 (disease* or disorder* or manifestation* or syndrom*)) or fatigue syndrome or chronic fatigue or failure to thrive or fibromyalgia or fibrosis or food hypersensitivity or fractures or gammaglobulinemia or gammaglobulinaemia or (gardner* adj3 (syndrom* or disease* or disorder*)) or gastritis or gastroenteritis or gout or (glomerul* adj3 (disease* or disorder* or syndrom*)) or (gonodal adj3 dysgen*) or (growth adj3 (disease* or disorder* or syndrom*)) or headache* or ((hemic or haemic or lymph*) adj3 (disease* or disorder* or syndrom*)) or hematuria or haematuria or hemophili* or haemophili* or ((hearing or visual or vision or sight) adj3 (aid* or impair* or loss)) or (heart adj3 (disease* or disorder* or syndrom* or manifestation* or myopath*)) or hemiplegi* or hepatitis or hemodialysis or haemodialysis or (heart adj3 (disease* or disorder* or failure or syndrom*)) or hiv or human immunodeficiency virus or acquired immunodeficieny syndrom* or heerfordt waldenstrom* or hidroa or hydroa or hippel lindau* or hypertensi* or hypotensi* or hyperthyroidism or hypothyroidism or hypocortisolism or hypocorticism or hypoadrenalism or hyperthyroidism or hypothyroidism or incoordination or inco-ordination or in-coordination or in-co-ordination or infertility or subfertility or sub-fertility or sterility or inflammatory disease* or inflammatory bowel disease* or incontinen* or intestinal atresi* or intussusception or irritable bowel or ischemi* or ischaemi* or fistula* or (joint adj3 (disease* or disorder* or syndrom*)) or </w:t>
      </w:r>
      <w:r w:rsidRPr="00734942">
        <w:lastRenderedPageBreak/>
        <w:t>(jejunal adj3 (disease* or disorder* or syndrom*)) or kyphosis or lav-htlv* or leukemia or leukaemia or ((liver or hepatic) adj3 (disease* or disorder* or failure or syndrom*)) or lordosis or (lung adj3 (disease* or disorder*)) or lupus or lymphoma or lymphogranuloma* or lymphadenopath* or lymphotrop* or machado joseph* or macular degeneration or malnutrition or (mental adj2 (disorder* or disease* or health or illness*)) or mania or manic or (menstr* adj3 (ceas* or disturb* or disease* or disorder* or stop* or syndrom*)) or migraine* or (mitochondrial adj3 (disease* or disorder* or syndrom*)) or movement disorder* or mucinosis or musculoskeletal or narp syndrom* or necrotizing or nephrotic* or neuromuscular or non-hodgkin* or nonhodgkin* or multiple sclerosis or myeloma or myocarditis or myocardiopath* or myopath* or (myocardi* adj3 (deteri* or disease* or disorder* or syndrom* or manifestation*)) or nephrotic syndrome* or ((neurodegenerat* or neuro-degenerat) adj3 (disease* or disorder* or syndrom*)) or ((nutritional or metabolic) adj3 (disease* or disorder* or syndrom*)) or ((organ* or kidney or stem cell) adj3 (transplant* or recipient*)) or (nervous system adj3 (disease* or disorder* or syndrom*)) or (neurological adj3 (condition* or disease* or disorder* or syndrom*)) or neuropath* or neurosarcoido* or occlusion* or obesity or obese or orthopedic* or orthopaedic* or ((esophageal or oesophageal) adj3 (disease* or disorder* or syndrom*)) or ((oral or mouth) adj3 (disease* or disorder* or syndrom* or manifestation*)) or osteo* or otitis media or otorhinolaryngolog* or otosclerosis or (pancrea* adj3 (disease* or disorder* or syndrom*)) or papulosquamous or paraplegi* or parkinson* or (peripheral adj3 (arterial or vascular or disease* or disorder* or syndrom*)) or (peritoneal adj3 (disease* or disorder* or syndrom*)) or photodermato* or pick disease* or pneumo* or polio* or polyp* or polydipsia or polyarthropath* or polyarteritis or polyarthrosis or polyneuropath* or porphyrias or (pregnancy adj3 complicat*) or premature aging or proteostasis or pseudophakia or psoriasis or parapsoriasis or prolapse or (pulmonary adj3 (disease* or disorder* or syndrom*)) or purpur* or (recurren* adj3 (abortion* or miscarr*)) or (rect* adj3 (disease* or disorder* or syndrom*)) or ((renal or kidney) adj3 (disease* or disorder* or failure or syndrom*)) or (respiratory adj3 (disease* or disorder* or syndrom*)) or reticulocytosis or retinopathy or rheumat* or ricket* or sarcoido* or sepsis or septic* or seizure* or sclerosis or scoliosis or sickle cell or ((sjogren* or sjoegren* or sicca*) adj3 (syndrom* or disease* or disorder*)) or ((skin or connective tissue) adj3 (disease* or disorder* or syndrom*)) or sleep disorder* or sleep apnea or sleep apnoea or insomnia* or dyssomnia* or hypersomnia* or spina bifida or muscular atropy or short stature* or short bowel syndrom* or (spin* adj3 (degenerat* or disease* or disorder* or syndrom*)) or (spleen* adj3 (disease* or disorder* or syndrom*)) or spondylo* or stenosis* or stoma* or (stomach adj3 (disease* or disorder* or syndrom*)) or stroke or strokes or cerebral infarct* or tetraplegi* or thyroiditis* or (thyroid* adj3 (disease* or disorder* or dysfunction* or syndrom*)) or ((tooth or teeth or enamel) adj3 (decay* or discolo* or disease* or disorder* or dysfunction* or syndrom*)) or tropical sprue or tuberculosis or (systemic adj3 (disorder* or disease* or syndrom*)) or thrombocyto* or tremor or tremors or (turner* adj3 (syndrom* or disease* or disorder*)) or ulcer* or (urogenital adj3 (disease* or disorder* or syndrom*)) or vasculopath* or (vascular adj3 (disease* or disorder* or occlu* or syndrom*)) or vestibular or ((virus or viral or bacteri* or parasit*) adj3 (infection* or disease*)) or (wasting adj3 (disorder* or disease* or syndrom*)) or (whipple adj3 (disorder* or disease* or syndrom*)) or (william* adj3 (syndrom* or disease* or disorder*)) or zoster*).ti,ab,kf. (11316008)</w:t>
      </w:r>
    </w:p>
    <w:p w14:paraId="6784D878" w14:textId="77777777" w:rsidR="00837ED2" w:rsidRPr="00734942" w:rsidRDefault="00837ED2" w:rsidP="00837ED2">
      <w:r w:rsidRPr="00734942">
        <w:t>15     ((digestive system* or duoden* or gastr* or intestin* or nutrition* or malabsor* or metabolic*) adj3 (disease* or disorder* or syndrom* or manifestation*)).ti,ab,kf. (180683)</w:t>
      </w:r>
    </w:p>
    <w:p w14:paraId="6E716D93" w14:textId="77777777" w:rsidR="00837ED2" w:rsidRPr="00734942" w:rsidRDefault="00837ED2" w:rsidP="00837ED2">
      <w:r w:rsidRPr="00734942">
        <w:t xml:space="preserve">16     (constipation or constipated or diarrhoea or diarrhea or (abdominal adj3 (disten* or pain or bloating or cramp or cramps)) or flatulence or meteorism or steatorrhoea or steatorrhea or ((acid base or calcium or cyanocobalamin* or electrolyte* or folate or folic acid or glucose or IgA or immunoglobulin A or iron or lactose or lipid* or phosph* or protein* or triglyceride* or vitamin* or </w:t>
      </w:r>
      <w:r w:rsidRPr="00734942">
        <w:lastRenderedPageBreak/>
        <w:t>mineral*) adj3 (disorder* or deficien* or imbalance* or insufficiency or intoleran*)) or fever* or febrile or malaise or fatigue or letharg* or exhaustion or vomiting or nausea or emesis or sickness or weight loss or wait gain or hot flashes or hot flushes or medically unexplained or unexplained symptoms or unexplained medical or (signs adj2 symptoms) or sleepiness or ((calciferol or cholecalciferol or colecalciferol or egocalciferol) adj3 (disorder* or deficien* or imbalance* or insufficiency or intoleran*)) or conditions linked or linked conditions).ti,ab,kf. (805001)</w:t>
      </w:r>
    </w:p>
    <w:p w14:paraId="10859585" w14:textId="77777777" w:rsidR="00837ED2" w:rsidRPr="00734942" w:rsidRDefault="00837ED2" w:rsidP="00837ED2">
      <w:r w:rsidRPr="00734942">
        <w:t>17     (medical* morbid* or (medical* adj3 comorbid*) or (medical* adj3 co-morbid*) or multimorbid* or multi* morbid* or multi* comorbid* or multi* co-morbid* or multi* physical*).ti,ab,kf. (18919)</w:t>
      </w:r>
    </w:p>
    <w:p w14:paraId="6FC5BF31" w14:textId="77777777" w:rsidR="00837ED2" w:rsidRPr="00734942" w:rsidRDefault="00837ED2" w:rsidP="00837ED2">
      <w:r w:rsidRPr="00734942">
        <w:t>18     (first-degree relative or family or family relation or family history or mother or father or parent or daughter or son).sh. or (brother or sister or sibling).hw. (83159)</w:t>
      </w:r>
    </w:p>
    <w:p w14:paraId="1044BDA1" w14:textId="77777777" w:rsidR="00837ED2" w:rsidRPr="00734942" w:rsidRDefault="00837ED2" w:rsidP="00837ED2">
      <w:r w:rsidRPr="00734942">
        <w:t>19     (first adj5 (relative* or relation?)).ti,ab,kf. (21485)</w:t>
      </w:r>
    </w:p>
    <w:p w14:paraId="382B82A9" w14:textId="77777777" w:rsidR="00837ED2" w:rsidRPr="00734942" w:rsidRDefault="00837ED2" w:rsidP="00837ED2">
      <w:r w:rsidRPr="00734942">
        <w:t>20     (children adj of*).ti,ab,kf. (32315)</w:t>
      </w:r>
    </w:p>
    <w:p w14:paraId="78405792" w14:textId="77777777" w:rsidR="00837ED2" w:rsidRPr="00734942" w:rsidRDefault="00837ED2" w:rsidP="00837ED2">
      <w:r w:rsidRPr="00734942">
        <w:t>21     or/11-20 (16944516)</w:t>
      </w:r>
    </w:p>
    <w:p w14:paraId="576C757F" w14:textId="77777777" w:rsidR="00837ED2" w:rsidRPr="00734942" w:rsidRDefault="00837ED2" w:rsidP="00837ED2">
      <w:r w:rsidRPr="00734942">
        <w:t>22     (((case? adj2 find*) or detect* or diagnos* or predict* or incidence or prevalence or seroprevalence* or risk or risk factor? or risk indicator? or screen* or test*) adj3 c?eliac*).ti,ab,kf. (4839)</w:t>
      </w:r>
    </w:p>
    <w:p w14:paraId="76E473E8" w14:textId="77777777" w:rsidR="00837ED2" w:rsidRPr="00734942" w:rsidRDefault="00837ED2" w:rsidP="00837ED2">
      <w:r w:rsidRPr="00734942">
        <w:t>23     (c?eliac and ((detect* or diagnos* or predict* or incidence or prevalence or seroprevalence* or risk or risk factor? or screen* or test*) adj2 CD)).ab. (1782)</w:t>
      </w:r>
    </w:p>
    <w:p w14:paraId="353F8544" w14:textId="77777777" w:rsidR="00837ED2" w:rsidRPr="00734942" w:rsidRDefault="00837ED2" w:rsidP="00837ED2">
      <w:r w:rsidRPr="00734942">
        <w:t>24     (((association? or associated or indicator? or indicated or predict*) adj3 (risk? or symptom* or disease? or disorder? or histor*)) and c?eliac).ti,ab,kf. (2819)</w:t>
      </w:r>
    </w:p>
    <w:p w14:paraId="60E85073" w14:textId="77777777" w:rsidR="00837ED2" w:rsidRPr="00734942" w:rsidRDefault="00837ED2" w:rsidP="00837ED2">
      <w:r w:rsidRPr="00734942">
        <w:t>25     ((association between or relationship between) and c?eliac?).ti,ab,kf. (1328)</w:t>
      </w:r>
    </w:p>
    <w:p w14:paraId="4B63484F" w14:textId="77777777" w:rsidR="00837ED2" w:rsidRPr="00734942" w:rsidRDefault="00837ED2" w:rsidP="00837ED2">
      <w:r w:rsidRPr="00734942">
        <w:t>26     celiac disease/di [Diagnosis] (5652)</w:t>
      </w:r>
    </w:p>
    <w:p w14:paraId="3AD9D431" w14:textId="77777777" w:rsidR="00837ED2" w:rsidRPr="00734942" w:rsidRDefault="00837ED2" w:rsidP="00837ED2">
      <w:r w:rsidRPr="00734942">
        <w:t>27     celiac disease/ and (diagnosis/ or diagnosis, differential/ or seroprevalence/ or seroepidemiologic studies/ or screening/ or prediction/ or prevalence/ or incidence/) (2995)</w:t>
      </w:r>
    </w:p>
    <w:p w14:paraId="51AE3F4E" w14:textId="77777777" w:rsidR="00837ED2" w:rsidRPr="00734942" w:rsidRDefault="00837ED2" w:rsidP="00837ED2">
      <w:r w:rsidRPr="00734942">
        <w:t>28     or/22-27 (11534)</w:t>
      </w:r>
    </w:p>
    <w:p w14:paraId="24BF7592" w14:textId="77777777" w:rsidR="00837ED2" w:rsidRPr="00734942" w:rsidRDefault="00837ED2" w:rsidP="00837ED2">
      <w:r w:rsidRPr="00734942">
        <w:t>29     3 and 21 and 28 (9724)</w:t>
      </w:r>
    </w:p>
    <w:p w14:paraId="600E1A89" w14:textId="77777777" w:rsidR="00837ED2" w:rsidRPr="00734942" w:rsidRDefault="00837ED2" w:rsidP="00837ED2">
      <w:r w:rsidRPr="00734942">
        <w:t>30     Celiac Disease/di and (atypical or extraintestinal or extra-intestinal or nonspecific or non-specific).mp. (490)</w:t>
      </w:r>
    </w:p>
    <w:p w14:paraId="181CD1F7" w14:textId="77777777" w:rsidR="00837ED2" w:rsidRPr="00734942" w:rsidRDefault="00837ED2" w:rsidP="00837ED2">
      <w:r w:rsidRPr="00734942">
        <w:t>31     (((double* or dual*) adj5 diagnos* adj5 c?eliac?) or (comorbid* adj5 c?eliac)).ti,ab,kf. (42)</w:t>
      </w:r>
    </w:p>
    <w:p w14:paraId="24AF9C31" w14:textId="77777777" w:rsidR="00837ED2" w:rsidRPr="00734942" w:rsidRDefault="00837ED2" w:rsidP="00837ED2">
      <w:r w:rsidRPr="00734942">
        <w:t>32     (high risk adj5 c?eliac?).ti,ab,kf. (67)</w:t>
      </w:r>
    </w:p>
    <w:p w14:paraId="0007C4C5" w14:textId="77777777" w:rsidR="00837ED2" w:rsidRPr="00734942" w:rsidRDefault="00837ED2" w:rsidP="00837ED2">
      <w:r w:rsidRPr="001D6D52">
        <w:t xml:space="preserve">33     (famil* histor* adj2 c?eliac).ti,ab,kf. </w:t>
      </w:r>
      <w:r w:rsidRPr="00734942">
        <w:t>(33)</w:t>
      </w:r>
    </w:p>
    <w:p w14:paraId="45145930" w14:textId="77777777" w:rsidR="00837ED2" w:rsidRPr="00734942" w:rsidRDefault="00837ED2" w:rsidP="00837ED2">
      <w:r w:rsidRPr="00734942">
        <w:t>34     (children adj of* adj5 c?eliac).ti,ab,kw. (19)</w:t>
      </w:r>
    </w:p>
    <w:p w14:paraId="38AE52F1" w14:textId="77777777" w:rsidR="00837ED2" w:rsidRPr="00734942" w:rsidRDefault="00837ED2" w:rsidP="00837ED2">
      <w:r w:rsidRPr="00734942">
        <w:t>35     or/30-34 (642)</w:t>
      </w:r>
    </w:p>
    <w:p w14:paraId="12B0BA20" w14:textId="77777777" w:rsidR="00837ED2" w:rsidRPr="00734942" w:rsidRDefault="00837ED2" w:rsidP="00837ED2">
      <w:r w:rsidRPr="00734942">
        <w:t>36     10 or 29 or 35 (11362)</w:t>
      </w:r>
    </w:p>
    <w:p w14:paraId="20E1178C" w14:textId="77777777" w:rsidR="00837ED2" w:rsidRPr="00734942" w:rsidRDefault="00837ED2" w:rsidP="00837ED2">
      <w:r w:rsidRPr="00734942">
        <w:lastRenderedPageBreak/>
        <w:t>37     ((celiac* or coeliac*) adj2 (asymptomatic or atypical or adolesc* or adult* or cases or cohort* or child* or disease* or family or families or familial or genetic predispos* or genetic pre-dispos* or heredit* or infant* or men or patient* or people or population* or subjects or symptomatic or syndrom* or sprue or women)).ti,ab,kf. (18800)</w:t>
      </w:r>
    </w:p>
    <w:p w14:paraId="765118FE" w14:textId="77777777" w:rsidR="00837ED2" w:rsidRPr="00734942" w:rsidRDefault="00837ED2" w:rsidP="00837ED2">
      <w:r w:rsidRPr="00734942">
        <w:t>38     limit 37 to ("in data review" or in process or publisher) (605)</w:t>
      </w:r>
    </w:p>
    <w:p w14:paraId="2038BEE3" w14:textId="77777777" w:rsidR="00837ED2" w:rsidRPr="00734942" w:rsidRDefault="00837ED2" w:rsidP="00837ED2">
      <w:r w:rsidRPr="00734942">
        <w:t>39     36 or 38 (11704)</w:t>
      </w:r>
    </w:p>
    <w:p w14:paraId="3BFFD29F" w14:textId="77777777" w:rsidR="00837ED2" w:rsidRPr="00734942" w:rsidRDefault="00837ED2" w:rsidP="00837ED2">
      <w:r w:rsidRPr="00734942">
        <w:t>40     ((celiac* or coeliac*) adj (angiograp* or arter* or axis or plexus or trunk)).ti,ab,kf,hw. (8461)</w:t>
      </w:r>
    </w:p>
    <w:p w14:paraId="603FF487" w14:textId="77777777" w:rsidR="00837ED2" w:rsidRPr="00734942" w:rsidRDefault="00837ED2" w:rsidP="00837ED2">
      <w:r w:rsidRPr="00734942">
        <w:t>41     case report.ti. (230986)</w:t>
      </w:r>
    </w:p>
    <w:p w14:paraId="1094C5EC" w14:textId="77777777" w:rsidR="00837ED2" w:rsidRPr="00734942" w:rsidRDefault="00837ED2" w:rsidP="00837ED2">
      <w:r w:rsidRPr="00734942">
        <w:t>42     ((case adj of*) and (patient or man or woman)).ti,ab. and case reports.pt. (252275)</w:t>
      </w:r>
    </w:p>
    <w:p w14:paraId="3679B146" w14:textId="77777777" w:rsidR="00837ED2" w:rsidRPr="00734942" w:rsidRDefault="00837ED2" w:rsidP="00837ED2">
      <w:r w:rsidRPr="00734942">
        <w:t>43     (comment or editorial or letter or newspaper article).pt. (1825467)</w:t>
      </w:r>
    </w:p>
    <w:p w14:paraId="7592894B" w14:textId="77777777" w:rsidR="00837ED2" w:rsidRPr="00734942" w:rsidRDefault="00837ED2" w:rsidP="00837ED2">
      <w:r w:rsidRPr="00734942">
        <w:t>44     (exp Animals/ or exp Animal Experimentation/ or exp Models, Animal/ or exp Animals, Laboratory/ or exp rodentia/) not Humans/ (4673001)</w:t>
      </w:r>
    </w:p>
    <w:p w14:paraId="11A9EB4C" w14:textId="77777777" w:rsidR="00837ED2" w:rsidRPr="00734942" w:rsidRDefault="00837ED2" w:rsidP="00837ED2">
      <w:r w:rsidRPr="00734942">
        <w:t>45     ((rat or rats or mouse or mice or rodent* or animal* or murine or porcine or feline or canine or dog or dogs or cat or cats or pig or pigs or monkey* or macaque*) not human*).ti. (1856683)</w:t>
      </w:r>
    </w:p>
    <w:p w14:paraId="3EB48F90" w14:textId="77777777" w:rsidR="00837ED2" w:rsidRPr="00734942" w:rsidRDefault="00837ED2" w:rsidP="00837ED2">
      <w:r w:rsidRPr="00734942">
        <w:t>46     or/40-45 (7137365)</w:t>
      </w:r>
    </w:p>
    <w:p w14:paraId="2FF44FB2" w14:textId="77777777" w:rsidR="00837ED2" w:rsidRPr="00734942" w:rsidRDefault="00837ED2" w:rsidP="00837ED2">
      <w:r w:rsidRPr="00734942">
        <w:t>47     39 not 46 (9645)</w:t>
      </w:r>
    </w:p>
    <w:p w14:paraId="4AA224F9" w14:textId="77777777" w:rsidR="00837ED2" w:rsidRPr="00734942" w:rsidRDefault="00837ED2" w:rsidP="00837ED2">
      <w:r w:rsidRPr="00734942">
        <w:t>48     exp epidemiologic studies/ (2435409)</w:t>
      </w:r>
    </w:p>
    <w:p w14:paraId="49713EF8" w14:textId="77777777" w:rsidR="00837ED2" w:rsidRPr="00734942" w:rsidRDefault="00837ED2" w:rsidP="00837ED2">
      <w:r w:rsidRPr="00734942">
        <w:t>49     (cohort or case control* or case finding or cross-sectional or longitudinal).ti,ab,kf. (1114977)</w:t>
      </w:r>
    </w:p>
    <w:p w14:paraId="18899A1F" w14:textId="77777777" w:rsidR="00837ED2" w:rsidRPr="00734942" w:rsidRDefault="00837ED2" w:rsidP="00837ED2">
      <w:r w:rsidRPr="00734942">
        <w:t>50     study.ti. (1330964)</w:t>
      </w:r>
    </w:p>
    <w:p w14:paraId="71EA4B8F" w14:textId="77777777" w:rsidR="00837ED2" w:rsidRPr="00734942" w:rsidRDefault="00837ED2" w:rsidP="00837ED2">
      <w:r w:rsidRPr="00734942">
        <w:t>51     (study and (analys* or cases or clinical or control* or compar* or correlat* or associat* or epidemiolog* or evaluat* or examin* or investigat* or observ* or population based or prospectiv* or retrospectiv* or serolog*)).ti,ab,kf. (6665955)</w:t>
      </w:r>
    </w:p>
    <w:p w14:paraId="4461A4E9" w14:textId="77777777" w:rsidR="00837ED2" w:rsidRPr="00734942" w:rsidRDefault="00837ED2" w:rsidP="00837ED2">
      <w:r w:rsidRPr="00734942">
        <w:t>52     (case? and control*).ab. (448997)</w:t>
      </w:r>
    </w:p>
    <w:p w14:paraId="71005123" w14:textId="77777777" w:rsidR="00837ED2" w:rsidRPr="00734942" w:rsidRDefault="00837ED2" w:rsidP="00837ED2">
      <w:r w:rsidRPr="00734942">
        <w:t>53     (controls or (control adj (group? or participants or patients))).ab. (1189049)</w:t>
      </w:r>
    </w:p>
    <w:p w14:paraId="3435AB65" w14:textId="77777777" w:rsidR="00837ED2" w:rsidRPr="00734942" w:rsidRDefault="00837ED2" w:rsidP="00837ED2">
      <w:r w:rsidRPr="00734942">
        <w:t>54     (groups or subgroup? or sub-group?).ab. (2170205)</w:t>
      </w:r>
    </w:p>
    <w:p w14:paraId="09FD08F4" w14:textId="77777777" w:rsidR="00837ED2" w:rsidRPr="00734942" w:rsidRDefault="00837ED2" w:rsidP="00837ED2">
      <w:r w:rsidRPr="00734942">
        <w:t>55     (group? adj5 (analys* or compar* or control* or correlat* or associat*)).ab. (1004351)</w:t>
      </w:r>
    </w:p>
    <w:p w14:paraId="4B4D2227" w14:textId="77777777" w:rsidR="00837ED2" w:rsidRPr="00734942" w:rsidRDefault="00837ED2" w:rsidP="00837ED2">
      <w:r w:rsidRPr="00734942">
        <w:t>56     exp Regression Analysis/ (416341)</w:t>
      </w:r>
    </w:p>
    <w:p w14:paraId="6923FDC5" w14:textId="77777777" w:rsidR="00837ED2" w:rsidRPr="00734942" w:rsidRDefault="00837ED2" w:rsidP="00837ED2">
      <w:r w:rsidRPr="00734942">
        <w:t>57     statistical model/ (89771)</w:t>
      </w:r>
    </w:p>
    <w:p w14:paraId="24CB52F9" w14:textId="77777777" w:rsidR="00837ED2" w:rsidRPr="00734942" w:rsidRDefault="00837ED2" w:rsidP="00837ED2">
      <w:r w:rsidRPr="00734942">
        <w:t>58     ((analys* or logistic*) adj1 (model* or regression*)).ab. (456097)</w:t>
      </w:r>
    </w:p>
    <w:p w14:paraId="273ADD38" w14:textId="77777777" w:rsidR="00837ED2" w:rsidRPr="00734942" w:rsidRDefault="00837ED2" w:rsidP="00837ED2">
      <w:r w:rsidRPr="00734942">
        <w:t>59     study.ab. /freq=2 (2157950)</w:t>
      </w:r>
    </w:p>
    <w:p w14:paraId="1845811E" w14:textId="77777777" w:rsidR="00837ED2" w:rsidRPr="00734942" w:rsidRDefault="00837ED2" w:rsidP="00837ED2">
      <w:r w:rsidRPr="00734942">
        <w:t>60     or/48-59 (9618005)</w:t>
      </w:r>
    </w:p>
    <w:p w14:paraId="3D771239" w14:textId="77777777" w:rsidR="00837ED2" w:rsidRPr="00734942" w:rsidRDefault="00837ED2" w:rsidP="00837ED2">
      <w:r w:rsidRPr="00734942">
        <w:t>61     47 and 60 (5419)</w:t>
      </w:r>
    </w:p>
    <w:p w14:paraId="1C02E2A3" w14:textId="77777777" w:rsidR="00837ED2" w:rsidRPr="00734942" w:rsidRDefault="00837ED2" w:rsidP="00837ED2">
      <w:r w:rsidRPr="00734942">
        <w:t>62     limit 61 to yr="1997 -Current" (4786)</w:t>
      </w:r>
    </w:p>
    <w:p w14:paraId="35BD3718" w14:textId="77777777" w:rsidR="00837ED2" w:rsidRPr="00734942" w:rsidRDefault="00837ED2" w:rsidP="00837ED2"/>
    <w:p w14:paraId="36F7702E" w14:textId="77777777" w:rsidR="00837ED2" w:rsidRPr="00734942" w:rsidRDefault="00837ED2" w:rsidP="00837ED2">
      <w:r w:rsidRPr="00734942">
        <w:t>***************************</w:t>
      </w:r>
    </w:p>
    <w:p w14:paraId="4D977418" w14:textId="77777777" w:rsidR="00837ED2" w:rsidRPr="00734942" w:rsidRDefault="00837ED2" w:rsidP="00837ED2">
      <w:pPr>
        <w:rPr>
          <w:b/>
          <w:bCs/>
        </w:rPr>
      </w:pPr>
      <w:r w:rsidRPr="00734942">
        <w:rPr>
          <w:b/>
          <w:bCs/>
        </w:rPr>
        <w:t>Cochrane Library, Issue 2 of 12, 2020</w:t>
      </w:r>
    </w:p>
    <w:p w14:paraId="464D9F53" w14:textId="77777777" w:rsidR="00837ED2" w:rsidRPr="00734942" w:rsidRDefault="00837ED2" w:rsidP="00837ED2">
      <w:r w:rsidRPr="00734942">
        <w:t>#1 MeSH descriptor: [Celiac Disease] this term only [63]</w:t>
      </w:r>
    </w:p>
    <w:p w14:paraId="2AE60E7E" w14:textId="77777777" w:rsidR="00837ED2" w:rsidRPr="00734942" w:rsidRDefault="00837ED2" w:rsidP="00837ED2">
      <w:r w:rsidRPr="00734942">
        <w:t>#2 ("celiac disease" or "coeliac disease"): kw [338]</w:t>
      </w:r>
    </w:p>
    <w:p w14:paraId="56C6BB5C" w14:textId="77777777" w:rsidR="00837ED2" w:rsidRPr="00734942" w:rsidRDefault="00837ED2" w:rsidP="00837ED2">
      <w:r w:rsidRPr="00734942">
        <w:t>#3 ((celiac* or coeliac*) near/3 (asymptomatic or atypical or adolesc* or adult* or cases or cohort* or child* or disease* or family or families or familial or genetic predispos* or genetic pre-dispos* or heredit* or infant* or men or patient* or people or population* or subjects or symptomatic or syndrom* or sprue or women)):ti,ab [782]</w:t>
      </w:r>
    </w:p>
    <w:p w14:paraId="210E8C1E" w14:textId="77777777" w:rsidR="00837ED2" w:rsidRPr="00734942" w:rsidRDefault="00837ED2" w:rsidP="00837ED2">
      <w:r w:rsidRPr="00734942">
        <w:t>#4 (#1 or #2 or #3) [886]</w:t>
      </w:r>
    </w:p>
    <w:p w14:paraId="4622309E" w14:textId="77777777" w:rsidR="00837ED2" w:rsidRPr="00734942" w:rsidRDefault="00837ED2" w:rsidP="00837ED2">
      <w:r w:rsidRPr="00734942">
        <w:t>#5 ((celiac* or coeliac*) next (angiograp* or arter* or axis or plexus or trunk)):ti,ab,kw [276]</w:t>
      </w:r>
    </w:p>
    <w:p w14:paraId="28AFEF72" w14:textId="77777777" w:rsidR="00837ED2" w:rsidRPr="00734942" w:rsidRDefault="00837ED2" w:rsidP="00837ED2">
      <w:r w:rsidRPr="00734942">
        <w:t>#6 #4 not #5 (n=870) [870]</w:t>
      </w:r>
    </w:p>
    <w:p w14:paraId="0081BE49" w14:textId="77777777" w:rsidR="00837ED2" w:rsidRPr="00734942" w:rsidRDefault="00837ED2" w:rsidP="00837ED2"/>
    <w:p w14:paraId="0C6DB025" w14:textId="77777777" w:rsidR="00837ED2" w:rsidRPr="00734942" w:rsidRDefault="00837ED2" w:rsidP="00837ED2">
      <w:r w:rsidRPr="00734942">
        <w:t>***************************</w:t>
      </w:r>
    </w:p>
    <w:p w14:paraId="670B22B4" w14:textId="77777777" w:rsidR="00837ED2" w:rsidRPr="00734942" w:rsidRDefault="00837ED2" w:rsidP="00837ED2">
      <w:pPr>
        <w:rPr>
          <w:b/>
          <w:bCs/>
        </w:rPr>
      </w:pPr>
    </w:p>
    <w:p w14:paraId="313F3FA0" w14:textId="77777777" w:rsidR="00837ED2" w:rsidRPr="00734942" w:rsidRDefault="00837ED2" w:rsidP="00837ED2">
      <w:pPr>
        <w:rPr>
          <w:b/>
          <w:bCs/>
        </w:rPr>
      </w:pPr>
      <w:r w:rsidRPr="00734942">
        <w:rPr>
          <w:b/>
          <w:bCs/>
        </w:rPr>
        <w:t>Web of Science: Science Citation Index Expanded (SCI-EXPANDED), SCI-EXPANDED, Conference Proceedings Citation Index- Science SSCI</w:t>
      </w:r>
    </w:p>
    <w:p w14:paraId="6278B264" w14:textId="77777777" w:rsidR="00837ED2" w:rsidRPr="00734942" w:rsidRDefault="00837ED2" w:rsidP="00837ED2">
      <w:r w:rsidRPr="00734942">
        <w:t>[Limit to celiac or coeliac in title/abstract, n=6118]</w:t>
      </w:r>
    </w:p>
    <w:p w14:paraId="4B609B4A" w14:textId="77777777" w:rsidR="00837ED2" w:rsidRPr="00734942" w:rsidRDefault="00837ED2" w:rsidP="00837ED2">
      <w:r w:rsidRPr="00734942">
        <w:t>#28 (#26 not #27) [7,430]</w:t>
      </w:r>
    </w:p>
    <w:p w14:paraId="5432547A" w14:textId="77777777" w:rsidR="00837ED2" w:rsidRPr="00734942" w:rsidRDefault="00837ED2" w:rsidP="00837ED2">
      <w:r w:rsidRPr="00734942">
        <w:t>#27 (TI=(“case report” or “a case of” or “a rare case of”)) or (TS=((“a case of” or “a rare case of”) near (patient or man or woman or child or adolescent or “an adult”))) [202,526]</w:t>
      </w:r>
    </w:p>
    <w:p w14:paraId="29DFAA0F" w14:textId="77777777" w:rsidR="00837ED2" w:rsidRPr="00734942" w:rsidRDefault="00837ED2" w:rsidP="00837ED2">
      <w:r w:rsidRPr="00734942">
        <w:t>#26 (#25 AND #24) [7493]</w:t>
      </w:r>
      <w:r w:rsidRPr="00734942">
        <w:br/>
        <w:t>Indexes=SCI-EXPANDED, CPCI-S Timespan=1997-2020</w:t>
      </w:r>
    </w:p>
    <w:p w14:paraId="048BBDD8" w14:textId="77777777" w:rsidR="00837ED2" w:rsidRPr="00734942" w:rsidRDefault="00837ED2" w:rsidP="00837ED2">
      <w:r w:rsidRPr="00734942">
        <w:t>#25 ((TS=(seroepidemiolog* or cohort or “case control*” or “case find*” or cross-sectional or longitudinal or “population based” or prospective* or retrospective*) or TI=(study) or TS=(study and (analys* or cases or clinical or control* or compar* or correlat* or associat* or epidemiolog* or evaluat* or examin* or investigat* or observ* or population based or prospectiv* or retrospectiv* or serolog*)) or TS=((case or cases) and control*) or TS=(controls or “control* group*” or “control* participant*” or “control* patient*” or groups or subgroup* or sub-group*) or TS=(group* near (analys* or compar* or control* or correlat* or associat*)) or TS=(“regression analysis” or “regression model*” or “statistical model*” or “logistic* model*”)) NOT (TI=(rat or rats or mouse or mice or rodent* or animal* or murine or porcine or feline or canine or dog or dogs or cat or cats or pig or pigs or monkey* or macaque* or nonhuman or “non human”))) [19,956,721</w:t>
      </w:r>
      <w:r w:rsidRPr="00734942">
        <w:br/>
        <w:t>Indexes=SCI-EXPANDED, SSCI, A&amp;HCI, CPCI-S, CPCI-SSH, ESCI Timespan=1900-2020</w:t>
      </w:r>
    </w:p>
    <w:p w14:paraId="7FFECA60" w14:textId="77777777" w:rsidR="00837ED2" w:rsidRPr="00734942" w:rsidRDefault="00837ED2" w:rsidP="00837ED2">
      <w:pPr>
        <w:rPr>
          <w:b/>
          <w:bCs/>
        </w:rPr>
      </w:pPr>
      <w:r w:rsidRPr="00734942">
        <w:t>#24 (#23 OR #22 OR #21 OR #8)</w:t>
      </w:r>
      <w:r w:rsidRPr="00734942">
        <w:rPr>
          <w:b/>
          <w:bCs/>
        </w:rPr>
        <w:t xml:space="preserve"> </w:t>
      </w:r>
      <w:r w:rsidRPr="00734942">
        <w:t>[13,272]</w:t>
      </w:r>
    </w:p>
    <w:p w14:paraId="6CA6CCF1" w14:textId="77777777" w:rsidR="00837ED2" w:rsidRPr="00734942" w:rsidRDefault="00837ED2" w:rsidP="00837ED2">
      <w:r w:rsidRPr="00734942">
        <w:lastRenderedPageBreak/>
        <w:t>#23 (TS=((“high risk” or “famil* histor*” or “child* of”) near (celiac or coeliac)) or TS=(”celiac disease test kit”)) [233]</w:t>
      </w:r>
      <w:r w:rsidRPr="00734942">
        <w:br/>
        <w:t>Indexes=SCI-EXPANDED, SSCI, A&amp;HCI, CPCI-S, CPCI-SSH, ESCI Timespan=1900-2020</w:t>
      </w:r>
    </w:p>
    <w:p w14:paraId="5611345B" w14:textId="77777777" w:rsidR="00837ED2" w:rsidRPr="00734942" w:rsidRDefault="00837ED2" w:rsidP="00837ED2">
      <w:r w:rsidRPr="00734942">
        <w:t>#22 (TS=((double* or dual*) near diagnos* near (celiac or coeliac))) or (TS=(comorbid* near (celiac or coeliac))) [111]</w:t>
      </w:r>
      <w:r w:rsidRPr="00734942">
        <w:br/>
        <w:t>Indexes=SCI-EXPANDED, SSCI, A&amp;HCI, CPCI-S, CPCI-SSH, ESCI Timespan=1900-2020</w:t>
      </w:r>
    </w:p>
    <w:p w14:paraId="6D127C2B" w14:textId="77777777" w:rsidR="00837ED2" w:rsidRPr="00734942" w:rsidRDefault="00837ED2" w:rsidP="00837ED2">
      <w:r w:rsidRPr="00734942">
        <w:t>#21 (#20 AND #15 AND #1) [12,140]</w:t>
      </w:r>
    </w:p>
    <w:p w14:paraId="79327A26" w14:textId="77777777" w:rsidR="00837ED2" w:rsidRPr="00734942" w:rsidRDefault="00837ED2" w:rsidP="00837ED2">
      <w:r w:rsidRPr="00734942">
        <w:t>#20 (#19 OR #18 OR #17 OR #16) [18,586]</w:t>
      </w:r>
    </w:p>
    <w:p w14:paraId="2084FFD0" w14:textId="77777777" w:rsidR="00837ED2" w:rsidRPr="00734942" w:rsidRDefault="00837ED2" w:rsidP="00837ED2">
      <w:r w:rsidRPr="00734942">
        <w:t>#19 (TS=((“association* between” or “relationship between”) and (celiac or coeliac))) [1,458]</w:t>
      </w:r>
      <w:r w:rsidRPr="00734942">
        <w:br/>
        <w:t>Indexes=SCI-EXPANDED, SSCI, A&amp;HCI, CPCI-S, CPCI-SSH, ESCI Timespan=1900-2020</w:t>
      </w:r>
    </w:p>
    <w:p w14:paraId="295699B8" w14:textId="77777777" w:rsidR="00837ED2" w:rsidRPr="00734942" w:rsidRDefault="00837ED2" w:rsidP="00837ED2">
      <w:r w:rsidRPr="00734942">
        <w:t>#18 ((TS=((association* or associated or indicator* or indicated or predict*) near (risk* or symptom* or disease* or disorder* or histor*))) and (TS=(celiac or coeliac))) [5,833]</w:t>
      </w:r>
      <w:r w:rsidRPr="00734942">
        <w:br/>
        <w:t>Indexes=SCI-EXPANDED, SSCI, A&amp;HCI, CPCI-S, CPCI-SSH, ESCI Timespan=1900-2020</w:t>
      </w:r>
    </w:p>
    <w:p w14:paraId="7A53E26F" w14:textId="77777777" w:rsidR="00837ED2" w:rsidRPr="00734942" w:rsidRDefault="00837ED2" w:rsidP="00837ED2">
      <w:r w:rsidRPr="00734942">
        <w:t>#17 (TS=((celiac or coeliac) and ("detect* CD" or “CD detect*” or "detect* of CD" or "detect* with CD" or “diagnos* CD” or "CD diagnos*" or “diagnos* of CD” or "diagnos* with CD" or “predict* CD” or "CD predict*" or “predict* of CD” or "predict* with CD" or “inciden* CD” or "CD inciden*" or “inciden* of CD” or "inciden* with CD" or “prevalen* CD” or "CD prevalen*" or “prevalen* of CD” or " prevalen* with CD" or “seroprevalen* CD” or "CD seroprevalen*" or “seroprevalen* of CD” or "seroprevalen* with CD" or "CD risk*" or “risk* of CD” or “risk* for CD” or “risk* factor* of CD” or “risk factor* for CD” or “CD screen*” or "screen* for CD" or “CD test*” or "test* for CD"))) [1,489]</w:t>
      </w:r>
      <w:r w:rsidRPr="00734942">
        <w:br/>
        <w:t>Indexes=SCI-EXPANDED, SSCI, A&amp;HCI, CPCI-S, CPCI-SSH, ESCI Timespan=1900-2020</w:t>
      </w:r>
    </w:p>
    <w:p w14:paraId="7F22BE2C" w14:textId="77777777" w:rsidR="00837ED2" w:rsidRPr="00734942" w:rsidRDefault="00837ED2" w:rsidP="00837ED2">
      <w:r w:rsidRPr="00734942">
        <w:t>#16 (TS=(("case  finding" or detect* or diagnos* or predict* or incidence or prevalence or seroprevalence* or risk or "risk factor*" or "risk indicator*" or screen* or test*) and (celiac* or coeliac*))) [17,056]</w:t>
      </w:r>
      <w:r w:rsidRPr="00734942">
        <w:br/>
        <w:t>Indexes=SCI-EXPANDED, SSCI, A&amp;HCI, CPCI-S, CPCI-SSH, ESCI Timespan=1900-2020</w:t>
      </w:r>
    </w:p>
    <w:p w14:paraId="72E695F1" w14:textId="77777777" w:rsidR="00837ED2" w:rsidRPr="00734942" w:rsidRDefault="00837ED2" w:rsidP="00837ED2">
      <w:r w:rsidRPr="00734942">
        <w:t>#15 (#14 OR #13 OR #12 OR #11 OR #10 OR #9) [14,174,134]</w:t>
      </w:r>
    </w:p>
    <w:p w14:paraId="1313376A" w14:textId="77777777" w:rsidR="00837ED2" w:rsidRPr="000526F1" w:rsidRDefault="00837ED2" w:rsidP="00837ED2">
      <w:pPr>
        <w:rPr>
          <w:lang w:val="it-IT"/>
        </w:rPr>
      </w:pPr>
      <w:r w:rsidRPr="000526F1">
        <w:rPr>
          <w:lang w:val="it-IT"/>
        </w:rPr>
        <w:t>#14 (TI=(manifestation*)) [51,353]</w:t>
      </w:r>
      <w:r w:rsidRPr="000526F1">
        <w:rPr>
          <w:lang w:val="it-IT"/>
        </w:rPr>
        <w:br/>
        <w:t>Indexes=SCI-EXPANDED, SSCI, A&amp;HCI, CPCI-S, CPCI-SSH, ESCI Timespan=1900-2020</w:t>
      </w:r>
    </w:p>
    <w:p w14:paraId="63419088" w14:textId="77777777" w:rsidR="00837ED2" w:rsidRPr="00734942" w:rsidRDefault="00837ED2" w:rsidP="00837ED2">
      <w:r w:rsidRPr="00734942">
        <w:t>#13 (TS=("first degree" near (related or relative* or relation*))) [11,114]</w:t>
      </w:r>
      <w:r w:rsidRPr="00734942">
        <w:br/>
        <w:t>Indexes=SCI-EXPANDED, SSCI, A&amp;HCI, CPCI-S, CPCI-SSH, ESCI Timespan=1900-2020</w:t>
      </w:r>
    </w:p>
    <w:p w14:paraId="6552A5FE" w14:textId="77777777" w:rsidR="00837ED2" w:rsidRPr="00734942" w:rsidRDefault="00837ED2" w:rsidP="00837ED2">
      <w:r w:rsidRPr="00734942">
        <w:t>#12 (TS=("medical* morbid*" or (medical* near (comorbid* or co-morbid*)) or multimorbid* or "multi* morbid*" or "multi* comorbid*" or "multi* co-morbid*" or "multi* physical*")) [25,013]</w:t>
      </w:r>
      <w:r w:rsidRPr="00734942">
        <w:br/>
        <w:t>Indexes=SCI-EXPANDED, SSCI, A&amp;HCI, CPCI-S, CPCI-SSH, ESCI Timespan=1900-2020</w:t>
      </w:r>
    </w:p>
    <w:p w14:paraId="2EB6F364" w14:textId="77777777" w:rsidR="00837ED2" w:rsidRPr="00734942" w:rsidRDefault="00837ED2" w:rsidP="00837ED2">
      <w:r w:rsidRPr="00734942">
        <w:t xml:space="preserve">#11 ((TS=(constipation or constipated or diarrhoea or diarrhea or (abdominal near (disten* or pain or bloating or cramp or cramps)) or flatulence or meteorism or steatorrhoea or steatorrhea)) or (TS=((“acid base” or calcium or cyanocobalamin* or electrolyte* or folate or "folic acid"or glucose or IgA or "immunoglobulin A" or iron or lactose or lipid* or phosph* or protein* or triglyceride* or vitamin* or mineral*) near (disorder* or deficien* or imbalance* or insufficiency or intoleran*))) or (TS=(fever* or febrile or malaise or fatigue or letharg* or exhaustion or vomiting or nausea or emesis or sickness or “weight loss” or “wait gain” or “hot flashes” or “hot flushes” or “medically unexplained” or “unexplained medical” or “unexplained symptom*” or “signs and symptoms” or </w:t>
      </w:r>
      <w:r w:rsidRPr="00734942">
        <w:lastRenderedPageBreak/>
        <w:t>“condition* linked” or “linked condition*” or “condition* associated with” or sleepiness)) or (TS=((calciferol or cholecalciferol or colecalciferol or egocalciferol) near (disorder* or deficien* or imbalance* or insufficiency or intoleran*)))) or (TS=((anxiety or depression or mood) near (celiac or coeliac))) [1,055,350]</w:t>
      </w:r>
      <w:r w:rsidRPr="00734942">
        <w:br/>
        <w:t>Indexes=SCI-EXPANDED, SSCI, A&amp;HCI, CPCI-S, CPCI-SSH, ESCI Timespan=1900-2020</w:t>
      </w:r>
    </w:p>
    <w:p w14:paraId="3BA40F4E" w14:textId="77777777" w:rsidR="00837ED2" w:rsidRPr="00734942" w:rsidRDefault="00837ED2" w:rsidP="00837ED2">
      <w:r w:rsidRPr="00734942">
        <w:t>#10 (TS=("digestive system* disease*" or "digestive system* disorder*" or "digestive system* syndrom*" or "digestive system manifestation*" or "duoden* disease*" or "duoden* disorder*" or "duoden* syndrom*" or "duoden* manifestation*" or "gastr* disease*" or "gastr* disorder*" or "gastr* syndrom*" or "gastr* manifestation*" or "intestin* disease*" or "intestin* disorder*" or "intestin* syndrom*" or "intestin* manifestation*" or "malabsor* disease*" or "malabsor* disorder*" or "malabsor* syndrom*" or "malabsor* manifestation*")) [29,189]</w:t>
      </w:r>
      <w:r w:rsidRPr="00734942">
        <w:br/>
        <w:t>Indexes=SCI-EXPANDED, SSCI, A&amp;HCI, CPCI-S, CPCI-SSH, ESCI Timespan=1900-2020</w:t>
      </w:r>
    </w:p>
    <w:p w14:paraId="1FEC0438" w14:textId="77777777" w:rsidR="00837ED2" w:rsidRPr="00734942" w:rsidRDefault="00837ED2" w:rsidP="00837ED2">
      <w:r w:rsidRPr="00734942">
        <w:t xml:space="preserve">#9 (TS=((addison* near (disease* or disorder* or syndrom*)) or alopecia or baldness or amenorrhea* or amenorrhoea* or oligomenorrhea* or oligomenorrhoea* or "anxiety disorder*" or anorexia or "adrenal insufficienc*" or "adrenocortical insufficienc*" or allerg* or anemi* or anaemi* or angina or aneurysm or "ankylosing spondylitis" or arthropath* or arthriti* or arthrosis or arthroses or asthma* or asthenia or ataxia or "atrial fibrillation" or atrophy or "autoimmune disorders" or "autoimmune diseases" or "autoimmune syndrom*" or ataxia or avitaminosis or "bonnevie ullrich" or "back pain" or (biliary near (disease* or disorder* or syndrom*)) or (bipolar near disorder*) or blindness or "blind loop syndrom*" or (blood near poisoning) or "brain atroph*" or ((bone or bones) near (broken or disease* or disorder* or syndrom*)) or (bone* near (mineral* or densit* or soft* or decay*)) or (brain near (disease* or disorder* or syndrom*)) or (bronchi* near (disease* or disorder* or syndrom*)) or (bowel* near (disease* or disorder* or syndrom*)) or calcinosis or cancer* or carcinoma* or adenocarcinoma* or neoplasm* or neoplastic or metasta* or malignan* or tumour or tumours or tumor or tumors or (cardiac near (arrest or arrhythmia* or disease* or disorder* or surg* or syndrom*)) or cardiomyopath* or ((cardiovascular or coronary) near (disease* or disorder* or event* or syndrom*)) or cachexia or ((cecal or colon* or duoden*) near (disease* or disorder* or syndrom*)) or "cerebral palsy" or (cerebro* near (degenerat* or disease* or disorder* or event* or syndrom*)) or "chronic obstructive disease" or cirrhosis or claudication or colic or COPD or ((coordination or co-ordination) near (impair* or lack)) or "congenital abnormalit*" or (congential near (disease or disorder* or syndrom*)) or ((connective or collagen* or skin) near (disease or disorder* or syndrom*)) or "collagenous sprue" or colitis or colotides or coxarthrosis or crohn* or cushing* or cyanosis or "cystic fibrosis" or cystitis or deaf* or deformit* or "delayed puberty" or dental or "depressive disorder*" or dysphoria or dysthymia or disabled or (physical near (deform* or disab* or impair*)) or dermatitis or dermato* or dorsopath* or diabet* or "down* syndrom*" or duhring* or duehring* or duhrig* or duehrig* or dyscoordination or dys-coordination or dys-coordination or dys-co-ordination or dysentery or dyssynergia or dys-synergia or emaciat* or enteritis or enterocolitis* or dystonia or eczema or edema or oedema or "elfin face sydrom*" or encephalopath* or (endocrine near (disease* or disorder* or syndrom*)) or enuresis or enteropath* or epilep* or (eye near (disease* or disorder* or manifestation* or syndrome*)) or "fatigue syndrome" or "chronic fatigue" or "failure to thrive" or fibromyalgia or fibrosis or "food hypersensitivity" or fractures or gammaglobulinemia or gammaglobulinaemia or (gardner* near (syndrom* or disease* or disorder*)) or gastritis or gastroenteritis or gout or (glomerul* near (disease* or disorder* or syndrom*)) or "gonodal near dysgen*" or (growth near (disease* or disorder* or syndrom*)) or headache* or ((hemic or haemic or lymph*) near (disease* or disorder* or syndrom*)) or hematuria or haematuria or hemophili* or haemophili* or ((hearing or visual or vision or sight) near (aid* or impair* or loss)) or (heart near </w:t>
      </w:r>
      <w:r w:rsidRPr="00734942">
        <w:lastRenderedPageBreak/>
        <w:t xml:space="preserve">(disease* or disorder* or failure or syndrom* or manifestation* or myopathy*)) or hemiplegi* or hepatitis or hemodialysis or haemodialysis hiv or "human immunodeficiency virus" or "acquired immunodeficieny syndrom*" or "heerfordt waldenstrom*" or hidroa or hydroa or "hippel lindau*" or hypertensi* or hypotensi* or hyperthyroidism or hypothyroidism or hypocortisolism or hypocorticism or hypoadrenalism or incoordination or inco-ordination or in-coordination or in-co-ordination or infertility or subfertility or sub-fertil* or sterility or "inflammatory disease*" or "inflammatory bowel disease*" or incontinen* or "intestinal atresi*" or intussusception or "irritable bowel" or ischemi* or ischaemi* or fistula* or (joint near (disease* or disorder* or syndrom*)) or (jejunal near (disease* or disorder* or syndrom*)) or kyphosis or lav-htlv* or leukemia or leukaemia or ((liver or hepatic) near (disease* or disorder* or failure or syndrom*)) or lordosis or (lung near (disease* or disorder*)) or lupus or SLE or lymphoma or lymphogranuloma* or lymphadenopath* or lymphotrop* or "machado joseph*" or "macular degeneration" or malnutrition or (mental near (disorder* or disease* or health or illness*)) or mania or manic or (menstr* near (ceas* or disturb* or disease* or disorder* or stop* or syndrom*)) or migraine* or (mitochondrial near (disease* or disorder* or syndrom*)) or "movement disorder*" or mucinosis or musculoskeletal or "narp syndrom*" or necrotizing or nephrotic syndrom* or neuromuscular or non-hodgkin* or nonhodgkin* or "multiple sclerosis" or myeloma or myocarditis or myocardiopath* or myopath* or (myocardi* near (deteri* or disease* or disorder* or syndrom* or manifestation*)) or "nephrotic syndrome" or ((neurodegenerat* or neuro-degenerat) near (disease* or disorder* or syndrom)) or ((nutritional or metabolic) near (disease* or disorder* or syndrom*)) or ((organ* or kidney or "stem cell") near (transplant* or recipient*)) or ("nervous system" near (disease* or disorder* or syndrom*)) or (neurological near (condition* or disease* or disorder* or syndrom*)) or neuropath* or neurosarcoido* or occlusion* or obesity or obese or orthopedic* or orthopaedic* or ((esophageal or oesophageal) near (disease* or disorder* or syndrom*)) or ((oral or mouth) near (disease* or disorder* or syndrom* or manifestation*)) or osteo* or "otitis media" or otorhinolaryngolog* or otosclerosis or (pancrea* near (disease* or disorder* or syndrom*)) or papulosquamous or paraplegi* or parkinson* or (peripheral near (arterial or vascular or disease* or disorder* or syndrom*)) or (peritoneal near (disease* or disorder* or syndrom*)) or photodermato* or "pick disease*" or pneumo* or polio* or polyp* or polydipsia or polyarthropath* or polyarteritis or polyarthrosis or polyneuropath* or porphyrias or (pregnancy near complicat*) or "premature aging" or proteostasis or pseudophakia or psoriasis or parapsoriasis or prolapse or (pulmonary near (disease* or disorder* or syndrom*)) or purpur* or (recurren* near (abortion* or miscarr*)) or ((rectum or rectal) near (disease* or disorder* or syndrom*)) or ((renal or kidney) near (disease* or disorder* or failure or syndrom*)) or (respiratory near (disease* or disorder* or syndrom*)) or reticulocytosis or retinopathy or rheumat* or ricket* or sarcoido* or sepsis or septic* or seizure* or sclerosis or scoliosis or "sickle cell" or ((sjogren* or sjoegren* or sicca*) near (syndrom* or disease* or disorder*)) or ((skin or "connective tissue") near (disease* or disorder* or syndrom*)) or "sleep disorder*" or "sleep apnea" or "sleep apnoea" or insomnia* or dyssomnia* or hypersomnia* or "spina bifida" or "muscular atropy" or "short stature*" or "short bowel syndrom*" or (spin* near (degenerat* or disease* or disorder* or syndrom*)) or (spleen* near (disease* or disorder* or syndrom*)) or spondylo* or stenosis* or stoma* or (stomach near (disease* or disorder* or syndrom*)) or stroke or strokes or "cerebral infarct*" or tetraplegi* or thyroiditis* or (thyroid* near (disease* or disorder* or dysfunction* or syndrom*)) or ((tooth or teeth or enamel) near (decay* or discolo* or disease* or disorder* or dysfunction* or syndrom*)) or "tropical sprue" or tuberculosis or (systemic near (disorder* or disease* or syndrom*)) or thrombocyto* or tremor or tremors or (turner* near (syndrome* or disease* or disorder*)) or ulcer* or (urogenital near (disease* or disorder* or syndrom*)) or vasculopath* or (vascular near (disease* or disorder* or occlu* or syndrom*)) or vestibular or ((virus or viral or bacteri* or parasit*) near (infection* or disease*)) or </w:t>
      </w:r>
      <w:r w:rsidRPr="00734942">
        <w:lastRenderedPageBreak/>
        <w:t>(wasting near (disorder* or disease* or syndrom*)) or (whipple near (disorder* or disease* or syndrom*)) or (william* near (syndrom* or disease* or disorder*)) or zoster*)) [13,693,359]</w:t>
      </w:r>
      <w:r w:rsidRPr="00734942">
        <w:br/>
        <w:t>Indexes=SCI-EXPANDED, SSCI, A&amp;HCI, CPCI-S, CPCI-SSH, ESCI Timespan=1900-2020</w:t>
      </w:r>
    </w:p>
    <w:p w14:paraId="3C6AACDD" w14:textId="77777777" w:rsidR="00837ED2" w:rsidRPr="00734942" w:rsidRDefault="00837ED2" w:rsidP="00837ED2">
      <w:r w:rsidRPr="00734942">
        <w:t>#8 (#7 and #1) [5,889]</w:t>
      </w:r>
    </w:p>
    <w:p w14:paraId="63766FED" w14:textId="77777777" w:rsidR="00837ED2" w:rsidRPr="00734942" w:rsidRDefault="00837ED2" w:rsidP="00837ED2">
      <w:r w:rsidRPr="00734942">
        <w:t>#7 (#6 OR #5 OR #4 OR #3 OR #2) [6,827,636]</w:t>
      </w:r>
    </w:p>
    <w:p w14:paraId="51B0C88A" w14:textId="77777777" w:rsidR="00837ED2" w:rsidRPr="00734942" w:rsidRDefault="00837ED2" w:rsidP="00837ED2">
      <w:r w:rsidRPr="00734942">
        <w:t>#6 (TS=("clinical decision making" or "logistic model*" or "statistical model*")) [81,189]</w:t>
      </w:r>
      <w:r w:rsidRPr="00734942">
        <w:br/>
        <w:t>Indexes=SCI-EXPANDED, SSCI, A&amp;HCI, CPCI-S, CPCI-SSH, ESCI Timespan=1900-2020</w:t>
      </w:r>
    </w:p>
    <w:p w14:paraId="060A3020" w14:textId="77777777" w:rsidR="00837ED2" w:rsidRPr="00734942" w:rsidRDefault="00837ED2" w:rsidP="00837ED2">
      <w:r w:rsidRPr="00734942">
        <w:t>#5 (TS=((multivaria* or multicomponent*) NEAR (model* or algorithm* or score or scores or scoring or rule or rules or index or tool or tools or panel or criteri*))) [156,496]</w:t>
      </w:r>
      <w:r w:rsidRPr="00734942">
        <w:br/>
        <w:t>Indexes=SCI-EXPANDED, SSCI, A&amp;HCI, CPCI-S, CPCI-SSH, ESCI Timespan=1900-2020</w:t>
      </w:r>
    </w:p>
    <w:p w14:paraId="4FE4F4DF" w14:textId="77777777" w:rsidR="00837ED2" w:rsidRPr="00734942" w:rsidRDefault="00837ED2" w:rsidP="00837ED2">
      <w:r w:rsidRPr="00734942">
        <w:t>#4 (TS=(clinic* NEAR (model* or algorithm* or score or scores or scoring or risk or risks or rule or rules or predict* or index or tool or tools or panel or criteri* or decision* or stratif* or diagnos* or detect* or identif* or probabilit*))) [1,061,406]</w:t>
      </w:r>
      <w:r w:rsidRPr="00734942">
        <w:br/>
        <w:t>Indexes=SCI-EXPANDED, SSCI, A&amp;HCI, CPCI-S, CPCI-SSH, ESCI Timespan=1900-2020</w:t>
      </w:r>
    </w:p>
    <w:p w14:paraId="1D92E029" w14:textId="77777777" w:rsidR="00837ED2" w:rsidRPr="00734942" w:rsidRDefault="00837ED2" w:rsidP="00837ED2">
      <w:r w:rsidRPr="00734942">
        <w:t>#3 (TS=((detect* or diagnos* or identif* or decision* or predict* or prognos* or stratif* or validat*) NEAR (risk or risks or model* or factor* or algorithm* or score or scores or scoring or system or technique* or aid or aids or rule or rules or index or variable* or tool or tools or panel or criteri* or characteristic* or history or finding* or value* or assay or stratif* or biomarker*))) [5,481,423]</w:t>
      </w:r>
      <w:r w:rsidRPr="00734942">
        <w:br/>
        <w:t>Indexes=SCI-EXPANDED, SSCI, A&amp;HCI, CPCI-S, CPCI-SSH, ESCI Timespan=1900-2020</w:t>
      </w:r>
    </w:p>
    <w:p w14:paraId="26AE53DF" w14:textId="77777777" w:rsidR="00837ED2" w:rsidRPr="00734942" w:rsidRDefault="00837ED2" w:rsidP="00837ED2">
      <w:r w:rsidRPr="00734942">
        <w:t>#2 (TS=((detect* or diagnos* or identif* or decision* or predict* or prognos* or risk or risks or stratif* or validat*) NEAR (model* or factor* or algorithm* or score or scores or scoring or system or technique* or aid or aids or rule or rules or index or variable* or tool or tools or panel or criteri* or characteristic* or history or finding* or value* or assay or stratif* or biomarker*))) [6/133,858]</w:t>
      </w:r>
      <w:r w:rsidRPr="00734942">
        <w:br/>
        <w:t>Indexes=SCI-EXPANDED, SSCI, A&amp;HCI, CPCI-S, CPCI-SSH, ESCI Timespan=1900-2020</w:t>
      </w:r>
    </w:p>
    <w:p w14:paraId="08D456BA" w14:textId="77777777" w:rsidR="00837ED2" w:rsidRPr="00734942" w:rsidRDefault="00837ED2" w:rsidP="00837ED2">
      <w:r w:rsidRPr="00734942">
        <w:t>#1 TS=((celiac* OR coeliac*) NEAR (asymptomatic OR atypical OR adolesc* OR adult* OR cases OR cohort* OR child* OR disease* OR disorder* OR family OR families OR familial OR "genetic predispos*" OR "genetic pre-dispos*" OR heredit* OR infant* OR men OR patient* OR people OR population* OR subjects OR symptomatic OR syndrom* OR sprue OR women))) NOT (TS=((celiac* OR coeliac*) NEAR (angiography OR artery OR arteries OR axis OR plexus OR trunk))) [25,557]</w:t>
      </w:r>
      <w:r w:rsidRPr="00734942">
        <w:br/>
        <w:t>Indexes=SCI-EXPANDED, SSCI, A&amp;HCI, CPCI-S, CPCI-SSH, ESCI Timespan=1900-2020</w:t>
      </w:r>
    </w:p>
    <w:p w14:paraId="5B8C4C24" w14:textId="77777777" w:rsidR="009617C4" w:rsidRDefault="00837ED2" w:rsidP="009617C4">
      <w:pPr>
        <w:pStyle w:val="Heading2"/>
      </w:pPr>
      <w:r w:rsidRPr="00734942">
        <w:br w:type="page"/>
      </w:r>
      <w:bookmarkStart w:id="348" w:name="_Ref86164798"/>
      <w:bookmarkStart w:id="349" w:name="_Ref87617947"/>
      <w:bookmarkStart w:id="350" w:name="_Toc99539922"/>
      <w:r w:rsidR="009617C4" w:rsidRPr="00734942">
        <w:lastRenderedPageBreak/>
        <w:t xml:space="preserve">Appendix </w:t>
      </w:r>
      <w:bookmarkEnd w:id="348"/>
      <w:r w:rsidR="009617C4">
        <w:t>2</w:t>
      </w:r>
      <w:bookmarkEnd w:id="349"/>
      <w:bookmarkEnd w:id="350"/>
    </w:p>
    <w:p w14:paraId="07C58E41" w14:textId="77777777" w:rsidR="009617C4" w:rsidRPr="009617C4" w:rsidRDefault="009617C4" w:rsidP="000526F1"/>
    <w:p w14:paraId="48A6F30C" w14:textId="77777777" w:rsidR="009617C4" w:rsidRDefault="009617C4" w:rsidP="009617C4">
      <w:r>
        <w:rPr>
          <w:noProof/>
        </w:rPr>
        <w:drawing>
          <wp:inline distT="0" distB="0" distL="0" distR="0" wp14:anchorId="23BF56D5" wp14:editId="7E72FCB2">
            <wp:extent cx="5720606" cy="5819140"/>
            <wp:effectExtent l="0" t="0" r="0" b="0"/>
            <wp:docPr id="73" name="Picture 7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Text&#10;&#10;Description automatically generated"/>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722255" cy="5820818"/>
                    </a:xfrm>
                    <a:prstGeom prst="rect">
                      <a:avLst/>
                    </a:prstGeom>
                    <a:noFill/>
                  </pic:spPr>
                </pic:pic>
              </a:graphicData>
            </a:graphic>
          </wp:inline>
        </w:drawing>
      </w:r>
    </w:p>
    <w:p w14:paraId="47C6F391" w14:textId="749E7C96" w:rsidR="009617C4" w:rsidRPr="00734942" w:rsidRDefault="009617C4" w:rsidP="009617C4">
      <w:pPr>
        <w:pStyle w:val="Caption"/>
      </w:pPr>
      <w:bookmarkStart w:id="351" w:name="_Ref95314727"/>
      <w:bookmarkStart w:id="352" w:name="_Ref95314724"/>
      <w:bookmarkStart w:id="353" w:name="_Toc99720807"/>
      <w:r w:rsidRPr="00734942">
        <w:t xml:space="preserve">Figure </w:t>
      </w:r>
      <w:r>
        <w:fldChar w:fldCharType="begin"/>
      </w:r>
      <w:r>
        <w:instrText>SEQ Figure \* ARABIC</w:instrText>
      </w:r>
      <w:r>
        <w:fldChar w:fldCharType="separate"/>
      </w:r>
      <w:r w:rsidR="008B5583">
        <w:rPr>
          <w:noProof/>
        </w:rPr>
        <w:t>26</w:t>
      </w:r>
      <w:r>
        <w:fldChar w:fldCharType="end"/>
      </w:r>
      <w:bookmarkEnd w:id="351"/>
      <w:r w:rsidRPr="00734942">
        <w:t xml:space="preserve"> PRISMA flow diagram</w:t>
      </w:r>
      <w:bookmarkEnd w:id="352"/>
      <w:bookmarkEnd w:id="353"/>
    </w:p>
    <w:p w14:paraId="2AEE2E6E" w14:textId="6D2DDB5C" w:rsidR="009617C4" w:rsidRPr="000526F1" w:rsidRDefault="009617C4">
      <w:pPr>
        <w:rPr>
          <w:sz w:val="20"/>
          <w:szCs w:val="20"/>
        </w:rPr>
      </w:pPr>
      <w:r w:rsidRPr="00734942">
        <w:rPr>
          <w:sz w:val="20"/>
          <w:szCs w:val="20"/>
        </w:rPr>
        <w:t>Abbreviations: BSG: Guidelines from the British Society of Gastroenterology;</w:t>
      </w:r>
      <w:r w:rsidRPr="00734942">
        <w:rPr>
          <w:sz w:val="20"/>
          <w:szCs w:val="20"/>
        </w:rPr>
        <w:fldChar w:fldCharType="begin">
          <w:fldData xml:space="preserve">PEVuZE5vdGU+PENpdGU+PEF1dGhvcj5MdWR2aWdzc29uPC9BdXRob3I+PFllYXI+MjAxNDwvWWVh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</w:fldData>
        </w:fldChar>
      </w:r>
      <w:r w:rsidR="00735CC0">
        <w:rPr>
          <w:sz w:val="20"/>
          <w:szCs w:val="20"/>
        </w:rPr>
        <w:instrText xml:space="preserve"> ADDIN EN.CITE </w:instrText>
      </w:r>
      <w:r w:rsidR="00735CC0">
        <w:rPr>
          <w:sz w:val="20"/>
          <w:szCs w:val="20"/>
        </w:rPr>
        <w:fldChar w:fldCharType="begin">
          <w:fldData xml:space="preserve">PEVuZE5vdGU+PENpdGU+PEF1dGhvcj5MdWR2aWdzc29uPC9BdXRob3I+PFllYXI+MjAxNDwvWWVh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</w:fldData>
        </w:fldChar>
      </w:r>
      <w:r w:rsidR="00735CC0">
        <w:rPr>
          <w:sz w:val="20"/>
          <w:szCs w:val="20"/>
        </w:rPr>
        <w:instrText xml:space="preserve"> ADDIN EN.CITE.DATA </w:instrText>
      </w:r>
      <w:r w:rsidR="00735CC0">
        <w:rPr>
          <w:sz w:val="20"/>
          <w:szCs w:val="20"/>
        </w:rPr>
      </w:r>
      <w:r w:rsidR="00735CC0">
        <w:rPr>
          <w:sz w:val="20"/>
          <w:szCs w:val="20"/>
        </w:rPr>
        <w:fldChar w:fldCharType="end"/>
      </w:r>
      <w:r w:rsidRPr="00734942">
        <w:rPr>
          <w:sz w:val="20"/>
          <w:szCs w:val="20"/>
        </w:rPr>
      </w:r>
      <w:r w:rsidRPr="00734942">
        <w:rPr>
          <w:sz w:val="20"/>
          <w:szCs w:val="20"/>
        </w:rPr>
        <w:fldChar w:fldCharType="separate"/>
      </w:r>
      <w:r w:rsidR="00735CC0" w:rsidRPr="00735CC0">
        <w:rPr>
          <w:noProof/>
          <w:sz w:val="20"/>
          <w:szCs w:val="20"/>
          <w:vertAlign w:val="superscript"/>
        </w:rPr>
        <w:t>42</w:t>
      </w:r>
      <w:r w:rsidRPr="00734942">
        <w:rPr>
          <w:sz w:val="20"/>
          <w:szCs w:val="20"/>
        </w:rPr>
        <w:fldChar w:fldCharType="end"/>
      </w:r>
      <w:r w:rsidRPr="00734942">
        <w:rPr>
          <w:sz w:val="20"/>
          <w:szCs w:val="20"/>
        </w:rPr>
        <w:t xml:space="preserve"> NICE: National Institute for Health and Care Excellence; ESsCD: European Society for the Study of Coeliac Disease guideline;</w:t>
      </w:r>
      <w:r w:rsidRPr="00734942">
        <w:rPr>
          <w:sz w:val="20"/>
          <w:szCs w:val="20"/>
        </w:rPr>
        <w:fldChar w:fldCharType="begin">
          <w:fldData xml:space="preserve">PEVuZE5vdGU+PENpdGU+PEF1dGhvcj5BbC1Ub21hPC9BdXRob3I+PFllYXI+MjAxOTwvWWVhcj48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==
</w:fldData>
        </w:fldChar>
      </w:r>
      <w:r w:rsidR="00735CC0">
        <w:rPr>
          <w:sz w:val="20"/>
          <w:szCs w:val="20"/>
        </w:rPr>
        <w:instrText xml:space="preserve"> ADDIN EN.CITE </w:instrText>
      </w:r>
      <w:r w:rsidR="00735CC0">
        <w:rPr>
          <w:sz w:val="20"/>
          <w:szCs w:val="20"/>
        </w:rPr>
        <w:fldChar w:fldCharType="begin">
          <w:fldData xml:space="preserve">PEVuZE5vdGU+PENpdGU+PEF1dGhvcj5BbC1Ub21hPC9BdXRob3I+PFllYXI+MjAxOTwvWWVhcj48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==
</w:fldData>
        </w:fldChar>
      </w:r>
      <w:r w:rsidR="00735CC0">
        <w:rPr>
          <w:sz w:val="20"/>
          <w:szCs w:val="20"/>
        </w:rPr>
        <w:instrText xml:space="preserve"> ADDIN EN.CITE.DATA </w:instrText>
      </w:r>
      <w:r w:rsidR="00735CC0">
        <w:rPr>
          <w:sz w:val="20"/>
          <w:szCs w:val="20"/>
        </w:rPr>
      </w:r>
      <w:r w:rsidR="00735CC0">
        <w:rPr>
          <w:sz w:val="20"/>
          <w:szCs w:val="20"/>
        </w:rPr>
        <w:fldChar w:fldCharType="end"/>
      </w:r>
      <w:r w:rsidRPr="00734942">
        <w:rPr>
          <w:sz w:val="20"/>
          <w:szCs w:val="20"/>
        </w:rPr>
      </w:r>
      <w:r w:rsidRPr="00734942">
        <w:rPr>
          <w:sz w:val="20"/>
          <w:szCs w:val="20"/>
        </w:rPr>
        <w:fldChar w:fldCharType="separate"/>
      </w:r>
      <w:r w:rsidR="00735CC0" w:rsidRPr="00735CC0">
        <w:rPr>
          <w:noProof/>
          <w:sz w:val="20"/>
          <w:szCs w:val="20"/>
          <w:vertAlign w:val="superscript"/>
        </w:rPr>
        <w:t>43</w:t>
      </w:r>
      <w:r w:rsidRPr="00734942">
        <w:rPr>
          <w:sz w:val="20"/>
          <w:szCs w:val="20"/>
        </w:rPr>
        <w:fldChar w:fldCharType="end"/>
      </w:r>
      <w:r w:rsidRPr="00734942">
        <w:rPr>
          <w:sz w:val="20"/>
          <w:szCs w:val="20"/>
        </w:rPr>
        <w:t xml:space="preserve"> ESPGHAN: European Society Paediatric Gastroenterology, Hepatology and Nutrition Guidelines.</w:t>
      </w:r>
      <w:r w:rsidR="008D4A7F">
        <w:rPr>
          <w:sz w:val="20"/>
          <w:szCs w:val="20"/>
        </w:rPr>
        <w:fldChar w:fldCharType="begin"/>
      </w:r>
      <w:r w:rsidR="008D4A7F">
        <w:rPr>
          <w:sz w:val="20"/>
          <w:szCs w:val="20"/>
        </w:rPr>
        <w:instrText xml:space="preserve"> ADDIN EN.CITE &lt;EndNote&gt;&lt;Cite&gt;&lt;Author&gt;Husby&lt;/Author&gt;&lt;Year&gt;2020&lt;/Year&gt;&lt;RecNum&gt;538&lt;/RecNum&gt;&lt;DisplayText&gt;&lt;style face="superscript"&gt;10&lt;/style&gt;&lt;/DisplayText&gt;&lt;record&gt;&lt;rec-number&gt;538&lt;/rec-number&gt;&lt;foreign-keys&gt;&lt;key app="EN" db-id="tdwrx9xd1z9eepeevr355w2k959rv0f5zaax" timestamp="1636620393"&gt;538&lt;/key&gt;&lt;/foreign-keys&gt;&lt;ref-type name="Journal Article"&gt;17&lt;/ref-type&gt;&lt;contributors&gt;&lt;authors&gt;&lt;author&gt;Husby, Steffen&lt;/author&gt;&lt;author&gt;Koletzko, Sibylle&lt;/author&gt;&lt;author&gt;Korponay-Szabó, Ilma&lt;/author&gt;&lt;author&gt;Kurppa, Kalle&lt;/author&gt;&lt;author&gt;Mearin, Maria Luisa&lt;/author&gt;&lt;author&gt;Ribes-Koninckx, Carmen&lt;/author&gt;&lt;author&gt;Shamir, Raanan&lt;/author&gt;&lt;author&gt;Troncone, Riccardo&lt;/author&gt;&lt;author&gt;Auricchio, Renata&lt;/author&gt;&lt;author&gt;Castillejo, Gemma&lt;/author&gt;&lt;author&gt;Christensen, Robin&lt;/author&gt;&lt;author&gt;Dolinsek, Jernej&lt;/author&gt;&lt;author&gt;Gillett, Peter&lt;/author&gt;&lt;author&gt;Hróbjartsson, Asbjørn&lt;/author&gt;&lt;author&gt;Koltai, Tunde&lt;/author&gt;&lt;author&gt;Maki, Markku&lt;/author&gt;&lt;author&gt;Nielsen, Sabrina Mai&lt;/author&gt;&lt;author&gt;Popp, Alina&lt;/author&gt;&lt;author&gt;Størdal, Ketil&lt;/author&gt;&lt;author&gt;Werkstetter, Katharina&lt;/author&gt;&lt;author&gt;Wessels, Margreet&lt;/author&gt;&lt;/authors&gt;&lt;/contributors&gt;&lt;titles&gt;&lt;title&gt;European Society Paediatric Gastroenterology, Hepatology and Nutrition Guidelines for Diagnosing Coeliac Disease 2020&lt;/title&gt;&lt;secondary-title&gt;Journal of Pediatric Gastroenterology and Nutrition&lt;/secondary-title&gt;&lt;/titles&gt;&lt;periodical&gt;&lt;full-title&gt;Journal of Pediatric Gastroenterology and Nutrition&lt;/full-title&gt;&lt;/periodical&gt;&lt;pages&gt;141-156&lt;/pages&gt;&lt;volume&gt;70&lt;/volume&gt;&lt;number&gt;1&lt;/number&gt;&lt;keywords&gt;&lt;keyword&gt;children and adolescents&lt;/keyword&gt;&lt;keyword&gt;coeliac disease&lt;/keyword&gt;&lt;keyword&gt;diagnostic tests&lt;/keyword&gt;&lt;keyword&gt;meta-analysis&lt;/keyword&gt;&lt;/keywords&gt;&lt;dates&gt;&lt;year&gt;2020&lt;/year&gt;&lt;/dates&gt;&lt;isbn&gt;0277-2116&lt;/isbn&gt;&lt;accession-num&gt;00005176-202001000-00024&lt;/accession-num&gt;&lt;urls&gt;&lt;related-urls&gt;&lt;url&gt;https://journals.lww.com/jpgn/Fulltext/2020/01000/European_Society_Paediatric_Gastroenterology,.24.aspx&lt;/url&gt;&lt;/related-urls&gt;&lt;/urls&gt;&lt;electronic-resource-num&gt;10.1097/mpg.0000000000002497&lt;/electronic-resource-num&gt;&lt;/record&gt;&lt;/Cite&gt;&lt;/EndNote&gt;</w:instrText>
      </w:r>
      <w:r w:rsidR="008D4A7F">
        <w:rPr>
          <w:sz w:val="20"/>
          <w:szCs w:val="20"/>
        </w:rPr>
        <w:fldChar w:fldCharType="separate"/>
      </w:r>
      <w:r w:rsidR="008D4A7F" w:rsidRPr="008D4A7F">
        <w:rPr>
          <w:noProof/>
          <w:sz w:val="20"/>
          <w:szCs w:val="20"/>
          <w:vertAlign w:val="superscript"/>
        </w:rPr>
        <w:t>10</w:t>
      </w:r>
      <w:r w:rsidR="008D4A7F">
        <w:rPr>
          <w:sz w:val="20"/>
          <w:szCs w:val="20"/>
        </w:rPr>
        <w:fldChar w:fldCharType="end"/>
      </w:r>
      <w:r w:rsidR="008D4A7F" w:rsidRPr="00734942">
        <w:rPr>
          <w:sz w:val="20"/>
          <w:szCs w:val="20"/>
        </w:rPr>
        <w:t xml:space="preserve"> </w:t>
      </w:r>
    </w:p>
    <w:p w14:paraId="4166E134" w14:textId="3051F020" w:rsidR="00837ED2" w:rsidRPr="00734942" w:rsidRDefault="00837ED2"/>
    <w:p w14:paraId="6676C9DE" w14:textId="77777777" w:rsidR="00837ED2" w:rsidRPr="00734942" w:rsidRDefault="00837ED2" w:rsidP="007B756D">
      <w:pPr>
        <w:pStyle w:val="Heading2"/>
        <w:sectPr w:rsidR="00837ED2" w:rsidRPr="00734942">
          <w:pgSz w:w="11906" w:h="16838"/>
          <w:pgMar w:top="1440" w:right="1440" w:bottom="1440" w:left="1440" w:header="708" w:footer="708" w:gutter="0"/>
          <w:cols w:space="708"/>
          <w:docGrid w:linePitch="360"/>
        </w:sectPr>
      </w:pPr>
    </w:p>
    <w:p w14:paraId="040BE315" w14:textId="48999AE8" w:rsidR="00F67DC0" w:rsidRDefault="00F67DC0" w:rsidP="009617C4">
      <w:pPr>
        <w:pStyle w:val="Heading2"/>
      </w:pPr>
      <w:bookmarkStart w:id="354" w:name="_Toc99539923"/>
      <w:r w:rsidRPr="00734942">
        <w:lastRenderedPageBreak/>
        <w:t xml:space="preserve">Appendix </w:t>
      </w:r>
      <w:r w:rsidR="006F724F">
        <w:t>3</w:t>
      </w:r>
      <w:bookmarkEnd w:id="354"/>
    </w:p>
    <w:p w14:paraId="323D214C" w14:textId="21E99383" w:rsidR="0069305A" w:rsidRPr="00734942" w:rsidRDefault="0069305A" w:rsidP="0069305A">
      <w:pPr>
        <w:pStyle w:val="Caption"/>
        <w:rPr>
          <w:noProof/>
        </w:rPr>
      </w:pPr>
      <w:bookmarkStart w:id="355" w:name="_Ref83989161"/>
      <w:bookmarkStart w:id="356" w:name="_Ref83903931"/>
      <w:bookmarkStart w:id="357" w:name="_Toc99720735"/>
      <w:r w:rsidRPr="00734942">
        <w:t xml:space="preserve">Table </w:t>
      </w:r>
      <w:r w:rsidRPr="00734942">
        <w:fldChar w:fldCharType="begin"/>
      </w:r>
      <w:r w:rsidRPr="00734942">
        <w:instrText>SEQ Table \* ARABIC</w:instrText>
      </w:r>
      <w:r w:rsidRPr="00734942">
        <w:fldChar w:fldCharType="separate"/>
      </w:r>
      <w:r w:rsidR="008B5583">
        <w:rPr>
          <w:noProof/>
        </w:rPr>
        <w:t>24</w:t>
      </w:r>
      <w:r w:rsidRPr="00734942">
        <w:fldChar w:fldCharType="end"/>
      </w:r>
      <w:bookmarkEnd w:id="355"/>
      <w:r w:rsidRPr="00734942">
        <w:rPr>
          <w:noProof/>
        </w:rPr>
        <w:t xml:space="preserve"> Summary table of study characteristics</w:t>
      </w:r>
      <w:bookmarkEnd w:id="356"/>
      <w:bookmarkEnd w:id="357"/>
    </w:p>
    <w:p w14:paraId="6E332C0F" w14:textId="77777777" w:rsidR="0069305A" w:rsidRPr="00734942" w:rsidRDefault="0069305A" w:rsidP="0069305A">
      <w:pPr>
        <w:pStyle w:val="NoSpacing"/>
        <w:rPr>
          <w:sz w:val="20"/>
          <w:szCs w:val="20"/>
          <w:lang w:val="en-GB"/>
        </w:rPr>
      </w:pPr>
      <w:r w:rsidRPr="00734942">
        <w:rPr>
          <w:sz w:val="20"/>
          <w:szCs w:val="20"/>
          <w:lang w:val="en-GB"/>
        </w:rPr>
        <w:t xml:space="preserve">Abbreviations: DI: diagnostic indicator; CD: coeliac disease; GERS: </w:t>
      </w:r>
      <w:r w:rsidRPr="00734942">
        <w:rPr>
          <w:rFonts w:eastAsia="Times New Roman"/>
          <w:color w:val="111111"/>
          <w:sz w:val="18"/>
          <w:szCs w:val="18"/>
          <w:lang w:val="en-GB" w:eastAsia="en-GB"/>
        </w:rPr>
        <w:t>gastroesophageal reflux symptoms; IDA: iron deficiency anaemia; RA: rheumatoid arthritis; AS: ankylosing spondylitis; PsA: psoriatic arthritis; PBC: primary biliary cirrhosis; ALD: alcoholic liver disease.</w:t>
      </w:r>
    </w:p>
    <w:p w14:paraId="3C2E3848" w14:textId="77777777" w:rsidR="0069305A" w:rsidRPr="00734942" w:rsidRDefault="0069305A" w:rsidP="0069305A">
      <w:pPr>
        <w:pStyle w:val="NoSpacing"/>
        <w:rPr>
          <w:sz w:val="18"/>
          <w:szCs w:val="18"/>
          <w:lang w:val="en-GB"/>
        </w:rPr>
      </w:pPr>
      <w:r w:rsidRPr="005A7A0A">
        <w:rPr>
          <w:sz w:val="18"/>
          <w:szCs w:val="18"/>
          <w:vertAlign w:val="superscript"/>
          <w:lang w:val="en-GB"/>
        </w:rPr>
        <w:t>a</w:t>
      </w:r>
      <w:r w:rsidRPr="00734942">
        <w:rPr>
          <w:sz w:val="18"/>
          <w:szCs w:val="18"/>
          <w:lang w:val="en-GB"/>
        </w:rPr>
        <w:t xml:space="preserve"> (Nested) case-control (DI): (nested) case-control studies where cases were recruited based on having the diagnostic indicator. ‘Nested’ case-control studies are nested within a cohort, where cases and controls are selected from the same cohort.</w:t>
      </w:r>
    </w:p>
    <w:p w14:paraId="5431ED4F" w14:textId="77777777" w:rsidR="0069305A" w:rsidRPr="00734942" w:rsidRDefault="0069305A" w:rsidP="0069305A">
      <w:pPr>
        <w:pStyle w:val="NoSpacing"/>
        <w:rPr>
          <w:sz w:val="18"/>
          <w:szCs w:val="18"/>
          <w:lang w:val="en-GB"/>
        </w:rPr>
      </w:pPr>
      <w:r>
        <w:rPr>
          <w:sz w:val="18"/>
          <w:szCs w:val="18"/>
          <w:vertAlign w:val="superscript"/>
          <w:lang w:val="en-GB"/>
        </w:rPr>
        <w:t>b</w:t>
      </w:r>
      <w:r w:rsidRPr="00734942">
        <w:rPr>
          <w:sz w:val="18"/>
          <w:szCs w:val="18"/>
          <w:lang w:val="en-GB"/>
        </w:rPr>
        <w:t xml:space="preserve"> (Nested) case-control (CD): (nested) case-control studies where cases were recruited based on having coeliac disease.</w:t>
      </w:r>
    </w:p>
    <w:tbl>
      <w:tblPr>
        <w:tblW w:w="5000" w:type="pct"/>
        <w:tblLayout w:type="fixed"/>
        <w:tblLook w:val="04A0" w:firstRow="1" w:lastRow="0" w:firstColumn="1" w:lastColumn="0" w:noHBand="0" w:noVBand="1"/>
      </w:tblPr>
      <w:tblGrid>
        <w:gridCol w:w="1316"/>
        <w:gridCol w:w="2162"/>
        <w:gridCol w:w="777"/>
        <w:gridCol w:w="840"/>
        <w:gridCol w:w="860"/>
        <w:gridCol w:w="1276"/>
        <w:gridCol w:w="2691"/>
        <w:gridCol w:w="1965"/>
        <w:gridCol w:w="2071"/>
      </w:tblGrid>
      <w:tr w:rsidR="0069305A" w:rsidRPr="00734942" w14:paraId="3C6E8E39" w14:textId="77777777" w:rsidTr="00F86021">
        <w:trPr>
          <w:trHeight w:val="353"/>
          <w:tblHeader/>
        </w:trPr>
        <w:tc>
          <w:tcPr>
            <w:tcW w:w="471" w:type="pct"/>
            <w:tcBorders>
              <w:top w:val="single" w:sz="8" w:space="0" w:color="333333"/>
              <w:left w:val="nil"/>
              <w:bottom w:val="single" w:sz="8" w:space="0" w:color="333333"/>
              <w:right w:val="nil"/>
            </w:tcBorders>
            <w:shd w:val="clear" w:color="000000" w:fill="FFFFFF"/>
            <w:vAlign w:val="center"/>
            <w:hideMark/>
          </w:tcPr>
          <w:p w14:paraId="1A69D0A9"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Diagnostic indicator</w:t>
            </w:r>
          </w:p>
        </w:tc>
        <w:tc>
          <w:tcPr>
            <w:tcW w:w="774" w:type="pct"/>
            <w:tcBorders>
              <w:top w:val="single" w:sz="8" w:space="0" w:color="333333"/>
              <w:left w:val="nil"/>
              <w:bottom w:val="single" w:sz="8" w:space="0" w:color="333333"/>
              <w:right w:val="nil"/>
            </w:tcBorders>
            <w:shd w:val="clear" w:color="000000" w:fill="FFFFFF"/>
            <w:vAlign w:val="center"/>
            <w:hideMark/>
          </w:tcPr>
          <w:p w14:paraId="68769884"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Diagnostic indicator details</w:t>
            </w:r>
          </w:p>
        </w:tc>
        <w:tc>
          <w:tcPr>
            <w:tcW w:w="278" w:type="pct"/>
            <w:tcBorders>
              <w:top w:val="single" w:sz="8" w:space="0" w:color="333333"/>
              <w:left w:val="nil"/>
              <w:bottom w:val="single" w:sz="8" w:space="0" w:color="333333"/>
              <w:right w:val="nil"/>
            </w:tcBorders>
            <w:shd w:val="clear" w:color="000000" w:fill="FFFFFF"/>
            <w:vAlign w:val="center"/>
            <w:hideMark/>
          </w:tcPr>
          <w:p w14:paraId="28C5F7D7" w14:textId="77777777" w:rsidR="0069305A" w:rsidRPr="00734942" w:rsidRDefault="0069305A" w:rsidP="00F86021">
            <w:pPr>
              <w:spacing w:after="0" w:line="240" w:lineRule="auto"/>
              <w:jc w:val="center"/>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Studies</w:t>
            </w:r>
          </w:p>
        </w:tc>
        <w:tc>
          <w:tcPr>
            <w:tcW w:w="301" w:type="pct"/>
            <w:tcBorders>
              <w:top w:val="single" w:sz="8" w:space="0" w:color="333333"/>
              <w:left w:val="nil"/>
              <w:bottom w:val="single" w:sz="8" w:space="0" w:color="333333"/>
              <w:right w:val="nil"/>
            </w:tcBorders>
            <w:shd w:val="clear" w:color="000000" w:fill="FFFFFF"/>
            <w:vAlign w:val="center"/>
            <w:hideMark/>
          </w:tcPr>
          <w:p w14:paraId="4DC1BE8F" w14:textId="77777777" w:rsidR="0069305A" w:rsidRPr="00734942" w:rsidRDefault="0069305A" w:rsidP="00F86021">
            <w:pPr>
              <w:spacing w:after="0" w:line="240" w:lineRule="auto"/>
              <w:jc w:val="center"/>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 xml:space="preserve">Total sample </w:t>
            </w:r>
          </w:p>
        </w:tc>
        <w:tc>
          <w:tcPr>
            <w:tcW w:w="308" w:type="pct"/>
            <w:tcBorders>
              <w:top w:val="single" w:sz="8" w:space="0" w:color="333333"/>
              <w:left w:val="nil"/>
              <w:bottom w:val="single" w:sz="8" w:space="0" w:color="333333"/>
              <w:right w:val="nil"/>
            </w:tcBorders>
            <w:shd w:val="clear" w:color="000000" w:fill="FFFFFF"/>
            <w:vAlign w:val="center"/>
          </w:tcPr>
          <w:p w14:paraId="1CB84A6B" w14:textId="77777777" w:rsidR="0069305A" w:rsidRPr="00734942" w:rsidRDefault="0069305A" w:rsidP="00F86021">
            <w:pPr>
              <w:spacing w:after="0" w:line="240" w:lineRule="auto"/>
              <w:jc w:val="center"/>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CD patients</w:t>
            </w:r>
          </w:p>
        </w:tc>
        <w:tc>
          <w:tcPr>
            <w:tcW w:w="457" w:type="pct"/>
            <w:tcBorders>
              <w:top w:val="single" w:sz="8" w:space="0" w:color="333333"/>
              <w:left w:val="nil"/>
              <w:bottom w:val="single" w:sz="8" w:space="0" w:color="333333"/>
              <w:right w:val="nil"/>
            </w:tcBorders>
            <w:shd w:val="clear" w:color="000000" w:fill="FFFFFF"/>
            <w:vAlign w:val="center"/>
            <w:hideMark/>
          </w:tcPr>
          <w:p w14:paraId="650BB5DF"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Age groups</w:t>
            </w:r>
          </w:p>
        </w:tc>
        <w:tc>
          <w:tcPr>
            <w:tcW w:w="964" w:type="pct"/>
            <w:tcBorders>
              <w:top w:val="single" w:sz="8" w:space="0" w:color="333333"/>
              <w:left w:val="nil"/>
              <w:bottom w:val="single" w:sz="8" w:space="0" w:color="333333"/>
              <w:right w:val="nil"/>
            </w:tcBorders>
            <w:shd w:val="clear" w:color="000000" w:fill="FFFFFF"/>
            <w:vAlign w:val="center"/>
            <w:hideMark/>
          </w:tcPr>
          <w:p w14:paraId="0D4D2566"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Study Designs</w:t>
            </w:r>
          </w:p>
        </w:tc>
        <w:tc>
          <w:tcPr>
            <w:tcW w:w="704" w:type="pct"/>
            <w:tcBorders>
              <w:top w:val="single" w:sz="8" w:space="0" w:color="333333"/>
              <w:left w:val="nil"/>
              <w:bottom w:val="single" w:sz="8" w:space="0" w:color="333333"/>
              <w:right w:val="nil"/>
            </w:tcBorders>
            <w:shd w:val="clear" w:color="000000" w:fill="FFFFFF"/>
            <w:vAlign w:val="center"/>
            <w:hideMark/>
          </w:tcPr>
          <w:p w14:paraId="63A0776B"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Control groups</w:t>
            </w:r>
          </w:p>
        </w:tc>
        <w:tc>
          <w:tcPr>
            <w:tcW w:w="742" w:type="pct"/>
            <w:tcBorders>
              <w:top w:val="single" w:sz="8" w:space="0" w:color="333333"/>
              <w:left w:val="nil"/>
              <w:bottom w:val="single" w:sz="8" w:space="0" w:color="333333"/>
              <w:right w:val="nil"/>
            </w:tcBorders>
            <w:shd w:val="clear" w:color="000000" w:fill="FFFFFF"/>
            <w:vAlign w:val="center"/>
            <w:hideMark/>
          </w:tcPr>
          <w:p w14:paraId="1E123B02"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Reference standards (CD diagnosis strategy)</w:t>
            </w:r>
          </w:p>
        </w:tc>
      </w:tr>
      <w:tr w:rsidR="0069305A" w:rsidRPr="00734942" w14:paraId="6317B7FF" w14:textId="77777777" w:rsidTr="00F86021">
        <w:trPr>
          <w:trHeight w:val="94"/>
        </w:trPr>
        <w:tc>
          <w:tcPr>
            <w:tcW w:w="471" w:type="pct"/>
            <w:tcBorders>
              <w:top w:val="nil"/>
              <w:left w:val="nil"/>
              <w:bottom w:val="single" w:sz="8" w:space="0" w:color="333333"/>
              <w:right w:val="nil"/>
            </w:tcBorders>
            <w:shd w:val="clear" w:color="000000" w:fill="FFFFFF"/>
            <w:vAlign w:val="center"/>
            <w:hideMark/>
          </w:tcPr>
          <w:p w14:paraId="7852FA05"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Symptoms</w:t>
            </w:r>
          </w:p>
        </w:tc>
        <w:tc>
          <w:tcPr>
            <w:tcW w:w="774" w:type="pct"/>
            <w:tcBorders>
              <w:top w:val="nil"/>
              <w:left w:val="nil"/>
              <w:bottom w:val="single" w:sz="8" w:space="0" w:color="333333"/>
              <w:right w:val="nil"/>
            </w:tcBorders>
            <w:shd w:val="clear" w:color="000000" w:fill="FFFFFF"/>
            <w:vAlign w:val="center"/>
            <w:hideMark/>
          </w:tcPr>
          <w:p w14:paraId="224E7F7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278" w:type="pct"/>
            <w:tcBorders>
              <w:top w:val="nil"/>
              <w:left w:val="nil"/>
              <w:bottom w:val="single" w:sz="8" w:space="0" w:color="333333"/>
              <w:right w:val="nil"/>
            </w:tcBorders>
            <w:shd w:val="clear" w:color="000000" w:fill="FFFFFF"/>
            <w:vAlign w:val="center"/>
            <w:hideMark/>
          </w:tcPr>
          <w:p w14:paraId="387BBBA3" w14:textId="77777777" w:rsidR="0069305A" w:rsidRPr="00734942" w:rsidRDefault="0069305A" w:rsidP="00F86021">
            <w:pPr>
              <w:spacing w:after="0" w:line="240" w:lineRule="auto"/>
              <w:jc w:val="center"/>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 </w:t>
            </w:r>
          </w:p>
        </w:tc>
        <w:tc>
          <w:tcPr>
            <w:tcW w:w="301" w:type="pct"/>
            <w:tcBorders>
              <w:top w:val="nil"/>
              <w:left w:val="nil"/>
              <w:bottom w:val="single" w:sz="8" w:space="0" w:color="333333"/>
              <w:right w:val="nil"/>
            </w:tcBorders>
            <w:shd w:val="clear" w:color="000000" w:fill="FFFFFF"/>
            <w:vAlign w:val="center"/>
            <w:hideMark/>
          </w:tcPr>
          <w:p w14:paraId="7DDA2EC8" w14:textId="77777777" w:rsidR="0069305A" w:rsidRPr="00734942" w:rsidRDefault="0069305A" w:rsidP="00F86021">
            <w:pPr>
              <w:spacing w:after="0" w:line="240" w:lineRule="auto"/>
              <w:jc w:val="center"/>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 </w:t>
            </w:r>
          </w:p>
        </w:tc>
        <w:tc>
          <w:tcPr>
            <w:tcW w:w="308" w:type="pct"/>
            <w:tcBorders>
              <w:top w:val="nil"/>
              <w:left w:val="nil"/>
              <w:bottom w:val="single" w:sz="8" w:space="0" w:color="333333"/>
              <w:right w:val="nil"/>
            </w:tcBorders>
            <w:shd w:val="clear" w:color="000000" w:fill="FFFFFF"/>
            <w:vAlign w:val="center"/>
          </w:tcPr>
          <w:p w14:paraId="3641B54E" w14:textId="77777777" w:rsidR="0069305A" w:rsidRPr="00734942" w:rsidRDefault="0069305A" w:rsidP="00F86021">
            <w:pPr>
              <w:spacing w:after="0" w:line="240" w:lineRule="auto"/>
              <w:jc w:val="center"/>
              <w:rPr>
                <w:rFonts w:ascii="Calibri" w:eastAsia="Times New Roman" w:hAnsi="Calibri" w:cs="Calibri"/>
                <w:color w:val="111111"/>
                <w:sz w:val="18"/>
                <w:szCs w:val="18"/>
                <w:lang w:eastAsia="en-GB"/>
              </w:rPr>
            </w:pPr>
          </w:p>
        </w:tc>
        <w:tc>
          <w:tcPr>
            <w:tcW w:w="457" w:type="pct"/>
            <w:tcBorders>
              <w:top w:val="nil"/>
              <w:left w:val="nil"/>
              <w:bottom w:val="single" w:sz="8" w:space="0" w:color="333333"/>
              <w:right w:val="nil"/>
            </w:tcBorders>
            <w:shd w:val="clear" w:color="000000" w:fill="FFFFFF"/>
            <w:vAlign w:val="center"/>
            <w:hideMark/>
          </w:tcPr>
          <w:p w14:paraId="11D5348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964" w:type="pct"/>
            <w:tcBorders>
              <w:top w:val="nil"/>
              <w:left w:val="nil"/>
              <w:bottom w:val="single" w:sz="8" w:space="0" w:color="333333"/>
              <w:right w:val="nil"/>
            </w:tcBorders>
            <w:shd w:val="clear" w:color="000000" w:fill="FFFFFF"/>
            <w:vAlign w:val="center"/>
            <w:hideMark/>
          </w:tcPr>
          <w:p w14:paraId="3B4DB61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704" w:type="pct"/>
            <w:tcBorders>
              <w:top w:val="nil"/>
              <w:left w:val="nil"/>
              <w:bottom w:val="single" w:sz="8" w:space="0" w:color="333333"/>
              <w:right w:val="nil"/>
            </w:tcBorders>
            <w:shd w:val="clear" w:color="000000" w:fill="FFFFFF"/>
            <w:vAlign w:val="center"/>
            <w:hideMark/>
          </w:tcPr>
          <w:p w14:paraId="2F4EE13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742" w:type="pct"/>
            <w:tcBorders>
              <w:top w:val="nil"/>
              <w:left w:val="nil"/>
              <w:bottom w:val="single" w:sz="8" w:space="0" w:color="333333"/>
              <w:right w:val="nil"/>
            </w:tcBorders>
            <w:shd w:val="clear" w:color="000000" w:fill="FFFFFF"/>
            <w:vAlign w:val="center"/>
            <w:hideMark/>
          </w:tcPr>
          <w:p w14:paraId="00233E3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r>
      <w:tr w:rsidR="0069305A" w:rsidRPr="00734942" w14:paraId="349D9298" w14:textId="77777777" w:rsidTr="00F86021">
        <w:trPr>
          <w:trHeight w:val="565"/>
        </w:trPr>
        <w:tc>
          <w:tcPr>
            <w:tcW w:w="471" w:type="pct"/>
            <w:tcBorders>
              <w:top w:val="nil"/>
              <w:left w:val="nil"/>
              <w:bottom w:val="single" w:sz="8" w:space="0" w:color="333333"/>
              <w:right w:val="nil"/>
            </w:tcBorders>
            <w:shd w:val="clear" w:color="000000" w:fill="FFFFFF"/>
            <w:vAlign w:val="center"/>
            <w:hideMark/>
          </w:tcPr>
          <w:p w14:paraId="1FFAABE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Abdominal pain</w:t>
            </w:r>
          </w:p>
        </w:tc>
        <w:tc>
          <w:tcPr>
            <w:tcW w:w="774" w:type="pct"/>
            <w:tcBorders>
              <w:top w:val="nil"/>
              <w:left w:val="nil"/>
              <w:bottom w:val="single" w:sz="8" w:space="0" w:color="333333"/>
              <w:right w:val="nil"/>
            </w:tcBorders>
            <w:shd w:val="clear" w:color="000000" w:fill="FFFFFF"/>
            <w:vAlign w:val="center"/>
            <w:hideMark/>
          </w:tcPr>
          <w:p w14:paraId="6EA24F6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(Recurrent or acute) abdominal or stomach pain</w:t>
            </w:r>
          </w:p>
        </w:tc>
        <w:tc>
          <w:tcPr>
            <w:tcW w:w="278" w:type="pct"/>
            <w:tcBorders>
              <w:top w:val="nil"/>
              <w:left w:val="nil"/>
              <w:bottom w:val="single" w:sz="8" w:space="0" w:color="333333"/>
              <w:right w:val="nil"/>
            </w:tcBorders>
            <w:shd w:val="clear" w:color="000000" w:fill="FFFFFF"/>
            <w:vAlign w:val="center"/>
            <w:hideMark/>
          </w:tcPr>
          <w:p w14:paraId="63CC237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w:t>
            </w:r>
          </w:p>
        </w:tc>
        <w:tc>
          <w:tcPr>
            <w:tcW w:w="301" w:type="pct"/>
            <w:tcBorders>
              <w:top w:val="nil"/>
              <w:left w:val="nil"/>
              <w:bottom w:val="single" w:sz="8" w:space="0" w:color="333333"/>
              <w:right w:val="nil"/>
            </w:tcBorders>
            <w:shd w:val="clear" w:color="000000" w:fill="FFFFFF"/>
            <w:vAlign w:val="center"/>
            <w:hideMark/>
          </w:tcPr>
          <w:p w14:paraId="297A57F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48,451</w:t>
            </w:r>
          </w:p>
        </w:tc>
        <w:tc>
          <w:tcPr>
            <w:tcW w:w="308" w:type="pct"/>
            <w:tcBorders>
              <w:top w:val="nil"/>
              <w:left w:val="nil"/>
              <w:bottom w:val="single" w:sz="8" w:space="0" w:color="333333"/>
              <w:right w:val="nil"/>
            </w:tcBorders>
            <w:shd w:val="clear" w:color="000000" w:fill="FFFFFF"/>
            <w:vAlign w:val="center"/>
          </w:tcPr>
          <w:p w14:paraId="558C70B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1,014</w:t>
            </w:r>
          </w:p>
        </w:tc>
        <w:tc>
          <w:tcPr>
            <w:tcW w:w="457" w:type="pct"/>
            <w:tcBorders>
              <w:top w:val="nil"/>
              <w:left w:val="nil"/>
              <w:bottom w:val="single" w:sz="8" w:space="0" w:color="333333"/>
              <w:right w:val="nil"/>
            </w:tcBorders>
            <w:shd w:val="clear" w:color="000000" w:fill="FFFFFF"/>
            <w:vAlign w:val="center"/>
            <w:hideMark/>
          </w:tcPr>
          <w:p w14:paraId="07CE3212"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6</w:t>
            </w:r>
            <w:r w:rsidRPr="00734942">
              <w:rPr>
                <w:rFonts w:ascii="Calibri" w:eastAsia="Times New Roman" w:hAnsi="Calibri" w:cs="Calibri"/>
                <w:color w:val="111111"/>
                <w:sz w:val="18"/>
                <w:szCs w:val="18"/>
                <w:lang w:eastAsia="en-GB"/>
              </w:rPr>
              <w:br/>
              <w:t>Children, n = 6</w:t>
            </w:r>
          </w:p>
        </w:tc>
        <w:tc>
          <w:tcPr>
            <w:tcW w:w="964" w:type="pct"/>
            <w:tcBorders>
              <w:top w:val="nil"/>
              <w:left w:val="nil"/>
              <w:bottom w:val="single" w:sz="8" w:space="0" w:color="333333"/>
              <w:right w:val="nil"/>
            </w:tcBorders>
            <w:shd w:val="clear" w:color="000000" w:fill="FFFFFF"/>
            <w:vAlign w:val="center"/>
            <w:hideMark/>
          </w:tcPr>
          <w:p w14:paraId="0C63987C"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xml:space="preserve"> n = 3</w:t>
            </w:r>
            <w:r w:rsidRPr="00734942">
              <w:rPr>
                <w:rFonts w:ascii="Calibri" w:eastAsia="Times New Roman" w:hAnsi="Calibri" w:cs="Calibri"/>
                <w:color w:val="111111"/>
                <w:sz w:val="18"/>
                <w:szCs w:val="18"/>
                <w:lang w:eastAsia="en-GB"/>
              </w:rPr>
              <w:br/>
              <w:t>Nested case-control (CD), n = 2</w:t>
            </w:r>
            <w:r w:rsidRPr="00734942">
              <w:rPr>
                <w:rFonts w:ascii="Calibri" w:eastAsia="Times New Roman" w:hAnsi="Calibri" w:cs="Calibri"/>
                <w:color w:val="111111"/>
                <w:sz w:val="18"/>
                <w:szCs w:val="18"/>
                <w:lang w:eastAsia="en-GB"/>
              </w:rPr>
              <w:br/>
              <w:t>Cohort/cross-sectional, n = 7</w:t>
            </w:r>
          </w:p>
        </w:tc>
        <w:tc>
          <w:tcPr>
            <w:tcW w:w="704" w:type="pct"/>
            <w:tcBorders>
              <w:top w:val="nil"/>
              <w:left w:val="nil"/>
              <w:bottom w:val="single" w:sz="8" w:space="0" w:color="333333"/>
              <w:right w:val="nil"/>
            </w:tcBorders>
            <w:shd w:val="clear" w:color="000000" w:fill="FFFFFF"/>
            <w:vAlign w:val="center"/>
            <w:hideMark/>
          </w:tcPr>
          <w:p w14:paraId="63DD8C8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3</w:t>
            </w:r>
            <w:r w:rsidRPr="00734942">
              <w:rPr>
                <w:rFonts w:ascii="Calibri" w:eastAsia="Times New Roman" w:hAnsi="Calibri" w:cs="Calibri"/>
                <w:color w:val="111111"/>
                <w:sz w:val="18"/>
                <w:szCs w:val="18"/>
                <w:lang w:eastAsia="en-GB"/>
              </w:rPr>
              <w:br/>
              <w:t>Population sample without diagnostic indicator, n = 9</w:t>
            </w:r>
          </w:p>
        </w:tc>
        <w:tc>
          <w:tcPr>
            <w:tcW w:w="742" w:type="pct"/>
            <w:tcBorders>
              <w:top w:val="nil"/>
              <w:left w:val="nil"/>
              <w:bottom w:val="single" w:sz="8" w:space="0" w:color="333333"/>
              <w:right w:val="nil"/>
            </w:tcBorders>
            <w:shd w:val="clear" w:color="000000" w:fill="FFFFFF"/>
            <w:vAlign w:val="center"/>
            <w:hideMark/>
          </w:tcPr>
          <w:p w14:paraId="456451A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8</w:t>
            </w:r>
            <w:r w:rsidRPr="00734942">
              <w:rPr>
                <w:rFonts w:ascii="Calibri" w:eastAsia="Times New Roman" w:hAnsi="Calibri" w:cs="Calibri"/>
                <w:color w:val="111111"/>
                <w:sz w:val="18"/>
                <w:szCs w:val="18"/>
                <w:lang w:eastAsia="en-GB"/>
              </w:rPr>
              <w:br/>
              <w:t>Biopsy +/- serology, n = 4</w:t>
            </w:r>
          </w:p>
        </w:tc>
      </w:tr>
      <w:tr w:rsidR="0069305A" w:rsidRPr="00734942" w14:paraId="63D90AD1" w14:textId="77777777" w:rsidTr="00F86021">
        <w:trPr>
          <w:trHeight w:val="305"/>
        </w:trPr>
        <w:tc>
          <w:tcPr>
            <w:tcW w:w="471" w:type="pct"/>
            <w:tcBorders>
              <w:top w:val="nil"/>
              <w:left w:val="nil"/>
              <w:bottom w:val="single" w:sz="8" w:space="0" w:color="333333"/>
              <w:right w:val="nil"/>
            </w:tcBorders>
            <w:shd w:val="clear" w:color="000000" w:fill="FFFFFF"/>
            <w:vAlign w:val="center"/>
            <w:hideMark/>
          </w:tcPr>
          <w:p w14:paraId="1C0D8EA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Acid reflux symptoms</w:t>
            </w:r>
          </w:p>
        </w:tc>
        <w:tc>
          <w:tcPr>
            <w:tcW w:w="774" w:type="pct"/>
            <w:tcBorders>
              <w:top w:val="nil"/>
              <w:left w:val="nil"/>
              <w:bottom w:val="single" w:sz="8" w:space="0" w:color="333333"/>
              <w:right w:val="nil"/>
            </w:tcBorders>
            <w:shd w:val="clear" w:color="000000" w:fill="FFFFFF"/>
            <w:vAlign w:val="center"/>
            <w:hideMark/>
          </w:tcPr>
          <w:p w14:paraId="4F26C12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Dyspepsia, functional dyspepsia, GERS, heartburn</w:t>
            </w:r>
          </w:p>
        </w:tc>
        <w:tc>
          <w:tcPr>
            <w:tcW w:w="278" w:type="pct"/>
            <w:tcBorders>
              <w:top w:val="nil"/>
              <w:left w:val="nil"/>
              <w:bottom w:val="single" w:sz="8" w:space="0" w:color="333333"/>
              <w:right w:val="nil"/>
            </w:tcBorders>
            <w:shd w:val="clear" w:color="000000" w:fill="FFFFFF"/>
            <w:vAlign w:val="center"/>
            <w:hideMark/>
          </w:tcPr>
          <w:p w14:paraId="1CCC2A1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w:t>
            </w:r>
          </w:p>
        </w:tc>
        <w:tc>
          <w:tcPr>
            <w:tcW w:w="301" w:type="pct"/>
            <w:tcBorders>
              <w:top w:val="nil"/>
              <w:left w:val="nil"/>
              <w:bottom w:val="single" w:sz="8" w:space="0" w:color="333333"/>
              <w:right w:val="nil"/>
            </w:tcBorders>
            <w:shd w:val="clear" w:color="000000" w:fill="FFFFFF"/>
            <w:vAlign w:val="center"/>
            <w:hideMark/>
          </w:tcPr>
          <w:p w14:paraId="5F778E0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12,192</w:t>
            </w:r>
          </w:p>
        </w:tc>
        <w:tc>
          <w:tcPr>
            <w:tcW w:w="308" w:type="pct"/>
            <w:tcBorders>
              <w:top w:val="nil"/>
              <w:left w:val="nil"/>
              <w:bottom w:val="single" w:sz="8" w:space="0" w:color="333333"/>
              <w:right w:val="nil"/>
            </w:tcBorders>
            <w:shd w:val="clear" w:color="000000" w:fill="FFFFFF"/>
            <w:vAlign w:val="center"/>
          </w:tcPr>
          <w:p w14:paraId="0891261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534</w:t>
            </w:r>
          </w:p>
        </w:tc>
        <w:tc>
          <w:tcPr>
            <w:tcW w:w="457" w:type="pct"/>
            <w:tcBorders>
              <w:top w:val="nil"/>
              <w:left w:val="nil"/>
              <w:bottom w:val="single" w:sz="8" w:space="0" w:color="333333"/>
              <w:right w:val="nil"/>
            </w:tcBorders>
            <w:shd w:val="clear" w:color="000000" w:fill="FFFFFF"/>
            <w:vAlign w:val="center"/>
            <w:hideMark/>
          </w:tcPr>
          <w:p w14:paraId="436F485A"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9</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1F37722C"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3</w:t>
            </w:r>
            <w:r w:rsidRPr="00734942">
              <w:rPr>
                <w:rFonts w:ascii="Calibri" w:eastAsia="Times New Roman" w:hAnsi="Calibri" w:cs="Calibri"/>
                <w:color w:val="111111"/>
                <w:sz w:val="18"/>
                <w:szCs w:val="18"/>
                <w:lang w:eastAsia="en-GB"/>
              </w:rPr>
              <w:br/>
              <w:t>Nested 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2</w:t>
            </w:r>
            <w:r w:rsidRPr="00734942">
              <w:rPr>
                <w:rFonts w:ascii="Calibri" w:eastAsia="Times New Roman" w:hAnsi="Calibri" w:cs="Calibri"/>
                <w:color w:val="111111"/>
                <w:sz w:val="18"/>
                <w:szCs w:val="18"/>
                <w:lang w:eastAsia="en-GB"/>
              </w:rPr>
              <w:br/>
              <w:t>Nested case-control (CD), n = 1</w:t>
            </w:r>
            <w:r w:rsidRPr="00734942">
              <w:rPr>
                <w:rFonts w:ascii="Calibri" w:eastAsia="Times New Roman" w:hAnsi="Calibri" w:cs="Calibri"/>
                <w:color w:val="111111"/>
                <w:sz w:val="18"/>
                <w:szCs w:val="18"/>
                <w:lang w:eastAsia="en-GB"/>
              </w:rPr>
              <w:br/>
              <w:t>Cohort/cross-sectional, n = 4</w:t>
            </w:r>
          </w:p>
        </w:tc>
        <w:tc>
          <w:tcPr>
            <w:tcW w:w="704" w:type="pct"/>
            <w:tcBorders>
              <w:top w:val="nil"/>
              <w:left w:val="nil"/>
              <w:bottom w:val="single" w:sz="8" w:space="0" w:color="333333"/>
              <w:right w:val="nil"/>
            </w:tcBorders>
            <w:shd w:val="clear" w:color="000000" w:fill="FFFFFF"/>
            <w:vAlign w:val="center"/>
            <w:hideMark/>
          </w:tcPr>
          <w:p w14:paraId="2D23D4C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3</w:t>
            </w:r>
            <w:r w:rsidRPr="00734942">
              <w:rPr>
                <w:rFonts w:ascii="Calibri" w:eastAsia="Times New Roman" w:hAnsi="Calibri" w:cs="Calibri"/>
                <w:color w:val="111111"/>
                <w:sz w:val="18"/>
                <w:szCs w:val="18"/>
                <w:lang w:eastAsia="en-GB"/>
              </w:rPr>
              <w:br/>
              <w:t>Population sample without diagnostic indicator, n = 7</w:t>
            </w:r>
          </w:p>
        </w:tc>
        <w:tc>
          <w:tcPr>
            <w:tcW w:w="742" w:type="pct"/>
            <w:tcBorders>
              <w:top w:val="nil"/>
              <w:left w:val="nil"/>
              <w:bottom w:val="single" w:sz="8" w:space="0" w:color="333333"/>
              <w:right w:val="nil"/>
            </w:tcBorders>
            <w:shd w:val="clear" w:color="000000" w:fill="FFFFFF"/>
            <w:vAlign w:val="center"/>
            <w:hideMark/>
          </w:tcPr>
          <w:p w14:paraId="52A6CB7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6</w:t>
            </w:r>
            <w:r w:rsidRPr="00734942">
              <w:rPr>
                <w:rFonts w:ascii="Calibri" w:eastAsia="Times New Roman" w:hAnsi="Calibri" w:cs="Calibri"/>
                <w:color w:val="111111"/>
                <w:sz w:val="18"/>
                <w:szCs w:val="18"/>
                <w:lang w:eastAsia="en-GB"/>
              </w:rPr>
              <w:br/>
              <w:t>Biopsy +/- serology, n = 4</w:t>
            </w:r>
          </w:p>
        </w:tc>
      </w:tr>
      <w:tr w:rsidR="0069305A" w:rsidRPr="00734942" w14:paraId="512EDF11"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1880EBA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Bloating or abdominal distension</w:t>
            </w:r>
          </w:p>
        </w:tc>
        <w:tc>
          <w:tcPr>
            <w:tcW w:w="774" w:type="pct"/>
            <w:tcBorders>
              <w:top w:val="nil"/>
              <w:left w:val="nil"/>
              <w:bottom w:val="single" w:sz="8" w:space="0" w:color="333333"/>
              <w:right w:val="nil"/>
            </w:tcBorders>
            <w:shd w:val="clear" w:color="000000" w:fill="FFFFFF"/>
            <w:vAlign w:val="center"/>
            <w:hideMark/>
          </w:tcPr>
          <w:p w14:paraId="24DD964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Bloating, abdominal distension</w:t>
            </w:r>
          </w:p>
        </w:tc>
        <w:tc>
          <w:tcPr>
            <w:tcW w:w="278" w:type="pct"/>
            <w:tcBorders>
              <w:top w:val="nil"/>
              <w:left w:val="nil"/>
              <w:bottom w:val="single" w:sz="8" w:space="0" w:color="333333"/>
              <w:right w:val="nil"/>
            </w:tcBorders>
            <w:shd w:val="clear" w:color="000000" w:fill="FFFFFF"/>
            <w:vAlign w:val="center"/>
            <w:hideMark/>
          </w:tcPr>
          <w:p w14:paraId="63DADA2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w:t>
            </w:r>
          </w:p>
        </w:tc>
        <w:tc>
          <w:tcPr>
            <w:tcW w:w="301" w:type="pct"/>
            <w:tcBorders>
              <w:top w:val="nil"/>
              <w:left w:val="nil"/>
              <w:bottom w:val="single" w:sz="8" w:space="0" w:color="333333"/>
              <w:right w:val="nil"/>
            </w:tcBorders>
            <w:shd w:val="clear" w:color="000000" w:fill="FFFFFF"/>
            <w:vAlign w:val="center"/>
            <w:hideMark/>
          </w:tcPr>
          <w:p w14:paraId="5DEF615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32,694</w:t>
            </w:r>
          </w:p>
        </w:tc>
        <w:tc>
          <w:tcPr>
            <w:tcW w:w="308" w:type="pct"/>
            <w:tcBorders>
              <w:top w:val="nil"/>
              <w:left w:val="nil"/>
              <w:bottom w:val="single" w:sz="8" w:space="0" w:color="333333"/>
              <w:right w:val="nil"/>
            </w:tcBorders>
            <w:shd w:val="clear" w:color="000000" w:fill="FFFFFF"/>
            <w:vAlign w:val="center"/>
          </w:tcPr>
          <w:p w14:paraId="4375D3F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624</w:t>
            </w:r>
          </w:p>
        </w:tc>
        <w:tc>
          <w:tcPr>
            <w:tcW w:w="457" w:type="pct"/>
            <w:tcBorders>
              <w:top w:val="nil"/>
              <w:left w:val="nil"/>
              <w:bottom w:val="single" w:sz="8" w:space="0" w:color="333333"/>
              <w:right w:val="nil"/>
            </w:tcBorders>
            <w:shd w:val="clear" w:color="000000" w:fill="FFFFFF"/>
            <w:vAlign w:val="center"/>
            <w:hideMark/>
          </w:tcPr>
          <w:p w14:paraId="1A50AB21"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4</w:t>
            </w:r>
            <w:r w:rsidRPr="00734942">
              <w:rPr>
                <w:rFonts w:ascii="Calibri" w:eastAsia="Times New Roman" w:hAnsi="Calibri" w:cs="Calibri"/>
                <w:color w:val="111111"/>
                <w:sz w:val="18"/>
                <w:szCs w:val="18"/>
                <w:lang w:eastAsia="en-GB"/>
              </w:rPr>
              <w:br/>
              <w:t>Children, n = 2</w:t>
            </w:r>
          </w:p>
        </w:tc>
        <w:tc>
          <w:tcPr>
            <w:tcW w:w="964" w:type="pct"/>
            <w:tcBorders>
              <w:top w:val="nil"/>
              <w:left w:val="nil"/>
              <w:bottom w:val="single" w:sz="8" w:space="0" w:color="333333"/>
              <w:right w:val="nil"/>
            </w:tcBorders>
            <w:shd w:val="clear" w:color="000000" w:fill="FFFFFF"/>
            <w:vAlign w:val="center"/>
            <w:hideMark/>
          </w:tcPr>
          <w:p w14:paraId="23C1DE04"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Nested case-control (CD), n = 1</w:t>
            </w:r>
            <w:r w:rsidRPr="00734942">
              <w:rPr>
                <w:rFonts w:ascii="Calibri" w:eastAsia="Times New Roman" w:hAnsi="Calibri" w:cs="Calibri"/>
                <w:color w:val="111111"/>
                <w:sz w:val="18"/>
                <w:szCs w:val="18"/>
                <w:lang w:eastAsia="en-GB"/>
              </w:rPr>
              <w:br/>
              <w:t>Cohort/cross-sectional, n = 5</w:t>
            </w:r>
          </w:p>
        </w:tc>
        <w:tc>
          <w:tcPr>
            <w:tcW w:w="704" w:type="pct"/>
            <w:tcBorders>
              <w:top w:val="nil"/>
              <w:left w:val="nil"/>
              <w:bottom w:val="single" w:sz="8" w:space="0" w:color="333333"/>
              <w:right w:val="nil"/>
            </w:tcBorders>
            <w:shd w:val="clear" w:color="000000" w:fill="FFFFFF"/>
            <w:vAlign w:val="center"/>
            <w:hideMark/>
          </w:tcPr>
          <w:p w14:paraId="5F6F0ECD"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Population sample without diagnostic indicator, n = 6</w:t>
            </w:r>
          </w:p>
        </w:tc>
        <w:tc>
          <w:tcPr>
            <w:tcW w:w="742" w:type="pct"/>
            <w:tcBorders>
              <w:top w:val="nil"/>
              <w:left w:val="nil"/>
              <w:bottom w:val="single" w:sz="8" w:space="0" w:color="333333"/>
              <w:right w:val="nil"/>
            </w:tcBorders>
            <w:shd w:val="clear" w:color="000000" w:fill="FFFFFF"/>
            <w:vAlign w:val="center"/>
            <w:hideMark/>
          </w:tcPr>
          <w:p w14:paraId="4297B606"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4</w:t>
            </w:r>
            <w:r w:rsidRPr="00734942">
              <w:rPr>
                <w:rFonts w:ascii="Calibri" w:eastAsia="Times New Roman" w:hAnsi="Calibri" w:cs="Calibri"/>
                <w:color w:val="111111"/>
                <w:sz w:val="18"/>
                <w:szCs w:val="18"/>
                <w:lang w:eastAsia="en-GB"/>
              </w:rPr>
              <w:br/>
              <w:t>Biopsy +/- serology, n = 2</w:t>
            </w:r>
          </w:p>
        </w:tc>
      </w:tr>
      <w:tr w:rsidR="0069305A" w:rsidRPr="00734942" w14:paraId="4AA70584" w14:textId="77777777" w:rsidTr="00F86021">
        <w:trPr>
          <w:trHeight w:val="804"/>
        </w:trPr>
        <w:tc>
          <w:tcPr>
            <w:tcW w:w="471" w:type="pct"/>
            <w:tcBorders>
              <w:top w:val="nil"/>
              <w:left w:val="nil"/>
              <w:bottom w:val="single" w:sz="8" w:space="0" w:color="333333"/>
              <w:right w:val="nil"/>
            </w:tcBorders>
            <w:shd w:val="clear" w:color="000000" w:fill="FFFFFF"/>
            <w:vAlign w:val="center"/>
            <w:hideMark/>
          </w:tcPr>
          <w:p w14:paraId="0E3075A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Constipation</w:t>
            </w:r>
          </w:p>
        </w:tc>
        <w:tc>
          <w:tcPr>
            <w:tcW w:w="774" w:type="pct"/>
            <w:tcBorders>
              <w:top w:val="nil"/>
              <w:left w:val="nil"/>
              <w:bottom w:val="single" w:sz="8" w:space="0" w:color="333333"/>
              <w:right w:val="nil"/>
            </w:tcBorders>
            <w:shd w:val="clear" w:color="000000" w:fill="FFFFFF"/>
            <w:vAlign w:val="center"/>
            <w:hideMark/>
          </w:tcPr>
          <w:p w14:paraId="741F5A4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(Chronic) constipation</w:t>
            </w:r>
          </w:p>
        </w:tc>
        <w:tc>
          <w:tcPr>
            <w:tcW w:w="278" w:type="pct"/>
            <w:tcBorders>
              <w:top w:val="nil"/>
              <w:left w:val="nil"/>
              <w:bottom w:val="single" w:sz="8" w:space="0" w:color="333333"/>
              <w:right w:val="nil"/>
            </w:tcBorders>
            <w:shd w:val="clear" w:color="000000" w:fill="FFFFFF"/>
            <w:vAlign w:val="center"/>
            <w:hideMark/>
          </w:tcPr>
          <w:p w14:paraId="71D6DC8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w:t>
            </w:r>
          </w:p>
        </w:tc>
        <w:tc>
          <w:tcPr>
            <w:tcW w:w="301" w:type="pct"/>
            <w:tcBorders>
              <w:top w:val="nil"/>
              <w:left w:val="nil"/>
              <w:bottom w:val="single" w:sz="8" w:space="0" w:color="333333"/>
              <w:right w:val="nil"/>
            </w:tcBorders>
            <w:shd w:val="clear" w:color="000000" w:fill="FFFFFF"/>
            <w:vAlign w:val="center"/>
            <w:hideMark/>
          </w:tcPr>
          <w:p w14:paraId="5AD75B1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54,286</w:t>
            </w:r>
          </w:p>
        </w:tc>
        <w:tc>
          <w:tcPr>
            <w:tcW w:w="308" w:type="pct"/>
            <w:tcBorders>
              <w:top w:val="nil"/>
              <w:left w:val="nil"/>
              <w:bottom w:val="single" w:sz="8" w:space="0" w:color="333333"/>
              <w:right w:val="nil"/>
            </w:tcBorders>
            <w:shd w:val="clear" w:color="000000" w:fill="FFFFFF"/>
            <w:vAlign w:val="center"/>
          </w:tcPr>
          <w:p w14:paraId="12CE942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943</w:t>
            </w:r>
          </w:p>
        </w:tc>
        <w:tc>
          <w:tcPr>
            <w:tcW w:w="457" w:type="pct"/>
            <w:tcBorders>
              <w:top w:val="nil"/>
              <w:left w:val="nil"/>
              <w:bottom w:val="single" w:sz="8" w:space="0" w:color="333333"/>
              <w:right w:val="nil"/>
            </w:tcBorders>
            <w:shd w:val="clear" w:color="000000" w:fill="FFFFFF"/>
            <w:vAlign w:val="center"/>
            <w:hideMark/>
          </w:tcPr>
          <w:p w14:paraId="1A15FC8D"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5</w:t>
            </w:r>
            <w:r w:rsidRPr="00734942">
              <w:rPr>
                <w:rFonts w:ascii="Calibri" w:eastAsia="Times New Roman" w:hAnsi="Calibri" w:cs="Calibri"/>
                <w:color w:val="111111"/>
                <w:sz w:val="18"/>
                <w:szCs w:val="18"/>
                <w:lang w:eastAsia="en-GB"/>
              </w:rPr>
              <w:br/>
              <w:t>Children, n = 7</w:t>
            </w:r>
          </w:p>
        </w:tc>
        <w:tc>
          <w:tcPr>
            <w:tcW w:w="964" w:type="pct"/>
            <w:tcBorders>
              <w:top w:val="nil"/>
              <w:left w:val="nil"/>
              <w:bottom w:val="single" w:sz="8" w:space="0" w:color="333333"/>
              <w:right w:val="nil"/>
            </w:tcBorders>
            <w:shd w:val="clear" w:color="000000" w:fill="FFFFFF"/>
            <w:vAlign w:val="center"/>
            <w:hideMark/>
          </w:tcPr>
          <w:p w14:paraId="58866E09" w14:textId="77777777" w:rsidR="0069305A" w:rsidRPr="005F5E0D" w:rsidRDefault="0069305A" w:rsidP="00F86021">
            <w:pPr>
              <w:spacing w:after="0" w:line="240" w:lineRule="auto"/>
              <w:rPr>
                <w:rFonts w:ascii="Calibri" w:eastAsia="Times New Roman" w:hAnsi="Calibri" w:cs="Calibri"/>
                <w:color w:val="111111"/>
                <w:sz w:val="18"/>
                <w:szCs w:val="18"/>
                <w:lang w:val="it-IT" w:eastAsia="en-GB"/>
              </w:rPr>
            </w:pPr>
            <w:r w:rsidRPr="005F5E0D">
              <w:rPr>
                <w:rFonts w:ascii="Calibri" w:eastAsia="Times New Roman" w:hAnsi="Calibri" w:cs="Calibri"/>
                <w:color w:val="111111"/>
                <w:sz w:val="18"/>
                <w:szCs w:val="18"/>
                <w:lang w:val="it-IT" w:eastAsia="en-GB"/>
              </w:rPr>
              <w:t>Case-control (DI)</w:t>
            </w:r>
            <w:r w:rsidRPr="005F5E0D">
              <w:rPr>
                <w:rFonts w:ascii="Calibri" w:eastAsia="Times New Roman" w:hAnsi="Calibri" w:cs="Calibri"/>
                <w:color w:val="111111"/>
                <w:sz w:val="18"/>
                <w:szCs w:val="18"/>
                <w:vertAlign w:val="superscript"/>
                <w:lang w:val="it-IT" w:eastAsia="en-GB"/>
              </w:rPr>
              <w:t>a</w:t>
            </w:r>
            <w:r w:rsidRPr="005F5E0D">
              <w:rPr>
                <w:rFonts w:ascii="Calibri" w:eastAsia="Times New Roman" w:hAnsi="Calibri" w:cs="Calibri"/>
                <w:color w:val="111111"/>
                <w:sz w:val="18"/>
                <w:szCs w:val="18"/>
                <w:lang w:val="it-IT" w:eastAsia="en-GB"/>
              </w:rPr>
              <w:t>, n = 1</w:t>
            </w:r>
          </w:p>
          <w:p w14:paraId="38382DAE"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Nested 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9</w:t>
            </w:r>
          </w:p>
        </w:tc>
        <w:tc>
          <w:tcPr>
            <w:tcW w:w="704" w:type="pct"/>
            <w:tcBorders>
              <w:top w:val="nil"/>
              <w:left w:val="nil"/>
              <w:bottom w:val="single" w:sz="8" w:space="0" w:color="333333"/>
              <w:right w:val="nil"/>
            </w:tcBorders>
            <w:shd w:val="clear" w:color="000000" w:fill="FFFFFF"/>
            <w:vAlign w:val="center"/>
            <w:hideMark/>
          </w:tcPr>
          <w:p w14:paraId="5E3D40F4"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Healthy controls, n = 1</w:t>
            </w:r>
            <w:r w:rsidRPr="00734942">
              <w:rPr>
                <w:rFonts w:ascii="Calibri" w:eastAsia="Times New Roman" w:hAnsi="Calibri" w:cs="Calibri"/>
                <w:color w:val="111111"/>
                <w:sz w:val="18"/>
                <w:szCs w:val="18"/>
                <w:lang w:eastAsia="en-GB"/>
              </w:rPr>
              <w:br/>
              <w:t>Population sample without diagnostic indicator, n = 11</w:t>
            </w:r>
          </w:p>
        </w:tc>
        <w:tc>
          <w:tcPr>
            <w:tcW w:w="742" w:type="pct"/>
            <w:tcBorders>
              <w:top w:val="nil"/>
              <w:left w:val="nil"/>
              <w:bottom w:val="single" w:sz="8" w:space="0" w:color="333333"/>
              <w:right w:val="nil"/>
            </w:tcBorders>
            <w:shd w:val="clear" w:color="000000" w:fill="FFFFFF"/>
            <w:vAlign w:val="center"/>
            <w:hideMark/>
          </w:tcPr>
          <w:p w14:paraId="6EF1BB30"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8</w:t>
            </w:r>
            <w:r w:rsidRPr="00734942">
              <w:rPr>
                <w:rFonts w:ascii="Calibri" w:eastAsia="Times New Roman" w:hAnsi="Calibri" w:cs="Calibri"/>
                <w:color w:val="111111"/>
                <w:sz w:val="18"/>
                <w:szCs w:val="18"/>
                <w:lang w:eastAsia="en-GB"/>
              </w:rPr>
              <w:br/>
              <w:t>Biopsy +/- serology, n = 4</w:t>
            </w:r>
          </w:p>
        </w:tc>
      </w:tr>
      <w:tr w:rsidR="0069305A" w:rsidRPr="00734942" w14:paraId="6CE2EA74" w14:textId="77777777" w:rsidTr="00F86021">
        <w:trPr>
          <w:trHeight w:val="310"/>
        </w:trPr>
        <w:tc>
          <w:tcPr>
            <w:tcW w:w="471" w:type="pct"/>
            <w:tcBorders>
              <w:top w:val="nil"/>
              <w:left w:val="nil"/>
              <w:bottom w:val="single" w:sz="8" w:space="0" w:color="333333"/>
              <w:right w:val="nil"/>
            </w:tcBorders>
            <w:shd w:val="clear" w:color="000000" w:fill="FFFFFF"/>
            <w:vAlign w:val="center"/>
            <w:hideMark/>
          </w:tcPr>
          <w:p w14:paraId="048B742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Diarrhoea</w:t>
            </w:r>
          </w:p>
        </w:tc>
        <w:tc>
          <w:tcPr>
            <w:tcW w:w="774" w:type="pct"/>
            <w:tcBorders>
              <w:top w:val="nil"/>
              <w:left w:val="nil"/>
              <w:bottom w:val="single" w:sz="8" w:space="0" w:color="333333"/>
              <w:right w:val="nil"/>
            </w:tcBorders>
            <w:shd w:val="clear" w:color="000000" w:fill="FFFFFF"/>
            <w:vAlign w:val="center"/>
            <w:hideMark/>
          </w:tcPr>
          <w:p w14:paraId="74F3651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Diarrhoea</w:t>
            </w:r>
          </w:p>
        </w:tc>
        <w:tc>
          <w:tcPr>
            <w:tcW w:w="278" w:type="pct"/>
            <w:tcBorders>
              <w:top w:val="nil"/>
              <w:left w:val="nil"/>
              <w:bottom w:val="single" w:sz="8" w:space="0" w:color="333333"/>
              <w:right w:val="nil"/>
            </w:tcBorders>
            <w:shd w:val="clear" w:color="000000" w:fill="FFFFFF"/>
            <w:vAlign w:val="center"/>
            <w:hideMark/>
          </w:tcPr>
          <w:p w14:paraId="3879FF4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13</w:t>
            </w:r>
          </w:p>
        </w:tc>
        <w:tc>
          <w:tcPr>
            <w:tcW w:w="301" w:type="pct"/>
            <w:tcBorders>
              <w:top w:val="nil"/>
              <w:left w:val="nil"/>
              <w:bottom w:val="single" w:sz="8" w:space="0" w:color="333333"/>
              <w:right w:val="nil"/>
            </w:tcBorders>
            <w:shd w:val="clear" w:color="000000" w:fill="FFFFFF"/>
            <w:vAlign w:val="center"/>
            <w:hideMark/>
          </w:tcPr>
          <w:p w14:paraId="3B43B54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55,500</w:t>
            </w:r>
          </w:p>
        </w:tc>
        <w:tc>
          <w:tcPr>
            <w:tcW w:w="308" w:type="pct"/>
            <w:tcBorders>
              <w:top w:val="nil"/>
              <w:left w:val="nil"/>
              <w:bottom w:val="single" w:sz="8" w:space="0" w:color="333333"/>
              <w:right w:val="nil"/>
            </w:tcBorders>
            <w:shd w:val="clear" w:color="000000" w:fill="FFFFFF"/>
            <w:vAlign w:val="center"/>
          </w:tcPr>
          <w:p w14:paraId="2F8EB7F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1126</w:t>
            </w:r>
          </w:p>
        </w:tc>
        <w:tc>
          <w:tcPr>
            <w:tcW w:w="457" w:type="pct"/>
            <w:tcBorders>
              <w:top w:val="nil"/>
              <w:left w:val="nil"/>
              <w:bottom w:val="single" w:sz="8" w:space="0" w:color="333333"/>
              <w:right w:val="nil"/>
            </w:tcBorders>
            <w:shd w:val="clear" w:color="000000" w:fill="FFFFFF"/>
            <w:vAlign w:val="center"/>
            <w:hideMark/>
          </w:tcPr>
          <w:p w14:paraId="11336D26"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7</w:t>
            </w:r>
            <w:r w:rsidRPr="00734942">
              <w:rPr>
                <w:rFonts w:ascii="Calibri" w:eastAsia="Times New Roman" w:hAnsi="Calibri" w:cs="Calibri"/>
                <w:color w:val="111111"/>
                <w:sz w:val="18"/>
                <w:szCs w:val="18"/>
                <w:lang w:eastAsia="en-GB"/>
              </w:rPr>
              <w:br/>
              <w:t>Children, n = 6</w:t>
            </w:r>
          </w:p>
        </w:tc>
        <w:tc>
          <w:tcPr>
            <w:tcW w:w="964" w:type="pct"/>
            <w:tcBorders>
              <w:top w:val="nil"/>
              <w:left w:val="nil"/>
              <w:bottom w:val="single" w:sz="8" w:space="0" w:color="333333"/>
              <w:right w:val="nil"/>
            </w:tcBorders>
            <w:shd w:val="clear" w:color="000000" w:fill="FFFFFF"/>
            <w:vAlign w:val="center"/>
            <w:hideMark/>
          </w:tcPr>
          <w:p w14:paraId="7CEF010D"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2</w:t>
            </w:r>
            <w:r w:rsidRPr="00734942">
              <w:rPr>
                <w:rFonts w:ascii="Calibri" w:eastAsia="Times New Roman" w:hAnsi="Calibri" w:cs="Calibri"/>
                <w:color w:val="111111"/>
                <w:sz w:val="18"/>
                <w:szCs w:val="18"/>
                <w:lang w:eastAsia="en-GB"/>
              </w:rPr>
              <w:br/>
              <w:t>Cohort/cross-sectional, n = 10</w:t>
            </w:r>
          </w:p>
        </w:tc>
        <w:tc>
          <w:tcPr>
            <w:tcW w:w="704" w:type="pct"/>
            <w:tcBorders>
              <w:top w:val="nil"/>
              <w:left w:val="nil"/>
              <w:bottom w:val="single" w:sz="8" w:space="0" w:color="333333"/>
              <w:right w:val="nil"/>
            </w:tcBorders>
            <w:shd w:val="clear" w:color="000000" w:fill="FFFFFF"/>
            <w:vAlign w:val="center"/>
            <w:hideMark/>
          </w:tcPr>
          <w:p w14:paraId="78083D0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1</w:t>
            </w:r>
            <w:r w:rsidRPr="00734942">
              <w:rPr>
                <w:rFonts w:ascii="Calibri" w:eastAsia="Times New Roman" w:hAnsi="Calibri" w:cs="Calibri"/>
                <w:color w:val="111111"/>
                <w:sz w:val="18"/>
                <w:szCs w:val="18"/>
                <w:lang w:eastAsia="en-GB"/>
              </w:rPr>
              <w:br/>
              <w:t>Population sample without diagnostic indicator, n = 12</w:t>
            </w:r>
          </w:p>
        </w:tc>
        <w:tc>
          <w:tcPr>
            <w:tcW w:w="742" w:type="pct"/>
            <w:tcBorders>
              <w:top w:val="nil"/>
              <w:left w:val="nil"/>
              <w:bottom w:val="single" w:sz="8" w:space="0" w:color="333333"/>
              <w:right w:val="nil"/>
            </w:tcBorders>
            <w:shd w:val="clear" w:color="000000" w:fill="FFFFFF"/>
            <w:vAlign w:val="center"/>
            <w:hideMark/>
          </w:tcPr>
          <w:p w14:paraId="6F1AA96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10</w:t>
            </w:r>
            <w:r w:rsidRPr="00734942">
              <w:rPr>
                <w:rFonts w:ascii="Calibri" w:eastAsia="Times New Roman" w:hAnsi="Calibri" w:cs="Calibri"/>
                <w:color w:val="111111"/>
                <w:sz w:val="18"/>
                <w:szCs w:val="18"/>
                <w:lang w:eastAsia="en-GB"/>
              </w:rPr>
              <w:br/>
              <w:t>Biopsy +/- serology, n = 3</w:t>
            </w:r>
          </w:p>
        </w:tc>
      </w:tr>
      <w:tr w:rsidR="0069305A" w:rsidRPr="00734942" w14:paraId="51745219" w14:textId="77777777" w:rsidTr="00F86021">
        <w:trPr>
          <w:trHeight w:val="208"/>
        </w:trPr>
        <w:tc>
          <w:tcPr>
            <w:tcW w:w="471" w:type="pct"/>
            <w:tcBorders>
              <w:top w:val="nil"/>
              <w:left w:val="nil"/>
              <w:bottom w:val="single" w:sz="8" w:space="0" w:color="333333"/>
              <w:right w:val="nil"/>
            </w:tcBorders>
            <w:shd w:val="clear" w:color="000000" w:fill="FFFFFF"/>
            <w:vAlign w:val="center"/>
            <w:hideMark/>
          </w:tcPr>
          <w:p w14:paraId="584949F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Vomiting and nausea</w:t>
            </w:r>
          </w:p>
        </w:tc>
        <w:tc>
          <w:tcPr>
            <w:tcW w:w="774" w:type="pct"/>
            <w:tcBorders>
              <w:top w:val="nil"/>
              <w:left w:val="nil"/>
              <w:bottom w:val="single" w:sz="8" w:space="0" w:color="333333"/>
              <w:right w:val="nil"/>
            </w:tcBorders>
            <w:shd w:val="clear" w:color="000000" w:fill="FFFFFF"/>
            <w:vAlign w:val="center"/>
            <w:hideMark/>
          </w:tcPr>
          <w:p w14:paraId="0EA7833E"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Vomiting, nausea, nausea after eating</w:t>
            </w:r>
          </w:p>
        </w:tc>
        <w:tc>
          <w:tcPr>
            <w:tcW w:w="278" w:type="pct"/>
            <w:tcBorders>
              <w:top w:val="nil"/>
              <w:left w:val="nil"/>
              <w:bottom w:val="single" w:sz="8" w:space="0" w:color="333333"/>
              <w:right w:val="nil"/>
            </w:tcBorders>
            <w:shd w:val="clear" w:color="000000" w:fill="FFFFFF"/>
            <w:vAlign w:val="center"/>
            <w:hideMark/>
          </w:tcPr>
          <w:p w14:paraId="4B62945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7</w:t>
            </w:r>
          </w:p>
        </w:tc>
        <w:tc>
          <w:tcPr>
            <w:tcW w:w="301" w:type="pct"/>
            <w:tcBorders>
              <w:top w:val="nil"/>
              <w:left w:val="nil"/>
              <w:bottom w:val="single" w:sz="8" w:space="0" w:color="333333"/>
              <w:right w:val="nil"/>
            </w:tcBorders>
            <w:shd w:val="clear" w:color="000000" w:fill="FFFFFF"/>
            <w:vAlign w:val="center"/>
            <w:hideMark/>
          </w:tcPr>
          <w:p w14:paraId="1FE113D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44,937</w:t>
            </w:r>
          </w:p>
        </w:tc>
        <w:tc>
          <w:tcPr>
            <w:tcW w:w="308" w:type="pct"/>
            <w:tcBorders>
              <w:top w:val="nil"/>
              <w:left w:val="nil"/>
              <w:bottom w:val="single" w:sz="8" w:space="0" w:color="333333"/>
              <w:right w:val="nil"/>
            </w:tcBorders>
            <w:shd w:val="clear" w:color="000000" w:fill="FFFFFF"/>
            <w:vAlign w:val="center"/>
          </w:tcPr>
          <w:p w14:paraId="18C2D0D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435</w:t>
            </w:r>
          </w:p>
        </w:tc>
        <w:tc>
          <w:tcPr>
            <w:tcW w:w="457" w:type="pct"/>
            <w:tcBorders>
              <w:top w:val="nil"/>
              <w:left w:val="nil"/>
              <w:bottom w:val="single" w:sz="8" w:space="0" w:color="333333"/>
              <w:right w:val="nil"/>
            </w:tcBorders>
            <w:shd w:val="clear" w:color="000000" w:fill="FFFFFF"/>
            <w:vAlign w:val="center"/>
            <w:hideMark/>
          </w:tcPr>
          <w:p w14:paraId="04D352C7"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3</w:t>
            </w:r>
            <w:r w:rsidRPr="00734942">
              <w:rPr>
                <w:rFonts w:ascii="Calibri" w:eastAsia="Times New Roman" w:hAnsi="Calibri" w:cs="Calibri"/>
                <w:color w:val="111111"/>
                <w:sz w:val="18"/>
                <w:szCs w:val="18"/>
                <w:lang w:eastAsia="en-GB"/>
              </w:rPr>
              <w:br/>
              <w:t>Children, n = 4</w:t>
            </w:r>
          </w:p>
        </w:tc>
        <w:tc>
          <w:tcPr>
            <w:tcW w:w="964" w:type="pct"/>
            <w:tcBorders>
              <w:top w:val="nil"/>
              <w:left w:val="nil"/>
              <w:bottom w:val="single" w:sz="8" w:space="0" w:color="333333"/>
              <w:right w:val="nil"/>
            </w:tcBorders>
            <w:shd w:val="clear" w:color="000000" w:fill="FFFFFF"/>
            <w:vAlign w:val="center"/>
            <w:hideMark/>
          </w:tcPr>
          <w:p w14:paraId="3A1B616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Cohort/cross-sectional, n = 7</w:t>
            </w:r>
          </w:p>
        </w:tc>
        <w:tc>
          <w:tcPr>
            <w:tcW w:w="704" w:type="pct"/>
            <w:tcBorders>
              <w:top w:val="nil"/>
              <w:left w:val="nil"/>
              <w:bottom w:val="single" w:sz="8" w:space="0" w:color="333333"/>
              <w:right w:val="nil"/>
            </w:tcBorders>
            <w:shd w:val="clear" w:color="000000" w:fill="FFFFFF"/>
            <w:vAlign w:val="center"/>
            <w:hideMark/>
          </w:tcPr>
          <w:p w14:paraId="47738BD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Population sample without diagnostic indicator, n = 7</w:t>
            </w:r>
          </w:p>
        </w:tc>
        <w:tc>
          <w:tcPr>
            <w:tcW w:w="742" w:type="pct"/>
            <w:tcBorders>
              <w:top w:val="nil"/>
              <w:left w:val="nil"/>
              <w:bottom w:val="single" w:sz="8" w:space="0" w:color="333333"/>
              <w:right w:val="nil"/>
            </w:tcBorders>
            <w:shd w:val="clear" w:color="000000" w:fill="FFFFFF"/>
            <w:vAlign w:val="center"/>
            <w:hideMark/>
          </w:tcPr>
          <w:p w14:paraId="36C8D3D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6</w:t>
            </w:r>
            <w:r w:rsidRPr="00734942">
              <w:rPr>
                <w:rFonts w:ascii="Calibri" w:eastAsia="Times New Roman" w:hAnsi="Calibri" w:cs="Calibri"/>
                <w:color w:val="111111"/>
                <w:sz w:val="18"/>
                <w:szCs w:val="18"/>
                <w:lang w:eastAsia="en-GB"/>
              </w:rPr>
              <w:br/>
              <w:t>Biopsy +/- serology, n = 1</w:t>
            </w:r>
          </w:p>
        </w:tc>
      </w:tr>
      <w:tr w:rsidR="0069305A" w:rsidRPr="00734942" w14:paraId="34623192" w14:textId="77777777" w:rsidTr="00F86021">
        <w:trPr>
          <w:trHeight w:val="208"/>
        </w:trPr>
        <w:tc>
          <w:tcPr>
            <w:tcW w:w="471" w:type="pct"/>
            <w:tcBorders>
              <w:top w:val="nil"/>
              <w:left w:val="nil"/>
              <w:bottom w:val="single" w:sz="8" w:space="0" w:color="333333"/>
              <w:right w:val="nil"/>
            </w:tcBorders>
            <w:shd w:val="clear" w:color="000000" w:fill="FFFFFF"/>
            <w:vAlign w:val="center"/>
          </w:tcPr>
          <w:p w14:paraId="767E653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Weight loss</w:t>
            </w:r>
          </w:p>
        </w:tc>
        <w:tc>
          <w:tcPr>
            <w:tcW w:w="774" w:type="pct"/>
            <w:tcBorders>
              <w:top w:val="nil"/>
              <w:left w:val="nil"/>
              <w:bottom w:val="single" w:sz="8" w:space="0" w:color="333333"/>
              <w:right w:val="nil"/>
            </w:tcBorders>
            <w:shd w:val="clear" w:color="000000" w:fill="FFFFFF"/>
            <w:vAlign w:val="center"/>
          </w:tcPr>
          <w:p w14:paraId="69FEE56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Weight loss</w:t>
            </w:r>
          </w:p>
        </w:tc>
        <w:tc>
          <w:tcPr>
            <w:tcW w:w="278" w:type="pct"/>
            <w:tcBorders>
              <w:top w:val="nil"/>
              <w:left w:val="nil"/>
              <w:bottom w:val="single" w:sz="8" w:space="0" w:color="333333"/>
              <w:right w:val="nil"/>
            </w:tcBorders>
            <w:shd w:val="clear" w:color="000000" w:fill="FFFFFF"/>
            <w:vAlign w:val="center"/>
          </w:tcPr>
          <w:p w14:paraId="72B346D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w:t>
            </w:r>
          </w:p>
        </w:tc>
        <w:tc>
          <w:tcPr>
            <w:tcW w:w="301" w:type="pct"/>
            <w:tcBorders>
              <w:top w:val="nil"/>
              <w:left w:val="nil"/>
              <w:bottom w:val="single" w:sz="8" w:space="0" w:color="333333"/>
              <w:right w:val="nil"/>
            </w:tcBorders>
            <w:shd w:val="clear" w:color="000000" w:fill="FFFFFF"/>
            <w:vAlign w:val="center"/>
          </w:tcPr>
          <w:p w14:paraId="62B2205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31,739</w:t>
            </w:r>
          </w:p>
        </w:tc>
        <w:tc>
          <w:tcPr>
            <w:tcW w:w="308" w:type="pct"/>
            <w:tcBorders>
              <w:top w:val="nil"/>
              <w:left w:val="nil"/>
              <w:bottom w:val="single" w:sz="8" w:space="0" w:color="333333"/>
              <w:right w:val="nil"/>
            </w:tcBorders>
            <w:shd w:val="clear" w:color="000000" w:fill="FFFFFF"/>
            <w:vAlign w:val="center"/>
          </w:tcPr>
          <w:p w14:paraId="669083B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p>
        </w:tc>
        <w:tc>
          <w:tcPr>
            <w:tcW w:w="457" w:type="pct"/>
            <w:tcBorders>
              <w:top w:val="nil"/>
              <w:left w:val="nil"/>
              <w:bottom w:val="single" w:sz="8" w:space="0" w:color="333333"/>
              <w:right w:val="nil"/>
            </w:tcBorders>
            <w:shd w:val="clear" w:color="000000" w:fill="FFFFFF"/>
            <w:vAlign w:val="center"/>
          </w:tcPr>
          <w:p w14:paraId="511943C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Adults, n = 3</w:t>
            </w:r>
            <w:r w:rsidRPr="00734942">
              <w:rPr>
                <w:rFonts w:ascii="Calibri" w:eastAsia="Times New Roman" w:hAnsi="Calibri" w:cs="Calibri"/>
                <w:color w:val="111111"/>
                <w:sz w:val="18"/>
                <w:szCs w:val="18"/>
                <w:lang w:eastAsia="en-GB"/>
              </w:rPr>
              <w:br/>
              <w:t>Children, n = 2</w:t>
            </w:r>
          </w:p>
        </w:tc>
        <w:tc>
          <w:tcPr>
            <w:tcW w:w="964" w:type="pct"/>
            <w:tcBorders>
              <w:top w:val="nil"/>
              <w:left w:val="nil"/>
              <w:bottom w:val="single" w:sz="8" w:space="0" w:color="333333"/>
              <w:right w:val="nil"/>
            </w:tcBorders>
            <w:shd w:val="clear" w:color="000000" w:fill="FFFFFF"/>
            <w:vAlign w:val="center"/>
          </w:tcPr>
          <w:p w14:paraId="514A8D7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Nested case-control (CD), n = 2</w:t>
            </w:r>
            <w:r w:rsidRPr="00734942">
              <w:rPr>
                <w:rFonts w:ascii="Calibri" w:eastAsia="Times New Roman" w:hAnsi="Calibri" w:cs="Calibri"/>
                <w:color w:val="111111"/>
                <w:sz w:val="18"/>
                <w:szCs w:val="18"/>
                <w:lang w:eastAsia="en-GB"/>
              </w:rPr>
              <w:br/>
              <w:t>Cohort/cross-sectional, n = 3</w:t>
            </w:r>
          </w:p>
        </w:tc>
        <w:tc>
          <w:tcPr>
            <w:tcW w:w="704" w:type="pct"/>
            <w:tcBorders>
              <w:top w:val="nil"/>
              <w:left w:val="nil"/>
              <w:bottom w:val="single" w:sz="8" w:space="0" w:color="333333"/>
              <w:right w:val="nil"/>
            </w:tcBorders>
            <w:shd w:val="clear" w:color="000000" w:fill="FFFFFF"/>
            <w:vAlign w:val="center"/>
          </w:tcPr>
          <w:p w14:paraId="3421524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Population sample without diagnostic indicator, n = 5</w:t>
            </w:r>
          </w:p>
        </w:tc>
        <w:tc>
          <w:tcPr>
            <w:tcW w:w="742" w:type="pct"/>
            <w:tcBorders>
              <w:top w:val="nil"/>
              <w:left w:val="nil"/>
              <w:bottom w:val="single" w:sz="8" w:space="0" w:color="333333"/>
              <w:right w:val="nil"/>
            </w:tcBorders>
            <w:shd w:val="clear" w:color="000000" w:fill="FFFFFF"/>
            <w:vAlign w:val="center"/>
          </w:tcPr>
          <w:p w14:paraId="7D5EAEB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4</w:t>
            </w:r>
            <w:r w:rsidRPr="00734942">
              <w:rPr>
                <w:rFonts w:ascii="Calibri" w:eastAsia="Times New Roman" w:hAnsi="Calibri" w:cs="Calibri"/>
                <w:color w:val="111111"/>
                <w:sz w:val="18"/>
                <w:szCs w:val="18"/>
                <w:lang w:eastAsia="en-GB"/>
              </w:rPr>
              <w:br/>
              <w:t>Biopsy +/- serology, n = 1</w:t>
            </w:r>
          </w:p>
        </w:tc>
      </w:tr>
      <w:tr w:rsidR="0069305A" w:rsidRPr="00734942" w14:paraId="0C45D9FC"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36148EC6"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sidRPr="00734942">
              <w:rPr>
                <w:rFonts w:ascii="Calibri" w:eastAsia="Times New Roman" w:hAnsi="Calibri" w:cs="Calibri"/>
                <w:b/>
                <w:bCs/>
                <w:color w:val="111111"/>
                <w:sz w:val="18"/>
                <w:szCs w:val="18"/>
                <w:lang w:eastAsia="en-GB"/>
              </w:rPr>
              <w:t>Risk conditions</w:t>
            </w:r>
          </w:p>
        </w:tc>
        <w:tc>
          <w:tcPr>
            <w:tcW w:w="774" w:type="pct"/>
            <w:tcBorders>
              <w:top w:val="nil"/>
              <w:left w:val="nil"/>
              <w:bottom w:val="single" w:sz="8" w:space="0" w:color="333333"/>
              <w:right w:val="nil"/>
            </w:tcBorders>
            <w:shd w:val="clear" w:color="000000" w:fill="FFFFFF"/>
            <w:vAlign w:val="center"/>
            <w:hideMark/>
          </w:tcPr>
          <w:p w14:paraId="4DB6088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278" w:type="pct"/>
            <w:tcBorders>
              <w:top w:val="nil"/>
              <w:left w:val="nil"/>
              <w:bottom w:val="single" w:sz="8" w:space="0" w:color="333333"/>
              <w:right w:val="nil"/>
            </w:tcBorders>
            <w:shd w:val="clear" w:color="000000" w:fill="FFFFFF"/>
            <w:vAlign w:val="center"/>
            <w:hideMark/>
          </w:tcPr>
          <w:p w14:paraId="5B71677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301" w:type="pct"/>
            <w:tcBorders>
              <w:top w:val="nil"/>
              <w:left w:val="nil"/>
              <w:bottom w:val="single" w:sz="8" w:space="0" w:color="333333"/>
              <w:right w:val="nil"/>
            </w:tcBorders>
            <w:shd w:val="clear" w:color="000000" w:fill="FFFFFF"/>
            <w:vAlign w:val="center"/>
            <w:hideMark/>
          </w:tcPr>
          <w:p w14:paraId="289B7DA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308" w:type="pct"/>
            <w:tcBorders>
              <w:top w:val="nil"/>
              <w:left w:val="nil"/>
              <w:bottom w:val="single" w:sz="8" w:space="0" w:color="333333"/>
              <w:right w:val="nil"/>
            </w:tcBorders>
            <w:shd w:val="clear" w:color="000000" w:fill="FFFFFF"/>
            <w:vAlign w:val="center"/>
          </w:tcPr>
          <w:p w14:paraId="70302A5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p>
        </w:tc>
        <w:tc>
          <w:tcPr>
            <w:tcW w:w="457" w:type="pct"/>
            <w:tcBorders>
              <w:top w:val="nil"/>
              <w:left w:val="nil"/>
              <w:bottom w:val="single" w:sz="8" w:space="0" w:color="333333"/>
              <w:right w:val="nil"/>
            </w:tcBorders>
            <w:shd w:val="clear" w:color="000000" w:fill="FFFFFF"/>
            <w:vAlign w:val="center"/>
            <w:hideMark/>
          </w:tcPr>
          <w:p w14:paraId="02D507B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964" w:type="pct"/>
            <w:tcBorders>
              <w:top w:val="nil"/>
              <w:left w:val="nil"/>
              <w:bottom w:val="single" w:sz="8" w:space="0" w:color="333333"/>
              <w:right w:val="nil"/>
            </w:tcBorders>
            <w:shd w:val="clear" w:color="000000" w:fill="FFFFFF"/>
            <w:vAlign w:val="center"/>
            <w:hideMark/>
          </w:tcPr>
          <w:p w14:paraId="41952B9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704" w:type="pct"/>
            <w:tcBorders>
              <w:top w:val="nil"/>
              <w:left w:val="nil"/>
              <w:bottom w:val="single" w:sz="8" w:space="0" w:color="333333"/>
              <w:right w:val="nil"/>
            </w:tcBorders>
            <w:shd w:val="clear" w:color="000000" w:fill="FFFFFF"/>
            <w:vAlign w:val="center"/>
            <w:hideMark/>
          </w:tcPr>
          <w:p w14:paraId="12B5A68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742" w:type="pct"/>
            <w:tcBorders>
              <w:top w:val="nil"/>
              <w:left w:val="nil"/>
              <w:bottom w:val="single" w:sz="8" w:space="0" w:color="333333"/>
              <w:right w:val="nil"/>
            </w:tcBorders>
            <w:shd w:val="clear" w:color="000000" w:fill="FFFFFF"/>
            <w:vAlign w:val="center"/>
            <w:hideMark/>
          </w:tcPr>
          <w:p w14:paraId="5DC2911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r>
      <w:tr w:rsidR="0069305A" w:rsidRPr="00734942" w14:paraId="368E9CB7"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6EC840D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lastRenderedPageBreak/>
              <w:t>Anaemia</w:t>
            </w:r>
          </w:p>
        </w:tc>
        <w:tc>
          <w:tcPr>
            <w:tcW w:w="774" w:type="pct"/>
            <w:tcBorders>
              <w:top w:val="nil"/>
              <w:left w:val="nil"/>
              <w:bottom w:val="single" w:sz="8" w:space="0" w:color="333333"/>
              <w:right w:val="nil"/>
            </w:tcBorders>
            <w:shd w:val="clear" w:color="000000" w:fill="FFFFFF"/>
            <w:vAlign w:val="center"/>
            <w:hideMark/>
          </w:tcPr>
          <w:p w14:paraId="136D072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IDA, low haemoglobin levels, pernicious anaemia, of obscure origin or unspecified</w:t>
            </w:r>
          </w:p>
        </w:tc>
        <w:tc>
          <w:tcPr>
            <w:tcW w:w="278" w:type="pct"/>
            <w:tcBorders>
              <w:top w:val="nil"/>
              <w:left w:val="nil"/>
              <w:bottom w:val="single" w:sz="8" w:space="0" w:color="333333"/>
              <w:right w:val="nil"/>
            </w:tcBorders>
            <w:shd w:val="clear" w:color="000000" w:fill="FFFFFF"/>
            <w:vAlign w:val="center"/>
            <w:hideMark/>
          </w:tcPr>
          <w:p w14:paraId="58B709F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17</w:t>
            </w:r>
          </w:p>
        </w:tc>
        <w:tc>
          <w:tcPr>
            <w:tcW w:w="301" w:type="pct"/>
            <w:tcBorders>
              <w:top w:val="nil"/>
              <w:left w:val="nil"/>
              <w:bottom w:val="single" w:sz="8" w:space="0" w:color="333333"/>
              <w:right w:val="nil"/>
            </w:tcBorders>
            <w:shd w:val="clear" w:color="000000" w:fill="FFFFFF"/>
            <w:vAlign w:val="center"/>
            <w:hideMark/>
          </w:tcPr>
          <w:p w14:paraId="0105996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13,477</w:t>
            </w:r>
          </w:p>
        </w:tc>
        <w:tc>
          <w:tcPr>
            <w:tcW w:w="308" w:type="pct"/>
            <w:tcBorders>
              <w:top w:val="nil"/>
              <w:left w:val="nil"/>
              <w:bottom w:val="single" w:sz="8" w:space="0" w:color="333333"/>
              <w:right w:val="nil"/>
            </w:tcBorders>
            <w:shd w:val="clear" w:color="000000" w:fill="FFFFFF"/>
            <w:vAlign w:val="center"/>
          </w:tcPr>
          <w:p w14:paraId="4ED9D98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715</w:t>
            </w:r>
          </w:p>
        </w:tc>
        <w:tc>
          <w:tcPr>
            <w:tcW w:w="457" w:type="pct"/>
            <w:tcBorders>
              <w:top w:val="nil"/>
              <w:left w:val="nil"/>
              <w:bottom w:val="single" w:sz="8" w:space="0" w:color="333333"/>
              <w:right w:val="nil"/>
            </w:tcBorders>
            <w:shd w:val="clear" w:color="000000" w:fill="FFFFFF"/>
            <w:vAlign w:val="center"/>
            <w:hideMark/>
          </w:tcPr>
          <w:p w14:paraId="167A1DB5"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13</w:t>
            </w:r>
            <w:r w:rsidRPr="00734942">
              <w:rPr>
                <w:rFonts w:ascii="Calibri" w:eastAsia="Times New Roman" w:hAnsi="Calibri" w:cs="Calibri"/>
                <w:color w:val="111111"/>
                <w:sz w:val="18"/>
                <w:szCs w:val="18"/>
                <w:lang w:eastAsia="en-GB"/>
              </w:rPr>
              <w:br/>
              <w:t>Children, n = 4</w:t>
            </w:r>
          </w:p>
        </w:tc>
        <w:tc>
          <w:tcPr>
            <w:tcW w:w="964" w:type="pct"/>
            <w:tcBorders>
              <w:top w:val="nil"/>
              <w:left w:val="nil"/>
              <w:bottom w:val="single" w:sz="8" w:space="0" w:color="333333"/>
              <w:right w:val="nil"/>
            </w:tcBorders>
            <w:shd w:val="clear" w:color="000000" w:fill="FFFFFF"/>
            <w:vAlign w:val="center"/>
            <w:hideMark/>
          </w:tcPr>
          <w:p w14:paraId="65D260A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xml:space="preserve"> n = 9</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xml:space="preserve"> n = 2</w:t>
            </w:r>
            <w:r w:rsidRPr="00734942">
              <w:rPr>
                <w:rFonts w:ascii="Calibri" w:eastAsia="Times New Roman" w:hAnsi="Calibri" w:cs="Calibri"/>
                <w:color w:val="111111"/>
                <w:sz w:val="18"/>
                <w:szCs w:val="18"/>
                <w:lang w:eastAsia="en-GB"/>
              </w:rPr>
              <w:br/>
              <w:t>Cohort/cross-sectional, n = 6</w:t>
            </w:r>
          </w:p>
        </w:tc>
        <w:tc>
          <w:tcPr>
            <w:tcW w:w="704" w:type="pct"/>
            <w:tcBorders>
              <w:top w:val="nil"/>
              <w:left w:val="nil"/>
              <w:bottom w:val="single" w:sz="8" w:space="0" w:color="333333"/>
              <w:right w:val="nil"/>
            </w:tcBorders>
            <w:shd w:val="clear" w:color="000000" w:fill="FFFFFF"/>
            <w:vAlign w:val="center"/>
            <w:hideMark/>
          </w:tcPr>
          <w:p w14:paraId="52D2AD7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8</w:t>
            </w:r>
            <w:r w:rsidRPr="00734942">
              <w:rPr>
                <w:rFonts w:ascii="Calibri" w:eastAsia="Times New Roman" w:hAnsi="Calibri" w:cs="Calibri"/>
                <w:color w:val="111111"/>
                <w:sz w:val="18"/>
                <w:szCs w:val="18"/>
                <w:lang w:eastAsia="en-GB"/>
              </w:rPr>
              <w:br/>
              <w:t>Population sample without diagnostic indicator, n = 9</w:t>
            </w:r>
          </w:p>
        </w:tc>
        <w:tc>
          <w:tcPr>
            <w:tcW w:w="742" w:type="pct"/>
            <w:tcBorders>
              <w:top w:val="nil"/>
              <w:left w:val="nil"/>
              <w:bottom w:val="single" w:sz="8" w:space="0" w:color="333333"/>
              <w:right w:val="nil"/>
            </w:tcBorders>
            <w:shd w:val="clear" w:color="000000" w:fill="FFFFFF"/>
            <w:vAlign w:val="center"/>
            <w:hideMark/>
          </w:tcPr>
          <w:p w14:paraId="7755EDB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9</w:t>
            </w:r>
            <w:r w:rsidRPr="00734942">
              <w:rPr>
                <w:rFonts w:ascii="Calibri" w:eastAsia="Times New Roman" w:hAnsi="Calibri" w:cs="Calibri"/>
                <w:color w:val="111111"/>
                <w:sz w:val="18"/>
                <w:szCs w:val="18"/>
                <w:lang w:eastAsia="en-GB"/>
              </w:rPr>
              <w:br/>
              <w:t>Biopsy +/- serology, n = 8</w:t>
            </w:r>
          </w:p>
        </w:tc>
      </w:tr>
      <w:tr w:rsidR="0069305A" w:rsidRPr="00734942" w14:paraId="695F8C1D" w14:textId="77777777" w:rsidTr="00F86021">
        <w:trPr>
          <w:trHeight w:val="1044"/>
        </w:trPr>
        <w:tc>
          <w:tcPr>
            <w:tcW w:w="471" w:type="pct"/>
            <w:tcBorders>
              <w:top w:val="nil"/>
              <w:left w:val="nil"/>
              <w:bottom w:val="single" w:sz="8" w:space="0" w:color="333333"/>
              <w:right w:val="nil"/>
            </w:tcBorders>
            <w:shd w:val="clear" w:color="000000" w:fill="FFFFFF"/>
            <w:vAlign w:val="center"/>
            <w:hideMark/>
          </w:tcPr>
          <w:p w14:paraId="181EFAB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Arthritis</w:t>
            </w:r>
          </w:p>
        </w:tc>
        <w:tc>
          <w:tcPr>
            <w:tcW w:w="774" w:type="pct"/>
            <w:tcBorders>
              <w:top w:val="nil"/>
              <w:left w:val="nil"/>
              <w:bottom w:val="single" w:sz="8" w:space="0" w:color="333333"/>
              <w:right w:val="nil"/>
            </w:tcBorders>
            <w:shd w:val="clear" w:color="000000" w:fill="FFFFFF"/>
            <w:vAlign w:val="center"/>
            <w:hideMark/>
          </w:tcPr>
          <w:p w14:paraId="7784F6F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RA, AS, juvenile idiopathic arthritis, PsA, juvenile rheumatic diseases</w:t>
            </w:r>
          </w:p>
        </w:tc>
        <w:tc>
          <w:tcPr>
            <w:tcW w:w="278" w:type="pct"/>
            <w:tcBorders>
              <w:top w:val="nil"/>
              <w:left w:val="nil"/>
              <w:bottom w:val="single" w:sz="8" w:space="0" w:color="333333"/>
              <w:right w:val="nil"/>
            </w:tcBorders>
            <w:shd w:val="clear" w:color="000000" w:fill="FFFFFF"/>
            <w:vAlign w:val="center"/>
            <w:hideMark/>
          </w:tcPr>
          <w:p w14:paraId="4303AD0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15</w:t>
            </w:r>
          </w:p>
        </w:tc>
        <w:tc>
          <w:tcPr>
            <w:tcW w:w="301" w:type="pct"/>
            <w:tcBorders>
              <w:top w:val="nil"/>
              <w:left w:val="nil"/>
              <w:bottom w:val="single" w:sz="8" w:space="0" w:color="333333"/>
              <w:right w:val="nil"/>
            </w:tcBorders>
            <w:shd w:val="clear" w:color="000000" w:fill="FFFFFF"/>
            <w:vAlign w:val="center"/>
            <w:hideMark/>
          </w:tcPr>
          <w:p w14:paraId="7F111DF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10,745</w:t>
            </w:r>
          </w:p>
        </w:tc>
        <w:tc>
          <w:tcPr>
            <w:tcW w:w="308" w:type="pct"/>
            <w:tcBorders>
              <w:top w:val="nil"/>
              <w:left w:val="nil"/>
              <w:bottom w:val="single" w:sz="8" w:space="0" w:color="333333"/>
              <w:right w:val="nil"/>
            </w:tcBorders>
            <w:shd w:val="clear" w:color="000000" w:fill="FFFFFF"/>
            <w:vAlign w:val="center"/>
          </w:tcPr>
          <w:p w14:paraId="4EB83AD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542</w:t>
            </w:r>
          </w:p>
        </w:tc>
        <w:tc>
          <w:tcPr>
            <w:tcW w:w="457" w:type="pct"/>
            <w:tcBorders>
              <w:top w:val="nil"/>
              <w:left w:val="nil"/>
              <w:bottom w:val="single" w:sz="8" w:space="0" w:color="333333"/>
              <w:right w:val="nil"/>
            </w:tcBorders>
            <w:shd w:val="clear" w:color="000000" w:fill="FFFFFF"/>
            <w:vAlign w:val="center"/>
            <w:hideMark/>
          </w:tcPr>
          <w:p w14:paraId="0CB63256"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8</w:t>
            </w:r>
            <w:r w:rsidRPr="00734942">
              <w:rPr>
                <w:rFonts w:ascii="Calibri" w:eastAsia="Times New Roman" w:hAnsi="Calibri" w:cs="Calibri"/>
                <w:color w:val="111111"/>
                <w:sz w:val="18"/>
                <w:szCs w:val="18"/>
                <w:lang w:eastAsia="en-GB"/>
              </w:rPr>
              <w:br/>
              <w:t>Children, n = 5</w:t>
            </w:r>
            <w:r w:rsidRPr="00734942">
              <w:rPr>
                <w:rFonts w:ascii="Calibri" w:eastAsia="Times New Roman" w:hAnsi="Calibri" w:cs="Calibri"/>
                <w:color w:val="111111"/>
                <w:sz w:val="18"/>
                <w:szCs w:val="18"/>
                <w:lang w:eastAsia="en-GB"/>
              </w:rPr>
              <w:br/>
              <w:t>Mixed, n = 2</w:t>
            </w:r>
          </w:p>
        </w:tc>
        <w:tc>
          <w:tcPr>
            <w:tcW w:w="964" w:type="pct"/>
            <w:tcBorders>
              <w:top w:val="nil"/>
              <w:left w:val="nil"/>
              <w:bottom w:val="single" w:sz="8" w:space="0" w:color="333333"/>
              <w:right w:val="nil"/>
            </w:tcBorders>
            <w:shd w:val="clear" w:color="000000" w:fill="FFFFFF"/>
            <w:vAlign w:val="center"/>
            <w:hideMark/>
          </w:tcPr>
          <w:p w14:paraId="44B5B3C1"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11</w:t>
            </w:r>
            <w:r w:rsidRPr="00734942">
              <w:rPr>
                <w:rFonts w:ascii="Calibri" w:eastAsia="Times New Roman" w:hAnsi="Calibri" w:cs="Calibri"/>
                <w:color w:val="111111"/>
                <w:sz w:val="18"/>
                <w:szCs w:val="18"/>
                <w:lang w:eastAsia="en-GB"/>
              </w:rPr>
              <w:br/>
              <w:t>Nested case-control (CD)</w:t>
            </w:r>
            <w:r w:rsidRPr="00734942">
              <w:rPr>
                <w:rFonts w:ascii="Calibri" w:eastAsia="Times New Roman" w:hAnsi="Calibri" w:cs="Calibri"/>
                <w:color w:val="111111"/>
                <w:sz w:val="18"/>
                <w:szCs w:val="18"/>
                <w:vertAlign w:val="superscript"/>
                <w:lang w:eastAsia="en-GB"/>
              </w:rPr>
              <w:t xml:space="preserve"> </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3</w:t>
            </w:r>
          </w:p>
        </w:tc>
        <w:tc>
          <w:tcPr>
            <w:tcW w:w="704" w:type="pct"/>
            <w:tcBorders>
              <w:top w:val="nil"/>
              <w:left w:val="nil"/>
              <w:bottom w:val="single" w:sz="8" w:space="0" w:color="333333"/>
              <w:right w:val="nil"/>
            </w:tcBorders>
            <w:shd w:val="clear" w:color="000000" w:fill="FFFFFF"/>
            <w:vAlign w:val="center"/>
            <w:hideMark/>
          </w:tcPr>
          <w:p w14:paraId="09BDDAE5"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Healthy controls, n = 13</w:t>
            </w:r>
            <w:r w:rsidRPr="00734942">
              <w:rPr>
                <w:rFonts w:ascii="Calibri" w:eastAsia="Times New Roman" w:hAnsi="Calibri" w:cs="Calibri"/>
                <w:color w:val="111111"/>
                <w:sz w:val="18"/>
                <w:szCs w:val="18"/>
                <w:lang w:eastAsia="en-GB"/>
              </w:rPr>
              <w:br/>
              <w:t>Population sample without diagnostic indicator, n = 2</w:t>
            </w:r>
          </w:p>
        </w:tc>
        <w:tc>
          <w:tcPr>
            <w:tcW w:w="742" w:type="pct"/>
            <w:tcBorders>
              <w:top w:val="nil"/>
              <w:left w:val="nil"/>
              <w:bottom w:val="single" w:sz="8" w:space="0" w:color="333333"/>
              <w:right w:val="nil"/>
            </w:tcBorders>
            <w:shd w:val="clear" w:color="000000" w:fill="FFFFFF"/>
            <w:vAlign w:val="center"/>
            <w:hideMark/>
          </w:tcPr>
          <w:p w14:paraId="53832642"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7</w:t>
            </w:r>
            <w:r w:rsidRPr="00734942">
              <w:rPr>
                <w:rFonts w:ascii="Calibri" w:eastAsia="Times New Roman" w:hAnsi="Calibri" w:cs="Calibri"/>
                <w:color w:val="111111"/>
                <w:sz w:val="18"/>
                <w:szCs w:val="18"/>
                <w:lang w:eastAsia="en-GB"/>
              </w:rPr>
              <w:br/>
              <w:t>Biopsy +/- serology, n = 8</w:t>
            </w:r>
          </w:p>
        </w:tc>
      </w:tr>
      <w:tr w:rsidR="0069305A" w:rsidRPr="00734942" w14:paraId="49B5C0D4" w14:textId="77777777" w:rsidTr="00F86021">
        <w:trPr>
          <w:trHeight w:val="831"/>
        </w:trPr>
        <w:tc>
          <w:tcPr>
            <w:tcW w:w="471" w:type="pct"/>
            <w:tcBorders>
              <w:top w:val="nil"/>
              <w:left w:val="nil"/>
              <w:bottom w:val="single" w:sz="8" w:space="0" w:color="333333"/>
              <w:right w:val="nil"/>
            </w:tcBorders>
            <w:shd w:val="clear" w:color="000000" w:fill="FFFFFF"/>
            <w:vAlign w:val="center"/>
            <w:hideMark/>
          </w:tcPr>
          <w:p w14:paraId="118F221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Chronic liver disease</w:t>
            </w:r>
          </w:p>
        </w:tc>
        <w:tc>
          <w:tcPr>
            <w:tcW w:w="774" w:type="pct"/>
            <w:tcBorders>
              <w:top w:val="nil"/>
              <w:left w:val="nil"/>
              <w:bottom w:val="single" w:sz="8" w:space="0" w:color="333333"/>
              <w:right w:val="nil"/>
            </w:tcBorders>
            <w:shd w:val="clear" w:color="000000" w:fill="FFFFFF"/>
            <w:vAlign w:val="center"/>
            <w:hideMark/>
          </w:tcPr>
          <w:p w14:paraId="3B1B4889"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Hepatic disease, hepatitis, PBC, (unexplained) abnormal liver enzymes, ALD, chronic hepatitis C</w:t>
            </w:r>
          </w:p>
        </w:tc>
        <w:tc>
          <w:tcPr>
            <w:tcW w:w="278" w:type="pct"/>
            <w:tcBorders>
              <w:top w:val="nil"/>
              <w:left w:val="nil"/>
              <w:bottom w:val="single" w:sz="8" w:space="0" w:color="333333"/>
              <w:right w:val="nil"/>
            </w:tcBorders>
            <w:shd w:val="clear" w:color="000000" w:fill="FFFFFF"/>
            <w:vAlign w:val="center"/>
            <w:hideMark/>
          </w:tcPr>
          <w:p w14:paraId="20BA7F7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15</w:t>
            </w:r>
          </w:p>
        </w:tc>
        <w:tc>
          <w:tcPr>
            <w:tcW w:w="301" w:type="pct"/>
            <w:tcBorders>
              <w:top w:val="nil"/>
              <w:left w:val="nil"/>
              <w:bottom w:val="single" w:sz="8" w:space="0" w:color="333333"/>
              <w:right w:val="nil"/>
            </w:tcBorders>
            <w:shd w:val="clear" w:color="000000" w:fill="FFFFFF"/>
            <w:vAlign w:val="center"/>
            <w:hideMark/>
          </w:tcPr>
          <w:p w14:paraId="2DB9E8C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8,682</w:t>
            </w:r>
          </w:p>
        </w:tc>
        <w:tc>
          <w:tcPr>
            <w:tcW w:w="308" w:type="pct"/>
            <w:tcBorders>
              <w:top w:val="nil"/>
              <w:left w:val="nil"/>
              <w:bottom w:val="single" w:sz="8" w:space="0" w:color="333333"/>
              <w:right w:val="nil"/>
            </w:tcBorders>
            <w:shd w:val="clear" w:color="000000" w:fill="FFFFFF"/>
            <w:vAlign w:val="center"/>
          </w:tcPr>
          <w:p w14:paraId="5024ED1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448</w:t>
            </w:r>
          </w:p>
        </w:tc>
        <w:tc>
          <w:tcPr>
            <w:tcW w:w="457" w:type="pct"/>
            <w:tcBorders>
              <w:top w:val="nil"/>
              <w:left w:val="nil"/>
              <w:bottom w:val="single" w:sz="8" w:space="0" w:color="333333"/>
              <w:right w:val="nil"/>
            </w:tcBorders>
            <w:shd w:val="clear" w:color="000000" w:fill="FFFFFF"/>
            <w:vAlign w:val="center"/>
            <w:hideMark/>
          </w:tcPr>
          <w:p w14:paraId="33A9804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Adults, n = 9</w:t>
            </w:r>
          </w:p>
          <w:p w14:paraId="08AAD83F"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Children, n = 2</w:t>
            </w:r>
            <w:r w:rsidRPr="00734942">
              <w:rPr>
                <w:rFonts w:ascii="Calibri" w:eastAsia="Times New Roman" w:hAnsi="Calibri" w:cs="Calibri"/>
                <w:color w:val="111111"/>
                <w:sz w:val="18"/>
                <w:szCs w:val="18"/>
                <w:lang w:eastAsia="en-GB"/>
              </w:rPr>
              <w:br/>
              <w:t>Mixed, n = 4</w:t>
            </w:r>
          </w:p>
        </w:tc>
        <w:tc>
          <w:tcPr>
            <w:tcW w:w="964" w:type="pct"/>
            <w:tcBorders>
              <w:top w:val="nil"/>
              <w:left w:val="nil"/>
              <w:bottom w:val="single" w:sz="8" w:space="0" w:color="333333"/>
              <w:right w:val="nil"/>
            </w:tcBorders>
            <w:shd w:val="clear" w:color="000000" w:fill="FFFFFF"/>
            <w:vAlign w:val="center"/>
            <w:hideMark/>
          </w:tcPr>
          <w:p w14:paraId="1D36A20F"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12</w:t>
            </w:r>
            <w:r w:rsidRPr="00734942">
              <w:rPr>
                <w:rFonts w:ascii="Calibri" w:eastAsia="Times New Roman" w:hAnsi="Calibri" w:cs="Calibri"/>
                <w:color w:val="111111"/>
                <w:sz w:val="18"/>
                <w:szCs w:val="18"/>
                <w:lang w:eastAsia="en-GB"/>
              </w:rPr>
              <w:br/>
              <w:t>Nested case-control (CD)</w:t>
            </w:r>
            <w:r w:rsidRPr="00734942">
              <w:rPr>
                <w:rFonts w:ascii="Calibri" w:eastAsia="Times New Roman" w:hAnsi="Calibri" w:cs="Calibri"/>
                <w:color w:val="111111"/>
                <w:sz w:val="18"/>
                <w:szCs w:val="18"/>
                <w:vertAlign w:val="superscript"/>
                <w:lang w:eastAsia="en-GB"/>
              </w:rPr>
              <w:t xml:space="preserve"> </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2</w:t>
            </w:r>
          </w:p>
        </w:tc>
        <w:tc>
          <w:tcPr>
            <w:tcW w:w="704" w:type="pct"/>
            <w:tcBorders>
              <w:top w:val="nil"/>
              <w:left w:val="nil"/>
              <w:bottom w:val="single" w:sz="8" w:space="0" w:color="333333"/>
              <w:right w:val="nil"/>
            </w:tcBorders>
            <w:shd w:val="clear" w:color="000000" w:fill="FFFFFF"/>
            <w:vAlign w:val="center"/>
            <w:hideMark/>
          </w:tcPr>
          <w:p w14:paraId="53F3E3A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=12</w:t>
            </w:r>
            <w:r w:rsidRPr="00734942">
              <w:rPr>
                <w:rFonts w:ascii="Calibri" w:eastAsia="Times New Roman" w:hAnsi="Calibri" w:cs="Calibri"/>
                <w:color w:val="111111"/>
                <w:sz w:val="18"/>
                <w:szCs w:val="18"/>
                <w:lang w:eastAsia="en-GB"/>
              </w:rPr>
              <w:br/>
              <w:t>Population sample without diagnostic indicator, n = 3</w:t>
            </w:r>
          </w:p>
        </w:tc>
        <w:tc>
          <w:tcPr>
            <w:tcW w:w="742" w:type="pct"/>
            <w:tcBorders>
              <w:top w:val="nil"/>
              <w:left w:val="nil"/>
              <w:bottom w:val="single" w:sz="8" w:space="0" w:color="333333"/>
              <w:right w:val="nil"/>
            </w:tcBorders>
            <w:shd w:val="clear" w:color="000000" w:fill="FFFFFF"/>
            <w:vAlign w:val="center"/>
            <w:hideMark/>
          </w:tcPr>
          <w:p w14:paraId="4E706A9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7</w:t>
            </w:r>
            <w:r w:rsidRPr="00734942">
              <w:rPr>
                <w:rFonts w:ascii="Calibri" w:eastAsia="Times New Roman" w:hAnsi="Calibri" w:cs="Calibri"/>
                <w:color w:val="111111"/>
                <w:sz w:val="18"/>
                <w:szCs w:val="18"/>
                <w:lang w:eastAsia="en-GB"/>
              </w:rPr>
              <w:br/>
              <w:t>Biopsy +/- serology, n = 8</w:t>
            </w:r>
          </w:p>
        </w:tc>
      </w:tr>
      <w:tr w:rsidR="0069305A" w:rsidRPr="00734942" w14:paraId="4C32F14E" w14:textId="77777777" w:rsidTr="00F86021">
        <w:trPr>
          <w:trHeight w:val="84"/>
        </w:trPr>
        <w:tc>
          <w:tcPr>
            <w:tcW w:w="471" w:type="pct"/>
            <w:tcBorders>
              <w:top w:val="nil"/>
              <w:left w:val="nil"/>
              <w:bottom w:val="single" w:sz="8" w:space="0" w:color="333333"/>
              <w:right w:val="nil"/>
            </w:tcBorders>
            <w:shd w:val="clear" w:color="000000" w:fill="FFFFFF"/>
            <w:vAlign w:val="center"/>
            <w:hideMark/>
          </w:tcPr>
          <w:p w14:paraId="5CB351A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Dermatitis herpetiformis</w:t>
            </w:r>
          </w:p>
        </w:tc>
        <w:tc>
          <w:tcPr>
            <w:tcW w:w="774" w:type="pct"/>
            <w:tcBorders>
              <w:top w:val="nil"/>
              <w:left w:val="nil"/>
              <w:bottom w:val="single" w:sz="8" w:space="0" w:color="333333"/>
              <w:right w:val="nil"/>
            </w:tcBorders>
            <w:shd w:val="clear" w:color="000000" w:fill="FFFFFF"/>
            <w:vAlign w:val="center"/>
            <w:hideMark/>
          </w:tcPr>
          <w:p w14:paraId="6650DFF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Dermatitis herpetiformis</w:t>
            </w:r>
          </w:p>
        </w:tc>
        <w:tc>
          <w:tcPr>
            <w:tcW w:w="278" w:type="pct"/>
            <w:tcBorders>
              <w:top w:val="nil"/>
              <w:left w:val="nil"/>
              <w:bottom w:val="single" w:sz="8" w:space="0" w:color="333333"/>
              <w:right w:val="nil"/>
            </w:tcBorders>
            <w:shd w:val="clear" w:color="000000" w:fill="FFFFFF"/>
            <w:vAlign w:val="center"/>
            <w:hideMark/>
          </w:tcPr>
          <w:p w14:paraId="47ADE91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w:t>
            </w:r>
          </w:p>
        </w:tc>
        <w:tc>
          <w:tcPr>
            <w:tcW w:w="301" w:type="pct"/>
            <w:tcBorders>
              <w:top w:val="nil"/>
              <w:left w:val="nil"/>
              <w:bottom w:val="single" w:sz="8" w:space="0" w:color="333333"/>
              <w:right w:val="nil"/>
            </w:tcBorders>
            <w:shd w:val="clear" w:color="000000" w:fill="FFFFFF"/>
            <w:vAlign w:val="center"/>
            <w:hideMark/>
          </w:tcPr>
          <w:p w14:paraId="75D30A3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1,429</w:t>
            </w:r>
          </w:p>
        </w:tc>
        <w:tc>
          <w:tcPr>
            <w:tcW w:w="308" w:type="pct"/>
            <w:tcBorders>
              <w:top w:val="nil"/>
              <w:left w:val="nil"/>
              <w:bottom w:val="single" w:sz="8" w:space="0" w:color="333333"/>
              <w:right w:val="nil"/>
            </w:tcBorders>
            <w:shd w:val="clear" w:color="000000" w:fill="FFFFFF"/>
            <w:vAlign w:val="center"/>
          </w:tcPr>
          <w:p w14:paraId="3C3ACB8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579</w:t>
            </w:r>
          </w:p>
        </w:tc>
        <w:tc>
          <w:tcPr>
            <w:tcW w:w="457" w:type="pct"/>
            <w:tcBorders>
              <w:top w:val="nil"/>
              <w:left w:val="nil"/>
              <w:bottom w:val="single" w:sz="8" w:space="0" w:color="333333"/>
              <w:right w:val="nil"/>
            </w:tcBorders>
            <w:shd w:val="clear" w:color="000000" w:fill="FFFFFF"/>
            <w:vAlign w:val="center"/>
            <w:hideMark/>
          </w:tcPr>
          <w:p w14:paraId="369F9A4B"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4</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23EF0052"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3</w:t>
            </w:r>
            <w:r w:rsidRPr="00734942">
              <w:rPr>
                <w:rFonts w:ascii="Calibri" w:eastAsia="Times New Roman" w:hAnsi="Calibri" w:cs="Calibri"/>
                <w:color w:val="111111"/>
                <w:sz w:val="18"/>
                <w:szCs w:val="18"/>
                <w:lang w:eastAsia="en-GB"/>
              </w:rPr>
              <w:br/>
              <w:t>Nested case-control (CD)</w:t>
            </w:r>
            <w:r w:rsidRPr="00734942">
              <w:rPr>
                <w:rFonts w:ascii="Calibri" w:eastAsia="Times New Roman" w:hAnsi="Calibri" w:cs="Calibri"/>
                <w:color w:val="111111"/>
                <w:sz w:val="18"/>
                <w:szCs w:val="18"/>
                <w:vertAlign w:val="superscript"/>
                <w:lang w:eastAsia="en-GB"/>
              </w:rPr>
              <w:t xml:space="preserve"> </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2</w:t>
            </w:r>
          </w:p>
        </w:tc>
        <w:tc>
          <w:tcPr>
            <w:tcW w:w="704" w:type="pct"/>
            <w:tcBorders>
              <w:top w:val="nil"/>
              <w:left w:val="nil"/>
              <w:bottom w:val="single" w:sz="8" w:space="0" w:color="333333"/>
              <w:right w:val="nil"/>
            </w:tcBorders>
            <w:shd w:val="clear" w:color="000000" w:fill="FFFFFF"/>
            <w:vAlign w:val="center"/>
            <w:hideMark/>
          </w:tcPr>
          <w:p w14:paraId="22EC11CC"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Healthy controls, n = 3</w:t>
            </w:r>
            <w:r w:rsidRPr="00734942">
              <w:rPr>
                <w:rFonts w:ascii="Calibri" w:eastAsia="Times New Roman" w:hAnsi="Calibri" w:cs="Calibri"/>
                <w:color w:val="111111"/>
                <w:sz w:val="18"/>
                <w:szCs w:val="18"/>
                <w:lang w:eastAsia="en-GB"/>
              </w:rPr>
              <w:br/>
              <w:t>Population sample without diagnostic indicator, n = 2</w:t>
            </w:r>
          </w:p>
        </w:tc>
        <w:tc>
          <w:tcPr>
            <w:tcW w:w="742" w:type="pct"/>
            <w:tcBorders>
              <w:top w:val="nil"/>
              <w:left w:val="nil"/>
              <w:bottom w:val="single" w:sz="8" w:space="0" w:color="333333"/>
              <w:right w:val="nil"/>
            </w:tcBorders>
            <w:shd w:val="clear" w:color="000000" w:fill="FFFFFF"/>
            <w:vAlign w:val="center"/>
            <w:hideMark/>
          </w:tcPr>
          <w:p w14:paraId="557387F0"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4</w:t>
            </w:r>
            <w:r w:rsidRPr="00734942">
              <w:rPr>
                <w:rFonts w:ascii="Calibri" w:eastAsia="Times New Roman" w:hAnsi="Calibri" w:cs="Calibri"/>
                <w:color w:val="111111"/>
                <w:sz w:val="18"/>
                <w:szCs w:val="18"/>
                <w:lang w:eastAsia="en-GB"/>
              </w:rPr>
              <w:br/>
              <w:t>Biopsy +/- serology, n = 1</w:t>
            </w:r>
          </w:p>
        </w:tc>
      </w:tr>
      <w:tr w:rsidR="0069305A" w:rsidRPr="00734942" w14:paraId="0678EC75" w14:textId="77777777" w:rsidTr="00F86021">
        <w:trPr>
          <w:trHeight w:val="107"/>
        </w:trPr>
        <w:tc>
          <w:tcPr>
            <w:tcW w:w="471" w:type="pct"/>
            <w:tcBorders>
              <w:top w:val="nil"/>
              <w:left w:val="nil"/>
              <w:bottom w:val="single" w:sz="8" w:space="0" w:color="333333"/>
              <w:right w:val="nil"/>
            </w:tcBorders>
            <w:shd w:val="clear" w:color="000000" w:fill="FFFFFF"/>
            <w:vAlign w:val="center"/>
            <w:hideMark/>
          </w:tcPr>
          <w:p w14:paraId="5960257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Epilepsy</w:t>
            </w:r>
          </w:p>
        </w:tc>
        <w:tc>
          <w:tcPr>
            <w:tcW w:w="774" w:type="pct"/>
            <w:tcBorders>
              <w:top w:val="nil"/>
              <w:left w:val="nil"/>
              <w:bottom w:val="single" w:sz="8" w:space="0" w:color="333333"/>
              <w:right w:val="nil"/>
            </w:tcBorders>
            <w:shd w:val="clear" w:color="000000" w:fill="FFFFFF"/>
            <w:vAlign w:val="center"/>
            <w:hideMark/>
          </w:tcPr>
          <w:p w14:paraId="588AF25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Epilepsy, ataxia</w:t>
            </w:r>
          </w:p>
        </w:tc>
        <w:tc>
          <w:tcPr>
            <w:tcW w:w="278" w:type="pct"/>
            <w:tcBorders>
              <w:top w:val="nil"/>
              <w:left w:val="nil"/>
              <w:bottom w:val="single" w:sz="8" w:space="0" w:color="333333"/>
              <w:right w:val="nil"/>
            </w:tcBorders>
            <w:shd w:val="clear" w:color="000000" w:fill="FFFFFF"/>
            <w:vAlign w:val="center"/>
            <w:hideMark/>
          </w:tcPr>
          <w:p w14:paraId="657EF95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w:t>
            </w:r>
          </w:p>
        </w:tc>
        <w:tc>
          <w:tcPr>
            <w:tcW w:w="301" w:type="pct"/>
            <w:tcBorders>
              <w:top w:val="nil"/>
              <w:left w:val="nil"/>
              <w:bottom w:val="single" w:sz="8" w:space="0" w:color="333333"/>
              <w:right w:val="nil"/>
            </w:tcBorders>
            <w:shd w:val="clear" w:color="000000" w:fill="FFFFFF"/>
            <w:vAlign w:val="center"/>
            <w:hideMark/>
          </w:tcPr>
          <w:p w14:paraId="532FAE3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10,717</w:t>
            </w:r>
          </w:p>
        </w:tc>
        <w:tc>
          <w:tcPr>
            <w:tcW w:w="308" w:type="pct"/>
            <w:tcBorders>
              <w:top w:val="nil"/>
              <w:left w:val="nil"/>
              <w:bottom w:val="single" w:sz="8" w:space="0" w:color="333333"/>
              <w:right w:val="nil"/>
            </w:tcBorders>
            <w:shd w:val="clear" w:color="000000" w:fill="FFFFFF"/>
            <w:vAlign w:val="center"/>
          </w:tcPr>
          <w:p w14:paraId="673B04E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505</w:t>
            </w:r>
          </w:p>
        </w:tc>
        <w:tc>
          <w:tcPr>
            <w:tcW w:w="457" w:type="pct"/>
            <w:tcBorders>
              <w:top w:val="nil"/>
              <w:left w:val="nil"/>
              <w:bottom w:val="single" w:sz="8" w:space="0" w:color="333333"/>
              <w:right w:val="nil"/>
            </w:tcBorders>
            <w:shd w:val="clear" w:color="000000" w:fill="FFFFFF"/>
            <w:vAlign w:val="center"/>
            <w:hideMark/>
          </w:tcPr>
          <w:p w14:paraId="5E3860CB"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2</w:t>
            </w:r>
            <w:r w:rsidRPr="00734942">
              <w:rPr>
                <w:rFonts w:ascii="Calibri" w:eastAsia="Times New Roman" w:hAnsi="Calibri" w:cs="Calibri"/>
                <w:color w:val="111111"/>
                <w:sz w:val="18"/>
                <w:szCs w:val="18"/>
                <w:lang w:eastAsia="en-GB"/>
              </w:rPr>
              <w:br/>
              <w:t>Children, n = 9</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33E63924"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11</w:t>
            </w:r>
            <w:r w:rsidRPr="00734942">
              <w:rPr>
                <w:rFonts w:ascii="Calibri" w:eastAsia="Times New Roman" w:hAnsi="Calibri" w:cs="Calibri"/>
                <w:color w:val="111111"/>
                <w:sz w:val="18"/>
                <w:szCs w:val="18"/>
                <w:lang w:eastAsia="en-GB"/>
              </w:rPr>
              <w:br/>
              <w:t>Nested case-control (CD)</w:t>
            </w:r>
            <w:r w:rsidRPr="00734942">
              <w:rPr>
                <w:rFonts w:ascii="Calibri" w:eastAsia="Times New Roman" w:hAnsi="Calibri" w:cs="Calibri"/>
                <w:color w:val="111111"/>
                <w:sz w:val="18"/>
                <w:szCs w:val="18"/>
                <w:vertAlign w:val="superscript"/>
                <w:lang w:eastAsia="en-GB"/>
              </w:rPr>
              <w:t xml:space="preserve"> </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p>
        </w:tc>
        <w:tc>
          <w:tcPr>
            <w:tcW w:w="704" w:type="pct"/>
            <w:tcBorders>
              <w:top w:val="nil"/>
              <w:left w:val="nil"/>
              <w:bottom w:val="single" w:sz="8" w:space="0" w:color="333333"/>
              <w:right w:val="nil"/>
            </w:tcBorders>
            <w:shd w:val="clear" w:color="000000" w:fill="FFFFFF"/>
            <w:vAlign w:val="center"/>
            <w:hideMark/>
          </w:tcPr>
          <w:p w14:paraId="222AFB6A"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Healthy controls, n = 11</w:t>
            </w:r>
            <w:r w:rsidRPr="00734942">
              <w:rPr>
                <w:rFonts w:ascii="Calibri" w:eastAsia="Times New Roman" w:hAnsi="Calibri" w:cs="Calibri"/>
                <w:color w:val="111111"/>
                <w:sz w:val="18"/>
                <w:szCs w:val="18"/>
                <w:lang w:eastAsia="en-GB"/>
              </w:rPr>
              <w:br/>
              <w:t>Population sample without diagnostic indicator, n = 1</w:t>
            </w:r>
          </w:p>
        </w:tc>
        <w:tc>
          <w:tcPr>
            <w:tcW w:w="742" w:type="pct"/>
            <w:tcBorders>
              <w:top w:val="nil"/>
              <w:left w:val="nil"/>
              <w:bottom w:val="single" w:sz="8" w:space="0" w:color="333333"/>
              <w:right w:val="nil"/>
            </w:tcBorders>
            <w:shd w:val="clear" w:color="000000" w:fill="FFFFFF"/>
            <w:vAlign w:val="center"/>
            <w:hideMark/>
          </w:tcPr>
          <w:p w14:paraId="65FBC31C"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5</w:t>
            </w:r>
            <w:r w:rsidRPr="00734942">
              <w:rPr>
                <w:rFonts w:ascii="Calibri" w:eastAsia="Times New Roman" w:hAnsi="Calibri" w:cs="Calibri"/>
                <w:color w:val="111111"/>
                <w:sz w:val="18"/>
                <w:szCs w:val="18"/>
                <w:lang w:eastAsia="en-GB"/>
              </w:rPr>
              <w:br/>
              <w:t>Biopsy +/- serology, n = 7</w:t>
            </w:r>
          </w:p>
        </w:tc>
      </w:tr>
      <w:tr w:rsidR="0069305A" w:rsidRPr="00734942" w14:paraId="5A4EE29F" w14:textId="77777777" w:rsidTr="00F86021">
        <w:trPr>
          <w:trHeight w:val="146"/>
        </w:trPr>
        <w:tc>
          <w:tcPr>
            <w:tcW w:w="471" w:type="pct"/>
            <w:tcBorders>
              <w:top w:val="nil"/>
              <w:left w:val="nil"/>
              <w:bottom w:val="single" w:sz="8" w:space="0" w:color="333333"/>
              <w:right w:val="nil"/>
            </w:tcBorders>
            <w:shd w:val="clear" w:color="000000" w:fill="FFFFFF"/>
            <w:vAlign w:val="center"/>
            <w:hideMark/>
          </w:tcPr>
          <w:p w14:paraId="6813EB7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Fracture</w:t>
            </w:r>
          </w:p>
        </w:tc>
        <w:tc>
          <w:tcPr>
            <w:tcW w:w="774" w:type="pct"/>
            <w:tcBorders>
              <w:top w:val="nil"/>
              <w:left w:val="nil"/>
              <w:bottom w:val="single" w:sz="8" w:space="0" w:color="333333"/>
              <w:right w:val="nil"/>
            </w:tcBorders>
            <w:shd w:val="clear" w:color="000000" w:fill="FFFFFF"/>
            <w:vAlign w:val="center"/>
            <w:hideMark/>
          </w:tcPr>
          <w:p w14:paraId="5F3D1F7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Vertebra fracture, wrist fracture, fractures (unspecified)</w:t>
            </w:r>
          </w:p>
        </w:tc>
        <w:tc>
          <w:tcPr>
            <w:tcW w:w="278" w:type="pct"/>
            <w:tcBorders>
              <w:top w:val="nil"/>
              <w:left w:val="nil"/>
              <w:bottom w:val="single" w:sz="8" w:space="0" w:color="333333"/>
              <w:right w:val="nil"/>
            </w:tcBorders>
            <w:shd w:val="clear" w:color="000000" w:fill="FFFFFF"/>
            <w:vAlign w:val="center"/>
            <w:hideMark/>
          </w:tcPr>
          <w:p w14:paraId="46EC7C3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8</w:t>
            </w:r>
          </w:p>
        </w:tc>
        <w:tc>
          <w:tcPr>
            <w:tcW w:w="301" w:type="pct"/>
            <w:tcBorders>
              <w:top w:val="nil"/>
              <w:left w:val="nil"/>
              <w:bottom w:val="single" w:sz="8" w:space="0" w:color="333333"/>
              <w:right w:val="nil"/>
            </w:tcBorders>
            <w:shd w:val="clear" w:color="000000" w:fill="FFFFFF"/>
            <w:vAlign w:val="center"/>
            <w:hideMark/>
          </w:tcPr>
          <w:p w14:paraId="7965D9A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24741</w:t>
            </w:r>
          </w:p>
        </w:tc>
        <w:tc>
          <w:tcPr>
            <w:tcW w:w="308" w:type="pct"/>
            <w:tcBorders>
              <w:top w:val="nil"/>
              <w:left w:val="nil"/>
              <w:bottom w:val="single" w:sz="8" w:space="0" w:color="333333"/>
              <w:right w:val="nil"/>
            </w:tcBorders>
            <w:shd w:val="clear" w:color="000000" w:fill="FFFFFF"/>
            <w:vAlign w:val="center"/>
          </w:tcPr>
          <w:p w14:paraId="535B40F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549</w:t>
            </w:r>
          </w:p>
        </w:tc>
        <w:tc>
          <w:tcPr>
            <w:tcW w:w="457" w:type="pct"/>
            <w:tcBorders>
              <w:top w:val="nil"/>
              <w:left w:val="nil"/>
              <w:bottom w:val="single" w:sz="8" w:space="0" w:color="333333"/>
              <w:right w:val="nil"/>
            </w:tcBorders>
            <w:shd w:val="clear" w:color="000000" w:fill="FFFFFF"/>
            <w:vAlign w:val="center"/>
            <w:hideMark/>
          </w:tcPr>
          <w:p w14:paraId="6ED936FF"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8</w:t>
            </w:r>
          </w:p>
        </w:tc>
        <w:tc>
          <w:tcPr>
            <w:tcW w:w="964" w:type="pct"/>
            <w:tcBorders>
              <w:top w:val="nil"/>
              <w:left w:val="nil"/>
              <w:bottom w:val="single" w:sz="8" w:space="0" w:color="333333"/>
              <w:right w:val="nil"/>
            </w:tcBorders>
            <w:shd w:val="clear" w:color="000000" w:fill="FFFFFF"/>
            <w:vAlign w:val="center"/>
            <w:hideMark/>
          </w:tcPr>
          <w:p w14:paraId="1E1FD5F7"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3</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4</w:t>
            </w:r>
          </w:p>
        </w:tc>
        <w:tc>
          <w:tcPr>
            <w:tcW w:w="704" w:type="pct"/>
            <w:tcBorders>
              <w:top w:val="nil"/>
              <w:left w:val="nil"/>
              <w:bottom w:val="single" w:sz="8" w:space="0" w:color="333333"/>
              <w:right w:val="nil"/>
            </w:tcBorders>
            <w:shd w:val="clear" w:color="000000" w:fill="FFFFFF"/>
            <w:vAlign w:val="center"/>
            <w:hideMark/>
          </w:tcPr>
          <w:p w14:paraId="46602BF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3</w:t>
            </w:r>
            <w:r w:rsidRPr="00734942">
              <w:rPr>
                <w:rFonts w:ascii="Calibri" w:eastAsia="Times New Roman" w:hAnsi="Calibri" w:cs="Calibri"/>
                <w:color w:val="111111"/>
                <w:sz w:val="18"/>
                <w:szCs w:val="18"/>
                <w:lang w:eastAsia="en-GB"/>
              </w:rPr>
              <w:br/>
              <w:t>Population sample without diagnostic indicator, n = 5</w:t>
            </w:r>
          </w:p>
        </w:tc>
        <w:tc>
          <w:tcPr>
            <w:tcW w:w="742" w:type="pct"/>
            <w:tcBorders>
              <w:top w:val="nil"/>
              <w:left w:val="nil"/>
              <w:bottom w:val="single" w:sz="8" w:space="0" w:color="333333"/>
              <w:right w:val="nil"/>
            </w:tcBorders>
            <w:shd w:val="clear" w:color="000000" w:fill="FFFFFF"/>
            <w:vAlign w:val="center"/>
            <w:hideMark/>
          </w:tcPr>
          <w:p w14:paraId="728458C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7</w:t>
            </w:r>
            <w:r w:rsidRPr="00734942">
              <w:rPr>
                <w:rFonts w:ascii="Calibri" w:eastAsia="Times New Roman" w:hAnsi="Calibri" w:cs="Calibri"/>
                <w:color w:val="111111"/>
                <w:sz w:val="18"/>
                <w:szCs w:val="18"/>
                <w:lang w:eastAsia="en-GB"/>
              </w:rPr>
              <w:br/>
              <w:t>Biopsy +/- serology, n = 1</w:t>
            </w:r>
          </w:p>
        </w:tc>
      </w:tr>
      <w:tr w:rsidR="0069305A" w:rsidRPr="00734942" w14:paraId="2B771EAE"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1F58D23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Inflammatory bowel disease</w:t>
            </w:r>
          </w:p>
        </w:tc>
        <w:tc>
          <w:tcPr>
            <w:tcW w:w="774" w:type="pct"/>
            <w:tcBorders>
              <w:top w:val="nil"/>
              <w:left w:val="nil"/>
              <w:bottom w:val="single" w:sz="8" w:space="0" w:color="333333"/>
              <w:right w:val="nil"/>
            </w:tcBorders>
            <w:shd w:val="clear" w:color="000000" w:fill="FFFFFF"/>
            <w:vAlign w:val="center"/>
            <w:hideMark/>
          </w:tcPr>
          <w:p w14:paraId="2D865E4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Ulcerative colitis, Crohn's disease</w:t>
            </w:r>
          </w:p>
        </w:tc>
        <w:tc>
          <w:tcPr>
            <w:tcW w:w="278" w:type="pct"/>
            <w:tcBorders>
              <w:top w:val="nil"/>
              <w:left w:val="nil"/>
              <w:bottom w:val="single" w:sz="8" w:space="0" w:color="333333"/>
              <w:right w:val="nil"/>
            </w:tcBorders>
            <w:shd w:val="clear" w:color="000000" w:fill="FFFFFF"/>
            <w:vAlign w:val="center"/>
            <w:hideMark/>
          </w:tcPr>
          <w:p w14:paraId="16DAB34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w:t>
            </w:r>
          </w:p>
        </w:tc>
        <w:tc>
          <w:tcPr>
            <w:tcW w:w="301" w:type="pct"/>
            <w:tcBorders>
              <w:top w:val="nil"/>
              <w:left w:val="nil"/>
              <w:bottom w:val="single" w:sz="8" w:space="0" w:color="333333"/>
              <w:right w:val="nil"/>
            </w:tcBorders>
            <w:shd w:val="clear" w:color="000000" w:fill="FFFFFF"/>
            <w:vAlign w:val="center"/>
            <w:hideMark/>
          </w:tcPr>
          <w:p w14:paraId="5F1BEE6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2,886</w:t>
            </w:r>
          </w:p>
        </w:tc>
        <w:tc>
          <w:tcPr>
            <w:tcW w:w="308" w:type="pct"/>
            <w:tcBorders>
              <w:top w:val="nil"/>
              <w:left w:val="nil"/>
              <w:bottom w:val="single" w:sz="8" w:space="0" w:color="333333"/>
              <w:right w:val="nil"/>
            </w:tcBorders>
            <w:shd w:val="clear" w:color="000000" w:fill="FFFFFF"/>
            <w:vAlign w:val="center"/>
          </w:tcPr>
          <w:p w14:paraId="4D95AFD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32</w:t>
            </w:r>
          </w:p>
        </w:tc>
        <w:tc>
          <w:tcPr>
            <w:tcW w:w="457" w:type="pct"/>
            <w:tcBorders>
              <w:top w:val="nil"/>
              <w:left w:val="nil"/>
              <w:bottom w:val="single" w:sz="8" w:space="0" w:color="333333"/>
              <w:right w:val="nil"/>
            </w:tcBorders>
            <w:shd w:val="clear" w:color="000000" w:fill="FFFFFF"/>
            <w:vAlign w:val="center"/>
            <w:hideMark/>
          </w:tcPr>
          <w:p w14:paraId="0286F34B"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4</w:t>
            </w:r>
            <w:r w:rsidRPr="00734942">
              <w:rPr>
                <w:rFonts w:ascii="Calibri" w:eastAsia="Times New Roman" w:hAnsi="Calibri" w:cs="Calibri"/>
                <w:color w:val="111111"/>
                <w:sz w:val="18"/>
                <w:szCs w:val="18"/>
                <w:lang w:eastAsia="en-GB"/>
              </w:rPr>
              <w:br/>
              <w:t>Children, n = 1</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0E303C39" w14:textId="77777777" w:rsidR="0069305A" w:rsidRPr="005F5E0D" w:rsidRDefault="0069305A" w:rsidP="00F86021">
            <w:pPr>
              <w:spacing w:after="0" w:line="240" w:lineRule="auto"/>
              <w:rPr>
                <w:rFonts w:ascii="Calibri" w:eastAsia="Times New Roman" w:hAnsi="Calibri" w:cs="Calibri"/>
                <w:color w:val="111111"/>
                <w:sz w:val="18"/>
                <w:szCs w:val="18"/>
                <w:highlight w:val="yellow"/>
                <w:lang w:val="it-IT" w:eastAsia="en-GB"/>
              </w:rPr>
            </w:pPr>
            <w:r w:rsidRPr="005F5E0D">
              <w:rPr>
                <w:rFonts w:ascii="Calibri" w:eastAsia="Times New Roman" w:hAnsi="Calibri" w:cs="Calibri"/>
                <w:color w:val="111111"/>
                <w:sz w:val="18"/>
                <w:szCs w:val="18"/>
                <w:lang w:val="it-IT" w:eastAsia="en-GB"/>
              </w:rPr>
              <w:t>Case-control (DI)</w:t>
            </w:r>
            <w:r w:rsidRPr="005F5E0D">
              <w:rPr>
                <w:rFonts w:ascii="Calibri" w:eastAsia="Times New Roman" w:hAnsi="Calibri" w:cs="Calibri"/>
                <w:color w:val="111111"/>
                <w:sz w:val="18"/>
                <w:szCs w:val="18"/>
                <w:vertAlign w:val="superscript"/>
                <w:lang w:val="it-IT" w:eastAsia="en-GB"/>
              </w:rPr>
              <w:t>a</w:t>
            </w:r>
            <w:r w:rsidRPr="005F5E0D">
              <w:rPr>
                <w:rFonts w:ascii="Calibri" w:eastAsia="Times New Roman" w:hAnsi="Calibri" w:cs="Calibri"/>
                <w:color w:val="111111"/>
                <w:sz w:val="18"/>
                <w:szCs w:val="18"/>
                <w:lang w:val="it-IT" w:eastAsia="en-GB"/>
              </w:rPr>
              <w:t>, n = 6</w:t>
            </w:r>
          </w:p>
        </w:tc>
        <w:tc>
          <w:tcPr>
            <w:tcW w:w="704" w:type="pct"/>
            <w:tcBorders>
              <w:top w:val="nil"/>
              <w:left w:val="nil"/>
              <w:bottom w:val="single" w:sz="8" w:space="0" w:color="333333"/>
              <w:right w:val="nil"/>
            </w:tcBorders>
            <w:shd w:val="clear" w:color="000000" w:fill="FFFFFF"/>
            <w:vAlign w:val="center"/>
            <w:hideMark/>
          </w:tcPr>
          <w:p w14:paraId="6B82FE1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6</w:t>
            </w:r>
          </w:p>
        </w:tc>
        <w:tc>
          <w:tcPr>
            <w:tcW w:w="742" w:type="pct"/>
            <w:tcBorders>
              <w:top w:val="nil"/>
              <w:left w:val="nil"/>
              <w:bottom w:val="single" w:sz="8" w:space="0" w:color="333333"/>
              <w:right w:val="nil"/>
            </w:tcBorders>
            <w:shd w:val="clear" w:color="000000" w:fill="FFFFFF"/>
            <w:vAlign w:val="center"/>
            <w:hideMark/>
          </w:tcPr>
          <w:p w14:paraId="1B5BCA9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3</w:t>
            </w:r>
            <w:r w:rsidRPr="00734942">
              <w:rPr>
                <w:rFonts w:ascii="Calibri" w:eastAsia="Times New Roman" w:hAnsi="Calibri" w:cs="Calibri"/>
                <w:color w:val="111111"/>
                <w:sz w:val="18"/>
                <w:szCs w:val="18"/>
                <w:lang w:eastAsia="en-GB"/>
              </w:rPr>
              <w:br/>
              <w:t>Biopsy +/- serology, n = 3</w:t>
            </w:r>
          </w:p>
        </w:tc>
      </w:tr>
      <w:tr w:rsidR="0069305A" w:rsidRPr="00734942" w14:paraId="6A500E44" w14:textId="77777777" w:rsidTr="00F86021">
        <w:trPr>
          <w:trHeight w:val="193"/>
        </w:trPr>
        <w:tc>
          <w:tcPr>
            <w:tcW w:w="471" w:type="pct"/>
            <w:tcBorders>
              <w:top w:val="nil"/>
              <w:left w:val="nil"/>
              <w:bottom w:val="single" w:sz="8" w:space="0" w:color="333333"/>
              <w:right w:val="nil"/>
            </w:tcBorders>
            <w:shd w:val="clear" w:color="000000" w:fill="FFFFFF"/>
            <w:vAlign w:val="center"/>
            <w:hideMark/>
          </w:tcPr>
          <w:p w14:paraId="13E0B24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Irritable bowel syndrome</w:t>
            </w:r>
          </w:p>
        </w:tc>
        <w:tc>
          <w:tcPr>
            <w:tcW w:w="774" w:type="pct"/>
            <w:tcBorders>
              <w:top w:val="nil"/>
              <w:left w:val="nil"/>
              <w:bottom w:val="single" w:sz="8" w:space="0" w:color="333333"/>
              <w:right w:val="nil"/>
            </w:tcBorders>
            <w:shd w:val="clear" w:color="000000" w:fill="FFFFFF"/>
            <w:vAlign w:val="center"/>
            <w:hideMark/>
          </w:tcPr>
          <w:p w14:paraId="2E2543E9"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Irritable bowel syndrome, functional gastrointestinal disorder</w:t>
            </w:r>
          </w:p>
        </w:tc>
        <w:tc>
          <w:tcPr>
            <w:tcW w:w="278" w:type="pct"/>
            <w:tcBorders>
              <w:top w:val="nil"/>
              <w:left w:val="nil"/>
              <w:bottom w:val="single" w:sz="8" w:space="0" w:color="333333"/>
              <w:right w:val="nil"/>
            </w:tcBorders>
            <w:shd w:val="clear" w:color="000000" w:fill="FFFFFF"/>
            <w:vAlign w:val="center"/>
            <w:hideMark/>
          </w:tcPr>
          <w:p w14:paraId="66AB18D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18</w:t>
            </w:r>
          </w:p>
        </w:tc>
        <w:tc>
          <w:tcPr>
            <w:tcW w:w="301" w:type="pct"/>
            <w:tcBorders>
              <w:top w:val="nil"/>
              <w:left w:val="nil"/>
              <w:bottom w:val="single" w:sz="8" w:space="0" w:color="333333"/>
              <w:right w:val="nil"/>
            </w:tcBorders>
            <w:shd w:val="clear" w:color="000000" w:fill="FFFFFF"/>
            <w:vAlign w:val="center"/>
            <w:hideMark/>
          </w:tcPr>
          <w:p w14:paraId="4CE59A3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18,446</w:t>
            </w:r>
          </w:p>
        </w:tc>
        <w:tc>
          <w:tcPr>
            <w:tcW w:w="308" w:type="pct"/>
            <w:tcBorders>
              <w:top w:val="nil"/>
              <w:left w:val="nil"/>
              <w:bottom w:val="single" w:sz="8" w:space="0" w:color="333333"/>
              <w:right w:val="nil"/>
            </w:tcBorders>
            <w:shd w:val="clear" w:color="000000" w:fill="FFFFFF"/>
            <w:vAlign w:val="center"/>
          </w:tcPr>
          <w:p w14:paraId="1F5B331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842</w:t>
            </w:r>
          </w:p>
        </w:tc>
        <w:tc>
          <w:tcPr>
            <w:tcW w:w="457" w:type="pct"/>
            <w:tcBorders>
              <w:top w:val="nil"/>
              <w:left w:val="nil"/>
              <w:bottom w:val="single" w:sz="8" w:space="0" w:color="333333"/>
              <w:right w:val="nil"/>
            </w:tcBorders>
            <w:shd w:val="clear" w:color="000000" w:fill="FFFFFF"/>
            <w:vAlign w:val="center"/>
            <w:hideMark/>
          </w:tcPr>
          <w:p w14:paraId="08C2ADEE"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17</w:t>
            </w:r>
            <w:r w:rsidRPr="00734942">
              <w:rPr>
                <w:rFonts w:ascii="Calibri" w:eastAsia="Times New Roman" w:hAnsi="Calibri" w:cs="Calibri"/>
                <w:color w:val="111111"/>
                <w:sz w:val="18"/>
                <w:szCs w:val="18"/>
                <w:lang w:eastAsia="en-GB"/>
              </w:rPr>
              <w:br/>
              <w:t>Children, n = 1</w:t>
            </w:r>
          </w:p>
        </w:tc>
        <w:tc>
          <w:tcPr>
            <w:tcW w:w="964" w:type="pct"/>
            <w:tcBorders>
              <w:top w:val="nil"/>
              <w:left w:val="nil"/>
              <w:bottom w:val="single" w:sz="8" w:space="0" w:color="333333"/>
              <w:right w:val="nil"/>
            </w:tcBorders>
            <w:shd w:val="clear" w:color="000000" w:fill="FFFFFF"/>
            <w:vAlign w:val="center"/>
            <w:hideMark/>
          </w:tcPr>
          <w:p w14:paraId="2F973105"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12</w:t>
            </w:r>
            <w:r w:rsidRPr="00734942">
              <w:rPr>
                <w:rFonts w:ascii="Calibri" w:eastAsia="Times New Roman" w:hAnsi="Calibri" w:cs="Calibri"/>
                <w:color w:val="111111"/>
                <w:sz w:val="18"/>
                <w:szCs w:val="18"/>
                <w:lang w:eastAsia="en-GB"/>
              </w:rPr>
              <w:br/>
              <w:t>Nested 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Nested case-control (CD)</w:t>
            </w:r>
            <w:r w:rsidRPr="00734942">
              <w:rPr>
                <w:rFonts w:ascii="Calibri" w:eastAsia="Times New Roman" w:hAnsi="Calibri" w:cs="Calibri"/>
                <w:color w:val="111111"/>
                <w:sz w:val="18"/>
                <w:szCs w:val="18"/>
                <w:vertAlign w:val="superscript"/>
                <w:lang w:eastAsia="en-GB"/>
              </w:rPr>
              <w:t>2</w:t>
            </w:r>
            <w:r w:rsidRPr="00734942">
              <w:rPr>
                <w:rFonts w:ascii="Calibri" w:eastAsia="Times New Roman" w:hAnsi="Calibri" w:cs="Calibri"/>
                <w:color w:val="111111"/>
                <w:sz w:val="18"/>
                <w:szCs w:val="18"/>
                <w:lang w:eastAsia="en-GB"/>
              </w:rPr>
              <w:t>, n = 2</w:t>
            </w:r>
            <w:r w:rsidRPr="00734942">
              <w:rPr>
                <w:rFonts w:ascii="Calibri" w:eastAsia="Times New Roman" w:hAnsi="Calibri" w:cs="Calibri"/>
                <w:color w:val="111111"/>
                <w:sz w:val="18"/>
                <w:szCs w:val="18"/>
                <w:lang w:eastAsia="en-GB"/>
              </w:rPr>
              <w:br/>
              <w:t>Cohort/cross-sectional, n = 3</w:t>
            </w:r>
          </w:p>
        </w:tc>
        <w:tc>
          <w:tcPr>
            <w:tcW w:w="704" w:type="pct"/>
            <w:tcBorders>
              <w:top w:val="nil"/>
              <w:left w:val="nil"/>
              <w:bottom w:val="single" w:sz="8" w:space="0" w:color="333333"/>
              <w:right w:val="nil"/>
            </w:tcBorders>
            <w:shd w:val="clear" w:color="000000" w:fill="FFFFFF"/>
            <w:vAlign w:val="center"/>
            <w:hideMark/>
          </w:tcPr>
          <w:p w14:paraId="56405113"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Healthy controls, n = 12</w:t>
            </w:r>
            <w:r w:rsidRPr="00734942">
              <w:rPr>
                <w:rFonts w:ascii="Calibri" w:eastAsia="Times New Roman" w:hAnsi="Calibri" w:cs="Calibri"/>
                <w:color w:val="111111"/>
                <w:sz w:val="18"/>
                <w:szCs w:val="18"/>
                <w:lang w:eastAsia="en-GB"/>
              </w:rPr>
              <w:br/>
              <w:t>Population sample without diagnostic indicator, n = 6</w:t>
            </w:r>
          </w:p>
        </w:tc>
        <w:tc>
          <w:tcPr>
            <w:tcW w:w="742" w:type="pct"/>
            <w:tcBorders>
              <w:top w:val="nil"/>
              <w:left w:val="nil"/>
              <w:bottom w:val="single" w:sz="8" w:space="0" w:color="333333"/>
              <w:right w:val="nil"/>
            </w:tcBorders>
            <w:shd w:val="clear" w:color="000000" w:fill="FFFFFF"/>
            <w:vAlign w:val="center"/>
            <w:hideMark/>
          </w:tcPr>
          <w:p w14:paraId="7C7331F2"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Serology only, n = 11</w:t>
            </w:r>
            <w:r w:rsidRPr="00734942">
              <w:rPr>
                <w:rFonts w:ascii="Calibri" w:eastAsia="Times New Roman" w:hAnsi="Calibri" w:cs="Calibri"/>
                <w:color w:val="111111"/>
                <w:sz w:val="18"/>
                <w:szCs w:val="18"/>
                <w:lang w:eastAsia="en-GB"/>
              </w:rPr>
              <w:br/>
              <w:t>Biopsy +/- serology, n = 7</w:t>
            </w:r>
          </w:p>
        </w:tc>
      </w:tr>
      <w:tr w:rsidR="0069305A" w:rsidRPr="00734942" w14:paraId="64D95016"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1C40429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Migraine</w:t>
            </w:r>
          </w:p>
        </w:tc>
        <w:tc>
          <w:tcPr>
            <w:tcW w:w="774" w:type="pct"/>
            <w:tcBorders>
              <w:top w:val="nil"/>
              <w:left w:val="nil"/>
              <w:bottom w:val="single" w:sz="8" w:space="0" w:color="333333"/>
              <w:right w:val="nil"/>
            </w:tcBorders>
            <w:shd w:val="clear" w:color="000000" w:fill="FFFFFF"/>
            <w:vAlign w:val="center"/>
            <w:hideMark/>
          </w:tcPr>
          <w:p w14:paraId="68464B7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Migraine</w:t>
            </w:r>
          </w:p>
        </w:tc>
        <w:tc>
          <w:tcPr>
            <w:tcW w:w="278" w:type="pct"/>
            <w:tcBorders>
              <w:top w:val="nil"/>
              <w:left w:val="nil"/>
              <w:bottom w:val="single" w:sz="8" w:space="0" w:color="333333"/>
              <w:right w:val="nil"/>
            </w:tcBorders>
            <w:shd w:val="clear" w:color="000000" w:fill="FFFFFF"/>
            <w:vAlign w:val="center"/>
            <w:hideMark/>
          </w:tcPr>
          <w:p w14:paraId="6BC9835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w:t>
            </w:r>
          </w:p>
        </w:tc>
        <w:tc>
          <w:tcPr>
            <w:tcW w:w="301" w:type="pct"/>
            <w:tcBorders>
              <w:top w:val="nil"/>
              <w:left w:val="nil"/>
              <w:bottom w:val="single" w:sz="8" w:space="0" w:color="333333"/>
              <w:right w:val="nil"/>
            </w:tcBorders>
            <w:shd w:val="clear" w:color="000000" w:fill="FFFFFF"/>
            <w:vAlign w:val="center"/>
            <w:hideMark/>
          </w:tcPr>
          <w:p w14:paraId="2CC1B25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2,478</w:t>
            </w:r>
          </w:p>
        </w:tc>
        <w:tc>
          <w:tcPr>
            <w:tcW w:w="308" w:type="pct"/>
            <w:tcBorders>
              <w:top w:val="nil"/>
              <w:left w:val="nil"/>
              <w:bottom w:val="single" w:sz="8" w:space="0" w:color="333333"/>
              <w:right w:val="nil"/>
            </w:tcBorders>
            <w:shd w:val="clear" w:color="000000" w:fill="FFFFFF"/>
            <w:vAlign w:val="center"/>
          </w:tcPr>
          <w:p w14:paraId="1DE4BED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42</w:t>
            </w:r>
          </w:p>
        </w:tc>
        <w:tc>
          <w:tcPr>
            <w:tcW w:w="457" w:type="pct"/>
            <w:tcBorders>
              <w:top w:val="nil"/>
              <w:left w:val="nil"/>
              <w:bottom w:val="single" w:sz="8" w:space="0" w:color="333333"/>
              <w:right w:val="nil"/>
            </w:tcBorders>
            <w:shd w:val="clear" w:color="000000" w:fill="FFFFFF"/>
            <w:vAlign w:val="center"/>
            <w:hideMark/>
          </w:tcPr>
          <w:p w14:paraId="6B7A90F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Adults, n = 1</w:t>
            </w:r>
            <w:r w:rsidRPr="00734942">
              <w:rPr>
                <w:rFonts w:ascii="Calibri" w:eastAsia="Times New Roman" w:hAnsi="Calibri" w:cs="Calibri"/>
                <w:color w:val="111111"/>
                <w:sz w:val="18"/>
                <w:szCs w:val="18"/>
                <w:lang w:eastAsia="en-GB"/>
              </w:rPr>
              <w:br/>
              <w:t>Children, n = 4</w:t>
            </w:r>
          </w:p>
        </w:tc>
        <w:tc>
          <w:tcPr>
            <w:tcW w:w="964" w:type="pct"/>
            <w:tcBorders>
              <w:top w:val="nil"/>
              <w:left w:val="nil"/>
              <w:bottom w:val="single" w:sz="8" w:space="0" w:color="333333"/>
              <w:right w:val="nil"/>
            </w:tcBorders>
            <w:shd w:val="clear" w:color="000000" w:fill="FFFFFF"/>
            <w:vAlign w:val="center"/>
            <w:hideMark/>
          </w:tcPr>
          <w:p w14:paraId="5817BFB9" w14:textId="77777777" w:rsidR="0069305A" w:rsidRPr="005F5E0D" w:rsidRDefault="0069305A" w:rsidP="00F86021">
            <w:pPr>
              <w:spacing w:after="0" w:line="240" w:lineRule="auto"/>
              <w:rPr>
                <w:rFonts w:ascii="Calibri" w:eastAsia="Times New Roman" w:hAnsi="Calibri" w:cs="Calibri"/>
                <w:color w:val="111111"/>
                <w:sz w:val="18"/>
                <w:szCs w:val="18"/>
                <w:lang w:val="it-IT" w:eastAsia="en-GB"/>
              </w:rPr>
            </w:pPr>
            <w:r w:rsidRPr="005F5E0D">
              <w:rPr>
                <w:rFonts w:ascii="Calibri" w:eastAsia="Times New Roman" w:hAnsi="Calibri" w:cs="Calibri"/>
                <w:color w:val="111111"/>
                <w:sz w:val="18"/>
                <w:szCs w:val="18"/>
                <w:lang w:val="it-IT" w:eastAsia="en-GB"/>
              </w:rPr>
              <w:t>Case-control (DI)</w:t>
            </w:r>
            <w:r w:rsidRPr="005F5E0D">
              <w:rPr>
                <w:rFonts w:ascii="Calibri" w:eastAsia="Times New Roman" w:hAnsi="Calibri" w:cs="Calibri"/>
                <w:color w:val="111111"/>
                <w:sz w:val="18"/>
                <w:szCs w:val="18"/>
                <w:vertAlign w:val="superscript"/>
                <w:lang w:val="it-IT" w:eastAsia="en-GB"/>
              </w:rPr>
              <w:t>a</w:t>
            </w:r>
            <w:r w:rsidRPr="005F5E0D">
              <w:rPr>
                <w:rFonts w:ascii="Calibri" w:eastAsia="Times New Roman" w:hAnsi="Calibri" w:cs="Calibri"/>
                <w:color w:val="111111"/>
                <w:sz w:val="18"/>
                <w:szCs w:val="18"/>
                <w:lang w:val="it-IT" w:eastAsia="en-GB"/>
              </w:rPr>
              <w:t>, n = 5</w:t>
            </w:r>
          </w:p>
        </w:tc>
        <w:tc>
          <w:tcPr>
            <w:tcW w:w="704" w:type="pct"/>
            <w:tcBorders>
              <w:top w:val="nil"/>
              <w:left w:val="nil"/>
              <w:bottom w:val="single" w:sz="8" w:space="0" w:color="333333"/>
              <w:right w:val="nil"/>
            </w:tcBorders>
            <w:shd w:val="clear" w:color="000000" w:fill="FFFFFF"/>
            <w:vAlign w:val="center"/>
            <w:hideMark/>
          </w:tcPr>
          <w:p w14:paraId="2223096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5</w:t>
            </w:r>
          </w:p>
        </w:tc>
        <w:tc>
          <w:tcPr>
            <w:tcW w:w="742" w:type="pct"/>
            <w:tcBorders>
              <w:top w:val="nil"/>
              <w:left w:val="nil"/>
              <w:bottom w:val="single" w:sz="8" w:space="0" w:color="333333"/>
              <w:right w:val="nil"/>
            </w:tcBorders>
            <w:shd w:val="clear" w:color="000000" w:fill="FFFFFF"/>
            <w:vAlign w:val="center"/>
            <w:hideMark/>
          </w:tcPr>
          <w:p w14:paraId="352B9AA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2</w:t>
            </w:r>
            <w:r w:rsidRPr="00734942">
              <w:rPr>
                <w:rFonts w:ascii="Calibri" w:eastAsia="Times New Roman" w:hAnsi="Calibri" w:cs="Calibri"/>
                <w:color w:val="111111"/>
                <w:sz w:val="18"/>
                <w:szCs w:val="18"/>
                <w:lang w:eastAsia="en-GB"/>
              </w:rPr>
              <w:br/>
              <w:t>Biopsy +/- serology, n = 3</w:t>
            </w:r>
          </w:p>
        </w:tc>
      </w:tr>
      <w:tr w:rsidR="0069305A" w:rsidRPr="00734942" w14:paraId="58AC75AC"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7FE23E2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Multiple sclerosis</w:t>
            </w:r>
          </w:p>
        </w:tc>
        <w:tc>
          <w:tcPr>
            <w:tcW w:w="774" w:type="pct"/>
            <w:tcBorders>
              <w:top w:val="nil"/>
              <w:left w:val="nil"/>
              <w:bottom w:val="single" w:sz="8" w:space="0" w:color="333333"/>
              <w:right w:val="nil"/>
            </w:tcBorders>
            <w:shd w:val="clear" w:color="000000" w:fill="FFFFFF"/>
            <w:vAlign w:val="center"/>
            <w:hideMark/>
          </w:tcPr>
          <w:p w14:paraId="25770FB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Multiple sclerosis</w:t>
            </w:r>
          </w:p>
        </w:tc>
        <w:tc>
          <w:tcPr>
            <w:tcW w:w="278" w:type="pct"/>
            <w:tcBorders>
              <w:top w:val="nil"/>
              <w:left w:val="nil"/>
              <w:bottom w:val="single" w:sz="8" w:space="0" w:color="333333"/>
              <w:right w:val="nil"/>
            </w:tcBorders>
            <w:shd w:val="clear" w:color="000000" w:fill="FFFFFF"/>
            <w:vAlign w:val="center"/>
            <w:hideMark/>
          </w:tcPr>
          <w:p w14:paraId="63A1FC0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5</w:t>
            </w:r>
          </w:p>
        </w:tc>
        <w:tc>
          <w:tcPr>
            <w:tcW w:w="301" w:type="pct"/>
            <w:tcBorders>
              <w:top w:val="nil"/>
              <w:left w:val="nil"/>
              <w:bottom w:val="single" w:sz="8" w:space="0" w:color="333333"/>
              <w:right w:val="nil"/>
            </w:tcBorders>
            <w:shd w:val="clear" w:color="000000" w:fill="FFFFFF"/>
            <w:vAlign w:val="center"/>
            <w:hideMark/>
          </w:tcPr>
          <w:p w14:paraId="584F572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1,086</w:t>
            </w:r>
          </w:p>
        </w:tc>
        <w:tc>
          <w:tcPr>
            <w:tcW w:w="308" w:type="pct"/>
            <w:tcBorders>
              <w:top w:val="nil"/>
              <w:left w:val="nil"/>
              <w:bottom w:val="single" w:sz="8" w:space="0" w:color="333333"/>
              <w:right w:val="nil"/>
            </w:tcBorders>
            <w:shd w:val="clear" w:color="000000" w:fill="FFFFFF"/>
            <w:vAlign w:val="center"/>
          </w:tcPr>
          <w:p w14:paraId="76CEC07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w:t>
            </w:r>
          </w:p>
        </w:tc>
        <w:tc>
          <w:tcPr>
            <w:tcW w:w="457" w:type="pct"/>
            <w:tcBorders>
              <w:top w:val="nil"/>
              <w:left w:val="nil"/>
              <w:bottom w:val="single" w:sz="8" w:space="0" w:color="333333"/>
              <w:right w:val="nil"/>
            </w:tcBorders>
            <w:shd w:val="clear" w:color="000000" w:fill="FFFFFF"/>
            <w:vAlign w:val="center"/>
            <w:hideMark/>
          </w:tcPr>
          <w:p w14:paraId="74B98A03"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4</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0CF082B7" w14:textId="77777777" w:rsidR="0069305A" w:rsidRPr="005F5E0D" w:rsidRDefault="0069305A" w:rsidP="00F86021">
            <w:pPr>
              <w:spacing w:after="0" w:line="240" w:lineRule="auto"/>
              <w:rPr>
                <w:rFonts w:ascii="Calibri" w:eastAsia="Times New Roman" w:hAnsi="Calibri" w:cs="Calibri"/>
                <w:color w:val="111111"/>
                <w:sz w:val="18"/>
                <w:szCs w:val="18"/>
                <w:highlight w:val="yellow"/>
                <w:lang w:val="it-IT" w:eastAsia="en-GB"/>
              </w:rPr>
            </w:pPr>
            <w:r w:rsidRPr="005F5E0D">
              <w:rPr>
                <w:rFonts w:ascii="Calibri" w:eastAsia="Times New Roman" w:hAnsi="Calibri" w:cs="Calibri"/>
                <w:color w:val="111111"/>
                <w:sz w:val="18"/>
                <w:szCs w:val="18"/>
                <w:lang w:val="it-IT" w:eastAsia="en-GB"/>
              </w:rPr>
              <w:t>Case-control (DI)</w:t>
            </w:r>
            <w:r w:rsidRPr="005F5E0D">
              <w:rPr>
                <w:rFonts w:ascii="Calibri" w:eastAsia="Times New Roman" w:hAnsi="Calibri" w:cs="Calibri"/>
                <w:color w:val="111111"/>
                <w:sz w:val="18"/>
                <w:szCs w:val="18"/>
                <w:vertAlign w:val="superscript"/>
                <w:lang w:val="it-IT" w:eastAsia="en-GB"/>
              </w:rPr>
              <w:t>a</w:t>
            </w:r>
            <w:r w:rsidRPr="005F5E0D">
              <w:rPr>
                <w:rFonts w:ascii="Calibri" w:eastAsia="Times New Roman" w:hAnsi="Calibri" w:cs="Calibri"/>
                <w:color w:val="111111"/>
                <w:sz w:val="18"/>
                <w:szCs w:val="18"/>
                <w:lang w:val="it-IT" w:eastAsia="en-GB"/>
              </w:rPr>
              <w:t>, n = 5</w:t>
            </w:r>
          </w:p>
        </w:tc>
        <w:tc>
          <w:tcPr>
            <w:tcW w:w="704" w:type="pct"/>
            <w:tcBorders>
              <w:top w:val="nil"/>
              <w:left w:val="nil"/>
              <w:bottom w:val="single" w:sz="8" w:space="0" w:color="333333"/>
              <w:right w:val="nil"/>
            </w:tcBorders>
            <w:shd w:val="clear" w:color="000000" w:fill="FFFFFF"/>
            <w:vAlign w:val="center"/>
            <w:hideMark/>
          </w:tcPr>
          <w:p w14:paraId="01D3501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5</w:t>
            </w:r>
          </w:p>
        </w:tc>
        <w:tc>
          <w:tcPr>
            <w:tcW w:w="742" w:type="pct"/>
            <w:tcBorders>
              <w:top w:val="nil"/>
              <w:left w:val="nil"/>
              <w:bottom w:val="single" w:sz="8" w:space="0" w:color="333333"/>
              <w:right w:val="nil"/>
            </w:tcBorders>
            <w:shd w:val="clear" w:color="000000" w:fill="FFFFFF"/>
            <w:vAlign w:val="center"/>
            <w:hideMark/>
          </w:tcPr>
          <w:p w14:paraId="22B36EC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4</w:t>
            </w:r>
            <w:r w:rsidRPr="00734942">
              <w:rPr>
                <w:rFonts w:ascii="Calibri" w:eastAsia="Times New Roman" w:hAnsi="Calibri" w:cs="Calibri"/>
                <w:color w:val="111111"/>
                <w:sz w:val="18"/>
                <w:szCs w:val="18"/>
                <w:lang w:eastAsia="en-GB"/>
              </w:rPr>
              <w:br/>
              <w:t>Biopsy +/- serology, n = 1</w:t>
            </w:r>
          </w:p>
        </w:tc>
      </w:tr>
      <w:tr w:rsidR="0069305A" w:rsidRPr="00734942" w14:paraId="266B2E1B"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6B2B219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Osteoporosis</w:t>
            </w:r>
          </w:p>
        </w:tc>
        <w:tc>
          <w:tcPr>
            <w:tcW w:w="774" w:type="pct"/>
            <w:tcBorders>
              <w:top w:val="nil"/>
              <w:left w:val="nil"/>
              <w:bottom w:val="single" w:sz="8" w:space="0" w:color="333333"/>
              <w:right w:val="nil"/>
            </w:tcBorders>
            <w:shd w:val="clear" w:color="000000" w:fill="FFFFFF"/>
            <w:vAlign w:val="center"/>
            <w:hideMark/>
          </w:tcPr>
          <w:p w14:paraId="70B5BE4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Osteoporosis</w:t>
            </w:r>
          </w:p>
        </w:tc>
        <w:tc>
          <w:tcPr>
            <w:tcW w:w="278" w:type="pct"/>
            <w:tcBorders>
              <w:top w:val="nil"/>
              <w:left w:val="nil"/>
              <w:bottom w:val="single" w:sz="8" w:space="0" w:color="333333"/>
              <w:right w:val="nil"/>
            </w:tcBorders>
            <w:shd w:val="clear" w:color="000000" w:fill="FFFFFF"/>
            <w:vAlign w:val="center"/>
            <w:hideMark/>
          </w:tcPr>
          <w:p w14:paraId="0752A5C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9</w:t>
            </w:r>
          </w:p>
        </w:tc>
        <w:tc>
          <w:tcPr>
            <w:tcW w:w="301" w:type="pct"/>
            <w:tcBorders>
              <w:top w:val="nil"/>
              <w:left w:val="nil"/>
              <w:bottom w:val="single" w:sz="8" w:space="0" w:color="333333"/>
              <w:right w:val="nil"/>
            </w:tcBorders>
            <w:shd w:val="clear" w:color="000000" w:fill="FFFFFF"/>
            <w:vAlign w:val="center"/>
            <w:hideMark/>
          </w:tcPr>
          <w:p w14:paraId="08ADBAD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20,218</w:t>
            </w:r>
          </w:p>
        </w:tc>
        <w:tc>
          <w:tcPr>
            <w:tcW w:w="308" w:type="pct"/>
            <w:tcBorders>
              <w:top w:val="nil"/>
              <w:left w:val="nil"/>
              <w:bottom w:val="single" w:sz="8" w:space="0" w:color="333333"/>
              <w:right w:val="nil"/>
            </w:tcBorders>
            <w:shd w:val="clear" w:color="000000" w:fill="FFFFFF"/>
            <w:vAlign w:val="center"/>
          </w:tcPr>
          <w:p w14:paraId="0BE5F99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962</w:t>
            </w:r>
          </w:p>
        </w:tc>
        <w:tc>
          <w:tcPr>
            <w:tcW w:w="457" w:type="pct"/>
            <w:tcBorders>
              <w:top w:val="nil"/>
              <w:left w:val="nil"/>
              <w:bottom w:val="single" w:sz="8" w:space="0" w:color="333333"/>
              <w:right w:val="nil"/>
            </w:tcBorders>
            <w:shd w:val="clear" w:color="000000" w:fill="FFFFFF"/>
            <w:vAlign w:val="center"/>
            <w:hideMark/>
          </w:tcPr>
          <w:p w14:paraId="10A4D8C5"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8</w:t>
            </w:r>
            <w:r w:rsidRPr="00734942">
              <w:rPr>
                <w:rFonts w:ascii="Calibri" w:eastAsia="Times New Roman" w:hAnsi="Calibri" w:cs="Calibri"/>
                <w:color w:val="111111"/>
                <w:sz w:val="18"/>
                <w:szCs w:val="18"/>
                <w:lang w:eastAsia="en-GB"/>
              </w:rPr>
              <w:br/>
              <w:t>Mixed, n = 1</w:t>
            </w:r>
          </w:p>
        </w:tc>
        <w:tc>
          <w:tcPr>
            <w:tcW w:w="964" w:type="pct"/>
            <w:tcBorders>
              <w:top w:val="nil"/>
              <w:left w:val="nil"/>
              <w:bottom w:val="single" w:sz="8" w:space="0" w:color="333333"/>
              <w:right w:val="nil"/>
            </w:tcBorders>
            <w:shd w:val="clear" w:color="000000" w:fill="FFFFFF"/>
            <w:vAlign w:val="center"/>
            <w:hideMark/>
          </w:tcPr>
          <w:p w14:paraId="1F1CB8E9"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4</w:t>
            </w:r>
            <w:r w:rsidRPr="00734942">
              <w:rPr>
                <w:rFonts w:ascii="Calibri" w:eastAsia="Times New Roman" w:hAnsi="Calibri" w:cs="Calibri"/>
                <w:color w:val="111111"/>
                <w:sz w:val="18"/>
                <w:szCs w:val="18"/>
                <w:lang w:eastAsia="en-GB"/>
              </w:rPr>
              <w:br/>
              <w:t>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r>
            <w:r w:rsidRPr="00734942">
              <w:rPr>
                <w:rFonts w:ascii="Calibri" w:eastAsia="Times New Roman" w:hAnsi="Calibri" w:cs="Calibri"/>
                <w:color w:val="111111"/>
                <w:sz w:val="18"/>
                <w:szCs w:val="18"/>
                <w:lang w:eastAsia="en-GB"/>
              </w:rPr>
              <w:lastRenderedPageBreak/>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2</w:t>
            </w:r>
            <w:r w:rsidRPr="00734942">
              <w:rPr>
                <w:rFonts w:ascii="Calibri" w:eastAsia="Times New Roman" w:hAnsi="Calibri" w:cs="Calibri"/>
                <w:color w:val="111111"/>
                <w:sz w:val="18"/>
                <w:szCs w:val="18"/>
                <w:lang w:eastAsia="en-GB"/>
              </w:rPr>
              <w:br/>
              <w:t>Cohort/cross-sectional, n = 2</w:t>
            </w:r>
          </w:p>
        </w:tc>
        <w:tc>
          <w:tcPr>
            <w:tcW w:w="704" w:type="pct"/>
            <w:tcBorders>
              <w:top w:val="nil"/>
              <w:left w:val="nil"/>
              <w:bottom w:val="single" w:sz="8" w:space="0" w:color="333333"/>
              <w:right w:val="nil"/>
            </w:tcBorders>
            <w:shd w:val="clear" w:color="000000" w:fill="FFFFFF"/>
            <w:vAlign w:val="center"/>
            <w:hideMark/>
          </w:tcPr>
          <w:p w14:paraId="2BEE971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lastRenderedPageBreak/>
              <w:t>Healthy controls, n = 4</w:t>
            </w:r>
            <w:r w:rsidRPr="00734942">
              <w:rPr>
                <w:rFonts w:ascii="Calibri" w:eastAsia="Times New Roman" w:hAnsi="Calibri" w:cs="Calibri"/>
                <w:color w:val="111111"/>
                <w:sz w:val="18"/>
                <w:szCs w:val="18"/>
                <w:lang w:eastAsia="en-GB"/>
              </w:rPr>
              <w:br/>
              <w:t xml:space="preserve">Population sample </w:t>
            </w:r>
            <w:r w:rsidRPr="00734942">
              <w:rPr>
                <w:rFonts w:ascii="Calibri" w:eastAsia="Times New Roman" w:hAnsi="Calibri" w:cs="Calibri"/>
                <w:color w:val="111111"/>
                <w:sz w:val="18"/>
                <w:szCs w:val="18"/>
                <w:lang w:eastAsia="en-GB"/>
              </w:rPr>
              <w:lastRenderedPageBreak/>
              <w:t>without diagnostic indicator, n = 5</w:t>
            </w:r>
          </w:p>
        </w:tc>
        <w:tc>
          <w:tcPr>
            <w:tcW w:w="742" w:type="pct"/>
            <w:tcBorders>
              <w:top w:val="nil"/>
              <w:left w:val="nil"/>
              <w:bottom w:val="single" w:sz="8" w:space="0" w:color="333333"/>
              <w:right w:val="nil"/>
            </w:tcBorders>
            <w:shd w:val="clear" w:color="000000" w:fill="FFFFFF"/>
            <w:vAlign w:val="center"/>
            <w:hideMark/>
          </w:tcPr>
          <w:p w14:paraId="7B271C0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lastRenderedPageBreak/>
              <w:t>Serology only, n = 6</w:t>
            </w:r>
            <w:r w:rsidRPr="00734942">
              <w:rPr>
                <w:rFonts w:ascii="Calibri" w:eastAsia="Times New Roman" w:hAnsi="Calibri" w:cs="Calibri"/>
                <w:color w:val="111111"/>
                <w:sz w:val="18"/>
                <w:szCs w:val="18"/>
                <w:lang w:eastAsia="en-GB"/>
              </w:rPr>
              <w:br/>
              <w:t>Biopsy +/- serology, n = 3</w:t>
            </w:r>
          </w:p>
        </w:tc>
      </w:tr>
      <w:tr w:rsidR="0069305A" w:rsidRPr="00734942" w14:paraId="05434BC9" w14:textId="77777777" w:rsidTr="00F86021">
        <w:trPr>
          <w:trHeight w:val="175"/>
        </w:trPr>
        <w:tc>
          <w:tcPr>
            <w:tcW w:w="471" w:type="pct"/>
            <w:tcBorders>
              <w:top w:val="nil"/>
              <w:left w:val="nil"/>
              <w:bottom w:val="single" w:sz="8" w:space="0" w:color="333333"/>
              <w:right w:val="nil"/>
            </w:tcBorders>
            <w:shd w:val="clear" w:color="000000" w:fill="FFFFFF"/>
            <w:vAlign w:val="center"/>
            <w:hideMark/>
          </w:tcPr>
          <w:p w14:paraId="78D49B7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Psoriasis</w:t>
            </w:r>
          </w:p>
        </w:tc>
        <w:tc>
          <w:tcPr>
            <w:tcW w:w="774" w:type="pct"/>
            <w:tcBorders>
              <w:top w:val="nil"/>
              <w:left w:val="nil"/>
              <w:bottom w:val="single" w:sz="8" w:space="0" w:color="333333"/>
              <w:right w:val="nil"/>
            </w:tcBorders>
            <w:shd w:val="clear" w:color="000000" w:fill="FFFFFF"/>
            <w:vAlign w:val="center"/>
            <w:hideMark/>
          </w:tcPr>
          <w:p w14:paraId="0F5E413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Psoriasis</w:t>
            </w:r>
          </w:p>
        </w:tc>
        <w:tc>
          <w:tcPr>
            <w:tcW w:w="278" w:type="pct"/>
            <w:tcBorders>
              <w:top w:val="nil"/>
              <w:left w:val="nil"/>
              <w:bottom w:val="single" w:sz="8" w:space="0" w:color="333333"/>
              <w:right w:val="nil"/>
            </w:tcBorders>
            <w:shd w:val="clear" w:color="000000" w:fill="FFFFFF"/>
            <w:vAlign w:val="center"/>
            <w:hideMark/>
          </w:tcPr>
          <w:p w14:paraId="2DF97C6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w:t>
            </w:r>
          </w:p>
        </w:tc>
        <w:tc>
          <w:tcPr>
            <w:tcW w:w="301" w:type="pct"/>
            <w:tcBorders>
              <w:top w:val="nil"/>
              <w:left w:val="nil"/>
              <w:bottom w:val="single" w:sz="8" w:space="0" w:color="333333"/>
              <w:right w:val="nil"/>
            </w:tcBorders>
            <w:shd w:val="clear" w:color="000000" w:fill="FFFFFF"/>
            <w:vAlign w:val="center"/>
            <w:hideMark/>
          </w:tcPr>
          <w:p w14:paraId="5727557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1,127</w:t>
            </w:r>
          </w:p>
        </w:tc>
        <w:tc>
          <w:tcPr>
            <w:tcW w:w="308" w:type="pct"/>
            <w:tcBorders>
              <w:top w:val="nil"/>
              <w:left w:val="nil"/>
              <w:bottom w:val="single" w:sz="8" w:space="0" w:color="333333"/>
              <w:right w:val="nil"/>
            </w:tcBorders>
            <w:shd w:val="clear" w:color="000000" w:fill="FFFFFF"/>
            <w:vAlign w:val="center"/>
          </w:tcPr>
          <w:p w14:paraId="1B057C7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44</w:t>
            </w:r>
          </w:p>
        </w:tc>
        <w:tc>
          <w:tcPr>
            <w:tcW w:w="457" w:type="pct"/>
            <w:tcBorders>
              <w:top w:val="nil"/>
              <w:left w:val="nil"/>
              <w:bottom w:val="single" w:sz="8" w:space="0" w:color="333333"/>
              <w:right w:val="nil"/>
            </w:tcBorders>
            <w:shd w:val="clear" w:color="000000" w:fill="FFFFFF"/>
            <w:vAlign w:val="center"/>
            <w:hideMark/>
          </w:tcPr>
          <w:p w14:paraId="3C856FDF"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3</w:t>
            </w:r>
            <w:r w:rsidRPr="00734942">
              <w:rPr>
                <w:rFonts w:ascii="Calibri" w:eastAsia="Times New Roman" w:hAnsi="Calibri" w:cs="Calibri"/>
                <w:color w:val="111111"/>
                <w:sz w:val="18"/>
                <w:szCs w:val="18"/>
                <w:lang w:eastAsia="en-GB"/>
              </w:rPr>
              <w:br/>
              <w:t>Mixed, n = 3</w:t>
            </w:r>
          </w:p>
        </w:tc>
        <w:tc>
          <w:tcPr>
            <w:tcW w:w="964" w:type="pct"/>
            <w:tcBorders>
              <w:top w:val="nil"/>
              <w:left w:val="nil"/>
              <w:bottom w:val="single" w:sz="8" w:space="0" w:color="333333"/>
              <w:right w:val="nil"/>
            </w:tcBorders>
            <w:shd w:val="clear" w:color="000000" w:fill="FFFFFF"/>
            <w:vAlign w:val="center"/>
            <w:hideMark/>
          </w:tcPr>
          <w:p w14:paraId="66219B25" w14:textId="77777777" w:rsidR="0069305A" w:rsidRPr="005F5E0D" w:rsidRDefault="0069305A" w:rsidP="00F86021">
            <w:pPr>
              <w:spacing w:after="0" w:line="240" w:lineRule="auto"/>
              <w:rPr>
                <w:rFonts w:ascii="Calibri" w:eastAsia="Times New Roman" w:hAnsi="Calibri" w:cs="Calibri"/>
                <w:color w:val="111111"/>
                <w:sz w:val="18"/>
                <w:szCs w:val="18"/>
                <w:highlight w:val="yellow"/>
                <w:lang w:val="it-IT" w:eastAsia="en-GB"/>
              </w:rPr>
            </w:pPr>
            <w:r w:rsidRPr="005F5E0D">
              <w:rPr>
                <w:rFonts w:ascii="Calibri" w:eastAsia="Times New Roman" w:hAnsi="Calibri" w:cs="Calibri"/>
                <w:color w:val="111111"/>
                <w:sz w:val="18"/>
                <w:szCs w:val="18"/>
                <w:lang w:val="it-IT" w:eastAsia="en-GB"/>
              </w:rPr>
              <w:t>Case-control (DI)</w:t>
            </w:r>
            <w:r w:rsidRPr="005F5E0D">
              <w:rPr>
                <w:rFonts w:ascii="Calibri" w:eastAsia="Times New Roman" w:hAnsi="Calibri" w:cs="Calibri"/>
                <w:color w:val="111111"/>
                <w:sz w:val="18"/>
                <w:szCs w:val="18"/>
                <w:vertAlign w:val="superscript"/>
                <w:lang w:val="it-IT" w:eastAsia="en-GB"/>
              </w:rPr>
              <w:t>a</w:t>
            </w:r>
            <w:r w:rsidRPr="005F5E0D">
              <w:rPr>
                <w:rFonts w:ascii="Calibri" w:eastAsia="Times New Roman" w:hAnsi="Calibri" w:cs="Calibri"/>
                <w:color w:val="111111"/>
                <w:sz w:val="18"/>
                <w:szCs w:val="18"/>
                <w:lang w:val="it-IT" w:eastAsia="en-GB"/>
              </w:rPr>
              <w:t>, n = 6</w:t>
            </w:r>
          </w:p>
        </w:tc>
        <w:tc>
          <w:tcPr>
            <w:tcW w:w="704" w:type="pct"/>
            <w:tcBorders>
              <w:top w:val="nil"/>
              <w:left w:val="nil"/>
              <w:bottom w:val="single" w:sz="8" w:space="0" w:color="333333"/>
              <w:right w:val="nil"/>
            </w:tcBorders>
            <w:shd w:val="clear" w:color="000000" w:fill="FFFFFF"/>
            <w:vAlign w:val="center"/>
            <w:hideMark/>
          </w:tcPr>
          <w:p w14:paraId="3249D22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5</w:t>
            </w:r>
            <w:r w:rsidRPr="00734942">
              <w:rPr>
                <w:rFonts w:ascii="Calibri" w:eastAsia="Times New Roman" w:hAnsi="Calibri" w:cs="Calibri"/>
                <w:color w:val="111111"/>
                <w:sz w:val="18"/>
                <w:szCs w:val="18"/>
                <w:lang w:eastAsia="en-GB"/>
              </w:rPr>
              <w:br/>
              <w:t>Population sample without diagnostic indicator, n = 1</w:t>
            </w:r>
          </w:p>
        </w:tc>
        <w:tc>
          <w:tcPr>
            <w:tcW w:w="742" w:type="pct"/>
            <w:tcBorders>
              <w:top w:val="nil"/>
              <w:left w:val="nil"/>
              <w:bottom w:val="single" w:sz="8" w:space="0" w:color="333333"/>
              <w:right w:val="nil"/>
            </w:tcBorders>
            <w:shd w:val="clear" w:color="000000" w:fill="FFFFFF"/>
            <w:vAlign w:val="center"/>
            <w:hideMark/>
          </w:tcPr>
          <w:p w14:paraId="5510EC3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4</w:t>
            </w:r>
            <w:r w:rsidRPr="00734942">
              <w:rPr>
                <w:rFonts w:ascii="Calibri" w:eastAsia="Times New Roman" w:hAnsi="Calibri" w:cs="Calibri"/>
                <w:color w:val="111111"/>
                <w:sz w:val="18"/>
                <w:szCs w:val="18"/>
                <w:lang w:eastAsia="en-GB"/>
              </w:rPr>
              <w:br/>
              <w:t>Biopsy +/- serology, n = 2</w:t>
            </w:r>
          </w:p>
        </w:tc>
      </w:tr>
      <w:tr w:rsidR="0069305A" w:rsidRPr="00734942" w14:paraId="18CE9439" w14:textId="77777777" w:rsidTr="00F86021">
        <w:trPr>
          <w:trHeight w:val="1260"/>
        </w:trPr>
        <w:tc>
          <w:tcPr>
            <w:tcW w:w="471" w:type="pct"/>
            <w:tcBorders>
              <w:top w:val="nil"/>
              <w:left w:val="nil"/>
              <w:bottom w:val="single" w:sz="8" w:space="0" w:color="333333"/>
              <w:right w:val="nil"/>
            </w:tcBorders>
            <w:shd w:val="clear" w:color="000000" w:fill="FFFFFF"/>
            <w:vAlign w:val="center"/>
            <w:hideMark/>
          </w:tcPr>
          <w:p w14:paraId="01BF01E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Subfertility or recurrent pregnancy loss</w:t>
            </w:r>
          </w:p>
        </w:tc>
        <w:tc>
          <w:tcPr>
            <w:tcW w:w="774" w:type="pct"/>
            <w:tcBorders>
              <w:top w:val="nil"/>
              <w:left w:val="nil"/>
              <w:bottom w:val="single" w:sz="8" w:space="0" w:color="333333"/>
              <w:right w:val="nil"/>
            </w:tcBorders>
            <w:shd w:val="clear" w:color="000000" w:fill="FFFFFF"/>
            <w:vAlign w:val="center"/>
            <w:hideMark/>
          </w:tcPr>
          <w:p w14:paraId="17B921B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Idiopathic or immunologic infertility; previous or recurrent miscarriages, or implantation failure</w:t>
            </w:r>
          </w:p>
        </w:tc>
        <w:tc>
          <w:tcPr>
            <w:tcW w:w="278" w:type="pct"/>
            <w:tcBorders>
              <w:top w:val="nil"/>
              <w:left w:val="nil"/>
              <w:bottom w:val="single" w:sz="8" w:space="0" w:color="333333"/>
              <w:right w:val="nil"/>
            </w:tcBorders>
            <w:shd w:val="clear" w:color="000000" w:fill="FFFFFF"/>
            <w:vAlign w:val="center"/>
            <w:hideMark/>
          </w:tcPr>
          <w:p w14:paraId="344F035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16</w:t>
            </w:r>
          </w:p>
        </w:tc>
        <w:tc>
          <w:tcPr>
            <w:tcW w:w="301" w:type="pct"/>
            <w:tcBorders>
              <w:top w:val="nil"/>
              <w:left w:val="nil"/>
              <w:bottom w:val="single" w:sz="8" w:space="0" w:color="333333"/>
              <w:right w:val="nil"/>
            </w:tcBorders>
            <w:shd w:val="clear" w:color="000000" w:fill="FFFFFF"/>
            <w:vAlign w:val="center"/>
            <w:hideMark/>
          </w:tcPr>
          <w:p w14:paraId="563FB7E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12,690</w:t>
            </w:r>
          </w:p>
        </w:tc>
        <w:tc>
          <w:tcPr>
            <w:tcW w:w="308" w:type="pct"/>
            <w:tcBorders>
              <w:top w:val="nil"/>
              <w:left w:val="nil"/>
              <w:bottom w:val="single" w:sz="8" w:space="0" w:color="333333"/>
              <w:right w:val="nil"/>
            </w:tcBorders>
            <w:shd w:val="clear" w:color="000000" w:fill="FFFFFF"/>
            <w:vAlign w:val="center"/>
          </w:tcPr>
          <w:p w14:paraId="657F2BE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808</w:t>
            </w:r>
          </w:p>
        </w:tc>
        <w:tc>
          <w:tcPr>
            <w:tcW w:w="457" w:type="pct"/>
            <w:tcBorders>
              <w:top w:val="nil"/>
              <w:left w:val="nil"/>
              <w:bottom w:val="single" w:sz="8" w:space="0" w:color="333333"/>
              <w:right w:val="nil"/>
            </w:tcBorders>
            <w:shd w:val="clear" w:color="000000" w:fill="FFFFFF"/>
            <w:vAlign w:val="center"/>
            <w:hideMark/>
          </w:tcPr>
          <w:p w14:paraId="5AC50B7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Adults, n = 16</w:t>
            </w:r>
          </w:p>
        </w:tc>
        <w:tc>
          <w:tcPr>
            <w:tcW w:w="964" w:type="pct"/>
            <w:tcBorders>
              <w:top w:val="nil"/>
              <w:left w:val="nil"/>
              <w:bottom w:val="single" w:sz="8" w:space="0" w:color="333333"/>
              <w:right w:val="nil"/>
            </w:tcBorders>
            <w:shd w:val="clear" w:color="000000" w:fill="FFFFFF"/>
            <w:vAlign w:val="center"/>
            <w:hideMark/>
          </w:tcPr>
          <w:p w14:paraId="5455FBC5"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12</w:t>
            </w:r>
            <w:r w:rsidRPr="00734942">
              <w:rPr>
                <w:rFonts w:ascii="Calibri" w:eastAsia="Times New Roman" w:hAnsi="Calibri" w:cs="Calibri"/>
                <w:color w:val="111111"/>
                <w:sz w:val="18"/>
                <w:szCs w:val="18"/>
                <w:lang w:eastAsia="en-GB"/>
              </w:rPr>
              <w:br/>
              <w:t>Nested 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2</w:t>
            </w:r>
            <w:r w:rsidRPr="00734942">
              <w:rPr>
                <w:rFonts w:ascii="Calibri" w:eastAsia="Times New Roman" w:hAnsi="Calibri" w:cs="Calibri"/>
                <w:color w:val="111111"/>
                <w:sz w:val="18"/>
                <w:szCs w:val="18"/>
                <w:lang w:eastAsia="en-GB"/>
              </w:rPr>
              <w:br/>
              <w:t>Cohort/cross-sectional, n = 1</w:t>
            </w:r>
          </w:p>
        </w:tc>
        <w:tc>
          <w:tcPr>
            <w:tcW w:w="704" w:type="pct"/>
            <w:tcBorders>
              <w:top w:val="nil"/>
              <w:left w:val="nil"/>
              <w:bottom w:val="single" w:sz="8" w:space="0" w:color="333333"/>
              <w:right w:val="nil"/>
            </w:tcBorders>
            <w:shd w:val="clear" w:color="000000" w:fill="FFFFFF"/>
            <w:vAlign w:val="center"/>
            <w:hideMark/>
          </w:tcPr>
          <w:p w14:paraId="01A8941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12</w:t>
            </w:r>
            <w:r w:rsidRPr="00734942">
              <w:rPr>
                <w:rFonts w:ascii="Calibri" w:eastAsia="Times New Roman" w:hAnsi="Calibri" w:cs="Calibri"/>
                <w:color w:val="111111"/>
                <w:sz w:val="18"/>
                <w:szCs w:val="18"/>
                <w:lang w:eastAsia="en-GB"/>
              </w:rPr>
              <w:br/>
              <w:t>Population sample without diagnostic indicator, n = 4</w:t>
            </w:r>
          </w:p>
        </w:tc>
        <w:tc>
          <w:tcPr>
            <w:tcW w:w="742" w:type="pct"/>
            <w:tcBorders>
              <w:top w:val="nil"/>
              <w:left w:val="nil"/>
              <w:bottom w:val="single" w:sz="8" w:space="0" w:color="333333"/>
              <w:right w:val="nil"/>
            </w:tcBorders>
            <w:shd w:val="clear" w:color="000000" w:fill="FFFFFF"/>
            <w:vAlign w:val="center"/>
            <w:hideMark/>
          </w:tcPr>
          <w:p w14:paraId="3B4673A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12</w:t>
            </w:r>
            <w:r w:rsidRPr="00734942">
              <w:rPr>
                <w:rFonts w:ascii="Calibri" w:eastAsia="Times New Roman" w:hAnsi="Calibri" w:cs="Calibri"/>
                <w:color w:val="111111"/>
                <w:sz w:val="18"/>
                <w:szCs w:val="18"/>
                <w:lang w:eastAsia="en-GB"/>
              </w:rPr>
              <w:br/>
              <w:t>Biopsy +/- serology, n = 4</w:t>
            </w:r>
          </w:p>
        </w:tc>
      </w:tr>
      <w:tr w:rsidR="0069305A" w:rsidRPr="00734942" w14:paraId="60713967"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48191E8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Systemic lupus erythematosus</w:t>
            </w:r>
          </w:p>
        </w:tc>
        <w:tc>
          <w:tcPr>
            <w:tcW w:w="774" w:type="pct"/>
            <w:tcBorders>
              <w:top w:val="nil"/>
              <w:left w:val="nil"/>
              <w:bottom w:val="single" w:sz="8" w:space="0" w:color="333333"/>
              <w:right w:val="nil"/>
            </w:tcBorders>
            <w:shd w:val="clear" w:color="000000" w:fill="FFFFFF"/>
            <w:vAlign w:val="center"/>
            <w:hideMark/>
          </w:tcPr>
          <w:p w14:paraId="06B425D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Systemic lupus erythematosus</w:t>
            </w:r>
          </w:p>
        </w:tc>
        <w:tc>
          <w:tcPr>
            <w:tcW w:w="278" w:type="pct"/>
            <w:tcBorders>
              <w:top w:val="nil"/>
              <w:left w:val="nil"/>
              <w:bottom w:val="single" w:sz="8" w:space="0" w:color="333333"/>
              <w:right w:val="nil"/>
            </w:tcBorders>
            <w:shd w:val="clear" w:color="000000" w:fill="FFFFFF"/>
            <w:vAlign w:val="center"/>
            <w:hideMark/>
          </w:tcPr>
          <w:p w14:paraId="481D517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w:t>
            </w:r>
          </w:p>
        </w:tc>
        <w:tc>
          <w:tcPr>
            <w:tcW w:w="301" w:type="pct"/>
            <w:tcBorders>
              <w:top w:val="nil"/>
              <w:left w:val="nil"/>
              <w:bottom w:val="single" w:sz="8" w:space="0" w:color="333333"/>
              <w:right w:val="nil"/>
            </w:tcBorders>
            <w:shd w:val="clear" w:color="000000" w:fill="FFFFFF"/>
            <w:vAlign w:val="center"/>
            <w:hideMark/>
          </w:tcPr>
          <w:p w14:paraId="27CA6B2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1,004</w:t>
            </w:r>
          </w:p>
        </w:tc>
        <w:tc>
          <w:tcPr>
            <w:tcW w:w="308" w:type="pct"/>
            <w:tcBorders>
              <w:top w:val="nil"/>
              <w:left w:val="nil"/>
              <w:bottom w:val="single" w:sz="8" w:space="0" w:color="333333"/>
              <w:right w:val="nil"/>
            </w:tcBorders>
            <w:shd w:val="clear" w:color="000000" w:fill="FFFFFF"/>
            <w:vAlign w:val="center"/>
          </w:tcPr>
          <w:p w14:paraId="1B7E018D"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9</w:t>
            </w:r>
          </w:p>
        </w:tc>
        <w:tc>
          <w:tcPr>
            <w:tcW w:w="457" w:type="pct"/>
            <w:tcBorders>
              <w:top w:val="nil"/>
              <w:left w:val="nil"/>
              <w:bottom w:val="single" w:sz="8" w:space="0" w:color="333333"/>
              <w:right w:val="nil"/>
            </w:tcBorders>
            <w:shd w:val="clear" w:color="000000" w:fill="FFFFFF"/>
            <w:vAlign w:val="center"/>
            <w:hideMark/>
          </w:tcPr>
          <w:p w14:paraId="4C0E4927"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5</w:t>
            </w:r>
            <w:r w:rsidRPr="00734942">
              <w:rPr>
                <w:rFonts w:ascii="Calibri" w:eastAsia="Times New Roman" w:hAnsi="Calibri" w:cs="Calibri"/>
                <w:color w:val="111111"/>
                <w:sz w:val="18"/>
                <w:szCs w:val="18"/>
                <w:lang w:eastAsia="en-GB"/>
              </w:rPr>
              <w:br/>
              <w:t>Children, n = 1</w:t>
            </w:r>
          </w:p>
        </w:tc>
        <w:tc>
          <w:tcPr>
            <w:tcW w:w="964" w:type="pct"/>
            <w:tcBorders>
              <w:top w:val="nil"/>
              <w:left w:val="nil"/>
              <w:bottom w:val="single" w:sz="8" w:space="0" w:color="333333"/>
              <w:right w:val="nil"/>
            </w:tcBorders>
            <w:shd w:val="clear" w:color="000000" w:fill="FFFFFF"/>
            <w:vAlign w:val="center"/>
            <w:hideMark/>
          </w:tcPr>
          <w:p w14:paraId="5B192938"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5</w:t>
            </w:r>
            <w:r w:rsidRPr="00734942">
              <w:rPr>
                <w:rFonts w:ascii="Calibri" w:eastAsia="Times New Roman" w:hAnsi="Calibri" w:cs="Calibri"/>
                <w:color w:val="111111"/>
                <w:sz w:val="18"/>
                <w:szCs w:val="18"/>
                <w:lang w:eastAsia="en-GB"/>
              </w:rPr>
              <w:br/>
              <w:t>Cohort/cross-sectional, n = 1</w:t>
            </w:r>
          </w:p>
        </w:tc>
        <w:tc>
          <w:tcPr>
            <w:tcW w:w="704" w:type="pct"/>
            <w:tcBorders>
              <w:top w:val="nil"/>
              <w:left w:val="nil"/>
              <w:bottom w:val="single" w:sz="8" w:space="0" w:color="333333"/>
              <w:right w:val="nil"/>
            </w:tcBorders>
            <w:shd w:val="clear" w:color="000000" w:fill="FFFFFF"/>
            <w:vAlign w:val="center"/>
            <w:hideMark/>
          </w:tcPr>
          <w:p w14:paraId="6F4F3131"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6</w:t>
            </w:r>
          </w:p>
        </w:tc>
        <w:tc>
          <w:tcPr>
            <w:tcW w:w="742" w:type="pct"/>
            <w:tcBorders>
              <w:top w:val="nil"/>
              <w:left w:val="nil"/>
              <w:bottom w:val="single" w:sz="8" w:space="0" w:color="333333"/>
              <w:right w:val="nil"/>
            </w:tcBorders>
            <w:shd w:val="clear" w:color="000000" w:fill="FFFFFF"/>
            <w:vAlign w:val="center"/>
            <w:hideMark/>
          </w:tcPr>
          <w:p w14:paraId="4C1F1B9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2</w:t>
            </w:r>
            <w:r w:rsidRPr="00734942">
              <w:rPr>
                <w:rFonts w:ascii="Calibri" w:eastAsia="Times New Roman" w:hAnsi="Calibri" w:cs="Calibri"/>
                <w:color w:val="111111"/>
                <w:sz w:val="18"/>
                <w:szCs w:val="18"/>
                <w:lang w:eastAsia="en-GB"/>
              </w:rPr>
              <w:br/>
              <w:t>Biopsy +/- serology, n = 4</w:t>
            </w:r>
          </w:p>
        </w:tc>
      </w:tr>
      <w:tr w:rsidR="0069305A" w:rsidRPr="00734942" w14:paraId="1CBE5D96"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72B4194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hAnsi="Calibri" w:cs="Calibri"/>
                <w:color w:val="111111"/>
                <w:sz w:val="18"/>
                <w:szCs w:val="18"/>
              </w:rPr>
              <w:t>Thyroid disease</w:t>
            </w:r>
          </w:p>
        </w:tc>
        <w:tc>
          <w:tcPr>
            <w:tcW w:w="774" w:type="pct"/>
            <w:tcBorders>
              <w:top w:val="nil"/>
              <w:left w:val="nil"/>
              <w:bottom w:val="single" w:sz="8" w:space="0" w:color="333333"/>
              <w:right w:val="nil"/>
            </w:tcBorders>
            <w:shd w:val="clear" w:color="000000" w:fill="FFFFFF"/>
            <w:vAlign w:val="center"/>
            <w:hideMark/>
          </w:tcPr>
          <w:p w14:paraId="023BACF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hAnsi="Calibri" w:cs="Calibri"/>
                <w:color w:val="111111"/>
                <w:sz w:val="18"/>
                <w:szCs w:val="18"/>
              </w:rPr>
              <w:t xml:space="preserve">Autoimmune thyroid disease, Graves' disease, Hashimoto's thyroiditis, </w:t>
            </w:r>
          </w:p>
        </w:tc>
        <w:tc>
          <w:tcPr>
            <w:tcW w:w="278" w:type="pct"/>
            <w:tcBorders>
              <w:top w:val="nil"/>
              <w:left w:val="nil"/>
              <w:bottom w:val="single" w:sz="8" w:space="0" w:color="333333"/>
              <w:right w:val="nil"/>
            </w:tcBorders>
            <w:shd w:val="clear" w:color="000000" w:fill="FFFFFF"/>
            <w:vAlign w:val="center"/>
            <w:hideMark/>
          </w:tcPr>
          <w:p w14:paraId="46673B4C"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23</w:t>
            </w:r>
          </w:p>
        </w:tc>
        <w:tc>
          <w:tcPr>
            <w:tcW w:w="301" w:type="pct"/>
            <w:tcBorders>
              <w:top w:val="nil"/>
              <w:left w:val="nil"/>
              <w:bottom w:val="single" w:sz="8" w:space="0" w:color="333333"/>
              <w:right w:val="nil"/>
            </w:tcBorders>
            <w:shd w:val="clear" w:color="000000" w:fill="FFFFFF"/>
            <w:vAlign w:val="center"/>
            <w:hideMark/>
          </w:tcPr>
          <w:p w14:paraId="015ABBF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2,7031</w:t>
            </w:r>
          </w:p>
        </w:tc>
        <w:tc>
          <w:tcPr>
            <w:tcW w:w="308" w:type="pct"/>
            <w:tcBorders>
              <w:top w:val="nil"/>
              <w:left w:val="nil"/>
              <w:bottom w:val="single" w:sz="8" w:space="0" w:color="333333"/>
              <w:right w:val="nil"/>
            </w:tcBorders>
            <w:shd w:val="clear" w:color="000000" w:fill="FFFFFF"/>
            <w:vAlign w:val="center"/>
          </w:tcPr>
          <w:p w14:paraId="10E9A5A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1083</w:t>
            </w:r>
          </w:p>
        </w:tc>
        <w:tc>
          <w:tcPr>
            <w:tcW w:w="457" w:type="pct"/>
            <w:tcBorders>
              <w:top w:val="nil"/>
              <w:left w:val="nil"/>
              <w:bottom w:val="single" w:sz="8" w:space="0" w:color="333333"/>
              <w:right w:val="nil"/>
            </w:tcBorders>
            <w:shd w:val="clear" w:color="000000" w:fill="FFFFFF"/>
            <w:vAlign w:val="center"/>
            <w:hideMark/>
          </w:tcPr>
          <w:p w14:paraId="6E85F1D4"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hAnsi="Calibri" w:cs="Calibri"/>
                <w:color w:val="111111"/>
                <w:sz w:val="18"/>
                <w:szCs w:val="18"/>
              </w:rPr>
              <w:t>Adults, n = 16</w:t>
            </w:r>
            <w:r w:rsidRPr="00734942">
              <w:rPr>
                <w:rFonts w:ascii="Calibri" w:hAnsi="Calibri" w:cs="Calibri"/>
                <w:color w:val="111111"/>
                <w:sz w:val="18"/>
                <w:szCs w:val="18"/>
              </w:rPr>
              <w:br/>
              <w:t>Children, n = 5</w:t>
            </w:r>
            <w:r w:rsidRPr="00734942">
              <w:rPr>
                <w:rFonts w:ascii="Calibri" w:hAnsi="Calibri" w:cs="Calibri"/>
                <w:color w:val="111111"/>
                <w:sz w:val="18"/>
                <w:szCs w:val="18"/>
              </w:rPr>
              <w:br/>
              <w:t>Mixed, n = 2</w:t>
            </w:r>
          </w:p>
        </w:tc>
        <w:tc>
          <w:tcPr>
            <w:tcW w:w="964" w:type="pct"/>
            <w:tcBorders>
              <w:top w:val="nil"/>
              <w:left w:val="nil"/>
              <w:bottom w:val="single" w:sz="8" w:space="0" w:color="333333"/>
              <w:right w:val="nil"/>
            </w:tcBorders>
            <w:shd w:val="clear" w:color="000000" w:fill="FFFFFF"/>
            <w:vAlign w:val="center"/>
            <w:hideMark/>
          </w:tcPr>
          <w:p w14:paraId="239B53C2" w14:textId="77777777" w:rsidR="0069305A" w:rsidRPr="005F5E0D" w:rsidRDefault="0069305A" w:rsidP="00F86021">
            <w:pPr>
              <w:spacing w:after="0" w:line="240" w:lineRule="auto"/>
              <w:rPr>
                <w:rFonts w:ascii="Calibri" w:hAnsi="Calibri" w:cs="Calibri"/>
                <w:color w:val="111111"/>
                <w:sz w:val="18"/>
                <w:szCs w:val="18"/>
                <w:lang w:val="it-IT"/>
              </w:rPr>
            </w:pPr>
            <w:r w:rsidRPr="005F5E0D">
              <w:rPr>
                <w:rFonts w:ascii="Calibri" w:hAnsi="Calibri" w:cs="Calibri"/>
                <w:color w:val="111111"/>
                <w:sz w:val="18"/>
                <w:szCs w:val="18"/>
                <w:lang w:val="it-IT"/>
              </w:rPr>
              <w:t>Case-control (DI)</w:t>
            </w:r>
            <w:r w:rsidRPr="005F5E0D">
              <w:rPr>
                <w:rFonts w:ascii="Calibri" w:hAnsi="Calibri" w:cs="Calibri"/>
                <w:color w:val="111111"/>
                <w:sz w:val="18"/>
                <w:szCs w:val="18"/>
                <w:vertAlign w:val="superscript"/>
                <w:lang w:val="it-IT"/>
              </w:rPr>
              <w:t>a</w:t>
            </w:r>
            <w:r w:rsidRPr="005F5E0D">
              <w:rPr>
                <w:rFonts w:ascii="Calibri" w:hAnsi="Calibri" w:cs="Calibri"/>
                <w:color w:val="111111"/>
                <w:sz w:val="18"/>
                <w:szCs w:val="18"/>
                <w:lang w:val="it-IT"/>
              </w:rPr>
              <w:t>, n = 15</w:t>
            </w:r>
          </w:p>
          <w:p w14:paraId="18E8ED68"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hAnsi="Calibri" w:cs="Calibri"/>
                <w:color w:val="111111"/>
                <w:sz w:val="18"/>
                <w:szCs w:val="18"/>
              </w:rPr>
              <w:t>Nested case-control (DI)</w:t>
            </w:r>
            <w:r w:rsidRPr="005F5E0D">
              <w:rPr>
                <w:rFonts w:ascii="Calibri" w:hAnsi="Calibri" w:cs="Calibri"/>
                <w:color w:val="111111"/>
                <w:sz w:val="18"/>
                <w:szCs w:val="18"/>
                <w:vertAlign w:val="superscript"/>
              </w:rPr>
              <w:t>a</w:t>
            </w:r>
            <w:r w:rsidRPr="00734942">
              <w:rPr>
                <w:rFonts w:ascii="Calibri" w:hAnsi="Calibri" w:cs="Calibri"/>
                <w:color w:val="111111"/>
                <w:sz w:val="18"/>
                <w:szCs w:val="18"/>
              </w:rPr>
              <w:t>, n = 2</w:t>
            </w:r>
            <w:r w:rsidRPr="00734942">
              <w:rPr>
                <w:rFonts w:ascii="Calibri" w:hAnsi="Calibri" w:cs="Calibri"/>
                <w:color w:val="111111"/>
                <w:sz w:val="18"/>
                <w:szCs w:val="18"/>
              </w:rPr>
              <w:br/>
              <w:t>Nested case-control (CD)</w:t>
            </w:r>
            <w:r w:rsidRPr="005F5E0D">
              <w:rPr>
                <w:rFonts w:ascii="Calibri" w:hAnsi="Calibri" w:cs="Calibri"/>
                <w:color w:val="111111"/>
                <w:sz w:val="18"/>
                <w:szCs w:val="18"/>
                <w:vertAlign w:val="superscript"/>
              </w:rPr>
              <w:t>b</w:t>
            </w:r>
            <w:r w:rsidRPr="00734942">
              <w:rPr>
                <w:rFonts w:ascii="Calibri" w:hAnsi="Calibri" w:cs="Calibri"/>
                <w:color w:val="111111"/>
                <w:sz w:val="18"/>
                <w:szCs w:val="18"/>
              </w:rPr>
              <w:t>, n = 2</w:t>
            </w:r>
            <w:r w:rsidRPr="00734942">
              <w:rPr>
                <w:rFonts w:ascii="Calibri" w:hAnsi="Calibri" w:cs="Calibri"/>
                <w:color w:val="111111"/>
                <w:sz w:val="18"/>
                <w:szCs w:val="18"/>
              </w:rPr>
              <w:br/>
              <w:t>Cohort/cross-sectional, n = 4</w:t>
            </w:r>
          </w:p>
        </w:tc>
        <w:tc>
          <w:tcPr>
            <w:tcW w:w="704" w:type="pct"/>
            <w:tcBorders>
              <w:top w:val="nil"/>
              <w:left w:val="nil"/>
              <w:bottom w:val="single" w:sz="8" w:space="0" w:color="333333"/>
              <w:right w:val="nil"/>
            </w:tcBorders>
            <w:shd w:val="clear" w:color="000000" w:fill="FFFFFF"/>
            <w:vAlign w:val="center"/>
            <w:hideMark/>
          </w:tcPr>
          <w:p w14:paraId="3AE85D8A"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hAnsi="Calibri" w:cs="Calibri"/>
                <w:color w:val="111111"/>
                <w:sz w:val="18"/>
                <w:szCs w:val="18"/>
              </w:rPr>
              <w:t>Healthy controls, n = 15</w:t>
            </w:r>
            <w:r w:rsidRPr="00734942">
              <w:rPr>
                <w:rFonts w:ascii="Calibri" w:hAnsi="Calibri" w:cs="Calibri"/>
                <w:color w:val="111111"/>
                <w:sz w:val="18"/>
                <w:szCs w:val="18"/>
              </w:rPr>
              <w:br/>
              <w:t>Population sample without diagnostic indicator, n = 8</w:t>
            </w:r>
          </w:p>
        </w:tc>
        <w:tc>
          <w:tcPr>
            <w:tcW w:w="742" w:type="pct"/>
            <w:tcBorders>
              <w:top w:val="nil"/>
              <w:left w:val="nil"/>
              <w:bottom w:val="single" w:sz="8" w:space="0" w:color="333333"/>
              <w:right w:val="nil"/>
            </w:tcBorders>
            <w:shd w:val="clear" w:color="000000" w:fill="FFFFFF"/>
            <w:vAlign w:val="center"/>
            <w:hideMark/>
          </w:tcPr>
          <w:p w14:paraId="7F5937C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hAnsi="Calibri" w:cs="Calibri"/>
                <w:color w:val="111111"/>
                <w:sz w:val="18"/>
                <w:szCs w:val="18"/>
              </w:rPr>
              <w:t>Serology only, n = 13</w:t>
            </w:r>
            <w:r w:rsidRPr="00734942">
              <w:rPr>
                <w:rFonts w:ascii="Calibri" w:hAnsi="Calibri" w:cs="Calibri"/>
                <w:color w:val="111111"/>
                <w:sz w:val="18"/>
                <w:szCs w:val="18"/>
              </w:rPr>
              <w:br/>
              <w:t>Biopsy +/- serology, n = 10</w:t>
            </w:r>
          </w:p>
        </w:tc>
      </w:tr>
      <w:tr w:rsidR="0069305A" w:rsidRPr="00734942" w14:paraId="5B6150B0" w14:textId="77777777" w:rsidTr="00F86021">
        <w:trPr>
          <w:trHeight w:val="212"/>
        </w:trPr>
        <w:tc>
          <w:tcPr>
            <w:tcW w:w="471" w:type="pct"/>
            <w:tcBorders>
              <w:top w:val="nil"/>
              <w:left w:val="nil"/>
              <w:bottom w:val="single" w:sz="8" w:space="0" w:color="333333"/>
              <w:right w:val="nil"/>
            </w:tcBorders>
            <w:shd w:val="clear" w:color="000000" w:fill="FFFFFF"/>
            <w:vAlign w:val="center"/>
            <w:hideMark/>
          </w:tcPr>
          <w:p w14:paraId="4E18FA4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Type 1 Diabetes</w:t>
            </w:r>
          </w:p>
        </w:tc>
        <w:tc>
          <w:tcPr>
            <w:tcW w:w="774" w:type="pct"/>
            <w:tcBorders>
              <w:top w:val="nil"/>
              <w:left w:val="nil"/>
              <w:bottom w:val="single" w:sz="8" w:space="0" w:color="333333"/>
              <w:right w:val="nil"/>
            </w:tcBorders>
            <w:shd w:val="clear" w:color="000000" w:fill="FFFFFF"/>
            <w:vAlign w:val="center"/>
            <w:hideMark/>
          </w:tcPr>
          <w:p w14:paraId="2F45D41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Type 1 Diabetes</w:t>
            </w:r>
          </w:p>
        </w:tc>
        <w:tc>
          <w:tcPr>
            <w:tcW w:w="278" w:type="pct"/>
            <w:tcBorders>
              <w:top w:val="nil"/>
              <w:left w:val="nil"/>
              <w:bottom w:val="single" w:sz="8" w:space="0" w:color="333333"/>
              <w:right w:val="nil"/>
            </w:tcBorders>
            <w:shd w:val="clear" w:color="000000" w:fill="FFFFFF"/>
            <w:vAlign w:val="center"/>
            <w:hideMark/>
          </w:tcPr>
          <w:p w14:paraId="24E5C0C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31</w:t>
            </w:r>
          </w:p>
        </w:tc>
        <w:tc>
          <w:tcPr>
            <w:tcW w:w="301" w:type="pct"/>
            <w:tcBorders>
              <w:top w:val="nil"/>
              <w:left w:val="nil"/>
              <w:bottom w:val="single" w:sz="8" w:space="0" w:color="333333"/>
              <w:right w:val="nil"/>
            </w:tcBorders>
            <w:shd w:val="clear" w:color="000000" w:fill="FFFFFF"/>
            <w:vAlign w:val="center"/>
            <w:hideMark/>
          </w:tcPr>
          <w:p w14:paraId="1D21975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26,635</w:t>
            </w:r>
          </w:p>
        </w:tc>
        <w:tc>
          <w:tcPr>
            <w:tcW w:w="308" w:type="pct"/>
            <w:tcBorders>
              <w:top w:val="nil"/>
              <w:left w:val="nil"/>
              <w:bottom w:val="single" w:sz="8" w:space="0" w:color="333333"/>
              <w:right w:val="nil"/>
            </w:tcBorders>
            <w:shd w:val="clear" w:color="000000" w:fill="FFFFFF"/>
            <w:vAlign w:val="center"/>
          </w:tcPr>
          <w:p w14:paraId="2CB8BB6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1349</w:t>
            </w:r>
          </w:p>
        </w:tc>
        <w:tc>
          <w:tcPr>
            <w:tcW w:w="457" w:type="pct"/>
            <w:tcBorders>
              <w:top w:val="nil"/>
              <w:left w:val="nil"/>
              <w:bottom w:val="single" w:sz="8" w:space="0" w:color="333333"/>
              <w:right w:val="nil"/>
            </w:tcBorders>
            <w:shd w:val="clear" w:color="000000" w:fill="FFFFFF"/>
            <w:vAlign w:val="center"/>
            <w:hideMark/>
          </w:tcPr>
          <w:p w14:paraId="45FA387B"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11</w:t>
            </w:r>
            <w:r w:rsidRPr="00734942">
              <w:rPr>
                <w:rFonts w:ascii="Calibri" w:eastAsia="Times New Roman" w:hAnsi="Calibri" w:cs="Calibri"/>
                <w:color w:val="111111"/>
                <w:sz w:val="18"/>
                <w:szCs w:val="18"/>
                <w:lang w:eastAsia="en-GB"/>
              </w:rPr>
              <w:br/>
              <w:t>Children, n = 12</w:t>
            </w:r>
            <w:r w:rsidRPr="00734942">
              <w:rPr>
                <w:rFonts w:ascii="Calibri" w:eastAsia="Times New Roman" w:hAnsi="Calibri" w:cs="Calibri"/>
                <w:color w:val="111111"/>
                <w:sz w:val="18"/>
                <w:szCs w:val="18"/>
                <w:lang w:eastAsia="en-GB"/>
              </w:rPr>
              <w:br/>
              <w:t>Mixed, n = 8</w:t>
            </w:r>
          </w:p>
        </w:tc>
        <w:tc>
          <w:tcPr>
            <w:tcW w:w="964" w:type="pct"/>
            <w:tcBorders>
              <w:top w:val="nil"/>
              <w:left w:val="nil"/>
              <w:bottom w:val="single" w:sz="8" w:space="0" w:color="333333"/>
              <w:right w:val="nil"/>
            </w:tcBorders>
            <w:shd w:val="clear" w:color="000000" w:fill="FFFFFF"/>
            <w:vAlign w:val="center"/>
            <w:hideMark/>
          </w:tcPr>
          <w:p w14:paraId="2B55AD43"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28</w:t>
            </w:r>
            <w:r w:rsidRPr="00734942">
              <w:rPr>
                <w:rFonts w:ascii="Calibri" w:eastAsia="Times New Roman" w:hAnsi="Calibri" w:cs="Calibri"/>
                <w:color w:val="111111"/>
                <w:sz w:val="18"/>
                <w:szCs w:val="18"/>
                <w:lang w:eastAsia="en-GB"/>
              </w:rPr>
              <w:br/>
              <w:t>Nested 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2</w:t>
            </w:r>
          </w:p>
        </w:tc>
        <w:tc>
          <w:tcPr>
            <w:tcW w:w="704" w:type="pct"/>
            <w:tcBorders>
              <w:top w:val="nil"/>
              <w:left w:val="nil"/>
              <w:bottom w:val="single" w:sz="8" w:space="0" w:color="333333"/>
              <w:right w:val="nil"/>
            </w:tcBorders>
            <w:shd w:val="clear" w:color="000000" w:fill="FFFFFF"/>
            <w:vAlign w:val="center"/>
            <w:hideMark/>
          </w:tcPr>
          <w:p w14:paraId="10E4B05F"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27</w:t>
            </w:r>
            <w:r w:rsidRPr="00734942">
              <w:rPr>
                <w:rFonts w:ascii="Calibri" w:eastAsia="Times New Roman" w:hAnsi="Calibri" w:cs="Calibri"/>
                <w:color w:val="111111"/>
                <w:sz w:val="18"/>
                <w:szCs w:val="18"/>
                <w:lang w:eastAsia="en-GB"/>
              </w:rPr>
              <w:br/>
              <w:t>Population sample without diagnostic indicator, n = 4</w:t>
            </w:r>
          </w:p>
        </w:tc>
        <w:tc>
          <w:tcPr>
            <w:tcW w:w="742" w:type="pct"/>
            <w:tcBorders>
              <w:top w:val="nil"/>
              <w:left w:val="nil"/>
              <w:bottom w:val="single" w:sz="8" w:space="0" w:color="333333"/>
              <w:right w:val="nil"/>
            </w:tcBorders>
            <w:shd w:val="clear" w:color="000000" w:fill="FFFFFF"/>
            <w:vAlign w:val="center"/>
            <w:hideMark/>
          </w:tcPr>
          <w:p w14:paraId="304ED58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17</w:t>
            </w:r>
            <w:r w:rsidRPr="00734942">
              <w:rPr>
                <w:rFonts w:ascii="Calibri" w:eastAsia="Times New Roman" w:hAnsi="Calibri" w:cs="Calibri"/>
                <w:color w:val="111111"/>
                <w:sz w:val="18"/>
                <w:szCs w:val="18"/>
                <w:lang w:eastAsia="en-GB"/>
              </w:rPr>
              <w:br/>
              <w:t>Biopsy +/- serology, n = 14</w:t>
            </w:r>
          </w:p>
        </w:tc>
      </w:tr>
      <w:tr w:rsidR="0069305A" w:rsidRPr="00734942" w14:paraId="2A3FB193"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3F614AD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Type 2 Diabetes</w:t>
            </w:r>
          </w:p>
        </w:tc>
        <w:tc>
          <w:tcPr>
            <w:tcW w:w="774" w:type="pct"/>
            <w:tcBorders>
              <w:top w:val="nil"/>
              <w:left w:val="nil"/>
              <w:bottom w:val="single" w:sz="8" w:space="0" w:color="333333"/>
              <w:right w:val="nil"/>
            </w:tcBorders>
            <w:shd w:val="clear" w:color="000000" w:fill="FFFFFF"/>
            <w:vAlign w:val="center"/>
            <w:hideMark/>
          </w:tcPr>
          <w:p w14:paraId="12806728"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Type 2 Diabetes</w:t>
            </w:r>
          </w:p>
        </w:tc>
        <w:tc>
          <w:tcPr>
            <w:tcW w:w="278" w:type="pct"/>
            <w:tcBorders>
              <w:top w:val="nil"/>
              <w:left w:val="nil"/>
              <w:bottom w:val="single" w:sz="8" w:space="0" w:color="333333"/>
              <w:right w:val="nil"/>
            </w:tcBorders>
            <w:shd w:val="clear" w:color="000000" w:fill="FFFFFF"/>
            <w:vAlign w:val="center"/>
            <w:hideMark/>
          </w:tcPr>
          <w:p w14:paraId="63022F96"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w:t>
            </w:r>
          </w:p>
        </w:tc>
        <w:tc>
          <w:tcPr>
            <w:tcW w:w="301" w:type="pct"/>
            <w:tcBorders>
              <w:top w:val="nil"/>
              <w:left w:val="nil"/>
              <w:bottom w:val="single" w:sz="8" w:space="0" w:color="333333"/>
              <w:right w:val="nil"/>
            </w:tcBorders>
            <w:shd w:val="clear" w:color="000000" w:fill="FFFFFF"/>
            <w:vAlign w:val="center"/>
            <w:hideMark/>
          </w:tcPr>
          <w:p w14:paraId="65E88753"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8,199</w:t>
            </w:r>
          </w:p>
        </w:tc>
        <w:tc>
          <w:tcPr>
            <w:tcW w:w="308" w:type="pct"/>
            <w:tcBorders>
              <w:top w:val="nil"/>
              <w:left w:val="nil"/>
              <w:bottom w:val="single" w:sz="8" w:space="0" w:color="333333"/>
              <w:right w:val="nil"/>
            </w:tcBorders>
            <w:shd w:val="clear" w:color="000000" w:fill="FFFFFF"/>
            <w:vAlign w:val="center"/>
          </w:tcPr>
          <w:p w14:paraId="249C625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110</w:t>
            </w:r>
          </w:p>
        </w:tc>
        <w:tc>
          <w:tcPr>
            <w:tcW w:w="457" w:type="pct"/>
            <w:tcBorders>
              <w:top w:val="nil"/>
              <w:left w:val="nil"/>
              <w:bottom w:val="single" w:sz="8" w:space="0" w:color="333333"/>
              <w:right w:val="nil"/>
            </w:tcBorders>
            <w:shd w:val="clear" w:color="000000" w:fill="FFFFFF"/>
            <w:vAlign w:val="center"/>
            <w:hideMark/>
          </w:tcPr>
          <w:p w14:paraId="1E750EED"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4</w:t>
            </w:r>
            <w:r w:rsidRPr="00734942">
              <w:rPr>
                <w:rFonts w:ascii="Calibri" w:eastAsia="Times New Roman" w:hAnsi="Calibri" w:cs="Calibri"/>
                <w:color w:val="111111"/>
                <w:sz w:val="18"/>
                <w:szCs w:val="18"/>
                <w:lang w:eastAsia="en-GB"/>
              </w:rPr>
              <w:br/>
              <w:t>Mixed, n = 2</w:t>
            </w:r>
          </w:p>
        </w:tc>
        <w:tc>
          <w:tcPr>
            <w:tcW w:w="964" w:type="pct"/>
            <w:tcBorders>
              <w:top w:val="nil"/>
              <w:left w:val="nil"/>
              <w:bottom w:val="single" w:sz="8" w:space="0" w:color="333333"/>
              <w:right w:val="nil"/>
            </w:tcBorders>
            <w:shd w:val="clear" w:color="000000" w:fill="FFFFFF"/>
            <w:vAlign w:val="center"/>
            <w:hideMark/>
          </w:tcPr>
          <w:p w14:paraId="0BCA6ED8"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5</w:t>
            </w:r>
            <w:r w:rsidRPr="00734942">
              <w:rPr>
                <w:rFonts w:ascii="Calibri" w:eastAsia="Times New Roman" w:hAnsi="Calibri" w:cs="Calibri"/>
                <w:color w:val="111111"/>
                <w:sz w:val="18"/>
                <w:szCs w:val="18"/>
                <w:lang w:eastAsia="en-GB"/>
              </w:rPr>
              <w:br/>
              <w:t>Cohort/cross-sectional, n = 1</w:t>
            </w:r>
          </w:p>
        </w:tc>
        <w:tc>
          <w:tcPr>
            <w:tcW w:w="704" w:type="pct"/>
            <w:tcBorders>
              <w:top w:val="nil"/>
              <w:left w:val="nil"/>
              <w:bottom w:val="single" w:sz="8" w:space="0" w:color="333333"/>
              <w:right w:val="nil"/>
            </w:tcBorders>
            <w:shd w:val="clear" w:color="000000" w:fill="FFFFFF"/>
            <w:vAlign w:val="center"/>
            <w:hideMark/>
          </w:tcPr>
          <w:p w14:paraId="700B18A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5</w:t>
            </w:r>
            <w:r w:rsidRPr="00734942">
              <w:rPr>
                <w:rFonts w:ascii="Calibri" w:eastAsia="Times New Roman" w:hAnsi="Calibri" w:cs="Calibri"/>
                <w:color w:val="111111"/>
                <w:sz w:val="18"/>
                <w:szCs w:val="18"/>
                <w:lang w:eastAsia="en-GB"/>
              </w:rPr>
              <w:br/>
              <w:t>Population sample without diagnostic indicator, n = 1</w:t>
            </w:r>
          </w:p>
        </w:tc>
        <w:tc>
          <w:tcPr>
            <w:tcW w:w="742" w:type="pct"/>
            <w:tcBorders>
              <w:top w:val="nil"/>
              <w:left w:val="nil"/>
              <w:bottom w:val="single" w:sz="8" w:space="0" w:color="333333"/>
              <w:right w:val="nil"/>
            </w:tcBorders>
            <w:shd w:val="clear" w:color="000000" w:fill="FFFFFF"/>
            <w:vAlign w:val="center"/>
            <w:hideMark/>
          </w:tcPr>
          <w:p w14:paraId="74BDA3B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5</w:t>
            </w:r>
            <w:r w:rsidRPr="00734942">
              <w:rPr>
                <w:rFonts w:ascii="Calibri" w:eastAsia="Times New Roman" w:hAnsi="Calibri" w:cs="Calibri"/>
                <w:color w:val="111111"/>
                <w:sz w:val="18"/>
                <w:szCs w:val="18"/>
                <w:lang w:eastAsia="en-GB"/>
              </w:rPr>
              <w:br/>
              <w:t>Biopsy +/- serology, n = 1</w:t>
            </w:r>
          </w:p>
        </w:tc>
      </w:tr>
      <w:tr w:rsidR="0069305A" w:rsidRPr="00734942" w14:paraId="22F1AF37"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688C307D" w14:textId="77777777" w:rsidR="0069305A" w:rsidRPr="00734942" w:rsidRDefault="0069305A" w:rsidP="00F86021">
            <w:pPr>
              <w:spacing w:after="0" w:line="240" w:lineRule="auto"/>
              <w:rPr>
                <w:rFonts w:ascii="Calibri" w:eastAsia="Times New Roman" w:hAnsi="Calibri" w:cs="Calibri"/>
                <w:b/>
                <w:bCs/>
                <w:color w:val="111111"/>
                <w:sz w:val="18"/>
                <w:szCs w:val="18"/>
                <w:lang w:eastAsia="en-GB"/>
              </w:rPr>
            </w:pPr>
            <w:r>
              <w:rPr>
                <w:rFonts w:ascii="Calibri" w:eastAsia="Times New Roman" w:hAnsi="Calibri" w:cs="Calibri"/>
                <w:b/>
                <w:bCs/>
                <w:color w:val="111111"/>
                <w:sz w:val="18"/>
                <w:szCs w:val="18"/>
                <w:lang w:eastAsia="en-GB"/>
              </w:rPr>
              <w:t>Family history</w:t>
            </w:r>
          </w:p>
        </w:tc>
        <w:tc>
          <w:tcPr>
            <w:tcW w:w="774" w:type="pct"/>
            <w:tcBorders>
              <w:top w:val="nil"/>
              <w:left w:val="nil"/>
              <w:bottom w:val="single" w:sz="8" w:space="0" w:color="333333"/>
              <w:right w:val="nil"/>
            </w:tcBorders>
            <w:shd w:val="clear" w:color="000000" w:fill="FFFFFF"/>
            <w:vAlign w:val="center"/>
            <w:hideMark/>
          </w:tcPr>
          <w:p w14:paraId="652D0E50" w14:textId="77777777" w:rsidR="0069305A" w:rsidRPr="00734942" w:rsidRDefault="0069305A" w:rsidP="00F86021">
            <w:pPr>
              <w:spacing w:after="0" w:line="240" w:lineRule="auto"/>
              <w:rPr>
                <w:rFonts w:ascii="Calibri" w:eastAsia="Times New Roman" w:hAnsi="Calibri" w:cs="Calibri"/>
                <w:color w:val="000000"/>
                <w:sz w:val="18"/>
                <w:szCs w:val="18"/>
                <w:lang w:eastAsia="en-GB"/>
              </w:rPr>
            </w:pPr>
            <w:r w:rsidRPr="00734942">
              <w:rPr>
                <w:rFonts w:ascii="Calibri" w:eastAsia="Times New Roman" w:hAnsi="Calibri" w:cs="Calibri"/>
                <w:color w:val="000000"/>
                <w:sz w:val="18"/>
                <w:szCs w:val="18"/>
                <w:lang w:eastAsia="en-GB"/>
              </w:rPr>
              <w:t> </w:t>
            </w:r>
          </w:p>
        </w:tc>
        <w:tc>
          <w:tcPr>
            <w:tcW w:w="278" w:type="pct"/>
            <w:tcBorders>
              <w:top w:val="nil"/>
              <w:left w:val="nil"/>
              <w:bottom w:val="single" w:sz="8" w:space="0" w:color="333333"/>
              <w:right w:val="nil"/>
            </w:tcBorders>
            <w:shd w:val="clear" w:color="000000" w:fill="FFFFFF"/>
            <w:vAlign w:val="center"/>
            <w:hideMark/>
          </w:tcPr>
          <w:p w14:paraId="0C8B0A47"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301" w:type="pct"/>
            <w:tcBorders>
              <w:top w:val="nil"/>
              <w:left w:val="nil"/>
              <w:bottom w:val="single" w:sz="8" w:space="0" w:color="333333"/>
              <w:right w:val="nil"/>
            </w:tcBorders>
            <w:shd w:val="clear" w:color="000000" w:fill="FFFFFF"/>
            <w:vAlign w:val="center"/>
            <w:hideMark/>
          </w:tcPr>
          <w:p w14:paraId="4D15F8E5"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308" w:type="pct"/>
            <w:tcBorders>
              <w:top w:val="nil"/>
              <w:left w:val="nil"/>
              <w:bottom w:val="single" w:sz="8" w:space="0" w:color="333333"/>
              <w:right w:val="nil"/>
            </w:tcBorders>
            <w:shd w:val="clear" w:color="000000" w:fill="FFFFFF"/>
            <w:vAlign w:val="center"/>
          </w:tcPr>
          <w:p w14:paraId="5EFA3E62"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p>
        </w:tc>
        <w:tc>
          <w:tcPr>
            <w:tcW w:w="457" w:type="pct"/>
            <w:tcBorders>
              <w:top w:val="nil"/>
              <w:left w:val="nil"/>
              <w:bottom w:val="single" w:sz="8" w:space="0" w:color="333333"/>
              <w:right w:val="nil"/>
            </w:tcBorders>
            <w:shd w:val="clear" w:color="000000" w:fill="FFFFFF"/>
            <w:vAlign w:val="center"/>
            <w:hideMark/>
          </w:tcPr>
          <w:p w14:paraId="4138239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964" w:type="pct"/>
            <w:tcBorders>
              <w:top w:val="nil"/>
              <w:left w:val="nil"/>
              <w:bottom w:val="single" w:sz="8" w:space="0" w:color="333333"/>
              <w:right w:val="nil"/>
            </w:tcBorders>
            <w:shd w:val="clear" w:color="000000" w:fill="FFFFFF"/>
            <w:vAlign w:val="center"/>
            <w:hideMark/>
          </w:tcPr>
          <w:p w14:paraId="21BA70F0" w14:textId="77777777" w:rsidR="0069305A" w:rsidRPr="00734942" w:rsidRDefault="0069305A" w:rsidP="00F86021">
            <w:pPr>
              <w:spacing w:after="0" w:line="240" w:lineRule="auto"/>
              <w:rPr>
                <w:rFonts w:ascii="Calibri" w:eastAsia="Times New Roman" w:hAnsi="Calibri" w:cs="Calibri"/>
                <w:color w:val="000000"/>
                <w:sz w:val="18"/>
                <w:szCs w:val="18"/>
                <w:lang w:eastAsia="en-GB"/>
              </w:rPr>
            </w:pPr>
            <w:r w:rsidRPr="00734942">
              <w:rPr>
                <w:rFonts w:ascii="Calibri" w:eastAsia="Times New Roman" w:hAnsi="Calibri" w:cs="Calibri"/>
                <w:color w:val="000000"/>
                <w:sz w:val="18"/>
                <w:szCs w:val="18"/>
                <w:lang w:eastAsia="en-GB"/>
              </w:rPr>
              <w:t> </w:t>
            </w:r>
          </w:p>
        </w:tc>
        <w:tc>
          <w:tcPr>
            <w:tcW w:w="704" w:type="pct"/>
            <w:tcBorders>
              <w:top w:val="nil"/>
              <w:left w:val="nil"/>
              <w:bottom w:val="single" w:sz="8" w:space="0" w:color="333333"/>
              <w:right w:val="nil"/>
            </w:tcBorders>
            <w:shd w:val="clear" w:color="000000" w:fill="FFFFFF"/>
            <w:vAlign w:val="center"/>
            <w:hideMark/>
          </w:tcPr>
          <w:p w14:paraId="088B5E3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c>
          <w:tcPr>
            <w:tcW w:w="742" w:type="pct"/>
            <w:tcBorders>
              <w:top w:val="nil"/>
              <w:left w:val="nil"/>
              <w:bottom w:val="single" w:sz="8" w:space="0" w:color="333333"/>
              <w:right w:val="nil"/>
            </w:tcBorders>
            <w:shd w:val="clear" w:color="000000" w:fill="FFFFFF"/>
            <w:vAlign w:val="center"/>
            <w:hideMark/>
          </w:tcPr>
          <w:p w14:paraId="65A9175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 </w:t>
            </w:r>
          </w:p>
        </w:tc>
      </w:tr>
      <w:tr w:rsidR="0069305A" w:rsidRPr="00734942" w14:paraId="3181FFDD" w14:textId="77777777" w:rsidTr="00F86021">
        <w:trPr>
          <w:trHeight w:val="60"/>
        </w:trPr>
        <w:tc>
          <w:tcPr>
            <w:tcW w:w="471" w:type="pct"/>
            <w:tcBorders>
              <w:top w:val="nil"/>
              <w:left w:val="nil"/>
              <w:bottom w:val="single" w:sz="8" w:space="0" w:color="333333"/>
              <w:right w:val="nil"/>
            </w:tcBorders>
            <w:shd w:val="clear" w:color="000000" w:fill="FFFFFF"/>
            <w:vAlign w:val="center"/>
            <w:hideMark/>
          </w:tcPr>
          <w:p w14:paraId="2CDB8A7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Family history of CD</w:t>
            </w:r>
          </w:p>
        </w:tc>
        <w:tc>
          <w:tcPr>
            <w:tcW w:w="774" w:type="pct"/>
            <w:tcBorders>
              <w:top w:val="nil"/>
              <w:left w:val="nil"/>
              <w:bottom w:val="single" w:sz="8" w:space="0" w:color="333333"/>
              <w:right w:val="nil"/>
            </w:tcBorders>
            <w:shd w:val="clear" w:color="000000" w:fill="FFFFFF"/>
            <w:vAlign w:val="center"/>
            <w:hideMark/>
          </w:tcPr>
          <w:p w14:paraId="7D5B43D4"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Relatives with CD (first- or second-degree or unspecified)</w:t>
            </w:r>
          </w:p>
        </w:tc>
        <w:tc>
          <w:tcPr>
            <w:tcW w:w="278" w:type="pct"/>
            <w:tcBorders>
              <w:top w:val="nil"/>
              <w:left w:val="nil"/>
              <w:bottom w:val="single" w:sz="8" w:space="0" w:color="333333"/>
              <w:right w:val="nil"/>
            </w:tcBorders>
            <w:shd w:val="clear" w:color="000000" w:fill="FFFFFF"/>
            <w:vAlign w:val="center"/>
            <w:hideMark/>
          </w:tcPr>
          <w:p w14:paraId="314604F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13</w:t>
            </w:r>
          </w:p>
        </w:tc>
        <w:tc>
          <w:tcPr>
            <w:tcW w:w="301" w:type="pct"/>
            <w:tcBorders>
              <w:top w:val="nil"/>
              <w:left w:val="nil"/>
              <w:bottom w:val="single" w:sz="8" w:space="0" w:color="333333"/>
              <w:right w:val="nil"/>
            </w:tcBorders>
            <w:shd w:val="clear" w:color="000000" w:fill="FFFFFF"/>
            <w:vAlign w:val="center"/>
            <w:hideMark/>
          </w:tcPr>
          <w:p w14:paraId="663A4A2E"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31,827</w:t>
            </w:r>
          </w:p>
        </w:tc>
        <w:tc>
          <w:tcPr>
            <w:tcW w:w="308" w:type="pct"/>
            <w:tcBorders>
              <w:top w:val="nil"/>
              <w:left w:val="nil"/>
              <w:bottom w:val="single" w:sz="8" w:space="0" w:color="333333"/>
              <w:right w:val="nil"/>
            </w:tcBorders>
            <w:shd w:val="clear" w:color="000000" w:fill="FFFFFF"/>
            <w:vAlign w:val="center"/>
          </w:tcPr>
          <w:p w14:paraId="653CB29B"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672</w:t>
            </w:r>
          </w:p>
        </w:tc>
        <w:tc>
          <w:tcPr>
            <w:tcW w:w="457" w:type="pct"/>
            <w:tcBorders>
              <w:top w:val="nil"/>
              <w:left w:val="nil"/>
              <w:bottom w:val="single" w:sz="8" w:space="0" w:color="333333"/>
              <w:right w:val="nil"/>
            </w:tcBorders>
            <w:shd w:val="clear" w:color="000000" w:fill="FFFFFF"/>
            <w:vAlign w:val="center"/>
            <w:hideMark/>
          </w:tcPr>
          <w:p w14:paraId="649CD3BA" w14:textId="77777777"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Adults, n = 5</w:t>
            </w:r>
            <w:r w:rsidRPr="00734942">
              <w:rPr>
                <w:rFonts w:ascii="Calibri" w:eastAsia="Times New Roman" w:hAnsi="Calibri" w:cs="Calibri"/>
                <w:color w:val="111111"/>
                <w:sz w:val="18"/>
                <w:szCs w:val="18"/>
                <w:lang w:eastAsia="en-GB"/>
              </w:rPr>
              <w:br/>
              <w:t>Children, n = 4</w:t>
            </w:r>
            <w:r w:rsidRPr="00734942">
              <w:rPr>
                <w:rFonts w:ascii="Calibri" w:eastAsia="Times New Roman" w:hAnsi="Calibri" w:cs="Calibri"/>
                <w:color w:val="111111"/>
                <w:sz w:val="18"/>
                <w:szCs w:val="18"/>
                <w:lang w:eastAsia="en-GB"/>
              </w:rPr>
              <w:br/>
              <w:t>Mixed, n = 4</w:t>
            </w:r>
          </w:p>
        </w:tc>
        <w:tc>
          <w:tcPr>
            <w:tcW w:w="964" w:type="pct"/>
            <w:tcBorders>
              <w:top w:val="nil"/>
              <w:left w:val="nil"/>
              <w:bottom w:val="single" w:sz="8" w:space="0" w:color="333333"/>
              <w:right w:val="nil"/>
            </w:tcBorders>
            <w:shd w:val="clear" w:color="000000" w:fill="FFFFFF"/>
            <w:vAlign w:val="center"/>
            <w:hideMark/>
          </w:tcPr>
          <w:p w14:paraId="6F73643A" w14:textId="1A31FF09" w:rsidR="0069305A" w:rsidRPr="00734942" w:rsidRDefault="0069305A" w:rsidP="00F86021">
            <w:pPr>
              <w:spacing w:after="0" w:line="240" w:lineRule="auto"/>
              <w:rPr>
                <w:rFonts w:ascii="Calibri" w:eastAsia="Times New Roman" w:hAnsi="Calibri" w:cs="Calibri"/>
                <w:color w:val="111111"/>
                <w:sz w:val="18"/>
                <w:szCs w:val="18"/>
                <w:highlight w:val="yellow"/>
                <w:lang w:eastAsia="en-GB"/>
              </w:rPr>
            </w:pPr>
            <w:r w:rsidRPr="00734942">
              <w:rPr>
                <w:rFonts w:ascii="Calibri" w:eastAsia="Times New Roman" w:hAnsi="Calibri" w:cs="Calibri"/>
                <w:color w:val="111111"/>
                <w:sz w:val="18"/>
                <w:szCs w:val="18"/>
                <w:lang w:eastAsia="en-GB"/>
              </w:rPr>
              <w:t>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6</w:t>
            </w:r>
            <w:r w:rsidRPr="00734942">
              <w:rPr>
                <w:rFonts w:ascii="Calibri" w:eastAsia="Times New Roman" w:hAnsi="Calibri" w:cs="Calibri"/>
                <w:color w:val="111111"/>
                <w:sz w:val="18"/>
                <w:szCs w:val="18"/>
                <w:lang w:eastAsia="en-GB"/>
              </w:rPr>
              <w:br/>
              <w:t>Case-control (CD)</w:t>
            </w:r>
            <w:r w:rsidRPr="005F5E0D">
              <w:rPr>
                <w:rFonts w:ascii="Calibri" w:eastAsia="Times New Roman" w:hAnsi="Calibri" w:cs="Calibri"/>
                <w:color w:val="111111"/>
                <w:sz w:val="18"/>
                <w:szCs w:val="18"/>
                <w:vertAlign w:val="superscript"/>
                <w:lang w:eastAsia="en-GB"/>
              </w:rPr>
              <w:t>b</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Nested case-control (DI)</w:t>
            </w:r>
            <w:r w:rsidRPr="005F5E0D">
              <w:rPr>
                <w:rFonts w:ascii="Calibri" w:eastAsia="Times New Roman" w:hAnsi="Calibri" w:cs="Calibri"/>
                <w:color w:val="111111"/>
                <w:sz w:val="18"/>
                <w:szCs w:val="18"/>
                <w:vertAlign w:val="superscript"/>
                <w:lang w:eastAsia="en-GB"/>
              </w:rPr>
              <w:t>a</w:t>
            </w:r>
            <w:r w:rsidRPr="00734942">
              <w:rPr>
                <w:rFonts w:ascii="Calibri" w:eastAsia="Times New Roman" w:hAnsi="Calibri" w:cs="Calibri"/>
                <w:color w:val="111111"/>
                <w:sz w:val="18"/>
                <w:szCs w:val="18"/>
                <w:lang w:eastAsia="en-GB"/>
              </w:rPr>
              <w:t>, n = 1</w:t>
            </w:r>
            <w:r w:rsidRPr="00734942">
              <w:rPr>
                <w:rFonts w:ascii="Calibri" w:eastAsia="Times New Roman" w:hAnsi="Calibri" w:cs="Calibri"/>
                <w:color w:val="111111"/>
                <w:sz w:val="18"/>
                <w:szCs w:val="18"/>
                <w:lang w:eastAsia="en-GB"/>
              </w:rPr>
              <w:br/>
              <w:t>Cohort/cross-sectional, n = 5</w:t>
            </w:r>
          </w:p>
        </w:tc>
        <w:tc>
          <w:tcPr>
            <w:tcW w:w="704" w:type="pct"/>
            <w:tcBorders>
              <w:top w:val="nil"/>
              <w:left w:val="nil"/>
              <w:bottom w:val="single" w:sz="8" w:space="0" w:color="333333"/>
              <w:right w:val="nil"/>
            </w:tcBorders>
            <w:shd w:val="clear" w:color="000000" w:fill="FFFFFF"/>
            <w:vAlign w:val="center"/>
            <w:hideMark/>
          </w:tcPr>
          <w:p w14:paraId="38D90739"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Healthy controls, n = 6</w:t>
            </w:r>
            <w:r w:rsidRPr="00734942">
              <w:rPr>
                <w:rFonts w:ascii="Calibri" w:eastAsia="Times New Roman" w:hAnsi="Calibri" w:cs="Calibri"/>
                <w:color w:val="111111"/>
                <w:sz w:val="18"/>
                <w:szCs w:val="18"/>
                <w:lang w:eastAsia="en-GB"/>
              </w:rPr>
              <w:br/>
              <w:t>Population sample without diagnostic indicator, n = 7</w:t>
            </w:r>
          </w:p>
        </w:tc>
        <w:tc>
          <w:tcPr>
            <w:tcW w:w="742" w:type="pct"/>
            <w:tcBorders>
              <w:top w:val="nil"/>
              <w:left w:val="nil"/>
              <w:bottom w:val="single" w:sz="8" w:space="0" w:color="333333"/>
              <w:right w:val="nil"/>
            </w:tcBorders>
            <w:shd w:val="clear" w:color="000000" w:fill="FFFFFF"/>
            <w:vAlign w:val="center"/>
            <w:hideMark/>
          </w:tcPr>
          <w:p w14:paraId="78F6DCD0" w14:textId="77777777" w:rsidR="0069305A" w:rsidRPr="00734942" w:rsidRDefault="0069305A" w:rsidP="00F86021">
            <w:pPr>
              <w:spacing w:after="0" w:line="240" w:lineRule="auto"/>
              <w:rPr>
                <w:rFonts w:ascii="Calibri" w:eastAsia="Times New Roman" w:hAnsi="Calibri" w:cs="Calibri"/>
                <w:color w:val="111111"/>
                <w:sz w:val="18"/>
                <w:szCs w:val="18"/>
                <w:lang w:eastAsia="en-GB"/>
              </w:rPr>
            </w:pPr>
            <w:r w:rsidRPr="00734942">
              <w:rPr>
                <w:rFonts w:ascii="Calibri" w:eastAsia="Times New Roman" w:hAnsi="Calibri" w:cs="Calibri"/>
                <w:color w:val="111111"/>
                <w:sz w:val="18"/>
                <w:szCs w:val="18"/>
                <w:lang w:eastAsia="en-GB"/>
              </w:rPr>
              <w:t>Serology only, n = 12</w:t>
            </w:r>
            <w:r w:rsidRPr="00734942">
              <w:rPr>
                <w:rFonts w:ascii="Calibri" w:eastAsia="Times New Roman" w:hAnsi="Calibri" w:cs="Calibri"/>
                <w:color w:val="111111"/>
                <w:sz w:val="18"/>
                <w:szCs w:val="18"/>
                <w:lang w:eastAsia="en-GB"/>
              </w:rPr>
              <w:br/>
              <w:t>Biopsy +/- serology, n = 1</w:t>
            </w:r>
          </w:p>
        </w:tc>
      </w:tr>
    </w:tbl>
    <w:p w14:paraId="63419521" w14:textId="77777777" w:rsidR="0069305A" w:rsidRPr="00734942" w:rsidRDefault="0069305A" w:rsidP="0069305A"/>
    <w:p w14:paraId="02BF3A1F" w14:textId="77777777" w:rsidR="0069305A" w:rsidRPr="0069305A" w:rsidRDefault="0069305A" w:rsidP="000526F1"/>
    <w:p w14:paraId="3D8CD341" w14:textId="1E11C0FC" w:rsidR="006F724F" w:rsidRDefault="006F724F">
      <w:pPr>
        <w:rPr>
          <w:rFonts w:asciiTheme="majorHAnsi" w:eastAsiaTheme="majorEastAsia" w:hAnsiTheme="majorHAnsi" w:cstheme="majorBidi"/>
          <w:color w:val="1F3763" w:themeColor="accent1" w:themeShade="7F"/>
          <w:sz w:val="24"/>
          <w:szCs w:val="24"/>
        </w:rPr>
      </w:pPr>
      <w:r>
        <w:br w:type="page"/>
      </w:r>
    </w:p>
    <w:p w14:paraId="7FBB0FD3" w14:textId="6B4ECD27" w:rsidR="00EE0196" w:rsidRPr="00EE0196" w:rsidRDefault="00EE0196" w:rsidP="000526F1">
      <w:pPr>
        <w:pStyle w:val="Heading2"/>
      </w:pPr>
      <w:bookmarkStart w:id="358" w:name="_Toc99539924"/>
      <w:r>
        <w:lastRenderedPageBreak/>
        <w:t>Appendix 4</w:t>
      </w:r>
      <w:bookmarkEnd w:id="358"/>
    </w:p>
    <w:p w14:paraId="16FBF4D5" w14:textId="758D45D6" w:rsidR="00C70696" w:rsidRPr="00C70696" w:rsidRDefault="001144D8" w:rsidP="0064572A">
      <w:pPr>
        <w:pStyle w:val="Heading3"/>
      </w:pPr>
      <w:bookmarkStart w:id="359" w:name="_Toc99539925"/>
      <w:r w:rsidRPr="00734942">
        <w:t>Study characteristics per diagnostic indictor</w:t>
      </w:r>
      <w:bookmarkEnd w:id="359"/>
    </w:p>
    <w:p w14:paraId="60082015" w14:textId="2B2BA05E" w:rsidR="00C70696" w:rsidRDefault="00C70696" w:rsidP="000526F1">
      <w:pPr>
        <w:pStyle w:val="Caption"/>
      </w:pPr>
      <w:bookmarkStart w:id="360" w:name="_Ref95315480"/>
      <w:bookmarkStart w:id="361" w:name="_Toc99720736"/>
      <w:r>
        <w:t xml:space="preserve">Table </w:t>
      </w:r>
      <w:r w:rsidR="00C34531">
        <w:fldChar w:fldCharType="begin"/>
      </w:r>
      <w:r w:rsidR="00C34531">
        <w:instrText xml:space="preserve"> SEQ Table \* ARABIC </w:instrText>
      </w:r>
      <w:r w:rsidR="00C34531">
        <w:fldChar w:fldCharType="separate"/>
      </w:r>
      <w:r w:rsidR="008B5583">
        <w:rPr>
          <w:noProof/>
        </w:rPr>
        <w:t>25</w:t>
      </w:r>
      <w:r w:rsidR="00C34531">
        <w:rPr>
          <w:noProof/>
        </w:rPr>
        <w:fldChar w:fldCharType="end"/>
      </w:r>
      <w:bookmarkEnd w:id="360"/>
      <w:r>
        <w:t xml:space="preserve"> </w:t>
      </w:r>
      <w:r w:rsidRPr="00AA2388">
        <w:t xml:space="preserve"> Study characteristics: Abdominal pain</w:t>
      </w:r>
      <w:bookmarkEnd w:id="361"/>
    </w:p>
    <w:tbl>
      <w:tblPr>
        <w:tblW w:w="5000" w:type="pct"/>
        <w:jc w:val="center"/>
        <w:tblLook w:val="0420" w:firstRow="1" w:lastRow="0" w:firstColumn="0" w:lastColumn="0" w:noHBand="0" w:noVBand="1"/>
      </w:tblPr>
      <w:tblGrid>
        <w:gridCol w:w="2023"/>
        <w:gridCol w:w="1401"/>
        <w:gridCol w:w="1418"/>
        <w:gridCol w:w="812"/>
        <w:gridCol w:w="865"/>
        <w:gridCol w:w="2119"/>
        <w:gridCol w:w="1862"/>
        <w:gridCol w:w="1256"/>
        <w:gridCol w:w="1171"/>
        <w:gridCol w:w="1031"/>
      </w:tblGrid>
      <w:tr w:rsidR="007B756D" w:rsidRPr="00734942" w14:paraId="0E19E162" w14:textId="77777777" w:rsidTr="006658D1">
        <w:trPr>
          <w:cantSplit/>
          <w:tblHeader/>
          <w:jc w:val="center"/>
        </w:trPr>
        <w:tc>
          <w:tcPr>
            <w:tcW w:w="72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9264D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0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D6F23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50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BAD66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636BF8C"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1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5F0B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75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248AC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6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8FB63E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5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F3552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BA971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E6B86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6D79C309" w14:textId="77777777" w:rsidTr="006658D1">
        <w:trPr>
          <w:cantSplit/>
          <w:jc w:val="center"/>
        </w:trPr>
        <w:tc>
          <w:tcPr>
            <w:tcW w:w="725" w:type="pct"/>
            <w:shd w:val="clear" w:color="auto" w:fill="FFFFFF"/>
            <w:tcMar>
              <w:top w:w="0" w:type="dxa"/>
              <w:left w:w="0" w:type="dxa"/>
              <w:bottom w:w="0" w:type="dxa"/>
              <w:right w:w="0" w:type="dxa"/>
            </w:tcMar>
            <w:vAlign w:val="center"/>
          </w:tcPr>
          <w:p w14:paraId="11E813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0F4EE6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8" w:type="pct"/>
            <w:shd w:val="clear" w:color="auto" w:fill="FFFFFF"/>
            <w:tcMar>
              <w:top w:w="0" w:type="dxa"/>
              <w:left w:w="0" w:type="dxa"/>
              <w:bottom w:w="0" w:type="dxa"/>
              <w:right w:w="0" w:type="dxa"/>
            </w:tcMar>
            <w:vAlign w:val="center"/>
          </w:tcPr>
          <w:p w14:paraId="60DB14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Acute abdominal pain</w:t>
            </w:r>
          </w:p>
        </w:tc>
        <w:tc>
          <w:tcPr>
            <w:tcW w:w="291" w:type="pct"/>
            <w:shd w:val="clear" w:color="auto" w:fill="FFFFFF"/>
            <w:tcMar>
              <w:top w:w="0" w:type="dxa"/>
              <w:left w:w="0" w:type="dxa"/>
              <w:bottom w:w="0" w:type="dxa"/>
              <w:right w:w="0" w:type="dxa"/>
            </w:tcMar>
            <w:vAlign w:val="center"/>
          </w:tcPr>
          <w:p w14:paraId="4FAA6AF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600</w:t>
            </w:r>
          </w:p>
        </w:tc>
        <w:tc>
          <w:tcPr>
            <w:tcW w:w="310" w:type="pct"/>
            <w:shd w:val="clear" w:color="auto" w:fill="FFFFFF"/>
            <w:tcMar>
              <w:top w:w="0" w:type="dxa"/>
              <w:left w:w="0" w:type="dxa"/>
              <w:bottom w:w="0" w:type="dxa"/>
              <w:right w:w="0" w:type="dxa"/>
            </w:tcMar>
            <w:vAlign w:val="center"/>
          </w:tcPr>
          <w:p w14:paraId="57D569E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59" w:type="pct"/>
            <w:shd w:val="clear" w:color="auto" w:fill="FFFFFF"/>
            <w:tcMar>
              <w:top w:w="0" w:type="dxa"/>
              <w:left w:w="0" w:type="dxa"/>
              <w:bottom w:w="0" w:type="dxa"/>
              <w:right w:w="0" w:type="dxa"/>
            </w:tcMar>
            <w:vAlign w:val="center"/>
          </w:tcPr>
          <w:p w14:paraId="314BBD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67" w:type="pct"/>
            <w:shd w:val="clear" w:color="auto" w:fill="FFFFFF"/>
            <w:tcMar>
              <w:top w:w="0" w:type="dxa"/>
              <w:left w:w="0" w:type="dxa"/>
              <w:bottom w:w="0" w:type="dxa"/>
              <w:right w:w="0" w:type="dxa"/>
            </w:tcMar>
            <w:vAlign w:val="center"/>
          </w:tcPr>
          <w:p w14:paraId="41BC11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50" w:type="pct"/>
            <w:shd w:val="clear" w:color="auto" w:fill="FFFFFF"/>
            <w:tcMar>
              <w:top w:w="0" w:type="dxa"/>
              <w:left w:w="0" w:type="dxa"/>
              <w:bottom w:w="0" w:type="dxa"/>
              <w:right w:w="0" w:type="dxa"/>
            </w:tcMar>
            <w:vAlign w:val="center"/>
          </w:tcPr>
          <w:p w14:paraId="66E5E0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1BE57F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NR</w:t>
            </w:r>
          </w:p>
        </w:tc>
        <w:tc>
          <w:tcPr>
            <w:tcW w:w="369" w:type="pct"/>
            <w:shd w:val="clear" w:color="auto" w:fill="FFFFFF"/>
            <w:tcMar>
              <w:top w:w="0" w:type="dxa"/>
              <w:left w:w="0" w:type="dxa"/>
              <w:bottom w:w="0" w:type="dxa"/>
              <w:right w:w="0" w:type="dxa"/>
            </w:tcMar>
            <w:vAlign w:val="center"/>
          </w:tcPr>
          <w:p w14:paraId="4E6AACF3" w14:textId="6BFF9FA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ExcludeYear="1"&gt;&lt;Author&gt;Hopper&lt;/Author&gt;&lt;Year&gt;2005&lt;/Year&gt;&lt;RecNum&gt;133&lt;/RecNum&gt;&lt;DisplayText&gt;&lt;style face="superscript"&gt;297&lt;/style&gt;&lt;/DisplayText&gt;&lt;record&gt;&lt;rec-number&gt;133&lt;/rec-number&gt;&lt;foreign-keys&gt;&lt;key app="EN" db-id="tdwrx9xd1z9eepeevr355w2k959rv0f5zaax" timestamp="1632756121"&gt;133&lt;/key&gt;&lt;/foreign-keys&gt;&lt;ref-type name="Journal Article"&gt;17&lt;/ref-type&gt;&lt;contributors&gt;&lt;authors&gt;&lt;author&gt;Hopper, A. D.&lt;/author&gt;&lt;author&gt;Azmy, I. A.&lt;/author&gt;&lt;author&gt;Rahman, N.&lt;/author&gt;&lt;author&gt;Hurlstone, D. P.&lt;/author&gt;&lt;author&gt;Leeds, J. S.&lt;/author&gt;&lt;author&gt;George, R. R.&lt;/author&gt;&lt;author&gt;Bhala, N.&lt;/author&gt;&lt;author&gt;Sanders, D. S.&lt;/author&gt;&lt;/authors&gt;&lt;/contributors&gt;&lt;titles&gt;&lt;title&gt;Association of adult coeliac disease with surgical abdominal pain: a case controlled study in patients referred to secondary care&lt;/title&gt;&lt;secondary-title&gt;Gastroenterology&lt;/secondary-title&gt;&lt;/titles&gt;&lt;periodical&gt;&lt;full-title&gt;Gastroenterology&lt;/full-title&gt;&lt;/periodical&gt;&lt;pages&gt;A255-A255&lt;/pages&gt;&lt;volume&gt;128&lt;/volume&gt;&lt;number&gt;4&lt;/number&gt;&lt;dates&gt;&lt;year&gt;2005&lt;/year&gt;&lt;pub-dates&gt;&lt;date&gt;Apr&lt;/date&gt;&lt;/pub-dates&gt;&lt;/dates&gt;&lt;isbn&gt;0016-5085&lt;/isbn&gt;&lt;accession-num&gt;WOS:000228619302064&lt;/accession-num&gt;&lt;urls&gt;&lt;related-urls&gt;&lt;url&gt;&amp;lt;Go to ISI&amp;gt;://WOS:000228619302064&lt;/url&gt;&lt;/related-urls&gt;&lt;/urls&gt;&lt;remote-database-name&gt;Web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297</w:t>
            </w:r>
            <w:r w:rsidRPr="00734942">
              <w:rPr>
                <w:rFonts w:ascii="Arial" w:eastAsia="Arial" w:hAnsi="Arial" w:cs="Arial"/>
                <w:color w:val="111111"/>
                <w:sz w:val="18"/>
                <w:szCs w:val="18"/>
              </w:rPr>
              <w:fldChar w:fldCharType="end"/>
            </w:r>
          </w:p>
        </w:tc>
      </w:tr>
      <w:tr w:rsidR="007B756D" w:rsidRPr="00734942" w14:paraId="2D9C3FA2" w14:textId="77777777" w:rsidTr="006658D1">
        <w:trPr>
          <w:cantSplit/>
          <w:jc w:val="center"/>
        </w:trPr>
        <w:tc>
          <w:tcPr>
            <w:tcW w:w="725" w:type="pct"/>
            <w:shd w:val="clear" w:color="auto" w:fill="FFFFFF"/>
            <w:tcMar>
              <w:top w:w="0" w:type="dxa"/>
              <w:left w:w="0" w:type="dxa"/>
              <w:bottom w:w="0" w:type="dxa"/>
              <w:right w:w="0" w:type="dxa"/>
            </w:tcMar>
            <w:vAlign w:val="center"/>
          </w:tcPr>
          <w:p w14:paraId="733C2B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665EAC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w:t>
            </w:r>
            <w:bookmarkStart w:id="362" w:name="_Hlk65240503"/>
            <w:r w:rsidRPr="00734942">
              <w:rPr>
                <w:rFonts w:ascii="Arial" w:eastAsia="Arial" w:hAnsi="Arial" w:cs="Arial"/>
                <w:color w:val="111111"/>
                <w:sz w:val="18"/>
                <w:szCs w:val="18"/>
              </w:rPr>
              <w:t>DI</w:t>
            </w:r>
            <w:bookmarkEnd w:id="362"/>
            <w:r w:rsidRPr="00734942">
              <w:rPr>
                <w:rFonts w:ascii="Arial" w:eastAsia="Arial" w:hAnsi="Arial" w:cs="Arial"/>
                <w:color w:val="111111"/>
                <w:sz w:val="18"/>
                <w:szCs w:val="18"/>
              </w:rPr>
              <w:t>)</w:t>
            </w:r>
          </w:p>
        </w:tc>
        <w:tc>
          <w:tcPr>
            <w:tcW w:w="508" w:type="pct"/>
            <w:shd w:val="clear" w:color="auto" w:fill="FFFFFF"/>
            <w:tcMar>
              <w:top w:w="0" w:type="dxa"/>
              <w:left w:w="0" w:type="dxa"/>
              <w:bottom w:w="0" w:type="dxa"/>
              <w:right w:w="0" w:type="dxa"/>
            </w:tcMar>
            <w:vAlign w:val="center"/>
          </w:tcPr>
          <w:p w14:paraId="590284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Acute abdominal pain</w:t>
            </w:r>
          </w:p>
        </w:tc>
        <w:tc>
          <w:tcPr>
            <w:tcW w:w="291" w:type="pct"/>
            <w:shd w:val="clear" w:color="auto" w:fill="FFFFFF"/>
            <w:tcMar>
              <w:top w:w="0" w:type="dxa"/>
              <w:left w:w="0" w:type="dxa"/>
              <w:bottom w:w="0" w:type="dxa"/>
              <w:right w:w="0" w:type="dxa"/>
            </w:tcMar>
            <w:vAlign w:val="center"/>
          </w:tcPr>
          <w:p w14:paraId="5090525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600</w:t>
            </w:r>
          </w:p>
        </w:tc>
        <w:tc>
          <w:tcPr>
            <w:tcW w:w="310" w:type="pct"/>
            <w:shd w:val="clear" w:color="auto" w:fill="FFFFFF"/>
            <w:tcMar>
              <w:top w:w="0" w:type="dxa"/>
              <w:left w:w="0" w:type="dxa"/>
              <w:bottom w:w="0" w:type="dxa"/>
              <w:right w:w="0" w:type="dxa"/>
            </w:tcMar>
            <w:vAlign w:val="center"/>
          </w:tcPr>
          <w:p w14:paraId="4BB3C43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59" w:type="pct"/>
            <w:shd w:val="clear" w:color="auto" w:fill="FFFFFF"/>
            <w:tcMar>
              <w:top w:w="0" w:type="dxa"/>
              <w:left w:w="0" w:type="dxa"/>
              <w:bottom w:w="0" w:type="dxa"/>
              <w:right w:w="0" w:type="dxa"/>
            </w:tcMar>
            <w:vAlign w:val="center"/>
          </w:tcPr>
          <w:p w14:paraId="4A7B98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67" w:type="pct"/>
            <w:shd w:val="clear" w:color="auto" w:fill="FFFFFF"/>
            <w:tcMar>
              <w:top w:w="0" w:type="dxa"/>
              <w:left w:w="0" w:type="dxa"/>
              <w:bottom w:w="0" w:type="dxa"/>
              <w:right w:w="0" w:type="dxa"/>
            </w:tcMar>
            <w:vAlign w:val="center"/>
          </w:tcPr>
          <w:p w14:paraId="02A0A4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50" w:type="pct"/>
            <w:shd w:val="clear" w:color="auto" w:fill="FFFFFF"/>
            <w:tcMar>
              <w:top w:w="0" w:type="dxa"/>
              <w:left w:w="0" w:type="dxa"/>
              <w:bottom w:w="0" w:type="dxa"/>
              <w:right w:w="0" w:type="dxa"/>
            </w:tcMar>
            <w:vAlign w:val="center"/>
          </w:tcPr>
          <w:p w14:paraId="67C5EC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2F0D86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34FECA1B" w14:textId="656AFA0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ExcludeYear="1"&gt;&lt;Author&gt;Sanders&lt;/Author&gt;&lt;Year&gt;2005&lt;/Year&gt;&lt;RecNum&gt;134&lt;/RecNum&gt;&lt;DisplayText&gt;&lt;style face="superscript"&gt;298&lt;/style&gt;&lt;/DisplayText&gt;&lt;record&gt;&lt;rec-number&gt;134&lt;/rec-number&gt;&lt;foreign-keys&gt;&lt;key app="EN" db-id="tdwrx9xd1z9eepeevr355w2k959rv0f5zaax" timestamp="1632756121"&gt;134&lt;/key&gt;&lt;/foreign-keys&gt;&lt;ref-type name="Journal Article"&gt;17&lt;/ref-type&gt;&lt;contributors&gt;&lt;authors&gt;&lt;author&gt;Sanders, D. S.&lt;/author&gt;&lt;author&gt;Hopper, A. D.&lt;/author&gt;&lt;author&gt;Azmy, I. A. F.&lt;/author&gt;&lt;author&gt;Rahman, N.&lt;/author&gt;&lt;author&gt;Hurlstone, D. P.&lt;/author&gt;&lt;author&gt;Leeds, J. S.&lt;/author&gt;&lt;author&gt;George, R. R.&lt;/author&gt;&lt;author&gt;Bhala, N.&lt;/author&gt;&lt;/authors&gt;&lt;/contributors&gt;&lt;titles&gt;&lt;title&gt;Association of adult Celiac disease with surgical abdominal pain - A case-control study in patients referred to secondary care&lt;/title&gt;&lt;secondary-title&gt;Annals of Surgery&lt;/secondary-title&gt;&lt;/titles&gt;&lt;periodical&gt;&lt;full-title&gt;Annals of Surgery&lt;/full-title&gt;&lt;/periodical&gt;&lt;pages&gt;201-207&lt;/pages&gt;&lt;volume&gt;242&lt;/volume&gt;&lt;number&gt;2&lt;/number&gt;&lt;dates&gt;&lt;year&gt;2005&lt;/year&gt;&lt;pub-dates&gt;&lt;date&gt;Aug&lt;/date&gt;&lt;/pub-dates&gt;&lt;/dates&gt;&lt;isbn&gt;0003-4932&lt;/isbn&gt;&lt;accession-num&gt;WOS:000230858000008&lt;/accession-num&gt;&lt;urls&gt;&lt;related-urls&gt;&lt;url&gt;&amp;lt;Go to ISI&amp;gt;://WOS:000230858000008&lt;/url&gt;&lt;url&gt;https://www.ncbi.nlm.nih.gov/pmc/articles/PMC1357725/pdf/20050800s00008p201.pdf&lt;/url&gt;&lt;/related-urls&gt;&lt;/urls&gt;&lt;electronic-resource-num&gt;10.1097/01.sla.0000171301.35513.cf&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298</w:t>
            </w:r>
            <w:r w:rsidRPr="00734942">
              <w:rPr>
                <w:rFonts w:ascii="Arial" w:eastAsia="Arial" w:hAnsi="Arial" w:cs="Arial"/>
                <w:color w:val="111111"/>
                <w:sz w:val="18"/>
                <w:szCs w:val="18"/>
              </w:rPr>
              <w:fldChar w:fldCharType="end"/>
            </w:r>
          </w:p>
        </w:tc>
      </w:tr>
      <w:tr w:rsidR="007B756D" w:rsidRPr="00734942" w14:paraId="1DFA1223" w14:textId="77777777" w:rsidTr="006658D1">
        <w:trPr>
          <w:cantSplit/>
          <w:jc w:val="center"/>
        </w:trPr>
        <w:tc>
          <w:tcPr>
            <w:tcW w:w="725" w:type="pct"/>
            <w:shd w:val="clear" w:color="auto" w:fill="FFFFFF"/>
            <w:tcMar>
              <w:top w:w="0" w:type="dxa"/>
              <w:left w:w="0" w:type="dxa"/>
              <w:bottom w:w="0" w:type="dxa"/>
              <w:right w:w="0" w:type="dxa"/>
            </w:tcMar>
            <w:vAlign w:val="center"/>
          </w:tcPr>
          <w:p w14:paraId="5E41EA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21DA19E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4720CC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504492B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3,196</w:t>
            </w:r>
          </w:p>
        </w:tc>
        <w:tc>
          <w:tcPr>
            <w:tcW w:w="310" w:type="pct"/>
            <w:shd w:val="clear" w:color="auto" w:fill="FFFFFF"/>
            <w:tcMar>
              <w:top w:w="0" w:type="dxa"/>
              <w:left w:w="0" w:type="dxa"/>
              <w:bottom w:w="0" w:type="dxa"/>
              <w:right w:w="0" w:type="dxa"/>
            </w:tcMar>
            <w:vAlign w:val="center"/>
          </w:tcPr>
          <w:p w14:paraId="71BE3AB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59" w:type="pct"/>
            <w:shd w:val="clear" w:color="auto" w:fill="FFFFFF"/>
            <w:tcMar>
              <w:top w:w="0" w:type="dxa"/>
              <w:left w:w="0" w:type="dxa"/>
              <w:bottom w:w="0" w:type="dxa"/>
              <w:right w:w="0" w:type="dxa"/>
            </w:tcMar>
            <w:vAlign w:val="center"/>
          </w:tcPr>
          <w:p w14:paraId="29DE96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abdominal pain</w:t>
            </w:r>
          </w:p>
        </w:tc>
        <w:tc>
          <w:tcPr>
            <w:tcW w:w="667" w:type="pct"/>
            <w:shd w:val="clear" w:color="auto" w:fill="FFFFFF"/>
            <w:tcMar>
              <w:top w:w="0" w:type="dxa"/>
              <w:left w:w="0" w:type="dxa"/>
              <w:bottom w:w="0" w:type="dxa"/>
              <w:right w:w="0" w:type="dxa"/>
            </w:tcMar>
            <w:vAlign w:val="center"/>
          </w:tcPr>
          <w:p w14:paraId="5B5101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0" w:type="pct"/>
            <w:shd w:val="clear" w:color="auto" w:fill="FFFFFF"/>
            <w:tcMar>
              <w:top w:w="0" w:type="dxa"/>
              <w:left w:w="0" w:type="dxa"/>
              <w:bottom w:w="0" w:type="dxa"/>
              <w:right w:w="0" w:type="dxa"/>
            </w:tcMar>
            <w:vAlign w:val="center"/>
          </w:tcPr>
          <w:p w14:paraId="4DAF97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64483D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271ACAC" w14:textId="2CAE8C0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7B756D" w:rsidRPr="00734942" w14:paraId="30F6B133" w14:textId="77777777" w:rsidTr="006658D1">
        <w:trPr>
          <w:cantSplit/>
          <w:jc w:val="center"/>
        </w:trPr>
        <w:tc>
          <w:tcPr>
            <w:tcW w:w="725" w:type="pct"/>
            <w:shd w:val="clear" w:color="auto" w:fill="FFFFFF"/>
            <w:tcMar>
              <w:top w:w="0" w:type="dxa"/>
              <w:left w:w="0" w:type="dxa"/>
              <w:bottom w:w="0" w:type="dxa"/>
              <w:right w:w="0" w:type="dxa"/>
            </w:tcMar>
            <w:vAlign w:val="center"/>
          </w:tcPr>
          <w:p w14:paraId="1D967F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31A2CF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4E0F05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3158694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2,976</w:t>
            </w:r>
          </w:p>
        </w:tc>
        <w:tc>
          <w:tcPr>
            <w:tcW w:w="310" w:type="pct"/>
            <w:shd w:val="clear" w:color="auto" w:fill="FFFFFF"/>
            <w:tcMar>
              <w:top w:w="0" w:type="dxa"/>
              <w:left w:w="0" w:type="dxa"/>
              <w:bottom w:w="0" w:type="dxa"/>
              <w:right w:w="0" w:type="dxa"/>
            </w:tcMar>
            <w:vAlign w:val="center"/>
          </w:tcPr>
          <w:p w14:paraId="27CB969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59" w:type="pct"/>
            <w:shd w:val="clear" w:color="auto" w:fill="FFFFFF"/>
            <w:tcMar>
              <w:top w:w="0" w:type="dxa"/>
              <w:left w:w="0" w:type="dxa"/>
              <w:bottom w:w="0" w:type="dxa"/>
              <w:right w:w="0" w:type="dxa"/>
            </w:tcMar>
            <w:vAlign w:val="center"/>
          </w:tcPr>
          <w:p w14:paraId="485C27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abdominal pain</w:t>
            </w:r>
          </w:p>
        </w:tc>
        <w:tc>
          <w:tcPr>
            <w:tcW w:w="667" w:type="pct"/>
            <w:shd w:val="clear" w:color="auto" w:fill="FFFFFF"/>
            <w:tcMar>
              <w:top w:w="0" w:type="dxa"/>
              <w:left w:w="0" w:type="dxa"/>
              <w:bottom w:w="0" w:type="dxa"/>
              <w:right w:w="0" w:type="dxa"/>
            </w:tcMar>
            <w:vAlign w:val="center"/>
          </w:tcPr>
          <w:p w14:paraId="125E3F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50" w:type="pct"/>
            <w:shd w:val="clear" w:color="auto" w:fill="FFFFFF"/>
            <w:tcMar>
              <w:top w:w="0" w:type="dxa"/>
              <w:left w:w="0" w:type="dxa"/>
              <w:bottom w:w="0" w:type="dxa"/>
              <w:right w:w="0" w:type="dxa"/>
            </w:tcMar>
            <w:vAlign w:val="center"/>
          </w:tcPr>
          <w:p w14:paraId="44BD88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361BD08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641C690B" w14:textId="4C03197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ExcludeYear="1"&gt;&lt;Author&gt;Oliveira&lt;/Author&gt;&lt;Year&gt;2007&lt;/Year&gt;&lt;RecNum&gt;126&lt;/RecNum&gt;&lt;DisplayText&gt;&lt;style face="superscript"&gt;300&lt;/style&gt;&lt;/DisplayText&gt;&lt;record&gt;&lt;rec-number&gt;126&lt;/rec-number&gt;&lt;foreign-keys&gt;&lt;key app="EN" db-id="tdwrx9xd1z9eepeevr355w2k959rv0f5zaax" timestamp="1632756120"&gt;126&lt;/key&gt;&lt;/foreign-keys&gt;&lt;ref-type name="Journal Article"&gt;17&lt;/ref-type&gt;&lt;contributors&gt;&lt;authors&gt;&lt;author&gt;Oliveira, R. P.&lt;/author&gt;&lt;author&gt;Sdepanian, V. L.&lt;/author&gt;&lt;author&gt;Barreto, J. A.&lt;/author&gt;&lt;author&gt;Cortez, A. J. P.&lt;/author&gt;&lt;author&gt;Carvalho, F. O.&lt;/author&gt;&lt;author&gt;Bordin, J. O.&lt;/author&gt;&lt;author&gt;Soares, M. A. D.&lt;/author&gt;&lt;author&gt;Patricio, F. R. D.&lt;/author&gt;&lt;author&gt;Kawakami, E.&lt;/author&gt;&lt;author&gt;de Morais, M. B.&lt;/author&gt;&lt;author&gt;Fagundes-Neto, U.&lt;/author&gt;&lt;/authors&gt;&lt;/contributors&gt;&lt;titles&gt;&lt;title&gt;High prevalence of celiac disease in Brazilian blood donor volunteers based on screening by IgA antitissue transglutaminase antibody&lt;/title&gt;&lt;secondary-title&gt;European Journal of Gastroenterology &amp;amp; Hepatology&lt;/secondary-title&gt;&lt;/titles&gt;&lt;periodical&gt;&lt;full-title&gt;European journal of gastroenterology &amp;amp; hepatology&lt;/full-title&gt;&lt;/periodical&gt;&lt;pages&gt;43-49&lt;/pages&gt;&lt;volume&gt;19&lt;/volume&gt;&lt;number&gt;1&lt;/number&gt;&lt;dates&gt;&lt;year&gt;2007&lt;/year&gt;&lt;pub-dates&gt;&lt;date&gt;Jan&lt;/date&gt;&lt;/pub-dates&gt;&lt;/dates&gt;&lt;isbn&gt;0954-691X&lt;/isbn&gt;&lt;accession-num&gt;WOS:000245597100007&lt;/accession-num&gt;&lt;urls&gt;&lt;related-urls&gt;&lt;url&gt;&amp;lt;Go to ISI&amp;gt;://WOS:000245597100007&lt;/url&gt;&lt;/related-urls&gt;&lt;/urls&gt;&lt;electronic-resource-num&gt;10.1097/01.meg.0000250586.61232.a3&lt;/electronic-resource-num&gt;&lt;remote-database-name&gt;Web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300</w:t>
            </w:r>
            <w:r w:rsidRPr="00734942">
              <w:rPr>
                <w:rFonts w:ascii="Arial" w:eastAsia="Arial" w:hAnsi="Arial" w:cs="Arial"/>
                <w:color w:val="111111"/>
                <w:sz w:val="18"/>
                <w:szCs w:val="18"/>
              </w:rPr>
              <w:fldChar w:fldCharType="end"/>
            </w:r>
          </w:p>
        </w:tc>
      </w:tr>
      <w:tr w:rsidR="007B756D" w:rsidRPr="00734942" w14:paraId="03285F10" w14:textId="77777777" w:rsidTr="006658D1">
        <w:trPr>
          <w:cantSplit/>
          <w:jc w:val="center"/>
        </w:trPr>
        <w:tc>
          <w:tcPr>
            <w:tcW w:w="725" w:type="pct"/>
            <w:shd w:val="clear" w:color="auto" w:fill="FFFFFF"/>
            <w:tcMar>
              <w:top w:w="0" w:type="dxa"/>
              <w:left w:w="0" w:type="dxa"/>
              <w:bottom w:w="0" w:type="dxa"/>
              <w:right w:w="0" w:type="dxa"/>
            </w:tcMar>
            <w:vAlign w:val="center"/>
          </w:tcPr>
          <w:p w14:paraId="02F8C2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1C3A36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508" w:type="pct"/>
            <w:shd w:val="clear" w:color="auto" w:fill="FFFFFF"/>
            <w:tcMar>
              <w:top w:w="0" w:type="dxa"/>
              <w:left w:w="0" w:type="dxa"/>
              <w:bottom w:w="0" w:type="dxa"/>
              <w:right w:w="0" w:type="dxa"/>
            </w:tcMar>
            <w:vAlign w:val="center"/>
          </w:tcPr>
          <w:p w14:paraId="005755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abdominal pain</w:t>
            </w:r>
          </w:p>
        </w:tc>
        <w:tc>
          <w:tcPr>
            <w:tcW w:w="291" w:type="pct"/>
            <w:shd w:val="clear" w:color="auto" w:fill="FFFFFF"/>
            <w:tcMar>
              <w:top w:w="0" w:type="dxa"/>
              <w:left w:w="0" w:type="dxa"/>
              <w:bottom w:w="0" w:type="dxa"/>
              <w:right w:w="0" w:type="dxa"/>
            </w:tcMar>
            <w:vAlign w:val="center"/>
          </w:tcPr>
          <w:p w14:paraId="316DE24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10" w:type="pct"/>
            <w:shd w:val="clear" w:color="auto" w:fill="FFFFFF"/>
            <w:tcMar>
              <w:top w:w="0" w:type="dxa"/>
              <w:left w:w="0" w:type="dxa"/>
              <w:bottom w:w="0" w:type="dxa"/>
              <w:right w:w="0" w:type="dxa"/>
            </w:tcMar>
            <w:vAlign w:val="center"/>
          </w:tcPr>
          <w:p w14:paraId="5F8F4EF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59" w:type="pct"/>
            <w:shd w:val="clear" w:color="auto" w:fill="FFFFFF"/>
            <w:tcMar>
              <w:top w:w="0" w:type="dxa"/>
              <w:left w:w="0" w:type="dxa"/>
              <w:bottom w:w="0" w:type="dxa"/>
              <w:right w:w="0" w:type="dxa"/>
            </w:tcMar>
            <w:vAlign w:val="center"/>
          </w:tcPr>
          <w:p w14:paraId="17D5E5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recurrent abdominal pain</w:t>
            </w:r>
          </w:p>
        </w:tc>
        <w:tc>
          <w:tcPr>
            <w:tcW w:w="667" w:type="pct"/>
            <w:shd w:val="clear" w:color="auto" w:fill="FFFFFF"/>
            <w:tcMar>
              <w:top w:w="0" w:type="dxa"/>
              <w:left w:w="0" w:type="dxa"/>
              <w:bottom w:w="0" w:type="dxa"/>
              <w:right w:w="0" w:type="dxa"/>
            </w:tcMar>
            <w:vAlign w:val="center"/>
          </w:tcPr>
          <w:p w14:paraId="03D046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0" w:type="pct"/>
            <w:shd w:val="clear" w:color="auto" w:fill="FFFFFF"/>
            <w:tcMar>
              <w:top w:w="0" w:type="dxa"/>
              <w:left w:w="0" w:type="dxa"/>
              <w:bottom w:w="0" w:type="dxa"/>
              <w:right w:w="0" w:type="dxa"/>
            </w:tcMar>
            <w:vAlign w:val="center"/>
          </w:tcPr>
          <w:p w14:paraId="6834CC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419" w:type="pct"/>
            <w:shd w:val="clear" w:color="auto" w:fill="FFFFFF"/>
            <w:tcMar>
              <w:top w:w="0" w:type="dxa"/>
              <w:left w:w="0" w:type="dxa"/>
              <w:bottom w:w="0" w:type="dxa"/>
              <w:right w:w="0" w:type="dxa"/>
            </w:tcMar>
            <w:vAlign w:val="center"/>
          </w:tcPr>
          <w:p w14:paraId="4CA70E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FF05CE4" w14:textId="435687C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5E8E4B70" w14:textId="77777777" w:rsidTr="006658D1">
        <w:trPr>
          <w:cantSplit/>
          <w:jc w:val="center"/>
        </w:trPr>
        <w:tc>
          <w:tcPr>
            <w:tcW w:w="725" w:type="pct"/>
            <w:shd w:val="clear" w:color="auto" w:fill="FFFFFF"/>
            <w:tcMar>
              <w:top w:w="0" w:type="dxa"/>
              <w:left w:w="0" w:type="dxa"/>
              <w:bottom w:w="0" w:type="dxa"/>
              <w:right w:w="0" w:type="dxa"/>
            </w:tcMar>
            <w:vAlign w:val="center"/>
          </w:tcPr>
          <w:p w14:paraId="3ED3A0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2" w:type="pct"/>
            <w:shd w:val="clear" w:color="auto" w:fill="FFFFFF"/>
            <w:tcMar>
              <w:top w:w="0" w:type="dxa"/>
              <w:left w:w="0" w:type="dxa"/>
              <w:bottom w:w="0" w:type="dxa"/>
              <w:right w:w="0" w:type="dxa"/>
            </w:tcMar>
            <w:vAlign w:val="center"/>
          </w:tcPr>
          <w:p w14:paraId="57B50D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508" w:type="pct"/>
            <w:shd w:val="clear" w:color="auto" w:fill="FFFFFF"/>
            <w:tcMar>
              <w:top w:w="0" w:type="dxa"/>
              <w:left w:w="0" w:type="dxa"/>
              <w:bottom w:w="0" w:type="dxa"/>
              <w:right w:w="0" w:type="dxa"/>
            </w:tcMar>
            <w:vAlign w:val="center"/>
          </w:tcPr>
          <w:p w14:paraId="57E07E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5A59DBE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381</w:t>
            </w:r>
          </w:p>
        </w:tc>
        <w:tc>
          <w:tcPr>
            <w:tcW w:w="310" w:type="pct"/>
            <w:shd w:val="clear" w:color="auto" w:fill="FFFFFF"/>
            <w:tcMar>
              <w:top w:w="0" w:type="dxa"/>
              <w:left w:w="0" w:type="dxa"/>
              <w:bottom w:w="0" w:type="dxa"/>
              <w:right w:w="0" w:type="dxa"/>
            </w:tcMar>
            <w:vAlign w:val="center"/>
          </w:tcPr>
          <w:p w14:paraId="445568B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59" w:type="pct"/>
            <w:shd w:val="clear" w:color="auto" w:fill="FFFFFF"/>
            <w:tcMar>
              <w:top w:w="0" w:type="dxa"/>
              <w:left w:w="0" w:type="dxa"/>
              <w:bottom w:w="0" w:type="dxa"/>
              <w:right w:w="0" w:type="dxa"/>
            </w:tcMar>
            <w:vAlign w:val="center"/>
          </w:tcPr>
          <w:p w14:paraId="1B9FC2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abdominal pain</w:t>
            </w:r>
          </w:p>
        </w:tc>
        <w:tc>
          <w:tcPr>
            <w:tcW w:w="667" w:type="pct"/>
            <w:shd w:val="clear" w:color="auto" w:fill="FFFFFF"/>
            <w:tcMar>
              <w:top w:w="0" w:type="dxa"/>
              <w:left w:w="0" w:type="dxa"/>
              <w:bottom w:w="0" w:type="dxa"/>
              <w:right w:w="0" w:type="dxa"/>
            </w:tcMar>
            <w:vAlign w:val="center"/>
          </w:tcPr>
          <w:p w14:paraId="5B04B9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0" w:type="pct"/>
            <w:shd w:val="clear" w:color="auto" w:fill="FFFFFF"/>
            <w:tcMar>
              <w:top w:w="0" w:type="dxa"/>
              <w:left w:w="0" w:type="dxa"/>
              <w:bottom w:w="0" w:type="dxa"/>
              <w:right w:w="0" w:type="dxa"/>
            </w:tcMar>
            <w:vAlign w:val="center"/>
          </w:tcPr>
          <w:p w14:paraId="5F5831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55799B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55D7CEC" w14:textId="613A784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7B756D" w:rsidRPr="00734942" w14:paraId="79EBEAE8" w14:textId="77777777" w:rsidTr="006658D1">
        <w:trPr>
          <w:cantSplit/>
          <w:jc w:val="center"/>
        </w:trPr>
        <w:tc>
          <w:tcPr>
            <w:tcW w:w="725" w:type="pct"/>
            <w:shd w:val="clear" w:color="auto" w:fill="FFFFFF"/>
            <w:tcMar>
              <w:top w:w="0" w:type="dxa"/>
              <w:left w:w="0" w:type="dxa"/>
              <w:bottom w:w="0" w:type="dxa"/>
              <w:right w:w="0" w:type="dxa"/>
            </w:tcMar>
            <w:vAlign w:val="center"/>
          </w:tcPr>
          <w:p w14:paraId="13F102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02" w:type="pct"/>
            <w:shd w:val="clear" w:color="auto" w:fill="FFFFFF"/>
            <w:tcMar>
              <w:top w:w="0" w:type="dxa"/>
              <w:left w:w="0" w:type="dxa"/>
              <w:bottom w:w="0" w:type="dxa"/>
              <w:right w:w="0" w:type="dxa"/>
            </w:tcMar>
            <w:vAlign w:val="center"/>
          </w:tcPr>
          <w:p w14:paraId="1FF990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8" w:type="pct"/>
            <w:shd w:val="clear" w:color="auto" w:fill="FFFFFF"/>
            <w:tcMar>
              <w:top w:w="0" w:type="dxa"/>
              <w:left w:w="0" w:type="dxa"/>
              <w:bottom w:w="0" w:type="dxa"/>
              <w:right w:w="0" w:type="dxa"/>
            </w:tcMar>
            <w:vAlign w:val="center"/>
          </w:tcPr>
          <w:p w14:paraId="44354A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abdominal pain</w:t>
            </w:r>
          </w:p>
        </w:tc>
        <w:tc>
          <w:tcPr>
            <w:tcW w:w="291" w:type="pct"/>
            <w:shd w:val="clear" w:color="auto" w:fill="FFFFFF"/>
            <w:tcMar>
              <w:top w:w="0" w:type="dxa"/>
              <w:left w:w="0" w:type="dxa"/>
              <w:bottom w:w="0" w:type="dxa"/>
              <w:right w:w="0" w:type="dxa"/>
            </w:tcMar>
            <w:vAlign w:val="center"/>
          </w:tcPr>
          <w:p w14:paraId="4B81F47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173</w:t>
            </w:r>
          </w:p>
        </w:tc>
        <w:tc>
          <w:tcPr>
            <w:tcW w:w="310" w:type="pct"/>
            <w:shd w:val="clear" w:color="auto" w:fill="FFFFFF"/>
            <w:tcMar>
              <w:top w:w="0" w:type="dxa"/>
              <w:left w:w="0" w:type="dxa"/>
              <w:bottom w:w="0" w:type="dxa"/>
              <w:right w:w="0" w:type="dxa"/>
            </w:tcMar>
            <w:vAlign w:val="center"/>
          </w:tcPr>
          <w:p w14:paraId="538BE94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59" w:type="pct"/>
            <w:shd w:val="clear" w:color="auto" w:fill="FFFFFF"/>
            <w:tcMar>
              <w:top w:w="0" w:type="dxa"/>
              <w:left w:w="0" w:type="dxa"/>
              <w:bottom w:w="0" w:type="dxa"/>
              <w:right w:w="0" w:type="dxa"/>
            </w:tcMar>
            <w:vAlign w:val="center"/>
          </w:tcPr>
          <w:p w14:paraId="3980E1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67" w:type="pct"/>
            <w:shd w:val="clear" w:color="auto" w:fill="FFFFFF"/>
            <w:tcMar>
              <w:top w:w="0" w:type="dxa"/>
              <w:left w:w="0" w:type="dxa"/>
              <w:bottom w:w="0" w:type="dxa"/>
              <w:right w:w="0" w:type="dxa"/>
            </w:tcMar>
            <w:vAlign w:val="center"/>
          </w:tcPr>
          <w:p w14:paraId="206402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450" w:type="pct"/>
            <w:shd w:val="clear" w:color="auto" w:fill="FFFFFF"/>
            <w:tcMar>
              <w:top w:w="0" w:type="dxa"/>
              <w:left w:w="0" w:type="dxa"/>
              <w:bottom w:w="0" w:type="dxa"/>
              <w:right w:w="0" w:type="dxa"/>
            </w:tcMar>
            <w:vAlign w:val="center"/>
          </w:tcPr>
          <w:p w14:paraId="37BC8C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419" w:type="pct"/>
            <w:shd w:val="clear" w:color="auto" w:fill="FFFFFF"/>
            <w:tcMar>
              <w:top w:w="0" w:type="dxa"/>
              <w:left w:w="0" w:type="dxa"/>
              <w:bottom w:w="0" w:type="dxa"/>
              <w:right w:w="0" w:type="dxa"/>
            </w:tcMar>
            <w:vAlign w:val="center"/>
          </w:tcPr>
          <w:p w14:paraId="576C79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Canada</w:t>
            </w:r>
          </w:p>
        </w:tc>
        <w:tc>
          <w:tcPr>
            <w:tcW w:w="369" w:type="pct"/>
            <w:shd w:val="clear" w:color="auto" w:fill="FFFFFF"/>
            <w:tcMar>
              <w:top w:w="0" w:type="dxa"/>
              <w:left w:w="0" w:type="dxa"/>
              <w:bottom w:w="0" w:type="dxa"/>
              <w:right w:w="0" w:type="dxa"/>
            </w:tcMar>
            <w:vAlign w:val="center"/>
          </w:tcPr>
          <w:p w14:paraId="77790CC5" w14:textId="60B3109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ExcludeYear="1"&gt;&lt;Author&gt;Fitzpatrick&lt;/Author&gt;&lt;Year&gt;2001&lt;/Year&gt;&lt;RecNum&gt;136&lt;/RecNum&gt;&lt;DisplayText&gt;&lt;style face="superscript"&gt;303&lt;/style&gt;&lt;/DisplayText&gt;&lt;record&gt;&lt;rec-number&gt;136&lt;/rec-number&gt;&lt;foreign-keys&gt;&lt;key app="EN" db-id="tdwrx9xd1z9eepeevr355w2k959rv0f5zaax" timestamp="1632756121"&gt;136&lt;/key&gt;&lt;/foreign-keys&gt;&lt;ref-type name="Journal Article"&gt;17&lt;/ref-type&gt;&lt;contributors&gt;&lt;authors&gt;&lt;author&gt;Fitzpatrick, K. P.&lt;/author&gt;&lt;author&gt;Sherman, P. A.&lt;/author&gt;&lt;author&gt;Ipp, T.&lt;/author&gt;&lt;author&gt;Saunders, T.&lt;/author&gt;&lt;author&gt;Macarthur, C.&lt;/author&gt;&lt;/authors&gt;&lt;/contributors&gt;&lt;titles&gt;&lt;title&gt;Screening for celiac disease in children with recurrent abdominal pain&lt;/title&gt;&lt;secondary-title&gt;Journal of Pediatric Gastroenterology and Nutrition&lt;/secondary-title&gt;&lt;/titles&gt;&lt;periodical&gt;&lt;full-title&gt;Journal of Pediatric Gastroenterology and Nutrition&lt;/full-title&gt;&lt;/periodical&gt;&lt;pages&gt;250-252&lt;/pages&gt;&lt;volume&gt;33&lt;/volume&gt;&lt;number&gt;3&lt;/number&gt;&lt;dates&gt;&lt;year&gt;2001&lt;/year&gt;&lt;pub-dates&gt;&lt;date&gt;Sep&lt;/date&gt;&lt;/pub-dates&gt;&lt;/dates&gt;&lt;isbn&gt;0277-2116&lt;/isbn&gt;&lt;accession-num&gt;WOS:000171467800004&lt;/accession-num&gt;&lt;urls&gt;&lt;related-urls&gt;&lt;url&gt;&amp;lt;Go to ISI&amp;gt;://WOS:000171467800004&lt;/url&gt;&lt;/related-urls&gt;&lt;/urls&gt;&lt;electronic-resource-num&gt;10.1097/00005176-200109000-00004&lt;/electronic-resource-num&gt;&lt;remote-database-name&gt;Web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303</w:t>
            </w:r>
            <w:r w:rsidRPr="00734942">
              <w:rPr>
                <w:rFonts w:ascii="Arial" w:eastAsia="Arial" w:hAnsi="Arial" w:cs="Arial"/>
                <w:color w:val="111111"/>
                <w:sz w:val="18"/>
                <w:szCs w:val="18"/>
              </w:rPr>
              <w:fldChar w:fldCharType="end"/>
            </w:r>
          </w:p>
        </w:tc>
      </w:tr>
      <w:tr w:rsidR="007B756D" w:rsidRPr="00734942" w14:paraId="71C55195" w14:textId="77777777" w:rsidTr="006658D1">
        <w:trPr>
          <w:cantSplit/>
          <w:jc w:val="center"/>
        </w:trPr>
        <w:tc>
          <w:tcPr>
            <w:tcW w:w="725" w:type="pct"/>
            <w:shd w:val="clear" w:color="auto" w:fill="FFFFFF"/>
            <w:tcMar>
              <w:top w:w="0" w:type="dxa"/>
              <w:left w:w="0" w:type="dxa"/>
              <w:bottom w:w="0" w:type="dxa"/>
              <w:right w:w="0" w:type="dxa"/>
            </w:tcMar>
            <w:vAlign w:val="center"/>
          </w:tcPr>
          <w:p w14:paraId="6A9FC4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02" w:type="pct"/>
            <w:shd w:val="clear" w:color="auto" w:fill="FFFFFF"/>
            <w:tcMar>
              <w:top w:w="0" w:type="dxa"/>
              <w:left w:w="0" w:type="dxa"/>
              <w:bottom w:w="0" w:type="dxa"/>
              <w:right w:w="0" w:type="dxa"/>
            </w:tcMar>
            <w:vAlign w:val="center"/>
          </w:tcPr>
          <w:p w14:paraId="0E4398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52310E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Any stomach pains</w:t>
            </w:r>
          </w:p>
        </w:tc>
        <w:tc>
          <w:tcPr>
            <w:tcW w:w="291" w:type="pct"/>
            <w:shd w:val="clear" w:color="auto" w:fill="FFFFFF"/>
            <w:tcMar>
              <w:top w:w="0" w:type="dxa"/>
              <w:left w:w="0" w:type="dxa"/>
              <w:bottom w:w="0" w:type="dxa"/>
              <w:right w:w="0" w:type="dxa"/>
            </w:tcMar>
            <w:vAlign w:val="center"/>
          </w:tcPr>
          <w:p w14:paraId="3F1740A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4,327</w:t>
            </w:r>
          </w:p>
        </w:tc>
        <w:tc>
          <w:tcPr>
            <w:tcW w:w="310" w:type="pct"/>
            <w:shd w:val="clear" w:color="auto" w:fill="FFFFFF"/>
            <w:tcMar>
              <w:top w:w="0" w:type="dxa"/>
              <w:left w:w="0" w:type="dxa"/>
              <w:bottom w:w="0" w:type="dxa"/>
              <w:right w:w="0" w:type="dxa"/>
            </w:tcMar>
            <w:vAlign w:val="center"/>
          </w:tcPr>
          <w:p w14:paraId="7A17AE8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59" w:type="pct"/>
            <w:shd w:val="clear" w:color="auto" w:fill="FFFFFF"/>
            <w:tcMar>
              <w:top w:w="0" w:type="dxa"/>
              <w:left w:w="0" w:type="dxa"/>
              <w:bottom w:w="0" w:type="dxa"/>
              <w:right w:w="0" w:type="dxa"/>
            </w:tcMar>
            <w:vAlign w:val="center"/>
          </w:tcPr>
          <w:p w14:paraId="798FD19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stomach pains</w:t>
            </w:r>
          </w:p>
        </w:tc>
        <w:tc>
          <w:tcPr>
            <w:tcW w:w="667" w:type="pct"/>
            <w:shd w:val="clear" w:color="auto" w:fill="FFFFFF"/>
            <w:tcMar>
              <w:top w:w="0" w:type="dxa"/>
              <w:left w:w="0" w:type="dxa"/>
              <w:bottom w:w="0" w:type="dxa"/>
              <w:right w:w="0" w:type="dxa"/>
            </w:tcMar>
            <w:vAlign w:val="center"/>
          </w:tcPr>
          <w:p w14:paraId="1D68E9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0" w:type="pct"/>
            <w:shd w:val="clear" w:color="auto" w:fill="FFFFFF"/>
            <w:tcMar>
              <w:top w:w="0" w:type="dxa"/>
              <w:left w:w="0" w:type="dxa"/>
              <w:bottom w:w="0" w:type="dxa"/>
              <w:right w:w="0" w:type="dxa"/>
            </w:tcMar>
            <w:vAlign w:val="center"/>
          </w:tcPr>
          <w:p w14:paraId="5CCBC9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1104D8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01ECBAC2" w14:textId="69C5A20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63</w:t>
            </w:r>
            <w:r w:rsidRPr="00734942">
              <w:rPr>
                <w:rFonts w:ascii="Arial" w:eastAsia="Arial" w:hAnsi="Arial" w:cs="Arial"/>
                <w:color w:val="111111"/>
                <w:sz w:val="18"/>
                <w:szCs w:val="18"/>
              </w:rPr>
              <w:fldChar w:fldCharType="end"/>
            </w:r>
          </w:p>
        </w:tc>
      </w:tr>
      <w:tr w:rsidR="007B756D" w:rsidRPr="00734942" w14:paraId="4BB55B99" w14:textId="77777777" w:rsidTr="006658D1">
        <w:trPr>
          <w:cantSplit/>
          <w:jc w:val="center"/>
        </w:trPr>
        <w:tc>
          <w:tcPr>
            <w:tcW w:w="725" w:type="pct"/>
            <w:shd w:val="clear" w:color="auto" w:fill="FFFFFF"/>
            <w:tcMar>
              <w:top w:w="0" w:type="dxa"/>
              <w:left w:w="0" w:type="dxa"/>
              <w:bottom w:w="0" w:type="dxa"/>
              <w:right w:w="0" w:type="dxa"/>
            </w:tcMar>
            <w:vAlign w:val="center"/>
          </w:tcPr>
          <w:p w14:paraId="39D7A8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02" w:type="pct"/>
            <w:shd w:val="clear" w:color="auto" w:fill="FFFFFF"/>
            <w:tcMar>
              <w:top w:w="0" w:type="dxa"/>
              <w:left w:w="0" w:type="dxa"/>
              <w:bottom w:w="0" w:type="dxa"/>
              <w:right w:w="0" w:type="dxa"/>
            </w:tcMar>
            <w:vAlign w:val="center"/>
          </w:tcPr>
          <w:p w14:paraId="2160AD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14F66A6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4C5DC2F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18,672</w:t>
            </w:r>
          </w:p>
        </w:tc>
        <w:tc>
          <w:tcPr>
            <w:tcW w:w="310" w:type="pct"/>
            <w:shd w:val="clear" w:color="auto" w:fill="FFFFFF"/>
            <w:tcMar>
              <w:top w:w="0" w:type="dxa"/>
              <w:left w:w="0" w:type="dxa"/>
              <w:bottom w:w="0" w:type="dxa"/>
              <w:right w:w="0" w:type="dxa"/>
            </w:tcMar>
            <w:vAlign w:val="center"/>
          </w:tcPr>
          <w:p w14:paraId="440D891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59" w:type="pct"/>
            <w:shd w:val="clear" w:color="auto" w:fill="FFFFFF"/>
            <w:tcMar>
              <w:top w:w="0" w:type="dxa"/>
              <w:left w:w="0" w:type="dxa"/>
              <w:bottom w:w="0" w:type="dxa"/>
              <w:right w:w="0" w:type="dxa"/>
            </w:tcMar>
            <w:vAlign w:val="center"/>
          </w:tcPr>
          <w:p w14:paraId="565158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abdominal pain</w:t>
            </w:r>
          </w:p>
        </w:tc>
        <w:tc>
          <w:tcPr>
            <w:tcW w:w="667" w:type="pct"/>
            <w:shd w:val="clear" w:color="auto" w:fill="FFFFFF"/>
            <w:tcMar>
              <w:top w:w="0" w:type="dxa"/>
              <w:left w:w="0" w:type="dxa"/>
              <w:bottom w:w="0" w:type="dxa"/>
              <w:right w:w="0" w:type="dxa"/>
            </w:tcMar>
            <w:vAlign w:val="center"/>
          </w:tcPr>
          <w:p w14:paraId="09B282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50" w:type="pct"/>
            <w:shd w:val="clear" w:color="auto" w:fill="FFFFFF"/>
            <w:tcMar>
              <w:top w:w="0" w:type="dxa"/>
              <w:left w:w="0" w:type="dxa"/>
              <w:bottom w:w="0" w:type="dxa"/>
              <w:right w:w="0" w:type="dxa"/>
            </w:tcMar>
            <w:vAlign w:val="center"/>
          </w:tcPr>
          <w:p w14:paraId="203B17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1600A1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314C0054" w14:textId="064B6B9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7B756D" w:rsidRPr="00734942" w14:paraId="768CE49E" w14:textId="77777777" w:rsidTr="006658D1">
        <w:trPr>
          <w:cantSplit/>
          <w:jc w:val="center"/>
        </w:trPr>
        <w:tc>
          <w:tcPr>
            <w:tcW w:w="725" w:type="pct"/>
            <w:shd w:val="clear" w:color="auto" w:fill="FFFFFF"/>
            <w:tcMar>
              <w:top w:w="0" w:type="dxa"/>
              <w:left w:w="0" w:type="dxa"/>
              <w:bottom w:w="0" w:type="dxa"/>
              <w:right w:w="0" w:type="dxa"/>
            </w:tcMar>
            <w:vAlign w:val="center"/>
          </w:tcPr>
          <w:p w14:paraId="0787E8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02" w:type="pct"/>
            <w:shd w:val="clear" w:color="auto" w:fill="FFFFFF"/>
            <w:tcMar>
              <w:top w:w="0" w:type="dxa"/>
              <w:left w:w="0" w:type="dxa"/>
              <w:bottom w:w="0" w:type="dxa"/>
              <w:right w:w="0" w:type="dxa"/>
            </w:tcMar>
            <w:vAlign w:val="center"/>
          </w:tcPr>
          <w:p w14:paraId="03F15F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5DEDBD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04809CC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3,093</w:t>
            </w:r>
          </w:p>
        </w:tc>
        <w:tc>
          <w:tcPr>
            <w:tcW w:w="310" w:type="pct"/>
            <w:shd w:val="clear" w:color="auto" w:fill="FFFFFF"/>
            <w:tcMar>
              <w:top w:w="0" w:type="dxa"/>
              <w:left w:w="0" w:type="dxa"/>
              <w:bottom w:w="0" w:type="dxa"/>
              <w:right w:w="0" w:type="dxa"/>
            </w:tcMar>
            <w:vAlign w:val="center"/>
          </w:tcPr>
          <w:p w14:paraId="550B682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59" w:type="pct"/>
            <w:shd w:val="clear" w:color="auto" w:fill="FFFFFF"/>
            <w:tcMar>
              <w:top w:w="0" w:type="dxa"/>
              <w:left w:w="0" w:type="dxa"/>
              <w:bottom w:w="0" w:type="dxa"/>
              <w:right w:w="0" w:type="dxa"/>
            </w:tcMar>
            <w:vAlign w:val="center"/>
          </w:tcPr>
          <w:p w14:paraId="31A806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abdominal pain</w:t>
            </w:r>
          </w:p>
        </w:tc>
        <w:tc>
          <w:tcPr>
            <w:tcW w:w="667" w:type="pct"/>
            <w:shd w:val="clear" w:color="auto" w:fill="FFFFFF"/>
            <w:tcMar>
              <w:top w:w="0" w:type="dxa"/>
              <w:left w:w="0" w:type="dxa"/>
              <w:bottom w:w="0" w:type="dxa"/>
              <w:right w:w="0" w:type="dxa"/>
            </w:tcMar>
            <w:vAlign w:val="center"/>
          </w:tcPr>
          <w:p w14:paraId="16085E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50" w:type="pct"/>
            <w:shd w:val="clear" w:color="auto" w:fill="FFFFFF"/>
            <w:tcMar>
              <w:top w:w="0" w:type="dxa"/>
              <w:left w:w="0" w:type="dxa"/>
              <w:bottom w:w="0" w:type="dxa"/>
              <w:right w:w="0" w:type="dxa"/>
            </w:tcMar>
            <w:vAlign w:val="center"/>
          </w:tcPr>
          <w:p w14:paraId="5A118F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6EC0F9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7C2D7275" w14:textId="1166756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7B756D" w:rsidRPr="00734942" w14:paraId="47854BB7" w14:textId="77777777" w:rsidTr="006658D1">
        <w:trPr>
          <w:cantSplit/>
          <w:jc w:val="center"/>
        </w:trPr>
        <w:tc>
          <w:tcPr>
            <w:tcW w:w="725" w:type="pct"/>
            <w:shd w:val="clear" w:color="auto" w:fill="FFFFFF"/>
            <w:tcMar>
              <w:top w:w="0" w:type="dxa"/>
              <w:left w:w="0" w:type="dxa"/>
              <w:bottom w:w="0" w:type="dxa"/>
              <w:right w:w="0" w:type="dxa"/>
            </w:tcMar>
            <w:vAlign w:val="center"/>
          </w:tcPr>
          <w:p w14:paraId="162B73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02" w:type="pct"/>
            <w:shd w:val="clear" w:color="auto" w:fill="FFFFFF"/>
            <w:tcMar>
              <w:top w:w="0" w:type="dxa"/>
              <w:left w:w="0" w:type="dxa"/>
              <w:bottom w:w="0" w:type="dxa"/>
              <w:right w:w="0" w:type="dxa"/>
            </w:tcMar>
            <w:vAlign w:val="center"/>
          </w:tcPr>
          <w:p w14:paraId="1C06DA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8" w:type="pct"/>
            <w:shd w:val="clear" w:color="auto" w:fill="FFFFFF"/>
            <w:tcMar>
              <w:top w:w="0" w:type="dxa"/>
              <w:left w:w="0" w:type="dxa"/>
              <w:bottom w:w="0" w:type="dxa"/>
              <w:right w:w="0" w:type="dxa"/>
            </w:tcMar>
            <w:vAlign w:val="center"/>
          </w:tcPr>
          <w:p w14:paraId="4DF8C4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pain</w:t>
            </w:r>
          </w:p>
        </w:tc>
        <w:tc>
          <w:tcPr>
            <w:tcW w:w="291" w:type="pct"/>
            <w:shd w:val="clear" w:color="auto" w:fill="FFFFFF"/>
            <w:tcMar>
              <w:top w:w="0" w:type="dxa"/>
              <w:left w:w="0" w:type="dxa"/>
              <w:bottom w:w="0" w:type="dxa"/>
              <w:right w:w="0" w:type="dxa"/>
            </w:tcMar>
            <w:vAlign w:val="center"/>
          </w:tcPr>
          <w:p w14:paraId="5BA1D83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3,715</w:t>
            </w:r>
          </w:p>
        </w:tc>
        <w:tc>
          <w:tcPr>
            <w:tcW w:w="310" w:type="pct"/>
            <w:shd w:val="clear" w:color="auto" w:fill="FFFFFF"/>
            <w:tcMar>
              <w:top w:w="0" w:type="dxa"/>
              <w:left w:w="0" w:type="dxa"/>
              <w:bottom w:w="0" w:type="dxa"/>
              <w:right w:w="0" w:type="dxa"/>
            </w:tcMar>
            <w:vAlign w:val="center"/>
          </w:tcPr>
          <w:p w14:paraId="6AEF97B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59" w:type="pct"/>
            <w:shd w:val="clear" w:color="auto" w:fill="FFFFFF"/>
            <w:tcMar>
              <w:top w:w="0" w:type="dxa"/>
              <w:left w:w="0" w:type="dxa"/>
              <w:bottom w:w="0" w:type="dxa"/>
              <w:right w:w="0" w:type="dxa"/>
            </w:tcMar>
            <w:vAlign w:val="center"/>
          </w:tcPr>
          <w:p w14:paraId="049CC9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abdominal pain</w:t>
            </w:r>
          </w:p>
        </w:tc>
        <w:tc>
          <w:tcPr>
            <w:tcW w:w="667" w:type="pct"/>
            <w:shd w:val="clear" w:color="auto" w:fill="FFFFFF"/>
            <w:tcMar>
              <w:top w:w="0" w:type="dxa"/>
              <w:left w:w="0" w:type="dxa"/>
              <w:bottom w:w="0" w:type="dxa"/>
              <w:right w:w="0" w:type="dxa"/>
            </w:tcMar>
            <w:vAlign w:val="center"/>
          </w:tcPr>
          <w:p w14:paraId="0DDDF6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50" w:type="pct"/>
            <w:shd w:val="clear" w:color="auto" w:fill="FFFFFF"/>
            <w:tcMar>
              <w:top w:w="0" w:type="dxa"/>
              <w:left w:w="0" w:type="dxa"/>
              <w:bottom w:w="0" w:type="dxa"/>
              <w:right w:w="0" w:type="dxa"/>
            </w:tcMar>
            <w:vAlign w:val="center"/>
          </w:tcPr>
          <w:p w14:paraId="1753AB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7FDC22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3B1C4B66" w14:textId="7B50644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183</w:t>
            </w:r>
            <w:r w:rsidRPr="00734942">
              <w:rPr>
                <w:rFonts w:ascii="Arial" w:eastAsia="Arial" w:hAnsi="Arial" w:cs="Arial"/>
                <w:color w:val="111111"/>
                <w:sz w:val="18"/>
                <w:szCs w:val="18"/>
              </w:rPr>
              <w:fldChar w:fldCharType="end"/>
            </w:r>
          </w:p>
        </w:tc>
      </w:tr>
      <w:tr w:rsidR="007B756D" w:rsidRPr="00734942" w14:paraId="48EC500A" w14:textId="77777777" w:rsidTr="006658D1">
        <w:trPr>
          <w:cantSplit/>
          <w:jc w:val="center"/>
        </w:trPr>
        <w:tc>
          <w:tcPr>
            <w:tcW w:w="725" w:type="pct"/>
            <w:tcBorders>
              <w:bottom w:val="single" w:sz="16" w:space="0" w:color="000000"/>
            </w:tcBorders>
            <w:shd w:val="clear" w:color="auto" w:fill="FFFFFF"/>
            <w:tcMar>
              <w:top w:w="0" w:type="dxa"/>
              <w:left w:w="0" w:type="dxa"/>
              <w:bottom w:w="0" w:type="dxa"/>
              <w:right w:w="0" w:type="dxa"/>
            </w:tcMar>
            <w:vAlign w:val="center"/>
          </w:tcPr>
          <w:p w14:paraId="5FB6862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02" w:type="pct"/>
            <w:tcBorders>
              <w:bottom w:val="single" w:sz="16" w:space="0" w:color="000000"/>
            </w:tcBorders>
            <w:shd w:val="clear" w:color="auto" w:fill="FFFFFF"/>
            <w:tcMar>
              <w:top w:w="0" w:type="dxa"/>
              <w:left w:w="0" w:type="dxa"/>
              <w:bottom w:w="0" w:type="dxa"/>
              <w:right w:w="0" w:type="dxa"/>
            </w:tcMar>
            <w:vAlign w:val="center"/>
          </w:tcPr>
          <w:p w14:paraId="78450B0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508" w:type="pct"/>
            <w:tcBorders>
              <w:bottom w:val="single" w:sz="16" w:space="0" w:color="000000"/>
            </w:tcBorders>
            <w:shd w:val="clear" w:color="auto" w:fill="FFFFFF"/>
            <w:tcMar>
              <w:top w:w="0" w:type="dxa"/>
              <w:left w:w="0" w:type="dxa"/>
              <w:bottom w:w="0" w:type="dxa"/>
              <w:right w:w="0" w:type="dxa"/>
            </w:tcMar>
            <w:vAlign w:val="center"/>
          </w:tcPr>
          <w:p w14:paraId="0BC5510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Stomach aches</w:t>
            </w:r>
          </w:p>
        </w:tc>
        <w:tc>
          <w:tcPr>
            <w:tcW w:w="291" w:type="pct"/>
            <w:tcBorders>
              <w:bottom w:val="single" w:sz="16" w:space="0" w:color="000000"/>
            </w:tcBorders>
            <w:shd w:val="clear" w:color="auto" w:fill="FFFFFF"/>
            <w:tcMar>
              <w:top w:w="0" w:type="dxa"/>
              <w:left w:w="0" w:type="dxa"/>
              <w:bottom w:w="0" w:type="dxa"/>
              <w:right w:w="0" w:type="dxa"/>
            </w:tcMar>
            <w:vAlign w:val="center"/>
          </w:tcPr>
          <w:p w14:paraId="2BC3586F"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9,918</w:t>
            </w:r>
          </w:p>
        </w:tc>
        <w:tc>
          <w:tcPr>
            <w:tcW w:w="310" w:type="pct"/>
            <w:tcBorders>
              <w:bottom w:val="single" w:sz="16" w:space="0" w:color="000000"/>
            </w:tcBorders>
            <w:shd w:val="clear" w:color="auto" w:fill="FFFFFF"/>
            <w:tcMar>
              <w:top w:w="0" w:type="dxa"/>
              <w:left w:w="0" w:type="dxa"/>
              <w:bottom w:w="0" w:type="dxa"/>
              <w:right w:w="0" w:type="dxa"/>
            </w:tcMar>
            <w:vAlign w:val="center"/>
          </w:tcPr>
          <w:p w14:paraId="002465B5"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51-75%</w:t>
            </w:r>
          </w:p>
        </w:tc>
        <w:tc>
          <w:tcPr>
            <w:tcW w:w="759" w:type="pct"/>
            <w:tcBorders>
              <w:bottom w:val="single" w:sz="16" w:space="0" w:color="000000"/>
            </w:tcBorders>
            <w:shd w:val="clear" w:color="auto" w:fill="FFFFFF"/>
            <w:tcMar>
              <w:top w:w="0" w:type="dxa"/>
              <w:left w:w="0" w:type="dxa"/>
              <w:bottom w:w="0" w:type="dxa"/>
              <w:right w:w="0" w:type="dxa"/>
            </w:tcMar>
            <w:vAlign w:val="center"/>
          </w:tcPr>
          <w:p w14:paraId="0F5E79E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stomach aches</w:t>
            </w:r>
          </w:p>
        </w:tc>
        <w:tc>
          <w:tcPr>
            <w:tcW w:w="667" w:type="pct"/>
            <w:tcBorders>
              <w:bottom w:val="single" w:sz="16" w:space="0" w:color="000000"/>
            </w:tcBorders>
            <w:shd w:val="clear" w:color="auto" w:fill="FFFFFF"/>
            <w:tcMar>
              <w:top w:w="0" w:type="dxa"/>
              <w:left w:w="0" w:type="dxa"/>
              <w:bottom w:w="0" w:type="dxa"/>
              <w:right w:w="0" w:type="dxa"/>
            </w:tcMar>
            <w:vAlign w:val="center"/>
          </w:tcPr>
          <w:p w14:paraId="3676EEF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450" w:type="pct"/>
            <w:tcBorders>
              <w:bottom w:val="single" w:sz="16" w:space="0" w:color="000000"/>
            </w:tcBorders>
            <w:shd w:val="clear" w:color="auto" w:fill="FFFFFF"/>
            <w:tcMar>
              <w:top w:w="0" w:type="dxa"/>
              <w:left w:w="0" w:type="dxa"/>
              <w:bottom w:w="0" w:type="dxa"/>
              <w:right w:w="0" w:type="dxa"/>
            </w:tcMar>
            <w:vAlign w:val="center"/>
          </w:tcPr>
          <w:p w14:paraId="0BB9E7A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19" w:type="pct"/>
            <w:tcBorders>
              <w:bottom w:val="single" w:sz="16" w:space="0" w:color="000000"/>
            </w:tcBorders>
            <w:shd w:val="clear" w:color="auto" w:fill="FFFFFF"/>
            <w:tcMar>
              <w:top w:w="0" w:type="dxa"/>
              <w:left w:w="0" w:type="dxa"/>
              <w:bottom w:w="0" w:type="dxa"/>
              <w:right w:w="0" w:type="dxa"/>
            </w:tcMar>
            <w:vAlign w:val="center"/>
          </w:tcPr>
          <w:p w14:paraId="75F8DBF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69" w:type="pct"/>
            <w:tcBorders>
              <w:bottom w:val="single" w:sz="16" w:space="0" w:color="000000"/>
            </w:tcBorders>
            <w:shd w:val="clear" w:color="auto" w:fill="FFFFFF"/>
            <w:tcMar>
              <w:top w:w="0" w:type="dxa"/>
              <w:left w:w="0" w:type="dxa"/>
              <w:bottom w:w="0" w:type="dxa"/>
              <w:right w:w="0" w:type="dxa"/>
            </w:tcMar>
            <w:vAlign w:val="center"/>
          </w:tcPr>
          <w:p w14:paraId="671C6F72" w14:textId="09EB3F9F"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bl>
    <w:p w14:paraId="405221DB" w14:textId="77777777" w:rsidR="00036665" w:rsidRPr="00734942" w:rsidRDefault="00036665" w:rsidP="007B756D"/>
    <w:p w14:paraId="5ABFF304" w14:textId="18C61CB2" w:rsidR="00036665" w:rsidRDefault="00036665" w:rsidP="000526F1">
      <w:pPr>
        <w:pStyle w:val="Caption"/>
      </w:pPr>
      <w:bookmarkStart w:id="363" w:name="_Toc99720737"/>
      <w:r>
        <w:t xml:space="preserve">Table </w:t>
      </w:r>
      <w:r w:rsidR="00C34531">
        <w:fldChar w:fldCharType="begin"/>
      </w:r>
      <w:r w:rsidR="00C34531">
        <w:instrText xml:space="preserve"> SEQ Table \* ARABIC </w:instrText>
      </w:r>
      <w:r w:rsidR="00C34531">
        <w:fldChar w:fldCharType="separate"/>
      </w:r>
      <w:r w:rsidR="008B5583">
        <w:rPr>
          <w:noProof/>
        </w:rPr>
        <w:t>26</w:t>
      </w:r>
      <w:r w:rsidR="00C34531">
        <w:rPr>
          <w:noProof/>
        </w:rPr>
        <w:fldChar w:fldCharType="end"/>
      </w:r>
      <w:r>
        <w:t xml:space="preserve">  </w:t>
      </w:r>
      <w:r w:rsidRPr="00CE47C2">
        <w:t>Study characteristics: Acid reflux symptoms</w:t>
      </w:r>
      <w:bookmarkEnd w:id="363"/>
    </w:p>
    <w:tbl>
      <w:tblPr>
        <w:tblW w:w="5000" w:type="pct"/>
        <w:jc w:val="center"/>
        <w:tblLook w:val="0420" w:firstRow="1" w:lastRow="0" w:firstColumn="0" w:lastColumn="0" w:noHBand="0" w:noVBand="1"/>
      </w:tblPr>
      <w:tblGrid>
        <w:gridCol w:w="2139"/>
        <w:gridCol w:w="1267"/>
        <w:gridCol w:w="1714"/>
        <w:gridCol w:w="812"/>
        <w:gridCol w:w="818"/>
        <w:gridCol w:w="2378"/>
        <w:gridCol w:w="1695"/>
        <w:gridCol w:w="1133"/>
        <w:gridCol w:w="971"/>
        <w:gridCol w:w="1031"/>
      </w:tblGrid>
      <w:tr w:rsidR="00C8418F" w:rsidRPr="00734942" w14:paraId="6E2759E7" w14:textId="77777777" w:rsidTr="00036665">
        <w:trPr>
          <w:cantSplit/>
          <w:tblHeader/>
          <w:jc w:val="center"/>
        </w:trPr>
        <w:tc>
          <w:tcPr>
            <w:tcW w:w="76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C1958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5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36B1D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1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F696D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A8DB568"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9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97525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85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E3928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1C28C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0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F93498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4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077D4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01B30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5600B273" w14:textId="77777777" w:rsidTr="00036665">
        <w:trPr>
          <w:cantSplit/>
          <w:jc w:val="center"/>
        </w:trPr>
        <w:tc>
          <w:tcPr>
            <w:tcW w:w="766" w:type="pct"/>
            <w:shd w:val="clear" w:color="auto" w:fill="FFFFFF"/>
            <w:tcMar>
              <w:top w:w="0" w:type="dxa"/>
              <w:left w:w="0" w:type="dxa"/>
              <w:bottom w:w="0" w:type="dxa"/>
              <w:right w:w="0" w:type="dxa"/>
            </w:tcMar>
            <w:vAlign w:val="center"/>
          </w:tcPr>
          <w:p w14:paraId="76B0D2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894D5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4" w:type="pct"/>
            <w:shd w:val="clear" w:color="auto" w:fill="FFFFFF"/>
            <w:tcMar>
              <w:top w:w="0" w:type="dxa"/>
              <w:left w:w="0" w:type="dxa"/>
              <w:bottom w:w="0" w:type="dxa"/>
              <w:right w:w="0" w:type="dxa"/>
            </w:tcMar>
            <w:vAlign w:val="center"/>
          </w:tcPr>
          <w:p w14:paraId="00D60C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2EA70BC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640</w:t>
            </w:r>
          </w:p>
        </w:tc>
        <w:tc>
          <w:tcPr>
            <w:tcW w:w="293" w:type="pct"/>
            <w:shd w:val="clear" w:color="auto" w:fill="FFFFFF"/>
            <w:tcMar>
              <w:top w:w="0" w:type="dxa"/>
              <w:left w:w="0" w:type="dxa"/>
              <w:bottom w:w="0" w:type="dxa"/>
              <w:right w:w="0" w:type="dxa"/>
            </w:tcMar>
            <w:vAlign w:val="center"/>
          </w:tcPr>
          <w:p w14:paraId="597AF5B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2" w:type="pct"/>
            <w:shd w:val="clear" w:color="auto" w:fill="FFFFFF"/>
            <w:tcMar>
              <w:top w:w="0" w:type="dxa"/>
              <w:left w:w="0" w:type="dxa"/>
              <w:bottom w:w="0" w:type="dxa"/>
              <w:right w:w="0" w:type="dxa"/>
            </w:tcMar>
            <w:vAlign w:val="center"/>
          </w:tcPr>
          <w:p w14:paraId="5D31ED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7" w:type="pct"/>
            <w:shd w:val="clear" w:color="auto" w:fill="FFFFFF"/>
            <w:tcMar>
              <w:top w:w="0" w:type="dxa"/>
              <w:left w:w="0" w:type="dxa"/>
              <w:bottom w:w="0" w:type="dxa"/>
              <w:right w:w="0" w:type="dxa"/>
            </w:tcMar>
            <w:vAlign w:val="center"/>
          </w:tcPr>
          <w:p w14:paraId="5F75D7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06" w:type="pct"/>
            <w:shd w:val="clear" w:color="auto" w:fill="FFFFFF"/>
            <w:tcMar>
              <w:top w:w="0" w:type="dxa"/>
              <w:left w:w="0" w:type="dxa"/>
              <w:bottom w:w="0" w:type="dxa"/>
              <w:right w:w="0" w:type="dxa"/>
            </w:tcMar>
            <w:vAlign w:val="center"/>
          </w:tcPr>
          <w:p w14:paraId="46D796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shd w:val="clear" w:color="auto" w:fill="FFFFFF"/>
            <w:tcMar>
              <w:top w:w="0" w:type="dxa"/>
              <w:left w:w="0" w:type="dxa"/>
              <w:bottom w:w="0" w:type="dxa"/>
              <w:right w:w="0" w:type="dxa"/>
            </w:tcMar>
            <w:vAlign w:val="center"/>
          </w:tcPr>
          <w:p w14:paraId="57B63F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Argentina</w:t>
            </w:r>
          </w:p>
        </w:tc>
        <w:tc>
          <w:tcPr>
            <w:tcW w:w="369" w:type="pct"/>
            <w:shd w:val="clear" w:color="auto" w:fill="FFFFFF"/>
            <w:tcMar>
              <w:top w:w="0" w:type="dxa"/>
              <w:left w:w="0" w:type="dxa"/>
              <w:bottom w:w="0" w:type="dxa"/>
              <w:right w:w="0" w:type="dxa"/>
            </w:tcMar>
            <w:vAlign w:val="center"/>
          </w:tcPr>
          <w:p w14:paraId="05A2EA3C" w14:textId="3C4656E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c2E8L0F1dGhvcj48WWVhcj4yMDE3PC9ZZWFyPjxSZWNOdW0+MTM5PC9SZWNOdW0+PERpc3BsYXlU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c2E8L0F1dGhvcj48WWVhcj4yMDE3PC9ZZWFyPjxSZWNOdW0+MTM5PC9SZWNOdW0+PERpc3BsYXlU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306</w:t>
            </w:r>
            <w:r w:rsidRPr="00734942">
              <w:rPr>
                <w:rFonts w:ascii="Arial" w:eastAsia="Arial" w:hAnsi="Arial" w:cs="Arial"/>
                <w:color w:val="111111"/>
                <w:sz w:val="18"/>
                <w:szCs w:val="18"/>
              </w:rPr>
              <w:fldChar w:fldCharType="end"/>
            </w:r>
          </w:p>
        </w:tc>
      </w:tr>
      <w:tr w:rsidR="00C8418F" w:rsidRPr="00734942" w14:paraId="6C1EDEC9" w14:textId="77777777" w:rsidTr="00036665">
        <w:trPr>
          <w:cantSplit/>
          <w:jc w:val="center"/>
        </w:trPr>
        <w:tc>
          <w:tcPr>
            <w:tcW w:w="766" w:type="pct"/>
            <w:shd w:val="clear" w:color="auto" w:fill="FFFFFF"/>
            <w:tcMar>
              <w:top w:w="0" w:type="dxa"/>
              <w:left w:w="0" w:type="dxa"/>
              <w:bottom w:w="0" w:type="dxa"/>
              <w:right w:w="0" w:type="dxa"/>
            </w:tcMar>
            <w:vAlign w:val="center"/>
          </w:tcPr>
          <w:p w14:paraId="73CAB7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42EF70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4" w:type="pct"/>
            <w:shd w:val="clear" w:color="auto" w:fill="FFFFFF"/>
            <w:tcMar>
              <w:top w:w="0" w:type="dxa"/>
              <w:left w:w="0" w:type="dxa"/>
              <w:bottom w:w="0" w:type="dxa"/>
              <w:right w:w="0" w:type="dxa"/>
            </w:tcMar>
            <w:vAlign w:val="center"/>
          </w:tcPr>
          <w:p w14:paraId="76A9F9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71E453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105</w:t>
            </w:r>
          </w:p>
        </w:tc>
        <w:tc>
          <w:tcPr>
            <w:tcW w:w="293" w:type="pct"/>
            <w:shd w:val="clear" w:color="auto" w:fill="FFFFFF"/>
            <w:tcMar>
              <w:top w:w="0" w:type="dxa"/>
              <w:left w:w="0" w:type="dxa"/>
              <w:bottom w:w="0" w:type="dxa"/>
              <w:right w:w="0" w:type="dxa"/>
            </w:tcMar>
            <w:vAlign w:val="center"/>
          </w:tcPr>
          <w:p w14:paraId="5F6548C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2" w:type="pct"/>
            <w:shd w:val="clear" w:color="auto" w:fill="FFFFFF"/>
            <w:tcMar>
              <w:top w:w="0" w:type="dxa"/>
              <w:left w:w="0" w:type="dxa"/>
              <w:bottom w:w="0" w:type="dxa"/>
              <w:right w:w="0" w:type="dxa"/>
            </w:tcMar>
            <w:vAlign w:val="center"/>
          </w:tcPr>
          <w:p w14:paraId="4BA588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7" w:type="pct"/>
            <w:shd w:val="clear" w:color="auto" w:fill="FFFFFF"/>
            <w:tcMar>
              <w:top w:w="0" w:type="dxa"/>
              <w:left w:w="0" w:type="dxa"/>
              <w:bottom w:w="0" w:type="dxa"/>
              <w:right w:w="0" w:type="dxa"/>
            </w:tcMar>
            <w:vAlign w:val="center"/>
          </w:tcPr>
          <w:p w14:paraId="287670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All pts biopsied - no serology</w:t>
            </w:r>
          </w:p>
        </w:tc>
        <w:tc>
          <w:tcPr>
            <w:tcW w:w="406" w:type="pct"/>
            <w:shd w:val="clear" w:color="auto" w:fill="FFFFFF"/>
            <w:tcMar>
              <w:top w:w="0" w:type="dxa"/>
              <w:left w:w="0" w:type="dxa"/>
              <w:bottom w:w="0" w:type="dxa"/>
              <w:right w:w="0" w:type="dxa"/>
            </w:tcMar>
            <w:vAlign w:val="center"/>
          </w:tcPr>
          <w:p w14:paraId="62C243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NR</w:t>
            </w:r>
          </w:p>
        </w:tc>
        <w:tc>
          <w:tcPr>
            <w:tcW w:w="348" w:type="pct"/>
            <w:shd w:val="clear" w:color="auto" w:fill="FFFFFF"/>
            <w:tcMar>
              <w:top w:w="0" w:type="dxa"/>
              <w:left w:w="0" w:type="dxa"/>
              <w:bottom w:w="0" w:type="dxa"/>
              <w:right w:w="0" w:type="dxa"/>
            </w:tcMar>
            <w:vAlign w:val="center"/>
          </w:tcPr>
          <w:p w14:paraId="51AF23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NR</w:t>
            </w:r>
          </w:p>
        </w:tc>
        <w:tc>
          <w:tcPr>
            <w:tcW w:w="369" w:type="pct"/>
            <w:shd w:val="clear" w:color="auto" w:fill="FFFFFF"/>
            <w:tcMar>
              <w:top w:w="0" w:type="dxa"/>
              <w:left w:w="0" w:type="dxa"/>
              <w:bottom w:w="0" w:type="dxa"/>
              <w:right w:w="0" w:type="dxa"/>
            </w:tcMar>
            <w:vAlign w:val="center"/>
          </w:tcPr>
          <w:p w14:paraId="47002882" w14:textId="71C4B8B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ExcludeYear="1"&gt;&lt;Author&gt;Lecleire&lt;/Author&gt;&lt;Year&gt;2005&lt;/Year&gt;&lt;RecNum&gt;140&lt;/RecNum&gt;&lt;DisplayText&gt;&lt;style face="superscript"&gt;307&lt;/style&gt;&lt;/DisplayText&gt;&lt;record&gt;&lt;rec-number&gt;140&lt;/rec-number&gt;&lt;foreign-keys&gt;&lt;key app="EN" db-id="tdwrx9xd1z9eepeevr355w2k959rv0f5zaax" timestamp="1632756122"&gt;140&lt;/key&gt;&lt;/foreign-keys&gt;&lt;ref-type name="Journal Article"&gt;17&lt;/ref-type&gt;&lt;contributors&gt;&lt;authors&gt;&lt;author&gt;Lecleire, S.&lt;/author&gt;&lt;author&gt;Di Fiore, F.&lt;/author&gt;&lt;author&gt;Antonietti, M.&lt;/author&gt;&lt;author&gt;Savoye, G.&lt;/author&gt;&lt;author&gt;Lerebours, E.&lt;/author&gt;&lt;author&gt;Ducrotte, P.&lt;/author&gt;&lt;/authors&gt;&lt;/contributors&gt;&lt;titles&gt;&lt;title&gt;Endoscopic markers for screening of villous atrophy in patients with dyspepsia or high-risk of celiac disease: a prospective controlled study&lt;/title&gt;&lt;secondary-title&gt;Gastroenterology&lt;/secondary-title&gt;&lt;/titles&gt;&lt;periodical&gt;&lt;full-title&gt;Gastroenterology&lt;/full-title&gt;&lt;/periodical&gt;&lt;pages&gt;A257-A257&lt;/pages&gt;&lt;volume&gt;128&lt;/volume&gt;&lt;number&gt;4&lt;/number&gt;&lt;dates&gt;&lt;year&gt;2005&lt;/year&gt;&lt;pub-dates&gt;&lt;date&gt;Apr&lt;/date&gt;&lt;/pub-dates&gt;&lt;/dates&gt;&lt;isbn&gt;0016-5085&lt;/isbn&gt;&lt;accession-num&gt;WOS:000228619302071&lt;/accession-num&gt;&lt;urls&gt;&lt;related-urls&gt;&lt;url&gt;&amp;lt;Go to ISI&amp;gt;://WOS:000228619302071&lt;/url&gt;&lt;/related-urls&gt;&lt;/urls&gt;&lt;remote-database-name&gt;Web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307</w:t>
            </w:r>
            <w:r w:rsidRPr="00734942">
              <w:rPr>
                <w:rFonts w:ascii="Arial" w:eastAsia="Arial" w:hAnsi="Arial" w:cs="Arial"/>
                <w:color w:val="111111"/>
                <w:sz w:val="18"/>
                <w:szCs w:val="18"/>
              </w:rPr>
              <w:fldChar w:fldCharType="end"/>
            </w:r>
          </w:p>
        </w:tc>
      </w:tr>
      <w:tr w:rsidR="00C8418F" w:rsidRPr="00734942" w14:paraId="0C7ABA62" w14:textId="77777777" w:rsidTr="00036665">
        <w:trPr>
          <w:cantSplit/>
          <w:jc w:val="center"/>
        </w:trPr>
        <w:tc>
          <w:tcPr>
            <w:tcW w:w="766" w:type="pct"/>
            <w:shd w:val="clear" w:color="auto" w:fill="FFFFFF"/>
            <w:tcMar>
              <w:top w:w="0" w:type="dxa"/>
              <w:left w:w="0" w:type="dxa"/>
              <w:bottom w:w="0" w:type="dxa"/>
              <w:right w:w="0" w:type="dxa"/>
            </w:tcMar>
            <w:vAlign w:val="center"/>
          </w:tcPr>
          <w:p w14:paraId="7755C3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30482F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14" w:type="pct"/>
            <w:shd w:val="clear" w:color="auto" w:fill="FFFFFF"/>
            <w:tcMar>
              <w:top w:w="0" w:type="dxa"/>
              <w:left w:w="0" w:type="dxa"/>
              <w:bottom w:w="0" w:type="dxa"/>
              <w:right w:w="0" w:type="dxa"/>
            </w:tcMar>
            <w:vAlign w:val="center"/>
          </w:tcPr>
          <w:p w14:paraId="5C5DE9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19D543D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3118</w:t>
            </w:r>
          </w:p>
        </w:tc>
        <w:tc>
          <w:tcPr>
            <w:tcW w:w="293" w:type="pct"/>
            <w:shd w:val="clear" w:color="auto" w:fill="FFFFFF"/>
            <w:tcMar>
              <w:top w:w="0" w:type="dxa"/>
              <w:left w:w="0" w:type="dxa"/>
              <w:bottom w:w="0" w:type="dxa"/>
              <w:right w:w="0" w:type="dxa"/>
            </w:tcMar>
            <w:vAlign w:val="center"/>
          </w:tcPr>
          <w:p w14:paraId="2597D6B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2" w:type="pct"/>
            <w:shd w:val="clear" w:color="auto" w:fill="FFFFFF"/>
            <w:tcMar>
              <w:top w:w="0" w:type="dxa"/>
              <w:left w:w="0" w:type="dxa"/>
              <w:bottom w:w="0" w:type="dxa"/>
              <w:right w:w="0" w:type="dxa"/>
            </w:tcMar>
            <w:vAlign w:val="center"/>
          </w:tcPr>
          <w:p w14:paraId="4D13DA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dyspepsia</w:t>
            </w:r>
          </w:p>
        </w:tc>
        <w:tc>
          <w:tcPr>
            <w:tcW w:w="607" w:type="pct"/>
            <w:shd w:val="clear" w:color="auto" w:fill="FFFFFF"/>
            <w:tcMar>
              <w:top w:w="0" w:type="dxa"/>
              <w:left w:w="0" w:type="dxa"/>
              <w:bottom w:w="0" w:type="dxa"/>
              <w:right w:w="0" w:type="dxa"/>
            </w:tcMar>
            <w:vAlign w:val="center"/>
          </w:tcPr>
          <w:p w14:paraId="0DA032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6" w:type="pct"/>
            <w:shd w:val="clear" w:color="auto" w:fill="FFFFFF"/>
            <w:tcMar>
              <w:top w:w="0" w:type="dxa"/>
              <w:left w:w="0" w:type="dxa"/>
              <w:bottom w:w="0" w:type="dxa"/>
              <w:right w:w="0" w:type="dxa"/>
            </w:tcMar>
            <w:vAlign w:val="center"/>
          </w:tcPr>
          <w:p w14:paraId="55B6CC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8" w:type="pct"/>
            <w:shd w:val="clear" w:color="auto" w:fill="FFFFFF"/>
            <w:tcMar>
              <w:top w:w="0" w:type="dxa"/>
              <w:left w:w="0" w:type="dxa"/>
              <w:bottom w:w="0" w:type="dxa"/>
              <w:right w:w="0" w:type="dxa"/>
            </w:tcMar>
            <w:vAlign w:val="center"/>
          </w:tcPr>
          <w:p w14:paraId="60D129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5344ABAC" w14:textId="235EBE5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C8418F" w:rsidRPr="00734942" w14:paraId="5DDD7ADC" w14:textId="77777777" w:rsidTr="00036665">
        <w:trPr>
          <w:cantSplit/>
          <w:jc w:val="center"/>
        </w:trPr>
        <w:tc>
          <w:tcPr>
            <w:tcW w:w="766" w:type="pct"/>
            <w:shd w:val="clear" w:color="auto" w:fill="FFFFFF"/>
            <w:tcMar>
              <w:top w:w="0" w:type="dxa"/>
              <w:left w:w="0" w:type="dxa"/>
              <w:bottom w:w="0" w:type="dxa"/>
              <w:right w:w="0" w:type="dxa"/>
            </w:tcMar>
            <w:vAlign w:val="center"/>
          </w:tcPr>
          <w:p w14:paraId="5B4CED5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313ABF4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14" w:type="pct"/>
            <w:shd w:val="clear" w:color="auto" w:fill="FFFFFF"/>
            <w:tcMar>
              <w:top w:w="0" w:type="dxa"/>
              <w:left w:w="0" w:type="dxa"/>
              <w:bottom w:w="0" w:type="dxa"/>
              <w:right w:w="0" w:type="dxa"/>
            </w:tcMar>
            <w:vAlign w:val="center"/>
          </w:tcPr>
          <w:p w14:paraId="35C822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Heartburn</w:t>
            </w:r>
          </w:p>
        </w:tc>
        <w:tc>
          <w:tcPr>
            <w:tcW w:w="291" w:type="pct"/>
            <w:shd w:val="clear" w:color="auto" w:fill="FFFFFF"/>
            <w:tcMar>
              <w:top w:w="0" w:type="dxa"/>
              <w:left w:w="0" w:type="dxa"/>
              <w:bottom w:w="0" w:type="dxa"/>
              <w:right w:w="0" w:type="dxa"/>
            </w:tcMar>
            <w:vAlign w:val="center"/>
          </w:tcPr>
          <w:p w14:paraId="59ED601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3847</w:t>
            </w:r>
          </w:p>
        </w:tc>
        <w:tc>
          <w:tcPr>
            <w:tcW w:w="293" w:type="pct"/>
            <w:shd w:val="clear" w:color="auto" w:fill="FFFFFF"/>
            <w:tcMar>
              <w:top w:w="0" w:type="dxa"/>
              <w:left w:w="0" w:type="dxa"/>
              <w:bottom w:w="0" w:type="dxa"/>
              <w:right w:w="0" w:type="dxa"/>
            </w:tcMar>
            <w:vAlign w:val="center"/>
          </w:tcPr>
          <w:p w14:paraId="028CC90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2" w:type="pct"/>
            <w:shd w:val="clear" w:color="auto" w:fill="FFFFFF"/>
            <w:tcMar>
              <w:top w:w="0" w:type="dxa"/>
              <w:left w:w="0" w:type="dxa"/>
              <w:bottom w:w="0" w:type="dxa"/>
              <w:right w:w="0" w:type="dxa"/>
            </w:tcMar>
            <w:vAlign w:val="center"/>
          </w:tcPr>
          <w:p w14:paraId="6E089D2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heartburn</w:t>
            </w:r>
          </w:p>
        </w:tc>
        <w:tc>
          <w:tcPr>
            <w:tcW w:w="607" w:type="pct"/>
            <w:shd w:val="clear" w:color="auto" w:fill="FFFFFF"/>
            <w:tcMar>
              <w:top w:w="0" w:type="dxa"/>
              <w:left w:w="0" w:type="dxa"/>
              <w:bottom w:w="0" w:type="dxa"/>
              <w:right w:w="0" w:type="dxa"/>
            </w:tcMar>
            <w:vAlign w:val="center"/>
          </w:tcPr>
          <w:p w14:paraId="5B81E7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6" w:type="pct"/>
            <w:shd w:val="clear" w:color="auto" w:fill="FFFFFF"/>
            <w:tcMar>
              <w:top w:w="0" w:type="dxa"/>
              <w:left w:w="0" w:type="dxa"/>
              <w:bottom w:w="0" w:type="dxa"/>
              <w:right w:w="0" w:type="dxa"/>
            </w:tcMar>
            <w:vAlign w:val="center"/>
          </w:tcPr>
          <w:p w14:paraId="2192F8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8" w:type="pct"/>
            <w:shd w:val="clear" w:color="auto" w:fill="FFFFFF"/>
            <w:tcMar>
              <w:top w:w="0" w:type="dxa"/>
              <w:left w:w="0" w:type="dxa"/>
              <w:bottom w:w="0" w:type="dxa"/>
              <w:right w:w="0" w:type="dxa"/>
            </w:tcMar>
            <w:vAlign w:val="center"/>
          </w:tcPr>
          <w:p w14:paraId="1E42A8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E5A00CC" w14:textId="0222470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C8418F" w:rsidRPr="00734942" w14:paraId="0857EEA0" w14:textId="77777777" w:rsidTr="00036665">
        <w:trPr>
          <w:cantSplit/>
          <w:jc w:val="center"/>
        </w:trPr>
        <w:tc>
          <w:tcPr>
            <w:tcW w:w="766" w:type="pct"/>
            <w:shd w:val="clear" w:color="auto" w:fill="FFFFFF"/>
            <w:tcMar>
              <w:top w:w="0" w:type="dxa"/>
              <w:left w:w="0" w:type="dxa"/>
              <w:bottom w:w="0" w:type="dxa"/>
              <w:right w:w="0" w:type="dxa"/>
            </w:tcMar>
            <w:vAlign w:val="center"/>
          </w:tcPr>
          <w:p w14:paraId="14BF21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036FC5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14" w:type="pct"/>
            <w:shd w:val="clear" w:color="auto" w:fill="FFFFFF"/>
            <w:tcMar>
              <w:top w:w="0" w:type="dxa"/>
              <w:left w:w="0" w:type="dxa"/>
              <w:bottom w:w="0" w:type="dxa"/>
              <w:right w:w="0" w:type="dxa"/>
            </w:tcMar>
            <w:vAlign w:val="center"/>
          </w:tcPr>
          <w:p w14:paraId="71FE5B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46083FE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427</w:t>
            </w:r>
          </w:p>
        </w:tc>
        <w:tc>
          <w:tcPr>
            <w:tcW w:w="293" w:type="pct"/>
            <w:shd w:val="clear" w:color="auto" w:fill="FFFFFF"/>
            <w:tcMar>
              <w:top w:w="0" w:type="dxa"/>
              <w:left w:w="0" w:type="dxa"/>
              <w:bottom w:w="0" w:type="dxa"/>
              <w:right w:w="0" w:type="dxa"/>
            </w:tcMar>
            <w:vAlign w:val="center"/>
          </w:tcPr>
          <w:p w14:paraId="45890A1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1-25%</w:t>
            </w:r>
          </w:p>
        </w:tc>
        <w:tc>
          <w:tcPr>
            <w:tcW w:w="852" w:type="pct"/>
            <w:shd w:val="clear" w:color="auto" w:fill="FFFFFF"/>
            <w:tcMar>
              <w:top w:w="0" w:type="dxa"/>
              <w:left w:w="0" w:type="dxa"/>
              <w:bottom w:w="0" w:type="dxa"/>
              <w:right w:w="0" w:type="dxa"/>
            </w:tcMar>
            <w:vAlign w:val="center"/>
          </w:tcPr>
          <w:p w14:paraId="3554E7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7" w:type="pct"/>
            <w:shd w:val="clear" w:color="auto" w:fill="FFFFFF"/>
            <w:tcMar>
              <w:top w:w="0" w:type="dxa"/>
              <w:left w:w="0" w:type="dxa"/>
              <w:bottom w:w="0" w:type="dxa"/>
              <w:right w:w="0" w:type="dxa"/>
            </w:tcMar>
            <w:vAlign w:val="center"/>
          </w:tcPr>
          <w:p w14:paraId="1542F1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6" w:type="pct"/>
            <w:shd w:val="clear" w:color="auto" w:fill="FFFFFF"/>
            <w:tcMar>
              <w:top w:w="0" w:type="dxa"/>
              <w:left w:w="0" w:type="dxa"/>
              <w:bottom w:w="0" w:type="dxa"/>
              <w:right w:w="0" w:type="dxa"/>
            </w:tcMar>
            <w:vAlign w:val="center"/>
          </w:tcPr>
          <w:p w14:paraId="4431AB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48" w:type="pct"/>
            <w:shd w:val="clear" w:color="auto" w:fill="FFFFFF"/>
            <w:tcMar>
              <w:top w:w="0" w:type="dxa"/>
              <w:left w:w="0" w:type="dxa"/>
              <w:bottom w:w="0" w:type="dxa"/>
              <w:right w:w="0" w:type="dxa"/>
            </w:tcMar>
            <w:vAlign w:val="center"/>
          </w:tcPr>
          <w:p w14:paraId="409B10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Mexico</w:t>
            </w:r>
          </w:p>
        </w:tc>
        <w:tc>
          <w:tcPr>
            <w:tcW w:w="369" w:type="pct"/>
            <w:shd w:val="clear" w:color="auto" w:fill="FFFFFF"/>
            <w:tcMar>
              <w:top w:w="0" w:type="dxa"/>
              <w:left w:w="0" w:type="dxa"/>
              <w:bottom w:w="0" w:type="dxa"/>
              <w:right w:w="0" w:type="dxa"/>
            </w:tcMar>
            <w:vAlign w:val="center"/>
          </w:tcPr>
          <w:p w14:paraId="17D603AE" w14:textId="0BE5F42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cmEtQ2FybW9uYTwvQXV0aG9yPjxZZWFyPjIwMTk8L1llYXI+PFJlY051bT4xNDI8L1JlY051bT48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cmEtQ2FybW9uYTwvQXV0aG9yPjxZZWFyPjIwMTk8L1llYXI+PFJlY051bT4xNDI8L1JlY051bT48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309</w:t>
            </w:r>
            <w:r w:rsidRPr="00734942">
              <w:rPr>
                <w:rFonts w:ascii="Arial" w:eastAsia="Arial" w:hAnsi="Arial" w:cs="Arial"/>
                <w:color w:val="111111"/>
                <w:sz w:val="18"/>
                <w:szCs w:val="18"/>
              </w:rPr>
              <w:fldChar w:fldCharType="end"/>
            </w:r>
          </w:p>
        </w:tc>
      </w:tr>
      <w:tr w:rsidR="00C8418F" w:rsidRPr="00734942" w14:paraId="0026FB3B" w14:textId="77777777" w:rsidTr="00036665">
        <w:trPr>
          <w:cantSplit/>
          <w:jc w:val="center"/>
        </w:trPr>
        <w:tc>
          <w:tcPr>
            <w:tcW w:w="766" w:type="pct"/>
            <w:shd w:val="clear" w:color="auto" w:fill="FFFFFF"/>
            <w:tcMar>
              <w:top w:w="0" w:type="dxa"/>
              <w:left w:w="0" w:type="dxa"/>
              <w:bottom w:w="0" w:type="dxa"/>
              <w:right w:w="0" w:type="dxa"/>
            </w:tcMar>
            <w:vAlign w:val="center"/>
          </w:tcPr>
          <w:p w14:paraId="306A1D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1F607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14" w:type="pct"/>
            <w:shd w:val="clear" w:color="auto" w:fill="FFFFFF"/>
            <w:tcMar>
              <w:top w:w="0" w:type="dxa"/>
              <w:left w:w="0" w:type="dxa"/>
              <w:bottom w:w="0" w:type="dxa"/>
              <w:right w:w="0" w:type="dxa"/>
            </w:tcMar>
            <w:vAlign w:val="center"/>
          </w:tcPr>
          <w:p w14:paraId="0684DD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Heartburn</w:t>
            </w:r>
          </w:p>
        </w:tc>
        <w:tc>
          <w:tcPr>
            <w:tcW w:w="291" w:type="pct"/>
            <w:shd w:val="clear" w:color="auto" w:fill="FFFFFF"/>
            <w:tcMar>
              <w:top w:w="0" w:type="dxa"/>
              <w:left w:w="0" w:type="dxa"/>
              <w:bottom w:w="0" w:type="dxa"/>
              <w:right w:w="0" w:type="dxa"/>
            </w:tcMar>
            <w:vAlign w:val="center"/>
          </w:tcPr>
          <w:p w14:paraId="32403CE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1886</w:t>
            </w:r>
          </w:p>
        </w:tc>
        <w:tc>
          <w:tcPr>
            <w:tcW w:w="293" w:type="pct"/>
            <w:shd w:val="clear" w:color="auto" w:fill="FFFFFF"/>
            <w:tcMar>
              <w:top w:w="0" w:type="dxa"/>
              <w:left w:w="0" w:type="dxa"/>
              <w:bottom w:w="0" w:type="dxa"/>
              <w:right w:w="0" w:type="dxa"/>
            </w:tcMar>
            <w:vAlign w:val="center"/>
          </w:tcPr>
          <w:p w14:paraId="656E418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2" w:type="pct"/>
            <w:shd w:val="clear" w:color="auto" w:fill="FFFFFF"/>
            <w:tcMar>
              <w:top w:w="0" w:type="dxa"/>
              <w:left w:w="0" w:type="dxa"/>
              <w:bottom w:w="0" w:type="dxa"/>
              <w:right w:w="0" w:type="dxa"/>
            </w:tcMar>
            <w:vAlign w:val="center"/>
          </w:tcPr>
          <w:p w14:paraId="51D525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heartburn</w:t>
            </w:r>
          </w:p>
        </w:tc>
        <w:tc>
          <w:tcPr>
            <w:tcW w:w="607" w:type="pct"/>
            <w:shd w:val="clear" w:color="auto" w:fill="FFFFFF"/>
            <w:tcMar>
              <w:top w:w="0" w:type="dxa"/>
              <w:left w:w="0" w:type="dxa"/>
              <w:bottom w:w="0" w:type="dxa"/>
              <w:right w:w="0" w:type="dxa"/>
            </w:tcMar>
            <w:vAlign w:val="center"/>
          </w:tcPr>
          <w:p w14:paraId="78FDF5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06" w:type="pct"/>
            <w:shd w:val="clear" w:color="auto" w:fill="FFFFFF"/>
            <w:tcMar>
              <w:top w:w="0" w:type="dxa"/>
              <w:left w:w="0" w:type="dxa"/>
              <w:bottom w:w="0" w:type="dxa"/>
              <w:right w:w="0" w:type="dxa"/>
            </w:tcMar>
            <w:vAlign w:val="center"/>
          </w:tcPr>
          <w:p w14:paraId="41CE3D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48" w:type="pct"/>
            <w:shd w:val="clear" w:color="auto" w:fill="FFFFFF"/>
            <w:tcMar>
              <w:top w:w="0" w:type="dxa"/>
              <w:left w:w="0" w:type="dxa"/>
              <w:bottom w:w="0" w:type="dxa"/>
              <w:right w:w="0" w:type="dxa"/>
            </w:tcMar>
            <w:vAlign w:val="center"/>
          </w:tcPr>
          <w:p w14:paraId="200D1C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321C3B98" w14:textId="0ACE831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310</w:t>
            </w:r>
            <w:r w:rsidRPr="00734942">
              <w:rPr>
                <w:rFonts w:ascii="Arial" w:eastAsia="Arial" w:hAnsi="Arial" w:cs="Arial"/>
                <w:color w:val="111111"/>
                <w:sz w:val="18"/>
                <w:szCs w:val="18"/>
              </w:rPr>
              <w:fldChar w:fldCharType="end"/>
            </w:r>
          </w:p>
        </w:tc>
      </w:tr>
      <w:tr w:rsidR="00C8418F" w:rsidRPr="00734942" w14:paraId="242BDA4E" w14:textId="77777777" w:rsidTr="00036665">
        <w:trPr>
          <w:cantSplit/>
          <w:jc w:val="center"/>
        </w:trPr>
        <w:tc>
          <w:tcPr>
            <w:tcW w:w="766" w:type="pct"/>
            <w:shd w:val="clear" w:color="auto" w:fill="FFFFFF"/>
            <w:tcMar>
              <w:top w:w="0" w:type="dxa"/>
              <w:left w:w="0" w:type="dxa"/>
              <w:bottom w:w="0" w:type="dxa"/>
              <w:right w:w="0" w:type="dxa"/>
            </w:tcMar>
            <w:vAlign w:val="center"/>
          </w:tcPr>
          <w:p w14:paraId="7280C5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51153E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614" w:type="pct"/>
            <w:shd w:val="clear" w:color="auto" w:fill="FFFFFF"/>
            <w:tcMar>
              <w:top w:w="0" w:type="dxa"/>
              <w:left w:w="0" w:type="dxa"/>
              <w:bottom w:w="0" w:type="dxa"/>
              <w:right w:w="0" w:type="dxa"/>
            </w:tcMar>
            <w:vAlign w:val="center"/>
          </w:tcPr>
          <w:p w14:paraId="36FA39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388F5A6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93" w:type="pct"/>
            <w:shd w:val="clear" w:color="auto" w:fill="FFFFFF"/>
            <w:tcMar>
              <w:top w:w="0" w:type="dxa"/>
              <w:left w:w="0" w:type="dxa"/>
              <w:bottom w:w="0" w:type="dxa"/>
              <w:right w:w="0" w:type="dxa"/>
            </w:tcMar>
            <w:vAlign w:val="center"/>
          </w:tcPr>
          <w:p w14:paraId="6E8C03C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2" w:type="pct"/>
            <w:shd w:val="clear" w:color="auto" w:fill="FFFFFF"/>
            <w:tcMar>
              <w:top w:w="0" w:type="dxa"/>
              <w:left w:w="0" w:type="dxa"/>
              <w:bottom w:w="0" w:type="dxa"/>
              <w:right w:w="0" w:type="dxa"/>
            </w:tcMar>
            <w:vAlign w:val="center"/>
          </w:tcPr>
          <w:p w14:paraId="0C7A95E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dyspepsia</w:t>
            </w:r>
          </w:p>
        </w:tc>
        <w:tc>
          <w:tcPr>
            <w:tcW w:w="607" w:type="pct"/>
            <w:shd w:val="clear" w:color="auto" w:fill="FFFFFF"/>
            <w:tcMar>
              <w:top w:w="0" w:type="dxa"/>
              <w:left w:w="0" w:type="dxa"/>
              <w:bottom w:w="0" w:type="dxa"/>
              <w:right w:w="0" w:type="dxa"/>
            </w:tcMar>
            <w:vAlign w:val="center"/>
          </w:tcPr>
          <w:p w14:paraId="55D5B5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6" w:type="pct"/>
            <w:shd w:val="clear" w:color="auto" w:fill="FFFFFF"/>
            <w:tcMar>
              <w:top w:w="0" w:type="dxa"/>
              <w:left w:w="0" w:type="dxa"/>
              <w:bottom w:w="0" w:type="dxa"/>
              <w:right w:w="0" w:type="dxa"/>
            </w:tcMar>
            <w:vAlign w:val="center"/>
          </w:tcPr>
          <w:p w14:paraId="02966B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48" w:type="pct"/>
            <w:shd w:val="clear" w:color="auto" w:fill="FFFFFF"/>
            <w:tcMar>
              <w:top w:w="0" w:type="dxa"/>
              <w:left w:w="0" w:type="dxa"/>
              <w:bottom w:w="0" w:type="dxa"/>
              <w:right w:w="0" w:type="dxa"/>
            </w:tcMar>
            <w:vAlign w:val="center"/>
          </w:tcPr>
          <w:p w14:paraId="5F93E5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7DDD471" w14:textId="10048B0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45BA6518" w14:textId="77777777" w:rsidTr="00036665">
        <w:trPr>
          <w:cantSplit/>
          <w:jc w:val="center"/>
        </w:trPr>
        <w:tc>
          <w:tcPr>
            <w:tcW w:w="766" w:type="pct"/>
            <w:shd w:val="clear" w:color="auto" w:fill="FFFFFF"/>
            <w:tcMar>
              <w:top w:w="0" w:type="dxa"/>
              <w:left w:w="0" w:type="dxa"/>
              <w:bottom w:w="0" w:type="dxa"/>
              <w:right w:w="0" w:type="dxa"/>
            </w:tcMar>
            <w:vAlign w:val="center"/>
          </w:tcPr>
          <w:p w14:paraId="4162A1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FD4CA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614" w:type="pct"/>
            <w:shd w:val="clear" w:color="auto" w:fill="FFFFFF"/>
            <w:tcMar>
              <w:top w:w="0" w:type="dxa"/>
              <w:left w:w="0" w:type="dxa"/>
              <w:bottom w:w="0" w:type="dxa"/>
              <w:right w:w="0" w:type="dxa"/>
            </w:tcMar>
            <w:vAlign w:val="center"/>
          </w:tcPr>
          <w:p w14:paraId="216270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Gastroesophageal reflux symptoms</w:t>
            </w:r>
          </w:p>
        </w:tc>
        <w:tc>
          <w:tcPr>
            <w:tcW w:w="291" w:type="pct"/>
            <w:shd w:val="clear" w:color="auto" w:fill="FFFFFF"/>
            <w:tcMar>
              <w:top w:w="0" w:type="dxa"/>
              <w:left w:w="0" w:type="dxa"/>
              <w:bottom w:w="0" w:type="dxa"/>
              <w:right w:w="0" w:type="dxa"/>
            </w:tcMar>
            <w:vAlign w:val="center"/>
          </w:tcPr>
          <w:p w14:paraId="587CE7F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1000</w:t>
            </w:r>
          </w:p>
        </w:tc>
        <w:tc>
          <w:tcPr>
            <w:tcW w:w="293" w:type="pct"/>
            <w:shd w:val="clear" w:color="auto" w:fill="FFFFFF"/>
            <w:tcMar>
              <w:top w:w="0" w:type="dxa"/>
              <w:left w:w="0" w:type="dxa"/>
              <w:bottom w:w="0" w:type="dxa"/>
              <w:right w:w="0" w:type="dxa"/>
            </w:tcMar>
            <w:vAlign w:val="center"/>
          </w:tcPr>
          <w:p w14:paraId="4ADBBC3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2" w:type="pct"/>
            <w:shd w:val="clear" w:color="auto" w:fill="FFFFFF"/>
            <w:tcMar>
              <w:top w:w="0" w:type="dxa"/>
              <w:left w:w="0" w:type="dxa"/>
              <w:bottom w:w="0" w:type="dxa"/>
              <w:right w:w="0" w:type="dxa"/>
            </w:tcMar>
            <w:vAlign w:val="center"/>
          </w:tcPr>
          <w:p w14:paraId="6AD010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gastroesophageal reflux symptoms</w:t>
            </w:r>
          </w:p>
        </w:tc>
        <w:tc>
          <w:tcPr>
            <w:tcW w:w="607" w:type="pct"/>
            <w:shd w:val="clear" w:color="auto" w:fill="FFFFFF"/>
            <w:tcMar>
              <w:top w:w="0" w:type="dxa"/>
              <w:left w:w="0" w:type="dxa"/>
              <w:bottom w:w="0" w:type="dxa"/>
              <w:right w:w="0" w:type="dxa"/>
            </w:tcMar>
            <w:vAlign w:val="center"/>
          </w:tcPr>
          <w:p w14:paraId="4B04918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all pts biopsied</w:t>
            </w:r>
          </w:p>
        </w:tc>
        <w:tc>
          <w:tcPr>
            <w:tcW w:w="406" w:type="pct"/>
            <w:shd w:val="clear" w:color="auto" w:fill="FFFFFF"/>
            <w:tcMar>
              <w:top w:w="0" w:type="dxa"/>
              <w:left w:w="0" w:type="dxa"/>
              <w:bottom w:w="0" w:type="dxa"/>
              <w:right w:w="0" w:type="dxa"/>
            </w:tcMar>
            <w:vAlign w:val="center"/>
          </w:tcPr>
          <w:p w14:paraId="095085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8" w:type="pct"/>
            <w:shd w:val="clear" w:color="auto" w:fill="FFFFFF"/>
            <w:tcMar>
              <w:top w:w="0" w:type="dxa"/>
              <w:left w:w="0" w:type="dxa"/>
              <w:bottom w:w="0" w:type="dxa"/>
              <w:right w:w="0" w:type="dxa"/>
            </w:tcMar>
            <w:vAlign w:val="center"/>
          </w:tcPr>
          <w:p w14:paraId="710AFC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4D72BC9B" w14:textId="556F222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PEVuZE5vdGU+PENpdGUgRXhjbHVkZUF1dGg9IjEiIEV4Y2x1ZGVZZWFyPSIxIj48QXV0aG9yPkx1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PEVuZE5vdGU+PENpdGUgRXhjbHVkZUF1dGg9IjEiIEV4Y2x1ZGVZZWFyPSIxIj48QXV0aG9yPkx1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311</w:t>
            </w:r>
            <w:r w:rsidRPr="00734942">
              <w:rPr>
                <w:rFonts w:ascii="Arial" w:eastAsia="Arial" w:hAnsi="Arial" w:cs="Arial"/>
                <w:color w:val="111111"/>
                <w:sz w:val="18"/>
                <w:szCs w:val="18"/>
              </w:rPr>
              <w:fldChar w:fldCharType="end"/>
            </w:r>
          </w:p>
        </w:tc>
      </w:tr>
      <w:tr w:rsidR="00C8418F" w:rsidRPr="00734942" w14:paraId="38B77927" w14:textId="77777777" w:rsidTr="00036665">
        <w:trPr>
          <w:cantSplit/>
          <w:jc w:val="center"/>
        </w:trPr>
        <w:tc>
          <w:tcPr>
            <w:tcW w:w="766" w:type="pct"/>
            <w:shd w:val="clear" w:color="auto" w:fill="FFFFFF"/>
            <w:tcMar>
              <w:top w:w="0" w:type="dxa"/>
              <w:left w:w="0" w:type="dxa"/>
              <w:bottom w:w="0" w:type="dxa"/>
              <w:right w:w="0" w:type="dxa"/>
            </w:tcMar>
            <w:vAlign w:val="center"/>
          </w:tcPr>
          <w:p w14:paraId="1AC51A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16A765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614" w:type="pct"/>
            <w:shd w:val="clear" w:color="auto" w:fill="FFFFFF"/>
            <w:tcMar>
              <w:top w:w="0" w:type="dxa"/>
              <w:left w:w="0" w:type="dxa"/>
              <w:bottom w:w="0" w:type="dxa"/>
              <w:right w:w="0" w:type="dxa"/>
            </w:tcMar>
            <w:vAlign w:val="center"/>
          </w:tcPr>
          <w:p w14:paraId="2EED79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Dyspepsia</w:t>
            </w:r>
          </w:p>
        </w:tc>
        <w:tc>
          <w:tcPr>
            <w:tcW w:w="291" w:type="pct"/>
            <w:shd w:val="clear" w:color="auto" w:fill="FFFFFF"/>
            <w:tcMar>
              <w:top w:w="0" w:type="dxa"/>
              <w:left w:w="0" w:type="dxa"/>
              <w:bottom w:w="0" w:type="dxa"/>
              <w:right w:w="0" w:type="dxa"/>
            </w:tcMar>
            <w:vAlign w:val="center"/>
          </w:tcPr>
          <w:p w14:paraId="67639E1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112</w:t>
            </w:r>
          </w:p>
        </w:tc>
        <w:tc>
          <w:tcPr>
            <w:tcW w:w="293" w:type="pct"/>
            <w:shd w:val="clear" w:color="auto" w:fill="FFFFFF"/>
            <w:tcMar>
              <w:top w:w="0" w:type="dxa"/>
              <w:left w:w="0" w:type="dxa"/>
              <w:bottom w:w="0" w:type="dxa"/>
              <w:right w:w="0" w:type="dxa"/>
            </w:tcMar>
            <w:vAlign w:val="center"/>
          </w:tcPr>
          <w:p w14:paraId="73B4200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852" w:type="pct"/>
            <w:shd w:val="clear" w:color="auto" w:fill="FFFFFF"/>
            <w:tcMar>
              <w:top w:w="0" w:type="dxa"/>
              <w:left w:w="0" w:type="dxa"/>
              <w:bottom w:w="0" w:type="dxa"/>
              <w:right w:w="0" w:type="dxa"/>
            </w:tcMar>
            <w:vAlign w:val="center"/>
          </w:tcPr>
          <w:p w14:paraId="603CD6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7" w:type="pct"/>
            <w:shd w:val="clear" w:color="auto" w:fill="FFFFFF"/>
            <w:tcMar>
              <w:top w:w="0" w:type="dxa"/>
              <w:left w:w="0" w:type="dxa"/>
              <w:bottom w:w="0" w:type="dxa"/>
              <w:right w:w="0" w:type="dxa"/>
            </w:tcMar>
            <w:vAlign w:val="center"/>
          </w:tcPr>
          <w:p w14:paraId="18F05F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6" w:type="pct"/>
            <w:shd w:val="clear" w:color="auto" w:fill="FFFFFF"/>
            <w:tcMar>
              <w:top w:w="0" w:type="dxa"/>
              <w:left w:w="0" w:type="dxa"/>
              <w:bottom w:w="0" w:type="dxa"/>
              <w:right w:w="0" w:type="dxa"/>
            </w:tcMar>
            <w:vAlign w:val="center"/>
          </w:tcPr>
          <w:p w14:paraId="588D6A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8" w:type="pct"/>
            <w:shd w:val="clear" w:color="auto" w:fill="FFFFFF"/>
            <w:tcMar>
              <w:top w:w="0" w:type="dxa"/>
              <w:left w:w="0" w:type="dxa"/>
              <w:bottom w:w="0" w:type="dxa"/>
              <w:right w:w="0" w:type="dxa"/>
            </w:tcMar>
            <w:vAlign w:val="center"/>
          </w:tcPr>
          <w:p w14:paraId="4448F8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E720F08" w14:textId="2274732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PEVuZE5vdGU+PENpdGUgRXhjbHVkZUF1dGg9IjEiIEV4Y2x1ZGVZZWFyPSIxIj48QXV0aG9yPkxv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PEVuZE5vdGU+PENpdGUgRXhjbHVkZUF1dGg9IjEiIEV4Y2x1ZGVZZWFyPSIxIj48QXV0aG9yPkxv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312</w:t>
            </w:r>
            <w:r w:rsidRPr="00734942">
              <w:rPr>
                <w:rFonts w:ascii="Arial" w:eastAsia="Arial" w:hAnsi="Arial" w:cs="Arial"/>
                <w:color w:val="111111"/>
                <w:sz w:val="18"/>
                <w:szCs w:val="18"/>
              </w:rPr>
              <w:fldChar w:fldCharType="end"/>
            </w:r>
          </w:p>
        </w:tc>
      </w:tr>
      <w:tr w:rsidR="00C8418F" w:rsidRPr="00734942" w14:paraId="01A1F990" w14:textId="77777777" w:rsidTr="00036665">
        <w:trPr>
          <w:cantSplit/>
          <w:jc w:val="center"/>
        </w:trPr>
        <w:tc>
          <w:tcPr>
            <w:tcW w:w="766" w:type="pct"/>
            <w:tcBorders>
              <w:bottom w:val="single" w:sz="16" w:space="0" w:color="000000"/>
            </w:tcBorders>
            <w:shd w:val="clear" w:color="auto" w:fill="FFFFFF"/>
            <w:tcMar>
              <w:top w:w="0" w:type="dxa"/>
              <w:left w:w="0" w:type="dxa"/>
              <w:bottom w:w="0" w:type="dxa"/>
              <w:right w:w="0" w:type="dxa"/>
            </w:tcMar>
            <w:vAlign w:val="center"/>
          </w:tcPr>
          <w:p w14:paraId="71AF9F7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54" w:type="pct"/>
            <w:tcBorders>
              <w:bottom w:val="single" w:sz="16" w:space="0" w:color="000000"/>
            </w:tcBorders>
            <w:shd w:val="clear" w:color="auto" w:fill="FFFFFF"/>
            <w:tcMar>
              <w:top w:w="0" w:type="dxa"/>
              <w:left w:w="0" w:type="dxa"/>
              <w:bottom w:w="0" w:type="dxa"/>
              <w:right w:w="0" w:type="dxa"/>
            </w:tcMar>
            <w:vAlign w:val="center"/>
          </w:tcPr>
          <w:p w14:paraId="798476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4" w:type="pct"/>
            <w:tcBorders>
              <w:bottom w:val="single" w:sz="16" w:space="0" w:color="000000"/>
            </w:tcBorders>
            <w:shd w:val="clear" w:color="auto" w:fill="FFFFFF"/>
            <w:tcMar>
              <w:top w:w="0" w:type="dxa"/>
              <w:left w:w="0" w:type="dxa"/>
              <w:bottom w:w="0" w:type="dxa"/>
              <w:right w:w="0" w:type="dxa"/>
            </w:tcMar>
            <w:vAlign w:val="center"/>
          </w:tcPr>
          <w:p w14:paraId="69C160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Functional dyspepsia</w:t>
            </w:r>
          </w:p>
        </w:tc>
        <w:tc>
          <w:tcPr>
            <w:tcW w:w="291" w:type="pct"/>
            <w:tcBorders>
              <w:bottom w:val="single" w:sz="16" w:space="0" w:color="000000"/>
            </w:tcBorders>
            <w:shd w:val="clear" w:color="auto" w:fill="FFFFFF"/>
            <w:tcMar>
              <w:top w:w="0" w:type="dxa"/>
              <w:left w:w="0" w:type="dxa"/>
              <w:bottom w:w="0" w:type="dxa"/>
              <w:right w:w="0" w:type="dxa"/>
            </w:tcMar>
            <w:vAlign w:val="center"/>
          </w:tcPr>
          <w:p w14:paraId="3AA24A1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257</w:t>
            </w:r>
          </w:p>
        </w:tc>
        <w:tc>
          <w:tcPr>
            <w:tcW w:w="293" w:type="pct"/>
            <w:tcBorders>
              <w:bottom w:val="single" w:sz="16" w:space="0" w:color="000000"/>
            </w:tcBorders>
            <w:shd w:val="clear" w:color="auto" w:fill="FFFFFF"/>
            <w:tcMar>
              <w:top w:w="0" w:type="dxa"/>
              <w:left w:w="0" w:type="dxa"/>
              <w:bottom w:w="0" w:type="dxa"/>
              <w:right w:w="0" w:type="dxa"/>
            </w:tcMar>
            <w:vAlign w:val="center"/>
          </w:tcPr>
          <w:p w14:paraId="7F01C6D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852" w:type="pct"/>
            <w:tcBorders>
              <w:bottom w:val="single" w:sz="16" w:space="0" w:color="000000"/>
            </w:tcBorders>
            <w:shd w:val="clear" w:color="auto" w:fill="FFFFFF"/>
            <w:tcMar>
              <w:top w:w="0" w:type="dxa"/>
              <w:left w:w="0" w:type="dxa"/>
              <w:bottom w:w="0" w:type="dxa"/>
              <w:right w:w="0" w:type="dxa"/>
            </w:tcMar>
            <w:vAlign w:val="center"/>
          </w:tcPr>
          <w:p w14:paraId="02355E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7" w:type="pct"/>
            <w:tcBorders>
              <w:bottom w:val="single" w:sz="16" w:space="0" w:color="000000"/>
            </w:tcBorders>
            <w:shd w:val="clear" w:color="auto" w:fill="FFFFFF"/>
            <w:tcMar>
              <w:top w:w="0" w:type="dxa"/>
              <w:left w:w="0" w:type="dxa"/>
              <w:bottom w:w="0" w:type="dxa"/>
              <w:right w:w="0" w:type="dxa"/>
            </w:tcMar>
            <w:vAlign w:val="center"/>
          </w:tcPr>
          <w:p w14:paraId="54734F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6" w:type="pct"/>
            <w:tcBorders>
              <w:bottom w:val="single" w:sz="16" w:space="0" w:color="000000"/>
            </w:tcBorders>
            <w:shd w:val="clear" w:color="auto" w:fill="FFFFFF"/>
            <w:tcMar>
              <w:top w:w="0" w:type="dxa"/>
              <w:left w:w="0" w:type="dxa"/>
              <w:bottom w:w="0" w:type="dxa"/>
              <w:right w:w="0" w:type="dxa"/>
            </w:tcMar>
            <w:vAlign w:val="center"/>
          </w:tcPr>
          <w:p w14:paraId="66BD3F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tcBorders>
              <w:bottom w:val="single" w:sz="16" w:space="0" w:color="000000"/>
            </w:tcBorders>
            <w:shd w:val="clear" w:color="auto" w:fill="FFFFFF"/>
            <w:tcMar>
              <w:top w:w="0" w:type="dxa"/>
              <w:left w:w="0" w:type="dxa"/>
              <w:bottom w:w="0" w:type="dxa"/>
              <w:right w:w="0" w:type="dxa"/>
            </w:tcMar>
            <w:vAlign w:val="center"/>
          </w:tcPr>
          <w:p w14:paraId="053957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Spain</w:t>
            </w:r>
          </w:p>
        </w:tc>
        <w:tc>
          <w:tcPr>
            <w:tcW w:w="369" w:type="pct"/>
            <w:tcBorders>
              <w:bottom w:val="single" w:sz="16" w:space="0" w:color="000000"/>
            </w:tcBorders>
            <w:shd w:val="clear" w:color="auto" w:fill="FFFFFF"/>
            <w:tcMar>
              <w:top w:w="0" w:type="dxa"/>
              <w:left w:w="0" w:type="dxa"/>
              <w:bottom w:w="0" w:type="dxa"/>
              <w:right w:w="0" w:type="dxa"/>
            </w:tcMar>
            <w:vAlign w:val="center"/>
          </w:tcPr>
          <w:p w14:paraId="03CD9A38" w14:textId="5294965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PEVuZE5vdGU+PENpdGUgRXhjbHVkZUF1dGg9IjEiIEV4Y2x1ZGVZZWFyPSIxIj48QXV0aG9yPlZp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PEVuZE5vdGU+PENpdGUgRXhjbHVkZUF1dGg9IjEiIEV4Y2x1ZGVZZWFyPSIxIj48QXV0aG9yPlZp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313</w:t>
            </w:r>
            <w:r w:rsidRPr="00734942">
              <w:rPr>
                <w:rFonts w:ascii="Arial" w:eastAsia="Arial" w:hAnsi="Arial" w:cs="Arial"/>
                <w:color w:val="111111"/>
                <w:sz w:val="18"/>
                <w:szCs w:val="18"/>
              </w:rPr>
              <w:fldChar w:fldCharType="end"/>
            </w:r>
          </w:p>
        </w:tc>
      </w:tr>
    </w:tbl>
    <w:p w14:paraId="3DEFCB06" w14:textId="77777777" w:rsidR="007B756D" w:rsidRPr="00734942" w:rsidRDefault="007B756D" w:rsidP="007B756D"/>
    <w:p w14:paraId="334C8A7C" w14:textId="77777777" w:rsidR="007B756D" w:rsidRPr="00734942" w:rsidRDefault="007B756D" w:rsidP="007B756D">
      <w:r w:rsidRPr="00734942">
        <w:br w:type="page"/>
      </w:r>
    </w:p>
    <w:p w14:paraId="505622B1" w14:textId="5C699BF3" w:rsidR="00036665" w:rsidRDefault="00036665" w:rsidP="000526F1">
      <w:pPr>
        <w:pStyle w:val="Caption"/>
      </w:pPr>
      <w:bookmarkStart w:id="364" w:name="_Toc99720738"/>
      <w:r>
        <w:lastRenderedPageBreak/>
        <w:t xml:space="preserve">Table </w:t>
      </w:r>
      <w:r w:rsidR="00C34531">
        <w:fldChar w:fldCharType="begin"/>
      </w:r>
      <w:r w:rsidR="00C34531">
        <w:instrText xml:space="preserve"> SEQ Table \* ARABIC </w:instrText>
      </w:r>
      <w:r w:rsidR="00C34531">
        <w:fldChar w:fldCharType="separate"/>
      </w:r>
      <w:r w:rsidR="008B5583">
        <w:rPr>
          <w:noProof/>
        </w:rPr>
        <w:t>27</w:t>
      </w:r>
      <w:r w:rsidR="00C34531">
        <w:rPr>
          <w:noProof/>
        </w:rPr>
        <w:fldChar w:fldCharType="end"/>
      </w:r>
      <w:r>
        <w:t xml:space="preserve">  </w:t>
      </w:r>
      <w:r w:rsidRPr="001043B4">
        <w:t>Study characteristics: Anaemia</w:t>
      </w:r>
      <w:bookmarkEnd w:id="364"/>
    </w:p>
    <w:tbl>
      <w:tblPr>
        <w:tblW w:w="5000" w:type="pct"/>
        <w:jc w:val="center"/>
        <w:tblLook w:val="0420" w:firstRow="1" w:lastRow="0" w:firstColumn="0" w:lastColumn="0" w:noHBand="0" w:noVBand="1"/>
      </w:tblPr>
      <w:tblGrid>
        <w:gridCol w:w="1512"/>
        <w:gridCol w:w="1255"/>
        <w:gridCol w:w="1976"/>
        <w:gridCol w:w="812"/>
        <w:gridCol w:w="801"/>
        <w:gridCol w:w="1820"/>
        <w:gridCol w:w="1697"/>
        <w:gridCol w:w="1982"/>
        <w:gridCol w:w="1072"/>
        <w:gridCol w:w="1031"/>
      </w:tblGrid>
      <w:tr w:rsidR="007B756D" w:rsidRPr="00734942" w14:paraId="35D998B2" w14:textId="77777777" w:rsidTr="006658D1">
        <w:trPr>
          <w:cantSplit/>
          <w:tblHeader/>
          <w:jc w:val="center"/>
        </w:trPr>
        <w:tc>
          <w:tcPr>
            <w:tcW w:w="54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7B7D6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5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2BFAB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70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E19EC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39D540E"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5AE54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5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BF38E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0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9BCDD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71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D9A89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8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C9C49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2C18A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76665E5E" w14:textId="77777777" w:rsidTr="006658D1">
        <w:trPr>
          <w:cantSplit/>
          <w:jc w:val="center"/>
        </w:trPr>
        <w:tc>
          <w:tcPr>
            <w:tcW w:w="542" w:type="pct"/>
            <w:shd w:val="clear" w:color="auto" w:fill="FFFFFF"/>
            <w:tcMar>
              <w:top w:w="0" w:type="dxa"/>
              <w:left w:w="0" w:type="dxa"/>
              <w:bottom w:w="0" w:type="dxa"/>
              <w:right w:w="0" w:type="dxa"/>
            </w:tcMar>
            <w:vAlign w:val="center"/>
          </w:tcPr>
          <w:p w14:paraId="77C3B0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294B25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42E05C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Low haemoglobin levels</w:t>
            </w:r>
          </w:p>
        </w:tc>
        <w:tc>
          <w:tcPr>
            <w:tcW w:w="291" w:type="pct"/>
            <w:shd w:val="clear" w:color="auto" w:fill="FFFFFF"/>
            <w:tcMar>
              <w:top w:w="0" w:type="dxa"/>
              <w:left w:w="0" w:type="dxa"/>
              <w:bottom w:w="0" w:type="dxa"/>
              <w:right w:w="0" w:type="dxa"/>
            </w:tcMar>
            <w:vAlign w:val="center"/>
          </w:tcPr>
          <w:p w14:paraId="343AC54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174</w:t>
            </w:r>
          </w:p>
        </w:tc>
        <w:tc>
          <w:tcPr>
            <w:tcW w:w="287" w:type="pct"/>
            <w:shd w:val="clear" w:color="auto" w:fill="FFFFFF"/>
            <w:tcMar>
              <w:top w:w="0" w:type="dxa"/>
              <w:left w:w="0" w:type="dxa"/>
              <w:bottom w:w="0" w:type="dxa"/>
              <w:right w:w="0" w:type="dxa"/>
            </w:tcMar>
            <w:vAlign w:val="center"/>
          </w:tcPr>
          <w:p w14:paraId="4DAE776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52" w:type="pct"/>
            <w:shd w:val="clear" w:color="auto" w:fill="FFFFFF"/>
            <w:tcMar>
              <w:top w:w="0" w:type="dxa"/>
              <w:left w:w="0" w:type="dxa"/>
              <w:bottom w:w="0" w:type="dxa"/>
              <w:right w:w="0" w:type="dxa"/>
            </w:tcMar>
            <w:vAlign w:val="center"/>
          </w:tcPr>
          <w:p w14:paraId="392873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 normal haemoglobin levels</w:t>
            </w:r>
          </w:p>
        </w:tc>
        <w:tc>
          <w:tcPr>
            <w:tcW w:w="608" w:type="pct"/>
            <w:shd w:val="clear" w:color="auto" w:fill="FFFFFF"/>
            <w:tcMar>
              <w:top w:w="0" w:type="dxa"/>
              <w:left w:w="0" w:type="dxa"/>
              <w:bottom w:w="0" w:type="dxa"/>
              <w:right w:w="0" w:type="dxa"/>
            </w:tcMar>
            <w:vAlign w:val="center"/>
          </w:tcPr>
          <w:p w14:paraId="5FE3ECB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0" w:type="pct"/>
            <w:shd w:val="clear" w:color="auto" w:fill="FFFFFF"/>
            <w:tcMar>
              <w:top w:w="0" w:type="dxa"/>
              <w:left w:w="0" w:type="dxa"/>
              <w:bottom w:w="0" w:type="dxa"/>
              <w:right w:w="0" w:type="dxa"/>
            </w:tcMar>
            <w:vAlign w:val="center"/>
          </w:tcPr>
          <w:p w14:paraId="45FCDB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84" w:type="pct"/>
            <w:shd w:val="clear" w:color="auto" w:fill="FFFFFF"/>
            <w:tcMar>
              <w:top w:w="0" w:type="dxa"/>
              <w:left w:w="0" w:type="dxa"/>
              <w:bottom w:w="0" w:type="dxa"/>
              <w:right w:w="0" w:type="dxa"/>
            </w:tcMar>
            <w:vAlign w:val="center"/>
          </w:tcPr>
          <w:p w14:paraId="1080B853" w14:textId="77777777" w:rsidR="007B756D" w:rsidRPr="00734942" w:rsidRDefault="007B756D" w:rsidP="006658D1">
            <w:pPr>
              <w:spacing w:before="40" w:after="40"/>
              <w:ind w:left="100" w:right="100"/>
            </w:pPr>
            <w:r w:rsidRPr="00734942">
              <w:t>US</w:t>
            </w:r>
          </w:p>
        </w:tc>
        <w:tc>
          <w:tcPr>
            <w:tcW w:w="369" w:type="pct"/>
            <w:shd w:val="clear" w:color="auto" w:fill="FFFFFF"/>
            <w:tcMar>
              <w:top w:w="0" w:type="dxa"/>
              <w:left w:w="0" w:type="dxa"/>
              <w:bottom w:w="0" w:type="dxa"/>
              <w:right w:w="0" w:type="dxa"/>
            </w:tcMar>
            <w:vAlign w:val="center"/>
          </w:tcPr>
          <w:p w14:paraId="352C0FC9" w14:textId="7A0AD81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PEVuZE5vdGU+PENpdGUgRXhjbHVkZUF1dGg9IjEiIEV4Y2x1ZGVZZWFyPSIxIj48QXV0aG9yPkFs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PEVuZE5vdGU+PENpdGUgRXhjbHVkZUF1dGg9IjEiIEV4Y2x1ZGVZZWFyPSIxIj48QXV0aG9yPkFs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314</w:t>
            </w:r>
            <w:r w:rsidRPr="00734942">
              <w:rPr>
                <w:rFonts w:ascii="Arial" w:eastAsia="Arial" w:hAnsi="Arial" w:cs="Arial"/>
                <w:color w:val="111111"/>
                <w:sz w:val="18"/>
                <w:szCs w:val="18"/>
              </w:rPr>
              <w:fldChar w:fldCharType="end"/>
            </w:r>
          </w:p>
        </w:tc>
      </w:tr>
      <w:tr w:rsidR="007B756D" w:rsidRPr="00734942" w14:paraId="7912415B" w14:textId="77777777" w:rsidTr="006658D1">
        <w:trPr>
          <w:cantSplit/>
          <w:jc w:val="center"/>
        </w:trPr>
        <w:tc>
          <w:tcPr>
            <w:tcW w:w="542" w:type="pct"/>
            <w:shd w:val="clear" w:color="auto" w:fill="FFFFFF"/>
            <w:tcMar>
              <w:top w:w="0" w:type="dxa"/>
              <w:left w:w="0" w:type="dxa"/>
              <w:bottom w:w="0" w:type="dxa"/>
              <w:right w:w="0" w:type="dxa"/>
            </w:tcMar>
            <w:vAlign w:val="center"/>
          </w:tcPr>
          <w:p w14:paraId="503F3F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258234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0F2292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 of obscure origin</w:t>
            </w:r>
          </w:p>
        </w:tc>
        <w:tc>
          <w:tcPr>
            <w:tcW w:w="291" w:type="pct"/>
            <w:shd w:val="clear" w:color="auto" w:fill="FFFFFF"/>
            <w:tcMar>
              <w:top w:w="0" w:type="dxa"/>
              <w:left w:w="0" w:type="dxa"/>
              <w:bottom w:w="0" w:type="dxa"/>
              <w:right w:w="0" w:type="dxa"/>
            </w:tcMar>
            <w:vAlign w:val="center"/>
          </w:tcPr>
          <w:p w14:paraId="3C4D46A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321</w:t>
            </w:r>
          </w:p>
        </w:tc>
        <w:tc>
          <w:tcPr>
            <w:tcW w:w="287" w:type="pct"/>
            <w:shd w:val="clear" w:color="auto" w:fill="FFFFFF"/>
            <w:tcMar>
              <w:top w:w="0" w:type="dxa"/>
              <w:left w:w="0" w:type="dxa"/>
              <w:bottom w:w="0" w:type="dxa"/>
              <w:right w:w="0" w:type="dxa"/>
            </w:tcMar>
            <w:vAlign w:val="center"/>
          </w:tcPr>
          <w:p w14:paraId="7B9CF4E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52" w:type="pct"/>
            <w:shd w:val="clear" w:color="auto" w:fill="FFFFFF"/>
            <w:tcMar>
              <w:top w:w="0" w:type="dxa"/>
              <w:left w:w="0" w:type="dxa"/>
              <w:bottom w:w="0" w:type="dxa"/>
              <w:right w:w="0" w:type="dxa"/>
            </w:tcMar>
            <w:vAlign w:val="center"/>
          </w:tcPr>
          <w:p w14:paraId="4F6CE3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1F66DA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47CD06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1F799D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1792E2C4" w14:textId="402C3A9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dmlkPC9BdXRob3I+PFllYXI+MjAxNTwvWWVhcj48UmVjTnVtPjE0NjwvUmVjTnVtPjxEaXNwbGF5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PEVuZE5vdGU+PENpdGUgRXhjbHVkZUF1dGg9IjEiIEV4Y2x1ZGVZZWFyPSIxIj48QXV0aG9yPkph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315</w:t>
            </w:r>
            <w:r w:rsidRPr="00734942">
              <w:rPr>
                <w:rFonts w:ascii="Arial" w:eastAsia="Arial" w:hAnsi="Arial" w:cs="Arial"/>
                <w:color w:val="111111"/>
                <w:sz w:val="18"/>
                <w:szCs w:val="18"/>
              </w:rPr>
              <w:fldChar w:fldCharType="end"/>
            </w:r>
          </w:p>
        </w:tc>
      </w:tr>
      <w:tr w:rsidR="007B756D" w:rsidRPr="00734942" w14:paraId="1FAB5FC2" w14:textId="77777777" w:rsidTr="006658D1">
        <w:trPr>
          <w:cantSplit/>
          <w:jc w:val="center"/>
        </w:trPr>
        <w:tc>
          <w:tcPr>
            <w:tcW w:w="542" w:type="pct"/>
            <w:shd w:val="clear" w:color="auto" w:fill="FFFFFF"/>
            <w:tcMar>
              <w:top w:w="0" w:type="dxa"/>
              <w:left w:w="0" w:type="dxa"/>
              <w:bottom w:w="0" w:type="dxa"/>
              <w:right w:w="0" w:type="dxa"/>
            </w:tcMar>
            <w:vAlign w:val="center"/>
          </w:tcPr>
          <w:p w14:paraId="4C623D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6FD241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702642B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 of obscure origin</w:t>
            </w:r>
          </w:p>
        </w:tc>
        <w:tc>
          <w:tcPr>
            <w:tcW w:w="291" w:type="pct"/>
            <w:shd w:val="clear" w:color="auto" w:fill="FFFFFF"/>
            <w:tcMar>
              <w:top w:w="0" w:type="dxa"/>
              <w:left w:w="0" w:type="dxa"/>
              <w:bottom w:w="0" w:type="dxa"/>
              <w:right w:w="0" w:type="dxa"/>
            </w:tcMar>
            <w:vAlign w:val="center"/>
          </w:tcPr>
          <w:p w14:paraId="06D9D08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196</w:t>
            </w:r>
          </w:p>
        </w:tc>
        <w:tc>
          <w:tcPr>
            <w:tcW w:w="287" w:type="pct"/>
            <w:shd w:val="clear" w:color="auto" w:fill="FFFFFF"/>
            <w:tcMar>
              <w:top w:w="0" w:type="dxa"/>
              <w:left w:w="0" w:type="dxa"/>
              <w:bottom w:w="0" w:type="dxa"/>
              <w:right w:w="0" w:type="dxa"/>
            </w:tcMar>
            <w:vAlign w:val="center"/>
          </w:tcPr>
          <w:p w14:paraId="6D219C7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3D7D524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0BC988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4D8EAD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759173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680EED1D" w14:textId="6984D12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PEVuZE5vdGU+PENpdGUgRXhjbHVkZUF1dGg9IjEiIEV4Y2x1ZGVZZWFyPSIxIj48QXV0aG9yPlVj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PEVuZE5vdGU+PENpdGUgRXhjbHVkZUF1dGg9IjEiIEV4Y2x1ZGVZZWFyPSIxIj48QXV0aG9yPlVj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316</w:t>
            </w:r>
            <w:r w:rsidRPr="00734942">
              <w:rPr>
                <w:rFonts w:ascii="Arial" w:eastAsia="Arial" w:hAnsi="Arial" w:cs="Arial"/>
                <w:color w:val="111111"/>
                <w:sz w:val="18"/>
                <w:szCs w:val="18"/>
              </w:rPr>
              <w:fldChar w:fldCharType="end"/>
            </w:r>
          </w:p>
        </w:tc>
      </w:tr>
      <w:tr w:rsidR="007B756D" w:rsidRPr="00734942" w14:paraId="5DCD6CC5" w14:textId="77777777" w:rsidTr="006658D1">
        <w:trPr>
          <w:cantSplit/>
          <w:jc w:val="center"/>
        </w:trPr>
        <w:tc>
          <w:tcPr>
            <w:tcW w:w="542" w:type="pct"/>
            <w:shd w:val="clear" w:color="auto" w:fill="FFFFFF"/>
            <w:tcMar>
              <w:top w:w="0" w:type="dxa"/>
              <w:left w:w="0" w:type="dxa"/>
              <w:bottom w:w="0" w:type="dxa"/>
              <w:right w:w="0" w:type="dxa"/>
            </w:tcMar>
            <w:vAlign w:val="center"/>
          </w:tcPr>
          <w:p w14:paraId="0C8550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71691D8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689DEB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0D654C7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268</w:t>
            </w:r>
          </w:p>
        </w:tc>
        <w:tc>
          <w:tcPr>
            <w:tcW w:w="287" w:type="pct"/>
            <w:shd w:val="clear" w:color="auto" w:fill="FFFFFF"/>
            <w:tcMar>
              <w:top w:w="0" w:type="dxa"/>
              <w:left w:w="0" w:type="dxa"/>
              <w:bottom w:w="0" w:type="dxa"/>
              <w:right w:w="0" w:type="dxa"/>
            </w:tcMar>
            <w:vAlign w:val="center"/>
          </w:tcPr>
          <w:p w14:paraId="0232537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5FB78E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1FE7B7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all pts biopsied</w:t>
            </w:r>
          </w:p>
        </w:tc>
        <w:tc>
          <w:tcPr>
            <w:tcW w:w="710" w:type="pct"/>
            <w:shd w:val="clear" w:color="auto" w:fill="FFFFFF"/>
            <w:tcMar>
              <w:top w:w="0" w:type="dxa"/>
              <w:left w:w="0" w:type="dxa"/>
              <w:bottom w:w="0" w:type="dxa"/>
              <w:right w:w="0" w:type="dxa"/>
            </w:tcMar>
            <w:vAlign w:val="center"/>
          </w:tcPr>
          <w:p w14:paraId="17726B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Secondary/community</w:t>
            </w:r>
          </w:p>
        </w:tc>
        <w:tc>
          <w:tcPr>
            <w:tcW w:w="384" w:type="pct"/>
            <w:shd w:val="clear" w:color="auto" w:fill="FFFFFF"/>
            <w:tcMar>
              <w:top w:w="0" w:type="dxa"/>
              <w:left w:w="0" w:type="dxa"/>
              <w:bottom w:w="0" w:type="dxa"/>
              <w:right w:w="0" w:type="dxa"/>
            </w:tcMar>
            <w:vAlign w:val="center"/>
          </w:tcPr>
          <w:p w14:paraId="1B9EDC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Argentina</w:t>
            </w:r>
          </w:p>
        </w:tc>
        <w:tc>
          <w:tcPr>
            <w:tcW w:w="369" w:type="pct"/>
            <w:shd w:val="clear" w:color="auto" w:fill="FFFFFF"/>
            <w:tcMar>
              <w:top w:w="0" w:type="dxa"/>
              <w:left w:w="0" w:type="dxa"/>
              <w:bottom w:w="0" w:type="dxa"/>
              <w:right w:w="0" w:type="dxa"/>
            </w:tcMar>
            <w:vAlign w:val="center"/>
          </w:tcPr>
          <w:p w14:paraId="3870E351" w14:textId="04EF461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c2E8L0F1dGhvcj48WWVhcj4yMDE3PC9ZZWFyPjxSZWNOdW0+MTQ4PC9SZWNOdW0+PERpc3BsYXlU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==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c2E8L0F1dGhvcj48WWVhcj4yMDE3PC9ZZWFyPjxSZWNOdW0+MTQ4PC9SZWNOdW0+PERpc3BsYXlU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==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317</w:t>
            </w:r>
            <w:r w:rsidRPr="00734942">
              <w:rPr>
                <w:rFonts w:ascii="Arial" w:eastAsia="Arial" w:hAnsi="Arial" w:cs="Arial"/>
                <w:color w:val="111111"/>
                <w:sz w:val="18"/>
                <w:szCs w:val="18"/>
              </w:rPr>
              <w:fldChar w:fldCharType="end"/>
            </w:r>
          </w:p>
        </w:tc>
      </w:tr>
      <w:tr w:rsidR="007B756D" w:rsidRPr="00734942" w14:paraId="1F44A974" w14:textId="77777777" w:rsidTr="006658D1">
        <w:trPr>
          <w:cantSplit/>
          <w:jc w:val="center"/>
        </w:trPr>
        <w:tc>
          <w:tcPr>
            <w:tcW w:w="542" w:type="pct"/>
            <w:shd w:val="clear" w:color="auto" w:fill="FFFFFF"/>
            <w:tcMar>
              <w:top w:w="0" w:type="dxa"/>
              <w:left w:w="0" w:type="dxa"/>
              <w:bottom w:w="0" w:type="dxa"/>
              <w:right w:w="0" w:type="dxa"/>
            </w:tcMar>
            <w:vAlign w:val="center"/>
          </w:tcPr>
          <w:p w14:paraId="2CD2B3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2A35AD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68424C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5283755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97</w:t>
            </w:r>
          </w:p>
        </w:tc>
        <w:tc>
          <w:tcPr>
            <w:tcW w:w="287" w:type="pct"/>
            <w:shd w:val="clear" w:color="auto" w:fill="FFFFFF"/>
            <w:tcMar>
              <w:top w:w="0" w:type="dxa"/>
              <w:left w:w="0" w:type="dxa"/>
              <w:bottom w:w="0" w:type="dxa"/>
              <w:right w:w="0" w:type="dxa"/>
            </w:tcMar>
            <w:vAlign w:val="center"/>
          </w:tcPr>
          <w:p w14:paraId="1838655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469393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268C26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0" w:type="pct"/>
            <w:shd w:val="clear" w:color="auto" w:fill="FFFFFF"/>
            <w:tcMar>
              <w:top w:w="0" w:type="dxa"/>
              <w:left w:w="0" w:type="dxa"/>
              <w:bottom w:w="0" w:type="dxa"/>
              <w:right w:w="0" w:type="dxa"/>
            </w:tcMar>
            <w:vAlign w:val="center"/>
          </w:tcPr>
          <w:p w14:paraId="69B47F6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4C889A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2F95C21D" w14:textId="05DA470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PEVuZE5vdGU+PENpdGUgRXhjbHVkZUF1dGg9IjEiIEV4Y2x1ZGVZZWFyPSIxIj48QXV0aG9yPkNp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=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PEVuZE5vdGU+PENpdGUgRXhjbHVkZUF1dGg9IjEiIEV4Y2x1ZGVZZWFyPSIxIj48QXV0aG9yPkNp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=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318</w:t>
            </w:r>
            <w:r w:rsidRPr="00734942">
              <w:rPr>
                <w:rFonts w:ascii="Arial" w:eastAsia="Arial" w:hAnsi="Arial" w:cs="Arial"/>
                <w:color w:val="111111"/>
                <w:sz w:val="18"/>
                <w:szCs w:val="18"/>
              </w:rPr>
              <w:fldChar w:fldCharType="end"/>
            </w:r>
          </w:p>
        </w:tc>
      </w:tr>
      <w:tr w:rsidR="007B756D" w:rsidRPr="00734942" w14:paraId="3A4E0022" w14:textId="77777777" w:rsidTr="006658D1">
        <w:trPr>
          <w:cantSplit/>
          <w:jc w:val="center"/>
        </w:trPr>
        <w:tc>
          <w:tcPr>
            <w:tcW w:w="542" w:type="pct"/>
            <w:shd w:val="clear" w:color="auto" w:fill="FFFFFF"/>
            <w:tcMar>
              <w:top w:w="0" w:type="dxa"/>
              <w:left w:w="0" w:type="dxa"/>
              <w:bottom w:w="0" w:type="dxa"/>
              <w:right w:w="0" w:type="dxa"/>
            </w:tcMar>
            <w:vAlign w:val="center"/>
          </w:tcPr>
          <w:p w14:paraId="282595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44E8A28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2BAF61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Pernicious anaemia</w:t>
            </w:r>
          </w:p>
        </w:tc>
        <w:tc>
          <w:tcPr>
            <w:tcW w:w="291" w:type="pct"/>
            <w:shd w:val="clear" w:color="auto" w:fill="FFFFFF"/>
            <w:tcMar>
              <w:top w:w="0" w:type="dxa"/>
              <w:left w:w="0" w:type="dxa"/>
              <w:bottom w:w="0" w:type="dxa"/>
              <w:right w:w="0" w:type="dxa"/>
            </w:tcMar>
            <w:vAlign w:val="center"/>
          </w:tcPr>
          <w:p w14:paraId="023ED9B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165</w:t>
            </w:r>
          </w:p>
        </w:tc>
        <w:tc>
          <w:tcPr>
            <w:tcW w:w="287" w:type="pct"/>
            <w:shd w:val="clear" w:color="auto" w:fill="FFFFFF"/>
            <w:tcMar>
              <w:top w:w="0" w:type="dxa"/>
              <w:left w:w="0" w:type="dxa"/>
              <w:bottom w:w="0" w:type="dxa"/>
              <w:right w:w="0" w:type="dxa"/>
            </w:tcMar>
            <w:vAlign w:val="center"/>
          </w:tcPr>
          <w:p w14:paraId="4031D8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534C97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3C60B0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710" w:type="pct"/>
            <w:shd w:val="clear" w:color="auto" w:fill="FFFFFF"/>
            <w:tcMar>
              <w:top w:w="0" w:type="dxa"/>
              <w:left w:w="0" w:type="dxa"/>
              <w:bottom w:w="0" w:type="dxa"/>
              <w:right w:w="0" w:type="dxa"/>
            </w:tcMar>
            <w:vAlign w:val="center"/>
          </w:tcPr>
          <w:p w14:paraId="6457A2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84" w:type="pct"/>
            <w:shd w:val="clear" w:color="auto" w:fill="FFFFFF"/>
            <w:tcMar>
              <w:top w:w="0" w:type="dxa"/>
              <w:left w:w="0" w:type="dxa"/>
              <w:bottom w:w="0" w:type="dxa"/>
              <w:right w:w="0" w:type="dxa"/>
            </w:tcMar>
            <w:vAlign w:val="center"/>
          </w:tcPr>
          <w:p w14:paraId="111455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69" w:type="pct"/>
            <w:shd w:val="clear" w:color="auto" w:fill="FFFFFF"/>
            <w:tcMar>
              <w:top w:w="0" w:type="dxa"/>
              <w:left w:w="0" w:type="dxa"/>
              <w:bottom w:w="0" w:type="dxa"/>
              <w:right w:w="0" w:type="dxa"/>
            </w:tcMar>
            <w:vAlign w:val="center"/>
          </w:tcPr>
          <w:p w14:paraId="541EBD38" w14:textId="469107E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PEVuZE5vdGU+PENpdGUgRXhjbHVkZUF1dGg9IjEiIEV4Y2x1ZGVZZWFyPSIxIj48QXV0aG9yPk1v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PEVuZE5vdGU+PENpdGUgRXhjbHVkZUF1dGg9IjEiIEV4Y2x1ZGVZZWFyPSIxIj48QXV0aG9yPk1v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319</w:t>
            </w:r>
            <w:r w:rsidRPr="00734942">
              <w:rPr>
                <w:rFonts w:ascii="Arial" w:eastAsia="Arial" w:hAnsi="Arial" w:cs="Arial"/>
                <w:color w:val="111111"/>
                <w:sz w:val="18"/>
                <w:szCs w:val="18"/>
              </w:rPr>
              <w:fldChar w:fldCharType="end"/>
            </w:r>
          </w:p>
        </w:tc>
      </w:tr>
      <w:tr w:rsidR="007B756D" w:rsidRPr="00734942" w14:paraId="54ACE79B" w14:textId="77777777" w:rsidTr="006658D1">
        <w:trPr>
          <w:cantSplit/>
          <w:jc w:val="center"/>
        </w:trPr>
        <w:tc>
          <w:tcPr>
            <w:tcW w:w="542" w:type="pct"/>
            <w:shd w:val="clear" w:color="auto" w:fill="FFFFFF"/>
            <w:tcMar>
              <w:top w:w="0" w:type="dxa"/>
              <w:left w:w="0" w:type="dxa"/>
              <w:bottom w:w="0" w:type="dxa"/>
              <w:right w:w="0" w:type="dxa"/>
            </w:tcMar>
            <w:vAlign w:val="center"/>
          </w:tcPr>
          <w:p w14:paraId="5D67FC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795581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shd w:val="clear" w:color="auto" w:fill="FFFFFF"/>
            <w:tcMar>
              <w:top w:w="0" w:type="dxa"/>
              <w:left w:w="0" w:type="dxa"/>
              <w:bottom w:w="0" w:type="dxa"/>
              <w:right w:w="0" w:type="dxa"/>
            </w:tcMar>
            <w:vAlign w:val="center"/>
          </w:tcPr>
          <w:p w14:paraId="6050CB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w:t>
            </w:r>
          </w:p>
        </w:tc>
        <w:tc>
          <w:tcPr>
            <w:tcW w:w="291" w:type="pct"/>
            <w:shd w:val="clear" w:color="auto" w:fill="FFFFFF"/>
            <w:tcMar>
              <w:top w:w="0" w:type="dxa"/>
              <w:left w:w="0" w:type="dxa"/>
              <w:bottom w:w="0" w:type="dxa"/>
              <w:right w:w="0" w:type="dxa"/>
            </w:tcMar>
            <w:vAlign w:val="center"/>
          </w:tcPr>
          <w:p w14:paraId="168A1B0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982</w:t>
            </w:r>
          </w:p>
        </w:tc>
        <w:tc>
          <w:tcPr>
            <w:tcW w:w="287" w:type="pct"/>
            <w:shd w:val="clear" w:color="auto" w:fill="FFFFFF"/>
            <w:tcMar>
              <w:top w:w="0" w:type="dxa"/>
              <w:left w:w="0" w:type="dxa"/>
              <w:bottom w:w="0" w:type="dxa"/>
              <w:right w:w="0" w:type="dxa"/>
            </w:tcMar>
            <w:vAlign w:val="center"/>
          </w:tcPr>
          <w:p w14:paraId="4B3B673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52" w:type="pct"/>
            <w:shd w:val="clear" w:color="auto" w:fill="FFFFFF"/>
            <w:tcMar>
              <w:top w:w="0" w:type="dxa"/>
              <w:left w:w="0" w:type="dxa"/>
              <w:bottom w:w="0" w:type="dxa"/>
              <w:right w:w="0" w:type="dxa"/>
            </w:tcMar>
            <w:vAlign w:val="center"/>
          </w:tcPr>
          <w:p w14:paraId="40F429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71DBE4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1BE793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84" w:type="pct"/>
            <w:shd w:val="clear" w:color="auto" w:fill="FFFFFF"/>
            <w:tcMar>
              <w:top w:w="0" w:type="dxa"/>
              <w:left w:w="0" w:type="dxa"/>
              <w:bottom w:w="0" w:type="dxa"/>
              <w:right w:w="0" w:type="dxa"/>
            </w:tcMar>
            <w:vAlign w:val="center"/>
          </w:tcPr>
          <w:p w14:paraId="1E005BE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0ED32130" w14:textId="5D7FD37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PEVuZE5vdGU+PENpdGUgRXhjbHVkZUF1dGg9IjEiIEV4Y2x1ZGVZZWFyPSIxIj48QXV0aG9yPlJh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PEVuZE5vdGU+PENpdGUgRXhjbHVkZUF1dGg9IjEiIEV4Y2x1ZGVZZWFyPSIxIj48QXV0aG9yPlJh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320</w:t>
            </w:r>
            <w:r w:rsidRPr="00734942">
              <w:rPr>
                <w:rFonts w:ascii="Arial" w:eastAsia="Arial" w:hAnsi="Arial" w:cs="Arial"/>
                <w:color w:val="111111"/>
                <w:sz w:val="18"/>
                <w:szCs w:val="18"/>
              </w:rPr>
              <w:fldChar w:fldCharType="end"/>
            </w:r>
          </w:p>
        </w:tc>
      </w:tr>
      <w:tr w:rsidR="007B756D" w:rsidRPr="00734942" w14:paraId="25985C49" w14:textId="77777777" w:rsidTr="006658D1">
        <w:trPr>
          <w:cantSplit/>
          <w:jc w:val="center"/>
        </w:trPr>
        <w:tc>
          <w:tcPr>
            <w:tcW w:w="542" w:type="pct"/>
            <w:shd w:val="clear" w:color="auto" w:fill="FFFFFF"/>
            <w:tcMar>
              <w:top w:w="0" w:type="dxa"/>
              <w:left w:w="0" w:type="dxa"/>
              <w:bottom w:w="0" w:type="dxa"/>
              <w:right w:w="0" w:type="dxa"/>
            </w:tcMar>
            <w:vAlign w:val="center"/>
          </w:tcPr>
          <w:p w14:paraId="083E15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50D91F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shd w:val="clear" w:color="auto" w:fill="FFFFFF"/>
            <w:tcMar>
              <w:top w:w="0" w:type="dxa"/>
              <w:left w:w="0" w:type="dxa"/>
              <w:bottom w:w="0" w:type="dxa"/>
              <w:right w:w="0" w:type="dxa"/>
            </w:tcMar>
            <w:vAlign w:val="center"/>
          </w:tcPr>
          <w:p w14:paraId="349244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w:t>
            </w:r>
          </w:p>
        </w:tc>
        <w:tc>
          <w:tcPr>
            <w:tcW w:w="291" w:type="pct"/>
            <w:shd w:val="clear" w:color="auto" w:fill="FFFFFF"/>
            <w:tcMar>
              <w:top w:w="0" w:type="dxa"/>
              <w:left w:w="0" w:type="dxa"/>
              <w:bottom w:w="0" w:type="dxa"/>
              <w:right w:w="0" w:type="dxa"/>
            </w:tcMar>
            <w:vAlign w:val="center"/>
          </w:tcPr>
          <w:p w14:paraId="6A5DD4C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1197</w:t>
            </w:r>
          </w:p>
        </w:tc>
        <w:tc>
          <w:tcPr>
            <w:tcW w:w="287" w:type="pct"/>
            <w:shd w:val="clear" w:color="auto" w:fill="FFFFFF"/>
            <w:tcMar>
              <w:top w:w="0" w:type="dxa"/>
              <w:left w:w="0" w:type="dxa"/>
              <w:bottom w:w="0" w:type="dxa"/>
              <w:right w:w="0" w:type="dxa"/>
            </w:tcMar>
            <w:vAlign w:val="center"/>
          </w:tcPr>
          <w:p w14:paraId="2CB8CF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2" w:type="pct"/>
            <w:shd w:val="clear" w:color="auto" w:fill="FFFFFF"/>
            <w:tcMar>
              <w:top w:w="0" w:type="dxa"/>
              <w:left w:w="0" w:type="dxa"/>
              <w:bottom w:w="0" w:type="dxa"/>
              <w:right w:w="0" w:type="dxa"/>
            </w:tcMar>
            <w:vAlign w:val="center"/>
          </w:tcPr>
          <w:p w14:paraId="48FE43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5D7D41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0" w:type="pct"/>
            <w:shd w:val="clear" w:color="auto" w:fill="FFFFFF"/>
            <w:tcMar>
              <w:top w:w="0" w:type="dxa"/>
              <w:left w:w="0" w:type="dxa"/>
              <w:bottom w:w="0" w:type="dxa"/>
              <w:right w:w="0" w:type="dxa"/>
            </w:tcMar>
            <w:vAlign w:val="center"/>
          </w:tcPr>
          <w:p w14:paraId="295081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84" w:type="pct"/>
            <w:shd w:val="clear" w:color="auto" w:fill="FFFFFF"/>
            <w:tcMar>
              <w:top w:w="0" w:type="dxa"/>
              <w:left w:w="0" w:type="dxa"/>
              <w:bottom w:w="0" w:type="dxa"/>
              <w:right w:w="0" w:type="dxa"/>
            </w:tcMar>
            <w:vAlign w:val="center"/>
          </w:tcPr>
          <w:p w14:paraId="107A48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United Arab Emirates</w:t>
            </w:r>
          </w:p>
        </w:tc>
        <w:tc>
          <w:tcPr>
            <w:tcW w:w="369" w:type="pct"/>
            <w:shd w:val="clear" w:color="auto" w:fill="FFFFFF"/>
            <w:tcMar>
              <w:top w:w="0" w:type="dxa"/>
              <w:left w:w="0" w:type="dxa"/>
              <w:bottom w:w="0" w:type="dxa"/>
              <w:right w:w="0" w:type="dxa"/>
            </w:tcMar>
            <w:vAlign w:val="center"/>
          </w:tcPr>
          <w:p w14:paraId="3E2B7E48" w14:textId="35DCE96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288</w:t>
            </w:r>
            <w:r w:rsidRPr="00734942">
              <w:rPr>
                <w:rFonts w:ascii="Arial" w:eastAsia="Arial" w:hAnsi="Arial" w:cs="Arial"/>
                <w:color w:val="111111"/>
                <w:sz w:val="18"/>
                <w:szCs w:val="18"/>
              </w:rPr>
              <w:fldChar w:fldCharType="end"/>
            </w:r>
          </w:p>
        </w:tc>
      </w:tr>
      <w:tr w:rsidR="007B756D" w:rsidRPr="00734942" w14:paraId="25F7915A" w14:textId="77777777" w:rsidTr="006658D1">
        <w:trPr>
          <w:cantSplit/>
          <w:jc w:val="center"/>
        </w:trPr>
        <w:tc>
          <w:tcPr>
            <w:tcW w:w="542" w:type="pct"/>
            <w:shd w:val="clear" w:color="auto" w:fill="FFFFFF"/>
            <w:tcMar>
              <w:top w:w="0" w:type="dxa"/>
              <w:left w:w="0" w:type="dxa"/>
              <w:bottom w:w="0" w:type="dxa"/>
              <w:right w:w="0" w:type="dxa"/>
            </w:tcMar>
            <w:vAlign w:val="center"/>
          </w:tcPr>
          <w:p w14:paraId="611924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1CAC57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shd w:val="clear" w:color="auto" w:fill="FFFFFF"/>
            <w:tcMar>
              <w:top w:w="0" w:type="dxa"/>
              <w:left w:w="0" w:type="dxa"/>
              <w:bottom w:w="0" w:type="dxa"/>
              <w:right w:w="0" w:type="dxa"/>
            </w:tcMar>
            <w:vAlign w:val="center"/>
          </w:tcPr>
          <w:p w14:paraId="1A9630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0ECE7C5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1200</w:t>
            </w:r>
          </w:p>
        </w:tc>
        <w:tc>
          <w:tcPr>
            <w:tcW w:w="287" w:type="pct"/>
            <w:shd w:val="clear" w:color="auto" w:fill="FFFFFF"/>
            <w:tcMar>
              <w:top w:w="0" w:type="dxa"/>
              <w:left w:w="0" w:type="dxa"/>
              <w:bottom w:w="0" w:type="dxa"/>
              <w:right w:w="0" w:type="dxa"/>
            </w:tcMar>
            <w:vAlign w:val="center"/>
          </w:tcPr>
          <w:p w14:paraId="2285863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62.8</w:t>
            </w:r>
          </w:p>
        </w:tc>
        <w:tc>
          <w:tcPr>
            <w:tcW w:w="652" w:type="pct"/>
            <w:shd w:val="clear" w:color="auto" w:fill="FFFFFF"/>
            <w:tcMar>
              <w:top w:w="0" w:type="dxa"/>
              <w:left w:w="0" w:type="dxa"/>
              <w:bottom w:w="0" w:type="dxa"/>
              <w:right w:w="0" w:type="dxa"/>
            </w:tcMar>
            <w:vAlign w:val="center"/>
          </w:tcPr>
          <w:p w14:paraId="777A35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2671F3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7C9350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84" w:type="pct"/>
            <w:shd w:val="clear" w:color="auto" w:fill="FFFFFF"/>
            <w:tcMar>
              <w:top w:w="0" w:type="dxa"/>
              <w:left w:w="0" w:type="dxa"/>
              <w:bottom w:w="0" w:type="dxa"/>
              <w:right w:w="0" w:type="dxa"/>
            </w:tcMar>
            <w:vAlign w:val="center"/>
          </w:tcPr>
          <w:p w14:paraId="3A9233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15BD9B32" w14:textId="26CA1DD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bmRlcnM8L0F1dGhvcj48WWVhcj4yMDAzPC9ZZWFyPjxSZWNOdW0+ODQ8L1JlY051bT48RGlzcGxh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bmRlcnM8L0F1dGhvcj48WWVhcj4yMDAzPC9ZZWFyPjxSZWNOdW0+ODQ8L1JlY051bT48RGlzcGxh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321</w:t>
            </w:r>
            <w:r w:rsidRPr="00734942">
              <w:rPr>
                <w:rFonts w:ascii="Arial" w:eastAsia="Arial" w:hAnsi="Arial" w:cs="Arial"/>
                <w:color w:val="111111"/>
                <w:sz w:val="18"/>
                <w:szCs w:val="18"/>
              </w:rPr>
              <w:fldChar w:fldCharType="end"/>
            </w:r>
          </w:p>
        </w:tc>
      </w:tr>
      <w:tr w:rsidR="007B756D" w:rsidRPr="00734942" w14:paraId="11CECCC1" w14:textId="77777777" w:rsidTr="006658D1">
        <w:trPr>
          <w:cantSplit/>
          <w:jc w:val="center"/>
        </w:trPr>
        <w:tc>
          <w:tcPr>
            <w:tcW w:w="542" w:type="pct"/>
            <w:shd w:val="clear" w:color="auto" w:fill="FFFFFF"/>
            <w:tcMar>
              <w:top w:w="0" w:type="dxa"/>
              <w:left w:w="0" w:type="dxa"/>
              <w:bottom w:w="0" w:type="dxa"/>
              <w:right w:w="0" w:type="dxa"/>
            </w:tcMar>
            <w:vAlign w:val="center"/>
          </w:tcPr>
          <w:p w14:paraId="258FE8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1CD3DF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shd w:val="clear" w:color="auto" w:fill="FFFFFF"/>
            <w:tcMar>
              <w:top w:w="0" w:type="dxa"/>
              <w:left w:w="0" w:type="dxa"/>
              <w:bottom w:w="0" w:type="dxa"/>
              <w:right w:w="0" w:type="dxa"/>
            </w:tcMar>
            <w:vAlign w:val="center"/>
          </w:tcPr>
          <w:p w14:paraId="0728BC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Anaemia/Iron-deficiency anaemia</w:t>
            </w:r>
          </w:p>
        </w:tc>
        <w:tc>
          <w:tcPr>
            <w:tcW w:w="291" w:type="pct"/>
            <w:shd w:val="clear" w:color="auto" w:fill="FFFFFF"/>
            <w:tcMar>
              <w:top w:w="0" w:type="dxa"/>
              <w:left w:w="0" w:type="dxa"/>
              <w:bottom w:w="0" w:type="dxa"/>
              <w:right w:w="0" w:type="dxa"/>
            </w:tcMar>
            <w:vAlign w:val="center"/>
          </w:tcPr>
          <w:p w14:paraId="40C1EBE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527</w:t>
            </w:r>
          </w:p>
        </w:tc>
        <w:tc>
          <w:tcPr>
            <w:tcW w:w="287" w:type="pct"/>
            <w:shd w:val="clear" w:color="auto" w:fill="FFFFFF"/>
            <w:tcMar>
              <w:top w:w="0" w:type="dxa"/>
              <w:left w:w="0" w:type="dxa"/>
              <w:bottom w:w="0" w:type="dxa"/>
              <w:right w:w="0" w:type="dxa"/>
            </w:tcMar>
            <w:vAlign w:val="center"/>
          </w:tcPr>
          <w:p w14:paraId="6A82C4F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35CB3A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5097F8B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0" w:type="pct"/>
            <w:shd w:val="clear" w:color="auto" w:fill="FFFFFF"/>
            <w:tcMar>
              <w:top w:w="0" w:type="dxa"/>
              <w:left w:w="0" w:type="dxa"/>
              <w:bottom w:w="0" w:type="dxa"/>
              <w:right w:w="0" w:type="dxa"/>
            </w:tcMar>
            <w:vAlign w:val="center"/>
          </w:tcPr>
          <w:p w14:paraId="712D38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6EDCA2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Malaysia</w:t>
            </w:r>
          </w:p>
        </w:tc>
        <w:tc>
          <w:tcPr>
            <w:tcW w:w="369" w:type="pct"/>
            <w:shd w:val="clear" w:color="auto" w:fill="FFFFFF"/>
            <w:tcMar>
              <w:top w:w="0" w:type="dxa"/>
              <w:left w:w="0" w:type="dxa"/>
              <w:bottom w:w="0" w:type="dxa"/>
              <w:right w:w="0" w:type="dxa"/>
            </w:tcMar>
            <w:vAlign w:val="center"/>
          </w:tcPr>
          <w:p w14:paraId="215D428D" w14:textId="4245BBA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287</w:t>
            </w:r>
            <w:r w:rsidRPr="00734942">
              <w:rPr>
                <w:rFonts w:ascii="Arial" w:eastAsia="Arial" w:hAnsi="Arial" w:cs="Arial"/>
                <w:color w:val="111111"/>
                <w:sz w:val="18"/>
                <w:szCs w:val="18"/>
              </w:rPr>
              <w:fldChar w:fldCharType="end"/>
            </w:r>
          </w:p>
        </w:tc>
      </w:tr>
      <w:tr w:rsidR="007B756D" w:rsidRPr="00734942" w14:paraId="37EEC998" w14:textId="77777777" w:rsidTr="006658D1">
        <w:trPr>
          <w:cantSplit/>
          <w:jc w:val="center"/>
        </w:trPr>
        <w:tc>
          <w:tcPr>
            <w:tcW w:w="542" w:type="pct"/>
            <w:shd w:val="clear" w:color="auto" w:fill="FFFFFF"/>
            <w:tcMar>
              <w:top w:w="0" w:type="dxa"/>
              <w:left w:w="0" w:type="dxa"/>
              <w:bottom w:w="0" w:type="dxa"/>
              <w:right w:w="0" w:type="dxa"/>
            </w:tcMar>
            <w:vAlign w:val="center"/>
          </w:tcPr>
          <w:p w14:paraId="4591BE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03353D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shd w:val="clear" w:color="auto" w:fill="FFFFFF"/>
            <w:tcMar>
              <w:top w:w="0" w:type="dxa"/>
              <w:left w:w="0" w:type="dxa"/>
              <w:bottom w:w="0" w:type="dxa"/>
              <w:right w:w="0" w:type="dxa"/>
            </w:tcMar>
            <w:vAlign w:val="center"/>
          </w:tcPr>
          <w:p w14:paraId="2C7BF7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w:t>
            </w:r>
          </w:p>
        </w:tc>
        <w:tc>
          <w:tcPr>
            <w:tcW w:w="291" w:type="pct"/>
            <w:shd w:val="clear" w:color="auto" w:fill="FFFFFF"/>
            <w:tcMar>
              <w:top w:w="0" w:type="dxa"/>
              <w:left w:w="0" w:type="dxa"/>
              <w:bottom w:w="0" w:type="dxa"/>
              <w:right w:w="0" w:type="dxa"/>
            </w:tcMar>
            <w:vAlign w:val="center"/>
          </w:tcPr>
          <w:p w14:paraId="2ADF343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5060</w:t>
            </w:r>
          </w:p>
        </w:tc>
        <w:tc>
          <w:tcPr>
            <w:tcW w:w="287" w:type="pct"/>
            <w:shd w:val="clear" w:color="auto" w:fill="FFFFFF"/>
            <w:tcMar>
              <w:top w:w="0" w:type="dxa"/>
              <w:left w:w="0" w:type="dxa"/>
              <w:bottom w:w="0" w:type="dxa"/>
              <w:right w:w="0" w:type="dxa"/>
            </w:tcMar>
            <w:vAlign w:val="center"/>
          </w:tcPr>
          <w:p w14:paraId="4FE4102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652" w:type="pct"/>
            <w:shd w:val="clear" w:color="auto" w:fill="FFFFFF"/>
            <w:tcMar>
              <w:top w:w="0" w:type="dxa"/>
              <w:left w:w="0" w:type="dxa"/>
              <w:bottom w:w="0" w:type="dxa"/>
              <w:right w:w="0" w:type="dxa"/>
            </w:tcMar>
            <w:vAlign w:val="center"/>
          </w:tcPr>
          <w:p w14:paraId="7B4C9C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4509CB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0" w:type="pct"/>
            <w:shd w:val="clear" w:color="auto" w:fill="FFFFFF"/>
            <w:tcMar>
              <w:top w:w="0" w:type="dxa"/>
              <w:left w:w="0" w:type="dxa"/>
              <w:bottom w:w="0" w:type="dxa"/>
              <w:right w:w="0" w:type="dxa"/>
            </w:tcMar>
            <w:vAlign w:val="center"/>
          </w:tcPr>
          <w:p w14:paraId="23D1A2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3C56EB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6DA39743" w14:textId="1D62264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PEVuZE5vdGU+PENpdGUgRXhjbHVkZUF1dGg9IjEiIEV4Y2x1ZGVZZWFyPSIxIj48QXV0aG9yPkdy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=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PEVuZE5vdGU+PENpdGUgRXhjbHVkZUF1dGg9IjEiIEV4Y2x1ZGVZZWFyPSIxIj48QXV0aG9yPkdy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=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322</w:t>
            </w:r>
            <w:r w:rsidRPr="00734942">
              <w:rPr>
                <w:rFonts w:ascii="Arial" w:eastAsia="Arial" w:hAnsi="Arial" w:cs="Arial"/>
                <w:color w:val="111111"/>
                <w:sz w:val="18"/>
                <w:szCs w:val="18"/>
              </w:rPr>
              <w:fldChar w:fldCharType="end"/>
            </w:r>
          </w:p>
        </w:tc>
      </w:tr>
      <w:tr w:rsidR="007B756D" w:rsidRPr="00734942" w14:paraId="32ED2C6D" w14:textId="77777777" w:rsidTr="006658D1">
        <w:trPr>
          <w:cantSplit/>
          <w:jc w:val="center"/>
        </w:trPr>
        <w:tc>
          <w:tcPr>
            <w:tcW w:w="542" w:type="pct"/>
            <w:shd w:val="clear" w:color="auto" w:fill="FFFFFF"/>
            <w:tcMar>
              <w:top w:w="0" w:type="dxa"/>
              <w:left w:w="0" w:type="dxa"/>
              <w:bottom w:w="0" w:type="dxa"/>
              <w:right w:w="0" w:type="dxa"/>
            </w:tcMar>
            <w:vAlign w:val="center"/>
          </w:tcPr>
          <w:p w14:paraId="5EB8A7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6D00DC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708" w:type="pct"/>
            <w:shd w:val="clear" w:color="auto" w:fill="FFFFFF"/>
            <w:tcMar>
              <w:top w:w="0" w:type="dxa"/>
              <w:left w:w="0" w:type="dxa"/>
              <w:bottom w:w="0" w:type="dxa"/>
              <w:right w:w="0" w:type="dxa"/>
            </w:tcMar>
            <w:vAlign w:val="center"/>
          </w:tcPr>
          <w:p w14:paraId="551947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w:t>
            </w:r>
          </w:p>
        </w:tc>
        <w:tc>
          <w:tcPr>
            <w:tcW w:w="291" w:type="pct"/>
            <w:shd w:val="clear" w:color="auto" w:fill="FFFFFF"/>
            <w:tcMar>
              <w:top w:w="0" w:type="dxa"/>
              <w:left w:w="0" w:type="dxa"/>
              <w:bottom w:w="0" w:type="dxa"/>
              <w:right w:w="0" w:type="dxa"/>
            </w:tcMar>
            <w:vAlign w:val="center"/>
          </w:tcPr>
          <w:p w14:paraId="45D7760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87" w:type="pct"/>
            <w:shd w:val="clear" w:color="auto" w:fill="FFFFFF"/>
            <w:tcMar>
              <w:top w:w="0" w:type="dxa"/>
              <w:left w:w="0" w:type="dxa"/>
              <w:bottom w:w="0" w:type="dxa"/>
              <w:right w:w="0" w:type="dxa"/>
            </w:tcMar>
            <w:vAlign w:val="center"/>
          </w:tcPr>
          <w:p w14:paraId="75D79D3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6BB658E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4D7DC3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0" w:type="pct"/>
            <w:shd w:val="clear" w:color="auto" w:fill="FFFFFF"/>
            <w:tcMar>
              <w:top w:w="0" w:type="dxa"/>
              <w:left w:w="0" w:type="dxa"/>
              <w:bottom w:w="0" w:type="dxa"/>
              <w:right w:w="0" w:type="dxa"/>
            </w:tcMar>
            <w:vAlign w:val="center"/>
          </w:tcPr>
          <w:p w14:paraId="6CB1A7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84" w:type="pct"/>
            <w:shd w:val="clear" w:color="auto" w:fill="FFFFFF"/>
            <w:tcMar>
              <w:top w:w="0" w:type="dxa"/>
              <w:left w:w="0" w:type="dxa"/>
              <w:bottom w:w="0" w:type="dxa"/>
              <w:right w:w="0" w:type="dxa"/>
            </w:tcMar>
            <w:vAlign w:val="center"/>
          </w:tcPr>
          <w:p w14:paraId="76705C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F98C5E8" w14:textId="2D33FF1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2CCA5091" w14:textId="77777777" w:rsidTr="006658D1">
        <w:trPr>
          <w:cantSplit/>
          <w:jc w:val="center"/>
        </w:trPr>
        <w:tc>
          <w:tcPr>
            <w:tcW w:w="542" w:type="pct"/>
            <w:shd w:val="clear" w:color="auto" w:fill="FFFFFF"/>
            <w:tcMar>
              <w:top w:w="0" w:type="dxa"/>
              <w:left w:w="0" w:type="dxa"/>
              <w:bottom w:w="0" w:type="dxa"/>
              <w:right w:w="0" w:type="dxa"/>
            </w:tcMar>
            <w:vAlign w:val="center"/>
          </w:tcPr>
          <w:p w14:paraId="4FCE0E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2F128B2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708" w:type="pct"/>
            <w:shd w:val="clear" w:color="auto" w:fill="FFFFFF"/>
            <w:tcMar>
              <w:top w:w="0" w:type="dxa"/>
              <w:left w:w="0" w:type="dxa"/>
              <w:bottom w:w="0" w:type="dxa"/>
              <w:right w:w="0" w:type="dxa"/>
            </w:tcMar>
            <w:vAlign w:val="center"/>
          </w:tcPr>
          <w:p w14:paraId="757117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Anaemia</w:t>
            </w:r>
          </w:p>
        </w:tc>
        <w:tc>
          <w:tcPr>
            <w:tcW w:w="291" w:type="pct"/>
            <w:shd w:val="clear" w:color="auto" w:fill="FFFFFF"/>
            <w:tcMar>
              <w:top w:w="0" w:type="dxa"/>
              <w:left w:w="0" w:type="dxa"/>
              <w:bottom w:w="0" w:type="dxa"/>
              <w:right w:w="0" w:type="dxa"/>
            </w:tcMar>
            <w:vAlign w:val="center"/>
          </w:tcPr>
          <w:p w14:paraId="0EAEF6B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381</w:t>
            </w:r>
          </w:p>
        </w:tc>
        <w:tc>
          <w:tcPr>
            <w:tcW w:w="287" w:type="pct"/>
            <w:shd w:val="clear" w:color="auto" w:fill="FFFFFF"/>
            <w:tcMar>
              <w:top w:w="0" w:type="dxa"/>
              <w:left w:w="0" w:type="dxa"/>
              <w:bottom w:w="0" w:type="dxa"/>
              <w:right w:w="0" w:type="dxa"/>
            </w:tcMar>
            <w:vAlign w:val="center"/>
          </w:tcPr>
          <w:p w14:paraId="693BF02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3B78AC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anaemia</w:t>
            </w:r>
          </w:p>
        </w:tc>
        <w:tc>
          <w:tcPr>
            <w:tcW w:w="608" w:type="pct"/>
            <w:shd w:val="clear" w:color="auto" w:fill="FFFFFF"/>
            <w:tcMar>
              <w:top w:w="0" w:type="dxa"/>
              <w:left w:w="0" w:type="dxa"/>
              <w:bottom w:w="0" w:type="dxa"/>
              <w:right w:w="0" w:type="dxa"/>
            </w:tcMar>
            <w:vAlign w:val="center"/>
          </w:tcPr>
          <w:p w14:paraId="1F81B4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0" w:type="pct"/>
            <w:shd w:val="clear" w:color="auto" w:fill="FFFFFF"/>
            <w:tcMar>
              <w:top w:w="0" w:type="dxa"/>
              <w:left w:w="0" w:type="dxa"/>
              <w:bottom w:w="0" w:type="dxa"/>
              <w:right w:w="0" w:type="dxa"/>
            </w:tcMar>
            <w:vAlign w:val="center"/>
          </w:tcPr>
          <w:p w14:paraId="4DFA8E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2035D5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C3BCA3C" w14:textId="47A0B24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7B756D" w:rsidRPr="00734942" w14:paraId="64309B5C" w14:textId="77777777" w:rsidTr="006658D1">
        <w:trPr>
          <w:cantSplit/>
          <w:jc w:val="center"/>
        </w:trPr>
        <w:tc>
          <w:tcPr>
            <w:tcW w:w="542" w:type="pct"/>
            <w:shd w:val="clear" w:color="auto" w:fill="FFFFFF"/>
            <w:tcMar>
              <w:top w:w="0" w:type="dxa"/>
              <w:left w:w="0" w:type="dxa"/>
              <w:bottom w:w="0" w:type="dxa"/>
              <w:right w:w="0" w:type="dxa"/>
            </w:tcMar>
            <w:vAlign w:val="center"/>
          </w:tcPr>
          <w:p w14:paraId="68818C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450" w:type="pct"/>
            <w:shd w:val="clear" w:color="auto" w:fill="FFFFFF"/>
            <w:tcMar>
              <w:top w:w="0" w:type="dxa"/>
              <w:left w:w="0" w:type="dxa"/>
              <w:bottom w:w="0" w:type="dxa"/>
              <w:right w:w="0" w:type="dxa"/>
            </w:tcMar>
            <w:vAlign w:val="center"/>
          </w:tcPr>
          <w:p w14:paraId="4CF0B7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49B891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48BF60A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358</w:t>
            </w:r>
          </w:p>
        </w:tc>
        <w:tc>
          <w:tcPr>
            <w:tcW w:w="287" w:type="pct"/>
            <w:shd w:val="clear" w:color="auto" w:fill="FFFFFF"/>
            <w:tcMar>
              <w:top w:w="0" w:type="dxa"/>
              <w:left w:w="0" w:type="dxa"/>
              <w:bottom w:w="0" w:type="dxa"/>
              <w:right w:w="0" w:type="dxa"/>
            </w:tcMar>
            <w:vAlign w:val="center"/>
          </w:tcPr>
          <w:p w14:paraId="70ECFE4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4EE3C8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138CE7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1F9319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695714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4CBF5BC6" w14:textId="6B97F06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PEVuZE5vdGU+PENpdGUgRXhjbHVkZUF1dGg9IjEiIEV4Y2x1ZGVZZWFyPSIxIj48QXV0aG9yPkth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bGF5Y2k8L0F1dGhvcj48WWVhcj4yMDA1PC9ZZWFyPjxSZWNOdW0+MTUzPC9SZWNOdW0+PERpc3Bs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323</w:t>
            </w:r>
            <w:r w:rsidRPr="00734942">
              <w:rPr>
                <w:rFonts w:ascii="Arial" w:eastAsia="Arial" w:hAnsi="Arial" w:cs="Arial"/>
                <w:color w:val="111111"/>
                <w:sz w:val="18"/>
                <w:szCs w:val="18"/>
              </w:rPr>
              <w:fldChar w:fldCharType="end"/>
            </w:r>
          </w:p>
        </w:tc>
      </w:tr>
      <w:tr w:rsidR="007B756D" w:rsidRPr="00734942" w14:paraId="25D3932E" w14:textId="77777777" w:rsidTr="006658D1">
        <w:trPr>
          <w:cantSplit/>
          <w:jc w:val="center"/>
        </w:trPr>
        <w:tc>
          <w:tcPr>
            <w:tcW w:w="542" w:type="pct"/>
            <w:shd w:val="clear" w:color="auto" w:fill="FFFFFF"/>
            <w:tcMar>
              <w:top w:w="0" w:type="dxa"/>
              <w:left w:w="0" w:type="dxa"/>
              <w:bottom w:w="0" w:type="dxa"/>
              <w:right w:w="0" w:type="dxa"/>
            </w:tcMar>
            <w:vAlign w:val="center"/>
          </w:tcPr>
          <w:p w14:paraId="37C50F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1DFE32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3BF49D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32430F0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184</w:t>
            </w:r>
          </w:p>
        </w:tc>
        <w:tc>
          <w:tcPr>
            <w:tcW w:w="287" w:type="pct"/>
            <w:shd w:val="clear" w:color="auto" w:fill="FFFFFF"/>
            <w:tcMar>
              <w:top w:w="0" w:type="dxa"/>
              <w:left w:w="0" w:type="dxa"/>
              <w:bottom w:w="0" w:type="dxa"/>
              <w:right w:w="0" w:type="dxa"/>
            </w:tcMar>
            <w:vAlign w:val="center"/>
          </w:tcPr>
          <w:p w14:paraId="51A35B2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2" w:type="pct"/>
            <w:shd w:val="clear" w:color="auto" w:fill="FFFFFF"/>
            <w:tcMar>
              <w:top w:w="0" w:type="dxa"/>
              <w:left w:w="0" w:type="dxa"/>
              <w:bottom w:w="0" w:type="dxa"/>
              <w:right w:w="0" w:type="dxa"/>
            </w:tcMar>
            <w:vAlign w:val="center"/>
          </w:tcPr>
          <w:p w14:paraId="02ECAD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4CB89D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618A8A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1AF151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36D85F7A" w14:textId="45C8B63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YWhyaWFyaTwvQXV0aG9yPjxZZWFyPjIwMTg8L1llYXI+PFJlY051bT4xNTQ8L1JlY051bT48RGlz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YWhyaWFyaTwvQXV0aG9yPjxZZWFyPjIwMTg8L1llYXI+PFJlY051bT4xNTQ8L1JlY051bT48RGlz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324</w:t>
            </w:r>
            <w:r w:rsidRPr="00734942">
              <w:rPr>
                <w:rFonts w:ascii="Arial" w:eastAsia="Arial" w:hAnsi="Arial" w:cs="Arial"/>
                <w:color w:val="111111"/>
                <w:sz w:val="18"/>
                <w:szCs w:val="18"/>
              </w:rPr>
              <w:fldChar w:fldCharType="end"/>
            </w:r>
          </w:p>
        </w:tc>
      </w:tr>
      <w:tr w:rsidR="007B756D" w:rsidRPr="00734942" w14:paraId="0ECAF123" w14:textId="77777777" w:rsidTr="006658D1">
        <w:trPr>
          <w:cantSplit/>
          <w:jc w:val="center"/>
        </w:trPr>
        <w:tc>
          <w:tcPr>
            <w:tcW w:w="542" w:type="pct"/>
            <w:shd w:val="clear" w:color="auto" w:fill="FFFFFF"/>
            <w:tcMar>
              <w:top w:w="0" w:type="dxa"/>
              <w:left w:w="0" w:type="dxa"/>
              <w:bottom w:w="0" w:type="dxa"/>
              <w:right w:w="0" w:type="dxa"/>
            </w:tcMar>
            <w:vAlign w:val="center"/>
          </w:tcPr>
          <w:p w14:paraId="40C206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6E8439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08" w:type="pct"/>
            <w:shd w:val="clear" w:color="auto" w:fill="FFFFFF"/>
            <w:tcMar>
              <w:top w:w="0" w:type="dxa"/>
              <w:left w:w="0" w:type="dxa"/>
              <w:bottom w:w="0" w:type="dxa"/>
              <w:right w:w="0" w:type="dxa"/>
            </w:tcMar>
            <w:vAlign w:val="center"/>
          </w:tcPr>
          <w:p w14:paraId="61974C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shd w:val="clear" w:color="auto" w:fill="FFFFFF"/>
            <w:tcMar>
              <w:top w:w="0" w:type="dxa"/>
              <w:left w:w="0" w:type="dxa"/>
              <w:bottom w:w="0" w:type="dxa"/>
              <w:right w:w="0" w:type="dxa"/>
            </w:tcMar>
            <w:vAlign w:val="center"/>
          </w:tcPr>
          <w:p w14:paraId="0467BB9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304</w:t>
            </w:r>
          </w:p>
        </w:tc>
        <w:tc>
          <w:tcPr>
            <w:tcW w:w="287" w:type="pct"/>
            <w:shd w:val="clear" w:color="auto" w:fill="FFFFFF"/>
            <w:tcMar>
              <w:top w:w="0" w:type="dxa"/>
              <w:left w:w="0" w:type="dxa"/>
              <w:bottom w:w="0" w:type="dxa"/>
              <w:right w:w="0" w:type="dxa"/>
            </w:tcMar>
            <w:vAlign w:val="center"/>
          </w:tcPr>
          <w:p w14:paraId="1A953E6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2" w:type="pct"/>
            <w:shd w:val="clear" w:color="auto" w:fill="FFFFFF"/>
            <w:tcMar>
              <w:top w:w="0" w:type="dxa"/>
              <w:left w:w="0" w:type="dxa"/>
              <w:bottom w:w="0" w:type="dxa"/>
              <w:right w:w="0" w:type="dxa"/>
            </w:tcMar>
            <w:vAlign w:val="center"/>
          </w:tcPr>
          <w:p w14:paraId="6A8854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8" w:type="pct"/>
            <w:shd w:val="clear" w:color="auto" w:fill="FFFFFF"/>
            <w:tcMar>
              <w:top w:w="0" w:type="dxa"/>
              <w:left w:w="0" w:type="dxa"/>
              <w:bottom w:w="0" w:type="dxa"/>
              <w:right w:w="0" w:type="dxa"/>
            </w:tcMar>
            <w:vAlign w:val="center"/>
          </w:tcPr>
          <w:p w14:paraId="0B1243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0" w:type="pct"/>
            <w:shd w:val="clear" w:color="auto" w:fill="FFFFFF"/>
            <w:tcMar>
              <w:top w:w="0" w:type="dxa"/>
              <w:left w:w="0" w:type="dxa"/>
              <w:bottom w:w="0" w:type="dxa"/>
              <w:right w:w="0" w:type="dxa"/>
            </w:tcMar>
            <w:vAlign w:val="center"/>
          </w:tcPr>
          <w:p w14:paraId="56A9CB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84" w:type="pct"/>
            <w:shd w:val="clear" w:color="auto" w:fill="FFFFFF"/>
            <w:tcMar>
              <w:top w:w="0" w:type="dxa"/>
              <w:left w:w="0" w:type="dxa"/>
              <w:bottom w:w="0" w:type="dxa"/>
              <w:right w:w="0" w:type="dxa"/>
            </w:tcMar>
            <w:vAlign w:val="center"/>
          </w:tcPr>
          <w:p w14:paraId="4AF99F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656C822D" w14:textId="46A0CBE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PEVuZE5vdGU+PENpdGUgRXhjbHVkZUF1dGg9IjEiIEV4Y2x1ZGVZZWFyPSIxIj48QXV0aG9yPk5h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PEVuZE5vdGU+PENpdGUgRXhjbHVkZUF1dGg9IjEiIEV4Y2x1ZGVZZWFyPSIxIj48QXV0aG9yPk5h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325</w:t>
            </w:r>
            <w:r w:rsidRPr="00734942">
              <w:rPr>
                <w:rFonts w:ascii="Arial" w:eastAsia="Arial" w:hAnsi="Arial" w:cs="Arial"/>
                <w:color w:val="111111"/>
                <w:sz w:val="18"/>
                <w:szCs w:val="18"/>
              </w:rPr>
              <w:fldChar w:fldCharType="end"/>
            </w:r>
          </w:p>
        </w:tc>
      </w:tr>
      <w:tr w:rsidR="007B756D" w:rsidRPr="00734942" w14:paraId="1D618486" w14:textId="77777777" w:rsidTr="006658D1">
        <w:trPr>
          <w:cantSplit/>
          <w:jc w:val="center"/>
        </w:trPr>
        <w:tc>
          <w:tcPr>
            <w:tcW w:w="542" w:type="pct"/>
            <w:tcBorders>
              <w:bottom w:val="single" w:sz="16" w:space="0" w:color="000000"/>
            </w:tcBorders>
            <w:shd w:val="clear" w:color="auto" w:fill="FFFFFF"/>
            <w:tcMar>
              <w:top w:w="0" w:type="dxa"/>
              <w:left w:w="0" w:type="dxa"/>
              <w:bottom w:w="0" w:type="dxa"/>
              <w:right w:w="0" w:type="dxa"/>
            </w:tcMar>
            <w:vAlign w:val="center"/>
          </w:tcPr>
          <w:p w14:paraId="1A9177B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tcBorders>
              <w:bottom w:val="single" w:sz="16" w:space="0" w:color="000000"/>
            </w:tcBorders>
            <w:shd w:val="clear" w:color="auto" w:fill="FFFFFF"/>
            <w:tcMar>
              <w:top w:w="0" w:type="dxa"/>
              <w:left w:w="0" w:type="dxa"/>
              <w:bottom w:w="0" w:type="dxa"/>
              <w:right w:w="0" w:type="dxa"/>
            </w:tcMar>
            <w:vAlign w:val="center"/>
          </w:tcPr>
          <w:p w14:paraId="59A9D9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08" w:type="pct"/>
            <w:tcBorders>
              <w:bottom w:val="single" w:sz="16" w:space="0" w:color="000000"/>
            </w:tcBorders>
            <w:shd w:val="clear" w:color="auto" w:fill="FFFFFF"/>
            <w:tcMar>
              <w:top w:w="0" w:type="dxa"/>
              <w:left w:w="0" w:type="dxa"/>
              <w:bottom w:w="0" w:type="dxa"/>
              <w:right w:w="0" w:type="dxa"/>
            </w:tcMar>
            <w:vAlign w:val="center"/>
          </w:tcPr>
          <w:p w14:paraId="64063A4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Iron deficiency anaemia</w:t>
            </w:r>
          </w:p>
        </w:tc>
        <w:tc>
          <w:tcPr>
            <w:tcW w:w="291" w:type="pct"/>
            <w:tcBorders>
              <w:bottom w:val="single" w:sz="16" w:space="0" w:color="000000"/>
            </w:tcBorders>
            <w:shd w:val="clear" w:color="auto" w:fill="FFFFFF"/>
            <w:tcMar>
              <w:top w:w="0" w:type="dxa"/>
              <w:left w:w="0" w:type="dxa"/>
              <w:bottom w:w="0" w:type="dxa"/>
              <w:right w:w="0" w:type="dxa"/>
            </w:tcMar>
            <w:vAlign w:val="center"/>
          </w:tcPr>
          <w:p w14:paraId="5DF6AB4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1263</w:t>
            </w:r>
          </w:p>
        </w:tc>
        <w:tc>
          <w:tcPr>
            <w:tcW w:w="287" w:type="pct"/>
            <w:tcBorders>
              <w:bottom w:val="single" w:sz="16" w:space="0" w:color="000000"/>
            </w:tcBorders>
            <w:shd w:val="clear" w:color="auto" w:fill="FFFFFF"/>
            <w:tcMar>
              <w:top w:w="0" w:type="dxa"/>
              <w:left w:w="0" w:type="dxa"/>
              <w:bottom w:w="0" w:type="dxa"/>
              <w:right w:w="0" w:type="dxa"/>
            </w:tcMar>
            <w:vAlign w:val="center"/>
          </w:tcPr>
          <w:p w14:paraId="5B15BBC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2" w:type="pct"/>
            <w:tcBorders>
              <w:bottom w:val="single" w:sz="16" w:space="0" w:color="000000"/>
            </w:tcBorders>
            <w:shd w:val="clear" w:color="auto" w:fill="FFFFFF"/>
            <w:tcMar>
              <w:top w:w="0" w:type="dxa"/>
              <w:left w:w="0" w:type="dxa"/>
              <w:bottom w:w="0" w:type="dxa"/>
              <w:right w:w="0" w:type="dxa"/>
            </w:tcMar>
            <w:vAlign w:val="center"/>
          </w:tcPr>
          <w:p w14:paraId="6BD28E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IDA</w:t>
            </w:r>
          </w:p>
        </w:tc>
        <w:tc>
          <w:tcPr>
            <w:tcW w:w="608" w:type="pct"/>
            <w:tcBorders>
              <w:bottom w:val="single" w:sz="16" w:space="0" w:color="000000"/>
            </w:tcBorders>
            <w:shd w:val="clear" w:color="auto" w:fill="FFFFFF"/>
            <w:tcMar>
              <w:top w:w="0" w:type="dxa"/>
              <w:left w:w="0" w:type="dxa"/>
              <w:bottom w:w="0" w:type="dxa"/>
              <w:right w:w="0" w:type="dxa"/>
            </w:tcMar>
            <w:vAlign w:val="center"/>
          </w:tcPr>
          <w:p w14:paraId="07BA34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0" w:type="pct"/>
            <w:tcBorders>
              <w:bottom w:val="single" w:sz="16" w:space="0" w:color="000000"/>
            </w:tcBorders>
            <w:shd w:val="clear" w:color="auto" w:fill="FFFFFF"/>
            <w:tcMar>
              <w:top w:w="0" w:type="dxa"/>
              <w:left w:w="0" w:type="dxa"/>
              <w:bottom w:w="0" w:type="dxa"/>
              <w:right w:w="0" w:type="dxa"/>
            </w:tcMar>
            <w:vAlign w:val="center"/>
          </w:tcPr>
          <w:p w14:paraId="0D802F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84" w:type="pct"/>
            <w:tcBorders>
              <w:bottom w:val="single" w:sz="16" w:space="0" w:color="000000"/>
            </w:tcBorders>
            <w:shd w:val="clear" w:color="auto" w:fill="FFFFFF"/>
            <w:tcMar>
              <w:top w:w="0" w:type="dxa"/>
              <w:left w:w="0" w:type="dxa"/>
              <w:bottom w:w="0" w:type="dxa"/>
              <w:right w:w="0" w:type="dxa"/>
            </w:tcMar>
            <w:vAlign w:val="center"/>
          </w:tcPr>
          <w:p w14:paraId="099F36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tcBorders>
              <w:bottom w:val="single" w:sz="16" w:space="0" w:color="000000"/>
            </w:tcBorders>
            <w:shd w:val="clear" w:color="auto" w:fill="FFFFFF"/>
            <w:tcMar>
              <w:top w:w="0" w:type="dxa"/>
              <w:left w:w="0" w:type="dxa"/>
              <w:bottom w:w="0" w:type="dxa"/>
              <w:right w:w="0" w:type="dxa"/>
            </w:tcMar>
            <w:vAlign w:val="center"/>
          </w:tcPr>
          <w:p w14:paraId="3BF411F4" w14:textId="7DC06A7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PEVuZE5vdGU+PENpdGUgRXhjbHVkZUF1dGg9IjEiIEV4Y2x1ZGVZZWFyPSIxIj48QXV0aG9yPkVy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PEVuZE5vdGU+PENpdGUgRXhjbHVkZUF1dGg9IjEiIEV4Y2x1ZGVZZWFyPSIxIj48QXV0aG9yPkVy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326</w:t>
            </w:r>
            <w:r w:rsidRPr="00734942">
              <w:rPr>
                <w:rFonts w:ascii="Arial" w:eastAsia="Arial" w:hAnsi="Arial" w:cs="Arial"/>
                <w:color w:val="111111"/>
                <w:sz w:val="18"/>
                <w:szCs w:val="18"/>
              </w:rPr>
              <w:fldChar w:fldCharType="end"/>
            </w:r>
          </w:p>
        </w:tc>
      </w:tr>
    </w:tbl>
    <w:p w14:paraId="4125DC13" w14:textId="77777777" w:rsidR="007B756D" w:rsidRPr="00734942" w:rsidRDefault="007B756D" w:rsidP="007B756D"/>
    <w:p w14:paraId="58A78A2B" w14:textId="511563B9" w:rsidR="00036665" w:rsidRDefault="00036665" w:rsidP="000526F1">
      <w:pPr>
        <w:pStyle w:val="Caption"/>
      </w:pPr>
      <w:bookmarkStart w:id="365" w:name="_Toc99720739"/>
      <w:r>
        <w:t xml:space="preserve">Table </w:t>
      </w:r>
      <w:r w:rsidR="00C34531">
        <w:fldChar w:fldCharType="begin"/>
      </w:r>
      <w:r w:rsidR="00C34531">
        <w:instrText xml:space="preserve"> SEQ Table \* ARABIC </w:instrText>
      </w:r>
      <w:r w:rsidR="00C34531">
        <w:fldChar w:fldCharType="separate"/>
      </w:r>
      <w:r w:rsidR="008B5583">
        <w:rPr>
          <w:noProof/>
        </w:rPr>
        <w:t>28</w:t>
      </w:r>
      <w:r w:rsidR="00C34531">
        <w:rPr>
          <w:noProof/>
        </w:rPr>
        <w:fldChar w:fldCharType="end"/>
      </w:r>
      <w:r>
        <w:t xml:space="preserve">  </w:t>
      </w:r>
      <w:r w:rsidRPr="0095182E">
        <w:t>Study characteristics: Arthritis</w:t>
      </w:r>
      <w:bookmarkEnd w:id="365"/>
    </w:p>
    <w:tbl>
      <w:tblPr>
        <w:tblW w:w="5000" w:type="pct"/>
        <w:jc w:val="center"/>
        <w:tblLook w:val="0420" w:firstRow="1" w:lastRow="0" w:firstColumn="0" w:lastColumn="0" w:noHBand="0" w:noVBand="1"/>
      </w:tblPr>
      <w:tblGrid>
        <w:gridCol w:w="1716"/>
        <w:gridCol w:w="1501"/>
        <w:gridCol w:w="1694"/>
        <w:gridCol w:w="831"/>
        <w:gridCol w:w="991"/>
        <w:gridCol w:w="1974"/>
        <w:gridCol w:w="1990"/>
        <w:gridCol w:w="1348"/>
        <w:gridCol w:w="882"/>
        <w:gridCol w:w="1031"/>
      </w:tblGrid>
      <w:tr w:rsidR="007B756D" w:rsidRPr="00734942" w14:paraId="77F9A47F" w14:textId="77777777" w:rsidTr="006658D1">
        <w:trPr>
          <w:cantSplit/>
          <w:tblHeader/>
          <w:jc w:val="center"/>
        </w:trPr>
        <w:tc>
          <w:tcPr>
            <w:tcW w:w="61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F7D66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3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8D3DC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2B2A9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B2EB5EE"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5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A063F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7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CBD36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1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1E98B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8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7A74E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8733E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84206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5FA85384" w14:textId="77777777" w:rsidTr="006658D1">
        <w:trPr>
          <w:cantSplit/>
          <w:jc w:val="center"/>
        </w:trPr>
        <w:tc>
          <w:tcPr>
            <w:tcW w:w="615" w:type="pct"/>
            <w:shd w:val="clear" w:color="auto" w:fill="FFFFFF"/>
            <w:tcMar>
              <w:top w:w="0" w:type="dxa"/>
              <w:left w:w="0" w:type="dxa"/>
              <w:bottom w:w="0" w:type="dxa"/>
              <w:right w:w="0" w:type="dxa"/>
            </w:tcMar>
            <w:vAlign w:val="center"/>
          </w:tcPr>
          <w:p w14:paraId="3F2890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122DFC5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09371C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223A304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w:t>
            </w:r>
          </w:p>
        </w:tc>
        <w:tc>
          <w:tcPr>
            <w:tcW w:w="355" w:type="pct"/>
            <w:shd w:val="clear" w:color="auto" w:fill="FFFFFF"/>
            <w:tcMar>
              <w:top w:w="0" w:type="dxa"/>
              <w:left w:w="0" w:type="dxa"/>
              <w:bottom w:w="0" w:type="dxa"/>
              <w:right w:w="0" w:type="dxa"/>
            </w:tcMar>
            <w:vAlign w:val="center"/>
          </w:tcPr>
          <w:p w14:paraId="2D59D19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07" w:type="pct"/>
            <w:shd w:val="clear" w:color="auto" w:fill="FFFFFF"/>
            <w:tcMar>
              <w:top w:w="0" w:type="dxa"/>
              <w:left w:w="0" w:type="dxa"/>
              <w:bottom w:w="0" w:type="dxa"/>
              <w:right w:w="0" w:type="dxa"/>
            </w:tcMar>
            <w:vAlign w:val="center"/>
          </w:tcPr>
          <w:p w14:paraId="69C9FB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04CDA3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6008BF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16" w:type="pct"/>
            <w:shd w:val="clear" w:color="auto" w:fill="FFFFFF"/>
            <w:tcMar>
              <w:top w:w="0" w:type="dxa"/>
              <w:left w:w="0" w:type="dxa"/>
              <w:bottom w:w="0" w:type="dxa"/>
              <w:right w:w="0" w:type="dxa"/>
            </w:tcMar>
            <w:vAlign w:val="center"/>
          </w:tcPr>
          <w:p w14:paraId="4A972E1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24D021AB" w14:textId="5290BA9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327</w:t>
            </w:r>
            <w:r w:rsidRPr="00734942">
              <w:rPr>
                <w:rFonts w:ascii="Arial" w:eastAsia="Arial" w:hAnsi="Arial" w:cs="Arial"/>
                <w:color w:val="111111"/>
                <w:sz w:val="18"/>
                <w:szCs w:val="18"/>
              </w:rPr>
              <w:fldChar w:fldCharType="end"/>
            </w:r>
          </w:p>
        </w:tc>
      </w:tr>
      <w:tr w:rsidR="007B756D" w:rsidRPr="00734942" w14:paraId="71E367D6" w14:textId="77777777" w:rsidTr="006658D1">
        <w:trPr>
          <w:cantSplit/>
          <w:jc w:val="center"/>
        </w:trPr>
        <w:tc>
          <w:tcPr>
            <w:tcW w:w="615" w:type="pct"/>
            <w:shd w:val="clear" w:color="auto" w:fill="FFFFFF"/>
            <w:tcMar>
              <w:top w:w="0" w:type="dxa"/>
              <w:left w:w="0" w:type="dxa"/>
              <w:bottom w:w="0" w:type="dxa"/>
              <w:right w:w="0" w:type="dxa"/>
            </w:tcMar>
            <w:vAlign w:val="center"/>
          </w:tcPr>
          <w:p w14:paraId="5798EA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205DEB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4E298E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2B4C7A0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83</w:t>
            </w:r>
          </w:p>
        </w:tc>
        <w:tc>
          <w:tcPr>
            <w:tcW w:w="355" w:type="pct"/>
            <w:shd w:val="clear" w:color="auto" w:fill="FFFFFF"/>
            <w:tcMar>
              <w:top w:w="0" w:type="dxa"/>
              <w:left w:w="0" w:type="dxa"/>
              <w:bottom w:w="0" w:type="dxa"/>
              <w:right w:w="0" w:type="dxa"/>
            </w:tcMar>
            <w:vAlign w:val="center"/>
          </w:tcPr>
          <w:p w14:paraId="2FF1200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07" w:type="pct"/>
            <w:shd w:val="clear" w:color="auto" w:fill="FFFFFF"/>
            <w:tcMar>
              <w:top w:w="0" w:type="dxa"/>
              <w:left w:w="0" w:type="dxa"/>
              <w:bottom w:w="0" w:type="dxa"/>
              <w:right w:w="0" w:type="dxa"/>
            </w:tcMar>
            <w:vAlign w:val="center"/>
          </w:tcPr>
          <w:p w14:paraId="50657D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608158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483" w:type="pct"/>
            <w:shd w:val="clear" w:color="auto" w:fill="FFFFFF"/>
            <w:tcMar>
              <w:top w:w="0" w:type="dxa"/>
              <w:left w:w="0" w:type="dxa"/>
              <w:bottom w:w="0" w:type="dxa"/>
              <w:right w:w="0" w:type="dxa"/>
            </w:tcMar>
            <w:vAlign w:val="center"/>
          </w:tcPr>
          <w:p w14:paraId="5D3E8E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3F7AD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Ireland</w:t>
            </w:r>
          </w:p>
        </w:tc>
        <w:tc>
          <w:tcPr>
            <w:tcW w:w="369" w:type="pct"/>
            <w:shd w:val="clear" w:color="auto" w:fill="FFFFFF"/>
            <w:tcMar>
              <w:top w:w="0" w:type="dxa"/>
              <w:left w:w="0" w:type="dxa"/>
              <w:bottom w:w="0" w:type="dxa"/>
              <w:right w:w="0" w:type="dxa"/>
            </w:tcMar>
            <w:vAlign w:val="center"/>
          </w:tcPr>
          <w:p w14:paraId="0FD823D5" w14:textId="7AD7DFC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328</w:t>
            </w:r>
            <w:r w:rsidRPr="00734942">
              <w:rPr>
                <w:rFonts w:ascii="Arial" w:eastAsia="Arial" w:hAnsi="Arial" w:cs="Arial"/>
                <w:color w:val="111111"/>
                <w:sz w:val="18"/>
                <w:szCs w:val="18"/>
              </w:rPr>
              <w:fldChar w:fldCharType="end"/>
            </w:r>
          </w:p>
        </w:tc>
      </w:tr>
      <w:tr w:rsidR="007B756D" w:rsidRPr="00734942" w14:paraId="6B0DA219" w14:textId="77777777" w:rsidTr="006658D1">
        <w:trPr>
          <w:cantSplit/>
          <w:jc w:val="center"/>
        </w:trPr>
        <w:tc>
          <w:tcPr>
            <w:tcW w:w="615" w:type="pct"/>
            <w:shd w:val="clear" w:color="auto" w:fill="FFFFFF"/>
            <w:tcMar>
              <w:top w:w="0" w:type="dxa"/>
              <w:left w:w="0" w:type="dxa"/>
              <w:bottom w:w="0" w:type="dxa"/>
              <w:right w:w="0" w:type="dxa"/>
            </w:tcMar>
            <w:vAlign w:val="center"/>
          </w:tcPr>
          <w:p w14:paraId="3C13653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4F1DEA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49C2F1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56AF3FD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182</w:t>
            </w:r>
          </w:p>
        </w:tc>
        <w:tc>
          <w:tcPr>
            <w:tcW w:w="355" w:type="pct"/>
            <w:shd w:val="clear" w:color="auto" w:fill="FFFFFF"/>
            <w:tcMar>
              <w:top w:w="0" w:type="dxa"/>
              <w:left w:w="0" w:type="dxa"/>
              <w:bottom w:w="0" w:type="dxa"/>
              <w:right w:w="0" w:type="dxa"/>
            </w:tcMar>
            <w:vAlign w:val="center"/>
          </w:tcPr>
          <w:p w14:paraId="1C309EB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707" w:type="pct"/>
            <w:shd w:val="clear" w:color="auto" w:fill="FFFFFF"/>
            <w:tcMar>
              <w:top w:w="0" w:type="dxa"/>
              <w:left w:w="0" w:type="dxa"/>
              <w:bottom w:w="0" w:type="dxa"/>
              <w:right w:w="0" w:type="dxa"/>
            </w:tcMar>
            <w:vAlign w:val="center"/>
          </w:tcPr>
          <w:p w14:paraId="10452E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491370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09D87A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50F154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55459FBB" w14:textId="0C8466E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ExcludeYear="1"&gt;&lt;Author&gt;Nisihara&lt;/Author&gt;&lt;Year&gt;2007&lt;/Year&gt;&lt;RecNum&gt;157&lt;/RecNum&gt;&lt;DisplayText&gt;&lt;style face="superscript"&gt;329&lt;/style&gt;&lt;/DisplayText&gt;&lt;record&gt;&lt;rec-number&gt;157&lt;/rec-number&gt;&lt;foreign-keys&gt;&lt;key app="EN" db-id="tdwrx9xd1z9eepeevr355w2k959rv0f5zaax" timestamp="1632756125"&gt;157&lt;/key&gt;&lt;/foreign-keys&gt;&lt;ref-type name="Journal Article"&gt;17&lt;/ref-type&gt;&lt;contributors&gt;&lt;authors&gt;&lt;author&gt;Nisihara, R. M.&lt;/author&gt;&lt;author&gt;Skare, T. L.&lt;/author&gt;&lt;author&gt;Silva, M. B.&lt;/author&gt;&lt;author&gt;Utiyama, Srdr&lt;/author&gt;&lt;/authors&gt;&lt;/contributors&gt;&lt;titles&gt;&lt;title&gt;Rheumatoid arthritis and anti-endomysial antibodies&lt;/title&gt;&lt;secondary-title&gt;Acta Reumatologica Portuguesa&lt;/secondary-title&gt;&lt;/titles&gt;&lt;periodical&gt;&lt;full-title&gt;Acta Reumatologica Portuguesa&lt;/full-title&gt;&lt;/periodical&gt;&lt;pages&gt;163-167&lt;/pages&gt;&lt;volume&gt;32&lt;/volume&gt;&lt;number&gt;2&lt;/number&gt;&lt;dates&gt;&lt;year&gt;2007&lt;/year&gt;&lt;pub-dates&gt;&lt;date&gt;Apr-Jun&lt;/date&gt;&lt;/pub-dates&gt;&lt;/dates&gt;&lt;isbn&gt;0303-464X&lt;/isbn&gt;&lt;accession-num&gt;WOS:000254255800009&lt;/accession-num&gt;&lt;urls&gt;&lt;related-urls&gt;&lt;url&gt;&amp;lt;Go to ISI&amp;gt;://WOS:000254255800009&lt;/url&gt;&lt;/related-urls&gt;&lt;/urls&gt;&lt;remote-database-name&gt;Web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329</w:t>
            </w:r>
            <w:r w:rsidRPr="00734942">
              <w:rPr>
                <w:rFonts w:ascii="Arial" w:eastAsia="Arial" w:hAnsi="Arial" w:cs="Arial"/>
                <w:color w:val="111111"/>
                <w:sz w:val="18"/>
                <w:szCs w:val="18"/>
              </w:rPr>
              <w:fldChar w:fldCharType="end"/>
            </w:r>
          </w:p>
        </w:tc>
      </w:tr>
      <w:tr w:rsidR="007B756D" w:rsidRPr="00734942" w14:paraId="093CF3EB" w14:textId="77777777" w:rsidTr="006658D1">
        <w:trPr>
          <w:cantSplit/>
          <w:jc w:val="center"/>
        </w:trPr>
        <w:tc>
          <w:tcPr>
            <w:tcW w:w="615" w:type="pct"/>
            <w:shd w:val="clear" w:color="auto" w:fill="FFFFFF"/>
            <w:tcMar>
              <w:top w:w="0" w:type="dxa"/>
              <w:left w:w="0" w:type="dxa"/>
              <w:bottom w:w="0" w:type="dxa"/>
              <w:right w:w="0" w:type="dxa"/>
            </w:tcMar>
            <w:vAlign w:val="center"/>
          </w:tcPr>
          <w:p w14:paraId="051078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63F5CF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6822278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Arthritis (</w:t>
            </w:r>
            <w:bookmarkStart w:id="366" w:name="_Hlk65240556"/>
            <w:r w:rsidRPr="00734942">
              <w:rPr>
                <w:rFonts w:ascii="Arial" w:eastAsia="Arial" w:hAnsi="Arial" w:cs="Arial"/>
                <w:color w:val="111111"/>
                <w:sz w:val="18"/>
                <w:szCs w:val="18"/>
              </w:rPr>
              <w:t>PSA, RA or AS</w:t>
            </w:r>
            <w:bookmarkEnd w:id="366"/>
            <w:r w:rsidRPr="00734942">
              <w:rPr>
                <w:rFonts w:ascii="Arial" w:eastAsia="Arial" w:hAnsi="Arial" w:cs="Arial"/>
                <w:color w:val="111111"/>
                <w:sz w:val="18"/>
                <w:szCs w:val="18"/>
              </w:rPr>
              <w:t>)</w:t>
            </w:r>
          </w:p>
        </w:tc>
        <w:tc>
          <w:tcPr>
            <w:tcW w:w="298" w:type="pct"/>
            <w:shd w:val="clear" w:color="auto" w:fill="FFFFFF"/>
            <w:tcMar>
              <w:top w:w="0" w:type="dxa"/>
              <w:left w:w="0" w:type="dxa"/>
              <w:bottom w:w="0" w:type="dxa"/>
              <w:right w:w="0" w:type="dxa"/>
            </w:tcMar>
            <w:vAlign w:val="center"/>
          </w:tcPr>
          <w:p w14:paraId="0152B3E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237</w:t>
            </w:r>
          </w:p>
        </w:tc>
        <w:tc>
          <w:tcPr>
            <w:tcW w:w="355" w:type="pct"/>
            <w:shd w:val="clear" w:color="auto" w:fill="FFFFFF"/>
            <w:tcMar>
              <w:top w:w="0" w:type="dxa"/>
              <w:left w:w="0" w:type="dxa"/>
              <w:bottom w:w="0" w:type="dxa"/>
              <w:right w:w="0" w:type="dxa"/>
            </w:tcMar>
            <w:vAlign w:val="center"/>
          </w:tcPr>
          <w:p w14:paraId="5CCD045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07" w:type="pct"/>
            <w:shd w:val="clear" w:color="auto" w:fill="FFFFFF"/>
            <w:tcMar>
              <w:top w:w="0" w:type="dxa"/>
              <w:left w:w="0" w:type="dxa"/>
              <w:bottom w:w="0" w:type="dxa"/>
              <w:right w:w="0" w:type="dxa"/>
            </w:tcMar>
            <w:vAlign w:val="center"/>
          </w:tcPr>
          <w:p w14:paraId="402CE3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1522DB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83" w:type="pct"/>
            <w:shd w:val="clear" w:color="auto" w:fill="FFFFFF"/>
            <w:tcMar>
              <w:top w:w="0" w:type="dxa"/>
              <w:left w:w="0" w:type="dxa"/>
              <w:bottom w:w="0" w:type="dxa"/>
              <w:right w:w="0" w:type="dxa"/>
            </w:tcMar>
            <w:vAlign w:val="center"/>
          </w:tcPr>
          <w:p w14:paraId="7553AB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25D925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1677B3E4" w14:textId="421061C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PEVuZE5vdGU+PENpdGUgRXhjbHVkZUF1dGg9IjEiIEV4Y2x1ZGVZZWFyPSIxIj48QXV0aG9yPlBp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PEVuZE5vdGU+PENpdGUgRXhjbHVkZUF1dGg9IjEiIEV4Y2x1ZGVZZWFyPSIxIj48QXV0aG9yPlBp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330</w:t>
            </w:r>
            <w:r w:rsidRPr="00734942">
              <w:rPr>
                <w:rFonts w:ascii="Arial" w:eastAsia="Arial" w:hAnsi="Arial" w:cs="Arial"/>
                <w:color w:val="111111"/>
                <w:sz w:val="18"/>
                <w:szCs w:val="18"/>
              </w:rPr>
              <w:fldChar w:fldCharType="end"/>
            </w:r>
          </w:p>
        </w:tc>
      </w:tr>
      <w:tr w:rsidR="007B756D" w:rsidRPr="00734942" w14:paraId="5766C941" w14:textId="77777777" w:rsidTr="006658D1">
        <w:trPr>
          <w:cantSplit/>
          <w:jc w:val="center"/>
        </w:trPr>
        <w:tc>
          <w:tcPr>
            <w:tcW w:w="615" w:type="pct"/>
            <w:shd w:val="clear" w:color="auto" w:fill="FFFFFF"/>
            <w:tcMar>
              <w:top w:w="0" w:type="dxa"/>
              <w:left w:w="0" w:type="dxa"/>
              <w:bottom w:w="0" w:type="dxa"/>
              <w:right w:w="0" w:type="dxa"/>
            </w:tcMar>
            <w:vAlign w:val="center"/>
          </w:tcPr>
          <w:p w14:paraId="026639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26C3D5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41EDBD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Arthritis (PSA, RA or AS)</w:t>
            </w:r>
          </w:p>
        </w:tc>
        <w:tc>
          <w:tcPr>
            <w:tcW w:w="298" w:type="pct"/>
            <w:shd w:val="clear" w:color="auto" w:fill="FFFFFF"/>
            <w:tcMar>
              <w:top w:w="0" w:type="dxa"/>
              <w:left w:w="0" w:type="dxa"/>
              <w:bottom w:w="0" w:type="dxa"/>
              <w:right w:w="0" w:type="dxa"/>
            </w:tcMar>
            <w:vAlign w:val="center"/>
          </w:tcPr>
          <w:p w14:paraId="5892095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275</w:t>
            </w:r>
          </w:p>
        </w:tc>
        <w:tc>
          <w:tcPr>
            <w:tcW w:w="355" w:type="pct"/>
            <w:shd w:val="clear" w:color="auto" w:fill="FFFFFF"/>
            <w:tcMar>
              <w:top w:w="0" w:type="dxa"/>
              <w:left w:w="0" w:type="dxa"/>
              <w:bottom w:w="0" w:type="dxa"/>
              <w:right w:w="0" w:type="dxa"/>
            </w:tcMar>
            <w:vAlign w:val="center"/>
          </w:tcPr>
          <w:p w14:paraId="757CF54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07" w:type="pct"/>
            <w:shd w:val="clear" w:color="auto" w:fill="FFFFFF"/>
            <w:tcMar>
              <w:top w:w="0" w:type="dxa"/>
              <w:left w:w="0" w:type="dxa"/>
              <w:bottom w:w="0" w:type="dxa"/>
              <w:right w:w="0" w:type="dxa"/>
            </w:tcMar>
            <w:vAlign w:val="center"/>
          </w:tcPr>
          <w:p w14:paraId="55DA27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2D26F5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83" w:type="pct"/>
            <w:shd w:val="clear" w:color="auto" w:fill="FFFFFF"/>
            <w:tcMar>
              <w:top w:w="0" w:type="dxa"/>
              <w:left w:w="0" w:type="dxa"/>
              <w:bottom w:w="0" w:type="dxa"/>
              <w:right w:w="0" w:type="dxa"/>
            </w:tcMar>
            <w:vAlign w:val="center"/>
          </w:tcPr>
          <w:p w14:paraId="4A96FB3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1D3002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55E1EDA5" w14:textId="07F848B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ExcludeYear="1"&gt;&lt;Author&gt;Riente&lt;/Author&gt;&lt;Year&gt;2004&lt;/Year&gt;&lt;RecNum&gt;159&lt;/RecNum&gt;&lt;DisplayText&gt;&lt;style face="superscript"&gt;331&lt;/style&gt;&lt;/DisplayText&gt;&lt;record&gt;&lt;rec-number&gt;159&lt;/rec-number&gt;&lt;foreign-keys&gt;&lt;key app="EN" db-id="tdwrx9xd1z9eepeevr355w2k959rv0f5zaax" timestamp="1632756125"&gt;159&lt;/key&gt;&lt;/foreign-keys&gt;&lt;ref-type name="Journal Article"&gt;17&lt;/ref-type&gt;&lt;contributors&gt;&lt;authors&gt;&lt;author&gt;Riente, L.&lt;/author&gt;&lt;author&gt;Chimenti, D.&lt;/author&gt;&lt;author&gt;Pratesi, F.&lt;/author&gt;&lt;author&gt;Delle Sedie, A.&lt;/author&gt;&lt;author&gt;Tommasi, S.&lt;/author&gt;&lt;author&gt;Tommasi, C.&lt;/author&gt;&lt;author&gt;Bombardieri, S.&lt;/author&gt;&lt;author&gt;Migliorini, P.&lt;/author&gt;&lt;/authors&gt;&lt;/contributors&gt;&lt;titles&gt;&lt;title&gt;Antibodies to tissue transglutaminase and Saccharomyces cerevisiae in Ankylosing spondylitis and psoriatic arthritis&lt;/title&gt;&lt;secondary-title&gt;Journal of Rheumatology&lt;/secondary-title&gt;&lt;/titles&gt;&lt;periodical&gt;&lt;full-title&gt;Journal of Rheumatology&lt;/full-title&gt;&lt;/periodical&gt;&lt;pages&gt;920-924&lt;/pages&gt;&lt;volume&gt;31&lt;/volume&gt;&lt;number&gt;5&lt;/number&gt;&lt;dates&gt;&lt;year&gt;2004&lt;/year&gt;&lt;pub-dates&gt;&lt;date&gt;May&lt;/date&gt;&lt;/pub-dates&gt;&lt;/dates&gt;&lt;isbn&gt;0315-162X&lt;/isbn&gt;&lt;accession-num&gt;WOS:000221246300015&lt;/accession-num&gt;&lt;urls&gt;&lt;related-urls&gt;&lt;url&gt;&amp;lt;Go to ISI&amp;gt;://WOS:000221246300015&lt;/url&gt;&lt;url&gt;http://www.jrheum.org/content/jrheum/31/5/920.full.pdf&lt;/url&gt;&lt;/related-urls&gt;&lt;/urls&gt;&lt;remote-database-name&gt;Web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331</w:t>
            </w:r>
            <w:r w:rsidRPr="00734942">
              <w:rPr>
                <w:rFonts w:ascii="Arial" w:eastAsia="Arial" w:hAnsi="Arial" w:cs="Arial"/>
                <w:color w:val="111111"/>
                <w:sz w:val="18"/>
                <w:szCs w:val="18"/>
              </w:rPr>
              <w:fldChar w:fldCharType="end"/>
            </w:r>
          </w:p>
        </w:tc>
      </w:tr>
      <w:tr w:rsidR="007B756D" w:rsidRPr="00734942" w14:paraId="6DF632EF" w14:textId="77777777" w:rsidTr="006658D1">
        <w:trPr>
          <w:cantSplit/>
          <w:jc w:val="center"/>
        </w:trPr>
        <w:tc>
          <w:tcPr>
            <w:tcW w:w="615" w:type="pct"/>
            <w:shd w:val="clear" w:color="auto" w:fill="FFFFFF"/>
            <w:tcMar>
              <w:top w:w="0" w:type="dxa"/>
              <w:left w:w="0" w:type="dxa"/>
              <w:bottom w:w="0" w:type="dxa"/>
              <w:right w:w="0" w:type="dxa"/>
            </w:tcMar>
            <w:vAlign w:val="center"/>
          </w:tcPr>
          <w:p w14:paraId="1D4395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44BF0C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7" w:type="pct"/>
            <w:shd w:val="clear" w:color="auto" w:fill="FFFFFF"/>
            <w:tcMar>
              <w:top w:w="0" w:type="dxa"/>
              <w:left w:w="0" w:type="dxa"/>
              <w:bottom w:w="0" w:type="dxa"/>
              <w:right w:w="0" w:type="dxa"/>
            </w:tcMar>
            <w:vAlign w:val="center"/>
          </w:tcPr>
          <w:p w14:paraId="7049E8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5E6B863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355" w:type="pct"/>
            <w:shd w:val="clear" w:color="auto" w:fill="FFFFFF"/>
            <w:tcMar>
              <w:top w:w="0" w:type="dxa"/>
              <w:left w:w="0" w:type="dxa"/>
              <w:bottom w:w="0" w:type="dxa"/>
              <w:right w:w="0" w:type="dxa"/>
            </w:tcMar>
            <w:vAlign w:val="center"/>
          </w:tcPr>
          <w:p w14:paraId="5E081AA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07" w:type="pct"/>
            <w:shd w:val="clear" w:color="auto" w:fill="FFFFFF"/>
            <w:tcMar>
              <w:top w:w="0" w:type="dxa"/>
              <w:left w:w="0" w:type="dxa"/>
              <w:bottom w:w="0" w:type="dxa"/>
              <w:right w:w="0" w:type="dxa"/>
            </w:tcMar>
            <w:vAlign w:val="center"/>
          </w:tcPr>
          <w:p w14:paraId="77F482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7A392A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7E1F99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1D56AE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2169ABF2" w14:textId="609C90D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PEVuZE5vdGU+PENpdGUgRXhjbHVkZUF1dGg9IjEiIEV4Y2x1ZGVZZWFyPSIxIj48QXV0aG9yPkx1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PEVuZE5vdGU+PENpdGUgRXhjbHVkZUF1dGg9IjEiIEV4Y2x1ZGVZZWFyPSIxIj48QXV0aG9yPkx1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332</w:t>
            </w:r>
            <w:r w:rsidRPr="00734942">
              <w:rPr>
                <w:rFonts w:ascii="Arial" w:eastAsia="Arial" w:hAnsi="Arial" w:cs="Arial"/>
                <w:color w:val="111111"/>
                <w:sz w:val="18"/>
                <w:szCs w:val="18"/>
              </w:rPr>
              <w:fldChar w:fldCharType="end"/>
            </w:r>
          </w:p>
        </w:tc>
      </w:tr>
      <w:tr w:rsidR="007B756D" w:rsidRPr="00734942" w14:paraId="09744E2A" w14:textId="77777777" w:rsidTr="006658D1">
        <w:trPr>
          <w:cantSplit/>
          <w:jc w:val="center"/>
        </w:trPr>
        <w:tc>
          <w:tcPr>
            <w:tcW w:w="615" w:type="pct"/>
            <w:shd w:val="clear" w:color="auto" w:fill="FFFFFF"/>
            <w:tcMar>
              <w:top w:w="0" w:type="dxa"/>
              <w:left w:w="0" w:type="dxa"/>
              <w:bottom w:w="0" w:type="dxa"/>
              <w:right w:w="0" w:type="dxa"/>
            </w:tcMar>
            <w:vAlign w:val="center"/>
          </w:tcPr>
          <w:p w14:paraId="190CFA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21FB8DC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7" w:type="pct"/>
            <w:shd w:val="clear" w:color="auto" w:fill="FFFFFF"/>
            <w:tcMar>
              <w:top w:w="0" w:type="dxa"/>
              <w:left w:w="0" w:type="dxa"/>
              <w:bottom w:w="0" w:type="dxa"/>
              <w:right w:w="0" w:type="dxa"/>
            </w:tcMar>
            <w:vAlign w:val="center"/>
          </w:tcPr>
          <w:p w14:paraId="4A7C08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1365C3D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6919</w:t>
            </w:r>
          </w:p>
        </w:tc>
        <w:tc>
          <w:tcPr>
            <w:tcW w:w="355" w:type="pct"/>
            <w:shd w:val="clear" w:color="auto" w:fill="FFFFFF"/>
            <w:tcMar>
              <w:top w:w="0" w:type="dxa"/>
              <w:left w:w="0" w:type="dxa"/>
              <w:bottom w:w="0" w:type="dxa"/>
              <w:right w:w="0" w:type="dxa"/>
            </w:tcMar>
            <w:vAlign w:val="center"/>
          </w:tcPr>
          <w:p w14:paraId="4216032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61834A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rheumatoid arthritis</w:t>
            </w:r>
          </w:p>
        </w:tc>
        <w:tc>
          <w:tcPr>
            <w:tcW w:w="713" w:type="pct"/>
            <w:shd w:val="clear" w:color="auto" w:fill="FFFFFF"/>
            <w:tcMar>
              <w:top w:w="0" w:type="dxa"/>
              <w:left w:w="0" w:type="dxa"/>
              <w:bottom w:w="0" w:type="dxa"/>
              <w:right w:w="0" w:type="dxa"/>
            </w:tcMar>
            <w:vAlign w:val="center"/>
          </w:tcPr>
          <w:p w14:paraId="04C37E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83" w:type="pct"/>
            <w:shd w:val="clear" w:color="auto" w:fill="FFFFFF"/>
            <w:tcMar>
              <w:top w:w="0" w:type="dxa"/>
              <w:left w:w="0" w:type="dxa"/>
              <w:bottom w:w="0" w:type="dxa"/>
              <w:right w:w="0" w:type="dxa"/>
            </w:tcMar>
            <w:vAlign w:val="center"/>
          </w:tcPr>
          <w:p w14:paraId="5ACDFA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2B0DA1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44FBC2FD" w14:textId="24B6372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333</w:t>
            </w:r>
            <w:r w:rsidRPr="00734942">
              <w:rPr>
                <w:rFonts w:ascii="Arial" w:eastAsia="Arial" w:hAnsi="Arial" w:cs="Arial"/>
                <w:color w:val="111111"/>
                <w:sz w:val="18"/>
                <w:szCs w:val="18"/>
              </w:rPr>
              <w:fldChar w:fldCharType="end"/>
            </w:r>
          </w:p>
        </w:tc>
      </w:tr>
      <w:tr w:rsidR="007B756D" w:rsidRPr="00734942" w14:paraId="1B0C5096" w14:textId="77777777" w:rsidTr="006658D1">
        <w:trPr>
          <w:cantSplit/>
          <w:jc w:val="center"/>
        </w:trPr>
        <w:tc>
          <w:tcPr>
            <w:tcW w:w="615" w:type="pct"/>
            <w:shd w:val="clear" w:color="auto" w:fill="FFFFFF"/>
            <w:tcMar>
              <w:top w:w="0" w:type="dxa"/>
              <w:left w:w="0" w:type="dxa"/>
              <w:bottom w:w="0" w:type="dxa"/>
              <w:right w:w="0" w:type="dxa"/>
            </w:tcMar>
            <w:vAlign w:val="center"/>
          </w:tcPr>
          <w:p w14:paraId="4DE744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38" w:type="pct"/>
            <w:shd w:val="clear" w:color="auto" w:fill="FFFFFF"/>
            <w:tcMar>
              <w:top w:w="0" w:type="dxa"/>
              <w:left w:w="0" w:type="dxa"/>
              <w:bottom w:w="0" w:type="dxa"/>
              <w:right w:w="0" w:type="dxa"/>
            </w:tcMar>
            <w:vAlign w:val="center"/>
          </w:tcPr>
          <w:p w14:paraId="3C2C5E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607" w:type="pct"/>
            <w:shd w:val="clear" w:color="auto" w:fill="FFFFFF"/>
            <w:tcMar>
              <w:top w:w="0" w:type="dxa"/>
              <w:left w:w="0" w:type="dxa"/>
              <w:bottom w:w="0" w:type="dxa"/>
              <w:right w:w="0" w:type="dxa"/>
            </w:tcMar>
            <w:vAlign w:val="center"/>
          </w:tcPr>
          <w:p w14:paraId="0D390C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Rheumatoid arthritis</w:t>
            </w:r>
          </w:p>
        </w:tc>
        <w:tc>
          <w:tcPr>
            <w:tcW w:w="298" w:type="pct"/>
            <w:shd w:val="clear" w:color="auto" w:fill="FFFFFF"/>
            <w:tcMar>
              <w:top w:w="0" w:type="dxa"/>
              <w:left w:w="0" w:type="dxa"/>
              <w:bottom w:w="0" w:type="dxa"/>
              <w:right w:w="0" w:type="dxa"/>
            </w:tcMar>
            <w:vAlign w:val="center"/>
          </w:tcPr>
          <w:p w14:paraId="60AB364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55" w:type="pct"/>
            <w:shd w:val="clear" w:color="auto" w:fill="FFFFFF"/>
            <w:tcMar>
              <w:top w:w="0" w:type="dxa"/>
              <w:left w:w="0" w:type="dxa"/>
              <w:bottom w:w="0" w:type="dxa"/>
              <w:right w:w="0" w:type="dxa"/>
            </w:tcMar>
            <w:vAlign w:val="center"/>
          </w:tcPr>
          <w:p w14:paraId="234D5C4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69D971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rheumatoid arthritis</w:t>
            </w:r>
          </w:p>
        </w:tc>
        <w:tc>
          <w:tcPr>
            <w:tcW w:w="713" w:type="pct"/>
            <w:shd w:val="clear" w:color="auto" w:fill="FFFFFF"/>
            <w:tcMar>
              <w:top w:w="0" w:type="dxa"/>
              <w:left w:w="0" w:type="dxa"/>
              <w:bottom w:w="0" w:type="dxa"/>
              <w:right w:w="0" w:type="dxa"/>
            </w:tcMar>
            <w:vAlign w:val="center"/>
          </w:tcPr>
          <w:p w14:paraId="55F06C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83" w:type="pct"/>
            <w:shd w:val="clear" w:color="auto" w:fill="FFFFFF"/>
            <w:tcMar>
              <w:top w:w="0" w:type="dxa"/>
              <w:left w:w="0" w:type="dxa"/>
              <w:bottom w:w="0" w:type="dxa"/>
              <w:right w:w="0" w:type="dxa"/>
            </w:tcMar>
            <w:vAlign w:val="center"/>
          </w:tcPr>
          <w:p w14:paraId="03782F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16" w:type="pct"/>
            <w:shd w:val="clear" w:color="auto" w:fill="FFFFFF"/>
            <w:tcMar>
              <w:top w:w="0" w:type="dxa"/>
              <w:left w:w="0" w:type="dxa"/>
              <w:bottom w:w="0" w:type="dxa"/>
              <w:right w:w="0" w:type="dxa"/>
            </w:tcMar>
            <w:vAlign w:val="center"/>
          </w:tcPr>
          <w:p w14:paraId="34D267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06DB02EF" w14:textId="620A436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0FB8FCA3" w14:textId="77777777" w:rsidTr="006658D1">
        <w:trPr>
          <w:cantSplit/>
          <w:jc w:val="center"/>
        </w:trPr>
        <w:tc>
          <w:tcPr>
            <w:tcW w:w="615" w:type="pct"/>
            <w:shd w:val="clear" w:color="auto" w:fill="FFFFFF"/>
            <w:tcMar>
              <w:top w:w="0" w:type="dxa"/>
              <w:left w:w="0" w:type="dxa"/>
              <w:bottom w:w="0" w:type="dxa"/>
              <w:right w:w="0" w:type="dxa"/>
            </w:tcMar>
            <w:vAlign w:val="center"/>
          </w:tcPr>
          <w:p w14:paraId="427C421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38" w:type="pct"/>
            <w:shd w:val="clear" w:color="auto" w:fill="FFFFFF"/>
            <w:tcMar>
              <w:top w:w="0" w:type="dxa"/>
              <w:left w:w="0" w:type="dxa"/>
              <w:bottom w:w="0" w:type="dxa"/>
              <w:right w:w="0" w:type="dxa"/>
            </w:tcMar>
            <w:vAlign w:val="center"/>
          </w:tcPr>
          <w:p w14:paraId="34003D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084A0C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rheumatic diseases</w:t>
            </w:r>
          </w:p>
        </w:tc>
        <w:tc>
          <w:tcPr>
            <w:tcW w:w="298" w:type="pct"/>
            <w:shd w:val="clear" w:color="auto" w:fill="FFFFFF"/>
            <w:tcMar>
              <w:top w:w="0" w:type="dxa"/>
              <w:left w:w="0" w:type="dxa"/>
              <w:bottom w:w="0" w:type="dxa"/>
              <w:right w:w="0" w:type="dxa"/>
            </w:tcMar>
            <w:vAlign w:val="center"/>
          </w:tcPr>
          <w:p w14:paraId="1BD16C9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90</w:t>
            </w:r>
          </w:p>
        </w:tc>
        <w:tc>
          <w:tcPr>
            <w:tcW w:w="355" w:type="pct"/>
            <w:shd w:val="clear" w:color="auto" w:fill="FFFFFF"/>
            <w:tcMar>
              <w:top w:w="0" w:type="dxa"/>
              <w:left w:w="0" w:type="dxa"/>
              <w:bottom w:w="0" w:type="dxa"/>
              <w:right w:w="0" w:type="dxa"/>
            </w:tcMar>
            <w:vAlign w:val="center"/>
          </w:tcPr>
          <w:p w14:paraId="4C3FF37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4C6BD3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5F9BDD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83" w:type="pct"/>
            <w:shd w:val="clear" w:color="auto" w:fill="FFFFFF"/>
            <w:tcMar>
              <w:top w:w="0" w:type="dxa"/>
              <w:left w:w="0" w:type="dxa"/>
              <w:bottom w:w="0" w:type="dxa"/>
              <w:right w:w="0" w:type="dxa"/>
            </w:tcMar>
            <w:vAlign w:val="center"/>
          </w:tcPr>
          <w:p w14:paraId="799EF1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1A45C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Egypt</w:t>
            </w:r>
          </w:p>
        </w:tc>
        <w:tc>
          <w:tcPr>
            <w:tcW w:w="369" w:type="pct"/>
            <w:shd w:val="clear" w:color="auto" w:fill="FFFFFF"/>
            <w:tcMar>
              <w:top w:w="0" w:type="dxa"/>
              <w:left w:w="0" w:type="dxa"/>
              <w:bottom w:w="0" w:type="dxa"/>
              <w:right w:w="0" w:type="dxa"/>
            </w:tcMar>
            <w:vAlign w:val="center"/>
          </w:tcPr>
          <w:p w14:paraId="7974C510" w14:textId="5E0DDCB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PEVuZE5vdGU+PENpdGUgRXhjbHVkZUF1dGg9IjEiIEV4Y2x1ZGVZZWFyPSIxIj48QXV0aG9yPkdo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PEVuZE5vdGU+PENpdGUgRXhjbHVkZUF1dGg9IjEiIEV4Y2x1ZGVZZWFyPSIxIj48QXV0aG9yPkdo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334</w:t>
            </w:r>
            <w:r w:rsidRPr="00734942">
              <w:rPr>
                <w:rFonts w:ascii="Arial" w:eastAsia="Arial" w:hAnsi="Arial" w:cs="Arial"/>
                <w:color w:val="111111"/>
                <w:sz w:val="18"/>
                <w:szCs w:val="18"/>
              </w:rPr>
              <w:fldChar w:fldCharType="end"/>
            </w:r>
          </w:p>
        </w:tc>
      </w:tr>
      <w:tr w:rsidR="007B756D" w:rsidRPr="00734942" w14:paraId="1DE73BE7" w14:textId="77777777" w:rsidTr="006658D1">
        <w:trPr>
          <w:cantSplit/>
          <w:jc w:val="center"/>
        </w:trPr>
        <w:tc>
          <w:tcPr>
            <w:tcW w:w="615" w:type="pct"/>
            <w:shd w:val="clear" w:color="auto" w:fill="FFFFFF"/>
            <w:tcMar>
              <w:top w:w="0" w:type="dxa"/>
              <w:left w:w="0" w:type="dxa"/>
              <w:bottom w:w="0" w:type="dxa"/>
              <w:right w:w="0" w:type="dxa"/>
            </w:tcMar>
            <w:vAlign w:val="center"/>
          </w:tcPr>
          <w:p w14:paraId="46C0BC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538" w:type="pct"/>
            <w:shd w:val="clear" w:color="auto" w:fill="FFFFFF"/>
            <w:tcMar>
              <w:top w:w="0" w:type="dxa"/>
              <w:left w:w="0" w:type="dxa"/>
              <w:bottom w:w="0" w:type="dxa"/>
              <w:right w:w="0" w:type="dxa"/>
            </w:tcMar>
            <w:vAlign w:val="center"/>
          </w:tcPr>
          <w:p w14:paraId="6B0F38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41F981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idiopathic arthritis</w:t>
            </w:r>
          </w:p>
        </w:tc>
        <w:tc>
          <w:tcPr>
            <w:tcW w:w="298" w:type="pct"/>
            <w:shd w:val="clear" w:color="auto" w:fill="FFFFFF"/>
            <w:tcMar>
              <w:top w:w="0" w:type="dxa"/>
              <w:left w:w="0" w:type="dxa"/>
              <w:bottom w:w="0" w:type="dxa"/>
              <w:right w:w="0" w:type="dxa"/>
            </w:tcMar>
            <w:vAlign w:val="center"/>
          </w:tcPr>
          <w:p w14:paraId="1BF04E1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181</w:t>
            </w:r>
          </w:p>
        </w:tc>
        <w:tc>
          <w:tcPr>
            <w:tcW w:w="355" w:type="pct"/>
            <w:shd w:val="clear" w:color="auto" w:fill="FFFFFF"/>
            <w:tcMar>
              <w:top w:w="0" w:type="dxa"/>
              <w:left w:w="0" w:type="dxa"/>
              <w:bottom w:w="0" w:type="dxa"/>
              <w:right w:w="0" w:type="dxa"/>
            </w:tcMar>
            <w:vAlign w:val="center"/>
          </w:tcPr>
          <w:p w14:paraId="6CF1BC4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10D1A2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5564268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7E27E1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16" w:type="pct"/>
            <w:shd w:val="clear" w:color="auto" w:fill="FFFFFF"/>
            <w:tcMar>
              <w:top w:w="0" w:type="dxa"/>
              <w:left w:w="0" w:type="dxa"/>
              <w:bottom w:w="0" w:type="dxa"/>
              <w:right w:w="0" w:type="dxa"/>
            </w:tcMar>
            <w:vAlign w:val="center"/>
          </w:tcPr>
          <w:p w14:paraId="5B10B1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2A7D2453" w14:textId="5CF745A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aGluPC9BdXRob3I+PFllYXI+MjAxNzwvWWVhcj48UmVjTnVtPjE2MjwvUmVjTnVtPjxEaXNwbGF5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aGluPC9BdXRob3I+PFllYXI+MjAxNzwvWWVhcj48UmVjTnVtPjE2MjwvUmVjTnVtPjxEaXNwbGF5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335</w:t>
            </w:r>
            <w:r w:rsidRPr="00734942">
              <w:rPr>
                <w:rFonts w:ascii="Arial" w:eastAsia="Arial" w:hAnsi="Arial" w:cs="Arial"/>
                <w:color w:val="111111"/>
                <w:sz w:val="18"/>
                <w:szCs w:val="18"/>
              </w:rPr>
              <w:fldChar w:fldCharType="end"/>
            </w:r>
          </w:p>
        </w:tc>
      </w:tr>
      <w:tr w:rsidR="007B756D" w:rsidRPr="00734942" w14:paraId="08D41BB6" w14:textId="77777777" w:rsidTr="006658D1">
        <w:trPr>
          <w:cantSplit/>
          <w:jc w:val="center"/>
        </w:trPr>
        <w:tc>
          <w:tcPr>
            <w:tcW w:w="615" w:type="pct"/>
            <w:shd w:val="clear" w:color="auto" w:fill="FFFFFF"/>
            <w:tcMar>
              <w:top w:w="0" w:type="dxa"/>
              <w:left w:w="0" w:type="dxa"/>
              <w:bottom w:w="0" w:type="dxa"/>
              <w:right w:w="0" w:type="dxa"/>
            </w:tcMar>
            <w:vAlign w:val="center"/>
          </w:tcPr>
          <w:p w14:paraId="4AF1C5C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38" w:type="pct"/>
            <w:shd w:val="clear" w:color="auto" w:fill="FFFFFF"/>
            <w:tcMar>
              <w:top w:w="0" w:type="dxa"/>
              <w:left w:w="0" w:type="dxa"/>
              <w:bottom w:w="0" w:type="dxa"/>
              <w:right w:w="0" w:type="dxa"/>
            </w:tcMar>
            <w:vAlign w:val="center"/>
          </w:tcPr>
          <w:p w14:paraId="383DAB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30D7F5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idiopathic arthritis</w:t>
            </w:r>
          </w:p>
        </w:tc>
        <w:tc>
          <w:tcPr>
            <w:tcW w:w="298" w:type="pct"/>
            <w:shd w:val="clear" w:color="auto" w:fill="FFFFFF"/>
            <w:tcMar>
              <w:top w:w="0" w:type="dxa"/>
              <w:left w:w="0" w:type="dxa"/>
              <w:bottom w:w="0" w:type="dxa"/>
              <w:right w:w="0" w:type="dxa"/>
            </w:tcMar>
            <w:vAlign w:val="center"/>
          </w:tcPr>
          <w:p w14:paraId="67EA742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205</w:t>
            </w:r>
          </w:p>
        </w:tc>
        <w:tc>
          <w:tcPr>
            <w:tcW w:w="355" w:type="pct"/>
            <w:shd w:val="clear" w:color="auto" w:fill="FFFFFF"/>
            <w:tcMar>
              <w:top w:w="0" w:type="dxa"/>
              <w:left w:w="0" w:type="dxa"/>
              <w:bottom w:w="0" w:type="dxa"/>
              <w:right w:w="0" w:type="dxa"/>
            </w:tcMar>
            <w:vAlign w:val="center"/>
          </w:tcPr>
          <w:p w14:paraId="287796B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0EDE0F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780FED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160CC32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2A79D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Austria</w:t>
            </w:r>
          </w:p>
        </w:tc>
        <w:tc>
          <w:tcPr>
            <w:tcW w:w="369" w:type="pct"/>
            <w:shd w:val="clear" w:color="auto" w:fill="FFFFFF"/>
            <w:tcMar>
              <w:top w:w="0" w:type="dxa"/>
              <w:left w:w="0" w:type="dxa"/>
              <w:bottom w:w="0" w:type="dxa"/>
              <w:right w:w="0" w:type="dxa"/>
            </w:tcMar>
            <w:vAlign w:val="center"/>
          </w:tcPr>
          <w:p w14:paraId="734DC038" w14:textId="6873080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PEVuZE5vdGU+PENpdGUgRXhjbHVkZUF1dGg9IjEiIEV4Y2x1ZGVZZWFyPSIxIj48QXV0aG9yPlNr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PEVuZE5vdGU+PENpdGUgRXhjbHVkZUF1dGg9IjEiIEV4Y2x1ZGVZZWFyPSIxIj48QXV0aG9yPlNr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336</w:t>
            </w:r>
            <w:r w:rsidRPr="00734942">
              <w:rPr>
                <w:rFonts w:ascii="Arial" w:eastAsia="Arial" w:hAnsi="Arial" w:cs="Arial"/>
                <w:color w:val="111111"/>
                <w:sz w:val="18"/>
                <w:szCs w:val="18"/>
              </w:rPr>
              <w:fldChar w:fldCharType="end"/>
            </w:r>
          </w:p>
        </w:tc>
      </w:tr>
      <w:tr w:rsidR="007B756D" w:rsidRPr="00734942" w14:paraId="285F60E8" w14:textId="77777777" w:rsidTr="006658D1">
        <w:trPr>
          <w:cantSplit/>
          <w:jc w:val="center"/>
        </w:trPr>
        <w:tc>
          <w:tcPr>
            <w:tcW w:w="615" w:type="pct"/>
            <w:shd w:val="clear" w:color="auto" w:fill="FFFFFF"/>
            <w:tcMar>
              <w:top w:w="0" w:type="dxa"/>
              <w:left w:w="0" w:type="dxa"/>
              <w:bottom w:w="0" w:type="dxa"/>
              <w:right w:w="0" w:type="dxa"/>
            </w:tcMar>
            <w:vAlign w:val="center"/>
          </w:tcPr>
          <w:p w14:paraId="4C37C6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38" w:type="pct"/>
            <w:shd w:val="clear" w:color="auto" w:fill="FFFFFF"/>
            <w:tcMar>
              <w:top w:w="0" w:type="dxa"/>
              <w:left w:w="0" w:type="dxa"/>
              <w:bottom w:w="0" w:type="dxa"/>
              <w:right w:w="0" w:type="dxa"/>
            </w:tcMar>
            <w:vAlign w:val="center"/>
          </w:tcPr>
          <w:p w14:paraId="12D243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278756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idiopathic arthritis</w:t>
            </w:r>
          </w:p>
        </w:tc>
        <w:tc>
          <w:tcPr>
            <w:tcW w:w="298" w:type="pct"/>
            <w:shd w:val="clear" w:color="auto" w:fill="FFFFFF"/>
            <w:tcMar>
              <w:top w:w="0" w:type="dxa"/>
              <w:left w:w="0" w:type="dxa"/>
              <w:bottom w:w="0" w:type="dxa"/>
              <w:right w:w="0" w:type="dxa"/>
            </w:tcMar>
            <w:vAlign w:val="center"/>
          </w:tcPr>
          <w:p w14:paraId="0E1B61B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309</w:t>
            </w:r>
          </w:p>
        </w:tc>
        <w:tc>
          <w:tcPr>
            <w:tcW w:w="355" w:type="pct"/>
            <w:shd w:val="clear" w:color="auto" w:fill="FFFFFF"/>
            <w:tcMar>
              <w:top w:w="0" w:type="dxa"/>
              <w:left w:w="0" w:type="dxa"/>
              <w:bottom w:w="0" w:type="dxa"/>
              <w:right w:w="0" w:type="dxa"/>
            </w:tcMar>
            <w:vAlign w:val="center"/>
          </w:tcPr>
          <w:p w14:paraId="4B8009E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07" w:type="pct"/>
            <w:shd w:val="clear" w:color="auto" w:fill="FFFFFF"/>
            <w:tcMar>
              <w:top w:w="0" w:type="dxa"/>
              <w:left w:w="0" w:type="dxa"/>
              <w:bottom w:w="0" w:type="dxa"/>
              <w:right w:w="0" w:type="dxa"/>
            </w:tcMar>
            <w:vAlign w:val="center"/>
          </w:tcPr>
          <w:p w14:paraId="0A0A03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3D471B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6BF253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A82A0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10625B90" w14:textId="57DF5FA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PEVuZE5vdGU+PENpdGUgRXhjbHVkZUF1dGg9IjEiIEV4Y2x1ZGVZZWFyPSIxIj48QXV0aG9yPlN0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PEVuZE5vdGU+PENpdGUgRXhjbHVkZUF1dGg9IjEiIEV4Y2x1ZGVZZWFyPSIxIj48QXV0aG9yPlN0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337</w:t>
            </w:r>
            <w:r w:rsidRPr="00734942">
              <w:rPr>
                <w:rFonts w:ascii="Arial" w:eastAsia="Arial" w:hAnsi="Arial" w:cs="Arial"/>
                <w:color w:val="111111"/>
                <w:sz w:val="18"/>
                <w:szCs w:val="18"/>
              </w:rPr>
              <w:fldChar w:fldCharType="end"/>
            </w:r>
          </w:p>
        </w:tc>
      </w:tr>
      <w:tr w:rsidR="007B756D" w:rsidRPr="00734942" w14:paraId="40925E61" w14:textId="77777777" w:rsidTr="006658D1">
        <w:trPr>
          <w:cantSplit/>
          <w:jc w:val="center"/>
        </w:trPr>
        <w:tc>
          <w:tcPr>
            <w:tcW w:w="615" w:type="pct"/>
            <w:shd w:val="clear" w:color="auto" w:fill="FFFFFF"/>
            <w:tcMar>
              <w:top w:w="0" w:type="dxa"/>
              <w:left w:w="0" w:type="dxa"/>
              <w:bottom w:w="0" w:type="dxa"/>
              <w:right w:w="0" w:type="dxa"/>
            </w:tcMar>
            <w:vAlign w:val="center"/>
          </w:tcPr>
          <w:p w14:paraId="6E1563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38" w:type="pct"/>
            <w:shd w:val="clear" w:color="auto" w:fill="FFFFFF"/>
            <w:tcMar>
              <w:top w:w="0" w:type="dxa"/>
              <w:left w:w="0" w:type="dxa"/>
              <w:bottom w:w="0" w:type="dxa"/>
              <w:right w:w="0" w:type="dxa"/>
            </w:tcMar>
            <w:vAlign w:val="center"/>
          </w:tcPr>
          <w:p w14:paraId="459AAA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7" w:type="pct"/>
            <w:shd w:val="clear" w:color="auto" w:fill="FFFFFF"/>
            <w:tcMar>
              <w:top w:w="0" w:type="dxa"/>
              <w:left w:w="0" w:type="dxa"/>
              <w:bottom w:w="0" w:type="dxa"/>
              <w:right w:w="0" w:type="dxa"/>
            </w:tcMar>
            <w:vAlign w:val="center"/>
          </w:tcPr>
          <w:p w14:paraId="599408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idiopathic arthritis</w:t>
            </w:r>
          </w:p>
        </w:tc>
        <w:tc>
          <w:tcPr>
            <w:tcW w:w="298" w:type="pct"/>
            <w:shd w:val="clear" w:color="auto" w:fill="FFFFFF"/>
            <w:tcMar>
              <w:top w:w="0" w:type="dxa"/>
              <w:left w:w="0" w:type="dxa"/>
              <w:bottom w:w="0" w:type="dxa"/>
              <w:right w:w="0" w:type="dxa"/>
            </w:tcMar>
            <w:vAlign w:val="center"/>
          </w:tcPr>
          <w:p w14:paraId="1F27026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70</w:t>
            </w:r>
          </w:p>
        </w:tc>
        <w:tc>
          <w:tcPr>
            <w:tcW w:w="355" w:type="pct"/>
            <w:shd w:val="clear" w:color="auto" w:fill="FFFFFF"/>
            <w:tcMar>
              <w:top w:w="0" w:type="dxa"/>
              <w:left w:w="0" w:type="dxa"/>
              <w:bottom w:w="0" w:type="dxa"/>
              <w:right w:w="0" w:type="dxa"/>
            </w:tcMar>
            <w:vAlign w:val="center"/>
          </w:tcPr>
          <w:p w14:paraId="3694EE6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07" w:type="pct"/>
            <w:shd w:val="clear" w:color="auto" w:fill="FFFFFF"/>
            <w:tcMar>
              <w:top w:w="0" w:type="dxa"/>
              <w:left w:w="0" w:type="dxa"/>
              <w:bottom w:w="0" w:type="dxa"/>
              <w:right w:w="0" w:type="dxa"/>
            </w:tcMar>
            <w:vAlign w:val="center"/>
          </w:tcPr>
          <w:p w14:paraId="0A89F6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69CED2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shd w:val="clear" w:color="auto" w:fill="FFFFFF"/>
            <w:tcMar>
              <w:top w:w="0" w:type="dxa"/>
              <w:left w:w="0" w:type="dxa"/>
              <w:bottom w:w="0" w:type="dxa"/>
              <w:right w:w="0" w:type="dxa"/>
            </w:tcMar>
            <w:vAlign w:val="center"/>
          </w:tcPr>
          <w:p w14:paraId="3E71F8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54A79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05239185" w14:textId="3972EC5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ExcludeYear="1"&gt;&lt;Author&gt;Robazzi&lt;/Author&gt;&lt;Year&gt;2013&lt;/Year&gt;&lt;RecNum&gt;129&lt;/RecNum&gt;&lt;DisplayText&gt;&lt;style face="superscript"&gt;338&lt;/style&gt;&lt;/DisplayText&gt;&lt;record&gt;&lt;rec-number&gt;129&lt;/rec-number&gt;&lt;foreign-keys&gt;&lt;key app="EN" db-id="tdwrx9xd1z9eepeevr355w2k959rv0f5zaax" timestamp="1632756120"&gt;129&lt;/key&gt;&lt;/foreign-keys&gt;&lt;ref-type name="Journal Article"&gt;17&lt;/ref-type&gt;&lt;contributors&gt;&lt;authors&gt;&lt;author&gt;Robazzi, T. C.&lt;/author&gt;&lt;author&gt;Adan, L. F.&lt;/author&gt;&lt;author&gt;Pimentel, K.&lt;/author&gt;&lt;author&gt;Guimaraes, I.&lt;/author&gt;&lt;author&gt;Magalhaes, J.&lt;/author&gt;&lt;author&gt;Toralles, M. B.&lt;/author&gt;&lt;author&gt;Rolim, A. M.&lt;/author&gt;&lt;/authors&gt;&lt;/contributors&gt;&lt;titles&gt;&lt;title&gt;Autoimmune endocrine disorders and coeliac disease in children and adolescents with juvenile idiopathic arthritis and rheumatic fever&lt;/title&gt;&lt;secondary-title&gt;Clinical and Experimental Rheumatology&lt;/secondary-title&gt;&lt;/titles&gt;&lt;periodical&gt;&lt;full-title&gt;Clinical and Experimental Rheumatology&lt;/full-title&gt;&lt;/periodical&gt;&lt;pages&gt;310-317&lt;/pages&gt;&lt;volume&gt;31&lt;/volume&gt;&lt;number&gt;2&lt;/number&gt;&lt;dates&gt;&lt;year&gt;2013&lt;/year&gt;&lt;pub-dates&gt;&lt;date&gt;Mar-Apr&lt;/date&gt;&lt;/pub-dates&gt;&lt;/dates&gt;&lt;isbn&gt;0392-856X&lt;/isbn&gt;&lt;accession-num&gt;WOS:000317086600023&lt;/accession-num&gt;&lt;urls&gt;&lt;related-urls&gt;&lt;url&gt;&amp;lt;Go to ISI&amp;gt;://WOS:000317086600023&lt;/url&gt;&lt;/related-urls&gt;&lt;/urls&gt;&lt;remote-database-name&gt;Web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338</w:t>
            </w:r>
            <w:r w:rsidRPr="00734942">
              <w:rPr>
                <w:rFonts w:ascii="Arial" w:eastAsia="Arial" w:hAnsi="Arial" w:cs="Arial"/>
                <w:color w:val="111111"/>
                <w:sz w:val="18"/>
                <w:szCs w:val="18"/>
              </w:rPr>
              <w:fldChar w:fldCharType="end"/>
            </w:r>
          </w:p>
        </w:tc>
      </w:tr>
      <w:tr w:rsidR="007B756D" w:rsidRPr="00734942" w14:paraId="1F3CD7EF" w14:textId="77777777" w:rsidTr="006658D1">
        <w:trPr>
          <w:cantSplit/>
          <w:jc w:val="center"/>
        </w:trPr>
        <w:tc>
          <w:tcPr>
            <w:tcW w:w="615" w:type="pct"/>
            <w:shd w:val="clear" w:color="auto" w:fill="FFFFFF"/>
            <w:tcMar>
              <w:top w:w="0" w:type="dxa"/>
              <w:left w:w="0" w:type="dxa"/>
              <w:bottom w:w="0" w:type="dxa"/>
              <w:right w:w="0" w:type="dxa"/>
            </w:tcMar>
            <w:vAlign w:val="center"/>
          </w:tcPr>
          <w:p w14:paraId="4A3B78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38" w:type="pct"/>
            <w:shd w:val="clear" w:color="auto" w:fill="FFFFFF"/>
            <w:tcMar>
              <w:top w:w="0" w:type="dxa"/>
              <w:left w:w="0" w:type="dxa"/>
              <w:bottom w:w="0" w:type="dxa"/>
              <w:right w:w="0" w:type="dxa"/>
            </w:tcMar>
            <w:vAlign w:val="center"/>
          </w:tcPr>
          <w:p w14:paraId="668B52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shd w:val="clear" w:color="auto" w:fill="FFFFFF"/>
            <w:tcMar>
              <w:top w:w="0" w:type="dxa"/>
              <w:left w:w="0" w:type="dxa"/>
              <w:bottom w:w="0" w:type="dxa"/>
              <w:right w:w="0" w:type="dxa"/>
            </w:tcMar>
            <w:vAlign w:val="center"/>
          </w:tcPr>
          <w:p w14:paraId="09E987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Juvenile idiopathic arthritis</w:t>
            </w:r>
          </w:p>
        </w:tc>
        <w:tc>
          <w:tcPr>
            <w:tcW w:w="298" w:type="pct"/>
            <w:shd w:val="clear" w:color="auto" w:fill="FFFFFF"/>
            <w:tcMar>
              <w:top w:w="0" w:type="dxa"/>
              <w:left w:w="0" w:type="dxa"/>
              <w:bottom w:w="0" w:type="dxa"/>
              <w:right w:w="0" w:type="dxa"/>
            </w:tcMar>
            <w:vAlign w:val="center"/>
          </w:tcPr>
          <w:p w14:paraId="5F094C2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1025</w:t>
            </w:r>
          </w:p>
        </w:tc>
        <w:tc>
          <w:tcPr>
            <w:tcW w:w="355" w:type="pct"/>
            <w:shd w:val="clear" w:color="auto" w:fill="FFFFFF"/>
            <w:tcMar>
              <w:top w:w="0" w:type="dxa"/>
              <w:left w:w="0" w:type="dxa"/>
              <w:bottom w:w="0" w:type="dxa"/>
              <w:right w:w="0" w:type="dxa"/>
            </w:tcMar>
            <w:vAlign w:val="center"/>
          </w:tcPr>
          <w:p w14:paraId="02BC577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07" w:type="pct"/>
            <w:shd w:val="clear" w:color="auto" w:fill="FFFFFF"/>
            <w:tcMar>
              <w:top w:w="0" w:type="dxa"/>
              <w:left w:w="0" w:type="dxa"/>
              <w:bottom w:w="0" w:type="dxa"/>
              <w:right w:w="0" w:type="dxa"/>
            </w:tcMar>
            <w:vAlign w:val="center"/>
          </w:tcPr>
          <w:p w14:paraId="0E74CA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shd w:val="clear" w:color="auto" w:fill="FFFFFF"/>
            <w:tcMar>
              <w:top w:w="0" w:type="dxa"/>
              <w:left w:w="0" w:type="dxa"/>
              <w:bottom w:w="0" w:type="dxa"/>
              <w:right w:w="0" w:type="dxa"/>
            </w:tcMar>
            <w:vAlign w:val="center"/>
          </w:tcPr>
          <w:p w14:paraId="317DC9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83" w:type="pct"/>
            <w:shd w:val="clear" w:color="auto" w:fill="FFFFFF"/>
            <w:tcMar>
              <w:top w:w="0" w:type="dxa"/>
              <w:left w:w="0" w:type="dxa"/>
              <w:bottom w:w="0" w:type="dxa"/>
              <w:right w:w="0" w:type="dxa"/>
            </w:tcMar>
            <w:vAlign w:val="center"/>
          </w:tcPr>
          <w:p w14:paraId="4197670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858F0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7219ACF" w14:textId="294B1CD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PEVuZE5vdGU+PENpdGUgRXhjbHVkZUF1dGg9IjEiIEV4Y2x1ZGVZZWFyPSIxIj48QXV0aG9yPlRh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PEVuZE5vdGU+PENpdGUgRXhjbHVkZUF1dGg9IjEiIEV4Y2x1ZGVZZWFyPSIxIj48QXV0aG9yPlRh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339</w:t>
            </w:r>
            <w:r w:rsidRPr="00734942">
              <w:rPr>
                <w:rFonts w:ascii="Arial" w:eastAsia="Arial" w:hAnsi="Arial" w:cs="Arial"/>
                <w:color w:val="111111"/>
                <w:sz w:val="18"/>
                <w:szCs w:val="18"/>
              </w:rPr>
              <w:fldChar w:fldCharType="end"/>
            </w:r>
          </w:p>
        </w:tc>
      </w:tr>
      <w:tr w:rsidR="007B756D" w:rsidRPr="00734942" w14:paraId="09F596FD" w14:textId="77777777" w:rsidTr="006658D1">
        <w:trPr>
          <w:cantSplit/>
          <w:jc w:val="center"/>
        </w:trPr>
        <w:tc>
          <w:tcPr>
            <w:tcW w:w="615" w:type="pct"/>
            <w:tcBorders>
              <w:bottom w:val="single" w:sz="16" w:space="0" w:color="000000"/>
            </w:tcBorders>
            <w:shd w:val="clear" w:color="auto" w:fill="FFFFFF"/>
            <w:tcMar>
              <w:top w:w="0" w:type="dxa"/>
              <w:left w:w="0" w:type="dxa"/>
              <w:bottom w:w="0" w:type="dxa"/>
              <w:right w:w="0" w:type="dxa"/>
            </w:tcMar>
            <w:vAlign w:val="center"/>
          </w:tcPr>
          <w:p w14:paraId="7C34B2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38" w:type="pct"/>
            <w:tcBorders>
              <w:bottom w:val="single" w:sz="16" w:space="0" w:color="000000"/>
            </w:tcBorders>
            <w:shd w:val="clear" w:color="auto" w:fill="FFFFFF"/>
            <w:tcMar>
              <w:top w:w="0" w:type="dxa"/>
              <w:left w:w="0" w:type="dxa"/>
              <w:bottom w:w="0" w:type="dxa"/>
              <w:right w:w="0" w:type="dxa"/>
            </w:tcMar>
            <w:vAlign w:val="center"/>
          </w:tcPr>
          <w:p w14:paraId="0CAD1D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7" w:type="pct"/>
            <w:tcBorders>
              <w:bottom w:val="single" w:sz="16" w:space="0" w:color="000000"/>
            </w:tcBorders>
            <w:shd w:val="clear" w:color="auto" w:fill="FFFFFF"/>
            <w:tcMar>
              <w:top w:w="0" w:type="dxa"/>
              <w:left w:w="0" w:type="dxa"/>
              <w:bottom w:w="0" w:type="dxa"/>
              <w:right w:w="0" w:type="dxa"/>
            </w:tcMar>
            <w:vAlign w:val="center"/>
          </w:tcPr>
          <w:p w14:paraId="6857F3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Ankylosing spondylitis</w:t>
            </w:r>
          </w:p>
        </w:tc>
        <w:tc>
          <w:tcPr>
            <w:tcW w:w="298" w:type="pct"/>
            <w:tcBorders>
              <w:bottom w:val="single" w:sz="16" w:space="0" w:color="000000"/>
            </w:tcBorders>
            <w:shd w:val="clear" w:color="auto" w:fill="FFFFFF"/>
            <w:tcMar>
              <w:top w:w="0" w:type="dxa"/>
              <w:left w:w="0" w:type="dxa"/>
              <w:bottom w:w="0" w:type="dxa"/>
              <w:right w:w="0" w:type="dxa"/>
            </w:tcMar>
            <w:vAlign w:val="center"/>
          </w:tcPr>
          <w:p w14:paraId="112643A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49</w:t>
            </w:r>
          </w:p>
        </w:tc>
        <w:tc>
          <w:tcPr>
            <w:tcW w:w="355" w:type="pct"/>
            <w:tcBorders>
              <w:bottom w:val="single" w:sz="16" w:space="0" w:color="000000"/>
            </w:tcBorders>
            <w:shd w:val="clear" w:color="auto" w:fill="FFFFFF"/>
            <w:tcMar>
              <w:top w:w="0" w:type="dxa"/>
              <w:left w:w="0" w:type="dxa"/>
              <w:bottom w:w="0" w:type="dxa"/>
              <w:right w:w="0" w:type="dxa"/>
            </w:tcMar>
            <w:vAlign w:val="center"/>
          </w:tcPr>
          <w:p w14:paraId="03FF488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1-25%</w:t>
            </w:r>
          </w:p>
        </w:tc>
        <w:tc>
          <w:tcPr>
            <w:tcW w:w="707" w:type="pct"/>
            <w:tcBorders>
              <w:bottom w:val="single" w:sz="16" w:space="0" w:color="000000"/>
            </w:tcBorders>
            <w:shd w:val="clear" w:color="auto" w:fill="FFFFFF"/>
            <w:tcMar>
              <w:top w:w="0" w:type="dxa"/>
              <w:left w:w="0" w:type="dxa"/>
              <w:bottom w:w="0" w:type="dxa"/>
              <w:right w:w="0" w:type="dxa"/>
            </w:tcMar>
            <w:vAlign w:val="center"/>
          </w:tcPr>
          <w:p w14:paraId="738EF0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13" w:type="pct"/>
            <w:tcBorders>
              <w:bottom w:val="single" w:sz="16" w:space="0" w:color="000000"/>
            </w:tcBorders>
            <w:shd w:val="clear" w:color="auto" w:fill="FFFFFF"/>
            <w:tcMar>
              <w:top w:w="0" w:type="dxa"/>
              <w:left w:w="0" w:type="dxa"/>
              <w:bottom w:w="0" w:type="dxa"/>
              <w:right w:w="0" w:type="dxa"/>
            </w:tcMar>
            <w:vAlign w:val="center"/>
          </w:tcPr>
          <w:p w14:paraId="4DB265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83" w:type="pct"/>
            <w:tcBorders>
              <w:bottom w:val="single" w:sz="16" w:space="0" w:color="000000"/>
            </w:tcBorders>
            <w:shd w:val="clear" w:color="auto" w:fill="FFFFFF"/>
            <w:tcMar>
              <w:top w:w="0" w:type="dxa"/>
              <w:left w:w="0" w:type="dxa"/>
              <w:bottom w:w="0" w:type="dxa"/>
              <w:right w:w="0" w:type="dxa"/>
            </w:tcMar>
            <w:vAlign w:val="center"/>
          </w:tcPr>
          <w:p w14:paraId="4FED841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65F172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tcBorders>
              <w:bottom w:val="single" w:sz="16" w:space="0" w:color="000000"/>
            </w:tcBorders>
            <w:shd w:val="clear" w:color="auto" w:fill="FFFFFF"/>
            <w:tcMar>
              <w:top w:w="0" w:type="dxa"/>
              <w:left w:w="0" w:type="dxa"/>
              <w:bottom w:w="0" w:type="dxa"/>
              <w:right w:w="0" w:type="dxa"/>
            </w:tcMar>
            <w:vAlign w:val="center"/>
          </w:tcPr>
          <w:p w14:paraId="7ABB9950" w14:textId="2EE16C7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PEVuZE5vdGU+PENpdGUgRXhjbHVkZUF1dGg9IjEiIEV4Y2x1ZGVZZWFyPSIxIj48QXV0aG9yPlRv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PEVuZE5vdGU+PENpdGUgRXhjbHVkZUF1dGg9IjEiIEV4Y2x1ZGVZZWFyPSIxIj48QXV0aG9yPlRv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340</w:t>
            </w:r>
            <w:r w:rsidRPr="00734942">
              <w:rPr>
                <w:rFonts w:ascii="Arial" w:eastAsia="Arial" w:hAnsi="Arial" w:cs="Arial"/>
                <w:color w:val="111111"/>
                <w:sz w:val="18"/>
                <w:szCs w:val="18"/>
              </w:rPr>
              <w:fldChar w:fldCharType="end"/>
            </w:r>
          </w:p>
        </w:tc>
      </w:tr>
    </w:tbl>
    <w:p w14:paraId="2DAE2461" w14:textId="77777777" w:rsidR="007B756D" w:rsidRPr="00734942" w:rsidRDefault="007B756D" w:rsidP="007B756D"/>
    <w:p w14:paraId="0CB6671F" w14:textId="77777777" w:rsidR="007B756D" w:rsidRPr="00734942" w:rsidRDefault="007B756D" w:rsidP="007B756D">
      <w:r w:rsidRPr="00734942">
        <w:br w:type="page"/>
      </w:r>
    </w:p>
    <w:p w14:paraId="7D1680B3" w14:textId="7C505526" w:rsidR="00036665" w:rsidRDefault="00036665" w:rsidP="000526F1">
      <w:pPr>
        <w:pStyle w:val="Caption"/>
      </w:pPr>
      <w:bookmarkStart w:id="367" w:name="_Toc99720740"/>
      <w:r>
        <w:lastRenderedPageBreak/>
        <w:t xml:space="preserve">Table </w:t>
      </w:r>
      <w:r w:rsidR="00C34531">
        <w:fldChar w:fldCharType="begin"/>
      </w:r>
      <w:r w:rsidR="00C34531">
        <w:instrText xml:space="preserve"> SEQ Table \* ARABIC </w:instrText>
      </w:r>
      <w:r w:rsidR="00C34531">
        <w:fldChar w:fldCharType="separate"/>
      </w:r>
      <w:r w:rsidR="008B5583">
        <w:rPr>
          <w:noProof/>
        </w:rPr>
        <w:t>29</w:t>
      </w:r>
      <w:r w:rsidR="00C34531">
        <w:rPr>
          <w:noProof/>
        </w:rPr>
        <w:fldChar w:fldCharType="end"/>
      </w:r>
      <w:r>
        <w:t xml:space="preserve">  </w:t>
      </w:r>
      <w:r w:rsidRPr="00F822AC">
        <w:t>Study characteristics: Bloating or abdominal distension</w:t>
      </w:r>
      <w:bookmarkEnd w:id="367"/>
    </w:p>
    <w:tbl>
      <w:tblPr>
        <w:tblW w:w="5000" w:type="pct"/>
        <w:jc w:val="center"/>
        <w:tblLook w:val="0420" w:firstRow="1" w:lastRow="0" w:firstColumn="0" w:lastColumn="0" w:noHBand="0" w:noVBand="1"/>
      </w:tblPr>
      <w:tblGrid>
        <w:gridCol w:w="2869"/>
        <w:gridCol w:w="1367"/>
        <w:gridCol w:w="1180"/>
        <w:gridCol w:w="811"/>
        <w:gridCol w:w="835"/>
        <w:gridCol w:w="1935"/>
        <w:gridCol w:w="1820"/>
        <w:gridCol w:w="1228"/>
        <w:gridCol w:w="882"/>
        <w:gridCol w:w="1031"/>
      </w:tblGrid>
      <w:tr w:rsidR="00C8418F" w:rsidRPr="00734942" w14:paraId="10F3CBA3" w14:textId="77777777" w:rsidTr="00036665">
        <w:trPr>
          <w:cantSplit/>
          <w:tblHeader/>
          <w:jc w:val="center"/>
        </w:trPr>
        <w:tc>
          <w:tcPr>
            <w:tcW w:w="102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9C273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9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3E160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2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83D4E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2FA6078"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A53A3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9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5BDD3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5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E6855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4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3B18E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DC48C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844C2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7AEB9914" w14:textId="77777777" w:rsidTr="00036665">
        <w:trPr>
          <w:cantSplit/>
          <w:jc w:val="center"/>
        </w:trPr>
        <w:tc>
          <w:tcPr>
            <w:tcW w:w="1028" w:type="pct"/>
            <w:shd w:val="clear" w:color="auto" w:fill="FFFFFF"/>
            <w:tcMar>
              <w:top w:w="0" w:type="dxa"/>
              <w:left w:w="0" w:type="dxa"/>
              <w:bottom w:w="0" w:type="dxa"/>
              <w:right w:w="0" w:type="dxa"/>
            </w:tcMar>
            <w:vAlign w:val="center"/>
          </w:tcPr>
          <w:p w14:paraId="73D7E6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90" w:type="pct"/>
            <w:shd w:val="clear" w:color="auto" w:fill="FFFFFF"/>
            <w:tcMar>
              <w:top w:w="0" w:type="dxa"/>
              <w:left w:w="0" w:type="dxa"/>
              <w:bottom w:w="0" w:type="dxa"/>
              <w:right w:w="0" w:type="dxa"/>
            </w:tcMar>
            <w:vAlign w:val="center"/>
          </w:tcPr>
          <w:p w14:paraId="3CB8AE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3" w:type="pct"/>
            <w:shd w:val="clear" w:color="auto" w:fill="FFFFFF"/>
            <w:tcMar>
              <w:top w:w="0" w:type="dxa"/>
              <w:left w:w="0" w:type="dxa"/>
              <w:bottom w:w="0" w:type="dxa"/>
              <w:right w:w="0" w:type="dxa"/>
            </w:tcMar>
            <w:vAlign w:val="center"/>
          </w:tcPr>
          <w:p w14:paraId="141C53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Bloating</w:t>
            </w:r>
          </w:p>
        </w:tc>
        <w:tc>
          <w:tcPr>
            <w:tcW w:w="291" w:type="pct"/>
            <w:shd w:val="clear" w:color="auto" w:fill="FFFFFF"/>
            <w:tcMar>
              <w:top w:w="0" w:type="dxa"/>
              <w:left w:w="0" w:type="dxa"/>
              <w:bottom w:w="0" w:type="dxa"/>
              <w:right w:w="0" w:type="dxa"/>
            </w:tcMar>
            <w:vAlign w:val="center"/>
          </w:tcPr>
          <w:p w14:paraId="1DC5E4C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1830</w:t>
            </w:r>
          </w:p>
        </w:tc>
        <w:tc>
          <w:tcPr>
            <w:tcW w:w="299" w:type="pct"/>
            <w:shd w:val="clear" w:color="auto" w:fill="FFFFFF"/>
            <w:tcMar>
              <w:top w:w="0" w:type="dxa"/>
              <w:left w:w="0" w:type="dxa"/>
              <w:bottom w:w="0" w:type="dxa"/>
              <w:right w:w="0" w:type="dxa"/>
            </w:tcMar>
            <w:vAlign w:val="center"/>
          </w:tcPr>
          <w:p w14:paraId="4BE6CC69" w14:textId="77777777" w:rsidR="007B756D" w:rsidRPr="00734942" w:rsidRDefault="007B756D" w:rsidP="006658D1">
            <w:pPr>
              <w:spacing w:before="40" w:after="40"/>
              <w:ind w:left="100" w:right="100"/>
              <w:jc w:val="center"/>
            </w:pPr>
            <w:r w:rsidRPr="00734942">
              <w:t>NR</w:t>
            </w:r>
          </w:p>
        </w:tc>
        <w:tc>
          <w:tcPr>
            <w:tcW w:w="693" w:type="pct"/>
            <w:shd w:val="clear" w:color="auto" w:fill="FFFFFF"/>
            <w:tcMar>
              <w:top w:w="0" w:type="dxa"/>
              <w:left w:w="0" w:type="dxa"/>
              <w:bottom w:w="0" w:type="dxa"/>
              <w:right w:w="0" w:type="dxa"/>
            </w:tcMar>
            <w:vAlign w:val="center"/>
          </w:tcPr>
          <w:p w14:paraId="703CA6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bloating</w:t>
            </w:r>
          </w:p>
        </w:tc>
        <w:tc>
          <w:tcPr>
            <w:tcW w:w="652" w:type="pct"/>
            <w:shd w:val="clear" w:color="auto" w:fill="FFFFFF"/>
            <w:tcMar>
              <w:top w:w="0" w:type="dxa"/>
              <w:left w:w="0" w:type="dxa"/>
              <w:bottom w:w="0" w:type="dxa"/>
              <w:right w:w="0" w:type="dxa"/>
            </w:tcMar>
            <w:vAlign w:val="center"/>
          </w:tcPr>
          <w:p w14:paraId="61C756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40" w:type="pct"/>
            <w:shd w:val="clear" w:color="auto" w:fill="FFFFFF"/>
            <w:tcMar>
              <w:top w:w="0" w:type="dxa"/>
              <w:left w:w="0" w:type="dxa"/>
              <w:bottom w:w="0" w:type="dxa"/>
              <w:right w:w="0" w:type="dxa"/>
            </w:tcMar>
            <w:vAlign w:val="center"/>
          </w:tcPr>
          <w:p w14:paraId="37453A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75EBE5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5E20520" w14:textId="7F3D810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C8418F" w:rsidRPr="00734942" w14:paraId="2613EBDC" w14:textId="77777777" w:rsidTr="00036665">
        <w:trPr>
          <w:cantSplit/>
          <w:jc w:val="center"/>
        </w:trPr>
        <w:tc>
          <w:tcPr>
            <w:tcW w:w="1028" w:type="pct"/>
            <w:shd w:val="clear" w:color="auto" w:fill="FFFFFF"/>
            <w:tcMar>
              <w:top w:w="0" w:type="dxa"/>
              <w:left w:w="0" w:type="dxa"/>
              <w:bottom w:w="0" w:type="dxa"/>
              <w:right w:w="0" w:type="dxa"/>
            </w:tcMar>
            <w:vAlign w:val="center"/>
          </w:tcPr>
          <w:p w14:paraId="3B5C89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90" w:type="pct"/>
            <w:shd w:val="clear" w:color="auto" w:fill="FFFFFF"/>
            <w:tcMar>
              <w:top w:w="0" w:type="dxa"/>
              <w:left w:w="0" w:type="dxa"/>
              <w:bottom w:w="0" w:type="dxa"/>
              <w:right w:w="0" w:type="dxa"/>
            </w:tcMar>
            <w:vAlign w:val="center"/>
          </w:tcPr>
          <w:p w14:paraId="680964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3" w:type="pct"/>
            <w:shd w:val="clear" w:color="auto" w:fill="FFFFFF"/>
            <w:tcMar>
              <w:top w:w="0" w:type="dxa"/>
              <w:left w:w="0" w:type="dxa"/>
              <w:bottom w:w="0" w:type="dxa"/>
              <w:right w:w="0" w:type="dxa"/>
            </w:tcMar>
            <w:vAlign w:val="center"/>
          </w:tcPr>
          <w:p w14:paraId="4B6A8B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Bloating</w:t>
            </w:r>
          </w:p>
        </w:tc>
        <w:tc>
          <w:tcPr>
            <w:tcW w:w="291" w:type="pct"/>
            <w:shd w:val="clear" w:color="auto" w:fill="FFFFFF"/>
            <w:tcMar>
              <w:top w:w="0" w:type="dxa"/>
              <w:left w:w="0" w:type="dxa"/>
              <w:bottom w:w="0" w:type="dxa"/>
              <w:right w:w="0" w:type="dxa"/>
            </w:tcMar>
            <w:vAlign w:val="center"/>
          </w:tcPr>
          <w:p w14:paraId="51714D6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3847</w:t>
            </w:r>
          </w:p>
        </w:tc>
        <w:tc>
          <w:tcPr>
            <w:tcW w:w="299" w:type="pct"/>
            <w:shd w:val="clear" w:color="auto" w:fill="FFFFFF"/>
            <w:tcMar>
              <w:top w:w="0" w:type="dxa"/>
              <w:left w:w="0" w:type="dxa"/>
              <w:bottom w:w="0" w:type="dxa"/>
              <w:right w:w="0" w:type="dxa"/>
            </w:tcMar>
            <w:vAlign w:val="center"/>
          </w:tcPr>
          <w:p w14:paraId="02B3EB8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93" w:type="pct"/>
            <w:shd w:val="clear" w:color="auto" w:fill="FFFFFF"/>
            <w:tcMar>
              <w:top w:w="0" w:type="dxa"/>
              <w:left w:w="0" w:type="dxa"/>
              <w:bottom w:w="0" w:type="dxa"/>
              <w:right w:w="0" w:type="dxa"/>
            </w:tcMar>
            <w:vAlign w:val="center"/>
          </w:tcPr>
          <w:p w14:paraId="4B5F2B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bloating</w:t>
            </w:r>
          </w:p>
        </w:tc>
        <w:tc>
          <w:tcPr>
            <w:tcW w:w="652" w:type="pct"/>
            <w:shd w:val="clear" w:color="auto" w:fill="FFFFFF"/>
            <w:tcMar>
              <w:top w:w="0" w:type="dxa"/>
              <w:left w:w="0" w:type="dxa"/>
              <w:bottom w:w="0" w:type="dxa"/>
              <w:right w:w="0" w:type="dxa"/>
            </w:tcMar>
            <w:vAlign w:val="center"/>
          </w:tcPr>
          <w:p w14:paraId="1D14B3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40" w:type="pct"/>
            <w:shd w:val="clear" w:color="auto" w:fill="FFFFFF"/>
            <w:tcMar>
              <w:top w:w="0" w:type="dxa"/>
              <w:left w:w="0" w:type="dxa"/>
              <w:bottom w:w="0" w:type="dxa"/>
              <w:right w:w="0" w:type="dxa"/>
            </w:tcMar>
            <w:vAlign w:val="center"/>
          </w:tcPr>
          <w:p w14:paraId="3E3EE7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0E54E3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69A62630" w14:textId="52DD9A5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C8418F" w:rsidRPr="00734942" w14:paraId="0FE7D64C" w14:textId="77777777" w:rsidTr="00036665">
        <w:trPr>
          <w:cantSplit/>
          <w:jc w:val="center"/>
        </w:trPr>
        <w:tc>
          <w:tcPr>
            <w:tcW w:w="1028" w:type="pct"/>
            <w:shd w:val="clear" w:color="auto" w:fill="FFFFFF"/>
            <w:tcMar>
              <w:top w:w="0" w:type="dxa"/>
              <w:left w:w="0" w:type="dxa"/>
              <w:bottom w:w="0" w:type="dxa"/>
              <w:right w:w="0" w:type="dxa"/>
            </w:tcMar>
            <w:vAlign w:val="center"/>
          </w:tcPr>
          <w:p w14:paraId="654C2A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90" w:type="pct"/>
            <w:shd w:val="clear" w:color="auto" w:fill="FFFFFF"/>
            <w:tcMar>
              <w:top w:w="0" w:type="dxa"/>
              <w:left w:w="0" w:type="dxa"/>
              <w:bottom w:w="0" w:type="dxa"/>
              <w:right w:w="0" w:type="dxa"/>
            </w:tcMar>
            <w:vAlign w:val="center"/>
          </w:tcPr>
          <w:p w14:paraId="360325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3" w:type="pct"/>
            <w:shd w:val="clear" w:color="auto" w:fill="FFFFFF"/>
            <w:tcMar>
              <w:top w:w="0" w:type="dxa"/>
              <w:left w:w="0" w:type="dxa"/>
              <w:bottom w:w="0" w:type="dxa"/>
              <w:right w:w="0" w:type="dxa"/>
            </w:tcMar>
            <w:vAlign w:val="center"/>
          </w:tcPr>
          <w:p w14:paraId="31C2A4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Bloating</w:t>
            </w:r>
          </w:p>
        </w:tc>
        <w:tc>
          <w:tcPr>
            <w:tcW w:w="291" w:type="pct"/>
            <w:shd w:val="clear" w:color="auto" w:fill="FFFFFF"/>
            <w:tcMar>
              <w:top w:w="0" w:type="dxa"/>
              <w:left w:w="0" w:type="dxa"/>
              <w:bottom w:w="0" w:type="dxa"/>
              <w:right w:w="0" w:type="dxa"/>
            </w:tcMar>
            <w:vAlign w:val="center"/>
          </w:tcPr>
          <w:p w14:paraId="1324E62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1886</w:t>
            </w:r>
          </w:p>
        </w:tc>
        <w:tc>
          <w:tcPr>
            <w:tcW w:w="299" w:type="pct"/>
            <w:shd w:val="clear" w:color="auto" w:fill="FFFFFF"/>
            <w:tcMar>
              <w:top w:w="0" w:type="dxa"/>
              <w:left w:w="0" w:type="dxa"/>
              <w:bottom w:w="0" w:type="dxa"/>
              <w:right w:w="0" w:type="dxa"/>
            </w:tcMar>
            <w:vAlign w:val="center"/>
          </w:tcPr>
          <w:p w14:paraId="099F108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93" w:type="pct"/>
            <w:shd w:val="clear" w:color="auto" w:fill="FFFFFF"/>
            <w:tcMar>
              <w:top w:w="0" w:type="dxa"/>
              <w:left w:w="0" w:type="dxa"/>
              <w:bottom w:w="0" w:type="dxa"/>
              <w:right w:w="0" w:type="dxa"/>
            </w:tcMar>
            <w:vAlign w:val="center"/>
          </w:tcPr>
          <w:p w14:paraId="364A16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bloating</w:t>
            </w:r>
          </w:p>
        </w:tc>
        <w:tc>
          <w:tcPr>
            <w:tcW w:w="652" w:type="pct"/>
            <w:shd w:val="clear" w:color="auto" w:fill="FFFFFF"/>
            <w:tcMar>
              <w:top w:w="0" w:type="dxa"/>
              <w:left w:w="0" w:type="dxa"/>
              <w:bottom w:w="0" w:type="dxa"/>
              <w:right w:w="0" w:type="dxa"/>
            </w:tcMar>
            <w:vAlign w:val="center"/>
          </w:tcPr>
          <w:p w14:paraId="534D6E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40" w:type="pct"/>
            <w:shd w:val="clear" w:color="auto" w:fill="FFFFFF"/>
            <w:tcMar>
              <w:top w:w="0" w:type="dxa"/>
              <w:left w:w="0" w:type="dxa"/>
              <w:bottom w:w="0" w:type="dxa"/>
              <w:right w:w="0" w:type="dxa"/>
            </w:tcMar>
            <w:vAlign w:val="center"/>
          </w:tcPr>
          <w:p w14:paraId="5C87EF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16" w:type="pct"/>
            <w:shd w:val="clear" w:color="auto" w:fill="FFFFFF"/>
            <w:tcMar>
              <w:top w:w="0" w:type="dxa"/>
              <w:left w:w="0" w:type="dxa"/>
              <w:bottom w:w="0" w:type="dxa"/>
              <w:right w:w="0" w:type="dxa"/>
            </w:tcMar>
            <w:vAlign w:val="center"/>
          </w:tcPr>
          <w:p w14:paraId="660CAA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0EEC077C" w14:textId="69AC968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310</w:t>
            </w:r>
            <w:r w:rsidRPr="00734942">
              <w:rPr>
                <w:rFonts w:ascii="Arial" w:eastAsia="Arial" w:hAnsi="Arial" w:cs="Arial"/>
                <w:color w:val="111111"/>
                <w:sz w:val="18"/>
                <w:szCs w:val="18"/>
              </w:rPr>
              <w:fldChar w:fldCharType="end"/>
            </w:r>
          </w:p>
        </w:tc>
      </w:tr>
      <w:tr w:rsidR="00C8418F" w:rsidRPr="00734942" w14:paraId="66A8F874" w14:textId="77777777" w:rsidTr="00036665">
        <w:trPr>
          <w:cantSplit/>
          <w:jc w:val="center"/>
        </w:trPr>
        <w:tc>
          <w:tcPr>
            <w:tcW w:w="1028" w:type="pct"/>
            <w:shd w:val="clear" w:color="auto" w:fill="FFFFFF"/>
            <w:tcMar>
              <w:top w:w="0" w:type="dxa"/>
              <w:left w:w="0" w:type="dxa"/>
              <w:bottom w:w="0" w:type="dxa"/>
              <w:right w:w="0" w:type="dxa"/>
            </w:tcMar>
            <w:vAlign w:val="center"/>
          </w:tcPr>
          <w:p w14:paraId="4C14E8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90" w:type="pct"/>
            <w:shd w:val="clear" w:color="auto" w:fill="FFFFFF"/>
            <w:tcMar>
              <w:top w:w="0" w:type="dxa"/>
              <w:left w:w="0" w:type="dxa"/>
              <w:bottom w:w="0" w:type="dxa"/>
              <w:right w:w="0" w:type="dxa"/>
            </w:tcMar>
            <w:vAlign w:val="center"/>
          </w:tcPr>
          <w:p w14:paraId="592ADD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23" w:type="pct"/>
            <w:shd w:val="clear" w:color="auto" w:fill="FFFFFF"/>
            <w:tcMar>
              <w:top w:w="0" w:type="dxa"/>
              <w:left w:w="0" w:type="dxa"/>
              <w:bottom w:w="0" w:type="dxa"/>
              <w:right w:w="0" w:type="dxa"/>
            </w:tcMar>
            <w:vAlign w:val="center"/>
          </w:tcPr>
          <w:p w14:paraId="5C6EA4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Bloating</w:t>
            </w:r>
          </w:p>
        </w:tc>
        <w:tc>
          <w:tcPr>
            <w:tcW w:w="291" w:type="pct"/>
            <w:shd w:val="clear" w:color="auto" w:fill="FFFFFF"/>
            <w:tcMar>
              <w:top w:w="0" w:type="dxa"/>
              <w:left w:w="0" w:type="dxa"/>
              <w:bottom w:w="0" w:type="dxa"/>
              <w:right w:w="0" w:type="dxa"/>
            </w:tcMar>
            <w:vAlign w:val="center"/>
          </w:tcPr>
          <w:p w14:paraId="1BB209C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99" w:type="pct"/>
            <w:shd w:val="clear" w:color="auto" w:fill="FFFFFF"/>
            <w:tcMar>
              <w:top w:w="0" w:type="dxa"/>
              <w:left w:w="0" w:type="dxa"/>
              <w:bottom w:w="0" w:type="dxa"/>
              <w:right w:w="0" w:type="dxa"/>
            </w:tcMar>
            <w:vAlign w:val="center"/>
          </w:tcPr>
          <w:p w14:paraId="182CDB9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93" w:type="pct"/>
            <w:shd w:val="clear" w:color="auto" w:fill="FFFFFF"/>
            <w:tcMar>
              <w:top w:w="0" w:type="dxa"/>
              <w:left w:w="0" w:type="dxa"/>
              <w:bottom w:w="0" w:type="dxa"/>
              <w:right w:w="0" w:type="dxa"/>
            </w:tcMar>
            <w:vAlign w:val="center"/>
          </w:tcPr>
          <w:p w14:paraId="0BF156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bloating</w:t>
            </w:r>
          </w:p>
        </w:tc>
        <w:tc>
          <w:tcPr>
            <w:tcW w:w="652" w:type="pct"/>
            <w:shd w:val="clear" w:color="auto" w:fill="FFFFFF"/>
            <w:tcMar>
              <w:top w:w="0" w:type="dxa"/>
              <w:left w:w="0" w:type="dxa"/>
              <w:bottom w:w="0" w:type="dxa"/>
              <w:right w:w="0" w:type="dxa"/>
            </w:tcMar>
            <w:vAlign w:val="center"/>
          </w:tcPr>
          <w:p w14:paraId="447EDF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40" w:type="pct"/>
            <w:shd w:val="clear" w:color="auto" w:fill="FFFFFF"/>
            <w:tcMar>
              <w:top w:w="0" w:type="dxa"/>
              <w:left w:w="0" w:type="dxa"/>
              <w:bottom w:w="0" w:type="dxa"/>
              <w:right w:w="0" w:type="dxa"/>
            </w:tcMar>
            <w:vAlign w:val="center"/>
          </w:tcPr>
          <w:p w14:paraId="525312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16" w:type="pct"/>
            <w:shd w:val="clear" w:color="auto" w:fill="FFFFFF"/>
            <w:tcMar>
              <w:top w:w="0" w:type="dxa"/>
              <w:left w:w="0" w:type="dxa"/>
              <w:bottom w:w="0" w:type="dxa"/>
              <w:right w:w="0" w:type="dxa"/>
            </w:tcMar>
            <w:vAlign w:val="center"/>
          </w:tcPr>
          <w:p w14:paraId="57EEBA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C7D1C05" w14:textId="2AADA35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490292BF" w14:textId="77777777" w:rsidTr="00036665">
        <w:trPr>
          <w:cantSplit/>
          <w:jc w:val="center"/>
        </w:trPr>
        <w:tc>
          <w:tcPr>
            <w:tcW w:w="1028" w:type="pct"/>
            <w:shd w:val="clear" w:color="auto" w:fill="FFFFFF"/>
            <w:tcMar>
              <w:top w:w="0" w:type="dxa"/>
              <w:left w:w="0" w:type="dxa"/>
              <w:bottom w:w="0" w:type="dxa"/>
              <w:right w:w="0" w:type="dxa"/>
            </w:tcMar>
            <w:vAlign w:val="center"/>
          </w:tcPr>
          <w:p w14:paraId="7B50781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90" w:type="pct"/>
            <w:shd w:val="clear" w:color="auto" w:fill="FFFFFF"/>
            <w:tcMar>
              <w:top w:w="0" w:type="dxa"/>
              <w:left w:w="0" w:type="dxa"/>
              <w:bottom w:w="0" w:type="dxa"/>
              <w:right w:w="0" w:type="dxa"/>
            </w:tcMar>
            <w:vAlign w:val="center"/>
          </w:tcPr>
          <w:p w14:paraId="591C17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3" w:type="pct"/>
            <w:shd w:val="clear" w:color="auto" w:fill="FFFFFF"/>
            <w:tcMar>
              <w:top w:w="0" w:type="dxa"/>
              <w:left w:w="0" w:type="dxa"/>
              <w:bottom w:w="0" w:type="dxa"/>
              <w:right w:w="0" w:type="dxa"/>
            </w:tcMar>
            <w:vAlign w:val="center"/>
          </w:tcPr>
          <w:p w14:paraId="25BF2B4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distension</w:t>
            </w:r>
          </w:p>
        </w:tc>
        <w:tc>
          <w:tcPr>
            <w:tcW w:w="291" w:type="pct"/>
            <w:shd w:val="clear" w:color="auto" w:fill="FFFFFF"/>
            <w:tcMar>
              <w:top w:w="0" w:type="dxa"/>
              <w:left w:w="0" w:type="dxa"/>
              <w:bottom w:w="0" w:type="dxa"/>
              <w:right w:w="0" w:type="dxa"/>
            </w:tcMar>
            <w:vAlign w:val="center"/>
          </w:tcPr>
          <w:p w14:paraId="31EAF93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18598</w:t>
            </w:r>
          </w:p>
        </w:tc>
        <w:tc>
          <w:tcPr>
            <w:tcW w:w="299" w:type="pct"/>
            <w:shd w:val="clear" w:color="auto" w:fill="FFFFFF"/>
            <w:tcMar>
              <w:top w:w="0" w:type="dxa"/>
              <w:left w:w="0" w:type="dxa"/>
              <w:bottom w:w="0" w:type="dxa"/>
              <w:right w:w="0" w:type="dxa"/>
            </w:tcMar>
            <w:vAlign w:val="center"/>
          </w:tcPr>
          <w:p w14:paraId="1E685B7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93" w:type="pct"/>
            <w:shd w:val="clear" w:color="auto" w:fill="FFFFFF"/>
            <w:tcMar>
              <w:top w:w="0" w:type="dxa"/>
              <w:left w:w="0" w:type="dxa"/>
              <w:bottom w:w="0" w:type="dxa"/>
              <w:right w:w="0" w:type="dxa"/>
            </w:tcMar>
            <w:vAlign w:val="center"/>
          </w:tcPr>
          <w:p w14:paraId="248A01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abdominal distention</w:t>
            </w:r>
          </w:p>
        </w:tc>
        <w:tc>
          <w:tcPr>
            <w:tcW w:w="652" w:type="pct"/>
            <w:shd w:val="clear" w:color="auto" w:fill="FFFFFF"/>
            <w:tcMar>
              <w:top w:w="0" w:type="dxa"/>
              <w:left w:w="0" w:type="dxa"/>
              <w:bottom w:w="0" w:type="dxa"/>
              <w:right w:w="0" w:type="dxa"/>
            </w:tcMar>
            <w:vAlign w:val="center"/>
          </w:tcPr>
          <w:p w14:paraId="5D5FF6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40" w:type="pct"/>
            <w:shd w:val="clear" w:color="auto" w:fill="FFFFFF"/>
            <w:tcMar>
              <w:top w:w="0" w:type="dxa"/>
              <w:left w:w="0" w:type="dxa"/>
              <w:bottom w:w="0" w:type="dxa"/>
              <w:right w:w="0" w:type="dxa"/>
            </w:tcMar>
            <w:vAlign w:val="center"/>
          </w:tcPr>
          <w:p w14:paraId="45751A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389707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15145B63" w14:textId="26AB298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C8418F" w:rsidRPr="00734942" w14:paraId="0B3E49D6" w14:textId="77777777" w:rsidTr="00036665">
        <w:trPr>
          <w:cantSplit/>
          <w:jc w:val="center"/>
        </w:trPr>
        <w:tc>
          <w:tcPr>
            <w:tcW w:w="1028" w:type="pct"/>
            <w:tcBorders>
              <w:bottom w:val="single" w:sz="16" w:space="0" w:color="000000"/>
            </w:tcBorders>
            <w:shd w:val="clear" w:color="auto" w:fill="FFFFFF"/>
            <w:tcMar>
              <w:top w:w="0" w:type="dxa"/>
              <w:left w:w="0" w:type="dxa"/>
              <w:bottom w:w="0" w:type="dxa"/>
              <w:right w:w="0" w:type="dxa"/>
            </w:tcMar>
            <w:vAlign w:val="center"/>
          </w:tcPr>
          <w:p w14:paraId="02C482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90" w:type="pct"/>
            <w:tcBorders>
              <w:bottom w:val="single" w:sz="16" w:space="0" w:color="000000"/>
            </w:tcBorders>
            <w:shd w:val="clear" w:color="auto" w:fill="FFFFFF"/>
            <w:tcMar>
              <w:top w:w="0" w:type="dxa"/>
              <w:left w:w="0" w:type="dxa"/>
              <w:bottom w:w="0" w:type="dxa"/>
              <w:right w:w="0" w:type="dxa"/>
            </w:tcMar>
            <w:vAlign w:val="center"/>
          </w:tcPr>
          <w:p w14:paraId="47D13AE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3" w:type="pct"/>
            <w:tcBorders>
              <w:bottom w:val="single" w:sz="16" w:space="0" w:color="000000"/>
            </w:tcBorders>
            <w:shd w:val="clear" w:color="auto" w:fill="FFFFFF"/>
            <w:tcMar>
              <w:top w:w="0" w:type="dxa"/>
              <w:left w:w="0" w:type="dxa"/>
              <w:bottom w:w="0" w:type="dxa"/>
              <w:right w:w="0" w:type="dxa"/>
            </w:tcMar>
            <w:vAlign w:val="center"/>
          </w:tcPr>
          <w:p w14:paraId="40CDAE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Abdominal distension</w:t>
            </w:r>
          </w:p>
        </w:tc>
        <w:tc>
          <w:tcPr>
            <w:tcW w:w="291" w:type="pct"/>
            <w:tcBorders>
              <w:bottom w:val="single" w:sz="16" w:space="0" w:color="000000"/>
            </w:tcBorders>
            <w:shd w:val="clear" w:color="auto" w:fill="FFFFFF"/>
            <w:tcMar>
              <w:top w:w="0" w:type="dxa"/>
              <w:left w:w="0" w:type="dxa"/>
              <w:bottom w:w="0" w:type="dxa"/>
              <w:right w:w="0" w:type="dxa"/>
            </w:tcMar>
            <w:vAlign w:val="center"/>
          </w:tcPr>
          <w:p w14:paraId="2DA860E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5733</w:t>
            </w:r>
          </w:p>
        </w:tc>
        <w:tc>
          <w:tcPr>
            <w:tcW w:w="299" w:type="pct"/>
            <w:tcBorders>
              <w:bottom w:val="single" w:sz="16" w:space="0" w:color="000000"/>
            </w:tcBorders>
            <w:shd w:val="clear" w:color="auto" w:fill="FFFFFF"/>
            <w:tcMar>
              <w:top w:w="0" w:type="dxa"/>
              <w:left w:w="0" w:type="dxa"/>
              <w:bottom w:w="0" w:type="dxa"/>
              <w:right w:w="0" w:type="dxa"/>
            </w:tcMar>
            <w:vAlign w:val="center"/>
          </w:tcPr>
          <w:p w14:paraId="2F9AAD0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93" w:type="pct"/>
            <w:tcBorders>
              <w:bottom w:val="single" w:sz="16" w:space="0" w:color="000000"/>
            </w:tcBorders>
            <w:shd w:val="clear" w:color="auto" w:fill="FFFFFF"/>
            <w:tcMar>
              <w:top w:w="0" w:type="dxa"/>
              <w:left w:w="0" w:type="dxa"/>
              <w:bottom w:w="0" w:type="dxa"/>
              <w:right w:w="0" w:type="dxa"/>
            </w:tcMar>
            <w:vAlign w:val="center"/>
          </w:tcPr>
          <w:p w14:paraId="5BECAB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abdominal extension</w:t>
            </w:r>
          </w:p>
        </w:tc>
        <w:tc>
          <w:tcPr>
            <w:tcW w:w="652" w:type="pct"/>
            <w:tcBorders>
              <w:bottom w:val="single" w:sz="16" w:space="0" w:color="000000"/>
            </w:tcBorders>
            <w:shd w:val="clear" w:color="auto" w:fill="FFFFFF"/>
            <w:tcMar>
              <w:top w:w="0" w:type="dxa"/>
              <w:left w:w="0" w:type="dxa"/>
              <w:bottom w:w="0" w:type="dxa"/>
              <w:right w:w="0" w:type="dxa"/>
            </w:tcMar>
            <w:vAlign w:val="center"/>
          </w:tcPr>
          <w:p w14:paraId="218E65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40" w:type="pct"/>
            <w:tcBorders>
              <w:bottom w:val="single" w:sz="16" w:space="0" w:color="000000"/>
            </w:tcBorders>
            <w:shd w:val="clear" w:color="auto" w:fill="FFFFFF"/>
            <w:tcMar>
              <w:top w:w="0" w:type="dxa"/>
              <w:left w:w="0" w:type="dxa"/>
              <w:bottom w:w="0" w:type="dxa"/>
              <w:right w:w="0" w:type="dxa"/>
            </w:tcMar>
            <w:vAlign w:val="center"/>
          </w:tcPr>
          <w:p w14:paraId="6EE309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tcBorders>
              <w:bottom w:val="single" w:sz="16" w:space="0" w:color="000000"/>
            </w:tcBorders>
            <w:shd w:val="clear" w:color="auto" w:fill="FFFFFF"/>
            <w:tcMar>
              <w:top w:w="0" w:type="dxa"/>
              <w:left w:w="0" w:type="dxa"/>
              <w:bottom w:w="0" w:type="dxa"/>
              <w:right w:w="0" w:type="dxa"/>
            </w:tcMar>
            <w:vAlign w:val="center"/>
          </w:tcPr>
          <w:p w14:paraId="16E264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tcBorders>
              <w:bottom w:val="single" w:sz="16" w:space="0" w:color="000000"/>
            </w:tcBorders>
            <w:shd w:val="clear" w:color="auto" w:fill="FFFFFF"/>
            <w:tcMar>
              <w:top w:w="0" w:type="dxa"/>
              <w:left w:w="0" w:type="dxa"/>
              <w:bottom w:w="0" w:type="dxa"/>
              <w:right w:w="0" w:type="dxa"/>
            </w:tcMar>
            <w:vAlign w:val="center"/>
          </w:tcPr>
          <w:p w14:paraId="06231737" w14:textId="171796C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PEVuZE5vdGU+PENpdGUgRXhjbHVkZUF1dGg9IjEiIEV4Y2x1ZGVZZWFyPSIxIj48QXV0aG9yPk5l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PEVuZE5vdGU+PENpdGUgRXhjbHVkZUF1dGg9IjEiIEV4Y2x1ZGVZZWFyPSIxIj48QXV0aG9yPk5l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341</w:t>
            </w:r>
            <w:r w:rsidRPr="00734942">
              <w:rPr>
                <w:rFonts w:ascii="Arial" w:eastAsia="Arial" w:hAnsi="Arial" w:cs="Arial"/>
                <w:color w:val="111111"/>
                <w:sz w:val="18"/>
                <w:szCs w:val="18"/>
              </w:rPr>
              <w:fldChar w:fldCharType="end"/>
            </w:r>
          </w:p>
        </w:tc>
      </w:tr>
    </w:tbl>
    <w:p w14:paraId="6FA35AB3" w14:textId="77777777" w:rsidR="007B756D" w:rsidRPr="00734942" w:rsidRDefault="007B756D" w:rsidP="007B756D"/>
    <w:p w14:paraId="3AB2A95A" w14:textId="2A3D9CA4" w:rsidR="00036665" w:rsidRDefault="00036665" w:rsidP="000526F1">
      <w:pPr>
        <w:pStyle w:val="Caption"/>
      </w:pPr>
      <w:bookmarkStart w:id="368" w:name="_Toc99720741"/>
      <w:r>
        <w:t xml:space="preserve">Table </w:t>
      </w:r>
      <w:r w:rsidR="00C34531">
        <w:fldChar w:fldCharType="begin"/>
      </w:r>
      <w:r w:rsidR="00C34531">
        <w:instrText xml:space="preserve"> SEQ Table \* ARABIC </w:instrText>
      </w:r>
      <w:r w:rsidR="00C34531">
        <w:fldChar w:fldCharType="separate"/>
      </w:r>
      <w:r w:rsidR="008B5583">
        <w:rPr>
          <w:noProof/>
        </w:rPr>
        <w:t>30</w:t>
      </w:r>
      <w:r w:rsidR="00C34531">
        <w:rPr>
          <w:noProof/>
        </w:rPr>
        <w:fldChar w:fldCharType="end"/>
      </w:r>
      <w:r>
        <w:t xml:space="preserve">  </w:t>
      </w:r>
      <w:r w:rsidRPr="00F031FB">
        <w:t>Study characteristics: Constipation</w:t>
      </w:r>
      <w:bookmarkEnd w:id="368"/>
    </w:p>
    <w:tbl>
      <w:tblPr>
        <w:tblW w:w="5000" w:type="pct"/>
        <w:jc w:val="center"/>
        <w:tblLook w:val="0420" w:firstRow="1" w:lastRow="0" w:firstColumn="0" w:lastColumn="0" w:noHBand="0" w:noVBand="1"/>
      </w:tblPr>
      <w:tblGrid>
        <w:gridCol w:w="2023"/>
        <w:gridCol w:w="1523"/>
        <w:gridCol w:w="1266"/>
        <w:gridCol w:w="842"/>
        <w:gridCol w:w="1004"/>
        <w:gridCol w:w="1703"/>
        <w:gridCol w:w="2024"/>
        <w:gridCol w:w="1371"/>
        <w:gridCol w:w="1171"/>
        <w:gridCol w:w="1031"/>
      </w:tblGrid>
      <w:tr w:rsidR="007B756D" w:rsidRPr="00734942" w14:paraId="35D4F15E" w14:textId="77777777" w:rsidTr="006658D1">
        <w:trPr>
          <w:cantSplit/>
          <w:tblHeader/>
          <w:jc w:val="center"/>
        </w:trPr>
        <w:tc>
          <w:tcPr>
            <w:tcW w:w="72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81C1B0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4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946576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5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A92EA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0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141986F"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6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C81AC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1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5D2AD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2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E55E4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02A2C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D03B0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18B3D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5AECD7AA" w14:textId="77777777" w:rsidTr="006658D1">
        <w:trPr>
          <w:cantSplit/>
          <w:jc w:val="center"/>
        </w:trPr>
        <w:tc>
          <w:tcPr>
            <w:tcW w:w="725" w:type="pct"/>
            <w:shd w:val="clear" w:color="auto" w:fill="FFFFFF"/>
            <w:tcMar>
              <w:top w:w="0" w:type="dxa"/>
              <w:left w:w="0" w:type="dxa"/>
              <w:bottom w:w="0" w:type="dxa"/>
              <w:right w:w="0" w:type="dxa"/>
            </w:tcMar>
            <w:vAlign w:val="center"/>
          </w:tcPr>
          <w:p w14:paraId="453C65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6" w:type="pct"/>
            <w:shd w:val="clear" w:color="auto" w:fill="FFFFFF"/>
            <w:tcMar>
              <w:top w:w="0" w:type="dxa"/>
              <w:left w:w="0" w:type="dxa"/>
              <w:bottom w:w="0" w:type="dxa"/>
              <w:right w:w="0" w:type="dxa"/>
            </w:tcMar>
            <w:vAlign w:val="center"/>
          </w:tcPr>
          <w:p w14:paraId="390770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6D71C3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4055547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3196</w:t>
            </w:r>
          </w:p>
        </w:tc>
        <w:tc>
          <w:tcPr>
            <w:tcW w:w="360" w:type="pct"/>
            <w:shd w:val="clear" w:color="auto" w:fill="FFFFFF"/>
            <w:tcMar>
              <w:top w:w="0" w:type="dxa"/>
              <w:left w:w="0" w:type="dxa"/>
              <w:bottom w:w="0" w:type="dxa"/>
              <w:right w:w="0" w:type="dxa"/>
            </w:tcMar>
            <w:vAlign w:val="center"/>
          </w:tcPr>
          <w:p w14:paraId="24964BA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10" w:type="pct"/>
            <w:shd w:val="clear" w:color="auto" w:fill="FFFFFF"/>
            <w:tcMar>
              <w:top w:w="0" w:type="dxa"/>
              <w:left w:w="0" w:type="dxa"/>
              <w:bottom w:w="0" w:type="dxa"/>
              <w:right w:w="0" w:type="dxa"/>
            </w:tcMar>
            <w:vAlign w:val="center"/>
          </w:tcPr>
          <w:p w14:paraId="34E0E0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constipation</w:t>
            </w:r>
          </w:p>
        </w:tc>
        <w:tc>
          <w:tcPr>
            <w:tcW w:w="725" w:type="pct"/>
            <w:shd w:val="clear" w:color="auto" w:fill="FFFFFF"/>
            <w:tcMar>
              <w:top w:w="0" w:type="dxa"/>
              <w:left w:w="0" w:type="dxa"/>
              <w:bottom w:w="0" w:type="dxa"/>
              <w:right w:w="0" w:type="dxa"/>
            </w:tcMar>
            <w:vAlign w:val="center"/>
          </w:tcPr>
          <w:p w14:paraId="321C9C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1" w:type="pct"/>
            <w:shd w:val="clear" w:color="auto" w:fill="FFFFFF"/>
            <w:tcMar>
              <w:top w:w="0" w:type="dxa"/>
              <w:left w:w="0" w:type="dxa"/>
              <w:bottom w:w="0" w:type="dxa"/>
              <w:right w:w="0" w:type="dxa"/>
            </w:tcMar>
            <w:vAlign w:val="center"/>
          </w:tcPr>
          <w:p w14:paraId="0E9F0D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06D42F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152C2DFC" w14:textId="500F085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7B756D" w:rsidRPr="00734942" w14:paraId="7298DC94" w14:textId="77777777" w:rsidTr="006658D1">
        <w:trPr>
          <w:cantSplit/>
          <w:jc w:val="center"/>
        </w:trPr>
        <w:tc>
          <w:tcPr>
            <w:tcW w:w="725" w:type="pct"/>
            <w:shd w:val="clear" w:color="auto" w:fill="FFFFFF"/>
            <w:tcMar>
              <w:top w:w="0" w:type="dxa"/>
              <w:left w:w="0" w:type="dxa"/>
              <w:bottom w:w="0" w:type="dxa"/>
              <w:right w:w="0" w:type="dxa"/>
            </w:tcMar>
            <w:vAlign w:val="center"/>
          </w:tcPr>
          <w:p w14:paraId="4B1A7A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6" w:type="pct"/>
            <w:shd w:val="clear" w:color="auto" w:fill="FFFFFF"/>
            <w:tcMar>
              <w:top w:w="0" w:type="dxa"/>
              <w:left w:w="0" w:type="dxa"/>
              <w:bottom w:w="0" w:type="dxa"/>
              <w:right w:w="0" w:type="dxa"/>
            </w:tcMar>
            <w:vAlign w:val="center"/>
          </w:tcPr>
          <w:p w14:paraId="51E0806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2CABF0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5B325D3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2976</w:t>
            </w:r>
          </w:p>
        </w:tc>
        <w:tc>
          <w:tcPr>
            <w:tcW w:w="360" w:type="pct"/>
            <w:shd w:val="clear" w:color="auto" w:fill="FFFFFF"/>
            <w:tcMar>
              <w:top w:w="0" w:type="dxa"/>
              <w:left w:w="0" w:type="dxa"/>
              <w:bottom w:w="0" w:type="dxa"/>
              <w:right w:w="0" w:type="dxa"/>
            </w:tcMar>
            <w:vAlign w:val="center"/>
          </w:tcPr>
          <w:p w14:paraId="362F9B0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5B5AC89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constipation</w:t>
            </w:r>
          </w:p>
        </w:tc>
        <w:tc>
          <w:tcPr>
            <w:tcW w:w="725" w:type="pct"/>
            <w:shd w:val="clear" w:color="auto" w:fill="FFFFFF"/>
            <w:tcMar>
              <w:top w:w="0" w:type="dxa"/>
              <w:left w:w="0" w:type="dxa"/>
              <w:bottom w:w="0" w:type="dxa"/>
              <w:right w:w="0" w:type="dxa"/>
            </w:tcMar>
            <w:vAlign w:val="center"/>
          </w:tcPr>
          <w:p w14:paraId="44CDFE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1" w:type="pct"/>
            <w:shd w:val="clear" w:color="auto" w:fill="FFFFFF"/>
            <w:tcMar>
              <w:top w:w="0" w:type="dxa"/>
              <w:left w:w="0" w:type="dxa"/>
              <w:bottom w:w="0" w:type="dxa"/>
              <w:right w:w="0" w:type="dxa"/>
            </w:tcMar>
            <w:vAlign w:val="center"/>
          </w:tcPr>
          <w:p w14:paraId="2D9837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4398F0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5D3FC5EC" w14:textId="3EEA124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ExcludeYear="1"&gt;&lt;Author&gt;Oliveira&lt;/Author&gt;&lt;Year&gt;2007&lt;/Year&gt;&lt;RecNum&gt;126&lt;/RecNum&gt;&lt;DisplayText&gt;&lt;style face="superscript"&gt;300&lt;/style&gt;&lt;/DisplayText&gt;&lt;record&gt;&lt;rec-number&gt;126&lt;/rec-number&gt;&lt;foreign-keys&gt;&lt;key app="EN" db-id="tdwrx9xd1z9eepeevr355w2k959rv0f5zaax" timestamp="1632756120"&gt;126&lt;/key&gt;&lt;/foreign-keys&gt;&lt;ref-type name="Journal Article"&gt;17&lt;/ref-type&gt;&lt;contributors&gt;&lt;authors&gt;&lt;author&gt;Oliveira, R. P.&lt;/author&gt;&lt;author&gt;Sdepanian, V. L.&lt;/author&gt;&lt;author&gt;Barreto, J. A.&lt;/author&gt;&lt;author&gt;Cortez, A. J. P.&lt;/author&gt;&lt;author&gt;Carvalho, F. O.&lt;/author&gt;&lt;author&gt;Bordin, J. O.&lt;/author&gt;&lt;author&gt;Soares, M. A. D.&lt;/author&gt;&lt;author&gt;Patricio, F. R. D.&lt;/author&gt;&lt;author&gt;Kawakami, E.&lt;/author&gt;&lt;author&gt;de Morais, M. B.&lt;/author&gt;&lt;author&gt;Fagundes-Neto, U.&lt;/author&gt;&lt;/authors&gt;&lt;/contributors&gt;&lt;titles&gt;&lt;title&gt;High prevalence of celiac disease in Brazilian blood donor volunteers based on screening by IgA antitissue transglutaminase antibody&lt;/title&gt;&lt;secondary-title&gt;European Journal of Gastroenterology &amp;amp; Hepatology&lt;/secondary-title&gt;&lt;/titles&gt;&lt;periodical&gt;&lt;full-title&gt;European journal of gastroenterology &amp;amp; hepatology&lt;/full-title&gt;&lt;/periodical&gt;&lt;pages&gt;43-49&lt;/pages&gt;&lt;volume&gt;19&lt;/volume&gt;&lt;number&gt;1&lt;/number&gt;&lt;dates&gt;&lt;year&gt;2007&lt;/year&gt;&lt;pub-dates&gt;&lt;date&gt;Jan&lt;/date&gt;&lt;/pub-dates&gt;&lt;/dates&gt;&lt;isbn&gt;0954-691X&lt;/isbn&gt;&lt;accession-num&gt;WOS:000245597100007&lt;/accession-num&gt;&lt;urls&gt;&lt;related-urls&gt;&lt;url&gt;&amp;lt;Go to ISI&amp;gt;://WOS:000245597100007&lt;/url&gt;&lt;/related-urls&gt;&lt;/urls&gt;&lt;electronic-resource-num&gt;10.1097/01.meg.0000250586.61232.a3&lt;/electronic-resource-num&gt;&lt;remote-database-name&gt;Web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300</w:t>
            </w:r>
            <w:r w:rsidRPr="00734942">
              <w:rPr>
                <w:rFonts w:ascii="Arial" w:eastAsia="Arial" w:hAnsi="Arial" w:cs="Arial"/>
                <w:color w:val="111111"/>
                <w:sz w:val="18"/>
                <w:szCs w:val="18"/>
              </w:rPr>
              <w:fldChar w:fldCharType="end"/>
            </w:r>
          </w:p>
        </w:tc>
      </w:tr>
      <w:tr w:rsidR="007B756D" w:rsidRPr="00734942" w14:paraId="796ECB94" w14:textId="77777777" w:rsidTr="006658D1">
        <w:trPr>
          <w:cantSplit/>
          <w:jc w:val="center"/>
        </w:trPr>
        <w:tc>
          <w:tcPr>
            <w:tcW w:w="725" w:type="pct"/>
            <w:shd w:val="clear" w:color="auto" w:fill="FFFFFF"/>
            <w:tcMar>
              <w:top w:w="0" w:type="dxa"/>
              <w:left w:w="0" w:type="dxa"/>
              <w:bottom w:w="0" w:type="dxa"/>
              <w:right w:w="0" w:type="dxa"/>
            </w:tcMar>
            <w:vAlign w:val="center"/>
          </w:tcPr>
          <w:p w14:paraId="6D52FE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6" w:type="pct"/>
            <w:shd w:val="clear" w:color="auto" w:fill="FFFFFF"/>
            <w:tcMar>
              <w:top w:w="0" w:type="dxa"/>
              <w:left w:w="0" w:type="dxa"/>
              <w:bottom w:w="0" w:type="dxa"/>
              <w:right w:w="0" w:type="dxa"/>
            </w:tcMar>
            <w:vAlign w:val="center"/>
          </w:tcPr>
          <w:p w14:paraId="23FC00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159F84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23AD1CF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3847</w:t>
            </w:r>
          </w:p>
        </w:tc>
        <w:tc>
          <w:tcPr>
            <w:tcW w:w="360" w:type="pct"/>
            <w:shd w:val="clear" w:color="auto" w:fill="FFFFFF"/>
            <w:tcMar>
              <w:top w:w="0" w:type="dxa"/>
              <w:left w:w="0" w:type="dxa"/>
              <w:bottom w:w="0" w:type="dxa"/>
              <w:right w:w="0" w:type="dxa"/>
            </w:tcMar>
            <w:vAlign w:val="center"/>
          </w:tcPr>
          <w:p w14:paraId="433E1B3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40A69F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constipation</w:t>
            </w:r>
          </w:p>
        </w:tc>
        <w:tc>
          <w:tcPr>
            <w:tcW w:w="725" w:type="pct"/>
            <w:shd w:val="clear" w:color="auto" w:fill="FFFFFF"/>
            <w:tcMar>
              <w:top w:w="0" w:type="dxa"/>
              <w:left w:w="0" w:type="dxa"/>
              <w:bottom w:w="0" w:type="dxa"/>
              <w:right w:w="0" w:type="dxa"/>
            </w:tcMar>
            <w:vAlign w:val="center"/>
          </w:tcPr>
          <w:p w14:paraId="533E733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1" w:type="pct"/>
            <w:shd w:val="clear" w:color="auto" w:fill="FFFFFF"/>
            <w:tcMar>
              <w:top w:w="0" w:type="dxa"/>
              <w:left w:w="0" w:type="dxa"/>
              <w:bottom w:w="0" w:type="dxa"/>
              <w:right w:w="0" w:type="dxa"/>
            </w:tcMar>
            <w:vAlign w:val="center"/>
          </w:tcPr>
          <w:p w14:paraId="1DD69F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4DC33C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55F37F7D" w14:textId="6ADAB2D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7B756D" w:rsidRPr="00734942" w14:paraId="0E29E49C" w14:textId="77777777" w:rsidTr="006658D1">
        <w:trPr>
          <w:cantSplit/>
          <w:jc w:val="center"/>
        </w:trPr>
        <w:tc>
          <w:tcPr>
            <w:tcW w:w="725" w:type="pct"/>
            <w:shd w:val="clear" w:color="auto" w:fill="FFFFFF"/>
            <w:tcMar>
              <w:top w:w="0" w:type="dxa"/>
              <w:left w:w="0" w:type="dxa"/>
              <w:bottom w:w="0" w:type="dxa"/>
              <w:right w:w="0" w:type="dxa"/>
            </w:tcMar>
            <w:vAlign w:val="center"/>
          </w:tcPr>
          <w:p w14:paraId="2A84DF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6" w:type="pct"/>
            <w:shd w:val="clear" w:color="auto" w:fill="FFFFFF"/>
            <w:tcMar>
              <w:top w:w="0" w:type="dxa"/>
              <w:left w:w="0" w:type="dxa"/>
              <w:bottom w:w="0" w:type="dxa"/>
              <w:right w:w="0" w:type="dxa"/>
            </w:tcMar>
            <w:vAlign w:val="center"/>
          </w:tcPr>
          <w:p w14:paraId="46812E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64F1A9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25F3882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1886</w:t>
            </w:r>
          </w:p>
        </w:tc>
        <w:tc>
          <w:tcPr>
            <w:tcW w:w="360" w:type="pct"/>
            <w:shd w:val="clear" w:color="auto" w:fill="FFFFFF"/>
            <w:tcMar>
              <w:top w:w="0" w:type="dxa"/>
              <w:left w:w="0" w:type="dxa"/>
              <w:bottom w:w="0" w:type="dxa"/>
              <w:right w:w="0" w:type="dxa"/>
            </w:tcMar>
            <w:vAlign w:val="center"/>
          </w:tcPr>
          <w:p w14:paraId="0ABAF61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10" w:type="pct"/>
            <w:shd w:val="clear" w:color="auto" w:fill="FFFFFF"/>
            <w:tcMar>
              <w:top w:w="0" w:type="dxa"/>
              <w:left w:w="0" w:type="dxa"/>
              <w:bottom w:w="0" w:type="dxa"/>
              <w:right w:w="0" w:type="dxa"/>
            </w:tcMar>
            <w:vAlign w:val="center"/>
          </w:tcPr>
          <w:p w14:paraId="4180AE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constipation</w:t>
            </w:r>
          </w:p>
        </w:tc>
        <w:tc>
          <w:tcPr>
            <w:tcW w:w="725" w:type="pct"/>
            <w:shd w:val="clear" w:color="auto" w:fill="FFFFFF"/>
            <w:tcMar>
              <w:top w:w="0" w:type="dxa"/>
              <w:left w:w="0" w:type="dxa"/>
              <w:bottom w:w="0" w:type="dxa"/>
              <w:right w:w="0" w:type="dxa"/>
            </w:tcMar>
            <w:vAlign w:val="center"/>
          </w:tcPr>
          <w:p w14:paraId="00AD50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91" w:type="pct"/>
            <w:shd w:val="clear" w:color="auto" w:fill="FFFFFF"/>
            <w:tcMar>
              <w:top w:w="0" w:type="dxa"/>
              <w:left w:w="0" w:type="dxa"/>
              <w:bottom w:w="0" w:type="dxa"/>
              <w:right w:w="0" w:type="dxa"/>
            </w:tcMar>
            <w:vAlign w:val="center"/>
          </w:tcPr>
          <w:p w14:paraId="14023C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419" w:type="pct"/>
            <w:shd w:val="clear" w:color="auto" w:fill="FFFFFF"/>
            <w:tcMar>
              <w:top w:w="0" w:type="dxa"/>
              <w:left w:w="0" w:type="dxa"/>
              <w:bottom w:w="0" w:type="dxa"/>
              <w:right w:w="0" w:type="dxa"/>
            </w:tcMar>
            <w:vAlign w:val="center"/>
          </w:tcPr>
          <w:p w14:paraId="34D85E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6BB15C2C" w14:textId="4169970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310</w:t>
            </w:r>
            <w:r w:rsidRPr="00734942">
              <w:rPr>
                <w:rFonts w:ascii="Arial" w:eastAsia="Arial" w:hAnsi="Arial" w:cs="Arial"/>
                <w:color w:val="111111"/>
                <w:sz w:val="18"/>
                <w:szCs w:val="18"/>
              </w:rPr>
              <w:fldChar w:fldCharType="end"/>
            </w:r>
          </w:p>
        </w:tc>
      </w:tr>
      <w:tr w:rsidR="007B756D" w:rsidRPr="00734942" w14:paraId="7B941FD2" w14:textId="77777777" w:rsidTr="006658D1">
        <w:trPr>
          <w:cantSplit/>
          <w:jc w:val="center"/>
        </w:trPr>
        <w:tc>
          <w:tcPr>
            <w:tcW w:w="725" w:type="pct"/>
            <w:shd w:val="clear" w:color="auto" w:fill="FFFFFF"/>
            <w:tcMar>
              <w:top w:w="0" w:type="dxa"/>
              <w:left w:w="0" w:type="dxa"/>
              <w:bottom w:w="0" w:type="dxa"/>
              <w:right w:w="0" w:type="dxa"/>
            </w:tcMar>
            <w:vAlign w:val="center"/>
          </w:tcPr>
          <w:p w14:paraId="7833DD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6" w:type="pct"/>
            <w:shd w:val="clear" w:color="auto" w:fill="FFFFFF"/>
            <w:tcMar>
              <w:top w:w="0" w:type="dxa"/>
              <w:left w:w="0" w:type="dxa"/>
              <w:bottom w:w="0" w:type="dxa"/>
              <w:right w:w="0" w:type="dxa"/>
            </w:tcMar>
            <w:vAlign w:val="center"/>
          </w:tcPr>
          <w:p w14:paraId="78CB5D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54" w:type="pct"/>
            <w:shd w:val="clear" w:color="auto" w:fill="FFFFFF"/>
            <w:tcMar>
              <w:top w:w="0" w:type="dxa"/>
              <w:left w:w="0" w:type="dxa"/>
              <w:bottom w:w="0" w:type="dxa"/>
              <w:right w:w="0" w:type="dxa"/>
            </w:tcMar>
            <w:vAlign w:val="center"/>
          </w:tcPr>
          <w:p w14:paraId="2CD1F8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0E2A57C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60" w:type="pct"/>
            <w:shd w:val="clear" w:color="auto" w:fill="FFFFFF"/>
            <w:tcMar>
              <w:top w:w="0" w:type="dxa"/>
              <w:left w:w="0" w:type="dxa"/>
              <w:bottom w:w="0" w:type="dxa"/>
              <w:right w:w="0" w:type="dxa"/>
            </w:tcMar>
            <w:vAlign w:val="center"/>
          </w:tcPr>
          <w:p w14:paraId="09760BB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10AC3B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constipation</w:t>
            </w:r>
          </w:p>
        </w:tc>
        <w:tc>
          <w:tcPr>
            <w:tcW w:w="725" w:type="pct"/>
            <w:shd w:val="clear" w:color="auto" w:fill="FFFFFF"/>
            <w:tcMar>
              <w:top w:w="0" w:type="dxa"/>
              <w:left w:w="0" w:type="dxa"/>
              <w:bottom w:w="0" w:type="dxa"/>
              <w:right w:w="0" w:type="dxa"/>
            </w:tcMar>
            <w:vAlign w:val="center"/>
          </w:tcPr>
          <w:p w14:paraId="3A767D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1" w:type="pct"/>
            <w:shd w:val="clear" w:color="auto" w:fill="FFFFFF"/>
            <w:tcMar>
              <w:top w:w="0" w:type="dxa"/>
              <w:left w:w="0" w:type="dxa"/>
              <w:bottom w:w="0" w:type="dxa"/>
              <w:right w:w="0" w:type="dxa"/>
            </w:tcMar>
            <w:vAlign w:val="center"/>
          </w:tcPr>
          <w:p w14:paraId="6EB0BE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419" w:type="pct"/>
            <w:shd w:val="clear" w:color="auto" w:fill="FFFFFF"/>
            <w:tcMar>
              <w:top w:w="0" w:type="dxa"/>
              <w:left w:w="0" w:type="dxa"/>
              <w:bottom w:w="0" w:type="dxa"/>
              <w:right w:w="0" w:type="dxa"/>
            </w:tcMar>
            <w:vAlign w:val="center"/>
          </w:tcPr>
          <w:p w14:paraId="0D87EB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26F86D3" w14:textId="5771A49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1066B957" w14:textId="77777777" w:rsidTr="006658D1">
        <w:trPr>
          <w:cantSplit/>
          <w:jc w:val="center"/>
        </w:trPr>
        <w:tc>
          <w:tcPr>
            <w:tcW w:w="725" w:type="pct"/>
            <w:shd w:val="clear" w:color="auto" w:fill="FFFFFF"/>
            <w:tcMar>
              <w:top w:w="0" w:type="dxa"/>
              <w:left w:w="0" w:type="dxa"/>
              <w:bottom w:w="0" w:type="dxa"/>
              <w:right w:w="0" w:type="dxa"/>
            </w:tcMar>
            <w:vAlign w:val="center"/>
          </w:tcPr>
          <w:p w14:paraId="7C95AC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6" w:type="pct"/>
            <w:shd w:val="clear" w:color="auto" w:fill="FFFFFF"/>
            <w:tcMar>
              <w:top w:w="0" w:type="dxa"/>
              <w:left w:w="0" w:type="dxa"/>
              <w:bottom w:w="0" w:type="dxa"/>
              <w:right w:w="0" w:type="dxa"/>
            </w:tcMar>
            <w:vAlign w:val="center"/>
          </w:tcPr>
          <w:p w14:paraId="1518FB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4" w:type="pct"/>
            <w:shd w:val="clear" w:color="auto" w:fill="FFFFFF"/>
            <w:tcMar>
              <w:top w:w="0" w:type="dxa"/>
              <w:left w:w="0" w:type="dxa"/>
              <w:bottom w:w="0" w:type="dxa"/>
              <w:right w:w="0" w:type="dxa"/>
            </w:tcMar>
            <w:vAlign w:val="center"/>
          </w:tcPr>
          <w:p w14:paraId="7A7969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Chronic constipation</w:t>
            </w:r>
          </w:p>
        </w:tc>
        <w:tc>
          <w:tcPr>
            <w:tcW w:w="302" w:type="pct"/>
            <w:shd w:val="clear" w:color="auto" w:fill="FFFFFF"/>
            <w:tcMar>
              <w:top w:w="0" w:type="dxa"/>
              <w:left w:w="0" w:type="dxa"/>
              <w:bottom w:w="0" w:type="dxa"/>
              <w:right w:w="0" w:type="dxa"/>
            </w:tcMar>
            <w:vAlign w:val="center"/>
          </w:tcPr>
          <w:p w14:paraId="1EE2D77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1303</w:t>
            </w:r>
          </w:p>
        </w:tc>
        <w:tc>
          <w:tcPr>
            <w:tcW w:w="360" w:type="pct"/>
            <w:shd w:val="clear" w:color="auto" w:fill="FFFFFF"/>
            <w:tcMar>
              <w:top w:w="0" w:type="dxa"/>
              <w:left w:w="0" w:type="dxa"/>
              <w:bottom w:w="0" w:type="dxa"/>
              <w:right w:w="0" w:type="dxa"/>
            </w:tcMar>
            <w:vAlign w:val="center"/>
          </w:tcPr>
          <w:p w14:paraId="7F71971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43BD84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588C34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1" w:type="pct"/>
            <w:shd w:val="clear" w:color="auto" w:fill="FFFFFF"/>
            <w:tcMar>
              <w:top w:w="0" w:type="dxa"/>
              <w:left w:w="0" w:type="dxa"/>
              <w:bottom w:w="0" w:type="dxa"/>
              <w:right w:w="0" w:type="dxa"/>
            </w:tcMar>
            <w:vAlign w:val="center"/>
          </w:tcPr>
          <w:p w14:paraId="15B428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3B811A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62EBF018" w14:textId="08F5611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PEVuZE5vdGU+PENpdGUgRXhjbHVkZUF1dGg9IjEiIEV4Y2x1ZGVZZWFyPSIxIj48QXV0aG9yPkNh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PEVuZE5vdGU+PENpdGUgRXhjbHVkZUF1dGg9IjEiIEV4Y2x1ZGVZZWFyPSIxIj48QXV0aG9yPkNh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342</w:t>
            </w:r>
            <w:r w:rsidRPr="00734942">
              <w:rPr>
                <w:rFonts w:ascii="Arial" w:eastAsia="Arial" w:hAnsi="Arial" w:cs="Arial"/>
                <w:color w:val="111111"/>
                <w:sz w:val="18"/>
                <w:szCs w:val="18"/>
              </w:rPr>
              <w:fldChar w:fldCharType="end"/>
            </w:r>
          </w:p>
        </w:tc>
      </w:tr>
      <w:tr w:rsidR="007B756D" w:rsidRPr="00734942" w14:paraId="55D74FC6" w14:textId="77777777" w:rsidTr="006658D1">
        <w:trPr>
          <w:cantSplit/>
          <w:jc w:val="center"/>
        </w:trPr>
        <w:tc>
          <w:tcPr>
            <w:tcW w:w="725" w:type="pct"/>
            <w:shd w:val="clear" w:color="auto" w:fill="FFFFFF"/>
            <w:tcMar>
              <w:top w:w="0" w:type="dxa"/>
              <w:left w:w="0" w:type="dxa"/>
              <w:bottom w:w="0" w:type="dxa"/>
              <w:right w:w="0" w:type="dxa"/>
            </w:tcMar>
            <w:vAlign w:val="center"/>
          </w:tcPr>
          <w:p w14:paraId="4FE0F2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546" w:type="pct"/>
            <w:shd w:val="clear" w:color="auto" w:fill="FFFFFF"/>
            <w:tcMar>
              <w:top w:w="0" w:type="dxa"/>
              <w:left w:w="0" w:type="dxa"/>
              <w:bottom w:w="0" w:type="dxa"/>
              <w:right w:w="0" w:type="dxa"/>
            </w:tcMar>
            <w:vAlign w:val="center"/>
          </w:tcPr>
          <w:p w14:paraId="03BC80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71AA5E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2FE64E9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4327</w:t>
            </w:r>
          </w:p>
        </w:tc>
        <w:tc>
          <w:tcPr>
            <w:tcW w:w="360" w:type="pct"/>
            <w:shd w:val="clear" w:color="auto" w:fill="FFFFFF"/>
            <w:tcMar>
              <w:top w:w="0" w:type="dxa"/>
              <w:left w:w="0" w:type="dxa"/>
              <w:bottom w:w="0" w:type="dxa"/>
              <w:right w:w="0" w:type="dxa"/>
            </w:tcMar>
            <w:vAlign w:val="center"/>
          </w:tcPr>
          <w:p w14:paraId="3162EB0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10" w:type="pct"/>
            <w:shd w:val="clear" w:color="auto" w:fill="FFFFFF"/>
            <w:tcMar>
              <w:top w:w="0" w:type="dxa"/>
              <w:left w:w="0" w:type="dxa"/>
              <w:bottom w:w="0" w:type="dxa"/>
              <w:right w:w="0" w:type="dxa"/>
            </w:tcMar>
            <w:vAlign w:val="center"/>
          </w:tcPr>
          <w:p w14:paraId="3ADF270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constipation</w:t>
            </w:r>
          </w:p>
        </w:tc>
        <w:tc>
          <w:tcPr>
            <w:tcW w:w="725" w:type="pct"/>
            <w:shd w:val="clear" w:color="auto" w:fill="FFFFFF"/>
            <w:tcMar>
              <w:top w:w="0" w:type="dxa"/>
              <w:left w:w="0" w:type="dxa"/>
              <w:bottom w:w="0" w:type="dxa"/>
              <w:right w:w="0" w:type="dxa"/>
            </w:tcMar>
            <w:vAlign w:val="center"/>
          </w:tcPr>
          <w:p w14:paraId="1DE966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1" w:type="pct"/>
            <w:shd w:val="clear" w:color="auto" w:fill="FFFFFF"/>
            <w:tcMar>
              <w:top w:w="0" w:type="dxa"/>
              <w:left w:w="0" w:type="dxa"/>
              <w:bottom w:w="0" w:type="dxa"/>
              <w:right w:w="0" w:type="dxa"/>
            </w:tcMar>
            <w:vAlign w:val="center"/>
          </w:tcPr>
          <w:p w14:paraId="1E13DB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7AC944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1651A944" w14:textId="7741007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63</w:t>
            </w:r>
            <w:r w:rsidRPr="00734942">
              <w:rPr>
                <w:rFonts w:ascii="Arial" w:eastAsia="Arial" w:hAnsi="Arial" w:cs="Arial"/>
                <w:color w:val="111111"/>
                <w:sz w:val="18"/>
                <w:szCs w:val="18"/>
              </w:rPr>
              <w:fldChar w:fldCharType="end"/>
            </w:r>
          </w:p>
        </w:tc>
      </w:tr>
      <w:tr w:rsidR="007B756D" w:rsidRPr="00734942" w14:paraId="0F9FA4AA" w14:textId="77777777" w:rsidTr="006658D1">
        <w:trPr>
          <w:cantSplit/>
          <w:jc w:val="center"/>
        </w:trPr>
        <w:tc>
          <w:tcPr>
            <w:tcW w:w="725" w:type="pct"/>
            <w:shd w:val="clear" w:color="auto" w:fill="FFFFFF"/>
            <w:tcMar>
              <w:top w:w="0" w:type="dxa"/>
              <w:left w:w="0" w:type="dxa"/>
              <w:bottom w:w="0" w:type="dxa"/>
              <w:right w:w="0" w:type="dxa"/>
            </w:tcMar>
            <w:vAlign w:val="center"/>
          </w:tcPr>
          <w:p w14:paraId="401C30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6" w:type="pct"/>
            <w:shd w:val="clear" w:color="auto" w:fill="FFFFFF"/>
            <w:tcMar>
              <w:top w:w="0" w:type="dxa"/>
              <w:left w:w="0" w:type="dxa"/>
              <w:bottom w:w="0" w:type="dxa"/>
              <w:right w:w="0" w:type="dxa"/>
            </w:tcMar>
            <w:vAlign w:val="center"/>
          </w:tcPr>
          <w:p w14:paraId="146A5E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4FB32B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279297B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18576</w:t>
            </w:r>
          </w:p>
        </w:tc>
        <w:tc>
          <w:tcPr>
            <w:tcW w:w="360" w:type="pct"/>
            <w:shd w:val="clear" w:color="auto" w:fill="FFFFFF"/>
            <w:tcMar>
              <w:top w:w="0" w:type="dxa"/>
              <w:left w:w="0" w:type="dxa"/>
              <w:bottom w:w="0" w:type="dxa"/>
              <w:right w:w="0" w:type="dxa"/>
            </w:tcMar>
            <w:vAlign w:val="center"/>
          </w:tcPr>
          <w:p w14:paraId="3DD37C5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75569B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constipation</w:t>
            </w:r>
          </w:p>
        </w:tc>
        <w:tc>
          <w:tcPr>
            <w:tcW w:w="725" w:type="pct"/>
            <w:shd w:val="clear" w:color="auto" w:fill="FFFFFF"/>
            <w:tcMar>
              <w:top w:w="0" w:type="dxa"/>
              <w:left w:w="0" w:type="dxa"/>
              <w:bottom w:w="0" w:type="dxa"/>
              <w:right w:w="0" w:type="dxa"/>
            </w:tcMar>
            <w:vAlign w:val="center"/>
          </w:tcPr>
          <w:p w14:paraId="1691D1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1" w:type="pct"/>
            <w:shd w:val="clear" w:color="auto" w:fill="FFFFFF"/>
            <w:tcMar>
              <w:top w:w="0" w:type="dxa"/>
              <w:left w:w="0" w:type="dxa"/>
              <w:bottom w:w="0" w:type="dxa"/>
              <w:right w:w="0" w:type="dxa"/>
            </w:tcMar>
            <w:vAlign w:val="center"/>
          </w:tcPr>
          <w:p w14:paraId="731B98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04B8A9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3B5D9165" w14:textId="73D9677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7B756D" w:rsidRPr="00734942" w14:paraId="1CD90663" w14:textId="77777777" w:rsidTr="006658D1">
        <w:trPr>
          <w:cantSplit/>
          <w:jc w:val="center"/>
        </w:trPr>
        <w:tc>
          <w:tcPr>
            <w:tcW w:w="725" w:type="pct"/>
            <w:shd w:val="clear" w:color="auto" w:fill="FFFFFF"/>
            <w:tcMar>
              <w:top w:w="0" w:type="dxa"/>
              <w:left w:w="0" w:type="dxa"/>
              <w:bottom w:w="0" w:type="dxa"/>
              <w:right w:w="0" w:type="dxa"/>
            </w:tcMar>
            <w:vAlign w:val="center"/>
          </w:tcPr>
          <w:p w14:paraId="7A7CC0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6" w:type="pct"/>
            <w:shd w:val="clear" w:color="auto" w:fill="FFFFFF"/>
            <w:tcMar>
              <w:top w:w="0" w:type="dxa"/>
              <w:left w:w="0" w:type="dxa"/>
              <w:bottom w:w="0" w:type="dxa"/>
              <w:right w:w="0" w:type="dxa"/>
            </w:tcMar>
            <w:vAlign w:val="center"/>
          </w:tcPr>
          <w:p w14:paraId="1EF12DC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25756E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250CBFB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3120</w:t>
            </w:r>
          </w:p>
        </w:tc>
        <w:tc>
          <w:tcPr>
            <w:tcW w:w="360" w:type="pct"/>
            <w:shd w:val="clear" w:color="auto" w:fill="FFFFFF"/>
            <w:tcMar>
              <w:top w:w="0" w:type="dxa"/>
              <w:left w:w="0" w:type="dxa"/>
              <w:bottom w:w="0" w:type="dxa"/>
              <w:right w:w="0" w:type="dxa"/>
            </w:tcMar>
            <w:vAlign w:val="center"/>
          </w:tcPr>
          <w:p w14:paraId="7524CAF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10" w:type="pct"/>
            <w:shd w:val="clear" w:color="auto" w:fill="FFFFFF"/>
            <w:tcMar>
              <w:top w:w="0" w:type="dxa"/>
              <w:left w:w="0" w:type="dxa"/>
              <w:bottom w:w="0" w:type="dxa"/>
              <w:right w:w="0" w:type="dxa"/>
            </w:tcMar>
            <w:vAlign w:val="center"/>
          </w:tcPr>
          <w:p w14:paraId="1F8C4C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constipation</w:t>
            </w:r>
          </w:p>
        </w:tc>
        <w:tc>
          <w:tcPr>
            <w:tcW w:w="725" w:type="pct"/>
            <w:shd w:val="clear" w:color="auto" w:fill="FFFFFF"/>
            <w:tcMar>
              <w:top w:w="0" w:type="dxa"/>
              <w:left w:w="0" w:type="dxa"/>
              <w:bottom w:w="0" w:type="dxa"/>
              <w:right w:w="0" w:type="dxa"/>
            </w:tcMar>
            <w:vAlign w:val="center"/>
          </w:tcPr>
          <w:p w14:paraId="645F25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1" w:type="pct"/>
            <w:shd w:val="clear" w:color="auto" w:fill="FFFFFF"/>
            <w:tcMar>
              <w:top w:w="0" w:type="dxa"/>
              <w:left w:w="0" w:type="dxa"/>
              <w:bottom w:w="0" w:type="dxa"/>
              <w:right w:w="0" w:type="dxa"/>
            </w:tcMar>
            <w:vAlign w:val="center"/>
          </w:tcPr>
          <w:p w14:paraId="3130CA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37C5F1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3FC25238" w14:textId="4A35469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7B756D" w:rsidRPr="00734942" w14:paraId="6BDFAF45" w14:textId="77777777" w:rsidTr="006658D1">
        <w:trPr>
          <w:cantSplit/>
          <w:jc w:val="center"/>
        </w:trPr>
        <w:tc>
          <w:tcPr>
            <w:tcW w:w="725" w:type="pct"/>
            <w:shd w:val="clear" w:color="auto" w:fill="FFFFFF"/>
            <w:tcMar>
              <w:top w:w="0" w:type="dxa"/>
              <w:left w:w="0" w:type="dxa"/>
              <w:bottom w:w="0" w:type="dxa"/>
              <w:right w:w="0" w:type="dxa"/>
            </w:tcMar>
            <w:vAlign w:val="center"/>
          </w:tcPr>
          <w:p w14:paraId="4CD6C7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6" w:type="pct"/>
            <w:shd w:val="clear" w:color="auto" w:fill="FFFFFF"/>
            <w:tcMar>
              <w:top w:w="0" w:type="dxa"/>
              <w:left w:w="0" w:type="dxa"/>
              <w:bottom w:w="0" w:type="dxa"/>
              <w:right w:w="0" w:type="dxa"/>
            </w:tcMar>
            <w:vAlign w:val="center"/>
          </w:tcPr>
          <w:p w14:paraId="66BDBF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186497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661AB53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3715</w:t>
            </w:r>
          </w:p>
        </w:tc>
        <w:tc>
          <w:tcPr>
            <w:tcW w:w="360" w:type="pct"/>
            <w:shd w:val="clear" w:color="auto" w:fill="FFFFFF"/>
            <w:tcMar>
              <w:top w:w="0" w:type="dxa"/>
              <w:left w:w="0" w:type="dxa"/>
              <w:bottom w:w="0" w:type="dxa"/>
              <w:right w:w="0" w:type="dxa"/>
            </w:tcMar>
            <w:vAlign w:val="center"/>
          </w:tcPr>
          <w:p w14:paraId="29A6C6C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10" w:type="pct"/>
            <w:shd w:val="clear" w:color="auto" w:fill="FFFFFF"/>
            <w:tcMar>
              <w:top w:w="0" w:type="dxa"/>
              <w:left w:w="0" w:type="dxa"/>
              <w:bottom w:w="0" w:type="dxa"/>
              <w:right w:w="0" w:type="dxa"/>
            </w:tcMar>
            <w:vAlign w:val="center"/>
          </w:tcPr>
          <w:p w14:paraId="7E2401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constipation</w:t>
            </w:r>
          </w:p>
        </w:tc>
        <w:tc>
          <w:tcPr>
            <w:tcW w:w="725" w:type="pct"/>
            <w:shd w:val="clear" w:color="auto" w:fill="FFFFFF"/>
            <w:tcMar>
              <w:top w:w="0" w:type="dxa"/>
              <w:left w:w="0" w:type="dxa"/>
              <w:bottom w:w="0" w:type="dxa"/>
              <w:right w:w="0" w:type="dxa"/>
            </w:tcMar>
            <w:vAlign w:val="center"/>
          </w:tcPr>
          <w:p w14:paraId="464C241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1" w:type="pct"/>
            <w:shd w:val="clear" w:color="auto" w:fill="FFFFFF"/>
            <w:tcMar>
              <w:top w:w="0" w:type="dxa"/>
              <w:left w:w="0" w:type="dxa"/>
              <w:bottom w:w="0" w:type="dxa"/>
              <w:right w:w="0" w:type="dxa"/>
            </w:tcMar>
            <w:vAlign w:val="center"/>
          </w:tcPr>
          <w:p w14:paraId="721206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389D10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7C83EB1D" w14:textId="176F54B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183</w:t>
            </w:r>
            <w:r w:rsidRPr="00734942">
              <w:rPr>
                <w:rFonts w:ascii="Arial" w:eastAsia="Arial" w:hAnsi="Arial" w:cs="Arial"/>
                <w:color w:val="111111"/>
                <w:sz w:val="18"/>
                <w:szCs w:val="18"/>
              </w:rPr>
              <w:fldChar w:fldCharType="end"/>
            </w:r>
          </w:p>
        </w:tc>
      </w:tr>
      <w:tr w:rsidR="007B756D" w:rsidRPr="00734942" w14:paraId="55A1E705" w14:textId="77777777" w:rsidTr="006658D1">
        <w:trPr>
          <w:cantSplit/>
          <w:jc w:val="center"/>
        </w:trPr>
        <w:tc>
          <w:tcPr>
            <w:tcW w:w="725" w:type="pct"/>
            <w:shd w:val="clear" w:color="auto" w:fill="FFFFFF"/>
            <w:tcMar>
              <w:top w:w="0" w:type="dxa"/>
              <w:left w:w="0" w:type="dxa"/>
              <w:bottom w:w="0" w:type="dxa"/>
              <w:right w:w="0" w:type="dxa"/>
            </w:tcMar>
            <w:vAlign w:val="center"/>
          </w:tcPr>
          <w:p w14:paraId="7F53CE1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46" w:type="pct"/>
            <w:shd w:val="clear" w:color="auto" w:fill="FFFFFF"/>
            <w:tcMar>
              <w:top w:w="0" w:type="dxa"/>
              <w:left w:w="0" w:type="dxa"/>
              <w:bottom w:w="0" w:type="dxa"/>
              <w:right w:w="0" w:type="dxa"/>
            </w:tcMar>
            <w:vAlign w:val="center"/>
          </w:tcPr>
          <w:p w14:paraId="4D165B7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454" w:type="pct"/>
            <w:shd w:val="clear" w:color="auto" w:fill="FFFFFF"/>
            <w:tcMar>
              <w:top w:w="0" w:type="dxa"/>
              <w:left w:w="0" w:type="dxa"/>
              <w:bottom w:w="0" w:type="dxa"/>
              <w:right w:w="0" w:type="dxa"/>
            </w:tcMar>
            <w:vAlign w:val="center"/>
          </w:tcPr>
          <w:p w14:paraId="6DBEC71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Constipation</w:t>
            </w:r>
          </w:p>
        </w:tc>
        <w:tc>
          <w:tcPr>
            <w:tcW w:w="302" w:type="pct"/>
            <w:shd w:val="clear" w:color="auto" w:fill="FFFFFF"/>
            <w:tcMar>
              <w:top w:w="0" w:type="dxa"/>
              <w:left w:w="0" w:type="dxa"/>
              <w:bottom w:w="0" w:type="dxa"/>
              <w:right w:w="0" w:type="dxa"/>
            </w:tcMar>
            <w:vAlign w:val="center"/>
          </w:tcPr>
          <w:p w14:paraId="4AE93478"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9,918</w:t>
            </w:r>
          </w:p>
        </w:tc>
        <w:tc>
          <w:tcPr>
            <w:tcW w:w="360" w:type="pct"/>
            <w:shd w:val="clear" w:color="auto" w:fill="FFFFFF"/>
            <w:tcMar>
              <w:top w:w="0" w:type="dxa"/>
              <w:left w:w="0" w:type="dxa"/>
              <w:bottom w:w="0" w:type="dxa"/>
              <w:right w:w="0" w:type="dxa"/>
            </w:tcMar>
            <w:vAlign w:val="center"/>
          </w:tcPr>
          <w:p w14:paraId="6F8EBB87"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51-75%</w:t>
            </w:r>
          </w:p>
        </w:tc>
        <w:tc>
          <w:tcPr>
            <w:tcW w:w="610" w:type="pct"/>
            <w:shd w:val="clear" w:color="auto" w:fill="FFFFFF"/>
            <w:tcMar>
              <w:top w:w="0" w:type="dxa"/>
              <w:left w:w="0" w:type="dxa"/>
              <w:bottom w:w="0" w:type="dxa"/>
              <w:right w:w="0" w:type="dxa"/>
            </w:tcMar>
            <w:vAlign w:val="center"/>
          </w:tcPr>
          <w:p w14:paraId="51BD256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constipation</w:t>
            </w:r>
          </w:p>
        </w:tc>
        <w:tc>
          <w:tcPr>
            <w:tcW w:w="725" w:type="pct"/>
            <w:shd w:val="clear" w:color="auto" w:fill="FFFFFF"/>
            <w:tcMar>
              <w:top w:w="0" w:type="dxa"/>
              <w:left w:w="0" w:type="dxa"/>
              <w:bottom w:w="0" w:type="dxa"/>
              <w:right w:w="0" w:type="dxa"/>
            </w:tcMar>
            <w:vAlign w:val="center"/>
          </w:tcPr>
          <w:p w14:paraId="604FAD1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491" w:type="pct"/>
            <w:shd w:val="clear" w:color="auto" w:fill="FFFFFF"/>
            <w:tcMar>
              <w:top w:w="0" w:type="dxa"/>
              <w:left w:w="0" w:type="dxa"/>
              <w:bottom w:w="0" w:type="dxa"/>
              <w:right w:w="0" w:type="dxa"/>
            </w:tcMar>
            <w:vAlign w:val="center"/>
          </w:tcPr>
          <w:p w14:paraId="6BB1182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03F9BD7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1EE516A1" w14:textId="34807ADF"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r w:rsidR="007B756D" w:rsidRPr="00734942" w14:paraId="1C497327" w14:textId="77777777" w:rsidTr="006658D1">
        <w:trPr>
          <w:cantSplit/>
          <w:jc w:val="center"/>
        </w:trPr>
        <w:tc>
          <w:tcPr>
            <w:tcW w:w="725" w:type="pct"/>
            <w:tcBorders>
              <w:bottom w:val="single" w:sz="16" w:space="0" w:color="000000"/>
            </w:tcBorders>
            <w:shd w:val="clear" w:color="auto" w:fill="FFFFFF"/>
            <w:tcMar>
              <w:top w:w="0" w:type="dxa"/>
              <w:left w:w="0" w:type="dxa"/>
              <w:bottom w:w="0" w:type="dxa"/>
              <w:right w:w="0" w:type="dxa"/>
            </w:tcMar>
            <w:vAlign w:val="center"/>
          </w:tcPr>
          <w:p w14:paraId="3F287E1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46" w:type="pct"/>
            <w:tcBorders>
              <w:bottom w:val="single" w:sz="16" w:space="0" w:color="000000"/>
            </w:tcBorders>
            <w:shd w:val="clear" w:color="auto" w:fill="FFFFFF"/>
            <w:tcMar>
              <w:top w:w="0" w:type="dxa"/>
              <w:left w:w="0" w:type="dxa"/>
              <w:bottom w:w="0" w:type="dxa"/>
              <w:right w:w="0" w:type="dxa"/>
            </w:tcMar>
            <w:vAlign w:val="center"/>
          </w:tcPr>
          <w:p w14:paraId="0F78FE1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Nested case-control (DI)</w:t>
            </w:r>
          </w:p>
        </w:tc>
        <w:tc>
          <w:tcPr>
            <w:tcW w:w="454" w:type="pct"/>
            <w:tcBorders>
              <w:bottom w:val="single" w:sz="16" w:space="0" w:color="000000"/>
            </w:tcBorders>
            <w:shd w:val="clear" w:color="auto" w:fill="FFFFFF"/>
            <w:tcMar>
              <w:top w:w="0" w:type="dxa"/>
              <w:left w:w="0" w:type="dxa"/>
              <w:bottom w:w="0" w:type="dxa"/>
              <w:right w:w="0" w:type="dxa"/>
            </w:tcMar>
            <w:vAlign w:val="center"/>
          </w:tcPr>
          <w:p w14:paraId="2FB8566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Functional constipation</w:t>
            </w:r>
          </w:p>
        </w:tc>
        <w:tc>
          <w:tcPr>
            <w:tcW w:w="302" w:type="pct"/>
            <w:tcBorders>
              <w:bottom w:val="single" w:sz="16" w:space="0" w:color="000000"/>
            </w:tcBorders>
            <w:shd w:val="clear" w:color="auto" w:fill="FFFFFF"/>
            <w:tcMar>
              <w:top w:w="0" w:type="dxa"/>
              <w:left w:w="0" w:type="dxa"/>
              <w:bottom w:w="0" w:type="dxa"/>
              <w:right w:w="0" w:type="dxa"/>
            </w:tcMar>
            <w:vAlign w:val="center"/>
          </w:tcPr>
          <w:p w14:paraId="4DD7810A"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622</w:t>
            </w:r>
          </w:p>
        </w:tc>
        <w:tc>
          <w:tcPr>
            <w:tcW w:w="360" w:type="pct"/>
            <w:tcBorders>
              <w:bottom w:val="single" w:sz="16" w:space="0" w:color="000000"/>
            </w:tcBorders>
            <w:shd w:val="clear" w:color="auto" w:fill="FFFFFF"/>
            <w:tcMar>
              <w:top w:w="0" w:type="dxa"/>
              <w:left w:w="0" w:type="dxa"/>
              <w:bottom w:w="0" w:type="dxa"/>
              <w:right w:w="0" w:type="dxa"/>
            </w:tcMar>
            <w:vAlign w:val="center"/>
          </w:tcPr>
          <w:p w14:paraId="5F7E2B61"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NR</w:t>
            </w:r>
          </w:p>
        </w:tc>
        <w:tc>
          <w:tcPr>
            <w:tcW w:w="610" w:type="pct"/>
            <w:tcBorders>
              <w:bottom w:val="single" w:sz="16" w:space="0" w:color="000000"/>
            </w:tcBorders>
            <w:shd w:val="clear" w:color="auto" w:fill="FFFFFF"/>
            <w:tcMar>
              <w:top w:w="0" w:type="dxa"/>
              <w:left w:w="0" w:type="dxa"/>
              <w:bottom w:w="0" w:type="dxa"/>
              <w:right w:w="0" w:type="dxa"/>
            </w:tcMar>
            <w:vAlign w:val="center"/>
          </w:tcPr>
          <w:p w14:paraId="065324C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functional gastrointestinal disorders</w:t>
            </w:r>
          </w:p>
        </w:tc>
        <w:tc>
          <w:tcPr>
            <w:tcW w:w="725" w:type="pct"/>
            <w:tcBorders>
              <w:bottom w:val="single" w:sz="16" w:space="0" w:color="000000"/>
            </w:tcBorders>
            <w:shd w:val="clear" w:color="auto" w:fill="FFFFFF"/>
            <w:tcMar>
              <w:top w:w="0" w:type="dxa"/>
              <w:left w:w="0" w:type="dxa"/>
              <w:bottom w:w="0" w:type="dxa"/>
              <w:right w:w="0" w:type="dxa"/>
            </w:tcMar>
            <w:vAlign w:val="center"/>
          </w:tcPr>
          <w:p w14:paraId="3EB66F0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491" w:type="pct"/>
            <w:tcBorders>
              <w:bottom w:val="single" w:sz="16" w:space="0" w:color="000000"/>
            </w:tcBorders>
            <w:shd w:val="clear" w:color="auto" w:fill="FFFFFF"/>
            <w:tcMar>
              <w:top w:w="0" w:type="dxa"/>
              <w:left w:w="0" w:type="dxa"/>
              <w:bottom w:w="0" w:type="dxa"/>
              <w:right w:w="0" w:type="dxa"/>
            </w:tcMar>
            <w:vAlign w:val="center"/>
          </w:tcPr>
          <w:p w14:paraId="77CF75F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tcBorders>
              <w:bottom w:val="single" w:sz="16" w:space="0" w:color="000000"/>
            </w:tcBorders>
            <w:shd w:val="clear" w:color="auto" w:fill="FFFFFF"/>
            <w:tcMar>
              <w:top w:w="0" w:type="dxa"/>
              <w:left w:w="0" w:type="dxa"/>
              <w:bottom w:w="0" w:type="dxa"/>
              <w:right w:w="0" w:type="dxa"/>
            </w:tcMar>
            <w:vAlign w:val="center"/>
          </w:tcPr>
          <w:p w14:paraId="6CECF3D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Colombia</w:t>
            </w:r>
          </w:p>
        </w:tc>
        <w:tc>
          <w:tcPr>
            <w:tcW w:w="369" w:type="pct"/>
            <w:tcBorders>
              <w:bottom w:val="single" w:sz="16" w:space="0" w:color="000000"/>
            </w:tcBorders>
            <w:shd w:val="clear" w:color="auto" w:fill="FFFFFF"/>
            <w:tcMar>
              <w:top w:w="0" w:type="dxa"/>
              <w:left w:w="0" w:type="dxa"/>
              <w:bottom w:w="0" w:type="dxa"/>
              <w:right w:w="0" w:type="dxa"/>
            </w:tcMar>
            <w:vAlign w:val="center"/>
          </w:tcPr>
          <w:p w14:paraId="595490F2" w14:textId="7E9F802D"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PEVuZE5vdGU+PENpdGUgRXhjbHVkZUF1dGg9IjEiIEV4Y2x1ZGVZZWFyPSIxIj48QXV0aG9yPkZp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PEVuZE5vdGU+PENpdGUgRXhjbHVkZUF1dGg9IjEiIEV4Y2x1ZGVZZWFyPSIxIj48QXV0aG9yPkZp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343</w:t>
            </w:r>
            <w:r w:rsidRPr="00734942">
              <w:rPr>
                <w:rFonts w:ascii="Arial" w:eastAsia="Arial" w:hAnsi="Arial" w:cs="Arial"/>
                <w:color w:val="111111"/>
                <w:sz w:val="18"/>
                <w:szCs w:val="18"/>
              </w:rPr>
              <w:fldChar w:fldCharType="end"/>
            </w:r>
          </w:p>
        </w:tc>
      </w:tr>
    </w:tbl>
    <w:p w14:paraId="48D34D79" w14:textId="77777777" w:rsidR="007B756D" w:rsidRPr="00734942" w:rsidRDefault="007B756D" w:rsidP="007B756D"/>
    <w:p w14:paraId="3AF96ADE" w14:textId="632C9FA6" w:rsidR="00DA0CBC" w:rsidRDefault="00DA0CBC" w:rsidP="000526F1">
      <w:pPr>
        <w:pStyle w:val="Caption"/>
      </w:pPr>
      <w:bookmarkStart w:id="369" w:name="_Toc99720742"/>
      <w:r>
        <w:t xml:space="preserve">Table </w:t>
      </w:r>
      <w:r w:rsidR="00C34531">
        <w:fldChar w:fldCharType="begin"/>
      </w:r>
      <w:r w:rsidR="00C34531">
        <w:instrText xml:space="preserve"> SEQ Table \* ARABIC </w:instrText>
      </w:r>
      <w:r w:rsidR="00C34531">
        <w:fldChar w:fldCharType="separate"/>
      </w:r>
      <w:r w:rsidR="008B5583">
        <w:rPr>
          <w:noProof/>
        </w:rPr>
        <w:t>31</w:t>
      </w:r>
      <w:r w:rsidR="00C34531">
        <w:rPr>
          <w:noProof/>
        </w:rPr>
        <w:fldChar w:fldCharType="end"/>
      </w:r>
      <w:r>
        <w:t xml:space="preserve">  </w:t>
      </w:r>
      <w:r w:rsidRPr="00F57714">
        <w:t>Study characteristics: Dermatitis herpetiformis</w:t>
      </w:r>
      <w:bookmarkEnd w:id="369"/>
    </w:p>
    <w:tbl>
      <w:tblPr>
        <w:tblW w:w="5000" w:type="pct"/>
        <w:jc w:val="center"/>
        <w:tblLook w:val="0420" w:firstRow="1" w:lastRow="0" w:firstColumn="0" w:lastColumn="0" w:noHBand="0" w:noVBand="1"/>
      </w:tblPr>
      <w:tblGrid>
        <w:gridCol w:w="2498"/>
        <w:gridCol w:w="1421"/>
        <w:gridCol w:w="1340"/>
        <w:gridCol w:w="812"/>
        <w:gridCol w:w="902"/>
        <w:gridCol w:w="2074"/>
        <w:gridCol w:w="1633"/>
        <w:gridCol w:w="1276"/>
        <w:gridCol w:w="971"/>
        <w:gridCol w:w="1031"/>
      </w:tblGrid>
      <w:tr w:rsidR="00C8418F" w:rsidRPr="00734942" w14:paraId="1972EBF0" w14:textId="77777777" w:rsidTr="00DA0CBC">
        <w:trPr>
          <w:cantSplit/>
          <w:tblHeader/>
          <w:jc w:val="center"/>
        </w:trPr>
        <w:tc>
          <w:tcPr>
            <w:tcW w:w="89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14C22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0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0E11D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7469B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ABD5FC7"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2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E1024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74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C46700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58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544DA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5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D84A9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4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565CC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D58243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4949C77E" w14:textId="77777777" w:rsidTr="00DA0CBC">
        <w:trPr>
          <w:cantSplit/>
          <w:jc w:val="center"/>
        </w:trPr>
        <w:tc>
          <w:tcPr>
            <w:tcW w:w="895" w:type="pct"/>
            <w:shd w:val="clear" w:color="auto" w:fill="FFFFFF"/>
            <w:tcMar>
              <w:top w:w="0" w:type="dxa"/>
              <w:left w:w="0" w:type="dxa"/>
              <w:bottom w:w="0" w:type="dxa"/>
              <w:right w:w="0" w:type="dxa"/>
            </w:tcMar>
            <w:vAlign w:val="center"/>
          </w:tcPr>
          <w:p w14:paraId="68D21D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9" w:type="pct"/>
            <w:shd w:val="clear" w:color="auto" w:fill="FFFFFF"/>
            <w:tcMar>
              <w:top w:w="0" w:type="dxa"/>
              <w:left w:w="0" w:type="dxa"/>
              <w:bottom w:w="0" w:type="dxa"/>
              <w:right w:w="0" w:type="dxa"/>
            </w:tcMar>
            <w:vAlign w:val="center"/>
          </w:tcPr>
          <w:p w14:paraId="5FBD8E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80" w:type="pct"/>
            <w:shd w:val="clear" w:color="auto" w:fill="FFFFFF"/>
            <w:tcMar>
              <w:top w:w="0" w:type="dxa"/>
              <w:left w:w="0" w:type="dxa"/>
              <w:bottom w:w="0" w:type="dxa"/>
              <w:right w:w="0" w:type="dxa"/>
            </w:tcMar>
            <w:vAlign w:val="center"/>
          </w:tcPr>
          <w:p w14:paraId="060D6E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Dermatitis herpetiformis</w:t>
            </w:r>
          </w:p>
        </w:tc>
        <w:tc>
          <w:tcPr>
            <w:tcW w:w="291" w:type="pct"/>
            <w:shd w:val="clear" w:color="auto" w:fill="FFFFFF"/>
            <w:tcMar>
              <w:top w:w="0" w:type="dxa"/>
              <w:left w:w="0" w:type="dxa"/>
              <w:bottom w:w="0" w:type="dxa"/>
              <w:right w:w="0" w:type="dxa"/>
            </w:tcMar>
            <w:vAlign w:val="center"/>
          </w:tcPr>
          <w:p w14:paraId="4C58A13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150</w:t>
            </w:r>
          </w:p>
        </w:tc>
        <w:tc>
          <w:tcPr>
            <w:tcW w:w="323" w:type="pct"/>
            <w:shd w:val="clear" w:color="auto" w:fill="FFFFFF"/>
            <w:tcMar>
              <w:top w:w="0" w:type="dxa"/>
              <w:left w:w="0" w:type="dxa"/>
              <w:bottom w:w="0" w:type="dxa"/>
              <w:right w:w="0" w:type="dxa"/>
            </w:tcMar>
            <w:vAlign w:val="center"/>
          </w:tcPr>
          <w:p w14:paraId="7F2EDA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43" w:type="pct"/>
            <w:shd w:val="clear" w:color="auto" w:fill="FFFFFF"/>
            <w:tcMar>
              <w:top w:w="0" w:type="dxa"/>
              <w:left w:w="0" w:type="dxa"/>
              <w:bottom w:w="0" w:type="dxa"/>
              <w:right w:w="0" w:type="dxa"/>
            </w:tcMar>
            <w:vAlign w:val="center"/>
          </w:tcPr>
          <w:p w14:paraId="43827B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85" w:type="pct"/>
            <w:shd w:val="clear" w:color="auto" w:fill="FFFFFF"/>
            <w:tcMar>
              <w:top w:w="0" w:type="dxa"/>
              <w:left w:w="0" w:type="dxa"/>
              <w:bottom w:w="0" w:type="dxa"/>
              <w:right w:w="0" w:type="dxa"/>
            </w:tcMar>
            <w:vAlign w:val="center"/>
          </w:tcPr>
          <w:p w14:paraId="7FD382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7" w:type="pct"/>
            <w:shd w:val="clear" w:color="auto" w:fill="FFFFFF"/>
            <w:tcMar>
              <w:top w:w="0" w:type="dxa"/>
              <w:left w:w="0" w:type="dxa"/>
              <w:bottom w:w="0" w:type="dxa"/>
              <w:right w:w="0" w:type="dxa"/>
            </w:tcMar>
            <w:vAlign w:val="center"/>
          </w:tcPr>
          <w:p w14:paraId="7043F4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shd w:val="clear" w:color="auto" w:fill="FFFFFF"/>
            <w:tcMar>
              <w:top w:w="0" w:type="dxa"/>
              <w:left w:w="0" w:type="dxa"/>
              <w:bottom w:w="0" w:type="dxa"/>
              <w:right w:w="0" w:type="dxa"/>
            </w:tcMar>
            <w:vAlign w:val="center"/>
          </w:tcPr>
          <w:p w14:paraId="7A1AC7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69" w:type="pct"/>
            <w:shd w:val="clear" w:color="auto" w:fill="FFFFFF"/>
            <w:tcMar>
              <w:top w:w="0" w:type="dxa"/>
              <w:left w:w="0" w:type="dxa"/>
              <w:bottom w:w="0" w:type="dxa"/>
              <w:right w:w="0" w:type="dxa"/>
            </w:tcMar>
            <w:vAlign w:val="center"/>
          </w:tcPr>
          <w:p w14:paraId="70535DFE" w14:textId="7AC0F3D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bWFyPC9BdXRob3I+PFllYXI+MjAwMTwvWWVhcj48UmVjTnVtPjE2OTwvUmVjTnVtPjxEaXNwbGF5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bWFyPC9BdXRob3I+PFllYXI+MjAwMTwvWWVhcj48UmVjTnVtPjE2OTwvUmVjTnVtPjxEaXNwbGF5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344</w:t>
            </w:r>
            <w:r w:rsidRPr="00734942">
              <w:rPr>
                <w:rFonts w:ascii="Arial" w:eastAsia="Arial" w:hAnsi="Arial" w:cs="Arial"/>
                <w:color w:val="111111"/>
                <w:sz w:val="18"/>
                <w:szCs w:val="18"/>
              </w:rPr>
              <w:fldChar w:fldCharType="end"/>
            </w:r>
          </w:p>
        </w:tc>
      </w:tr>
      <w:tr w:rsidR="00C8418F" w:rsidRPr="00734942" w14:paraId="624F1D0C" w14:textId="77777777" w:rsidTr="00DA0CBC">
        <w:trPr>
          <w:cantSplit/>
          <w:jc w:val="center"/>
        </w:trPr>
        <w:tc>
          <w:tcPr>
            <w:tcW w:w="895" w:type="pct"/>
            <w:shd w:val="clear" w:color="auto" w:fill="FFFFFF"/>
            <w:tcMar>
              <w:top w:w="0" w:type="dxa"/>
              <w:left w:w="0" w:type="dxa"/>
              <w:bottom w:w="0" w:type="dxa"/>
              <w:right w:w="0" w:type="dxa"/>
            </w:tcMar>
            <w:vAlign w:val="center"/>
          </w:tcPr>
          <w:p w14:paraId="2E770E1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9" w:type="pct"/>
            <w:shd w:val="clear" w:color="auto" w:fill="FFFFFF"/>
            <w:tcMar>
              <w:top w:w="0" w:type="dxa"/>
              <w:left w:w="0" w:type="dxa"/>
              <w:bottom w:w="0" w:type="dxa"/>
              <w:right w:w="0" w:type="dxa"/>
            </w:tcMar>
            <w:vAlign w:val="center"/>
          </w:tcPr>
          <w:p w14:paraId="2864F9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80" w:type="pct"/>
            <w:shd w:val="clear" w:color="auto" w:fill="FFFFFF"/>
            <w:tcMar>
              <w:top w:w="0" w:type="dxa"/>
              <w:left w:w="0" w:type="dxa"/>
              <w:bottom w:w="0" w:type="dxa"/>
              <w:right w:w="0" w:type="dxa"/>
            </w:tcMar>
            <w:vAlign w:val="center"/>
          </w:tcPr>
          <w:p w14:paraId="44CF04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Dermatitis herpetiformis</w:t>
            </w:r>
          </w:p>
        </w:tc>
        <w:tc>
          <w:tcPr>
            <w:tcW w:w="291" w:type="pct"/>
            <w:shd w:val="clear" w:color="auto" w:fill="FFFFFF"/>
            <w:tcMar>
              <w:top w:w="0" w:type="dxa"/>
              <w:left w:w="0" w:type="dxa"/>
              <w:bottom w:w="0" w:type="dxa"/>
              <w:right w:w="0" w:type="dxa"/>
            </w:tcMar>
            <w:vAlign w:val="center"/>
          </w:tcPr>
          <w:p w14:paraId="54E158F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46</w:t>
            </w:r>
          </w:p>
        </w:tc>
        <w:tc>
          <w:tcPr>
            <w:tcW w:w="323" w:type="pct"/>
            <w:shd w:val="clear" w:color="auto" w:fill="FFFFFF"/>
            <w:tcMar>
              <w:top w:w="0" w:type="dxa"/>
              <w:left w:w="0" w:type="dxa"/>
              <w:bottom w:w="0" w:type="dxa"/>
              <w:right w:w="0" w:type="dxa"/>
            </w:tcMar>
            <w:vAlign w:val="center"/>
          </w:tcPr>
          <w:p w14:paraId="641E00C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43" w:type="pct"/>
            <w:shd w:val="clear" w:color="auto" w:fill="FFFFFF"/>
            <w:tcMar>
              <w:top w:w="0" w:type="dxa"/>
              <w:left w:w="0" w:type="dxa"/>
              <w:bottom w:w="0" w:type="dxa"/>
              <w:right w:w="0" w:type="dxa"/>
            </w:tcMar>
            <w:vAlign w:val="center"/>
          </w:tcPr>
          <w:p w14:paraId="6E1082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85" w:type="pct"/>
            <w:shd w:val="clear" w:color="auto" w:fill="FFFFFF"/>
            <w:tcMar>
              <w:top w:w="0" w:type="dxa"/>
              <w:left w:w="0" w:type="dxa"/>
              <w:bottom w:w="0" w:type="dxa"/>
              <w:right w:w="0" w:type="dxa"/>
            </w:tcMar>
            <w:vAlign w:val="center"/>
          </w:tcPr>
          <w:p w14:paraId="0A7E4D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57" w:type="pct"/>
            <w:shd w:val="clear" w:color="auto" w:fill="FFFFFF"/>
            <w:tcMar>
              <w:top w:w="0" w:type="dxa"/>
              <w:left w:w="0" w:type="dxa"/>
              <w:bottom w:w="0" w:type="dxa"/>
              <w:right w:w="0" w:type="dxa"/>
            </w:tcMar>
            <w:vAlign w:val="center"/>
          </w:tcPr>
          <w:p w14:paraId="2A5DB7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shd w:val="clear" w:color="auto" w:fill="FFFFFF"/>
            <w:tcMar>
              <w:top w:w="0" w:type="dxa"/>
              <w:left w:w="0" w:type="dxa"/>
              <w:bottom w:w="0" w:type="dxa"/>
              <w:right w:w="0" w:type="dxa"/>
            </w:tcMar>
            <w:vAlign w:val="center"/>
          </w:tcPr>
          <w:p w14:paraId="685C08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Bulgaria</w:t>
            </w:r>
          </w:p>
        </w:tc>
        <w:tc>
          <w:tcPr>
            <w:tcW w:w="369" w:type="pct"/>
            <w:shd w:val="clear" w:color="auto" w:fill="FFFFFF"/>
            <w:tcMar>
              <w:top w:w="0" w:type="dxa"/>
              <w:left w:w="0" w:type="dxa"/>
              <w:bottom w:w="0" w:type="dxa"/>
              <w:right w:w="0" w:type="dxa"/>
            </w:tcMar>
            <w:vAlign w:val="center"/>
          </w:tcPr>
          <w:p w14:paraId="2DCB10C5" w14:textId="14ACE7D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PEVuZE5vdGU+PENpdGUgRXhjbHVkZUF1dGg9IjEiIEV4Y2x1ZGVZZWFyPSIxIj48QXV0aG9yPlZl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PEVuZE5vdGU+PENpdGUgRXhjbHVkZUF1dGg9IjEiIEV4Y2x1ZGVZZWFyPSIxIj48QXV0aG9yPlZl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345</w:t>
            </w:r>
            <w:r w:rsidRPr="00734942">
              <w:rPr>
                <w:rFonts w:ascii="Arial" w:eastAsia="Arial" w:hAnsi="Arial" w:cs="Arial"/>
                <w:color w:val="111111"/>
                <w:sz w:val="18"/>
                <w:szCs w:val="18"/>
              </w:rPr>
              <w:fldChar w:fldCharType="end"/>
            </w:r>
          </w:p>
        </w:tc>
      </w:tr>
      <w:tr w:rsidR="00C8418F" w:rsidRPr="00734942" w14:paraId="28BED2A7" w14:textId="77777777" w:rsidTr="00DA0CBC">
        <w:trPr>
          <w:cantSplit/>
          <w:jc w:val="center"/>
        </w:trPr>
        <w:tc>
          <w:tcPr>
            <w:tcW w:w="895" w:type="pct"/>
            <w:shd w:val="clear" w:color="auto" w:fill="FFFFFF"/>
            <w:tcMar>
              <w:top w:w="0" w:type="dxa"/>
              <w:left w:w="0" w:type="dxa"/>
              <w:bottom w:w="0" w:type="dxa"/>
              <w:right w:w="0" w:type="dxa"/>
            </w:tcMar>
            <w:vAlign w:val="center"/>
          </w:tcPr>
          <w:p w14:paraId="101A3A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9" w:type="pct"/>
            <w:shd w:val="clear" w:color="auto" w:fill="FFFFFF"/>
            <w:tcMar>
              <w:top w:w="0" w:type="dxa"/>
              <w:left w:w="0" w:type="dxa"/>
              <w:bottom w:w="0" w:type="dxa"/>
              <w:right w:w="0" w:type="dxa"/>
            </w:tcMar>
            <w:vAlign w:val="center"/>
          </w:tcPr>
          <w:p w14:paraId="593536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80" w:type="pct"/>
            <w:shd w:val="clear" w:color="auto" w:fill="FFFFFF"/>
            <w:tcMar>
              <w:top w:w="0" w:type="dxa"/>
              <w:left w:w="0" w:type="dxa"/>
              <w:bottom w:w="0" w:type="dxa"/>
              <w:right w:w="0" w:type="dxa"/>
            </w:tcMar>
            <w:vAlign w:val="center"/>
          </w:tcPr>
          <w:p w14:paraId="6971A6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Dermatitis herpetiformis</w:t>
            </w:r>
          </w:p>
        </w:tc>
        <w:tc>
          <w:tcPr>
            <w:tcW w:w="291" w:type="pct"/>
            <w:shd w:val="clear" w:color="auto" w:fill="FFFFFF"/>
            <w:tcMar>
              <w:top w:w="0" w:type="dxa"/>
              <w:left w:w="0" w:type="dxa"/>
              <w:bottom w:w="0" w:type="dxa"/>
              <w:right w:w="0" w:type="dxa"/>
            </w:tcMar>
            <w:vAlign w:val="center"/>
          </w:tcPr>
          <w:p w14:paraId="481EBD3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381</w:t>
            </w:r>
          </w:p>
        </w:tc>
        <w:tc>
          <w:tcPr>
            <w:tcW w:w="323" w:type="pct"/>
            <w:shd w:val="clear" w:color="auto" w:fill="FFFFFF"/>
            <w:tcMar>
              <w:top w:w="0" w:type="dxa"/>
              <w:left w:w="0" w:type="dxa"/>
              <w:bottom w:w="0" w:type="dxa"/>
              <w:right w:w="0" w:type="dxa"/>
            </w:tcMar>
            <w:vAlign w:val="center"/>
          </w:tcPr>
          <w:p w14:paraId="5E4D303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3" w:type="pct"/>
            <w:shd w:val="clear" w:color="auto" w:fill="FFFFFF"/>
            <w:tcMar>
              <w:top w:w="0" w:type="dxa"/>
              <w:left w:w="0" w:type="dxa"/>
              <w:bottom w:w="0" w:type="dxa"/>
              <w:right w:w="0" w:type="dxa"/>
            </w:tcMar>
            <w:vAlign w:val="center"/>
          </w:tcPr>
          <w:p w14:paraId="523F43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dermatitis herpetiformis</w:t>
            </w:r>
          </w:p>
        </w:tc>
        <w:tc>
          <w:tcPr>
            <w:tcW w:w="585" w:type="pct"/>
            <w:shd w:val="clear" w:color="auto" w:fill="FFFFFF"/>
            <w:tcMar>
              <w:top w:w="0" w:type="dxa"/>
              <w:left w:w="0" w:type="dxa"/>
              <w:bottom w:w="0" w:type="dxa"/>
              <w:right w:w="0" w:type="dxa"/>
            </w:tcMar>
            <w:vAlign w:val="center"/>
          </w:tcPr>
          <w:p w14:paraId="600FAA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7" w:type="pct"/>
            <w:shd w:val="clear" w:color="auto" w:fill="FFFFFF"/>
            <w:tcMar>
              <w:top w:w="0" w:type="dxa"/>
              <w:left w:w="0" w:type="dxa"/>
              <w:bottom w:w="0" w:type="dxa"/>
              <w:right w:w="0" w:type="dxa"/>
            </w:tcMar>
            <w:vAlign w:val="center"/>
          </w:tcPr>
          <w:p w14:paraId="541768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shd w:val="clear" w:color="auto" w:fill="FFFFFF"/>
            <w:tcMar>
              <w:top w:w="0" w:type="dxa"/>
              <w:left w:w="0" w:type="dxa"/>
              <w:bottom w:w="0" w:type="dxa"/>
              <w:right w:w="0" w:type="dxa"/>
            </w:tcMar>
            <w:vAlign w:val="center"/>
          </w:tcPr>
          <w:p w14:paraId="210B89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52B945FD" w14:textId="0D6BD61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C8418F" w:rsidRPr="00734942" w14:paraId="5318581B" w14:textId="77777777" w:rsidTr="00DA0CBC">
        <w:trPr>
          <w:cantSplit/>
          <w:jc w:val="center"/>
        </w:trPr>
        <w:tc>
          <w:tcPr>
            <w:tcW w:w="895" w:type="pct"/>
            <w:shd w:val="clear" w:color="auto" w:fill="FFFFFF"/>
            <w:tcMar>
              <w:top w:w="0" w:type="dxa"/>
              <w:left w:w="0" w:type="dxa"/>
              <w:bottom w:w="0" w:type="dxa"/>
              <w:right w:w="0" w:type="dxa"/>
            </w:tcMar>
            <w:vAlign w:val="center"/>
          </w:tcPr>
          <w:p w14:paraId="3BA41F0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09" w:type="pct"/>
            <w:shd w:val="clear" w:color="auto" w:fill="FFFFFF"/>
            <w:tcMar>
              <w:top w:w="0" w:type="dxa"/>
              <w:left w:w="0" w:type="dxa"/>
              <w:bottom w:w="0" w:type="dxa"/>
              <w:right w:w="0" w:type="dxa"/>
            </w:tcMar>
            <w:vAlign w:val="center"/>
          </w:tcPr>
          <w:p w14:paraId="2247C2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80" w:type="pct"/>
            <w:shd w:val="clear" w:color="auto" w:fill="FFFFFF"/>
            <w:tcMar>
              <w:top w:w="0" w:type="dxa"/>
              <w:left w:w="0" w:type="dxa"/>
              <w:bottom w:w="0" w:type="dxa"/>
              <w:right w:w="0" w:type="dxa"/>
            </w:tcMar>
            <w:vAlign w:val="center"/>
          </w:tcPr>
          <w:p w14:paraId="36049D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Dermatitis herpetiformis</w:t>
            </w:r>
          </w:p>
        </w:tc>
        <w:tc>
          <w:tcPr>
            <w:tcW w:w="291" w:type="pct"/>
            <w:shd w:val="clear" w:color="auto" w:fill="FFFFFF"/>
            <w:tcMar>
              <w:top w:w="0" w:type="dxa"/>
              <w:left w:w="0" w:type="dxa"/>
              <w:bottom w:w="0" w:type="dxa"/>
              <w:right w:w="0" w:type="dxa"/>
            </w:tcMar>
            <w:vAlign w:val="center"/>
          </w:tcPr>
          <w:p w14:paraId="6A21B11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23" w:type="pct"/>
            <w:shd w:val="clear" w:color="auto" w:fill="FFFFFF"/>
            <w:tcMar>
              <w:top w:w="0" w:type="dxa"/>
              <w:left w:w="0" w:type="dxa"/>
              <w:bottom w:w="0" w:type="dxa"/>
              <w:right w:w="0" w:type="dxa"/>
            </w:tcMar>
            <w:vAlign w:val="center"/>
          </w:tcPr>
          <w:p w14:paraId="2994996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3" w:type="pct"/>
            <w:shd w:val="clear" w:color="auto" w:fill="FFFFFF"/>
            <w:tcMar>
              <w:top w:w="0" w:type="dxa"/>
              <w:left w:w="0" w:type="dxa"/>
              <w:bottom w:w="0" w:type="dxa"/>
              <w:right w:w="0" w:type="dxa"/>
            </w:tcMar>
            <w:vAlign w:val="center"/>
          </w:tcPr>
          <w:p w14:paraId="44CCCA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dermatitis herpetiformis</w:t>
            </w:r>
          </w:p>
        </w:tc>
        <w:tc>
          <w:tcPr>
            <w:tcW w:w="585" w:type="pct"/>
            <w:shd w:val="clear" w:color="auto" w:fill="FFFFFF"/>
            <w:tcMar>
              <w:top w:w="0" w:type="dxa"/>
              <w:left w:w="0" w:type="dxa"/>
              <w:bottom w:w="0" w:type="dxa"/>
              <w:right w:w="0" w:type="dxa"/>
            </w:tcMar>
            <w:vAlign w:val="center"/>
          </w:tcPr>
          <w:p w14:paraId="7F87F7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57" w:type="pct"/>
            <w:shd w:val="clear" w:color="auto" w:fill="FFFFFF"/>
            <w:tcMar>
              <w:top w:w="0" w:type="dxa"/>
              <w:left w:w="0" w:type="dxa"/>
              <w:bottom w:w="0" w:type="dxa"/>
              <w:right w:w="0" w:type="dxa"/>
            </w:tcMar>
            <w:vAlign w:val="center"/>
          </w:tcPr>
          <w:p w14:paraId="1E276E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48" w:type="pct"/>
            <w:shd w:val="clear" w:color="auto" w:fill="FFFFFF"/>
            <w:tcMar>
              <w:top w:w="0" w:type="dxa"/>
              <w:left w:w="0" w:type="dxa"/>
              <w:bottom w:w="0" w:type="dxa"/>
              <w:right w:w="0" w:type="dxa"/>
            </w:tcMar>
            <w:vAlign w:val="center"/>
          </w:tcPr>
          <w:p w14:paraId="69D3D9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F3FF148" w14:textId="450D6CD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7A9619DA" w14:textId="77777777" w:rsidTr="00DA0CBC">
        <w:trPr>
          <w:cantSplit/>
          <w:jc w:val="center"/>
        </w:trPr>
        <w:tc>
          <w:tcPr>
            <w:tcW w:w="895" w:type="pct"/>
            <w:tcBorders>
              <w:bottom w:val="single" w:sz="16" w:space="0" w:color="000000"/>
            </w:tcBorders>
            <w:shd w:val="clear" w:color="auto" w:fill="FFFFFF"/>
            <w:tcMar>
              <w:top w:w="0" w:type="dxa"/>
              <w:left w:w="0" w:type="dxa"/>
              <w:bottom w:w="0" w:type="dxa"/>
              <w:right w:w="0" w:type="dxa"/>
            </w:tcMar>
            <w:vAlign w:val="center"/>
          </w:tcPr>
          <w:p w14:paraId="67F8F4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09" w:type="pct"/>
            <w:tcBorders>
              <w:bottom w:val="single" w:sz="16" w:space="0" w:color="000000"/>
            </w:tcBorders>
            <w:shd w:val="clear" w:color="auto" w:fill="FFFFFF"/>
            <w:tcMar>
              <w:top w:w="0" w:type="dxa"/>
              <w:left w:w="0" w:type="dxa"/>
              <w:bottom w:w="0" w:type="dxa"/>
              <w:right w:w="0" w:type="dxa"/>
            </w:tcMar>
            <w:vAlign w:val="center"/>
          </w:tcPr>
          <w:p w14:paraId="54D712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80" w:type="pct"/>
            <w:tcBorders>
              <w:bottom w:val="single" w:sz="16" w:space="0" w:color="000000"/>
            </w:tcBorders>
            <w:shd w:val="clear" w:color="auto" w:fill="FFFFFF"/>
            <w:tcMar>
              <w:top w:w="0" w:type="dxa"/>
              <w:left w:w="0" w:type="dxa"/>
              <w:bottom w:w="0" w:type="dxa"/>
              <w:right w:w="0" w:type="dxa"/>
            </w:tcMar>
            <w:vAlign w:val="center"/>
          </w:tcPr>
          <w:p w14:paraId="59FC5C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Dermatitis herpetiformis</w:t>
            </w:r>
          </w:p>
        </w:tc>
        <w:tc>
          <w:tcPr>
            <w:tcW w:w="291" w:type="pct"/>
            <w:tcBorders>
              <w:bottom w:val="single" w:sz="16" w:space="0" w:color="000000"/>
            </w:tcBorders>
            <w:shd w:val="clear" w:color="auto" w:fill="FFFFFF"/>
            <w:tcMar>
              <w:top w:w="0" w:type="dxa"/>
              <w:left w:w="0" w:type="dxa"/>
              <w:bottom w:w="0" w:type="dxa"/>
              <w:right w:w="0" w:type="dxa"/>
            </w:tcMar>
            <w:vAlign w:val="center"/>
          </w:tcPr>
          <w:p w14:paraId="416E5EB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w:t>
            </w:r>
          </w:p>
        </w:tc>
        <w:tc>
          <w:tcPr>
            <w:tcW w:w="323" w:type="pct"/>
            <w:tcBorders>
              <w:bottom w:val="single" w:sz="16" w:space="0" w:color="000000"/>
            </w:tcBorders>
            <w:shd w:val="clear" w:color="auto" w:fill="FFFFFF"/>
            <w:tcMar>
              <w:top w:w="0" w:type="dxa"/>
              <w:left w:w="0" w:type="dxa"/>
              <w:bottom w:w="0" w:type="dxa"/>
              <w:right w:w="0" w:type="dxa"/>
            </w:tcMar>
            <w:vAlign w:val="center"/>
          </w:tcPr>
          <w:p w14:paraId="4233D99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43" w:type="pct"/>
            <w:tcBorders>
              <w:bottom w:val="single" w:sz="16" w:space="0" w:color="000000"/>
            </w:tcBorders>
            <w:shd w:val="clear" w:color="auto" w:fill="FFFFFF"/>
            <w:tcMar>
              <w:top w:w="0" w:type="dxa"/>
              <w:left w:w="0" w:type="dxa"/>
              <w:bottom w:w="0" w:type="dxa"/>
              <w:right w:w="0" w:type="dxa"/>
            </w:tcMar>
            <w:vAlign w:val="center"/>
          </w:tcPr>
          <w:p w14:paraId="5A3014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Controls</w:t>
            </w:r>
          </w:p>
        </w:tc>
        <w:tc>
          <w:tcPr>
            <w:tcW w:w="585" w:type="pct"/>
            <w:tcBorders>
              <w:bottom w:val="single" w:sz="16" w:space="0" w:color="000000"/>
            </w:tcBorders>
            <w:shd w:val="clear" w:color="auto" w:fill="FFFFFF"/>
            <w:tcMar>
              <w:top w:w="0" w:type="dxa"/>
              <w:left w:w="0" w:type="dxa"/>
              <w:bottom w:w="0" w:type="dxa"/>
              <w:right w:w="0" w:type="dxa"/>
            </w:tcMar>
            <w:vAlign w:val="center"/>
          </w:tcPr>
          <w:p w14:paraId="01963D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all pts biopsied</w:t>
            </w:r>
          </w:p>
        </w:tc>
        <w:tc>
          <w:tcPr>
            <w:tcW w:w="457" w:type="pct"/>
            <w:tcBorders>
              <w:bottom w:val="single" w:sz="16" w:space="0" w:color="000000"/>
            </w:tcBorders>
            <w:shd w:val="clear" w:color="auto" w:fill="FFFFFF"/>
            <w:tcMar>
              <w:top w:w="0" w:type="dxa"/>
              <w:left w:w="0" w:type="dxa"/>
              <w:bottom w:w="0" w:type="dxa"/>
              <w:right w:w="0" w:type="dxa"/>
            </w:tcMar>
            <w:vAlign w:val="center"/>
          </w:tcPr>
          <w:p w14:paraId="7BBBFC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8" w:type="pct"/>
            <w:tcBorders>
              <w:bottom w:val="single" w:sz="16" w:space="0" w:color="000000"/>
            </w:tcBorders>
            <w:shd w:val="clear" w:color="auto" w:fill="FFFFFF"/>
            <w:tcMar>
              <w:top w:w="0" w:type="dxa"/>
              <w:left w:w="0" w:type="dxa"/>
              <w:bottom w:w="0" w:type="dxa"/>
              <w:right w:w="0" w:type="dxa"/>
            </w:tcMar>
            <w:vAlign w:val="center"/>
          </w:tcPr>
          <w:p w14:paraId="75C67F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Argentina</w:t>
            </w:r>
          </w:p>
        </w:tc>
        <w:tc>
          <w:tcPr>
            <w:tcW w:w="369" w:type="pct"/>
            <w:tcBorders>
              <w:bottom w:val="single" w:sz="16" w:space="0" w:color="000000"/>
            </w:tcBorders>
            <w:shd w:val="clear" w:color="auto" w:fill="FFFFFF"/>
            <w:tcMar>
              <w:top w:w="0" w:type="dxa"/>
              <w:left w:w="0" w:type="dxa"/>
              <w:bottom w:w="0" w:type="dxa"/>
              <w:right w:w="0" w:type="dxa"/>
            </w:tcMar>
            <w:vAlign w:val="center"/>
          </w:tcPr>
          <w:p w14:paraId="5B08C5B8" w14:textId="5BCC8C7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PEVuZE5vdGU+PENpdGUgRXhjbHVkZUF1dGg9IjEiIEV4Y2x1ZGVZZWFyPSIxIj48QXV0aG9yPlNt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PEVuZE5vdGU+PENpdGUgRXhjbHVkZUF1dGg9IjEiIEV4Y2x1ZGVZZWFyPSIxIj48QXV0aG9yPlNt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346</w:t>
            </w:r>
            <w:r w:rsidRPr="00734942">
              <w:rPr>
                <w:rFonts w:ascii="Arial" w:eastAsia="Arial" w:hAnsi="Arial" w:cs="Arial"/>
                <w:color w:val="111111"/>
                <w:sz w:val="18"/>
                <w:szCs w:val="18"/>
              </w:rPr>
              <w:fldChar w:fldCharType="end"/>
            </w:r>
          </w:p>
        </w:tc>
      </w:tr>
    </w:tbl>
    <w:p w14:paraId="6B6AC39E" w14:textId="77777777" w:rsidR="007B756D" w:rsidRPr="00734942" w:rsidRDefault="007B756D" w:rsidP="007B756D"/>
    <w:p w14:paraId="08DC485B" w14:textId="5BBA2656" w:rsidR="00DA0CBC" w:rsidRDefault="00DA0CBC" w:rsidP="000526F1">
      <w:pPr>
        <w:pStyle w:val="Caption"/>
      </w:pPr>
      <w:bookmarkStart w:id="370" w:name="_Toc99720743"/>
      <w:r>
        <w:lastRenderedPageBreak/>
        <w:t xml:space="preserve">Table </w:t>
      </w:r>
      <w:r w:rsidR="00C34531">
        <w:fldChar w:fldCharType="begin"/>
      </w:r>
      <w:r w:rsidR="00C34531">
        <w:instrText xml:space="preserve"> SEQ Table \* ARABIC </w:instrText>
      </w:r>
      <w:r w:rsidR="00C34531">
        <w:fldChar w:fldCharType="separate"/>
      </w:r>
      <w:r w:rsidR="008B5583">
        <w:rPr>
          <w:noProof/>
        </w:rPr>
        <w:t>32</w:t>
      </w:r>
      <w:r w:rsidR="00C34531">
        <w:rPr>
          <w:noProof/>
        </w:rPr>
        <w:fldChar w:fldCharType="end"/>
      </w:r>
      <w:r>
        <w:t xml:space="preserve">  </w:t>
      </w:r>
      <w:r w:rsidRPr="00B81203">
        <w:t>Study characteristics: Diarrhoea</w:t>
      </w:r>
      <w:bookmarkEnd w:id="370"/>
    </w:p>
    <w:tbl>
      <w:tblPr>
        <w:tblW w:w="5000" w:type="pct"/>
        <w:jc w:val="center"/>
        <w:tblLook w:val="0420" w:firstRow="1" w:lastRow="0" w:firstColumn="0" w:lastColumn="0" w:noHBand="0" w:noVBand="1"/>
      </w:tblPr>
      <w:tblGrid>
        <w:gridCol w:w="1917"/>
        <w:gridCol w:w="1566"/>
        <w:gridCol w:w="1064"/>
        <w:gridCol w:w="882"/>
        <w:gridCol w:w="1044"/>
        <w:gridCol w:w="1616"/>
        <w:gridCol w:w="2066"/>
        <w:gridCol w:w="1410"/>
        <w:gridCol w:w="1357"/>
        <w:gridCol w:w="1036"/>
      </w:tblGrid>
      <w:tr w:rsidR="00C8418F" w:rsidRPr="00734942" w14:paraId="75820509" w14:textId="77777777" w:rsidTr="00DA0CBC">
        <w:trPr>
          <w:cantSplit/>
          <w:tblHeader/>
          <w:jc w:val="center"/>
        </w:trPr>
        <w:tc>
          <w:tcPr>
            <w:tcW w:w="6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C05DA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6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78A83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38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7D0A1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9C6A63B"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7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4E416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7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D2ECA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4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72667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50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76125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8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4ECA1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4EA24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2959505C" w14:textId="77777777" w:rsidTr="00DA0CBC">
        <w:trPr>
          <w:cantSplit/>
          <w:jc w:val="center"/>
        </w:trPr>
        <w:tc>
          <w:tcPr>
            <w:tcW w:w="687" w:type="pct"/>
            <w:shd w:val="clear" w:color="auto" w:fill="FFFFFF"/>
            <w:tcMar>
              <w:top w:w="0" w:type="dxa"/>
              <w:left w:w="0" w:type="dxa"/>
              <w:bottom w:w="0" w:type="dxa"/>
              <w:right w:w="0" w:type="dxa"/>
            </w:tcMar>
            <w:vAlign w:val="center"/>
          </w:tcPr>
          <w:p w14:paraId="180810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087841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08885A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720022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1197</w:t>
            </w:r>
          </w:p>
        </w:tc>
        <w:tc>
          <w:tcPr>
            <w:tcW w:w="374" w:type="pct"/>
            <w:shd w:val="clear" w:color="auto" w:fill="FFFFFF"/>
            <w:tcMar>
              <w:top w:w="0" w:type="dxa"/>
              <w:left w:w="0" w:type="dxa"/>
              <w:bottom w:w="0" w:type="dxa"/>
              <w:right w:w="0" w:type="dxa"/>
            </w:tcMar>
            <w:vAlign w:val="center"/>
          </w:tcPr>
          <w:p w14:paraId="0A351AE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79" w:type="pct"/>
            <w:shd w:val="clear" w:color="auto" w:fill="FFFFFF"/>
            <w:tcMar>
              <w:top w:w="0" w:type="dxa"/>
              <w:left w:w="0" w:type="dxa"/>
              <w:bottom w:w="0" w:type="dxa"/>
              <w:right w:w="0" w:type="dxa"/>
            </w:tcMar>
            <w:vAlign w:val="center"/>
          </w:tcPr>
          <w:p w14:paraId="32567E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3B3109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63364F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359CAD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United Arab Emirates</w:t>
            </w:r>
          </w:p>
        </w:tc>
        <w:tc>
          <w:tcPr>
            <w:tcW w:w="371" w:type="pct"/>
            <w:shd w:val="clear" w:color="auto" w:fill="FFFFFF"/>
            <w:tcMar>
              <w:top w:w="0" w:type="dxa"/>
              <w:left w:w="0" w:type="dxa"/>
              <w:bottom w:w="0" w:type="dxa"/>
              <w:right w:w="0" w:type="dxa"/>
            </w:tcMar>
            <w:vAlign w:val="center"/>
          </w:tcPr>
          <w:p w14:paraId="56C6F2B1" w14:textId="2D7C606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288</w:t>
            </w:r>
            <w:r w:rsidRPr="00734942">
              <w:rPr>
                <w:rFonts w:ascii="Arial" w:eastAsia="Arial" w:hAnsi="Arial" w:cs="Arial"/>
                <w:color w:val="111111"/>
                <w:sz w:val="18"/>
                <w:szCs w:val="18"/>
              </w:rPr>
              <w:fldChar w:fldCharType="end"/>
            </w:r>
          </w:p>
        </w:tc>
      </w:tr>
      <w:tr w:rsidR="00C8418F" w:rsidRPr="00734942" w14:paraId="3F752AB4" w14:textId="77777777" w:rsidTr="00DA0CBC">
        <w:trPr>
          <w:cantSplit/>
          <w:jc w:val="center"/>
        </w:trPr>
        <w:tc>
          <w:tcPr>
            <w:tcW w:w="687" w:type="pct"/>
            <w:shd w:val="clear" w:color="auto" w:fill="FFFFFF"/>
            <w:tcMar>
              <w:top w:w="0" w:type="dxa"/>
              <w:left w:w="0" w:type="dxa"/>
              <w:bottom w:w="0" w:type="dxa"/>
              <w:right w:w="0" w:type="dxa"/>
            </w:tcMar>
            <w:vAlign w:val="center"/>
          </w:tcPr>
          <w:p w14:paraId="626CAE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7E5CAC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4441CF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BB425C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3186</w:t>
            </w:r>
          </w:p>
        </w:tc>
        <w:tc>
          <w:tcPr>
            <w:tcW w:w="374" w:type="pct"/>
            <w:shd w:val="clear" w:color="auto" w:fill="FFFFFF"/>
            <w:tcMar>
              <w:top w:w="0" w:type="dxa"/>
              <w:left w:w="0" w:type="dxa"/>
              <w:bottom w:w="0" w:type="dxa"/>
              <w:right w:w="0" w:type="dxa"/>
            </w:tcMar>
            <w:vAlign w:val="center"/>
          </w:tcPr>
          <w:p w14:paraId="391A997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79" w:type="pct"/>
            <w:shd w:val="clear" w:color="auto" w:fill="FFFFFF"/>
            <w:tcMar>
              <w:top w:w="0" w:type="dxa"/>
              <w:left w:w="0" w:type="dxa"/>
              <w:bottom w:w="0" w:type="dxa"/>
              <w:right w:w="0" w:type="dxa"/>
            </w:tcMar>
            <w:vAlign w:val="center"/>
          </w:tcPr>
          <w:p w14:paraId="4C7D3C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7B85BF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55041D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19F276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71" w:type="pct"/>
            <w:shd w:val="clear" w:color="auto" w:fill="FFFFFF"/>
            <w:tcMar>
              <w:top w:w="0" w:type="dxa"/>
              <w:left w:w="0" w:type="dxa"/>
              <w:bottom w:w="0" w:type="dxa"/>
              <w:right w:w="0" w:type="dxa"/>
            </w:tcMar>
            <w:vAlign w:val="center"/>
          </w:tcPr>
          <w:p w14:paraId="05C05B24" w14:textId="57FB26B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C8418F" w:rsidRPr="00734942" w14:paraId="65E333C5" w14:textId="77777777" w:rsidTr="00DA0CBC">
        <w:trPr>
          <w:cantSplit/>
          <w:jc w:val="center"/>
        </w:trPr>
        <w:tc>
          <w:tcPr>
            <w:tcW w:w="687" w:type="pct"/>
            <w:shd w:val="clear" w:color="auto" w:fill="FFFFFF"/>
            <w:tcMar>
              <w:top w:w="0" w:type="dxa"/>
              <w:left w:w="0" w:type="dxa"/>
              <w:bottom w:w="0" w:type="dxa"/>
              <w:right w:w="0" w:type="dxa"/>
            </w:tcMar>
            <w:vAlign w:val="center"/>
          </w:tcPr>
          <w:p w14:paraId="0CF3FE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0783D0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66ED19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3107112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2976</w:t>
            </w:r>
          </w:p>
        </w:tc>
        <w:tc>
          <w:tcPr>
            <w:tcW w:w="374" w:type="pct"/>
            <w:shd w:val="clear" w:color="auto" w:fill="FFFFFF"/>
            <w:tcMar>
              <w:top w:w="0" w:type="dxa"/>
              <w:left w:w="0" w:type="dxa"/>
              <w:bottom w:w="0" w:type="dxa"/>
              <w:right w:w="0" w:type="dxa"/>
            </w:tcMar>
            <w:vAlign w:val="center"/>
          </w:tcPr>
          <w:p w14:paraId="7728D58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79" w:type="pct"/>
            <w:shd w:val="clear" w:color="auto" w:fill="FFFFFF"/>
            <w:tcMar>
              <w:top w:w="0" w:type="dxa"/>
              <w:left w:w="0" w:type="dxa"/>
              <w:bottom w:w="0" w:type="dxa"/>
              <w:right w:w="0" w:type="dxa"/>
            </w:tcMar>
            <w:vAlign w:val="center"/>
          </w:tcPr>
          <w:p w14:paraId="7494CB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0B539C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5" w:type="pct"/>
            <w:shd w:val="clear" w:color="auto" w:fill="FFFFFF"/>
            <w:tcMar>
              <w:top w:w="0" w:type="dxa"/>
              <w:left w:w="0" w:type="dxa"/>
              <w:bottom w:w="0" w:type="dxa"/>
              <w:right w:w="0" w:type="dxa"/>
            </w:tcMar>
            <w:vAlign w:val="center"/>
          </w:tcPr>
          <w:p w14:paraId="21B708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05C1CA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71" w:type="pct"/>
            <w:shd w:val="clear" w:color="auto" w:fill="FFFFFF"/>
            <w:tcMar>
              <w:top w:w="0" w:type="dxa"/>
              <w:left w:w="0" w:type="dxa"/>
              <w:bottom w:w="0" w:type="dxa"/>
              <w:right w:w="0" w:type="dxa"/>
            </w:tcMar>
            <w:vAlign w:val="center"/>
          </w:tcPr>
          <w:p w14:paraId="768BA26D" w14:textId="30E3D69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ExcludeYear="1"&gt;&lt;Author&gt;Oliveira&lt;/Author&gt;&lt;Year&gt;2007&lt;/Year&gt;&lt;RecNum&gt;126&lt;/RecNum&gt;&lt;DisplayText&gt;&lt;style face="superscript"&gt;300&lt;/style&gt;&lt;/DisplayText&gt;&lt;record&gt;&lt;rec-number&gt;126&lt;/rec-number&gt;&lt;foreign-keys&gt;&lt;key app="EN" db-id="tdwrx9xd1z9eepeevr355w2k959rv0f5zaax" timestamp="1632756120"&gt;126&lt;/key&gt;&lt;/foreign-keys&gt;&lt;ref-type name="Journal Article"&gt;17&lt;/ref-type&gt;&lt;contributors&gt;&lt;authors&gt;&lt;author&gt;Oliveira, R. P.&lt;/author&gt;&lt;author&gt;Sdepanian, V. L.&lt;/author&gt;&lt;author&gt;Barreto, J. A.&lt;/author&gt;&lt;author&gt;Cortez, A. J. P.&lt;/author&gt;&lt;author&gt;Carvalho, F. O.&lt;/author&gt;&lt;author&gt;Bordin, J. O.&lt;/author&gt;&lt;author&gt;Soares, M. A. D.&lt;/author&gt;&lt;author&gt;Patricio, F. R. D.&lt;/author&gt;&lt;author&gt;Kawakami, E.&lt;/author&gt;&lt;author&gt;de Morais, M. B.&lt;/author&gt;&lt;author&gt;Fagundes-Neto, U.&lt;/author&gt;&lt;/authors&gt;&lt;/contributors&gt;&lt;titles&gt;&lt;title&gt;High prevalence of celiac disease in Brazilian blood donor volunteers based on screening by IgA antitissue transglutaminase antibody&lt;/title&gt;&lt;secondary-title&gt;European Journal of Gastroenterology &amp;amp; Hepatology&lt;/secondary-title&gt;&lt;/titles&gt;&lt;periodical&gt;&lt;full-title&gt;European journal of gastroenterology &amp;amp; hepatology&lt;/full-title&gt;&lt;/periodical&gt;&lt;pages&gt;43-49&lt;/pages&gt;&lt;volume&gt;19&lt;/volume&gt;&lt;number&gt;1&lt;/number&gt;&lt;dates&gt;&lt;year&gt;2007&lt;/year&gt;&lt;pub-dates&gt;&lt;date&gt;Jan&lt;/date&gt;&lt;/pub-dates&gt;&lt;/dates&gt;&lt;isbn&gt;0954-691X&lt;/isbn&gt;&lt;accession-num&gt;WOS:000245597100007&lt;/accession-num&gt;&lt;urls&gt;&lt;related-urls&gt;&lt;url&gt;&amp;lt;Go to ISI&amp;gt;://WOS:000245597100007&lt;/url&gt;&lt;/related-urls&gt;&lt;/urls&gt;&lt;electronic-resource-num&gt;10.1097/01.meg.0000250586.61232.a3&lt;/electronic-resource-num&gt;&lt;remote-database-name&gt;Web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300</w:t>
            </w:r>
            <w:r w:rsidRPr="00734942">
              <w:rPr>
                <w:rFonts w:ascii="Arial" w:eastAsia="Arial" w:hAnsi="Arial" w:cs="Arial"/>
                <w:color w:val="111111"/>
                <w:sz w:val="18"/>
                <w:szCs w:val="18"/>
              </w:rPr>
              <w:fldChar w:fldCharType="end"/>
            </w:r>
          </w:p>
        </w:tc>
      </w:tr>
      <w:tr w:rsidR="00C8418F" w:rsidRPr="00734942" w14:paraId="59F134D0" w14:textId="77777777" w:rsidTr="00DA0CBC">
        <w:trPr>
          <w:cantSplit/>
          <w:jc w:val="center"/>
        </w:trPr>
        <w:tc>
          <w:tcPr>
            <w:tcW w:w="687" w:type="pct"/>
            <w:shd w:val="clear" w:color="auto" w:fill="FFFFFF"/>
            <w:tcMar>
              <w:top w:w="0" w:type="dxa"/>
              <w:left w:w="0" w:type="dxa"/>
              <w:bottom w:w="0" w:type="dxa"/>
              <w:right w:w="0" w:type="dxa"/>
            </w:tcMar>
            <w:vAlign w:val="center"/>
          </w:tcPr>
          <w:p w14:paraId="5845F6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0F065A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01B8ED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E76669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3847</w:t>
            </w:r>
          </w:p>
        </w:tc>
        <w:tc>
          <w:tcPr>
            <w:tcW w:w="374" w:type="pct"/>
            <w:shd w:val="clear" w:color="auto" w:fill="FFFFFF"/>
            <w:tcMar>
              <w:top w:w="0" w:type="dxa"/>
              <w:left w:w="0" w:type="dxa"/>
              <w:bottom w:w="0" w:type="dxa"/>
              <w:right w:w="0" w:type="dxa"/>
            </w:tcMar>
            <w:vAlign w:val="center"/>
          </w:tcPr>
          <w:p w14:paraId="0F4B9BD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79" w:type="pct"/>
            <w:shd w:val="clear" w:color="auto" w:fill="FFFFFF"/>
            <w:tcMar>
              <w:top w:w="0" w:type="dxa"/>
              <w:left w:w="0" w:type="dxa"/>
              <w:bottom w:w="0" w:type="dxa"/>
              <w:right w:w="0" w:type="dxa"/>
            </w:tcMar>
            <w:vAlign w:val="center"/>
          </w:tcPr>
          <w:p w14:paraId="62A622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1A84A1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6D325C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4002E7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71" w:type="pct"/>
            <w:shd w:val="clear" w:color="auto" w:fill="FFFFFF"/>
            <w:tcMar>
              <w:top w:w="0" w:type="dxa"/>
              <w:left w:w="0" w:type="dxa"/>
              <w:bottom w:w="0" w:type="dxa"/>
              <w:right w:w="0" w:type="dxa"/>
            </w:tcMar>
            <w:vAlign w:val="center"/>
          </w:tcPr>
          <w:p w14:paraId="4A6D30AD" w14:textId="5905452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C8418F" w:rsidRPr="00734942" w14:paraId="5B453994" w14:textId="77777777" w:rsidTr="00DA0CBC">
        <w:trPr>
          <w:cantSplit/>
          <w:jc w:val="center"/>
        </w:trPr>
        <w:tc>
          <w:tcPr>
            <w:tcW w:w="687" w:type="pct"/>
            <w:shd w:val="clear" w:color="auto" w:fill="FFFFFF"/>
            <w:tcMar>
              <w:top w:w="0" w:type="dxa"/>
              <w:left w:w="0" w:type="dxa"/>
              <w:bottom w:w="0" w:type="dxa"/>
              <w:right w:w="0" w:type="dxa"/>
            </w:tcMar>
            <w:vAlign w:val="center"/>
          </w:tcPr>
          <w:p w14:paraId="1583F2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020815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0B38F7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38DBC2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1886</w:t>
            </w:r>
          </w:p>
        </w:tc>
        <w:tc>
          <w:tcPr>
            <w:tcW w:w="374" w:type="pct"/>
            <w:shd w:val="clear" w:color="auto" w:fill="FFFFFF"/>
            <w:tcMar>
              <w:top w:w="0" w:type="dxa"/>
              <w:left w:w="0" w:type="dxa"/>
              <w:bottom w:w="0" w:type="dxa"/>
              <w:right w:w="0" w:type="dxa"/>
            </w:tcMar>
            <w:vAlign w:val="center"/>
          </w:tcPr>
          <w:p w14:paraId="0F78644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79" w:type="pct"/>
            <w:shd w:val="clear" w:color="auto" w:fill="FFFFFF"/>
            <w:tcMar>
              <w:top w:w="0" w:type="dxa"/>
              <w:left w:w="0" w:type="dxa"/>
              <w:bottom w:w="0" w:type="dxa"/>
              <w:right w:w="0" w:type="dxa"/>
            </w:tcMar>
            <w:vAlign w:val="center"/>
          </w:tcPr>
          <w:p w14:paraId="18ABB7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0EBAA1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505" w:type="pct"/>
            <w:shd w:val="clear" w:color="auto" w:fill="FFFFFF"/>
            <w:tcMar>
              <w:top w:w="0" w:type="dxa"/>
              <w:left w:w="0" w:type="dxa"/>
              <w:bottom w:w="0" w:type="dxa"/>
              <w:right w:w="0" w:type="dxa"/>
            </w:tcMar>
            <w:vAlign w:val="center"/>
          </w:tcPr>
          <w:p w14:paraId="28E3A9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486" w:type="pct"/>
            <w:shd w:val="clear" w:color="auto" w:fill="FFFFFF"/>
            <w:tcMar>
              <w:top w:w="0" w:type="dxa"/>
              <w:left w:w="0" w:type="dxa"/>
              <w:bottom w:w="0" w:type="dxa"/>
              <w:right w:w="0" w:type="dxa"/>
            </w:tcMar>
            <w:vAlign w:val="center"/>
          </w:tcPr>
          <w:p w14:paraId="40EF461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71" w:type="pct"/>
            <w:shd w:val="clear" w:color="auto" w:fill="FFFFFF"/>
            <w:tcMar>
              <w:top w:w="0" w:type="dxa"/>
              <w:left w:w="0" w:type="dxa"/>
              <w:bottom w:w="0" w:type="dxa"/>
              <w:right w:w="0" w:type="dxa"/>
            </w:tcMar>
            <w:vAlign w:val="center"/>
          </w:tcPr>
          <w:p w14:paraId="3661A6B5" w14:textId="1191C66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PEVuZE5vdGU+PENpdGUgRXhjbHVkZUF1dGg9IjEiIEV4Y2x1ZGVZZWFyPSIxIj48QXV0aG9yPlRp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310</w:t>
            </w:r>
            <w:r w:rsidRPr="00734942">
              <w:rPr>
                <w:rFonts w:ascii="Arial" w:eastAsia="Arial" w:hAnsi="Arial" w:cs="Arial"/>
                <w:color w:val="111111"/>
                <w:sz w:val="18"/>
                <w:szCs w:val="18"/>
              </w:rPr>
              <w:fldChar w:fldCharType="end"/>
            </w:r>
          </w:p>
        </w:tc>
      </w:tr>
      <w:tr w:rsidR="00C8418F" w:rsidRPr="00734942" w14:paraId="24DD0EDA" w14:textId="77777777" w:rsidTr="00DA0CBC">
        <w:trPr>
          <w:cantSplit/>
          <w:jc w:val="center"/>
        </w:trPr>
        <w:tc>
          <w:tcPr>
            <w:tcW w:w="687" w:type="pct"/>
            <w:shd w:val="clear" w:color="auto" w:fill="FFFFFF"/>
            <w:tcMar>
              <w:top w:w="0" w:type="dxa"/>
              <w:left w:w="0" w:type="dxa"/>
              <w:bottom w:w="0" w:type="dxa"/>
              <w:right w:w="0" w:type="dxa"/>
            </w:tcMar>
            <w:vAlign w:val="center"/>
          </w:tcPr>
          <w:p w14:paraId="09BEDC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7A0DA1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381" w:type="pct"/>
            <w:shd w:val="clear" w:color="auto" w:fill="FFFFFF"/>
            <w:tcMar>
              <w:top w:w="0" w:type="dxa"/>
              <w:left w:w="0" w:type="dxa"/>
              <w:bottom w:w="0" w:type="dxa"/>
              <w:right w:w="0" w:type="dxa"/>
            </w:tcMar>
            <w:vAlign w:val="center"/>
          </w:tcPr>
          <w:p w14:paraId="77FFCB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B3497D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74" w:type="pct"/>
            <w:shd w:val="clear" w:color="auto" w:fill="FFFFFF"/>
            <w:tcMar>
              <w:top w:w="0" w:type="dxa"/>
              <w:left w:w="0" w:type="dxa"/>
              <w:bottom w:w="0" w:type="dxa"/>
              <w:right w:w="0" w:type="dxa"/>
            </w:tcMar>
            <w:vAlign w:val="center"/>
          </w:tcPr>
          <w:p w14:paraId="1BB2DD2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79" w:type="pct"/>
            <w:shd w:val="clear" w:color="auto" w:fill="FFFFFF"/>
            <w:tcMar>
              <w:top w:w="0" w:type="dxa"/>
              <w:left w:w="0" w:type="dxa"/>
              <w:bottom w:w="0" w:type="dxa"/>
              <w:right w:w="0" w:type="dxa"/>
            </w:tcMar>
            <w:vAlign w:val="center"/>
          </w:tcPr>
          <w:p w14:paraId="37DB72F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78D65E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52EE56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486" w:type="pct"/>
            <w:shd w:val="clear" w:color="auto" w:fill="FFFFFF"/>
            <w:tcMar>
              <w:top w:w="0" w:type="dxa"/>
              <w:left w:w="0" w:type="dxa"/>
              <w:bottom w:w="0" w:type="dxa"/>
              <w:right w:w="0" w:type="dxa"/>
            </w:tcMar>
            <w:vAlign w:val="center"/>
          </w:tcPr>
          <w:p w14:paraId="1C7547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71" w:type="pct"/>
            <w:shd w:val="clear" w:color="auto" w:fill="FFFFFF"/>
            <w:tcMar>
              <w:top w:w="0" w:type="dxa"/>
              <w:left w:w="0" w:type="dxa"/>
              <w:bottom w:w="0" w:type="dxa"/>
              <w:right w:w="0" w:type="dxa"/>
            </w:tcMar>
            <w:vAlign w:val="center"/>
          </w:tcPr>
          <w:p w14:paraId="5A41AED5" w14:textId="4489DA4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66EE8DDD" w14:textId="77777777" w:rsidTr="00DA0CBC">
        <w:trPr>
          <w:cantSplit/>
          <w:jc w:val="center"/>
        </w:trPr>
        <w:tc>
          <w:tcPr>
            <w:tcW w:w="687" w:type="pct"/>
            <w:shd w:val="clear" w:color="auto" w:fill="FFFFFF"/>
            <w:tcMar>
              <w:top w:w="0" w:type="dxa"/>
              <w:left w:w="0" w:type="dxa"/>
              <w:bottom w:w="0" w:type="dxa"/>
              <w:right w:w="0" w:type="dxa"/>
            </w:tcMar>
            <w:vAlign w:val="center"/>
          </w:tcPr>
          <w:p w14:paraId="4F8F83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1" w:type="pct"/>
            <w:shd w:val="clear" w:color="auto" w:fill="FFFFFF"/>
            <w:tcMar>
              <w:top w:w="0" w:type="dxa"/>
              <w:left w:w="0" w:type="dxa"/>
              <w:bottom w:w="0" w:type="dxa"/>
              <w:right w:w="0" w:type="dxa"/>
            </w:tcMar>
            <w:vAlign w:val="center"/>
          </w:tcPr>
          <w:p w14:paraId="4FA683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381" w:type="pct"/>
            <w:shd w:val="clear" w:color="auto" w:fill="FFFFFF"/>
            <w:tcMar>
              <w:top w:w="0" w:type="dxa"/>
              <w:left w:w="0" w:type="dxa"/>
              <w:bottom w:w="0" w:type="dxa"/>
              <w:right w:w="0" w:type="dxa"/>
            </w:tcMar>
            <w:vAlign w:val="center"/>
          </w:tcPr>
          <w:p w14:paraId="4203F8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D6D5A1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381</w:t>
            </w:r>
          </w:p>
        </w:tc>
        <w:tc>
          <w:tcPr>
            <w:tcW w:w="374" w:type="pct"/>
            <w:shd w:val="clear" w:color="auto" w:fill="FFFFFF"/>
            <w:tcMar>
              <w:top w:w="0" w:type="dxa"/>
              <w:left w:w="0" w:type="dxa"/>
              <w:bottom w:w="0" w:type="dxa"/>
              <w:right w:w="0" w:type="dxa"/>
            </w:tcMar>
            <w:vAlign w:val="center"/>
          </w:tcPr>
          <w:p w14:paraId="5726215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79" w:type="pct"/>
            <w:shd w:val="clear" w:color="auto" w:fill="FFFFFF"/>
            <w:tcMar>
              <w:top w:w="0" w:type="dxa"/>
              <w:left w:w="0" w:type="dxa"/>
              <w:bottom w:w="0" w:type="dxa"/>
              <w:right w:w="0" w:type="dxa"/>
            </w:tcMar>
            <w:vAlign w:val="center"/>
          </w:tcPr>
          <w:p w14:paraId="6CD9B9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diarrhoea</w:t>
            </w:r>
          </w:p>
        </w:tc>
        <w:tc>
          <w:tcPr>
            <w:tcW w:w="740" w:type="pct"/>
            <w:shd w:val="clear" w:color="auto" w:fill="FFFFFF"/>
            <w:tcMar>
              <w:top w:w="0" w:type="dxa"/>
              <w:left w:w="0" w:type="dxa"/>
              <w:bottom w:w="0" w:type="dxa"/>
              <w:right w:w="0" w:type="dxa"/>
            </w:tcMar>
            <w:vAlign w:val="center"/>
          </w:tcPr>
          <w:p w14:paraId="77A20A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1E8731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86" w:type="pct"/>
            <w:shd w:val="clear" w:color="auto" w:fill="FFFFFF"/>
            <w:tcMar>
              <w:top w:w="0" w:type="dxa"/>
              <w:left w:w="0" w:type="dxa"/>
              <w:bottom w:w="0" w:type="dxa"/>
              <w:right w:w="0" w:type="dxa"/>
            </w:tcMar>
            <w:vAlign w:val="center"/>
          </w:tcPr>
          <w:p w14:paraId="438F43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71" w:type="pct"/>
            <w:shd w:val="clear" w:color="auto" w:fill="FFFFFF"/>
            <w:tcMar>
              <w:top w:w="0" w:type="dxa"/>
              <w:left w:w="0" w:type="dxa"/>
              <w:bottom w:w="0" w:type="dxa"/>
              <w:right w:w="0" w:type="dxa"/>
            </w:tcMar>
            <w:vAlign w:val="center"/>
          </w:tcPr>
          <w:p w14:paraId="6A194810" w14:textId="715F82B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C8418F" w:rsidRPr="00734942" w14:paraId="4B731763" w14:textId="77777777" w:rsidTr="00DA0CBC">
        <w:trPr>
          <w:cantSplit/>
          <w:jc w:val="center"/>
        </w:trPr>
        <w:tc>
          <w:tcPr>
            <w:tcW w:w="687" w:type="pct"/>
            <w:shd w:val="clear" w:color="auto" w:fill="FFFFFF"/>
            <w:tcMar>
              <w:top w:w="0" w:type="dxa"/>
              <w:left w:w="0" w:type="dxa"/>
              <w:bottom w:w="0" w:type="dxa"/>
              <w:right w:w="0" w:type="dxa"/>
            </w:tcMar>
            <w:vAlign w:val="center"/>
          </w:tcPr>
          <w:p w14:paraId="68C541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1" w:type="pct"/>
            <w:shd w:val="clear" w:color="auto" w:fill="FFFFFF"/>
            <w:tcMar>
              <w:top w:w="0" w:type="dxa"/>
              <w:left w:w="0" w:type="dxa"/>
              <w:bottom w:w="0" w:type="dxa"/>
              <w:right w:w="0" w:type="dxa"/>
            </w:tcMar>
            <w:vAlign w:val="center"/>
          </w:tcPr>
          <w:p w14:paraId="726A2E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1" w:type="pct"/>
            <w:shd w:val="clear" w:color="auto" w:fill="FFFFFF"/>
            <w:tcMar>
              <w:top w:w="0" w:type="dxa"/>
              <w:left w:w="0" w:type="dxa"/>
              <w:bottom w:w="0" w:type="dxa"/>
              <w:right w:w="0" w:type="dxa"/>
            </w:tcMar>
            <w:vAlign w:val="center"/>
          </w:tcPr>
          <w:p w14:paraId="6E7C814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39782D6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1650</w:t>
            </w:r>
          </w:p>
        </w:tc>
        <w:tc>
          <w:tcPr>
            <w:tcW w:w="374" w:type="pct"/>
            <w:shd w:val="clear" w:color="auto" w:fill="FFFFFF"/>
            <w:tcMar>
              <w:top w:w="0" w:type="dxa"/>
              <w:left w:w="0" w:type="dxa"/>
              <w:bottom w:w="0" w:type="dxa"/>
              <w:right w:w="0" w:type="dxa"/>
            </w:tcMar>
            <w:vAlign w:val="center"/>
          </w:tcPr>
          <w:p w14:paraId="527198B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79" w:type="pct"/>
            <w:shd w:val="clear" w:color="auto" w:fill="FFFFFF"/>
            <w:tcMar>
              <w:top w:w="0" w:type="dxa"/>
              <w:left w:w="0" w:type="dxa"/>
              <w:bottom w:w="0" w:type="dxa"/>
              <w:right w:w="0" w:type="dxa"/>
            </w:tcMar>
            <w:vAlign w:val="center"/>
          </w:tcPr>
          <w:p w14:paraId="6AFC59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0" w:type="pct"/>
            <w:shd w:val="clear" w:color="auto" w:fill="FFFFFF"/>
            <w:tcMar>
              <w:top w:w="0" w:type="dxa"/>
              <w:left w:w="0" w:type="dxa"/>
              <w:bottom w:w="0" w:type="dxa"/>
              <w:right w:w="0" w:type="dxa"/>
            </w:tcMar>
            <w:vAlign w:val="center"/>
          </w:tcPr>
          <w:p w14:paraId="6E14C0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5" w:type="pct"/>
            <w:shd w:val="clear" w:color="auto" w:fill="FFFFFF"/>
            <w:tcMar>
              <w:top w:w="0" w:type="dxa"/>
              <w:left w:w="0" w:type="dxa"/>
              <w:bottom w:w="0" w:type="dxa"/>
              <w:right w:w="0" w:type="dxa"/>
            </w:tcMar>
            <w:vAlign w:val="center"/>
          </w:tcPr>
          <w:p w14:paraId="2D1DA8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86" w:type="pct"/>
            <w:shd w:val="clear" w:color="auto" w:fill="FFFFFF"/>
            <w:tcMar>
              <w:top w:w="0" w:type="dxa"/>
              <w:left w:w="0" w:type="dxa"/>
              <w:bottom w:w="0" w:type="dxa"/>
              <w:right w:w="0" w:type="dxa"/>
            </w:tcMar>
            <w:vAlign w:val="center"/>
          </w:tcPr>
          <w:p w14:paraId="65D0B0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71" w:type="pct"/>
            <w:shd w:val="clear" w:color="auto" w:fill="FFFFFF"/>
            <w:tcMar>
              <w:top w:w="0" w:type="dxa"/>
              <w:left w:w="0" w:type="dxa"/>
              <w:bottom w:w="0" w:type="dxa"/>
              <w:right w:w="0" w:type="dxa"/>
            </w:tcMar>
            <w:vAlign w:val="center"/>
          </w:tcPr>
          <w:p w14:paraId="121BB172" w14:textId="06F2701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PEVuZE5vdGU+PENpdGUgRXhjbHVkZUF1dGg9IjEiIEV4Y2x1ZGVZZWFyPSIxIj48QXV0aG9yPklt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PEVuZE5vdGU+PENpdGUgRXhjbHVkZUF1dGg9IjEiIEV4Y2x1ZGVZZWFyPSIxIj48QXV0aG9yPklt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347</w:t>
            </w:r>
            <w:r w:rsidRPr="00734942">
              <w:rPr>
                <w:rFonts w:ascii="Arial" w:eastAsia="Arial" w:hAnsi="Arial" w:cs="Arial"/>
                <w:color w:val="111111"/>
                <w:sz w:val="18"/>
                <w:szCs w:val="18"/>
              </w:rPr>
              <w:fldChar w:fldCharType="end"/>
            </w:r>
          </w:p>
        </w:tc>
      </w:tr>
      <w:tr w:rsidR="00C8418F" w:rsidRPr="00734942" w14:paraId="123603A7" w14:textId="77777777" w:rsidTr="00DA0CBC">
        <w:trPr>
          <w:cantSplit/>
          <w:jc w:val="center"/>
        </w:trPr>
        <w:tc>
          <w:tcPr>
            <w:tcW w:w="687" w:type="pct"/>
            <w:shd w:val="clear" w:color="auto" w:fill="FFFFFF"/>
            <w:tcMar>
              <w:top w:w="0" w:type="dxa"/>
              <w:left w:w="0" w:type="dxa"/>
              <w:bottom w:w="0" w:type="dxa"/>
              <w:right w:w="0" w:type="dxa"/>
            </w:tcMar>
            <w:vAlign w:val="center"/>
          </w:tcPr>
          <w:p w14:paraId="19551A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1" w:type="pct"/>
            <w:shd w:val="clear" w:color="auto" w:fill="FFFFFF"/>
            <w:tcMar>
              <w:top w:w="0" w:type="dxa"/>
              <w:left w:w="0" w:type="dxa"/>
              <w:bottom w:w="0" w:type="dxa"/>
              <w:right w:w="0" w:type="dxa"/>
            </w:tcMar>
            <w:vAlign w:val="center"/>
          </w:tcPr>
          <w:p w14:paraId="70F656B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35690D1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1A28BD3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4327</w:t>
            </w:r>
          </w:p>
        </w:tc>
        <w:tc>
          <w:tcPr>
            <w:tcW w:w="374" w:type="pct"/>
            <w:shd w:val="clear" w:color="auto" w:fill="FFFFFF"/>
            <w:tcMar>
              <w:top w:w="0" w:type="dxa"/>
              <w:left w:w="0" w:type="dxa"/>
              <w:bottom w:w="0" w:type="dxa"/>
              <w:right w:w="0" w:type="dxa"/>
            </w:tcMar>
            <w:vAlign w:val="center"/>
          </w:tcPr>
          <w:p w14:paraId="27EFE3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79" w:type="pct"/>
            <w:shd w:val="clear" w:color="auto" w:fill="FFFFFF"/>
            <w:tcMar>
              <w:top w:w="0" w:type="dxa"/>
              <w:left w:w="0" w:type="dxa"/>
              <w:bottom w:w="0" w:type="dxa"/>
              <w:right w:w="0" w:type="dxa"/>
            </w:tcMar>
            <w:vAlign w:val="center"/>
          </w:tcPr>
          <w:p w14:paraId="38EC6E9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diarrhoea</w:t>
            </w:r>
          </w:p>
        </w:tc>
        <w:tc>
          <w:tcPr>
            <w:tcW w:w="740" w:type="pct"/>
            <w:shd w:val="clear" w:color="auto" w:fill="FFFFFF"/>
            <w:tcMar>
              <w:top w:w="0" w:type="dxa"/>
              <w:left w:w="0" w:type="dxa"/>
              <w:bottom w:w="0" w:type="dxa"/>
              <w:right w:w="0" w:type="dxa"/>
            </w:tcMar>
            <w:vAlign w:val="center"/>
          </w:tcPr>
          <w:p w14:paraId="615BD7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5" w:type="pct"/>
            <w:shd w:val="clear" w:color="auto" w:fill="FFFFFF"/>
            <w:tcMar>
              <w:top w:w="0" w:type="dxa"/>
              <w:left w:w="0" w:type="dxa"/>
              <w:bottom w:w="0" w:type="dxa"/>
              <w:right w:w="0" w:type="dxa"/>
            </w:tcMar>
            <w:vAlign w:val="center"/>
          </w:tcPr>
          <w:p w14:paraId="1B69DC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47475E8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71" w:type="pct"/>
            <w:shd w:val="clear" w:color="auto" w:fill="FFFFFF"/>
            <w:tcMar>
              <w:top w:w="0" w:type="dxa"/>
              <w:left w:w="0" w:type="dxa"/>
              <w:bottom w:w="0" w:type="dxa"/>
              <w:right w:w="0" w:type="dxa"/>
            </w:tcMar>
            <w:vAlign w:val="center"/>
          </w:tcPr>
          <w:p w14:paraId="1801A57A" w14:textId="6DC9308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63</w:t>
            </w:r>
            <w:r w:rsidRPr="00734942">
              <w:rPr>
                <w:rFonts w:ascii="Arial" w:eastAsia="Arial" w:hAnsi="Arial" w:cs="Arial"/>
                <w:color w:val="111111"/>
                <w:sz w:val="18"/>
                <w:szCs w:val="18"/>
              </w:rPr>
              <w:fldChar w:fldCharType="end"/>
            </w:r>
          </w:p>
        </w:tc>
      </w:tr>
      <w:tr w:rsidR="00C8418F" w:rsidRPr="00734942" w14:paraId="0C9899A6" w14:textId="77777777" w:rsidTr="00DA0CBC">
        <w:trPr>
          <w:cantSplit/>
          <w:jc w:val="center"/>
        </w:trPr>
        <w:tc>
          <w:tcPr>
            <w:tcW w:w="687" w:type="pct"/>
            <w:shd w:val="clear" w:color="auto" w:fill="FFFFFF"/>
            <w:tcMar>
              <w:top w:w="0" w:type="dxa"/>
              <w:left w:w="0" w:type="dxa"/>
              <w:bottom w:w="0" w:type="dxa"/>
              <w:right w:w="0" w:type="dxa"/>
            </w:tcMar>
            <w:vAlign w:val="center"/>
          </w:tcPr>
          <w:p w14:paraId="3D36D8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1" w:type="pct"/>
            <w:shd w:val="clear" w:color="auto" w:fill="FFFFFF"/>
            <w:tcMar>
              <w:top w:w="0" w:type="dxa"/>
              <w:left w:w="0" w:type="dxa"/>
              <w:bottom w:w="0" w:type="dxa"/>
              <w:right w:w="0" w:type="dxa"/>
            </w:tcMar>
            <w:vAlign w:val="center"/>
          </w:tcPr>
          <w:p w14:paraId="7C163D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7C49C9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35C14CD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18602</w:t>
            </w:r>
          </w:p>
        </w:tc>
        <w:tc>
          <w:tcPr>
            <w:tcW w:w="374" w:type="pct"/>
            <w:shd w:val="clear" w:color="auto" w:fill="FFFFFF"/>
            <w:tcMar>
              <w:top w:w="0" w:type="dxa"/>
              <w:left w:w="0" w:type="dxa"/>
              <w:bottom w:w="0" w:type="dxa"/>
              <w:right w:w="0" w:type="dxa"/>
            </w:tcMar>
            <w:vAlign w:val="center"/>
          </w:tcPr>
          <w:p w14:paraId="53AE944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79" w:type="pct"/>
            <w:shd w:val="clear" w:color="auto" w:fill="FFFFFF"/>
            <w:tcMar>
              <w:top w:w="0" w:type="dxa"/>
              <w:left w:w="0" w:type="dxa"/>
              <w:bottom w:w="0" w:type="dxa"/>
              <w:right w:w="0" w:type="dxa"/>
            </w:tcMar>
            <w:vAlign w:val="center"/>
          </w:tcPr>
          <w:p w14:paraId="6B7B210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diarrhoea</w:t>
            </w:r>
          </w:p>
        </w:tc>
        <w:tc>
          <w:tcPr>
            <w:tcW w:w="740" w:type="pct"/>
            <w:shd w:val="clear" w:color="auto" w:fill="FFFFFF"/>
            <w:tcMar>
              <w:top w:w="0" w:type="dxa"/>
              <w:left w:w="0" w:type="dxa"/>
              <w:bottom w:w="0" w:type="dxa"/>
              <w:right w:w="0" w:type="dxa"/>
            </w:tcMar>
            <w:vAlign w:val="center"/>
          </w:tcPr>
          <w:p w14:paraId="6DAF4D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5" w:type="pct"/>
            <w:shd w:val="clear" w:color="auto" w:fill="FFFFFF"/>
            <w:tcMar>
              <w:top w:w="0" w:type="dxa"/>
              <w:left w:w="0" w:type="dxa"/>
              <w:bottom w:w="0" w:type="dxa"/>
              <w:right w:w="0" w:type="dxa"/>
            </w:tcMar>
            <w:vAlign w:val="center"/>
          </w:tcPr>
          <w:p w14:paraId="7947C0B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50B8AB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1" w:type="pct"/>
            <w:shd w:val="clear" w:color="auto" w:fill="FFFFFF"/>
            <w:tcMar>
              <w:top w:w="0" w:type="dxa"/>
              <w:left w:w="0" w:type="dxa"/>
              <w:bottom w:w="0" w:type="dxa"/>
              <w:right w:w="0" w:type="dxa"/>
            </w:tcMar>
            <w:vAlign w:val="center"/>
          </w:tcPr>
          <w:p w14:paraId="57986647" w14:textId="223F63D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C8418F" w:rsidRPr="00734942" w14:paraId="13A70E19" w14:textId="77777777" w:rsidTr="00DA0CBC">
        <w:trPr>
          <w:cantSplit/>
          <w:jc w:val="center"/>
        </w:trPr>
        <w:tc>
          <w:tcPr>
            <w:tcW w:w="687" w:type="pct"/>
            <w:shd w:val="clear" w:color="auto" w:fill="FFFFFF"/>
            <w:tcMar>
              <w:top w:w="0" w:type="dxa"/>
              <w:left w:w="0" w:type="dxa"/>
              <w:bottom w:w="0" w:type="dxa"/>
              <w:right w:w="0" w:type="dxa"/>
            </w:tcMar>
            <w:vAlign w:val="center"/>
          </w:tcPr>
          <w:p w14:paraId="554B1F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1" w:type="pct"/>
            <w:shd w:val="clear" w:color="auto" w:fill="FFFFFF"/>
            <w:tcMar>
              <w:top w:w="0" w:type="dxa"/>
              <w:left w:w="0" w:type="dxa"/>
              <w:bottom w:w="0" w:type="dxa"/>
              <w:right w:w="0" w:type="dxa"/>
            </w:tcMar>
            <w:vAlign w:val="center"/>
          </w:tcPr>
          <w:p w14:paraId="3DFE22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59831B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15C9CDF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3015</w:t>
            </w:r>
          </w:p>
        </w:tc>
        <w:tc>
          <w:tcPr>
            <w:tcW w:w="374" w:type="pct"/>
            <w:shd w:val="clear" w:color="auto" w:fill="FFFFFF"/>
            <w:tcMar>
              <w:top w:w="0" w:type="dxa"/>
              <w:left w:w="0" w:type="dxa"/>
              <w:bottom w:w="0" w:type="dxa"/>
              <w:right w:w="0" w:type="dxa"/>
            </w:tcMar>
            <w:vAlign w:val="center"/>
          </w:tcPr>
          <w:p w14:paraId="79EF117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79" w:type="pct"/>
            <w:shd w:val="clear" w:color="auto" w:fill="FFFFFF"/>
            <w:tcMar>
              <w:top w:w="0" w:type="dxa"/>
              <w:left w:w="0" w:type="dxa"/>
              <w:bottom w:w="0" w:type="dxa"/>
              <w:right w:w="0" w:type="dxa"/>
            </w:tcMar>
            <w:vAlign w:val="center"/>
          </w:tcPr>
          <w:p w14:paraId="637EA7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diarrhoea</w:t>
            </w:r>
          </w:p>
        </w:tc>
        <w:tc>
          <w:tcPr>
            <w:tcW w:w="740" w:type="pct"/>
            <w:shd w:val="clear" w:color="auto" w:fill="FFFFFF"/>
            <w:tcMar>
              <w:top w:w="0" w:type="dxa"/>
              <w:left w:w="0" w:type="dxa"/>
              <w:bottom w:w="0" w:type="dxa"/>
              <w:right w:w="0" w:type="dxa"/>
            </w:tcMar>
            <w:vAlign w:val="center"/>
          </w:tcPr>
          <w:p w14:paraId="0CFDF0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505" w:type="pct"/>
            <w:shd w:val="clear" w:color="auto" w:fill="FFFFFF"/>
            <w:tcMar>
              <w:top w:w="0" w:type="dxa"/>
              <w:left w:w="0" w:type="dxa"/>
              <w:bottom w:w="0" w:type="dxa"/>
              <w:right w:w="0" w:type="dxa"/>
            </w:tcMar>
            <w:vAlign w:val="center"/>
          </w:tcPr>
          <w:p w14:paraId="04F921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64870F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71" w:type="pct"/>
            <w:shd w:val="clear" w:color="auto" w:fill="FFFFFF"/>
            <w:tcMar>
              <w:top w:w="0" w:type="dxa"/>
              <w:left w:w="0" w:type="dxa"/>
              <w:bottom w:w="0" w:type="dxa"/>
              <w:right w:w="0" w:type="dxa"/>
            </w:tcMar>
            <w:vAlign w:val="center"/>
          </w:tcPr>
          <w:p w14:paraId="2C715A6F" w14:textId="3E74DCA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C8418F" w:rsidRPr="00734942" w14:paraId="5EF409A1" w14:textId="77777777" w:rsidTr="00DA0CBC">
        <w:trPr>
          <w:cantSplit/>
          <w:jc w:val="center"/>
        </w:trPr>
        <w:tc>
          <w:tcPr>
            <w:tcW w:w="687" w:type="pct"/>
            <w:shd w:val="clear" w:color="auto" w:fill="FFFFFF"/>
            <w:tcMar>
              <w:top w:w="0" w:type="dxa"/>
              <w:left w:w="0" w:type="dxa"/>
              <w:bottom w:w="0" w:type="dxa"/>
              <w:right w:w="0" w:type="dxa"/>
            </w:tcMar>
            <w:vAlign w:val="center"/>
          </w:tcPr>
          <w:p w14:paraId="0AD48A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1" w:type="pct"/>
            <w:shd w:val="clear" w:color="auto" w:fill="FFFFFF"/>
            <w:tcMar>
              <w:top w:w="0" w:type="dxa"/>
              <w:left w:w="0" w:type="dxa"/>
              <w:bottom w:w="0" w:type="dxa"/>
              <w:right w:w="0" w:type="dxa"/>
            </w:tcMar>
            <w:vAlign w:val="center"/>
          </w:tcPr>
          <w:p w14:paraId="16C9C4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1" w:type="pct"/>
            <w:shd w:val="clear" w:color="auto" w:fill="FFFFFF"/>
            <w:tcMar>
              <w:top w:w="0" w:type="dxa"/>
              <w:left w:w="0" w:type="dxa"/>
              <w:bottom w:w="0" w:type="dxa"/>
              <w:right w:w="0" w:type="dxa"/>
            </w:tcMar>
            <w:vAlign w:val="center"/>
          </w:tcPr>
          <w:p w14:paraId="5589DB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Diarrhoea</w:t>
            </w:r>
          </w:p>
        </w:tc>
        <w:tc>
          <w:tcPr>
            <w:tcW w:w="316" w:type="pct"/>
            <w:shd w:val="clear" w:color="auto" w:fill="FFFFFF"/>
            <w:tcMar>
              <w:top w:w="0" w:type="dxa"/>
              <w:left w:w="0" w:type="dxa"/>
              <w:bottom w:w="0" w:type="dxa"/>
              <w:right w:w="0" w:type="dxa"/>
            </w:tcMar>
            <w:vAlign w:val="center"/>
          </w:tcPr>
          <w:p w14:paraId="24BBD30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3715</w:t>
            </w:r>
          </w:p>
        </w:tc>
        <w:tc>
          <w:tcPr>
            <w:tcW w:w="374" w:type="pct"/>
            <w:shd w:val="clear" w:color="auto" w:fill="FFFFFF"/>
            <w:tcMar>
              <w:top w:w="0" w:type="dxa"/>
              <w:left w:w="0" w:type="dxa"/>
              <w:bottom w:w="0" w:type="dxa"/>
              <w:right w:w="0" w:type="dxa"/>
            </w:tcMar>
            <w:vAlign w:val="center"/>
          </w:tcPr>
          <w:p w14:paraId="549CADE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79" w:type="pct"/>
            <w:shd w:val="clear" w:color="auto" w:fill="FFFFFF"/>
            <w:tcMar>
              <w:top w:w="0" w:type="dxa"/>
              <w:left w:w="0" w:type="dxa"/>
              <w:bottom w:w="0" w:type="dxa"/>
              <w:right w:w="0" w:type="dxa"/>
            </w:tcMar>
            <w:vAlign w:val="center"/>
          </w:tcPr>
          <w:p w14:paraId="19C968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diarrhoea</w:t>
            </w:r>
          </w:p>
        </w:tc>
        <w:tc>
          <w:tcPr>
            <w:tcW w:w="740" w:type="pct"/>
            <w:shd w:val="clear" w:color="auto" w:fill="FFFFFF"/>
            <w:tcMar>
              <w:top w:w="0" w:type="dxa"/>
              <w:left w:w="0" w:type="dxa"/>
              <w:bottom w:w="0" w:type="dxa"/>
              <w:right w:w="0" w:type="dxa"/>
            </w:tcMar>
            <w:vAlign w:val="center"/>
          </w:tcPr>
          <w:p w14:paraId="5EB0D1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505" w:type="pct"/>
            <w:shd w:val="clear" w:color="auto" w:fill="FFFFFF"/>
            <w:tcMar>
              <w:top w:w="0" w:type="dxa"/>
              <w:left w:w="0" w:type="dxa"/>
              <w:bottom w:w="0" w:type="dxa"/>
              <w:right w:w="0" w:type="dxa"/>
            </w:tcMar>
            <w:vAlign w:val="center"/>
          </w:tcPr>
          <w:p w14:paraId="406C0B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86" w:type="pct"/>
            <w:shd w:val="clear" w:color="auto" w:fill="FFFFFF"/>
            <w:tcMar>
              <w:top w:w="0" w:type="dxa"/>
              <w:left w:w="0" w:type="dxa"/>
              <w:bottom w:w="0" w:type="dxa"/>
              <w:right w:w="0" w:type="dxa"/>
            </w:tcMar>
            <w:vAlign w:val="center"/>
          </w:tcPr>
          <w:p w14:paraId="0BFCF3B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71" w:type="pct"/>
            <w:shd w:val="clear" w:color="auto" w:fill="FFFFFF"/>
            <w:tcMar>
              <w:top w:w="0" w:type="dxa"/>
              <w:left w:w="0" w:type="dxa"/>
              <w:bottom w:w="0" w:type="dxa"/>
              <w:right w:w="0" w:type="dxa"/>
            </w:tcMar>
            <w:vAlign w:val="center"/>
          </w:tcPr>
          <w:p w14:paraId="021E4970" w14:textId="7ACB8F4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183</w:t>
            </w:r>
            <w:r w:rsidRPr="00734942">
              <w:rPr>
                <w:rFonts w:ascii="Arial" w:eastAsia="Arial" w:hAnsi="Arial" w:cs="Arial"/>
                <w:color w:val="111111"/>
                <w:sz w:val="18"/>
                <w:szCs w:val="18"/>
              </w:rPr>
              <w:fldChar w:fldCharType="end"/>
            </w:r>
          </w:p>
        </w:tc>
      </w:tr>
      <w:tr w:rsidR="00C8418F" w:rsidRPr="00734942" w14:paraId="1E59D73A" w14:textId="77777777" w:rsidTr="00DA0CBC">
        <w:trPr>
          <w:cantSplit/>
          <w:jc w:val="center"/>
        </w:trPr>
        <w:tc>
          <w:tcPr>
            <w:tcW w:w="687" w:type="pct"/>
            <w:tcBorders>
              <w:bottom w:val="single" w:sz="16" w:space="0" w:color="000000"/>
            </w:tcBorders>
            <w:shd w:val="clear" w:color="auto" w:fill="FFFFFF"/>
            <w:tcMar>
              <w:top w:w="0" w:type="dxa"/>
              <w:left w:w="0" w:type="dxa"/>
              <w:bottom w:w="0" w:type="dxa"/>
              <w:right w:w="0" w:type="dxa"/>
            </w:tcMar>
            <w:vAlign w:val="center"/>
          </w:tcPr>
          <w:p w14:paraId="53224B5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61" w:type="pct"/>
            <w:tcBorders>
              <w:bottom w:val="single" w:sz="16" w:space="0" w:color="000000"/>
            </w:tcBorders>
            <w:shd w:val="clear" w:color="auto" w:fill="FFFFFF"/>
            <w:tcMar>
              <w:top w:w="0" w:type="dxa"/>
              <w:left w:w="0" w:type="dxa"/>
              <w:bottom w:w="0" w:type="dxa"/>
              <w:right w:w="0" w:type="dxa"/>
            </w:tcMar>
            <w:vAlign w:val="center"/>
          </w:tcPr>
          <w:p w14:paraId="65B04D7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381" w:type="pct"/>
            <w:tcBorders>
              <w:bottom w:val="single" w:sz="16" w:space="0" w:color="000000"/>
            </w:tcBorders>
            <w:shd w:val="clear" w:color="auto" w:fill="FFFFFF"/>
            <w:tcMar>
              <w:top w:w="0" w:type="dxa"/>
              <w:left w:w="0" w:type="dxa"/>
              <w:bottom w:w="0" w:type="dxa"/>
              <w:right w:w="0" w:type="dxa"/>
            </w:tcMar>
            <w:vAlign w:val="center"/>
          </w:tcPr>
          <w:p w14:paraId="3799F0A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Diarrhoea</w:t>
            </w:r>
          </w:p>
        </w:tc>
        <w:tc>
          <w:tcPr>
            <w:tcW w:w="316" w:type="pct"/>
            <w:tcBorders>
              <w:bottom w:val="single" w:sz="16" w:space="0" w:color="000000"/>
            </w:tcBorders>
            <w:shd w:val="clear" w:color="auto" w:fill="FFFFFF"/>
            <w:tcMar>
              <w:top w:w="0" w:type="dxa"/>
              <w:left w:w="0" w:type="dxa"/>
              <w:bottom w:w="0" w:type="dxa"/>
              <w:right w:w="0" w:type="dxa"/>
            </w:tcMar>
            <w:vAlign w:val="center"/>
          </w:tcPr>
          <w:p w14:paraId="27B1351E"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9,918</w:t>
            </w:r>
          </w:p>
        </w:tc>
        <w:tc>
          <w:tcPr>
            <w:tcW w:w="374" w:type="pct"/>
            <w:tcBorders>
              <w:bottom w:val="single" w:sz="16" w:space="0" w:color="000000"/>
            </w:tcBorders>
            <w:shd w:val="clear" w:color="auto" w:fill="FFFFFF"/>
            <w:tcMar>
              <w:top w:w="0" w:type="dxa"/>
              <w:left w:w="0" w:type="dxa"/>
              <w:bottom w:w="0" w:type="dxa"/>
              <w:right w:w="0" w:type="dxa"/>
            </w:tcMar>
            <w:vAlign w:val="center"/>
          </w:tcPr>
          <w:p w14:paraId="544F9790"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51-75%</w:t>
            </w:r>
          </w:p>
        </w:tc>
        <w:tc>
          <w:tcPr>
            <w:tcW w:w="579" w:type="pct"/>
            <w:tcBorders>
              <w:bottom w:val="single" w:sz="16" w:space="0" w:color="000000"/>
            </w:tcBorders>
            <w:shd w:val="clear" w:color="auto" w:fill="FFFFFF"/>
            <w:tcMar>
              <w:top w:w="0" w:type="dxa"/>
              <w:left w:w="0" w:type="dxa"/>
              <w:bottom w:w="0" w:type="dxa"/>
              <w:right w:w="0" w:type="dxa"/>
            </w:tcMar>
            <w:vAlign w:val="center"/>
          </w:tcPr>
          <w:p w14:paraId="0C765D1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diarrhoea</w:t>
            </w:r>
          </w:p>
        </w:tc>
        <w:tc>
          <w:tcPr>
            <w:tcW w:w="740" w:type="pct"/>
            <w:tcBorders>
              <w:bottom w:val="single" w:sz="16" w:space="0" w:color="000000"/>
            </w:tcBorders>
            <w:shd w:val="clear" w:color="auto" w:fill="FFFFFF"/>
            <w:tcMar>
              <w:top w:w="0" w:type="dxa"/>
              <w:left w:w="0" w:type="dxa"/>
              <w:bottom w:w="0" w:type="dxa"/>
              <w:right w:w="0" w:type="dxa"/>
            </w:tcMar>
            <w:vAlign w:val="center"/>
          </w:tcPr>
          <w:p w14:paraId="33DDCC7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505" w:type="pct"/>
            <w:tcBorders>
              <w:bottom w:val="single" w:sz="16" w:space="0" w:color="000000"/>
            </w:tcBorders>
            <w:shd w:val="clear" w:color="auto" w:fill="FFFFFF"/>
            <w:tcMar>
              <w:top w:w="0" w:type="dxa"/>
              <w:left w:w="0" w:type="dxa"/>
              <w:bottom w:w="0" w:type="dxa"/>
              <w:right w:w="0" w:type="dxa"/>
            </w:tcMar>
            <w:vAlign w:val="center"/>
          </w:tcPr>
          <w:p w14:paraId="5EF8CE6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86" w:type="pct"/>
            <w:tcBorders>
              <w:bottom w:val="single" w:sz="16" w:space="0" w:color="000000"/>
            </w:tcBorders>
            <w:shd w:val="clear" w:color="auto" w:fill="FFFFFF"/>
            <w:tcMar>
              <w:top w:w="0" w:type="dxa"/>
              <w:left w:w="0" w:type="dxa"/>
              <w:bottom w:w="0" w:type="dxa"/>
              <w:right w:w="0" w:type="dxa"/>
            </w:tcMar>
            <w:vAlign w:val="center"/>
          </w:tcPr>
          <w:p w14:paraId="0A13774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1" w:type="pct"/>
            <w:tcBorders>
              <w:bottom w:val="single" w:sz="16" w:space="0" w:color="000000"/>
            </w:tcBorders>
            <w:shd w:val="clear" w:color="auto" w:fill="FFFFFF"/>
            <w:tcMar>
              <w:top w:w="0" w:type="dxa"/>
              <w:left w:w="0" w:type="dxa"/>
              <w:bottom w:w="0" w:type="dxa"/>
              <w:right w:w="0" w:type="dxa"/>
            </w:tcMar>
            <w:vAlign w:val="center"/>
          </w:tcPr>
          <w:p w14:paraId="27D480B1" w14:textId="6EED1754"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bl>
    <w:p w14:paraId="77A28623" w14:textId="77777777" w:rsidR="007B756D" w:rsidRPr="00734942" w:rsidRDefault="007B756D" w:rsidP="007B756D"/>
    <w:p w14:paraId="3C8EEAC1" w14:textId="70046B4E" w:rsidR="00DA0CBC" w:rsidRDefault="00DA0CBC" w:rsidP="000526F1">
      <w:pPr>
        <w:pStyle w:val="Caption"/>
      </w:pPr>
      <w:bookmarkStart w:id="371" w:name="_Toc99720744"/>
      <w:r>
        <w:lastRenderedPageBreak/>
        <w:t xml:space="preserve">Table </w:t>
      </w:r>
      <w:r w:rsidR="00C34531">
        <w:fldChar w:fldCharType="begin"/>
      </w:r>
      <w:r w:rsidR="00C34531">
        <w:instrText xml:space="preserve"> SEQ Table \* ARABIC </w:instrText>
      </w:r>
      <w:r w:rsidR="00C34531">
        <w:fldChar w:fldCharType="separate"/>
      </w:r>
      <w:r w:rsidR="008B5583">
        <w:rPr>
          <w:noProof/>
        </w:rPr>
        <w:t>33</w:t>
      </w:r>
      <w:r w:rsidR="00C34531">
        <w:rPr>
          <w:noProof/>
        </w:rPr>
        <w:fldChar w:fldCharType="end"/>
      </w:r>
      <w:r>
        <w:t xml:space="preserve">  </w:t>
      </w:r>
      <w:r w:rsidRPr="00864BB0">
        <w:t>Study characteristics: Epilepsy</w:t>
      </w:r>
      <w:bookmarkEnd w:id="371"/>
    </w:p>
    <w:tbl>
      <w:tblPr>
        <w:tblW w:w="5000" w:type="pct"/>
        <w:jc w:val="center"/>
        <w:tblLook w:val="0420" w:firstRow="1" w:lastRow="0" w:firstColumn="0" w:lastColumn="0" w:noHBand="0" w:noVBand="1"/>
      </w:tblPr>
      <w:tblGrid>
        <w:gridCol w:w="1850"/>
        <w:gridCol w:w="1568"/>
        <w:gridCol w:w="1411"/>
        <w:gridCol w:w="857"/>
        <w:gridCol w:w="1027"/>
        <w:gridCol w:w="1834"/>
        <w:gridCol w:w="2091"/>
        <w:gridCol w:w="1407"/>
        <w:gridCol w:w="882"/>
        <w:gridCol w:w="1031"/>
      </w:tblGrid>
      <w:tr w:rsidR="00C8418F" w:rsidRPr="00734942" w14:paraId="2BBC76C4" w14:textId="77777777" w:rsidTr="00DA0CBC">
        <w:trPr>
          <w:cantSplit/>
          <w:tblHeader/>
          <w:jc w:val="center"/>
        </w:trPr>
        <w:tc>
          <w:tcPr>
            <w:tcW w:w="66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2A46A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6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8A6A04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50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B5E79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275D91F"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6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E1738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5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BEBEA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4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484371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50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F4226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7C713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B4331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55CEACD8" w14:textId="77777777" w:rsidTr="00DA0CBC">
        <w:trPr>
          <w:cantSplit/>
          <w:jc w:val="center"/>
        </w:trPr>
        <w:tc>
          <w:tcPr>
            <w:tcW w:w="663" w:type="pct"/>
            <w:shd w:val="clear" w:color="auto" w:fill="FFFFFF"/>
            <w:tcMar>
              <w:top w:w="0" w:type="dxa"/>
              <w:left w:w="0" w:type="dxa"/>
              <w:bottom w:w="0" w:type="dxa"/>
              <w:right w:w="0" w:type="dxa"/>
            </w:tcMar>
            <w:vAlign w:val="center"/>
          </w:tcPr>
          <w:p w14:paraId="782510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2" w:type="pct"/>
            <w:shd w:val="clear" w:color="auto" w:fill="FFFFFF"/>
            <w:tcMar>
              <w:top w:w="0" w:type="dxa"/>
              <w:left w:w="0" w:type="dxa"/>
              <w:bottom w:w="0" w:type="dxa"/>
              <w:right w:w="0" w:type="dxa"/>
            </w:tcMar>
            <w:vAlign w:val="center"/>
          </w:tcPr>
          <w:p w14:paraId="41061D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229DD8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1C86963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1427</w:t>
            </w:r>
          </w:p>
        </w:tc>
        <w:tc>
          <w:tcPr>
            <w:tcW w:w="368" w:type="pct"/>
            <w:shd w:val="clear" w:color="auto" w:fill="FFFFFF"/>
            <w:tcMar>
              <w:top w:w="0" w:type="dxa"/>
              <w:left w:w="0" w:type="dxa"/>
              <w:bottom w:w="0" w:type="dxa"/>
              <w:right w:w="0" w:type="dxa"/>
            </w:tcMar>
            <w:vAlign w:val="center"/>
          </w:tcPr>
          <w:p w14:paraId="723C8F6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7" w:type="pct"/>
            <w:shd w:val="clear" w:color="auto" w:fill="FFFFFF"/>
            <w:tcMar>
              <w:top w:w="0" w:type="dxa"/>
              <w:left w:w="0" w:type="dxa"/>
              <w:bottom w:w="0" w:type="dxa"/>
              <w:right w:w="0" w:type="dxa"/>
            </w:tcMar>
            <w:vAlign w:val="center"/>
          </w:tcPr>
          <w:p w14:paraId="1856EF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5A3CAB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504" w:type="pct"/>
            <w:shd w:val="clear" w:color="auto" w:fill="FFFFFF"/>
            <w:tcMar>
              <w:top w:w="0" w:type="dxa"/>
              <w:left w:w="0" w:type="dxa"/>
              <w:bottom w:w="0" w:type="dxa"/>
              <w:right w:w="0" w:type="dxa"/>
            </w:tcMar>
            <w:vAlign w:val="center"/>
          </w:tcPr>
          <w:p w14:paraId="649212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52E0EE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1A3A9E11" w14:textId="30B0781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PEVuZE5vdGU+PENpdGUgRXhjbHVkZUF1dGg9IjEiIEV4Y2x1ZGVZZWFyPSIxIj48QXV0aG9yPlJh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PEVuZE5vdGU+PENpdGUgRXhjbHVkZUF1dGg9IjEiIEV4Y2x1ZGVZZWFyPSIxIj48QXV0aG9yPlJh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348</w:t>
            </w:r>
            <w:r w:rsidRPr="00734942">
              <w:rPr>
                <w:rFonts w:ascii="Arial" w:eastAsia="Arial" w:hAnsi="Arial" w:cs="Arial"/>
                <w:color w:val="111111"/>
                <w:sz w:val="18"/>
                <w:szCs w:val="18"/>
              </w:rPr>
              <w:fldChar w:fldCharType="end"/>
            </w:r>
          </w:p>
        </w:tc>
      </w:tr>
      <w:tr w:rsidR="00C8418F" w:rsidRPr="00734942" w14:paraId="2F314B8D" w14:textId="77777777" w:rsidTr="00DA0CBC">
        <w:trPr>
          <w:cantSplit/>
          <w:jc w:val="center"/>
        </w:trPr>
        <w:tc>
          <w:tcPr>
            <w:tcW w:w="663" w:type="pct"/>
            <w:shd w:val="clear" w:color="auto" w:fill="FFFFFF"/>
            <w:tcMar>
              <w:top w:w="0" w:type="dxa"/>
              <w:left w:w="0" w:type="dxa"/>
              <w:bottom w:w="0" w:type="dxa"/>
              <w:right w:w="0" w:type="dxa"/>
            </w:tcMar>
            <w:vAlign w:val="center"/>
          </w:tcPr>
          <w:p w14:paraId="74C9BCE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62" w:type="pct"/>
            <w:shd w:val="clear" w:color="auto" w:fill="FFFFFF"/>
            <w:tcMar>
              <w:top w:w="0" w:type="dxa"/>
              <w:left w:w="0" w:type="dxa"/>
              <w:bottom w:w="0" w:type="dxa"/>
              <w:right w:w="0" w:type="dxa"/>
            </w:tcMar>
            <w:vAlign w:val="center"/>
          </w:tcPr>
          <w:p w14:paraId="7A619D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505" w:type="pct"/>
            <w:shd w:val="clear" w:color="auto" w:fill="FFFFFF"/>
            <w:tcMar>
              <w:top w:w="0" w:type="dxa"/>
              <w:left w:w="0" w:type="dxa"/>
              <w:bottom w:w="0" w:type="dxa"/>
              <w:right w:w="0" w:type="dxa"/>
            </w:tcMar>
            <w:vAlign w:val="center"/>
          </w:tcPr>
          <w:p w14:paraId="0DE4036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Epilepsy/ataxia</w:t>
            </w:r>
          </w:p>
        </w:tc>
        <w:tc>
          <w:tcPr>
            <w:tcW w:w="307" w:type="pct"/>
            <w:shd w:val="clear" w:color="auto" w:fill="FFFFFF"/>
            <w:tcMar>
              <w:top w:w="0" w:type="dxa"/>
              <w:left w:w="0" w:type="dxa"/>
              <w:bottom w:w="0" w:type="dxa"/>
              <w:right w:w="0" w:type="dxa"/>
            </w:tcMar>
            <w:vAlign w:val="center"/>
          </w:tcPr>
          <w:p w14:paraId="7F63606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68" w:type="pct"/>
            <w:shd w:val="clear" w:color="auto" w:fill="FFFFFF"/>
            <w:tcMar>
              <w:top w:w="0" w:type="dxa"/>
              <w:left w:w="0" w:type="dxa"/>
              <w:bottom w:w="0" w:type="dxa"/>
              <w:right w:w="0" w:type="dxa"/>
            </w:tcMar>
            <w:vAlign w:val="center"/>
          </w:tcPr>
          <w:p w14:paraId="2276556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7" w:type="pct"/>
            <w:shd w:val="clear" w:color="auto" w:fill="FFFFFF"/>
            <w:tcMar>
              <w:top w:w="0" w:type="dxa"/>
              <w:left w:w="0" w:type="dxa"/>
              <w:bottom w:w="0" w:type="dxa"/>
              <w:right w:w="0" w:type="dxa"/>
            </w:tcMar>
            <w:vAlign w:val="center"/>
          </w:tcPr>
          <w:p w14:paraId="30B6AE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epilepsy/ataxia</w:t>
            </w:r>
          </w:p>
        </w:tc>
        <w:tc>
          <w:tcPr>
            <w:tcW w:w="749" w:type="pct"/>
            <w:shd w:val="clear" w:color="auto" w:fill="FFFFFF"/>
            <w:tcMar>
              <w:top w:w="0" w:type="dxa"/>
              <w:left w:w="0" w:type="dxa"/>
              <w:bottom w:w="0" w:type="dxa"/>
              <w:right w:w="0" w:type="dxa"/>
            </w:tcMar>
            <w:vAlign w:val="center"/>
          </w:tcPr>
          <w:p w14:paraId="6B504D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504" w:type="pct"/>
            <w:shd w:val="clear" w:color="auto" w:fill="FFFFFF"/>
            <w:tcMar>
              <w:top w:w="0" w:type="dxa"/>
              <w:left w:w="0" w:type="dxa"/>
              <w:bottom w:w="0" w:type="dxa"/>
              <w:right w:w="0" w:type="dxa"/>
            </w:tcMar>
            <w:vAlign w:val="center"/>
          </w:tcPr>
          <w:p w14:paraId="02B221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16" w:type="pct"/>
            <w:shd w:val="clear" w:color="auto" w:fill="FFFFFF"/>
            <w:tcMar>
              <w:top w:w="0" w:type="dxa"/>
              <w:left w:w="0" w:type="dxa"/>
              <w:bottom w:w="0" w:type="dxa"/>
              <w:right w:w="0" w:type="dxa"/>
            </w:tcMar>
            <w:vAlign w:val="center"/>
          </w:tcPr>
          <w:p w14:paraId="06B50F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6B336EDF" w14:textId="0DF7B0A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55F63714" w14:textId="77777777" w:rsidTr="00DA0CBC">
        <w:trPr>
          <w:cantSplit/>
          <w:jc w:val="center"/>
        </w:trPr>
        <w:tc>
          <w:tcPr>
            <w:tcW w:w="663" w:type="pct"/>
            <w:shd w:val="clear" w:color="auto" w:fill="FFFFFF"/>
            <w:tcMar>
              <w:top w:w="0" w:type="dxa"/>
              <w:left w:w="0" w:type="dxa"/>
              <w:bottom w:w="0" w:type="dxa"/>
              <w:right w:w="0" w:type="dxa"/>
            </w:tcMar>
            <w:vAlign w:val="center"/>
          </w:tcPr>
          <w:p w14:paraId="112C36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6826D03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340E71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2916935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535</w:t>
            </w:r>
          </w:p>
        </w:tc>
        <w:tc>
          <w:tcPr>
            <w:tcW w:w="368" w:type="pct"/>
            <w:shd w:val="clear" w:color="auto" w:fill="FFFFFF"/>
            <w:tcMar>
              <w:top w:w="0" w:type="dxa"/>
              <w:left w:w="0" w:type="dxa"/>
              <w:bottom w:w="0" w:type="dxa"/>
              <w:right w:w="0" w:type="dxa"/>
            </w:tcMar>
            <w:vAlign w:val="center"/>
          </w:tcPr>
          <w:p w14:paraId="6220669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100BDE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326AAB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414CC0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88A1B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Greece</w:t>
            </w:r>
          </w:p>
        </w:tc>
        <w:tc>
          <w:tcPr>
            <w:tcW w:w="369" w:type="pct"/>
            <w:shd w:val="clear" w:color="auto" w:fill="FFFFFF"/>
            <w:tcMar>
              <w:top w:w="0" w:type="dxa"/>
              <w:left w:w="0" w:type="dxa"/>
              <w:bottom w:w="0" w:type="dxa"/>
              <w:right w:w="0" w:type="dxa"/>
            </w:tcMar>
            <w:vAlign w:val="center"/>
          </w:tcPr>
          <w:p w14:paraId="253AA5C5" w14:textId="3D5B40D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dnJvdWRpPC9BdXRob3I+PFllYXI+MjAwNzwvWWVhcj48UmVjTnVtPjE3NDwvUmVjTnVtPjxEaXNw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PEVuZE5vdGU+PENpdGUgRXhjbHVkZUF1dGg9IjEiIEV4Y2x1ZGVZZWFyPSIxIj48QXV0aG9yPk1h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349</w:t>
            </w:r>
            <w:r w:rsidRPr="00734942">
              <w:rPr>
                <w:rFonts w:ascii="Arial" w:eastAsia="Arial" w:hAnsi="Arial" w:cs="Arial"/>
                <w:color w:val="111111"/>
                <w:sz w:val="18"/>
                <w:szCs w:val="18"/>
              </w:rPr>
              <w:fldChar w:fldCharType="end"/>
            </w:r>
          </w:p>
        </w:tc>
      </w:tr>
      <w:tr w:rsidR="00C8418F" w:rsidRPr="00734942" w14:paraId="0ACBCD39" w14:textId="77777777" w:rsidTr="00DA0CBC">
        <w:trPr>
          <w:cantSplit/>
          <w:jc w:val="center"/>
        </w:trPr>
        <w:tc>
          <w:tcPr>
            <w:tcW w:w="663" w:type="pct"/>
            <w:shd w:val="clear" w:color="auto" w:fill="FFFFFF"/>
            <w:tcMar>
              <w:top w:w="0" w:type="dxa"/>
              <w:left w:w="0" w:type="dxa"/>
              <w:bottom w:w="0" w:type="dxa"/>
              <w:right w:w="0" w:type="dxa"/>
            </w:tcMar>
            <w:vAlign w:val="center"/>
          </w:tcPr>
          <w:p w14:paraId="61ABE3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1A36A7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3DC429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296970E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535</w:t>
            </w:r>
          </w:p>
        </w:tc>
        <w:tc>
          <w:tcPr>
            <w:tcW w:w="368" w:type="pct"/>
            <w:shd w:val="clear" w:color="auto" w:fill="FFFFFF"/>
            <w:tcMar>
              <w:top w:w="0" w:type="dxa"/>
              <w:left w:w="0" w:type="dxa"/>
              <w:bottom w:w="0" w:type="dxa"/>
              <w:right w:w="0" w:type="dxa"/>
            </w:tcMar>
            <w:vAlign w:val="center"/>
          </w:tcPr>
          <w:p w14:paraId="4D1C6EE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56D7AE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2B428D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334BAE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9655EC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Greece</w:t>
            </w:r>
          </w:p>
        </w:tc>
        <w:tc>
          <w:tcPr>
            <w:tcW w:w="369" w:type="pct"/>
            <w:shd w:val="clear" w:color="auto" w:fill="FFFFFF"/>
            <w:tcMar>
              <w:top w:w="0" w:type="dxa"/>
              <w:left w:w="0" w:type="dxa"/>
              <w:bottom w:w="0" w:type="dxa"/>
              <w:right w:w="0" w:type="dxa"/>
            </w:tcMar>
            <w:vAlign w:val="center"/>
          </w:tcPr>
          <w:p w14:paraId="40F1796B" w14:textId="544BA65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PEVuZE5vdGU+PENpdGUgRXhjbHVkZUF1dGg9IjEiIEV4Y2x1ZGVZZWFyPSIxIj48QXV0aG9yPkFu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PEVuZE5vdGU+PENpdGUgRXhjbHVkZUF1dGg9IjEiIEV4Y2x1ZGVZZWFyPSIxIj48QXV0aG9yPkFu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350</w:t>
            </w:r>
            <w:r w:rsidRPr="00734942">
              <w:rPr>
                <w:rFonts w:ascii="Arial" w:eastAsia="Arial" w:hAnsi="Arial" w:cs="Arial"/>
                <w:color w:val="111111"/>
                <w:sz w:val="18"/>
                <w:szCs w:val="18"/>
              </w:rPr>
              <w:fldChar w:fldCharType="end"/>
            </w:r>
          </w:p>
        </w:tc>
      </w:tr>
      <w:tr w:rsidR="00C8418F" w:rsidRPr="00734942" w14:paraId="29DE6A0E" w14:textId="77777777" w:rsidTr="00DA0CBC">
        <w:trPr>
          <w:cantSplit/>
          <w:jc w:val="center"/>
        </w:trPr>
        <w:tc>
          <w:tcPr>
            <w:tcW w:w="663" w:type="pct"/>
            <w:shd w:val="clear" w:color="auto" w:fill="FFFFFF"/>
            <w:tcMar>
              <w:top w:w="0" w:type="dxa"/>
              <w:left w:w="0" w:type="dxa"/>
              <w:bottom w:w="0" w:type="dxa"/>
              <w:right w:w="0" w:type="dxa"/>
            </w:tcMar>
            <w:vAlign w:val="center"/>
          </w:tcPr>
          <w:p w14:paraId="478CC4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7E6A60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51F4C5C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3653DCA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273</w:t>
            </w:r>
          </w:p>
        </w:tc>
        <w:tc>
          <w:tcPr>
            <w:tcW w:w="368" w:type="pct"/>
            <w:shd w:val="clear" w:color="auto" w:fill="FFFFFF"/>
            <w:tcMar>
              <w:top w:w="0" w:type="dxa"/>
              <w:left w:w="0" w:type="dxa"/>
              <w:bottom w:w="0" w:type="dxa"/>
              <w:right w:w="0" w:type="dxa"/>
            </w:tcMar>
            <w:vAlign w:val="center"/>
          </w:tcPr>
          <w:p w14:paraId="4A43B99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2333E3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18A7781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6BB752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2D8E5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05FBD9C7" w14:textId="2A0F100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bGdpYzwvQXV0aG9yPjxZZWFyPjIwMDY8L1llYXI+PFJlY051bT4xNzY8L1JlY051bT48RGlzcGxh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bGdpYzwvQXV0aG9yPjxZZWFyPjIwMDY8L1llYXI+PFJlY051bT4xNzY8L1JlY051bT48RGlzcGxh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351</w:t>
            </w:r>
            <w:r w:rsidRPr="00734942">
              <w:rPr>
                <w:rFonts w:ascii="Arial" w:eastAsia="Arial" w:hAnsi="Arial" w:cs="Arial"/>
                <w:color w:val="111111"/>
                <w:sz w:val="18"/>
                <w:szCs w:val="18"/>
              </w:rPr>
              <w:fldChar w:fldCharType="end"/>
            </w:r>
          </w:p>
        </w:tc>
      </w:tr>
      <w:tr w:rsidR="00C8418F" w:rsidRPr="00734942" w14:paraId="43380D8C" w14:textId="77777777" w:rsidTr="00DA0CBC">
        <w:trPr>
          <w:cantSplit/>
          <w:jc w:val="center"/>
        </w:trPr>
        <w:tc>
          <w:tcPr>
            <w:tcW w:w="663" w:type="pct"/>
            <w:shd w:val="clear" w:color="auto" w:fill="FFFFFF"/>
            <w:tcMar>
              <w:top w:w="0" w:type="dxa"/>
              <w:left w:w="0" w:type="dxa"/>
              <w:bottom w:w="0" w:type="dxa"/>
              <w:right w:w="0" w:type="dxa"/>
            </w:tcMar>
            <w:vAlign w:val="center"/>
          </w:tcPr>
          <w:p w14:paraId="54976E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5084A4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0B9DD2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40AD4BC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190</w:t>
            </w:r>
          </w:p>
        </w:tc>
        <w:tc>
          <w:tcPr>
            <w:tcW w:w="368" w:type="pct"/>
            <w:shd w:val="clear" w:color="auto" w:fill="FFFFFF"/>
            <w:tcMar>
              <w:top w:w="0" w:type="dxa"/>
              <w:left w:w="0" w:type="dxa"/>
              <w:bottom w:w="0" w:type="dxa"/>
              <w:right w:w="0" w:type="dxa"/>
            </w:tcMar>
            <w:vAlign w:val="center"/>
          </w:tcPr>
          <w:p w14:paraId="5341FA4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252C14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272E36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32FC31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FF38F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0DE271E5" w14:textId="353B0C0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PEVuZE5vdGU+PENpdGUgRXhjbHVkZUF1dGg9IjEiIEV4Y2x1ZGVZZWFyPSIxIj48QXV0aG9yPkRh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aTwvQXV0aG9yPjxZZWFyPjIwMTQ8L1llYXI+PFJlY051bT4xNzc8L1JlY051bT48RGlzcGxheVRl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352</w:t>
            </w:r>
            <w:r w:rsidRPr="00734942">
              <w:rPr>
                <w:rFonts w:ascii="Arial" w:eastAsia="Arial" w:hAnsi="Arial" w:cs="Arial"/>
                <w:color w:val="111111"/>
                <w:sz w:val="18"/>
                <w:szCs w:val="18"/>
              </w:rPr>
              <w:fldChar w:fldCharType="end"/>
            </w:r>
          </w:p>
        </w:tc>
      </w:tr>
      <w:tr w:rsidR="00C8418F" w:rsidRPr="00734942" w14:paraId="5616299D" w14:textId="77777777" w:rsidTr="00DA0CBC">
        <w:trPr>
          <w:cantSplit/>
          <w:jc w:val="center"/>
        </w:trPr>
        <w:tc>
          <w:tcPr>
            <w:tcW w:w="663" w:type="pct"/>
            <w:shd w:val="clear" w:color="auto" w:fill="FFFFFF"/>
            <w:tcMar>
              <w:top w:w="0" w:type="dxa"/>
              <w:left w:w="0" w:type="dxa"/>
              <w:bottom w:w="0" w:type="dxa"/>
              <w:right w:w="0" w:type="dxa"/>
            </w:tcMar>
            <w:vAlign w:val="center"/>
          </w:tcPr>
          <w:p w14:paraId="586C85E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5659EB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529EF0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3688430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275</w:t>
            </w:r>
          </w:p>
        </w:tc>
        <w:tc>
          <w:tcPr>
            <w:tcW w:w="368" w:type="pct"/>
            <w:shd w:val="clear" w:color="auto" w:fill="FFFFFF"/>
            <w:tcMar>
              <w:top w:w="0" w:type="dxa"/>
              <w:left w:w="0" w:type="dxa"/>
              <w:bottom w:w="0" w:type="dxa"/>
              <w:right w:w="0" w:type="dxa"/>
            </w:tcMar>
            <w:vAlign w:val="center"/>
          </w:tcPr>
          <w:p w14:paraId="247F847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57" w:type="pct"/>
            <w:shd w:val="clear" w:color="auto" w:fill="FFFFFF"/>
            <w:tcMar>
              <w:top w:w="0" w:type="dxa"/>
              <w:left w:w="0" w:type="dxa"/>
              <w:bottom w:w="0" w:type="dxa"/>
              <w:right w:w="0" w:type="dxa"/>
            </w:tcMar>
            <w:vAlign w:val="center"/>
          </w:tcPr>
          <w:p w14:paraId="4B0969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431F3E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20B3CA1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2C5C8F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Serbia</w:t>
            </w:r>
          </w:p>
        </w:tc>
        <w:tc>
          <w:tcPr>
            <w:tcW w:w="369" w:type="pct"/>
            <w:shd w:val="clear" w:color="auto" w:fill="FFFFFF"/>
            <w:tcMar>
              <w:top w:w="0" w:type="dxa"/>
              <w:left w:w="0" w:type="dxa"/>
              <w:bottom w:w="0" w:type="dxa"/>
              <w:right w:w="0" w:type="dxa"/>
            </w:tcMar>
            <w:vAlign w:val="center"/>
          </w:tcPr>
          <w:p w14:paraId="75E7BBA2" w14:textId="72C8020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PEVuZE5vdGU+PENpdGUgRXhjbHVkZUF1dGg9IjEiIEV4Y2x1ZGVZZWFyPSIxIj48QXV0aG9yPkRq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PEVuZE5vdGU+PENpdGUgRXhjbHVkZUF1dGg9IjEiIEV4Y2x1ZGVZZWFyPSIxIj48QXV0aG9yPkRq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353</w:t>
            </w:r>
            <w:r w:rsidRPr="00734942">
              <w:rPr>
                <w:rFonts w:ascii="Arial" w:eastAsia="Arial" w:hAnsi="Arial" w:cs="Arial"/>
                <w:color w:val="111111"/>
                <w:sz w:val="18"/>
                <w:szCs w:val="18"/>
              </w:rPr>
              <w:fldChar w:fldCharType="end"/>
            </w:r>
          </w:p>
        </w:tc>
      </w:tr>
      <w:tr w:rsidR="00C8418F" w:rsidRPr="00734942" w14:paraId="17A598A4" w14:textId="77777777" w:rsidTr="00DA0CBC">
        <w:trPr>
          <w:cantSplit/>
          <w:jc w:val="center"/>
        </w:trPr>
        <w:tc>
          <w:tcPr>
            <w:tcW w:w="663" w:type="pct"/>
            <w:shd w:val="clear" w:color="auto" w:fill="FFFFFF"/>
            <w:tcMar>
              <w:top w:w="0" w:type="dxa"/>
              <w:left w:w="0" w:type="dxa"/>
              <w:bottom w:w="0" w:type="dxa"/>
              <w:right w:w="0" w:type="dxa"/>
            </w:tcMar>
            <w:vAlign w:val="center"/>
          </w:tcPr>
          <w:p w14:paraId="2B475E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6BF989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5F2BA2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27F6BB2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572</w:t>
            </w:r>
          </w:p>
        </w:tc>
        <w:tc>
          <w:tcPr>
            <w:tcW w:w="368" w:type="pct"/>
            <w:shd w:val="clear" w:color="auto" w:fill="FFFFFF"/>
            <w:tcMar>
              <w:top w:w="0" w:type="dxa"/>
              <w:left w:w="0" w:type="dxa"/>
              <w:bottom w:w="0" w:type="dxa"/>
              <w:right w:w="0" w:type="dxa"/>
            </w:tcMar>
            <w:vAlign w:val="center"/>
          </w:tcPr>
          <w:p w14:paraId="3F769CB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4467C2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5BA7DD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504" w:type="pct"/>
            <w:shd w:val="clear" w:color="auto" w:fill="FFFFFF"/>
            <w:tcMar>
              <w:top w:w="0" w:type="dxa"/>
              <w:left w:w="0" w:type="dxa"/>
              <w:bottom w:w="0" w:type="dxa"/>
              <w:right w:w="0" w:type="dxa"/>
            </w:tcMar>
            <w:vAlign w:val="center"/>
          </w:tcPr>
          <w:p w14:paraId="51F015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2659B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0F039631" w14:textId="518CEA3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PEVuZE5vdGU+PENpdGUgRXhjbHVkZUF1dGg9IjEiIEV4Y2x1ZGVZZWFyPSIxIj48QXV0aG9yPkdp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PEVuZE5vdGU+PENpdGUgRXhjbHVkZUF1dGg9IjEiIEV4Y2x1ZGVZZWFyPSIxIj48QXV0aG9yPkdp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354</w:t>
            </w:r>
            <w:r w:rsidRPr="00734942">
              <w:rPr>
                <w:rFonts w:ascii="Arial" w:eastAsia="Arial" w:hAnsi="Arial" w:cs="Arial"/>
                <w:color w:val="111111"/>
                <w:sz w:val="18"/>
                <w:szCs w:val="18"/>
              </w:rPr>
              <w:fldChar w:fldCharType="end"/>
            </w:r>
          </w:p>
        </w:tc>
      </w:tr>
      <w:tr w:rsidR="00C8418F" w:rsidRPr="00734942" w14:paraId="73775AB1" w14:textId="77777777" w:rsidTr="00DA0CBC">
        <w:trPr>
          <w:cantSplit/>
          <w:jc w:val="center"/>
        </w:trPr>
        <w:tc>
          <w:tcPr>
            <w:tcW w:w="663" w:type="pct"/>
            <w:shd w:val="clear" w:color="auto" w:fill="FFFFFF"/>
            <w:tcMar>
              <w:top w:w="0" w:type="dxa"/>
              <w:left w:w="0" w:type="dxa"/>
              <w:bottom w:w="0" w:type="dxa"/>
              <w:right w:w="0" w:type="dxa"/>
            </w:tcMar>
            <w:vAlign w:val="center"/>
          </w:tcPr>
          <w:p w14:paraId="46DD96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3DF504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7BBA97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4065978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380</w:t>
            </w:r>
          </w:p>
        </w:tc>
        <w:tc>
          <w:tcPr>
            <w:tcW w:w="368" w:type="pct"/>
            <w:shd w:val="clear" w:color="auto" w:fill="FFFFFF"/>
            <w:tcMar>
              <w:top w:w="0" w:type="dxa"/>
              <w:left w:w="0" w:type="dxa"/>
              <w:bottom w:w="0" w:type="dxa"/>
              <w:right w:w="0" w:type="dxa"/>
            </w:tcMar>
            <w:vAlign w:val="center"/>
          </w:tcPr>
          <w:p w14:paraId="147409E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42AD1B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0617AB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5525B6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22CCAD1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2119BD14" w14:textId="40BC9F1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PEVuZE5vdGU+PENpdGUgRXhjbHVkZUF1dGg9IjEiIEV4Y2x1ZGVZZWFyPSIxIj48QXV0aG9yPklz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PEVuZE5vdGU+PENpdGUgRXhjbHVkZUF1dGg9IjEiIEV4Y2x1ZGVZZWFyPSIxIj48QXV0aG9yPklz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355</w:t>
            </w:r>
            <w:r w:rsidRPr="00734942">
              <w:rPr>
                <w:rFonts w:ascii="Arial" w:eastAsia="Arial" w:hAnsi="Arial" w:cs="Arial"/>
                <w:color w:val="111111"/>
                <w:sz w:val="18"/>
                <w:szCs w:val="18"/>
              </w:rPr>
              <w:fldChar w:fldCharType="end"/>
            </w:r>
          </w:p>
        </w:tc>
      </w:tr>
      <w:tr w:rsidR="00C8418F" w:rsidRPr="00734942" w14:paraId="7FCC5D5E" w14:textId="77777777" w:rsidTr="00DA0CBC">
        <w:trPr>
          <w:cantSplit/>
          <w:jc w:val="center"/>
        </w:trPr>
        <w:tc>
          <w:tcPr>
            <w:tcW w:w="663" w:type="pct"/>
            <w:shd w:val="clear" w:color="auto" w:fill="FFFFFF"/>
            <w:tcMar>
              <w:top w:w="0" w:type="dxa"/>
              <w:left w:w="0" w:type="dxa"/>
              <w:bottom w:w="0" w:type="dxa"/>
              <w:right w:w="0" w:type="dxa"/>
            </w:tcMar>
            <w:vAlign w:val="center"/>
          </w:tcPr>
          <w:p w14:paraId="44DF1B8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3E2F109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2E9C13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34A3DFA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1000</w:t>
            </w:r>
          </w:p>
        </w:tc>
        <w:tc>
          <w:tcPr>
            <w:tcW w:w="368" w:type="pct"/>
            <w:shd w:val="clear" w:color="auto" w:fill="FFFFFF"/>
            <w:tcMar>
              <w:top w:w="0" w:type="dxa"/>
              <w:left w:w="0" w:type="dxa"/>
              <w:bottom w:w="0" w:type="dxa"/>
              <w:right w:w="0" w:type="dxa"/>
            </w:tcMar>
            <w:vAlign w:val="center"/>
          </w:tcPr>
          <w:p w14:paraId="0DC7C3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4398DB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5A2EE1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504" w:type="pct"/>
            <w:shd w:val="clear" w:color="auto" w:fill="FFFFFF"/>
            <w:tcMar>
              <w:top w:w="0" w:type="dxa"/>
              <w:left w:w="0" w:type="dxa"/>
              <w:bottom w:w="0" w:type="dxa"/>
              <w:right w:w="0" w:type="dxa"/>
            </w:tcMar>
            <w:vAlign w:val="center"/>
          </w:tcPr>
          <w:p w14:paraId="537D35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583C1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2AAE67AF" w14:textId="5FC08E0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PEVuZE5vdGU+PENpdGUgRXhjbHVkZUF1dGg9IjEiIEV4Y2x1ZGVZZWFyPSIxIj48QXV0aG9yPklz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PEVuZE5vdGU+PENpdGUgRXhjbHVkZUF1dGg9IjEiIEV4Y2x1ZGVZZWFyPSIxIj48QXV0aG9yPklz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356</w:t>
            </w:r>
            <w:r w:rsidRPr="00734942">
              <w:rPr>
                <w:rFonts w:ascii="Arial" w:eastAsia="Arial" w:hAnsi="Arial" w:cs="Arial"/>
                <w:color w:val="111111"/>
                <w:sz w:val="18"/>
                <w:szCs w:val="18"/>
              </w:rPr>
              <w:fldChar w:fldCharType="end"/>
            </w:r>
          </w:p>
        </w:tc>
      </w:tr>
      <w:tr w:rsidR="00C8418F" w:rsidRPr="00734942" w14:paraId="3351F5CE" w14:textId="77777777" w:rsidTr="00DA0CBC">
        <w:trPr>
          <w:cantSplit/>
          <w:jc w:val="center"/>
        </w:trPr>
        <w:tc>
          <w:tcPr>
            <w:tcW w:w="663" w:type="pct"/>
            <w:shd w:val="clear" w:color="auto" w:fill="FFFFFF"/>
            <w:tcMar>
              <w:top w:w="0" w:type="dxa"/>
              <w:left w:w="0" w:type="dxa"/>
              <w:bottom w:w="0" w:type="dxa"/>
              <w:right w:w="0" w:type="dxa"/>
            </w:tcMar>
            <w:vAlign w:val="center"/>
          </w:tcPr>
          <w:p w14:paraId="5E26D3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62" w:type="pct"/>
            <w:shd w:val="clear" w:color="auto" w:fill="FFFFFF"/>
            <w:tcMar>
              <w:top w:w="0" w:type="dxa"/>
              <w:left w:w="0" w:type="dxa"/>
              <w:bottom w:w="0" w:type="dxa"/>
              <w:right w:w="0" w:type="dxa"/>
            </w:tcMar>
            <w:vAlign w:val="center"/>
          </w:tcPr>
          <w:p w14:paraId="1281A6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12D93A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shd w:val="clear" w:color="auto" w:fill="FFFFFF"/>
            <w:tcMar>
              <w:top w:w="0" w:type="dxa"/>
              <w:left w:w="0" w:type="dxa"/>
              <w:bottom w:w="0" w:type="dxa"/>
              <w:right w:w="0" w:type="dxa"/>
            </w:tcMar>
            <w:vAlign w:val="center"/>
          </w:tcPr>
          <w:p w14:paraId="3297916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70</w:t>
            </w:r>
          </w:p>
        </w:tc>
        <w:tc>
          <w:tcPr>
            <w:tcW w:w="368" w:type="pct"/>
            <w:shd w:val="clear" w:color="auto" w:fill="FFFFFF"/>
            <w:tcMar>
              <w:top w:w="0" w:type="dxa"/>
              <w:left w:w="0" w:type="dxa"/>
              <w:bottom w:w="0" w:type="dxa"/>
              <w:right w:w="0" w:type="dxa"/>
            </w:tcMar>
            <w:vAlign w:val="center"/>
          </w:tcPr>
          <w:p w14:paraId="7BB1E39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shd w:val="clear" w:color="auto" w:fill="FFFFFF"/>
            <w:tcMar>
              <w:top w:w="0" w:type="dxa"/>
              <w:left w:w="0" w:type="dxa"/>
              <w:bottom w:w="0" w:type="dxa"/>
              <w:right w:w="0" w:type="dxa"/>
            </w:tcMar>
            <w:vAlign w:val="center"/>
          </w:tcPr>
          <w:p w14:paraId="727553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shd w:val="clear" w:color="auto" w:fill="FFFFFF"/>
            <w:tcMar>
              <w:top w:w="0" w:type="dxa"/>
              <w:left w:w="0" w:type="dxa"/>
              <w:bottom w:w="0" w:type="dxa"/>
              <w:right w:w="0" w:type="dxa"/>
            </w:tcMar>
            <w:vAlign w:val="center"/>
          </w:tcPr>
          <w:p w14:paraId="1A1EA1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504" w:type="pct"/>
            <w:shd w:val="clear" w:color="auto" w:fill="FFFFFF"/>
            <w:tcMar>
              <w:top w:w="0" w:type="dxa"/>
              <w:left w:w="0" w:type="dxa"/>
              <w:bottom w:w="0" w:type="dxa"/>
              <w:right w:w="0" w:type="dxa"/>
            </w:tcMar>
            <w:vAlign w:val="center"/>
          </w:tcPr>
          <w:p w14:paraId="243978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BCAB7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Israel</w:t>
            </w:r>
          </w:p>
        </w:tc>
        <w:tc>
          <w:tcPr>
            <w:tcW w:w="369" w:type="pct"/>
            <w:shd w:val="clear" w:color="auto" w:fill="FFFFFF"/>
            <w:tcMar>
              <w:top w:w="0" w:type="dxa"/>
              <w:left w:w="0" w:type="dxa"/>
              <w:bottom w:w="0" w:type="dxa"/>
              <w:right w:w="0" w:type="dxa"/>
            </w:tcMar>
            <w:vAlign w:val="center"/>
          </w:tcPr>
          <w:p w14:paraId="3AED0E7F" w14:textId="16F0350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aGF0PC9BdXRob3I+PFllYXI+MjAwMDwvWWVhcj48UmVjTnVtPjE4MjwvUmVjTnVtPjxEaXNwbGF5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aGF0PC9BdXRob3I+PFllYXI+MjAwMDwvWWVhcj48UmVjTnVtPjE4MjwvUmVjTnVtPjxEaXNwbGF5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357</w:t>
            </w:r>
            <w:r w:rsidRPr="00734942">
              <w:rPr>
                <w:rFonts w:ascii="Arial" w:eastAsia="Arial" w:hAnsi="Arial" w:cs="Arial"/>
                <w:color w:val="111111"/>
                <w:sz w:val="18"/>
                <w:szCs w:val="18"/>
              </w:rPr>
              <w:fldChar w:fldCharType="end"/>
            </w:r>
          </w:p>
        </w:tc>
      </w:tr>
      <w:tr w:rsidR="00C8418F" w:rsidRPr="00734942" w14:paraId="62F62248" w14:textId="77777777" w:rsidTr="00DA0CBC">
        <w:trPr>
          <w:cantSplit/>
          <w:jc w:val="center"/>
        </w:trPr>
        <w:tc>
          <w:tcPr>
            <w:tcW w:w="663" w:type="pct"/>
            <w:tcBorders>
              <w:bottom w:val="single" w:sz="16" w:space="0" w:color="000000"/>
            </w:tcBorders>
            <w:shd w:val="clear" w:color="auto" w:fill="FFFFFF"/>
            <w:tcMar>
              <w:top w:w="0" w:type="dxa"/>
              <w:left w:w="0" w:type="dxa"/>
              <w:bottom w:w="0" w:type="dxa"/>
              <w:right w:w="0" w:type="dxa"/>
            </w:tcMar>
            <w:vAlign w:val="center"/>
          </w:tcPr>
          <w:p w14:paraId="6A4FA7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62" w:type="pct"/>
            <w:tcBorders>
              <w:bottom w:val="single" w:sz="16" w:space="0" w:color="000000"/>
            </w:tcBorders>
            <w:shd w:val="clear" w:color="auto" w:fill="FFFFFF"/>
            <w:tcMar>
              <w:top w:w="0" w:type="dxa"/>
              <w:left w:w="0" w:type="dxa"/>
              <w:bottom w:w="0" w:type="dxa"/>
              <w:right w:w="0" w:type="dxa"/>
            </w:tcMar>
            <w:vAlign w:val="center"/>
          </w:tcPr>
          <w:p w14:paraId="0CCFD3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tcBorders>
              <w:bottom w:val="single" w:sz="16" w:space="0" w:color="000000"/>
            </w:tcBorders>
            <w:shd w:val="clear" w:color="auto" w:fill="FFFFFF"/>
            <w:tcMar>
              <w:top w:w="0" w:type="dxa"/>
              <w:left w:w="0" w:type="dxa"/>
              <w:bottom w:w="0" w:type="dxa"/>
              <w:right w:w="0" w:type="dxa"/>
            </w:tcMar>
            <w:vAlign w:val="center"/>
          </w:tcPr>
          <w:p w14:paraId="1BEB4D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Epilepsy</w:t>
            </w:r>
          </w:p>
        </w:tc>
        <w:tc>
          <w:tcPr>
            <w:tcW w:w="307" w:type="pct"/>
            <w:tcBorders>
              <w:bottom w:val="single" w:sz="16" w:space="0" w:color="000000"/>
            </w:tcBorders>
            <w:shd w:val="clear" w:color="auto" w:fill="FFFFFF"/>
            <w:tcMar>
              <w:top w:w="0" w:type="dxa"/>
              <w:left w:w="0" w:type="dxa"/>
              <w:bottom w:w="0" w:type="dxa"/>
              <w:right w:w="0" w:type="dxa"/>
            </w:tcMar>
            <w:vAlign w:val="center"/>
          </w:tcPr>
          <w:p w14:paraId="2D0CF21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4660</w:t>
            </w:r>
          </w:p>
        </w:tc>
        <w:tc>
          <w:tcPr>
            <w:tcW w:w="368" w:type="pct"/>
            <w:tcBorders>
              <w:bottom w:val="single" w:sz="16" w:space="0" w:color="000000"/>
            </w:tcBorders>
            <w:shd w:val="clear" w:color="auto" w:fill="FFFFFF"/>
            <w:tcMar>
              <w:top w:w="0" w:type="dxa"/>
              <w:left w:w="0" w:type="dxa"/>
              <w:bottom w:w="0" w:type="dxa"/>
              <w:right w:w="0" w:type="dxa"/>
            </w:tcMar>
            <w:vAlign w:val="center"/>
          </w:tcPr>
          <w:p w14:paraId="64B08B2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57" w:type="pct"/>
            <w:tcBorders>
              <w:bottom w:val="single" w:sz="16" w:space="0" w:color="000000"/>
            </w:tcBorders>
            <w:shd w:val="clear" w:color="auto" w:fill="FFFFFF"/>
            <w:tcMar>
              <w:top w:w="0" w:type="dxa"/>
              <w:left w:w="0" w:type="dxa"/>
              <w:bottom w:w="0" w:type="dxa"/>
              <w:right w:w="0" w:type="dxa"/>
            </w:tcMar>
            <w:vAlign w:val="center"/>
          </w:tcPr>
          <w:p w14:paraId="63D79B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49" w:type="pct"/>
            <w:tcBorders>
              <w:bottom w:val="single" w:sz="16" w:space="0" w:color="000000"/>
            </w:tcBorders>
            <w:shd w:val="clear" w:color="auto" w:fill="FFFFFF"/>
            <w:tcMar>
              <w:top w:w="0" w:type="dxa"/>
              <w:left w:w="0" w:type="dxa"/>
              <w:bottom w:w="0" w:type="dxa"/>
              <w:right w:w="0" w:type="dxa"/>
            </w:tcMar>
            <w:vAlign w:val="center"/>
          </w:tcPr>
          <w:p w14:paraId="616914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504" w:type="pct"/>
            <w:tcBorders>
              <w:bottom w:val="single" w:sz="16" w:space="0" w:color="000000"/>
            </w:tcBorders>
            <w:shd w:val="clear" w:color="auto" w:fill="FFFFFF"/>
            <w:tcMar>
              <w:top w:w="0" w:type="dxa"/>
              <w:left w:w="0" w:type="dxa"/>
              <w:bottom w:w="0" w:type="dxa"/>
              <w:right w:w="0" w:type="dxa"/>
            </w:tcMar>
            <w:vAlign w:val="center"/>
          </w:tcPr>
          <w:p w14:paraId="1736A0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25B8AF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tcBorders>
              <w:bottom w:val="single" w:sz="16" w:space="0" w:color="000000"/>
            </w:tcBorders>
            <w:shd w:val="clear" w:color="auto" w:fill="FFFFFF"/>
            <w:tcMar>
              <w:top w:w="0" w:type="dxa"/>
              <w:left w:w="0" w:type="dxa"/>
              <w:bottom w:w="0" w:type="dxa"/>
              <w:right w:w="0" w:type="dxa"/>
            </w:tcMar>
            <w:vAlign w:val="center"/>
          </w:tcPr>
          <w:p w14:paraId="39433933" w14:textId="5D4328B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PEVuZE5vdGU+PENpdGUgRXhjbHVkZUF1dGg9IjEiIEV4Y2x1ZGVZZWFyPSIxIj48QXV0aG9yPlBy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PEVuZE5vdGU+PENpdGUgRXhjbHVkZUF1dGg9IjEiIEV4Y2x1ZGVZZWFyPSIxIj48QXV0aG9yPlBy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358</w:t>
            </w:r>
            <w:r w:rsidRPr="00734942">
              <w:rPr>
                <w:rFonts w:ascii="Arial" w:eastAsia="Arial" w:hAnsi="Arial" w:cs="Arial"/>
                <w:color w:val="111111"/>
                <w:sz w:val="18"/>
                <w:szCs w:val="18"/>
              </w:rPr>
              <w:fldChar w:fldCharType="end"/>
            </w:r>
          </w:p>
        </w:tc>
      </w:tr>
    </w:tbl>
    <w:p w14:paraId="178E0C4F" w14:textId="77777777" w:rsidR="007B756D" w:rsidRPr="00734942" w:rsidRDefault="007B756D" w:rsidP="007B756D"/>
    <w:p w14:paraId="26C7BA99" w14:textId="6C90D870" w:rsidR="00DA0CBC" w:rsidRDefault="00DA0CBC" w:rsidP="000526F1">
      <w:pPr>
        <w:pStyle w:val="Caption"/>
      </w:pPr>
      <w:bookmarkStart w:id="372" w:name="_Toc99720745"/>
      <w:r>
        <w:lastRenderedPageBreak/>
        <w:t xml:space="preserve">Table </w:t>
      </w:r>
      <w:r w:rsidR="00C34531">
        <w:fldChar w:fldCharType="begin"/>
      </w:r>
      <w:r w:rsidR="00C34531">
        <w:instrText xml:space="preserve"> SEQ Table \* ARABIC </w:instrText>
      </w:r>
      <w:r w:rsidR="00C34531">
        <w:fldChar w:fldCharType="separate"/>
      </w:r>
      <w:r w:rsidR="008B5583">
        <w:rPr>
          <w:noProof/>
        </w:rPr>
        <w:t>34</w:t>
      </w:r>
      <w:r w:rsidR="00C34531">
        <w:rPr>
          <w:noProof/>
        </w:rPr>
        <w:fldChar w:fldCharType="end"/>
      </w:r>
      <w:r>
        <w:t xml:space="preserve">  </w:t>
      </w:r>
      <w:r w:rsidRPr="00027183">
        <w:t>Study characteristics: Family history of CD</w:t>
      </w:r>
      <w:bookmarkEnd w:id="372"/>
    </w:p>
    <w:tbl>
      <w:tblPr>
        <w:tblW w:w="5000" w:type="pct"/>
        <w:jc w:val="center"/>
        <w:tblLook w:val="0420" w:firstRow="1" w:lastRow="0" w:firstColumn="0" w:lastColumn="0" w:noHBand="0" w:noVBand="1"/>
      </w:tblPr>
      <w:tblGrid>
        <w:gridCol w:w="2165"/>
        <w:gridCol w:w="1255"/>
        <w:gridCol w:w="891"/>
        <w:gridCol w:w="811"/>
        <w:gridCol w:w="801"/>
        <w:gridCol w:w="2084"/>
        <w:gridCol w:w="1758"/>
        <w:gridCol w:w="1991"/>
        <w:gridCol w:w="1171"/>
        <w:gridCol w:w="1031"/>
      </w:tblGrid>
      <w:tr w:rsidR="007B756D" w:rsidRPr="00734942" w14:paraId="70AC76C7" w14:textId="77777777" w:rsidTr="006658D1">
        <w:trPr>
          <w:cantSplit/>
          <w:tblHeader/>
          <w:jc w:val="center"/>
        </w:trPr>
        <w:tc>
          <w:tcPr>
            <w:tcW w:w="77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7F40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5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5D2F47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3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8F8292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34FAD69"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2BC72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74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28A44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3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D7C6B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71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92BF0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5BF3E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4D73F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53210BD6" w14:textId="77777777" w:rsidTr="006658D1">
        <w:trPr>
          <w:cantSplit/>
          <w:jc w:val="center"/>
        </w:trPr>
        <w:tc>
          <w:tcPr>
            <w:tcW w:w="776" w:type="pct"/>
            <w:shd w:val="clear" w:color="auto" w:fill="FFFFFF"/>
            <w:tcMar>
              <w:top w:w="0" w:type="dxa"/>
              <w:left w:w="0" w:type="dxa"/>
              <w:bottom w:w="0" w:type="dxa"/>
              <w:right w:w="0" w:type="dxa"/>
            </w:tcMar>
            <w:vAlign w:val="center"/>
          </w:tcPr>
          <w:p w14:paraId="2355A9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285855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shd w:val="clear" w:color="auto" w:fill="FFFFFF"/>
            <w:tcMar>
              <w:top w:w="0" w:type="dxa"/>
              <w:left w:w="0" w:type="dxa"/>
              <w:bottom w:w="0" w:type="dxa"/>
              <w:right w:w="0" w:type="dxa"/>
            </w:tcMar>
            <w:vAlign w:val="center"/>
          </w:tcPr>
          <w:p w14:paraId="5FDFB5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CD in family</w:t>
            </w:r>
          </w:p>
        </w:tc>
        <w:tc>
          <w:tcPr>
            <w:tcW w:w="291" w:type="pct"/>
            <w:shd w:val="clear" w:color="auto" w:fill="FFFFFF"/>
            <w:tcMar>
              <w:top w:w="0" w:type="dxa"/>
              <w:left w:w="0" w:type="dxa"/>
              <w:bottom w:w="0" w:type="dxa"/>
              <w:right w:w="0" w:type="dxa"/>
            </w:tcMar>
            <w:vAlign w:val="center"/>
          </w:tcPr>
          <w:p w14:paraId="24437D5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334</w:t>
            </w:r>
          </w:p>
        </w:tc>
        <w:tc>
          <w:tcPr>
            <w:tcW w:w="287" w:type="pct"/>
            <w:shd w:val="clear" w:color="auto" w:fill="FFFFFF"/>
            <w:tcMar>
              <w:top w:w="0" w:type="dxa"/>
              <w:left w:w="0" w:type="dxa"/>
              <w:bottom w:w="0" w:type="dxa"/>
              <w:right w:w="0" w:type="dxa"/>
            </w:tcMar>
            <w:vAlign w:val="center"/>
          </w:tcPr>
          <w:p w14:paraId="4C2B69A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47" w:type="pct"/>
            <w:shd w:val="clear" w:color="auto" w:fill="FFFFFF"/>
            <w:tcMar>
              <w:top w:w="0" w:type="dxa"/>
              <w:left w:w="0" w:type="dxa"/>
              <w:bottom w:w="0" w:type="dxa"/>
              <w:right w:w="0" w:type="dxa"/>
            </w:tcMar>
            <w:vAlign w:val="center"/>
          </w:tcPr>
          <w:p w14:paraId="38806A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3184A9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3" w:type="pct"/>
            <w:shd w:val="clear" w:color="auto" w:fill="FFFFFF"/>
            <w:tcMar>
              <w:top w:w="0" w:type="dxa"/>
              <w:left w:w="0" w:type="dxa"/>
              <w:bottom w:w="0" w:type="dxa"/>
              <w:right w:w="0" w:type="dxa"/>
            </w:tcMar>
            <w:vAlign w:val="center"/>
          </w:tcPr>
          <w:p w14:paraId="496174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3AAE03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40D554BF" w14:textId="2A40ECD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PEVuZE5vdGU+PENpdGUgRXhjbHVkZUF1dGg9IjEiIEV4Y2x1ZGVZZWFyPSIxIj48QXV0aG9yPlNv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PEVuZE5vdGU+PENpdGUgRXhjbHVkZUF1dGg9IjEiIEV4Y2x1ZGVZZWFyPSIxIj48QXV0aG9yPlNv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359</w:t>
            </w:r>
            <w:r w:rsidRPr="00734942">
              <w:rPr>
                <w:rFonts w:ascii="Arial" w:eastAsia="Arial" w:hAnsi="Arial" w:cs="Arial"/>
                <w:color w:val="111111"/>
                <w:sz w:val="18"/>
                <w:szCs w:val="18"/>
              </w:rPr>
              <w:fldChar w:fldCharType="end"/>
            </w:r>
          </w:p>
        </w:tc>
      </w:tr>
      <w:tr w:rsidR="007B756D" w:rsidRPr="00734942" w14:paraId="2DDD9F62" w14:textId="77777777" w:rsidTr="006658D1">
        <w:trPr>
          <w:cantSplit/>
          <w:jc w:val="center"/>
        </w:trPr>
        <w:tc>
          <w:tcPr>
            <w:tcW w:w="776" w:type="pct"/>
            <w:shd w:val="clear" w:color="auto" w:fill="FFFFFF"/>
            <w:tcMar>
              <w:top w:w="0" w:type="dxa"/>
              <w:left w:w="0" w:type="dxa"/>
              <w:bottom w:w="0" w:type="dxa"/>
              <w:right w:w="0" w:type="dxa"/>
            </w:tcMar>
            <w:vAlign w:val="center"/>
          </w:tcPr>
          <w:p w14:paraId="35CFF2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0597DA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19" w:type="pct"/>
            <w:shd w:val="clear" w:color="auto" w:fill="FFFFFF"/>
            <w:tcMar>
              <w:top w:w="0" w:type="dxa"/>
              <w:left w:w="0" w:type="dxa"/>
              <w:bottom w:w="0" w:type="dxa"/>
              <w:right w:w="0" w:type="dxa"/>
            </w:tcMar>
            <w:vAlign w:val="center"/>
          </w:tcPr>
          <w:p w14:paraId="2D9695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04E96E0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1,197</w:t>
            </w:r>
          </w:p>
        </w:tc>
        <w:tc>
          <w:tcPr>
            <w:tcW w:w="287" w:type="pct"/>
            <w:shd w:val="clear" w:color="auto" w:fill="FFFFFF"/>
            <w:tcMar>
              <w:top w:w="0" w:type="dxa"/>
              <w:left w:w="0" w:type="dxa"/>
              <w:bottom w:w="0" w:type="dxa"/>
              <w:right w:w="0" w:type="dxa"/>
            </w:tcMar>
            <w:vAlign w:val="center"/>
          </w:tcPr>
          <w:p w14:paraId="0A2DF27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47" w:type="pct"/>
            <w:shd w:val="clear" w:color="auto" w:fill="FFFFFF"/>
            <w:tcMar>
              <w:top w:w="0" w:type="dxa"/>
              <w:left w:w="0" w:type="dxa"/>
              <w:bottom w:w="0" w:type="dxa"/>
              <w:right w:w="0" w:type="dxa"/>
            </w:tcMar>
            <w:vAlign w:val="center"/>
          </w:tcPr>
          <w:p w14:paraId="1FBB41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first degree relatives with CD</w:t>
            </w:r>
          </w:p>
        </w:tc>
        <w:tc>
          <w:tcPr>
            <w:tcW w:w="630" w:type="pct"/>
            <w:shd w:val="clear" w:color="auto" w:fill="FFFFFF"/>
            <w:tcMar>
              <w:top w:w="0" w:type="dxa"/>
              <w:left w:w="0" w:type="dxa"/>
              <w:bottom w:w="0" w:type="dxa"/>
              <w:right w:w="0" w:type="dxa"/>
            </w:tcMar>
            <w:vAlign w:val="center"/>
          </w:tcPr>
          <w:p w14:paraId="6DBA91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3" w:type="pct"/>
            <w:shd w:val="clear" w:color="auto" w:fill="FFFFFF"/>
            <w:tcMar>
              <w:top w:w="0" w:type="dxa"/>
              <w:left w:w="0" w:type="dxa"/>
              <w:bottom w:w="0" w:type="dxa"/>
              <w:right w:w="0" w:type="dxa"/>
            </w:tcMar>
            <w:vAlign w:val="center"/>
          </w:tcPr>
          <w:p w14:paraId="296000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62FF2A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United Arab Emirates</w:t>
            </w:r>
          </w:p>
        </w:tc>
        <w:tc>
          <w:tcPr>
            <w:tcW w:w="369" w:type="pct"/>
            <w:shd w:val="clear" w:color="auto" w:fill="FFFFFF"/>
            <w:tcMar>
              <w:top w:w="0" w:type="dxa"/>
              <w:left w:w="0" w:type="dxa"/>
              <w:bottom w:w="0" w:type="dxa"/>
              <w:right w:w="0" w:type="dxa"/>
            </w:tcMar>
            <w:vAlign w:val="center"/>
          </w:tcPr>
          <w:p w14:paraId="721BC190" w14:textId="66BFF9B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288</w:t>
            </w:r>
            <w:r w:rsidRPr="00734942">
              <w:rPr>
                <w:rFonts w:ascii="Arial" w:eastAsia="Arial" w:hAnsi="Arial" w:cs="Arial"/>
                <w:color w:val="111111"/>
                <w:sz w:val="18"/>
                <w:szCs w:val="18"/>
              </w:rPr>
              <w:fldChar w:fldCharType="end"/>
            </w:r>
          </w:p>
        </w:tc>
      </w:tr>
      <w:tr w:rsidR="007B756D" w:rsidRPr="00734942" w14:paraId="79AED56F" w14:textId="77777777" w:rsidTr="006658D1">
        <w:trPr>
          <w:cantSplit/>
          <w:jc w:val="center"/>
        </w:trPr>
        <w:tc>
          <w:tcPr>
            <w:tcW w:w="776" w:type="pct"/>
            <w:shd w:val="clear" w:color="auto" w:fill="FFFFFF"/>
            <w:tcMar>
              <w:top w:w="0" w:type="dxa"/>
              <w:left w:w="0" w:type="dxa"/>
              <w:bottom w:w="0" w:type="dxa"/>
              <w:right w:w="0" w:type="dxa"/>
            </w:tcMar>
            <w:vAlign w:val="center"/>
          </w:tcPr>
          <w:p w14:paraId="2A3846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4BE227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19" w:type="pct"/>
            <w:shd w:val="clear" w:color="auto" w:fill="FFFFFF"/>
            <w:tcMar>
              <w:top w:w="0" w:type="dxa"/>
              <w:left w:w="0" w:type="dxa"/>
              <w:bottom w:w="0" w:type="dxa"/>
              <w:right w:w="0" w:type="dxa"/>
            </w:tcMar>
            <w:vAlign w:val="center"/>
          </w:tcPr>
          <w:p w14:paraId="3E1F6C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CD in family</w:t>
            </w:r>
          </w:p>
        </w:tc>
        <w:tc>
          <w:tcPr>
            <w:tcW w:w="291" w:type="pct"/>
            <w:shd w:val="clear" w:color="auto" w:fill="FFFFFF"/>
            <w:tcMar>
              <w:top w:w="0" w:type="dxa"/>
              <w:left w:w="0" w:type="dxa"/>
              <w:bottom w:w="0" w:type="dxa"/>
              <w:right w:w="0" w:type="dxa"/>
            </w:tcMar>
            <w:vAlign w:val="center"/>
          </w:tcPr>
          <w:p w14:paraId="567F105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527</w:t>
            </w:r>
          </w:p>
        </w:tc>
        <w:tc>
          <w:tcPr>
            <w:tcW w:w="287" w:type="pct"/>
            <w:shd w:val="clear" w:color="auto" w:fill="FFFFFF"/>
            <w:tcMar>
              <w:top w:w="0" w:type="dxa"/>
              <w:left w:w="0" w:type="dxa"/>
              <w:bottom w:w="0" w:type="dxa"/>
              <w:right w:w="0" w:type="dxa"/>
            </w:tcMar>
            <w:vAlign w:val="center"/>
          </w:tcPr>
          <w:p w14:paraId="63A3D4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1F113B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a family history of CD</w:t>
            </w:r>
          </w:p>
        </w:tc>
        <w:tc>
          <w:tcPr>
            <w:tcW w:w="630" w:type="pct"/>
            <w:shd w:val="clear" w:color="auto" w:fill="FFFFFF"/>
            <w:tcMar>
              <w:top w:w="0" w:type="dxa"/>
              <w:left w:w="0" w:type="dxa"/>
              <w:bottom w:w="0" w:type="dxa"/>
              <w:right w:w="0" w:type="dxa"/>
            </w:tcMar>
            <w:vAlign w:val="center"/>
          </w:tcPr>
          <w:p w14:paraId="732AC1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3" w:type="pct"/>
            <w:shd w:val="clear" w:color="auto" w:fill="FFFFFF"/>
            <w:tcMar>
              <w:top w:w="0" w:type="dxa"/>
              <w:left w:w="0" w:type="dxa"/>
              <w:bottom w:w="0" w:type="dxa"/>
              <w:right w:w="0" w:type="dxa"/>
            </w:tcMar>
            <w:vAlign w:val="center"/>
          </w:tcPr>
          <w:p w14:paraId="4A613A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0F05FD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Malaysia</w:t>
            </w:r>
          </w:p>
        </w:tc>
        <w:tc>
          <w:tcPr>
            <w:tcW w:w="369" w:type="pct"/>
            <w:shd w:val="clear" w:color="auto" w:fill="FFFFFF"/>
            <w:tcMar>
              <w:top w:w="0" w:type="dxa"/>
              <w:left w:w="0" w:type="dxa"/>
              <w:bottom w:w="0" w:type="dxa"/>
              <w:right w:w="0" w:type="dxa"/>
            </w:tcMar>
            <w:vAlign w:val="center"/>
          </w:tcPr>
          <w:p w14:paraId="73C8CEB4" w14:textId="2B35E37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287</w:t>
            </w:r>
            <w:r w:rsidRPr="00734942">
              <w:rPr>
                <w:rFonts w:ascii="Arial" w:eastAsia="Arial" w:hAnsi="Arial" w:cs="Arial"/>
                <w:color w:val="111111"/>
                <w:sz w:val="18"/>
                <w:szCs w:val="18"/>
              </w:rPr>
              <w:fldChar w:fldCharType="end"/>
            </w:r>
          </w:p>
        </w:tc>
      </w:tr>
      <w:tr w:rsidR="007B756D" w:rsidRPr="00734942" w14:paraId="1B83C8B4" w14:textId="77777777" w:rsidTr="006658D1">
        <w:trPr>
          <w:cantSplit/>
          <w:jc w:val="center"/>
        </w:trPr>
        <w:tc>
          <w:tcPr>
            <w:tcW w:w="776" w:type="pct"/>
            <w:shd w:val="clear" w:color="auto" w:fill="FFFFFF"/>
            <w:tcMar>
              <w:top w:w="0" w:type="dxa"/>
              <w:left w:w="0" w:type="dxa"/>
              <w:bottom w:w="0" w:type="dxa"/>
              <w:right w:w="0" w:type="dxa"/>
            </w:tcMar>
            <w:vAlign w:val="center"/>
          </w:tcPr>
          <w:p w14:paraId="433F01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6337E6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319" w:type="pct"/>
            <w:shd w:val="clear" w:color="auto" w:fill="FFFFFF"/>
            <w:tcMar>
              <w:top w:w="0" w:type="dxa"/>
              <w:left w:w="0" w:type="dxa"/>
              <w:bottom w:w="0" w:type="dxa"/>
              <w:right w:w="0" w:type="dxa"/>
            </w:tcMar>
            <w:vAlign w:val="center"/>
          </w:tcPr>
          <w:p w14:paraId="7297C325" w14:textId="77777777" w:rsidR="007B756D" w:rsidRPr="00734942" w:rsidRDefault="007B756D" w:rsidP="006658D1">
            <w:pPr>
              <w:spacing w:before="40" w:after="40"/>
              <w:ind w:left="100" w:right="100"/>
            </w:pPr>
            <w:bookmarkStart w:id="373" w:name="_Hlk65240653"/>
            <w:r w:rsidRPr="00734942">
              <w:rPr>
                <w:rFonts w:ascii="Arial" w:eastAsia="Arial" w:hAnsi="Arial" w:cs="Arial"/>
                <w:color w:val="111111"/>
                <w:sz w:val="18"/>
                <w:szCs w:val="18"/>
              </w:rPr>
              <w:t>FDRs</w:t>
            </w:r>
            <w:bookmarkEnd w:id="373"/>
          </w:p>
        </w:tc>
        <w:tc>
          <w:tcPr>
            <w:tcW w:w="291" w:type="pct"/>
            <w:shd w:val="clear" w:color="auto" w:fill="FFFFFF"/>
            <w:tcMar>
              <w:top w:w="0" w:type="dxa"/>
              <w:left w:w="0" w:type="dxa"/>
              <w:bottom w:w="0" w:type="dxa"/>
              <w:right w:w="0" w:type="dxa"/>
            </w:tcMar>
            <w:vAlign w:val="center"/>
          </w:tcPr>
          <w:p w14:paraId="43264AA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2,128</w:t>
            </w:r>
          </w:p>
        </w:tc>
        <w:tc>
          <w:tcPr>
            <w:tcW w:w="287" w:type="pct"/>
            <w:shd w:val="clear" w:color="auto" w:fill="FFFFFF"/>
            <w:tcMar>
              <w:top w:w="0" w:type="dxa"/>
              <w:left w:w="0" w:type="dxa"/>
              <w:bottom w:w="0" w:type="dxa"/>
              <w:right w:w="0" w:type="dxa"/>
            </w:tcMar>
            <w:vAlign w:val="center"/>
          </w:tcPr>
          <w:p w14:paraId="2F0B4F1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47" w:type="pct"/>
            <w:shd w:val="clear" w:color="auto" w:fill="FFFFFF"/>
            <w:tcMar>
              <w:top w:w="0" w:type="dxa"/>
              <w:left w:w="0" w:type="dxa"/>
              <w:bottom w:w="0" w:type="dxa"/>
              <w:right w:w="0" w:type="dxa"/>
            </w:tcMar>
            <w:vAlign w:val="center"/>
          </w:tcPr>
          <w:p w14:paraId="5FE554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CD in family</w:t>
            </w:r>
          </w:p>
        </w:tc>
        <w:tc>
          <w:tcPr>
            <w:tcW w:w="630" w:type="pct"/>
            <w:shd w:val="clear" w:color="auto" w:fill="FFFFFF"/>
            <w:tcMar>
              <w:top w:w="0" w:type="dxa"/>
              <w:left w:w="0" w:type="dxa"/>
              <w:bottom w:w="0" w:type="dxa"/>
              <w:right w:w="0" w:type="dxa"/>
            </w:tcMar>
            <w:vAlign w:val="center"/>
          </w:tcPr>
          <w:p w14:paraId="7BDF39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3" w:type="pct"/>
            <w:shd w:val="clear" w:color="auto" w:fill="FFFFFF"/>
            <w:tcMar>
              <w:top w:w="0" w:type="dxa"/>
              <w:left w:w="0" w:type="dxa"/>
              <w:bottom w:w="0" w:type="dxa"/>
              <w:right w:w="0" w:type="dxa"/>
            </w:tcMar>
            <w:vAlign w:val="center"/>
          </w:tcPr>
          <w:p w14:paraId="3DBA54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3049A9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14E7CBD8" w14:textId="0258F3C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b3VuZzwvQXV0aG9yPjxZZWFyPjIwMTk8L1llYXI+PFJlY051bT4xODU8L1JlY051bT48RGlzcGxh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b3VuZzwvQXV0aG9yPjxZZWFyPjIwMTk8L1llYXI+PFJlY051bT4xODU8L1JlY051bT48RGlzcGxh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360</w:t>
            </w:r>
            <w:r w:rsidRPr="00734942">
              <w:rPr>
                <w:rFonts w:ascii="Arial" w:eastAsia="Arial" w:hAnsi="Arial" w:cs="Arial"/>
                <w:color w:val="111111"/>
                <w:sz w:val="18"/>
                <w:szCs w:val="18"/>
              </w:rPr>
              <w:fldChar w:fldCharType="end"/>
            </w:r>
          </w:p>
        </w:tc>
      </w:tr>
      <w:tr w:rsidR="007B756D" w:rsidRPr="00734942" w14:paraId="7083141C" w14:textId="77777777" w:rsidTr="006658D1">
        <w:trPr>
          <w:cantSplit/>
          <w:jc w:val="center"/>
        </w:trPr>
        <w:tc>
          <w:tcPr>
            <w:tcW w:w="776" w:type="pct"/>
            <w:shd w:val="clear" w:color="auto" w:fill="FFFFFF"/>
            <w:tcMar>
              <w:top w:w="0" w:type="dxa"/>
              <w:left w:w="0" w:type="dxa"/>
              <w:bottom w:w="0" w:type="dxa"/>
              <w:right w:w="0" w:type="dxa"/>
            </w:tcMar>
            <w:vAlign w:val="center"/>
          </w:tcPr>
          <w:p w14:paraId="29B773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0" w:type="pct"/>
            <w:shd w:val="clear" w:color="auto" w:fill="FFFFFF"/>
            <w:tcMar>
              <w:top w:w="0" w:type="dxa"/>
              <w:left w:w="0" w:type="dxa"/>
              <w:bottom w:w="0" w:type="dxa"/>
              <w:right w:w="0" w:type="dxa"/>
            </w:tcMar>
            <w:vAlign w:val="center"/>
          </w:tcPr>
          <w:p w14:paraId="7DE2C4E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shd w:val="clear" w:color="auto" w:fill="FFFFFF"/>
            <w:tcMar>
              <w:top w:w="0" w:type="dxa"/>
              <w:left w:w="0" w:type="dxa"/>
              <w:bottom w:w="0" w:type="dxa"/>
              <w:right w:w="0" w:type="dxa"/>
            </w:tcMar>
            <w:vAlign w:val="center"/>
          </w:tcPr>
          <w:p w14:paraId="7FA8EA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0E26B7D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6,059</w:t>
            </w:r>
          </w:p>
        </w:tc>
        <w:tc>
          <w:tcPr>
            <w:tcW w:w="287" w:type="pct"/>
            <w:shd w:val="clear" w:color="auto" w:fill="FFFFFF"/>
            <w:tcMar>
              <w:top w:w="0" w:type="dxa"/>
              <w:left w:w="0" w:type="dxa"/>
              <w:bottom w:w="0" w:type="dxa"/>
              <w:right w:w="0" w:type="dxa"/>
            </w:tcMar>
            <w:vAlign w:val="center"/>
          </w:tcPr>
          <w:p w14:paraId="7E671D2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54D632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385DBC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713" w:type="pct"/>
            <w:shd w:val="clear" w:color="auto" w:fill="FFFFFF"/>
            <w:tcMar>
              <w:top w:w="0" w:type="dxa"/>
              <w:left w:w="0" w:type="dxa"/>
              <w:bottom w:w="0" w:type="dxa"/>
              <w:right w:w="0" w:type="dxa"/>
            </w:tcMar>
            <w:vAlign w:val="center"/>
          </w:tcPr>
          <w:p w14:paraId="7F085D8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Community/secondary</w:t>
            </w:r>
          </w:p>
        </w:tc>
        <w:tc>
          <w:tcPr>
            <w:tcW w:w="419" w:type="pct"/>
            <w:shd w:val="clear" w:color="auto" w:fill="FFFFFF"/>
            <w:tcMar>
              <w:top w:w="0" w:type="dxa"/>
              <w:left w:w="0" w:type="dxa"/>
              <w:bottom w:w="0" w:type="dxa"/>
              <w:right w:w="0" w:type="dxa"/>
            </w:tcMar>
            <w:vAlign w:val="center"/>
          </w:tcPr>
          <w:p w14:paraId="7EF95F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3FD1D91D" w14:textId="7C11919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PEVuZE5vdGU+PENpdGUgRXhjbHVkZUF1dGg9IjEiIEV4Y2x1ZGVZZWFyPSIxIj48QXV0aG9yPkZh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PEVuZE5vdGU+PENpdGUgRXhjbHVkZUF1dGg9IjEiIEV4Y2x1ZGVZZWFyPSIxIj48QXV0aG9yPkZh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361</w:t>
            </w:r>
            <w:r w:rsidRPr="00734942">
              <w:rPr>
                <w:rFonts w:ascii="Arial" w:eastAsia="Arial" w:hAnsi="Arial" w:cs="Arial"/>
                <w:color w:val="111111"/>
                <w:sz w:val="18"/>
                <w:szCs w:val="18"/>
              </w:rPr>
              <w:fldChar w:fldCharType="end"/>
            </w:r>
          </w:p>
        </w:tc>
      </w:tr>
      <w:tr w:rsidR="007B756D" w:rsidRPr="00734942" w14:paraId="4C4D3DE4" w14:textId="77777777" w:rsidTr="006658D1">
        <w:trPr>
          <w:cantSplit/>
          <w:jc w:val="center"/>
        </w:trPr>
        <w:tc>
          <w:tcPr>
            <w:tcW w:w="776" w:type="pct"/>
            <w:shd w:val="clear" w:color="auto" w:fill="FFFFFF"/>
            <w:tcMar>
              <w:top w:w="0" w:type="dxa"/>
              <w:left w:w="0" w:type="dxa"/>
              <w:bottom w:w="0" w:type="dxa"/>
              <w:right w:w="0" w:type="dxa"/>
            </w:tcMar>
            <w:vAlign w:val="center"/>
          </w:tcPr>
          <w:p w14:paraId="6FA769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048988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19" w:type="pct"/>
            <w:shd w:val="clear" w:color="auto" w:fill="FFFFFF"/>
            <w:tcMar>
              <w:top w:w="0" w:type="dxa"/>
              <w:left w:w="0" w:type="dxa"/>
              <w:bottom w:w="0" w:type="dxa"/>
              <w:right w:w="0" w:type="dxa"/>
            </w:tcMar>
            <w:vAlign w:val="center"/>
          </w:tcPr>
          <w:p w14:paraId="2B4CA3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CD in family</w:t>
            </w:r>
          </w:p>
        </w:tc>
        <w:tc>
          <w:tcPr>
            <w:tcW w:w="291" w:type="pct"/>
            <w:shd w:val="clear" w:color="auto" w:fill="FFFFFF"/>
            <w:tcMar>
              <w:top w:w="0" w:type="dxa"/>
              <w:left w:w="0" w:type="dxa"/>
              <w:bottom w:w="0" w:type="dxa"/>
              <w:right w:w="0" w:type="dxa"/>
            </w:tcMar>
            <w:vAlign w:val="center"/>
          </w:tcPr>
          <w:p w14:paraId="3616D8A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3,768</w:t>
            </w:r>
          </w:p>
        </w:tc>
        <w:tc>
          <w:tcPr>
            <w:tcW w:w="287" w:type="pct"/>
            <w:shd w:val="clear" w:color="auto" w:fill="FFFFFF"/>
            <w:tcMar>
              <w:top w:w="0" w:type="dxa"/>
              <w:left w:w="0" w:type="dxa"/>
              <w:bottom w:w="0" w:type="dxa"/>
              <w:right w:w="0" w:type="dxa"/>
            </w:tcMar>
            <w:vAlign w:val="center"/>
          </w:tcPr>
          <w:p w14:paraId="258320D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3290AB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family history of CD</w:t>
            </w:r>
          </w:p>
        </w:tc>
        <w:tc>
          <w:tcPr>
            <w:tcW w:w="630" w:type="pct"/>
            <w:shd w:val="clear" w:color="auto" w:fill="FFFFFF"/>
            <w:tcMar>
              <w:top w:w="0" w:type="dxa"/>
              <w:left w:w="0" w:type="dxa"/>
              <w:bottom w:w="0" w:type="dxa"/>
              <w:right w:w="0" w:type="dxa"/>
            </w:tcMar>
            <w:vAlign w:val="center"/>
          </w:tcPr>
          <w:p w14:paraId="730014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713" w:type="pct"/>
            <w:shd w:val="clear" w:color="auto" w:fill="FFFFFF"/>
            <w:tcMar>
              <w:top w:w="0" w:type="dxa"/>
              <w:left w:w="0" w:type="dxa"/>
              <w:bottom w:w="0" w:type="dxa"/>
              <w:right w:w="0" w:type="dxa"/>
            </w:tcMar>
            <w:vAlign w:val="center"/>
          </w:tcPr>
          <w:p w14:paraId="652244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6EA477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Cyprus</w:t>
            </w:r>
          </w:p>
        </w:tc>
        <w:tc>
          <w:tcPr>
            <w:tcW w:w="369" w:type="pct"/>
            <w:shd w:val="clear" w:color="auto" w:fill="FFFFFF"/>
            <w:tcMar>
              <w:top w:w="0" w:type="dxa"/>
              <w:left w:w="0" w:type="dxa"/>
              <w:bottom w:w="0" w:type="dxa"/>
              <w:right w:w="0" w:type="dxa"/>
            </w:tcMar>
            <w:vAlign w:val="center"/>
          </w:tcPr>
          <w:p w14:paraId="368FF8EC" w14:textId="62EA494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PEVuZE5vdGU+PENpdGUgRXhjbHVkZUF1dGg9IjEiIEV4Y2x1ZGVZZWFyPSIxIj48QXV0aG9yPkJl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PEVuZE5vdGU+PENpdGUgRXhjbHVkZUF1dGg9IjEiIEV4Y2x1ZGVZZWFyPSIxIj48QXV0aG9yPkJl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362</w:t>
            </w:r>
            <w:r w:rsidRPr="00734942">
              <w:rPr>
                <w:rFonts w:ascii="Arial" w:eastAsia="Arial" w:hAnsi="Arial" w:cs="Arial"/>
                <w:color w:val="111111"/>
                <w:sz w:val="18"/>
                <w:szCs w:val="18"/>
              </w:rPr>
              <w:fldChar w:fldCharType="end"/>
            </w:r>
          </w:p>
        </w:tc>
      </w:tr>
      <w:tr w:rsidR="007B756D" w:rsidRPr="00734942" w14:paraId="5343C31B" w14:textId="77777777" w:rsidTr="006658D1">
        <w:trPr>
          <w:cantSplit/>
          <w:jc w:val="center"/>
        </w:trPr>
        <w:tc>
          <w:tcPr>
            <w:tcW w:w="776" w:type="pct"/>
            <w:shd w:val="clear" w:color="auto" w:fill="FFFFFF"/>
            <w:tcMar>
              <w:top w:w="0" w:type="dxa"/>
              <w:left w:w="0" w:type="dxa"/>
              <w:bottom w:w="0" w:type="dxa"/>
              <w:right w:w="0" w:type="dxa"/>
            </w:tcMar>
            <w:vAlign w:val="center"/>
          </w:tcPr>
          <w:p w14:paraId="4A4C2A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670AF01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19" w:type="pct"/>
            <w:shd w:val="clear" w:color="auto" w:fill="FFFFFF"/>
            <w:tcMar>
              <w:top w:w="0" w:type="dxa"/>
              <w:left w:w="0" w:type="dxa"/>
              <w:bottom w:w="0" w:type="dxa"/>
              <w:right w:w="0" w:type="dxa"/>
            </w:tcMar>
            <w:vAlign w:val="center"/>
          </w:tcPr>
          <w:p w14:paraId="29A9B1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CD in family</w:t>
            </w:r>
          </w:p>
        </w:tc>
        <w:tc>
          <w:tcPr>
            <w:tcW w:w="291" w:type="pct"/>
            <w:shd w:val="clear" w:color="auto" w:fill="FFFFFF"/>
            <w:tcMar>
              <w:top w:w="0" w:type="dxa"/>
              <w:left w:w="0" w:type="dxa"/>
              <w:bottom w:w="0" w:type="dxa"/>
              <w:right w:w="0" w:type="dxa"/>
            </w:tcMar>
            <w:vAlign w:val="center"/>
          </w:tcPr>
          <w:p w14:paraId="6E0FDFA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4,308</w:t>
            </w:r>
          </w:p>
        </w:tc>
        <w:tc>
          <w:tcPr>
            <w:tcW w:w="287" w:type="pct"/>
            <w:shd w:val="clear" w:color="auto" w:fill="FFFFFF"/>
            <w:tcMar>
              <w:top w:w="0" w:type="dxa"/>
              <w:left w:w="0" w:type="dxa"/>
              <w:bottom w:w="0" w:type="dxa"/>
              <w:right w:w="0" w:type="dxa"/>
            </w:tcMar>
            <w:vAlign w:val="center"/>
          </w:tcPr>
          <w:p w14:paraId="7202E62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47" w:type="pct"/>
            <w:shd w:val="clear" w:color="auto" w:fill="FFFFFF"/>
            <w:tcMar>
              <w:top w:w="0" w:type="dxa"/>
              <w:left w:w="0" w:type="dxa"/>
              <w:bottom w:w="0" w:type="dxa"/>
              <w:right w:w="0" w:type="dxa"/>
            </w:tcMar>
            <w:vAlign w:val="center"/>
          </w:tcPr>
          <w:p w14:paraId="744519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CD in family</w:t>
            </w:r>
          </w:p>
        </w:tc>
        <w:tc>
          <w:tcPr>
            <w:tcW w:w="630" w:type="pct"/>
            <w:shd w:val="clear" w:color="auto" w:fill="FFFFFF"/>
            <w:tcMar>
              <w:top w:w="0" w:type="dxa"/>
              <w:left w:w="0" w:type="dxa"/>
              <w:bottom w:w="0" w:type="dxa"/>
              <w:right w:w="0" w:type="dxa"/>
            </w:tcMar>
            <w:vAlign w:val="center"/>
          </w:tcPr>
          <w:p w14:paraId="19E8676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3" w:type="pct"/>
            <w:shd w:val="clear" w:color="auto" w:fill="FFFFFF"/>
            <w:tcMar>
              <w:top w:w="0" w:type="dxa"/>
              <w:left w:w="0" w:type="dxa"/>
              <w:bottom w:w="0" w:type="dxa"/>
              <w:right w:w="0" w:type="dxa"/>
            </w:tcMar>
            <w:vAlign w:val="center"/>
          </w:tcPr>
          <w:p w14:paraId="03D4B3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11EFE1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3AA7D283" w14:textId="6A6A7B1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7B756D" w:rsidRPr="00734942" w14:paraId="2F40ED49" w14:textId="77777777" w:rsidTr="006658D1">
        <w:trPr>
          <w:cantSplit/>
          <w:jc w:val="center"/>
        </w:trPr>
        <w:tc>
          <w:tcPr>
            <w:tcW w:w="776" w:type="pct"/>
            <w:shd w:val="clear" w:color="auto" w:fill="FFFFFF"/>
            <w:tcMar>
              <w:top w:w="0" w:type="dxa"/>
              <w:left w:w="0" w:type="dxa"/>
              <w:bottom w:w="0" w:type="dxa"/>
              <w:right w:w="0" w:type="dxa"/>
            </w:tcMar>
            <w:vAlign w:val="center"/>
          </w:tcPr>
          <w:p w14:paraId="69A0C2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5757F3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shd w:val="clear" w:color="auto" w:fill="FFFFFF"/>
            <w:tcMar>
              <w:top w:w="0" w:type="dxa"/>
              <w:left w:w="0" w:type="dxa"/>
              <w:bottom w:w="0" w:type="dxa"/>
              <w:right w:w="0" w:type="dxa"/>
            </w:tcMar>
            <w:vAlign w:val="center"/>
          </w:tcPr>
          <w:p w14:paraId="642A50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465DAB1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2,575</w:t>
            </w:r>
          </w:p>
        </w:tc>
        <w:tc>
          <w:tcPr>
            <w:tcW w:w="287" w:type="pct"/>
            <w:shd w:val="clear" w:color="auto" w:fill="FFFFFF"/>
            <w:tcMar>
              <w:top w:w="0" w:type="dxa"/>
              <w:left w:w="0" w:type="dxa"/>
              <w:bottom w:w="0" w:type="dxa"/>
              <w:right w:w="0" w:type="dxa"/>
            </w:tcMar>
            <w:vAlign w:val="center"/>
          </w:tcPr>
          <w:p w14:paraId="127869B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307D6B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568660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713" w:type="pct"/>
            <w:shd w:val="clear" w:color="auto" w:fill="FFFFFF"/>
            <w:tcMar>
              <w:top w:w="0" w:type="dxa"/>
              <w:left w:w="0" w:type="dxa"/>
              <w:bottom w:w="0" w:type="dxa"/>
              <w:right w:w="0" w:type="dxa"/>
            </w:tcMar>
            <w:vAlign w:val="center"/>
          </w:tcPr>
          <w:p w14:paraId="7C3CEA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Community/secondary</w:t>
            </w:r>
          </w:p>
        </w:tc>
        <w:tc>
          <w:tcPr>
            <w:tcW w:w="419" w:type="pct"/>
            <w:shd w:val="clear" w:color="auto" w:fill="FFFFFF"/>
            <w:tcMar>
              <w:top w:w="0" w:type="dxa"/>
              <w:left w:w="0" w:type="dxa"/>
              <w:bottom w:w="0" w:type="dxa"/>
              <w:right w:w="0" w:type="dxa"/>
            </w:tcMar>
            <w:vAlign w:val="center"/>
          </w:tcPr>
          <w:p w14:paraId="480B48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3EEE7D6" w14:textId="4CD924C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PEVuZE5vdGU+PENpdGUgRXhjbHVkZUF1dGg9IjEiIEV4Y2x1ZGVZZWFyPSIxIj48QXV0aG9yPkZh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PEVuZE5vdGU+PENpdGUgRXhjbHVkZUF1dGg9IjEiIEV4Y2x1ZGVZZWFyPSIxIj48QXV0aG9yPkZh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361</w:t>
            </w:r>
            <w:r w:rsidRPr="00734942">
              <w:rPr>
                <w:rFonts w:ascii="Arial" w:eastAsia="Arial" w:hAnsi="Arial" w:cs="Arial"/>
                <w:color w:val="111111"/>
                <w:sz w:val="18"/>
                <w:szCs w:val="18"/>
              </w:rPr>
              <w:fldChar w:fldCharType="end"/>
            </w:r>
          </w:p>
        </w:tc>
      </w:tr>
      <w:tr w:rsidR="007B756D" w:rsidRPr="00734942" w14:paraId="63E9973B" w14:textId="77777777" w:rsidTr="006658D1">
        <w:trPr>
          <w:cantSplit/>
          <w:jc w:val="center"/>
        </w:trPr>
        <w:tc>
          <w:tcPr>
            <w:tcW w:w="776" w:type="pct"/>
            <w:shd w:val="clear" w:color="auto" w:fill="FFFFFF"/>
            <w:tcMar>
              <w:top w:w="0" w:type="dxa"/>
              <w:left w:w="0" w:type="dxa"/>
              <w:bottom w:w="0" w:type="dxa"/>
              <w:right w:w="0" w:type="dxa"/>
            </w:tcMar>
            <w:vAlign w:val="center"/>
          </w:tcPr>
          <w:p w14:paraId="68DBDCC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450" w:type="pct"/>
            <w:shd w:val="clear" w:color="auto" w:fill="FFFFFF"/>
            <w:tcMar>
              <w:top w:w="0" w:type="dxa"/>
              <w:left w:w="0" w:type="dxa"/>
              <w:bottom w:w="0" w:type="dxa"/>
              <w:right w:w="0" w:type="dxa"/>
            </w:tcMar>
            <w:vAlign w:val="center"/>
          </w:tcPr>
          <w:p w14:paraId="55B11D7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319" w:type="pct"/>
            <w:shd w:val="clear" w:color="auto" w:fill="FFFFFF"/>
            <w:tcMar>
              <w:top w:w="0" w:type="dxa"/>
              <w:left w:w="0" w:type="dxa"/>
              <w:bottom w:w="0" w:type="dxa"/>
              <w:right w:w="0" w:type="dxa"/>
            </w:tcMar>
            <w:vAlign w:val="center"/>
          </w:tcPr>
          <w:p w14:paraId="06C495B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3EB0FA8E"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9,973</w:t>
            </w:r>
          </w:p>
        </w:tc>
        <w:tc>
          <w:tcPr>
            <w:tcW w:w="287" w:type="pct"/>
            <w:shd w:val="clear" w:color="auto" w:fill="FFFFFF"/>
            <w:tcMar>
              <w:top w:w="0" w:type="dxa"/>
              <w:left w:w="0" w:type="dxa"/>
              <w:bottom w:w="0" w:type="dxa"/>
              <w:right w:w="0" w:type="dxa"/>
            </w:tcMar>
            <w:vAlign w:val="center"/>
          </w:tcPr>
          <w:p w14:paraId="2688E856"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6D46016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a FDR with CD</w:t>
            </w:r>
          </w:p>
        </w:tc>
        <w:tc>
          <w:tcPr>
            <w:tcW w:w="630" w:type="pct"/>
            <w:shd w:val="clear" w:color="auto" w:fill="FFFFFF"/>
            <w:tcMar>
              <w:top w:w="0" w:type="dxa"/>
              <w:left w:w="0" w:type="dxa"/>
              <w:bottom w:w="0" w:type="dxa"/>
              <w:right w:w="0" w:type="dxa"/>
            </w:tcMar>
            <w:vAlign w:val="center"/>
          </w:tcPr>
          <w:p w14:paraId="31B0EEA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713" w:type="pct"/>
            <w:shd w:val="clear" w:color="auto" w:fill="FFFFFF"/>
            <w:tcMar>
              <w:top w:w="0" w:type="dxa"/>
              <w:left w:w="0" w:type="dxa"/>
              <w:bottom w:w="0" w:type="dxa"/>
              <w:right w:w="0" w:type="dxa"/>
            </w:tcMar>
            <w:vAlign w:val="center"/>
          </w:tcPr>
          <w:p w14:paraId="6BBFC6C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373A42F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512718A7" w14:textId="72DBADF3"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r w:rsidR="007B756D" w:rsidRPr="00734942" w14:paraId="58B4C93F" w14:textId="77777777" w:rsidTr="006658D1">
        <w:trPr>
          <w:cantSplit/>
          <w:jc w:val="center"/>
        </w:trPr>
        <w:tc>
          <w:tcPr>
            <w:tcW w:w="776" w:type="pct"/>
            <w:shd w:val="clear" w:color="auto" w:fill="FFFFFF"/>
            <w:tcMar>
              <w:top w:w="0" w:type="dxa"/>
              <w:left w:w="0" w:type="dxa"/>
              <w:bottom w:w="0" w:type="dxa"/>
              <w:right w:w="0" w:type="dxa"/>
            </w:tcMar>
            <w:vAlign w:val="center"/>
          </w:tcPr>
          <w:p w14:paraId="135BA7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50" w:type="pct"/>
            <w:shd w:val="clear" w:color="auto" w:fill="FFFFFF"/>
            <w:tcMar>
              <w:top w:w="0" w:type="dxa"/>
              <w:left w:w="0" w:type="dxa"/>
              <w:bottom w:w="0" w:type="dxa"/>
              <w:right w:w="0" w:type="dxa"/>
            </w:tcMar>
            <w:vAlign w:val="center"/>
          </w:tcPr>
          <w:p w14:paraId="3E263C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 &amp; CD)</w:t>
            </w:r>
          </w:p>
        </w:tc>
        <w:tc>
          <w:tcPr>
            <w:tcW w:w="319" w:type="pct"/>
            <w:shd w:val="clear" w:color="auto" w:fill="FFFFFF"/>
            <w:tcMar>
              <w:top w:w="0" w:type="dxa"/>
              <w:left w:w="0" w:type="dxa"/>
              <w:bottom w:w="0" w:type="dxa"/>
              <w:right w:w="0" w:type="dxa"/>
            </w:tcMar>
            <w:vAlign w:val="center"/>
          </w:tcPr>
          <w:p w14:paraId="5BF772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3EF7D18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114</w:t>
            </w:r>
          </w:p>
        </w:tc>
        <w:tc>
          <w:tcPr>
            <w:tcW w:w="287" w:type="pct"/>
            <w:shd w:val="clear" w:color="auto" w:fill="FFFFFF"/>
            <w:tcMar>
              <w:top w:w="0" w:type="dxa"/>
              <w:left w:w="0" w:type="dxa"/>
              <w:bottom w:w="0" w:type="dxa"/>
              <w:right w:w="0" w:type="dxa"/>
            </w:tcMar>
            <w:vAlign w:val="center"/>
          </w:tcPr>
          <w:p w14:paraId="442F2BF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47" w:type="pct"/>
            <w:shd w:val="clear" w:color="auto" w:fill="FFFFFF"/>
            <w:tcMar>
              <w:top w:w="0" w:type="dxa"/>
              <w:left w:w="0" w:type="dxa"/>
              <w:bottom w:w="0" w:type="dxa"/>
              <w:right w:w="0" w:type="dxa"/>
            </w:tcMar>
            <w:vAlign w:val="center"/>
          </w:tcPr>
          <w:p w14:paraId="60B5CA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391F526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713" w:type="pct"/>
            <w:shd w:val="clear" w:color="auto" w:fill="FFFFFF"/>
            <w:tcMar>
              <w:top w:w="0" w:type="dxa"/>
              <w:left w:w="0" w:type="dxa"/>
              <w:bottom w:w="0" w:type="dxa"/>
              <w:right w:w="0" w:type="dxa"/>
            </w:tcMar>
            <w:vAlign w:val="center"/>
          </w:tcPr>
          <w:p w14:paraId="01A81B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419" w:type="pct"/>
            <w:shd w:val="clear" w:color="auto" w:fill="FFFFFF"/>
            <w:tcMar>
              <w:top w:w="0" w:type="dxa"/>
              <w:left w:w="0" w:type="dxa"/>
              <w:bottom w:w="0" w:type="dxa"/>
              <w:right w:w="0" w:type="dxa"/>
            </w:tcMar>
            <w:vAlign w:val="center"/>
          </w:tcPr>
          <w:p w14:paraId="293868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Cuba</w:t>
            </w:r>
          </w:p>
        </w:tc>
        <w:tc>
          <w:tcPr>
            <w:tcW w:w="369" w:type="pct"/>
            <w:shd w:val="clear" w:color="auto" w:fill="FFFFFF"/>
            <w:tcMar>
              <w:top w:w="0" w:type="dxa"/>
              <w:left w:w="0" w:type="dxa"/>
              <w:bottom w:w="0" w:type="dxa"/>
              <w:right w:w="0" w:type="dxa"/>
            </w:tcMar>
            <w:vAlign w:val="center"/>
          </w:tcPr>
          <w:p w14:paraId="73FD550D" w14:textId="353EDF6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PEVuZE5vdGU+PENpdGUgRXhjbHVkZUF1dGg9IjEiIEV4Y2x1ZGVZZWFyPSIxIj48QXV0aG9yPkNp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PEVuZE5vdGU+PENpdGUgRXhjbHVkZUF1dGg9IjEiIEV4Y2x1ZGVZZWFyPSIxIj48QXV0aG9yPkNp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363</w:t>
            </w:r>
            <w:r w:rsidRPr="00734942">
              <w:rPr>
                <w:rFonts w:ascii="Arial" w:eastAsia="Arial" w:hAnsi="Arial" w:cs="Arial"/>
                <w:color w:val="111111"/>
                <w:sz w:val="18"/>
                <w:szCs w:val="18"/>
              </w:rPr>
              <w:fldChar w:fldCharType="end"/>
            </w:r>
          </w:p>
        </w:tc>
      </w:tr>
      <w:tr w:rsidR="007B756D" w:rsidRPr="00734942" w14:paraId="025ADD68" w14:textId="77777777" w:rsidTr="006658D1">
        <w:trPr>
          <w:cantSplit/>
          <w:jc w:val="center"/>
        </w:trPr>
        <w:tc>
          <w:tcPr>
            <w:tcW w:w="776" w:type="pct"/>
            <w:shd w:val="clear" w:color="auto" w:fill="FFFFFF"/>
            <w:tcMar>
              <w:top w:w="0" w:type="dxa"/>
              <w:left w:w="0" w:type="dxa"/>
              <w:bottom w:w="0" w:type="dxa"/>
              <w:right w:w="0" w:type="dxa"/>
            </w:tcMar>
            <w:vAlign w:val="center"/>
          </w:tcPr>
          <w:p w14:paraId="2A995F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50" w:type="pct"/>
            <w:shd w:val="clear" w:color="auto" w:fill="FFFFFF"/>
            <w:tcMar>
              <w:top w:w="0" w:type="dxa"/>
              <w:left w:w="0" w:type="dxa"/>
              <w:bottom w:w="0" w:type="dxa"/>
              <w:right w:w="0" w:type="dxa"/>
            </w:tcMar>
            <w:vAlign w:val="center"/>
          </w:tcPr>
          <w:p w14:paraId="58EA49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shd w:val="clear" w:color="auto" w:fill="FFFFFF"/>
            <w:tcMar>
              <w:top w:w="0" w:type="dxa"/>
              <w:left w:w="0" w:type="dxa"/>
              <w:bottom w:w="0" w:type="dxa"/>
              <w:right w:w="0" w:type="dxa"/>
            </w:tcMar>
            <w:vAlign w:val="center"/>
          </w:tcPr>
          <w:p w14:paraId="2F0C81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w:t>
            </w:r>
          </w:p>
        </w:tc>
        <w:tc>
          <w:tcPr>
            <w:tcW w:w="291" w:type="pct"/>
            <w:shd w:val="clear" w:color="auto" w:fill="FFFFFF"/>
            <w:tcMar>
              <w:top w:w="0" w:type="dxa"/>
              <w:left w:w="0" w:type="dxa"/>
              <w:bottom w:w="0" w:type="dxa"/>
              <w:right w:w="0" w:type="dxa"/>
            </w:tcMar>
            <w:vAlign w:val="center"/>
          </w:tcPr>
          <w:p w14:paraId="0DC444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241</w:t>
            </w:r>
          </w:p>
        </w:tc>
        <w:tc>
          <w:tcPr>
            <w:tcW w:w="287" w:type="pct"/>
            <w:shd w:val="clear" w:color="auto" w:fill="FFFFFF"/>
            <w:tcMar>
              <w:top w:w="0" w:type="dxa"/>
              <w:left w:w="0" w:type="dxa"/>
              <w:bottom w:w="0" w:type="dxa"/>
              <w:right w:w="0" w:type="dxa"/>
            </w:tcMar>
            <w:vAlign w:val="center"/>
          </w:tcPr>
          <w:p w14:paraId="3D81384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2159B8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0A1111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713" w:type="pct"/>
            <w:shd w:val="clear" w:color="auto" w:fill="FFFFFF"/>
            <w:tcMar>
              <w:top w:w="0" w:type="dxa"/>
              <w:left w:w="0" w:type="dxa"/>
              <w:bottom w:w="0" w:type="dxa"/>
              <w:right w:w="0" w:type="dxa"/>
            </w:tcMar>
            <w:vAlign w:val="center"/>
          </w:tcPr>
          <w:p w14:paraId="4BDA9D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1CDF8E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4764D562" w14:textId="5848DDC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PEVuZE5vdGU+PENpdGUgRXhjbHVkZUF1dGg9IjEiIEV4Y2x1ZGVZZWFyPSIxIj48QXV0aG9yPktv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PEVuZE5vdGU+PENpdGUgRXhjbHVkZUF1dGg9IjEiIEV4Y2x1ZGVZZWFyPSIxIj48QXV0aG9yPktv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364</w:t>
            </w:r>
            <w:r w:rsidRPr="00734942">
              <w:rPr>
                <w:rFonts w:ascii="Arial" w:eastAsia="Arial" w:hAnsi="Arial" w:cs="Arial"/>
                <w:color w:val="111111"/>
                <w:sz w:val="18"/>
                <w:szCs w:val="18"/>
              </w:rPr>
              <w:fldChar w:fldCharType="end"/>
            </w:r>
          </w:p>
        </w:tc>
      </w:tr>
      <w:tr w:rsidR="007B756D" w:rsidRPr="00734942" w14:paraId="53CE8455" w14:textId="77777777" w:rsidTr="006658D1">
        <w:trPr>
          <w:cantSplit/>
          <w:jc w:val="center"/>
        </w:trPr>
        <w:tc>
          <w:tcPr>
            <w:tcW w:w="776" w:type="pct"/>
            <w:shd w:val="clear" w:color="auto" w:fill="FFFFFF"/>
            <w:tcMar>
              <w:top w:w="0" w:type="dxa"/>
              <w:left w:w="0" w:type="dxa"/>
              <w:bottom w:w="0" w:type="dxa"/>
              <w:right w:w="0" w:type="dxa"/>
            </w:tcMar>
            <w:vAlign w:val="center"/>
          </w:tcPr>
          <w:p w14:paraId="72EC99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50" w:type="pct"/>
            <w:shd w:val="clear" w:color="auto" w:fill="FFFFFF"/>
            <w:tcMar>
              <w:top w:w="0" w:type="dxa"/>
              <w:left w:w="0" w:type="dxa"/>
              <w:bottom w:w="0" w:type="dxa"/>
              <w:right w:w="0" w:type="dxa"/>
            </w:tcMar>
            <w:vAlign w:val="center"/>
          </w:tcPr>
          <w:p w14:paraId="79BF13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shd w:val="clear" w:color="auto" w:fill="FFFFFF"/>
            <w:tcMar>
              <w:top w:w="0" w:type="dxa"/>
              <w:left w:w="0" w:type="dxa"/>
              <w:bottom w:w="0" w:type="dxa"/>
              <w:right w:w="0" w:type="dxa"/>
            </w:tcMar>
            <w:vAlign w:val="center"/>
          </w:tcPr>
          <w:p w14:paraId="3260AB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 &amp; SDRs</w:t>
            </w:r>
          </w:p>
        </w:tc>
        <w:tc>
          <w:tcPr>
            <w:tcW w:w="291" w:type="pct"/>
            <w:shd w:val="clear" w:color="auto" w:fill="FFFFFF"/>
            <w:tcMar>
              <w:top w:w="0" w:type="dxa"/>
              <w:left w:w="0" w:type="dxa"/>
              <w:bottom w:w="0" w:type="dxa"/>
              <w:right w:w="0" w:type="dxa"/>
            </w:tcMar>
            <w:vAlign w:val="center"/>
          </w:tcPr>
          <w:p w14:paraId="41A1421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333</w:t>
            </w:r>
          </w:p>
        </w:tc>
        <w:tc>
          <w:tcPr>
            <w:tcW w:w="287" w:type="pct"/>
            <w:shd w:val="clear" w:color="auto" w:fill="FFFFFF"/>
            <w:tcMar>
              <w:top w:w="0" w:type="dxa"/>
              <w:left w:w="0" w:type="dxa"/>
              <w:bottom w:w="0" w:type="dxa"/>
              <w:right w:w="0" w:type="dxa"/>
            </w:tcMar>
            <w:vAlign w:val="center"/>
          </w:tcPr>
          <w:p w14:paraId="62725E3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47" w:type="pct"/>
            <w:shd w:val="clear" w:color="auto" w:fill="FFFFFF"/>
            <w:tcMar>
              <w:top w:w="0" w:type="dxa"/>
              <w:left w:w="0" w:type="dxa"/>
              <w:bottom w:w="0" w:type="dxa"/>
              <w:right w:w="0" w:type="dxa"/>
            </w:tcMar>
            <w:vAlign w:val="center"/>
          </w:tcPr>
          <w:p w14:paraId="5894BA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shd w:val="clear" w:color="auto" w:fill="FFFFFF"/>
            <w:tcMar>
              <w:top w:w="0" w:type="dxa"/>
              <w:left w:w="0" w:type="dxa"/>
              <w:bottom w:w="0" w:type="dxa"/>
              <w:right w:w="0" w:type="dxa"/>
            </w:tcMar>
            <w:vAlign w:val="center"/>
          </w:tcPr>
          <w:p w14:paraId="5CC555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3" w:type="pct"/>
            <w:shd w:val="clear" w:color="auto" w:fill="FFFFFF"/>
            <w:tcMar>
              <w:top w:w="0" w:type="dxa"/>
              <w:left w:w="0" w:type="dxa"/>
              <w:bottom w:w="0" w:type="dxa"/>
              <w:right w:w="0" w:type="dxa"/>
            </w:tcMar>
            <w:vAlign w:val="center"/>
          </w:tcPr>
          <w:p w14:paraId="196F70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419" w:type="pct"/>
            <w:shd w:val="clear" w:color="auto" w:fill="FFFFFF"/>
            <w:tcMar>
              <w:top w:w="0" w:type="dxa"/>
              <w:left w:w="0" w:type="dxa"/>
              <w:bottom w:w="0" w:type="dxa"/>
              <w:right w:w="0" w:type="dxa"/>
            </w:tcMar>
            <w:vAlign w:val="center"/>
          </w:tcPr>
          <w:p w14:paraId="63349D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748956A9" w14:textId="04DCCEC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ExcludeYear="1"&gt;&lt;Author&gt;Nass&lt;/Author&gt;&lt;Year&gt;2011&lt;/Year&gt;&lt;RecNum&gt;190&lt;/RecNum&gt;&lt;DisplayText&gt;&lt;style face="superscript"&gt;365&lt;/style&gt;&lt;/DisplayText&gt;&lt;record&gt;&lt;rec-number&gt;190&lt;/rec-number&gt;&lt;foreign-keys&gt;&lt;key app="EN" db-id="tdwrx9xd1z9eepeevr355w2k959rv0f5zaax" timestamp="1632756130"&gt;190&lt;/key&gt;&lt;/foreign-keys&gt;&lt;ref-type name="Journal Article"&gt;17&lt;/ref-type&gt;&lt;contributors&gt;&lt;authors&gt;&lt;author&gt;Nass, F. R.&lt;/author&gt;&lt;author&gt;Kotze, L. M. D.&lt;/author&gt;&lt;author&gt;Nisiharaa, R. M.&lt;/author&gt;&lt;author&gt;de Messias-Reason, L. J.&lt;/author&gt;&lt;author&gt;Utiyama, S. R. D.&lt;/author&gt;&lt;/authors&gt;&lt;/contributors&gt;&lt;titles&gt;&lt;title&gt;Serological and Clinical Follow-Up of Relatives of Celiac Disease Patients from Southern Brazil&lt;/title&gt;&lt;secondary-title&gt;Digestion&lt;/secondary-title&gt;&lt;/titles&gt;&lt;periodical&gt;&lt;full-title&gt;Digestion&lt;/full-title&gt;&lt;/periodical&gt;&lt;pages&gt;89-95&lt;/pages&gt;&lt;volume&gt;83&lt;/volume&gt;&lt;number&gt;1-2&lt;/number&gt;&lt;dates&gt;&lt;year&gt;2011&lt;/year&gt;&lt;/dates&gt;&lt;isbn&gt;0012-2823&lt;/isbn&gt;&lt;accession-num&gt;WOS:000284742700014&lt;/accession-num&gt;&lt;urls&gt;&lt;related-urls&gt;&lt;url&gt;&amp;lt;Go to ISI&amp;gt;://WOS:000284742700014&lt;/url&gt;&lt;url&gt;https://www.karger.com/Article/Abstract/320451&lt;/url&gt;&lt;/related-urls&gt;&lt;/urls&gt;&lt;electronic-resource-num&gt;10.1159/000320451&lt;/electronic-resource-num&gt;&lt;remote-database-name&gt;Web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365</w:t>
            </w:r>
            <w:r w:rsidRPr="00734942">
              <w:rPr>
                <w:rFonts w:ascii="Arial" w:eastAsia="Arial" w:hAnsi="Arial" w:cs="Arial"/>
                <w:color w:val="111111"/>
                <w:sz w:val="18"/>
                <w:szCs w:val="18"/>
              </w:rPr>
              <w:fldChar w:fldCharType="end"/>
            </w:r>
          </w:p>
        </w:tc>
      </w:tr>
      <w:tr w:rsidR="007B756D" w:rsidRPr="00734942" w14:paraId="22A8FC99" w14:textId="77777777" w:rsidTr="006658D1">
        <w:trPr>
          <w:cantSplit/>
          <w:jc w:val="center"/>
        </w:trPr>
        <w:tc>
          <w:tcPr>
            <w:tcW w:w="776" w:type="pct"/>
            <w:tcBorders>
              <w:bottom w:val="single" w:sz="16" w:space="0" w:color="000000"/>
            </w:tcBorders>
            <w:shd w:val="clear" w:color="auto" w:fill="FFFFFF"/>
            <w:tcMar>
              <w:top w:w="0" w:type="dxa"/>
              <w:left w:w="0" w:type="dxa"/>
              <w:bottom w:w="0" w:type="dxa"/>
              <w:right w:w="0" w:type="dxa"/>
            </w:tcMar>
            <w:vAlign w:val="center"/>
          </w:tcPr>
          <w:p w14:paraId="34B7A3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50" w:type="pct"/>
            <w:tcBorders>
              <w:bottom w:val="single" w:sz="16" w:space="0" w:color="000000"/>
            </w:tcBorders>
            <w:shd w:val="clear" w:color="auto" w:fill="FFFFFF"/>
            <w:tcMar>
              <w:top w:w="0" w:type="dxa"/>
              <w:left w:w="0" w:type="dxa"/>
              <w:bottom w:w="0" w:type="dxa"/>
              <w:right w:w="0" w:type="dxa"/>
            </w:tcMar>
            <w:vAlign w:val="center"/>
          </w:tcPr>
          <w:p w14:paraId="04005C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19" w:type="pct"/>
            <w:tcBorders>
              <w:bottom w:val="single" w:sz="16" w:space="0" w:color="000000"/>
            </w:tcBorders>
            <w:shd w:val="clear" w:color="auto" w:fill="FFFFFF"/>
            <w:tcMar>
              <w:top w:w="0" w:type="dxa"/>
              <w:left w:w="0" w:type="dxa"/>
              <w:bottom w:w="0" w:type="dxa"/>
              <w:right w:w="0" w:type="dxa"/>
            </w:tcMar>
            <w:vAlign w:val="center"/>
          </w:tcPr>
          <w:p w14:paraId="1CD9FB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FDRs &amp; SDRs</w:t>
            </w:r>
          </w:p>
        </w:tc>
        <w:tc>
          <w:tcPr>
            <w:tcW w:w="291" w:type="pct"/>
            <w:tcBorders>
              <w:bottom w:val="single" w:sz="16" w:space="0" w:color="000000"/>
            </w:tcBorders>
            <w:shd w:val="clear" w:color="auto" w:fill="FFFFFF"/>
            <w:tcMar>
              <w:top w:w="0" w:type="dxa"/>
              <w:left w:w="0" w:type="dxa"/>
              <w:bottom w:w="0" w:type="dxa"/>
              <w:right w:w="0" w:type="dxa"/>
            </w:tcMar>
            <w:vAlign w:val="center"/>
          </w:tcPr>
          <w:p w14:paraId="719173B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270</w:t>
            </w:r>
          </w:p>
        </w:tc>
        <w:tc>
          <w:tcPr>
            <w:tcW w:w="287" w:type="pct"/>
            <w:tcBorders>
              <w:bottom w:val="single" w:sz="16" w:space="0" w:color="000000"/>
            </w:tcBorders>
            <w:shd w:val="clear" w:color="auto" w:fill="FFFFFF"/>
            <w:tcMar>
              <w:top w:w="0" w:type="dxa"/>
              <w:left w:w="0" w:type="dxa"/>
              <w:bottom w:w="0" w:type="dxa"/>
              <w:right w:w="0" w:type="dxa"/>
            </w:tcMar>
            <w:vAlign w:val="center"/>
          </w:tcPr>
          <w:p w14:paraId="741087F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47" w:type="pct"/>
            <w:tcBorders>
              <w:bottom w:val="single" w:sz="16" w:space="0" w:color="000000"/>
            </w:tcBorders>
            <w:shd w:val="clear" w:color="auto" w:fill="FFFFFF"/>
            <w:tcMar>
              <w:top w:w="0" w:type="dxa"/>
              <w:left w:w="0" w:type="dxa"/>
              <w:bottom w:w="0" w:type="dxa"/>
              <w:right w:w="0" w:type="dxa"/>
            </w:tcMar>
            <w:vAlign w:val="center"/>
          </w:tcPr>
          <w:p w14:paraId="393C3A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0" w:type="pct"/>
            <w:tcBorders>
              <w:bottom w:val="single" w:sz="16" w:space="0" w:color="000000"/>
            </w:tcBorders>
            <w:shd w:val="clear" w:color="auto" w:fill="FFFFFF"/>
            <w:tcMar>
              <w:top w:w="0" w:type="dxa"/>
              <w:left w:w="0" w:type="dxa"/>
              <w:bottom w:w="0" w:type="dxa"/>
              <w:right w:w="0" w:type="dxa"/>
            </w:tcMar>
            <w:vAlign w:val="center"/>
          </w:tcPr>
          <w:p w14:paraId="56A626D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713" w:type="pct"/>
            <w:tcBorders>
              <w:bottom w:val="single" w:sz="16" w:space="0" w:color="000000"/>
            </w:tcBorders>
            <w:shd w:val="clear" w:color="auto" w:fill="FFFFFF"/>
            <w:tcMar>
              <w:top w:w="0" w:type="dxa"/>
              <w:left w:w="0" w:type="dxa"/>
              <w:bottom w:w="0" w:type="dxa"/>
              <w:right w:w="0" w:type="dxa"/>
            </w:tcMar>
            <w:vAlign w:val="center"/>
          </w:tcPr>
          <w:p w14:paraId="3F2C2F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419" w:type="pct"/>
            <w:tcBorders>
              <w:bottom w:val="single" w:sz="16" w:space="0" w:color="000000"/>
            </w:tcBorders>
            <w:shd w:val="clear" w:color="auto" w:fill="FFFFFF"/>
            <w:tcMar>
              <w:top w:w="0" w:type="dxa"/>
              <w:left w:w="0" w:type="dxa"/>
              <w:bottom w:w="0" w:type="dxa"/>
              <w:right w:w="0" w:type="dxa"/>
            </w:tcMar>
            <w:vAlign w:val="center"/>
          </w:tcPr>
          <w:p w14:paraId="1D1569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Portugal</w:t>
            </w:r>
          </w:p>
        </w:tc>
        <w:tc>
          <w:tcPr>
            <w:tcW w:w="369" w:type="pct"/>
            <w:tcBorders>
              <w:bottom w:val="single" w:sz="16" w:space="0" w:color="000000"/>
            </w:tcBorders>
            <w:shd w:val="clear" w:color="auto" w:fill="FFFFFF"/>
            <w:tcMar>
              <w:top w:w="0" w:type="dxa"/>
              <w:left w:w="0" w:type="dxa"/>
              <w:bottom w:w="0" w:type="dxa"/>
              <w:right w:w="0" w:type="dxa"/>
            </w:tcMar>
            <w:vAlign w:val="center"/>
          </w:tcPr>
          <w:p w14:paraId="598D7406" w14:textId="5860ED2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PEVuZE5vdGU+PENpdGUgRXhjbHVkZUF1dGg9IjEiIEV4Y2x1ZGVZZWFyPSIxIj48QXV0aG9yPlV0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PEVuZE5vdGU+PENpdGUgRXhjbHVkZUF1dGg9IjEiIEV4Y2x1ZGVZZWFyPSIxIj48QXV0aG9yPlV0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366</w:t>
            </w:r>
            <w:r w:rsidRPr="00734942">
              <w:rPr>
                <w:rFonts w:ascii="Arial" w:eastAsia="Arial" w:hAnsi="Arial" w:cs="Arial"/>
                <w:color w:val="111111"/>
                <w:sz w:val="18"/>
                <w:szCs w:val="18"/>
              </w:rPr>
              <w:fldChar w:fldCharType="end"/>
            </w:r>
          </w:p>
        </w:tc>
      </w:tr>
    </w:tbl>
    <w:p w14:paraId="47EF3B12" w14:textId="77777777" w:rsidR="007B756D" w:rsidRPr="00734942" w:rsidRDefault="007B756D" w:rsidP="007B756D"/>
    <w:p w14:paraId="28DAF2DE" w14:textId="3BB962FA" w:rsidR="00DA0CBC" w:rsidRDefault="00DA0CBC" w:rsidP="000526F1">
      <w:pPr>
        <w:pStyle w:val="Caption"/>
      </w:pPr>
      <w:bookmarkStart w:id="374" w:name="_Toc99720746"/>
      <w:r>
        <w:lastRenderedPageBreak/>
        <w:t xml:space="preserve">Table </w:t>
      </w:r>
      <w:r w:rsidR="00C34531">
        <w:fldChar w:fldCharType="begin"/>
      </w:r>
      <w:r w:rsidR="00C34531">
        <w:instrText xml:space="preserve"> SEQ Table \* ARABIC </w:instrText>
      </w:r>
      <w:r w:rsidR="00C34531">
        <w:fldChar w:fldCharType="separate"/>
      </w:r>
      <w:r w:rsidR="008B5583">
        <w:rPr>
          <w:noProof/>
        </w:rPr>
        <w:t>35</w:t>
      </w:r>
      <w:r w:rsidR="00C34531">
        <w:rPr>
          <w:noProof/>
        </w:rPr>
        <w:fldChar w:fldCharType="end"/>
      </w:r>
      <w:r>
        <w:t xml:space="preserve">  </w:t>
      </w:r>
      <w:r w:rsidRPr="0035196C">
        <w:t>Study characteristics: Fracture</w:t>
      </w:r>
      <w:bookmarkEnd w:id="374"/>
    </w:p>
    <w:tbl>
      <w:tblPr>
        <w:tblW w:w="5000" w:type="pct"/>
        <w:jc w:val="center"/>
        <w:tblLook w:val="0420" w:firstRow="1" w:lastRow="0" w:firstColumn="0" w:lastColumn="0" w:noHBand="0" w:noVBand="1"/>
      </w:tblPr>
      <w:tblGrid>
        <w:gridCol w:w="1465"/>
        <w:gridCol w:w="1233"/>
        <w:gridCol w:w="1682"/>
        <w:gridCol w:w="812"/>
        <w:gridCol w:w="801"/>
        <w:gridCol w:w="3291"/>
        <w:gridCol w:w="1669"/>
        <w:gridCol w:w="1072"/>
        <w:gridCol w:w="902"/>
        <w:gridCol w:w="1031"/>
      </w:tblGrid>
      <w:tr w:rsidR="00C8418F" w:rsidRPr="00734942" w14:paraId="346FF943" w14:textId="77777777" w:rsidTr="00DA0CBC">
        <w:trPr>
          <w:cantSplit/>
          <w:tblHeader/>
          <w:jc w:val="center"/>
        </w:trPr>
        <w:tc>
          <w:tcPr>
            <w:tcW w:w="52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9286AC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4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E9672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0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CC48F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BBDFBAB"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26CB1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117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ED6E8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5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5AE54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8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BD92EB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2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5E1C4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12DC8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6FABAD79" w14:textId="77777777" w:rsidTr="00DA0CBC">
        <w:trPr>
          <w:cantSplit/>
          <w:jc w:val="center"/>
        </w:trPr>
        <w:tc>
          <w:tcPr>
            <w:tcW w:w="525" w:type="pct"/>
            <w:shd w:val="clear" w:color="auto" w:fill="FFFFFF"/>
            <w:tcMar>
              <w:top w:w="0" w:type="dxa"/>
              <w:left w:w="0" w:type="dxa"/>
              <w:bottom w:w="0" w:type="dxa"/>
              <w:right w:w="0" w:type="dxa"/>
            </w:tcMar>
            <w:vAlign w:val="center"/>
          </w:tcPr>
          <w:p w14:paraId="46BA41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726154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3" w:type="pct"/>
            <w:shd w:val="clear" w:color="auto" w:fill="FFFFFF"/>
            <w:tcMar>
              <w:top w:w="0" w:type="dxa"/>
              <w:left w:w="0" w:type="dxa"/>
              <w:bottom w:w="0" w:type="dxa"/>
              <w:right w:w="0" w:type="dxa"/>
            </w:tcMar>
            <w:vAlign w:val="center"/>
          </w:tcPr>
          <w:p w14:paraId="1B02C11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Acute distal radius or ankle fracture</w:t>
            </w:r>
          </w:p>
        </w:tc>
        <w:tc>
          <w:tcPr>
            <w:tcW w:w="291" w:type="pct"/>
            <w:shd w:val="clear" w:color="auto" w:fill="FFFFFF"/>
            <w:tcMar>
              <w:top w:w="0" w:type="dxa"/>
              <w:left w:w="0" w:type="dxa"/>
              <w:bottom w:w="0" w:type="dxa"/>
              <w:right w:w="0" w:type="dxa"/>
            </w:tcMar>
            <w:vAlign w:val="center"/>
          </w:tcPr>
          <w:p w14:paraId="53B658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597</w:t>
            </w:r>
          </w:p>
        </w:tc>
        <w:tc>
          <w:tcPr>
            <w:tcW w:w="287" w:type="pct"/>
            <w:shd w:val="clear" w:color="auto" w:fill="FFFFFF"/>
            <w:tcMar>
              <w:top w:w="0" w:type="dxa"/>
              <w:left w:w="0" w:type="dxa"/>
              <w:bottom w:w="0" w:type="dxa"/>
              <w:right w:w="0" w:type="dxa"/>
            </w:tcMar>
            <w:vAlign w:val="center"/>
          </w:tcPr>
          <w:p w14:paraId="156A91C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1179" w:type="pct"/>
            <w:shd w:val="clear" w:color="auto" w:fill="FFFFFF"/>
            <w:tcMar>
              <w:top w:w="0" w:type="dxa"/>
              <w:left w:w="0" w:type="dxa"/>
              <w:bottom w:w="0" w:type="dxa"/>
              <w:right w:w="0" w:type="dxa"/>
            </w:tcMar>
            <w:vAlign w:val="center"/>
          </w:tcPr>
          <w:p w14:paraId="346867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98" w:type="pct"/>
            <w:shd w:val="clear" w:color="auto" w:fill="FFFFFF"/>
            <w:tcMar>
              <w:top w:w="0" w:type="dxa"/>
              <w:left w:w="0" w:type="dxa"/>
              <w:bottom w:w="0" w:type="dxa"/>
              <w:right w:w="0" w:type="dxa"/>
            </w:tcMar>
            <w:vAlign w:val="center"/>
          </w:tcPr>
          <w:p w14:paraId="245C2C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4" w:type="pct"/>
            <w:shd w:val="clear" w:color="auto" w:fill="FFFFFF"/>
            <w:tcMar>
              <w:top w:w="0" w:type="dxa"/>
              <w:left w:w="0" w:type="dxa"/>
              <w:bottom w:w="0" w:type="dxa"/>
              <w:right w:w="0" w:type="dxa"/>
            </w:tcMar>
            <w:vAlign w:val="center"/>
          </w:tcPr>
          <w:p w14:paraId="7F16DB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2AFD854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Norway</w:t>
            </w:r>
          </w:p>
        </w:tc>
        <w:tc>
          <w:tcPr>
            <w:tcW w:w="369" w:type="pct"/>
            <w:shd w:val="clear" w:color="auto" w:fill="FFFFFF"/>
            <w:tcMar>
              <w:top w:w="0" w:type="dxa"/>
              <w:left w:w="0" w:type="dxa"/>
              <w:bottom w:w="0" w:type="dxa"/>
              <w:right w:w="0" w:type="dxa"/>
            </w:tcMar>
            <w:vAlign w:val="center"/>
          </w:tcPr>
          <w:p w14:paraId="5AEDCBAE" w14:textId="08A609C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PEVuZE5vdGU+PENpdGUgRXhjbHVkZUF1dGg9IjEiIEV4Y2x1ZGVZZWFyPSIxIj48QXV0aG9yPkhq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PEVuZE5vdGU+PENpdGUgRXhjbHVkZUF1dGg9IjEiIEV4Y2x1ZGVZZWFyPSIxIj48QXV0aG9yPkhq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367</w:t>
            </w:r>
            <w:r w:rsidRPr="00734942">
              <w:rPr>
                <w:rFonts w:ascii="Arial" w:eastAsia="Arial" w:hAnsi="Arial" w:cs="Arial"/>
                <w:color w:val="111111"/>
                <w:sz w:val="18"/>
                <w:szCs w:val="18"/>
              </w:rPr>
              <w:fldChar w:fldCharType="end"/>
            </w:r>
          </w:p>
        </w:tc>
      </w:tr>
      <w:tr w:rsidR="00C8418F" w:rsidRPr="00734942" w14:paraId="75D9FF31" w14:textId="77777777" w:rsidTr="00DA0CBC">
        <w:trPr>
          <w:cantSplit/>
          <w:jc w:val="center"/>
        </w:trPr>
        <w:tc>
          <w:tcPr>
            <w:tcW w:w="525" w:type="pct"/>
            <w:shd w:val="clear" w:color="auto" w:fill="FFFFFF"/>
            <w:tcMar>
              <w:top w:w="0" w:type="dxa"/>
              <w:left w:w="0" w:type="dxa"/>
              <w:bottom w:w="0" w:type="dxa"/>
              <w:right w:w="0" w:type="dxa"/>
            </w:tcMar>
            <w:vAlign w:val="center"/>
          </w:tcPr>
          <w:p w14:paraId="282ADD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0F9118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3" w:type="pct"/>
            <w:shd w:val="clear" w:color="auto" w:fill="FFFFFF"/>
            <w:tcMar>
              <w:top w:w="0" w:type="dxa"/>
              <w:left w:w="0" w:type="dxa"/>
              <w:bottom w:w="0" w:type="dxa"/>
              <w:right w:w="0" w:type="dxa"/>
            </w:tcMar>
            <w:vAlign w:val="center"/>
          </w:tcPr>
          <w:p w14:paraId="4C5593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Acute distal radius or ankle fracture</w:t>
            </w:r>
          </w:p>
        </w:tc>
        <w:tc>
          <w:tcPr>
            <w:tcW w:w="291" w:type="pct"/>
            <w:shd w:val="clear" w:color="auto" w:fill="FFFFFF"/>
            <w:tcMar>
              <w:top w:w="0" w:type="dxa"/>
              <w:left w:w="0" w:type="dxa"/>
              <w:bottom w:w="0" w:type="dxa"/>
              <w:right w:w="0" w:type="dxa"/>
            </w:tcMar>
            <w:vAlign w:val="center"/>
          </w:tcPr>
          <w:p w14:paraId="0A0B66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228</w:t>
            </w:r>
          </w:p>
        </w:tc>
        <w:tc>
          <w:tcPr>
            <w:tcW w:w="287" w:type="pct"/>
            <w:shd w:val="clear" w:color="auto" w:fill="FFFFFF"/>
            <w:tcMar>
              <w:top w:w="0" w:type="dxa"/>
              <w:left w:w="0" w:type="dxa"/>
              <w:bottom w:w="0" w:type="dxa"/>
              <w:right w:w="0" w:type="dxa"/>
            </w:tcMar>
            <w:vAlign w:val="center"/>
          </w:tcPr>
          <w:p w14:paraId="725D107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1179" w:type="pct"/>
            <w:shd w:val="clear" w:color="auto" w:fill="FFFFFF"/>
            <w:tcMar>
              <w:top w:w="0" w:type="dxa"/>
              <w:left w:w="0" w:type="dxa"/>
              <w:bottom w:w="0" w:type="dxa"/>
              <w:right w:w="0" w:type="dxa"/>
            </w:tcMar>
            <w:vAlign w:val="center"/>
          </w:tcPr>
          <w:p w14:paraId="774D7F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98" w:type="pct"/>
            <w:shd w:val="clear" w:color="auto" w:fill="FFFFFF"/>
            <w:tcMar>
              <w:top w:w="0" w:type="dxa"/>
              <w:left w:w="0" w:type="dxa"/>
              <w:bottom w:w="0" w:type="dxa"/>
              <w:right w:w="0" w:type="dxa"/>
            </w:tcMar>
            <w:vAlign w:val="center"/>
          </w:tcPr>
          <w:p w14:paraId="732D65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4" w:type="pct"/>
            <w:shd w:val="clear" w:color="auto" w:fill="FFFFFF"/>
            <w:tcMar>
              <w:top w:w="0" w:type="dxa"/>
              <w:left w:w="0" w:type="dxa"/>
              <w:bottom w:w="0" w:type="dxa"/>
              <w:right w:w="0" w:type="dxa"/>
            </w:tcMar>
            <w:vAlign w:val="center"/>
          </w:tcPr>
          <w:p w14:paraId="2FAE9E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591132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Norway</w:t>
            </w:r>
          </w:p>
        </w:tc>
        <w:tc>
          <w:tcPr>
            <w:tcW w:w="369" w:type="pct"/>
            <w:shd w:val="clear" w:color="auto" w:fill="FFFFFF"/>
            <w:tcMar>
              <w:top w:w="0" w:type="dxa"/>
              <w:left w:w="0" w:type="dxa"/>
              <w:bottom w:w="0" w:type="dxa"/>
              <w:right w:w="0" w:type="dxa"/>
            </w:tcMar>
            <w:vAlign w:val="center"/>
          </w:tcPr>
          <w:p w14:paraId="03D74E0D" w14:textId="6550213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PEVuZE5vdGU+PENpdGUgRXhjbHVkZUF1dGg9IjEiIEV4Y2x1ZGVZZWFyPSIxIj48QXV0aG9yPkhq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PEVuZE5vdGU+PENpdGUgRXhjbHVkZUF1dGg9IjEiIEV4Y2x1ZGVZZWFyPSIxIj48QXV0aG9yPkhq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368</w:t>
            </w:r>
            <w:r w:rsidRPr="00734942">
              <w:rPr>
                <w:rFonts w:ascii="Arial" w:eastAsia="Arial" w:hAnsi="Arial" w:cs="Arial"/>
                <w:color w:val="111111"/>
                <w:sz w:val="18"/>
                <w:szCs w:val="18"/>
              </w:rPr>
              <w:fldChar w:fldCharType="end"/>
            </w:r>
          </w:p>
        </w:tc>
      </w:tr>
      <w:tr w:rsidR="00C8418F" w:rsidRPr="00734942" w14:paraId="0DBD2D5E" w14:textId="77777777" w:rsidTr="00DA0CBC">
        <w:trPr>
          <w:cantSplit/>
          <w:jc w:val="center"/>
        </w:trPr>
        <w:tc>
          <w:tcPr>
            <w:tcW w:w="525" w:type="pct"/>
            <w:shd w:val="clear" w:color="auto" w:fill="FFFFFF"/>
            <w:tcMar>
              <w:top w:w="0" w:type="dxa"/>
              <w:left w:w="0" w:type="dxa"/>
              <w:bottom w:w="0" w:type="dxa"/>
              <w:right w:w="0" w:type="dxa"/>
            </w:tcMar>
            <w:vAlign w:val="center"/>
          </w:tcPr>
          <w:p w14:paraId="471FFD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313AC3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03" w:type="pct"/>
            <w:shd w:val="clear" w:color="auto" w:fill="FFFFFF"/>
            <w:tcMar>
              <w:top w:w="0" w:type="dxa"/>
              <w:left w:w="0" w:type="dxa"/>
              <w:bottom w:w="0" w:type="dxa"/>
              <w:right w:w="0" w:type="dxa"/>
            </w:tcMar>
            <w:vAlign w:val="center"/>
          </w:tcPr>
          <w:p w14:paraId="367248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Hip fracture</w:t>
            </w:r>
          </w:p>
        </w:tc>
        <w:tc>
          <w:tcPr>
            <w:tcW w:w="291" w:type="pct"/>
            <w:shd w:val="clear" w:color="auto" w:fill="FFFFFF"/>
            <w:tcMar>
              <w:top w:w="0" w:type="dxa"/>
              <w:left w:w="0" w:type="dxa"/>
              <w:bottom w:w="0" w:type="dxa"/>
              <w:right w:w="0" w:type="dxa"/>
            </w:tcMar>
            <w:vAlign w:val="center"/>
          </w:tcPr>
          <w:p w14:paraId="595233E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208</w:t>
            </w:r>
          </w:p>
        </w:tc>
        <w:tc>
          <w:tcPr>
            <w:tcW w:w="287" w:type="pct"/>
            <w:shd w:val="clear" w:color="auto" w:fill="FFFFFF"/>
            <w:tcMar>
              <w:top w:w="0" w:type="dxa"/>
              <w:left w:w="0" w:type="dxa"/>
              <w:bottom w:w="0" w:type="dxa"/>
              <w:right w:w="0" w:type="dxa"/>
            </w:tcMar>
            <w:vAlign w:val="center"/>
          </w:tcPr>
          <w:p w14:paraId="419CF8E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1179" w:type="pct"/>
            <w:shd w:val="clear" w:color="auto" w:fill="FFFFFF"/>
            <w:tcMar>
              <w:top w:w="0" w:type="dxa"/>
              <w:left w:w="0" w:type="dxa"/>
              <w:bottom w:w="0" w:type="dxa"/>
              <w:right w:w="0" w:type="dxa"/>
            </w:tcMar>
            <w:vAlign w:val="center"/>
          </w:tcPr>
          <w:p w14:paraId="3E04CE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Women without osteoporosis admitted for elective hip joint replacement</w:t>
            </w:r>
          </w:p>
        </w:tc>
        <w:tc>
          <w:tcPr>
            <w:tcW w:w="598" w:type="pct"/>
            <w:shd w:val="clear" w:color="auto" w:fill="FFFFFF"/>
            <w:tcMar>
              <w:top w:w="0" w:type="dxa"/>
              <w:left w:w="0" w:type="dxa"/>
              <w:bottom w:w="0" w:type="dxa"/>
              <w:right w:w="0" w:type="dxa"/>
            </w:tcMar>
            <w:vAlign w:val="center"/>
          </w:tcPr>
          <w:p w14:paraId="596525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4" w:type="pct"/>
            <w:shd w:val="clear" w:color="auto" w:fill="FFFFFF"/>
            <w:tcMar>
              <w:top w:w="0" w:type="dxa"/>
              <w:left w:w="0" w:type="dxa"/>
              <w:bottom w:w="0" w:type="dxa"/>
              <w:right w:w="0" w:type="dxa"/>
            </w:tcMar>
            <w:vAlign w:val="center"/>
          </w:tcPr>
          <w:p w14:paraId="1855D0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2F350E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2177D899" w14:textId="6069110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PEVuZE5vdGU+PENpdGUgRXhjbHVkZUF1dGg9IjEiIEV4Y2x1ZGVZZWFyPSIxIj48QXV0aG9yPkxl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==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PEVuZE5vdGU+PENpdGUgRXhjbHVkZUF1dGg9IjEiIEV4Y2x1ZGVZZWFyPSIxIj48QXV0aG9yPkxl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==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369</w:t>
            </w:r>
            <w:r w:rsidRPr="00734942">
              <w:rPr>
                <w:rFonts w:ascii="Arial" w:eastAsia="Arial" w:hAnsi="Arial" w:cs="Arial"/>
                <w:color w:val="111111"/>
                <w:sz w:val="18"/>
                <w:szCs w:val="18"/>
              </w:rPr>
              <w:fldChar w:fldCharType="end"/>
            </w:r>
          </w:p>
        </w:tc>
      </w:tr>
      <w:tr w:rsidR="00C8418F" w:rsidRPr="00734942" w14:paraId="260A4793" w14:textId="77777777" w:rsidTr="00DA0CBC">
        <w:trPr>
          <w:cantSplit/>
          <w:jc w:val="center"/>
        </w:trPr>
        <w:tc>
          <w:tcPr>
            <w:tcW w:w="525" w:type="pct"/>
            <w:shd w:val="clear" w:color="auto" w:fill="FFFFFF"/>
            <w:tcMar>
              <w:top w:w="0" w:type="dxa"/>
              <w:left w:w="0" w:type="dxa"/>
              <w:bottom w:w="0" w:type="dxa"/>
              <w:right w:w="0" w:type="dxa"/>
            </w:tcMar>
            <w:vAlign w:val="center"/>
          </w:tcPr>
          <w:p w14:paraId="2D8223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748865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3" w:type="pct"/>
            <w:shd w:val="clear" w:color="auto" w:fill="FFFFFF"/>
            <w:tcMar>
              <w:top w:w="0" w:type="dxa"/>
              <w:left w:w="0" w:type="dxa"/>
              <w:bottom w:w="0" w:type="dxa"/>
              <w:right w:w="0" w:type="dxa"/>
            </w:tcMar>
            <w:vAlign w:val="center"/>
          </w:tcPr>
          <w:p w14:paraId="2F9857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Non-traumatic fractures</w:t>
            </w:r>
          </w:p>
        </w:tc>
        <w:tc>
          <w:tcPr>
            <w:tcW w:w="291" w:type="pct"/>
            <w:shd w:val="clear" w:color="auto" w:fill="FFFFFF"/>
            <w:tcMar>
              <w:top w:w="0" w:type="dxa"/>
              <w:left w:w="0" w:type="dxa"/>
              <w:bottom w:w="0" w:type="dxa"/>
              <w:right w:w="0" w:type="dxa"/>
            </w:tcMar>
            <w:vAlign w:val="center"/>
          </w:tcPr>
          <w:p w14:paraId="026ECA0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2121</w:t>
            </w:r>
          </w:p>
        </w:tc>
        <w:tc>
          <w:tcPr>
            <w:tcW w:w="287" w:type="pct"/>
            <w:shd w:val="clear" w:color="auto" w:fill="FFFFFF"/>
            <w:tcMar>
              <w:top w:w="0" w:type="dxa"/>
              <w:left w:w="0" w:type="dxa"/>
              <w:bottom w:w="0" w:type="dxa"/>
              <w:right w:w="0" w:type="dxa"/>
            </w:tcMar>
            <w:vAlign w:val="center"/>
          </w:tcPr>
          <w:p w14:paraId="6F48DF6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1179" w:type="pct"/>
            <w:shd w:val="clear" w:color="auto" w:fill="FFFFFF"/>
            <w:tcMar>
              <w:top w:w="0" w:type="dxa"/>
              <w:left w:w="0" w:type="dxa"/>
              <w:bottom w:w="0" w:type="dxa"/>
              <w:right w:w="0" w:type="dxa"/>
            </w:tcMar>
            <w:vAlign w:val="center"/>
          </w:tcPr>
          <w:p w14:paraId="59AF7E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98" w:type="pct"/>
            <w:shd w:val="clear" w:color="auto" w:fill="FFFFFF"/>
            <w:tcMar>
              <w:top w:w="0" w:type="dxa"/>
              <w:left w:w="0" w:type="dxa"/>
              <w:bottom w:w="0" w:type="dxa"/>
              <w:right w:w="0" w:type="dxa"/>
            </w:tcMar>
            <w:vAlign w:val="center"/>
          </w:tcPr>
          <w:p w14:paraId="3C9352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4" w:type="pct"/>
            <w:shd w:val="clear" w:color="auto" w:fill="FFFFFF"/>
            <w:tcMar>
              <w:top w:w="0" w:type="dxa"/>
              <w:left w:w="0" w:type="dxa"/>
              <w:bottom w:w="0" w:type="dxa"/>
              <w:right w:w="0" w:type="dxa"/>
            </w:tcMar>
            <w:vAlign w:val="center"/>
          </w:tcPr>
          <w:p w14:paraId="7ABDC1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5CBE2D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Australia</w:t>
            </w:r>
          </w:p>
        </w:tc>
        <w:tc>
          <w:tcPr>
            <w:tcW w:w="369" w:type="pct"/>
            <w:shd w:val="clear" w:color="auto" w:fill="FFFFFF"/>
            <w:tcMar>
              <w:top w:w="0" w:type="dxa"/>
              <w:left w:w="0" w:type="dxa"/>
              <w:bottom w:w="0" w:type="dxa"/>
              <w:right w:w="0" w:type="dxa"/>
            </w:tcMar>
            <w:vAlign w:val="center"/>
          </w:tcPr>
          <w:p w14:paraId="06D7F623" w14:textId="50DE222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PEVuZE5vdGU+PENpdGUgRXhjbHVkZUF1dGg9IjEiIEV4Y2x1ZGVZZWFyPSIxIj48QXV0aG9yPlBv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PEVuZE5vdGU+PENpdGUgRXhjbHVkZUF1dGg9IjEiIEV4Y2x1ZGVZZWFyPSIxIj48QXV0aG9yPlBv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370</w:t>
            </w:r>
            <w:r w:rsidRPr="00734942">
              <w:rPr>
                <w:rFonts w:ascii="Arial" w:eastAsia="Arial" w:hAnsi="Arial" w:cs="Arial"/>
                <w:color w:val="111111"/>
                <w:sz w:val="18"/>
                <w:szCs w:val="18"/>
              </w:rPr>
              <w:fldChar w:fldCharType="end"/>
            </w:r>
          </w:p>
        </w:tc>
      </w:tr>
      <w:tr w:rsidR="00C8418F" w:rsidRPr="00734942" w14:paraId="3BBC3532" w14:textId="77777777" w:rsidTr="00DA0CBC">
        <w:trPr>
          <w:cantSplit/>
          <w:jc w:val="center"/>
        </w:trPr>
        <w:tc>
          <w:tcPr>
            <w:tcW w:w="525" w:type="pct"/>
            <w:shd w:val="clear" w:color="auto" w:fill="FFFFFF"/>
            <w:tcMar>
              <w:top w:w="0" w:type="dxa"/>
              <w:left w:w="0" w:type="dxa"/>
              <w:bottom w:w="0" w:type="dxa"/>
              <w:right w:w="0" w:type="dxa"/>
            </w:tcMar>
            <w:vAlign w:val="center"/>
          </w:tcPr>
          <w:p w14:paraId="7368A8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110F1EE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3" w:type="pct"/>
            <w:shd w:val="clear" w:color="auto" w:fill="FFFFFF"/>
            <w:tcMar>
              <w:top w:w="0" w:type="dxa"/>
              <w:left w:w="0" w:type="dxa"/>
              <w:bottom w:w="0" w:type="dxa"/>
              <w:right w:w="0" w:type="dxa"/>
            </w:tcMar>
            <w:vAlign w:val="center"/>
          </w:tcPr>
          <w:p w14:paraId="0C220D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Fracture</w:t>
            </w:r>
          </w:p>
        </w:tc>
        <w:tc>
          <w:tcPr>
            <w:tcW w:w="291" w:type="pct"/>
            <w:shd w:val="clear" w:color="auto" w:fill="FFFFFF"/>
            <w:tcMar>
              <w:top w:w="0" w:type="dxa"/>
              <w:left w:w="0" w:type="dxa"/>
              <w:bottom w:w="0" w:type="dxa"/>
              <w:right w:w="0" w:type="dxa"/>
            </w:tcMar>
            <w:vAlign w:val="center"/>
          </w:tcPr>
          <w:p w14:paraId="11687E0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6480</w:t>
            </w:r>
          </w:p>
        </w:tc>
        <w:tc>
          <w:tcPr>
            <w:tcW w:w="287" w:type="pct"/>
            <w:shd w:val="clear" w:color="auto" w:fill="FFFFFF"/>
            <w:tcMar>
              <w:top w:w="0" w:type="dxa"/>
              <w:left w:w="0" w:type="dxa"/>
              <w:bottom w:w="0" w:type="dxa"/>
              <w:right w:w="0" w:type="dxa"/>
            </w:tcMar>
            <w:vAlign w:val="center"/>
          </w:tcPr>
          <w:p w14:paraId="70B6F3E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1179" w:type="pct"/>
            <w:shd w:val="clear" w:color="auto" w:fill="FFFFFF"/>
            <w:tcMar>
              <w:top w:w="0" w:type="dxa"/>
              <w:left w:w="0" w:type="dxa"/>
              <w:bottom w:w="0" w:type="dxa"/>
              <w:right w:w="0" w:type="dxa"/>
            </w:tcMar>
            <w:vAlign w:val="center"/>
          </w:tcPr>
          <w:p w14:paraId="35B7FB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Women without fractures</w:t>
            </w:r>
          </w:p>
        </w:tc>
        <w:tc>
          <w:tcPr>
            <w:tcW w:w="598" w:type="pct"/>
            <w:shd w:val="clear" w:color="auto" w:fill="FFFFFF"/>
            <w:tcMar>
              <w:top w:w="0" w:type="dxa"/>
              <w:left w:w="0" w:type="dxa"/>
              <w:bottom w:w="0" w:type="dxa"/>
              <w:right w:w="0" w:type="dxa"/>
            </w:tcMar>
            <w:vAlign w:val="center"/>
          </w:tcPr>
          <w:p w14:paraId="6E3EE1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4" w:type="pct"/>
            <w:shd w:val="clear" w:color="auto" w:fill="FFFFFF"/>
            <w:tcMar>
              <w:top w:w="0" w:type="dxa"/>
              <w:left w:w="0" w:type="dxa"/>
              <w:bottom w:w="0" w:type="dxa"/>
              <w:right w:w="0" w:type="dxa"/>
            </w:tcMar>
            <w:vAlign w:val="center"/>
          </w:tcPr>
          <w:p w14:paraId="7D4AD6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3B0C3A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5F28CFE4" w14:textId="6CA4791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PEVuZE5vdGU+PENpdGUgRXhjbHVkZUF1dGg9IjEiIEV4Y2x1ZGVZZWFyPSIxIj48QXV0aG9yPkFn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PEVuZE5vdGU+PENpdGUgRXhjbHVkZUF1dGg9IjEiIEV4Y2x1ZGVZZWFyPSIxIj48QXV0aG9yPkFn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371</w:t>
            </w:r>
            <w:r w:rsidRPr="00734942">
              <w:rPr>
                <w:rFonts w:ascii="Arial" w:eastAsia="Arial" w:hAnsi="Arial" w:cs="Arial"/>
                <w:color w:val="111111"/>
                <w:sz w:val="18"/>
                <w:szCs w:val="18"/>
              </w:rPr>
              <w:fldChar w:fldCharType="end"/>
            </w:r>
          </w:p>
        </w:tc>
      </w:tr>
      <w:tr w:rsidR="00C8418F" w:rsidRPr="00734942" w14:paraId="34AC2499" w14:textId="77777777" w:rsidTr="00DA0CBC">
        <w:trPr>
          <w:cantSplit/>
          <w:jc w:val="center"/>
        </w:trPr>
        <w:tc>
          <w:tcPr>
            <w:tcW w:w="525" w:type="pct"/>
            <w:shd w:val="clear" w:color="auto" w:fill="FFFFFF"/>
            <w:tcMar>
              <w:top w:w="0" w:type="dxa"/>
              <w:left w:w="0" w:type="dxa"/>
              <w:bottom w:w="0" w:type="dxa"/>
              <w:right w:w="0" w:type="dxa"/>
            </w:tcMar>
            <w:vAlign w:val="center"/>
          </w:tcPr>
          <w:p w14:paraId="3E5191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5A36DA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3" w:type="pct"/>
            <w:shd w:val="clear" w:color="auto" w:fill="FFFFFF"/>
            <w:tcMar>
              <w:top w:w="0" w:type="dxa"/>
              <w:left w:w="0" w:type="dxa"/>
              <w:bottom w:w="0" w:type="dxa"/>
              <w:right w:w="0" w:type="dxa"/>
            </w:tcMar>
            <w:vAlign w:val="center"/>
          </w:tcPr>
          <w:p w14:paraId="0572934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Vertebra fracture</w:t>
            </w:r>
          </w:p>
        </w:tc>
        <w:tc>
          <w:tcPr>
            <w:tcW w:w="291" w:type="pct"/>
            <w:shd w:val="clear" w:color="auto" w:fill="FFFFFF"/>
            <w:tcMar>
              <w:top w:w="0" w:type="dxa"/>
              <w:left w:w="0" w:type="dxa"/>
              <w:bottom w:w="0" w:type="dxa"/>
              <w:right w:w="0" w:type="dxa"/>
            </w:tcMar>
            <w:vAlign w:val="center"/>
          </w:tcPr>
          <w:p w14:paraId="1787CB2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6919</w:t>
            </w:r>
          </w:p>
        </w:tc>
        <w:tc>
          <w:tcPr>
            <w:tcW w:w="287" w:type="pct"/>
            <w:shd w:val="clear" w:color="auto" w:fill="FFFFFF"/>
            <w:tcMar>
              <w:top w:w="0" w:type="dxa"/>
              <w:left w:w="0" w:type="dxa"/>
              <w:bottom w:w="0" w:type="dxa"/>
              <w:right w:w="0" w:type="dxa"/>
            </w:tcMar>
            <w:vAlign w:val="center"/>
          </w:tcPr>
          <w:p w14:paraId="4F88726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1179" w:type="pct"/>
            <w:shd w:val="clear" w:color="auto" w:fill="FFFFFF"/>
            <w:tcMar>
              <w:top w:w="0" w:type="dxa"/>
              <w:left w:w="0" w:type="dxa"/>
              <w:bottom w:w="0" w:type="dxa"/>
              <w:right w:w="0" w:type="dxa"/>
            </w:tcMar>
            <w:vAlign w:val="center"/>
          </w:tcPr>
          <w:p w14:paraId="4099A2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vertebra fracture</w:t>
            </w:r>
          </w:p>
        </w:tc>
        <w:tc>
          <w:tcPr>
            <w:tcW w:w="598" w:type="pct"/>
            <w:shd w:val="clear" w:color="auto" w:fill="FFFFFF"/>
            <w:tcMar>
              <w:top w:w="0" w:type="dxa"/>
              <w:left w:w="0" w:type="dxa"/>
              <w:bottom w:w="0" w:type="dxa"/>
              <w:right w:w="0" w:type="dxa"/>
            </w:tcMar>
            <w:vAlign w:val="center"/>
          </w:tcPr>
          <w:p w14:paraId="610938F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84" w:type="pct"/>
            <w:shd w:val="clear" w:color="auto" w:fill="FFFFFF"/>
            <w:tcMar>
              <w:top w:w="0" w:type="dxa"/>
              <w:left w:w="0" w:type="dxa"/>
              <w:bottom w:w="0" w:type="dxa"/>
              <w:right w:w="0" w:type="dxa"/>
            </w:tcMar>
            <w:vAlign w:val="center"/>
          </w:tcPr>
          <w:p w14:paraId="39DB6F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3256AF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4296F7C5" w14:textId="5809D0F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333</w:t>
            </w:r>
            <w:r w:rsidRPr="00734942">
              <w:rPr>
                <w:rFonts w:ascii="Arial" w:eastAsia="Arial" w:hAnsi="Arial" w:cs="Arial"/>
                <w:color w:val="111111"/>
                <w:sz w:val="18"/>
                <w:szCs w:val="18"/>
              </w:rPr>
              <w:fldChar w:fldCharType="end"/>
            </w:r>
          </w:p>
        </w:tc>
      </w:tr>
      <w:tr w:rsidR="00C8418F" w:rsidRPr="00734942" w14:paraId="42B4CF46" w14:textId="77777777" w:rsidTr="00DA0CBC">
        <w:trPr>
          <w:cantSplit/>
          <w:jc w:val="center"/>
        </w:trPr>
        <w:tc>
          <w:tcPr>
            <w:tcW w:w="525" w:type="pct"/>
            <w:shd w:val="clear" w:color="auto" w:fill="FFFFFF"/>
            <w:tcMar>
              <w:top w:w="0" w:type="dxa"/>
              <w:left w:w="0" w:type="dxa"/>
              <w:bottom w:w="0" w:type="dxa"/>
              <w:right w:w="0" w:type="dxa"/>
            </w:tcMar>
            <w:vAlign w:val="center"/>
          </w:tcPr>
          <w:p w14:paraId="4B04C7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shd w:val="clear" w:color="auto" w:fill="FFFFFF"/>
            <w:tcMar>
              <w:top w:w="0" w:type="dxa"/>
              <w:left w:w="0" w:type="dxa"/>
              <w:bottom w:w="0" w:type="dxa"/>
              <w:right w:w="0" w:type="dxa"/>
            </w:tcMar>
            <w:vAlign w:val="center"/>
          </w:tcPr>
          <w:p w14:paraId="117451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03" w:type="pct"/>
            <w:shd w:val="clear" w:color="auto" w:fill="FFFFFF"/>
            <w:tcMar>
              <w:top w:w="0" w:type="dxa"/>
              <w:left w:w="0" w:type="dxa"/>
              <w:bottom w:w="0" w:type="dxa"/>
              <w:right w:w="0" w:type="dxa"/>
            </w:tcMar>
            <w:vAlign w:val="center"/>
          </w:tcPr>
          <w:p w14:paraId="366D9B3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Fracture of the wrist</w:t>
            </w:r>
          </w:p>
        </w:tc>
        <w:tc>
          <w:tcPr>
            <w:tcW w:w="291" w:type="pct"/>
            <w:shd w:val="clear" w:color="auto" w:fill="FFFFFF"/>
            <w:tcMar>
              <w:top w:w="0" w:type="dxa"/>
              <w:left w:w="0" w:type="dxa"/>
              <w:bottom w:w="0" w:type="dxa"/>
              <w:right w:w="0" w:type="dxa"/>
            </w:tcMar>
            <w:vAlign w:val="center"/>
          </w:tcPr>
          <w:p w14:paraId="25E81FC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7345</w:t>
            </w:r>
          </w:p>
        </w:tc>
        <w:tc>
          <w:tcPr>
            <w:tcW w:w="287" w:type="pct"/>
            <w:shd w:val="clear" w:color="auto" w:fill="FFFFFF"/>
            <w:tcMar>
              <w:top w:w="0" w:type="dxa"/>
              <w:left w:w="0" w:type="dxa"/>
              <w:bottom w:w="0" w:type="dxa"/>
              <w:right w:w="0" w:type="dxa"/>
            </w:tcMar>
            <w:vAlign w:val="center"/>
          </w:tcPr>
          <w:p w14:paraId="5518529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1179" w:type="pct"/>
            <w:shd w:val="clear" w:color="auto" w:fill="FFFFFF"/>
            <w:tcMar>
              <w:top w:w="0" w:type="dxa"/>
              <w:left w:w="0" w:type="dxa"/>
              <w:bottom w:w="0" w:type="dxa"/>
              <w:right w:w="0" w:type="dxa"/>
            </w:tcMar>
            <w:vAlign w:val="center"/>
          </w:tcPr>
          <w:p w14:paraId="212431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wrist fracture</w:t>
            </w:r>
          </w:p>
        </w:tc>
        <w:tc>
          <w:tcPr>
            <w:tcW w:w="598" w:type="pct"/>
            <w:shd w:val="clear" w:color="auto" w:fill="FFFFFF"/>
            <w:tcMar>
              <w:top w:w="0" w:type="dxa"/>
              <w:left w:w="0" w:type="dxa"/>
              <w:bottom w:w="0" w:type="dxa"/>
              <w:right w:w="0" w:type="dxa"/>
            </w:tcMar>
            <w:vAlign w:val="center"/>
          </w:tcPr>
          <w:p w14:paraId="04884D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384" w:type="pct"/>
            <w:shd w:val="clear" w:color="auto" w:fill="FFFFFF"/>
            <w:tcMar>
              <w:top w:w="0" w:type="dxa"/>
              <w:left w:w="0" w:type="dxa"/>
              <w:bottom w:w="0" w:type="dxa"/>
              <w:right w:w="0" w:type="dxa"/>
            </w:tcMar>
            <w:vAlign w:val="center"/>
          </w:tcPr>
          <w:p w14:paraId="7C1134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23" w:type="pct"/>
            <w:shd w:val="clear" w:color="auto" w:fill="FFFFFF"/>
            <w:tcMar>
              <w:top w:w="0" w:type="dxa"/>
              <w:left w:w="0" w:type="dxa"/>
              <w:bottom w:w="0" w:type="dxa"/>
              <w:right w:w="0" w:type="dxa"/>
            </w:tcMar>
            <w:vAlign w:val="center"/>
          </w:tcPr>
          <w:p w14:paraId="3B119A1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2D52207B" w14:textId="62B9EDD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PEVuZE5vdGU+PENpdGUgRXhjbHVkZUF1dGg9IjEiIEV4Y2x1ZGVZZWFyPSIxIj48QXV0aG9yPldl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PEVuZE5vdGU+PENpdGUgRXhjbHVkZUF1dGg9IjEiIEV4Y2x1ZGVZZWFyPSIxIj48QXV0aG9yPldl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372</w:t>
            </w:r>
            <w:r w:rsidRPr="00734942">
              <w:rPr>
                <w:rFonts w:ascii="Arial" w:eastAsia="Arial" w:hAnsi="Arial" w:cs="Arial"/>
                <w:color w:val="111111"/>
                <w:sz w:val="18"/>
                <w:szCs w:val="18"/>
              </w:rPr>
              <w:fldChar w:fldCharType="end"/>
            </w:r>
          </w:p>
        </w:tc>
      </w:tr>
      <w:tr w:rsidR="00C8418F" w:rsidRPr="00734942" w14:paraId="13D9B4CD" w14:textId="77777777" w:rsidTr="00DA0CBC">
        <w:trPr>
          <w:cantSplit/>
          <w:jc w:val="center"/>
        </w:trPr>
        <w:tc>
          <w:tcPr>
            <w:tcW w:w="525" w:type="pct"/>
            <w:tcBorders>
              <w:bottom w:val="single" w:sz="16" w:space="0" w:color="000000"/>
            </w:tcBorders>
            <w:shd w:val="clear" w:color="auto" w:fill="FFFFFF"/>
            <w:tcMar>
              <w:top w:w="0" w:type="dxa"/>
              <w:left w:w="0" w:type="dxa"/>
              <w:bottom w:w="0" w:type="dxa"/>
              <w:right w:w="0" w:type="dxa"/>
            </w:tcMar>
            <w:vAlign w:val="center"/>
          </w:tcPr>
          <w:p w14:paraId="2D8079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2" w:type="pct"/>
            <w:tcBorders>
              <w:bottom w:val="single" w:sz="16" w:space="0" w:color="000000"/>
            </w:tcBorders>
            <w:shd w:val="clear" w:color="auto" w:fill="FFFFFF"/>
            <w:tcMar>
              <w:top w:w="0" w:type="dxa"/>
              <w:left w:w="0" w:type="dxa"/>
              <w:bottom w:w="0" w:type="dxa"/>
              <w:right w:w="0" w:type="dxa"/>
            </w:tcMar>
            <w:vAlign w:val="center"/>
          </w:tcPr>
          <w:p w14:paraId="34D2A6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603" w:type="pct"/>
            <w:tcBorders>
              <w:bottom w:val="single" w:sz="16" w:space="0" w:color="000000"/>
            </w:tcBorders>
            <w:shd w:val="clear" w:color="auto" w:fill="FFFFFF"/>
            <w:tcMar>
              <w:top w:w="0" w:type="dxa"/>
              <w:left w:w="0" w:type="dxa"/>
              <w:bottom w:w="0" w:type="dxa"/>
              <w:right w:w="0" w:type="dxa"/>
            </w:tcMar>
            <w:vAlign w:val="center"/>
          </w:tcPr>
          <w:p w14:paraId="105AE1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Fracture</w:t>
            </w:r>
          </w:p>
        </w:tc>
        <w:tc>
          <w:tcPr>
            <w:tcW w:w="291" w:type="pct"/>
            <w:tcBorders>
              <w:bottom w:val="single" w:sz="16" w:space="0" w:color="000000"/>
            </w:tcBorders>
            <w:shd w:val="clear" w:color="auto" w:fill="FFFFFF"/>
            <w:tcMar>
              <w:top w:w="0" w:type="dxa"/>
              <w:left w:w="0" w:type="dxa"/>
              <w:bottom w:w="0" w:type="dxa"/>
              <w:right w:w="0" w:type="dxa"/>
            </w:tcMar>
            <w:vAlign w:val="center"/>
          </w:tcPr>
          <w:p w14:paraId="09988AC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843</w:t>
            </w:r>
          </w:p>
        </w:tc>
        <w:tc>
          <w:tcPr>
            <w:tcW w:w="287" w:type="pct"/>
            <w:tcBorders>
              <w:bottom w:val="single" w:sz="16" w:space="0" w:color="000000"/>
            </w:tcBorders>
            <w:shd w:val="clear" w:color="auto" w:fill="FFFFFF"/>
            <w:tcMar>
              <w:top w:w="0" w:type="dxa"/>
              <w:left w:w="0" w:type="dxa"/>
              <w:bottom w:w="0" w:type="dxa"/>
              <w:right w:w="0" w:type="dxa"/>
            </w:tcMar>
            <w:vAlign w:val="center"/>
          </w:tcPr>
          <w:p w14:paraId="3C0F8D9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1179" w:type="pct"/>
            <w:tcBorders>
              <w:bottom w:val="single" w:sz="16" w:space="0" w:color="000000"/>
            </w:tcBorders>
            <w:shd w:val="clear" w:color="auto" w:fill="FFFFFF"/>
            <w:tcMar>
              <w:top w:w="0" w:type="dxa"/>
              <w:left w:w="0" w:type="dxa"/>
              <w:bottom w:w="0" w:type="dxa"/>
              <w:right w:w="0" w:type="dxa"/>
            </w:tcMar>
            <w:vAlign w:val="center"/>
          </w:tcPr>
          <w:p w14:paraId="3BB7A9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fractures</w:t>
            </w:r>
          </w:p>
        </w:tc>
        <w:tc>
          <w:tcPr>
            <w:tcW w:w="598" w:type="pct"/>
            <w:tcBorders>
              <w:bottom w:val="single" w:sz="16" w:space="0" w:color="000000"/>
            </w:tcBorders>
            <w:shd w:val="clear" w:color="auto" w:fill="FFFFFF"/>
            <w:tcMar>
              <w:top w:w="0" w:type="dxa"/>
              <w:left w:w="0" w:type="dxa"/>
              <w:bottom w:w="0" w:type="dxa"/>
              <w:right w:w="0" w:type="dxa"/>
            </w:tcMar>
            <w:vAlign w:val="center"/>
          </w:tcPr>
          <w:p w14:paraId="0FE5F7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84" w:type="pct"/>
            <w:tcBorders>
              <w:bottom w:val="single" w:sz="16" w:space="0" w:color="000000"/>
            </w:tcBorders>
            <w:shd w:val="clear" w:color="auto" w:fill="FFFFFF"/>
            <w:tcMar>
              <w:top w:w="0" w:type="dxa"/>
              <w:left w:w="0" w:type="dxa"/>
              <w:bottom w:w="0" w:type="dxa"/>
              <w:right w:w="0" w:type="dxa"/>
            </w:tcMar>
            <w:vAlign w:val="center"/>
          </w:tcPr>
          <w:p w14:paraId="044D8E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tcBorders>
              <w:bottom w:val="single" w:sz="16" w:space="0" w:color="000000"/>
            </w:tcBorders>
            <w:shd w:val="clear" w:color="auto" w:fill="FFFFFF"/>
            <w:tcMar>
              <w:top w:w="0" w:type="dxa"/>
              <w:left w:w="0" w:type="dxa"/>
              <w:bottom w:w="0" w:type="dxa"/>
              <w:right w:w="0" w:type="dxa"/>
            </w:tcMar>
            <w:vAlign w:val="center"/>
          </w:tcPr>
          <w:p w14:paraId="2E6D41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tcBorders>
              <w:bottom w:val="single" w:sz="16" w:space="0" w:color="000000"/>
            </w:tcBorders>
            <w:shd w:val="clear" w:color="auto" w:fill="FFFFFF"/>
            <w:tcMar>
              <w:top w:w="0" w:type="dxa"/>
              <w:left w:w="0" w:type="dxa"/>
              <w:bottom w:w="0" w:type="dxa"/>
              <w:right w:w="0" w:type="dxa"/>
            </w:tcMar>
            <w:vAlign w:val="center"/>
          </w:tcPr>
          <w:p w14:paraId="3085B0BB" w14:textId="5181673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b3VuZzwvQXV0aG9yPjxZZWFyPjIwMTc8L1llYXI+PFJlY051bT4xMDE8L1JlY051bT48RGlzcGxh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b3VuZzwvQXV0aG9yPjxZZWFyPjIwMTc8L1llYXI+PFJlY051bT4xMDE8L1JlY051bT48RGlzcGxh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373</w:t>
            </w:r>
            <w:r w:rsidRPr="00734942">
              <w:rPr>
                <w:rFonts w:ascii="Arial" w:eastAsia="Arial" w:hAnsi="Arial" w:cs="Arial"/>
                <w:color w:val="111111"/>
                <w:sz w:val="18"/>
                <w:szCs w:val="18"/>
              </w:rPr>
              <w:fldChar w:fldCharType="end"/>
            </w:r>
          </w:p>
        </w:tc>
      </w:tr>
    </w:tbl>
    <w:p w14:paraId="21F9DF29" w14:textId="77777777" w:rsidR="007B756D" w:rsidRPr="00734942" w:rsidRDefault="007B756D" w:rsidP="007B756D"/>
    <w:p w14:paraId="1AE0086E" w14:textId="2EAA8162" w:rsidR="00DA0CBC" w:rsidRDefault="00DA0CBC" w:rsidP="000526F1">
      <w:pPr>
        <w:pStyle w:val="Caption"/>
      </w:pPr>
      <w:bookmarkStart w:id="375" w:name="_Toc99720747"/>
      <w:r>
        <w:t xml:space="preserve">Table </w:t>
      </w:r>
      <w:r w:rsidR="00C34531">
        <w:fldChar w:fldCharType="begin"/>
      </w:r>
      <w:r w:rsidR="00C34531">
        <w:instrText xml:space="preserve"> SEQ Table \* ARABIC </w:instrText>
      </w:r>
      <w:r w:rsidR="00C34531">
        <w:fldChar w:fldCharType="separate"/>
      </w:r>
      <w:r w:rsidR="008B5583">
        <w:rPr>
          <w:noProof/>
        </w:rPr>
        <w:t>36</w:t>
      </w:r>
      <w:r w:rsidR="00C34531">
        <w:rPr>
          <w:noProof/>
        </w:rPr>
        <w:fldChar w:fldCharType="end"/>
      </w:r>
      <w:r>
        <w:t xml:space="preserve">  </w:t>
      </w:r>
      <w:r w:rsidRPr="004E5BC2">
        <w:t>Study characteristics: HLA</w:t>
      </w:r>
      <w:bookmarkEnd w:id="375"/>
    </w:p>
    <w:tbl>
      <w:tblPr>
        <w:tblW w:w="5000" w:type="pct"/>
        <w:jc w:val="center"/>
        <w:tblLook w:val="0420" w:firstRow="1" w:lastRow="0" w:firstColumn="0" w:lastColumn="0" w:noHBand="0" w:noVBand="1"/>
      </w:tblPr>
      <w:tblGrid>
        <w:gridCol w:w="1350"/>
        <w:gridCol w:w="1320"/>
        <w:gridCol w:w="1884"/>
        <w:gridCol w:w="812"/>
        <w:gridCol w:w="801"/>
        <w:gridCol w:w="2697"/>
        <w:gridCol w:w="1781"/>
        <w:gridCol w:w="1111"/>
        <w:gridCol w:w="1171"/>
        <w:gridCol w:w="1031"/>
      </w:tblGrid>
      <w:tr w:rsidR="00C8418F" w:rsidRPr="00734942" w14:paraId="159A4581" w14:textId="77777777" w:rsidTr="00DA0CBC">
        <w:trPr>
          <w:cantSplit/>
          <w:tblHeader/>
          <w:jc w:val="center"/>
        </w:trPr>
        <w:tc>
          <w:tcPr>
            <w:tcW w:w="48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150BC8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7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15CA0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7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998FA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CE12655"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48858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96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DC0CD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3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88D4A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F7CD2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2ADF5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6BE82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5A39369D" w14:textId="77777777" w:rsidTr="00DA0CBC">
        <w:trPr>
          <w:cantSplit/>
          <w:jc w:val="center"/>
        </w:trPr>
        <w:tc>
          <w:tcPr>
            <w:tcW w:w="484" w:type="pct"/>
            <w:shd w:val="clear" w:color="auto" w:fill="FFFFFF"/>
            <w:tcMar>
              <w:top w:w="0" w:type="dxa"/>
              <w:left w:w="0" w:type="dxa"/>
              <w:bottom w:w="0" w:type="dxa"/>
              <w:right w:w="0" w:type="dxa"/>
            </w:tcMar>
            <w:vAlign w:val="center"/>
          </w:tcPr>
          <w:p w14:paraId="5A6924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73" w:type="pct"/>
            <w:shd w:val="clear" w:color="auto" w:fill="FFFFFF"/>
            <w:tcMar>
              <w:top w:w="0" w:type="dxa"/>
              <w:left w:w="0" w:type="dxa"/>
              <w:bottom w:w="0" w:type="dxa"/>
              <w:right w:w="0" w:type="dxa"/>
            </w:tcMar>
            <w:vAlign w:val="center"/>
          </w:tcPr>
          <w:p w14:paraId="0EB5BC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675" w:type="pct"/>
            <w:shd w:val="clear" w:color="auto" w:fill="FFFFFF"/>
            <w:tcMar>
              <w:top w:w="0" w:type="dxa"/>
              <w:left w:w="0" w:type="dxa"/>
              <w:bottom w:w="0" w:type="dxa"/>
              <w:right w:w="0" w:type="dxa"/>
            </w:tcMar>
            <w:vAlign w:val="center"/>
          </w:tcPr>
          <w:p w14:paraId="6D0CF6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w:t>
            </w:r>
          </w:p>
        </w:tc>
        <w:tc>
          <w:tcPr>
            <w:tcW w:w="291" w:type="pct"/>
            <w:shd w:val="clear" w:color="auto" w:fill="FFFFFF"/>
            <w:tcMar>
              <w:top w:w="0" w:type="dxa"/>
              <w:left w:w="0" w:type="dxa"/>
              <w:bottom w:w="0" w:type="dxa"/>
              <w:right w:w="0" w:type="dxa"/>
            </w:tcMar>
            <w:vAlign w:val="center"/>
          </w:tcPr>
          <w:p w14:paraId="2557A15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97</w:t>
            </w:r>
          </w:p>
        </w:tc>
        <w:tc>
          <w:tcPr>
            <w:tcW w:w="287" w:type="pct"/>
            <w:shd w:val="clear" w:color="auto" w:fill="FFFFFF"/>
            <w:tcMar>
              <w:top w:w="0" w:type="dxa"/>
              <w:left w:w="0" w:type="dxa"/>
              <w:bottom w:w="0" w:type="dxa"/>
              <w:right w:w="0" w:type="dxa"/>
            </w:tcMar>
            <w:vAlign w:val="center"/>
          </w:tcPr>
          <w:p w14:paraId="2DD4B74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966" w:type="pct"/>
            <w:shd w:val="clear" w:color="auto" w:fill="FFFFFF"/>
            <w:tcMar>
              <w:top w:w="0" w:type="dxa"/>
              <w:left w:w="0" w:type="dxa"/>
              <w:bottom w:w="0" w:type="dxa"/>
              <w:right w:w="0" w:type="dxa"/>
            </w:tcMar>
            <w:vAlign w:val="center"/>
          </w:tcPr>
          <w:p w14:paraId="54872B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38" w:type="pct"/>
            <w:shd w:val="clear" w:color="auto" w:fill="FFFFFF"/>
            <w:tcMar>
              <w:top w:w="0" w:type="dxa"/>
              <w:left w:w="0" w:type="dxa"/>
              <w:bottom w:w="0" w:type="dxa"/>
              <w:right w:w="0" w:type="dxa"/>
            </w:tcMar>
            <w:vAlign w:val="center"/>
          </w:tcPr>
          <w:p w14:paraId="608D73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all pts biopsied</w:t>
            </w:r>
          </w:p>
        </w:tc>
        <w:tc>
          <w:tcPr>
            <w:tcW w:w="398" w:type="pct"/>
            <w:shd w:val="clear" w:color="auto" w:fill="FFFFFF"/>
            <w:tcMar>
              <w:top w:w="0" w:type="dxa"/>
              <w:left w:w="0" w:type="dxa"/>
              <w:bottom w:w="0" w:type="dxa"/>
              <w:right w:w="0" w:type="dxa"/>
            </w:tcMar>
            <w:vAlign w:val="center"/>
          </w:tcPr>
          <w:p w14:paraId="2D8BC3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65EA4A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683BD3CC" w14:textId="7BC157C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bGtlcjwvQXV0aG9yPjxZZWFyPjIwMTA8L1llYXI+PFJlY051bT4xOTY8L1JlY051bT48RGlzcGxh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PEVuZE5vdGU+PENpdGUgRXhjbHVkZUF1dGg9IjEiIEV4Y2x1ZGVZZWFyPSIxIj48QXV0aG9yPldh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374</w:t>
            </w:r>
            <w:r w:rsidRPr="00734942">
              <w:rPr>
                <w:rFonts w:ascii="Arial" w:eastAsia="Arial" w:hAnsi="Arial" w:cs="Arial"/>
                <w:color w:val="111111"/>
                <w:sz w:val="18"/>
                <w:szCs w:val="18"/>
              </w:rPr>
              <w:fldChar w:fldCharType="end"/>
            </w:r>
          </w:p>
        </w:tc>
      </w:tr>
      <w:tr w:rsidR="00C8418F" w:rsidRPr="00734942" w14:paraId="5148E8A3" w14:textId="77777777" w:rsidTr="00DA0CBC">
        <w:trPr>
          <w:cantSplit/>
          <w:jc w:val="center"/>
        </w:trPr>
        <w:tc>
          <w:tcPr>
            <w:tcW w:w="484" w:type="pct"/>
            <w:shd w:val="clear" w:color="auto" w:fill="FFFFFF"/>
            <w:tcMar>
              <w:top w:w="0" w:type="dxa"/>
              <w:left w:w="0" w:type="dxa"/>
              <w:bottom w:w="0" w:type="dxa"/>
              <w:right w:w="0" w:type="dxa"/>
            </w:tcMar>
            <w:vAlign w:val="center"/>
          </w:tcPr>
          <w:p w14:paraId="5FF108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73" w:type="pct"/>
            <w:shd w:val="clear" w:color="auto" w:fill="FFFFFF"/>
            <w:tcMar>
              <w:top w:w="0" w:type="dxa"/>
              <w:left w:w="0" w:type="dxa"/>
              <w:bottom w:w="0" w:type="dxa"/>
              <w:right w:w="0" w:type="dxa"/>
            </w:tcMar>
            <w:vAlign w:val="center"/>
          </w:tcPr>
          <w:p w14:paraId="3CDBB8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(CD)</w:t>
            </w:r>
          </w:p>
        </w:tc>
        <w:tc>
          <w:tcPr>
            <w:tcW w:w="675" w:type="pct"/>
            <w:shd w:val="clear" w:color="auto" w:fill="FFFFFF"/>
            <w:tcMar>
              <w:top w:w="0" w:type="dxa"/>
              <w:left w:w="0" w:type="dxa"/>
              <w:bottom w:w="0" w:type="dxa"/>
              <w:right w:w="0" w:type="dxa"/>
            </w:tcMar>
            <w:vAlign w:val="center"/>
          </w:tcPr>
          <w:p w14:paraId="544692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 HLA DQ8 or both</w:t>
            </w:r>
          </w:p>
        </w:tc>
        <w:tc>
          <w:tcPr>
            <w:tcW w:w="291" w:type="pct"/>
            <w:shd w:val="clear" w:color="auto" w:fill="FFFFFF"/>
            <w:tcMar>
              <w:top w:w="0" w:type="dxa"/>
              <w:left w:w="0" w:type="dxa"/>
              <w:bottom w:w="0" w:type="dxa"/>
              <w:right w:w="0" w:type="dxa"/>
            </w:tcMar>
            <w:vAlign w:val="center"/>
          </w:tcPr>
          <w:p w14:paraId="327CFFB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1320</w:t>
            </w:r>
          </w:p>
        </w:tc>
        <w:tc>
          <w:tcPr>
            <w:tcW w:w="287" w:type="pct"/>
            <w:shd w:val="clear" w:color="auto" w:fill="FFFFFF"/>
            <w:tcMar>
              <w:top w:w="0" w:type="dxa"/>
              <w:left w:w="0" w:type="dxa"/>
              <w:bottom w:w="0" w:type="dxa"/>
              <w:right w:w="0" w:type="dxa"/>
            </w:tcMar>
            <w:vAlign w:val="center"/>
          </w:tcPr>
          <w:p w14:paraId="006B5B7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966" w:type="pct"/>
            <w:shd w:val="clear" w:color="auto" w:fill="FFFFFF"/>
            <w:tcMar>
              <w:top w:w="0" w:type="dxa"/>
              <w:left w:w="0" w:type="dxa"/>
              <w:bottom w:w="0" w:type="dxa"/>
              <w:right w:w="0" w:type="dxa"/>
            </w:tcMar>
            <w:vAlign w:val="center"/>
          </w:tcPr>
          <w:p w14:paraId="319F9B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risk genotype</w:t>
            </w:r>
          </w:p>
        </w:tc>
        <w:tc>
          <w:tcPr>
            <w:tcW w:w="638" w:type="pct"/>
            <w:shd w:val="clear" w:color="auto" w:fill="FFFFFF"/>
            <w:tcMar>
              <w:top w:w="0" w:type="dxa"/>
              <w:left w:w="0" w:type="dxa"/>
              <w:bottom w:w="0" w:type="dxa"/>
              <w:right w:w="0" w:type="dxa"/>
            </w:tcMar>
            <w:vAlign w:val="center"/>
          </w:tcPr>
          <w:p w14:paraId="531D3F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24230A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419" w:type="pct"/>
            <w:shd w:val="clear" w:color="auto" w:fill="FFFFFF"/>
            <w:tcMar>
              <w:top w:w="0" w:type="dxa"/>
              <w:left w:w="0" w:type="dxa"/>
              <w:bottom w:w="0" w:type="dxa"/>
              <w:right w:w="0" w:type="dxa"/>
            </w:tcMar>
            <w:vAlign w:val="center"/>
          </w:tcPr>
          <w:p w14:paraId="6F574BC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03042696" w14:textId="3022947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bmRzdHJvbTwvQXV0aG9yPjxZZWFyPjIwMTM8L1llYXI+PFJlY051bT4xOTc8L1JlY051bT48RGlz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==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PEVuZE5vdGU+PENpdGUgRXhjbHVkZUF1dGg9IjEiIEV4Y2x1ZGVZZWFyPSIxIj48QXV0aG9yPlNh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==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182</w:t>
            </w:r>
            <w:r w:rsidRPr="00734942">
              <w:rPr>
                <w:rFonts w:ascii="Arial" w:eastAsia="Arial" w:hAnsi="Arial" w:cs="Arial"/>
                <w:color w:val="111111"/>
                <w:sz w:val="18"/>
                <w:szCs w:val="18"/>
              </w:rPr>
              <w:fldChar w:fldCharType="end"/>
            </w:r>
          </w:p>
        </w:tc>
      </w:tr>
      <w:tr w:rsidR="00C8418F" w:rsidRPr="00734942" w14:paraId="2C983432" w14:textId="77777777" w:rsidTr="00DA0CBC">
        <w:trPr>
          <w:cantSplit/>
          <w:jc w:val="center"/>
        </w:trPr>
        <w:tc>
          <w:tcPr>
            <w:tcW w:w="484" w:type="pct"/>
            <w:shd w:val="clear" w:color="auto" w:fill="FFFFFF"/>
            <w:tcMar>
              <w:top w:w="0" w:type="dxa"/>
              <w:left w:w="0" w:type="dxa"/>
              <w:bottom w:w="0" w:type="dxa"/>
              <w:right w:w="0" w:type="dxa"/>
            </w:tcMar>
            <w:vAlign w:val="center"/>
          </w:tcPr>
          <w:p w14:paraId="75118C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73" w:type="pct"/>
            <w:shd w:val="clear" w:color="auto" w:fill="FFFFFF"/>
            <w:tcMar>
              <w:top w:w="0" w:type="dxa"/>
              <w:left w:w="0" w:type="dxa"/>
              <w:bottom w:w="0" w:type="dxa"/>
              <w:right w:w="0" w:type="dxa"/>
            </w:tcMar>
            <w:vAlign w:val="center"/>
          </w:tcPr>
          <w:p w14:paraId="3D39D9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75" w:type="pct"/>
            <w:shd w:val="clear" w:color="auto" w:fill="FFFFFF"/>
            <w:tcMar>
              <w:top w:w="0" w:type="dxa"/>
              <w:left w:w="0" w:type="dxa"/>
              <w:bottom w:w="0" w:type="dxa"/>
              <w:right w:w="0" w:type="dxa"/>
            </w:tcMar>
            <w:vAlign w:val="center"/>
          </w:tcPr>
          <w:p w14:paraId="6F658B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 HLA DQ8 or both</w:t>
            </w:r>
          </w:p>
        </w:tc>
        <w:tc>
          <w:tcPr>
            <w:tcW w:w="291" w:type="pct"/>
            <w:shd w:val="clear" w:color="auto" w:fill="FFFFFF"/>
            <w:tcMar>
              <w:top w:w="0" w:type="dxa"/>
              <w:left w:w="0" w:type="dxa"/>
              <w:bottom w:w="0" w:type="dxa"/>
              <w:right w:w="0" w:type="dxa"/>
            </w:tcMar>
            <w:vAlign w:val="center"/>
          </w:tcPr>
          <w:p w14:paraId="25A87B2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2781</w:t>
            </w:r>
          </w:p>
        </w:tc>
        <w:tc>
          <w:tcPr>
            <w:tcW w:w="287" w:type="pct"/>
            <w:shd w:val="clear" w:color="auto" w:fill="FFFFFF"/>
            <w:tcMar>
              <w:top w:w="0" w:type="dxa"/>
              <w:left w:w="0" w:type="dxa"/>
              <w:bottom w:w="0" w:type="dxa"/>
              <w:right w:w="0" w:type="dxa"/>
            </w:tcMar>
            <w:vAlign w:val="center"/>
          </w:tcPr>
          <w:p w14:paraId="4B88EDE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966" w:type="pct"/>
            <w:shd w:val="clear" w:color="auto" w:fill="FFFFFF"/>
            <w:tcMar>
              <w:top w:w="0" w:type="dxa"/>
              <w:left w:w="0" w:type="dxa"/>
              <w:bottom w:w="0" w:type="dxa"/>
              <w:right w:w="0" w:type="dxa"/>
            </w:tcMar>
            <w:vAlign w:val="center"/>
          </w:tcPr>
          <w:p w14:paraId="5F1C220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risk genotype</w:t>
            </w:r>
          </w:p>
        </w:tc>
        <w:tc>
          <w:tcPr>
            <w:tcW w:w="638" w:type="pct"/>
            <w:shd w:val="clear" w:color="auto" w:fill="FFFFFF"/>
            <w:tcMar>
              <w:top w:w="0" w:type="dxa"/>
              <w:left w:w="0" w:type="dxa"/>
              <w:bottom w:w="0" w:type="dxa"/>
              <w:right w:w="0" w:type="dxa"/>
            </w:tcMar>
            <w:vAlign w:val="center"/>
          </w:tcPr>
          <w:p w14:paraId="5552D9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666A79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1DB818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3A92CB90" w14:textId="7A27DAC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735CC0">
              <w:rPr>
                <w:rFonts w:ascii="Arial" w:eastAsia="Arial" w:hAnsi="Arial" w:cs="Arial"/>
                <w:color w:val="111111"/>
                <w:sz w:val="18"/>
                <w:szCs w:val="18"/>
              </w:rPr>
              <w:instrText xml:space="preserve"> ADDIN EN.CITE &lt;EndNote&gt;&lt;Cite ExcludeAuth="1" ExcludeYear="1"&gt;&lt;Author&gt;Beth&lt;/Author&gt;&lt;Year&gt;2016&lt;/Year&gt;&lt;RecNum&gt;117&lt;/RecNum&gt;&lt;DisplayText&gt;&lt;style face="superscript"&gt;184&lt;/style&gt;&lt;/DisplayText&gt;&lt;record&gt;&lt;rec-number&gt;117&lt;/rec-number&gt;&lt;foreign-keys&gt;&lt;key app="EN" db-id="tdwrx9xd1z9eepeevr355w2k959rv0f5zaax" timestamp="1632756118"&gt;117&lt;/key&gt;&lt;/foreign-keys&gt;&lt;ref-type name="Journal Article"&gt;17&lt;/ref-type&gt;&lt;contributors&gt;&lt;authors&gt;&lt;author&gt;Beth, S. A.&lt;/author&gt;&lt;author&gt;Jansen, M. A. E.&lt;/author&gt;&lt;author&gt;Elfrink, M. E. C.&lt;/author&gt;&lt;author&gt;Kiefte-de Jong, J. C.&lt;/author&gt;&lt;author&gt;Wolvius, E. B.&lt;/author&gt;&lt;author&gt;Jaddoe, V. W. V.&lt;/author&gt;&lt;author&gt;van Zelm, M. C.&lt;/author&gt;&lt;author&gt;Moll, H. A.&lt;/author&gt;&lt;/authors&gt;&lt;/contributors&gt;&lt;titles&gt;&lt;title&gt;Generation R birth cohort study shows that specific enamel defects were not associated with elevated serum transglutaminase type 2 antibodies&lt;/title&gt;&lt;secondary-title&gt;Acta Paediatrica&lt;/secondary-title&gt;&lt;/titles&gt;&lt;periodical&gt;&lt;full-title&gt;Acta Paediatrica&lt;/full-title&gt;&lt;/periodical&gt;&lt;pages&gt;e485-e491&lt;/pages&gt;&lt;volume&gt;105&lt;/volume&gt;&lt;number&gt;10&lt;/number&gt;&lt;dates&gt;&lt;year&gt;2016&lt;/year&gt;&lt;pub-dates&gt;&lt;date&gt;Oct&lt;/date&gt;&lt;/pub-dates&gt;&lt;/dates&gt;&lt;isbn&gt;0803-5253&lt;/isbn&gt;&lt;accession-num&gt;WOS:000383619400009&lt;/accession-num&gt;&lt;urls&gt;&lt;related-urls&gt;&lt;url&gt;&amp;lt;Go to ISI&amp;gt;://WOS:000383619400009&lt;/url&gt;&lt;url&gt;https://onlinelibrary.wiley.com/doi/abs/10.1111/apa.13533&lt;/url&gt;&lt;url&gt;https://onlinelibrary.wiley.com/doi/full/10.1111/apa.13533&lt;/url&gt;&lt;/related-urls&gt;&lt;/urls&gt;&lt;electronic-resource-num&gt;10.1111/apa.13533&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184</w:t>
            </w:r>
            <w:r w:rsidRPr="00734942">
              <w:rPr>
                <w:rFonts w:ascii="Arial" w:eastAsia="Arial" w:hAnsi="Arial" w:cs="Arial"/>
                <w:color w:val="111111"/>
                <w:sz w:val="18"/>
                <w:szCs w:val="18"/>
              </w:rPr>
              <w:fldChar w:fldCharType="end"/>
            </w:r>
          </w:p>
        </w:tc>
      </w:tr>
      <w:tr w:rsidR="00C8418F" w:rsidRPr="00734942" w14:paraId="427A2AE3" w14:textId="77777777" w:rsidTr="00DA0CBC">
        <w:trPr>
          <w:cantSplit/>
          <w:jc w:val="center"/>
        </w:trPr>
        <w:tc>
          <w:tcPr>
            <w:tcW w:w="484" w:type="pct"/>
            <w:shd w:val="clear" w:color="auto" w:fill="FFFFFF"/>
            <w:tcMar>
              <w:top w:w="0" w:type="dxa"/>
              <w:left w:w="0" w:type="dxa"/>
              <w:bottom w:w="0" w:type="dxa"/>
              <w:right w:w="0" w:type="dxa"/>
            </w:tcMar>
            <w:vAlign w:val="center"/>
          </w:tcPr>
          <w:p w14:paraId="661736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73" w:type="pct"/>
            <w:shd w:val="clear" w:color="auto" w:fill="FFFFFF"/>
            <w:tcMar>
              <w:top w:w="0" w:type="dxa"/>
              <w:left w:w="0" w:type="dxa"/>
              <w:bottom w:w="0" w:type="dxa"/>
              <w:right w:w="0" w:type="dxa"/>
            </w:tcMar>
            <w:vAlign w:val="center"/>
          </w:tcPr>
          <w:p w14:paraId="2399AD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75" w:type="pct"/>
            <w:shd w:val="clear" w:color="auto" w:fill="FFFFFF"/>
            <w:tcMar>
              <w:top w:w="0" w:type="dxa"/>
              <w:left w:w="0" w:type="dxa"/>
              <w:bottom w:w="0" w:type="dxa"/>
              <w:right w:w="0" w:type="dxa"/>
            </w:tcMar>
            <w:vAlign w:val="center"/>
          </w:tcPr>
          <w:p w14:paraId="599708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 HLA DQ8 or both</w:t>
            </w:r>
          </w:p>
        </w:tc>
        <w:tc>
          <w:tcPr>
            <w:tcW w:w="291" w:type="pct"/>
            <w:shd w:val="clear" w:color="auto" w:fill="FFFFFF"/>
            <w:tcMar>
              <w:top w:w="0" w:type="dxa"/>
              <w:left w:w="0" w:type="dxa"/>
              <w:bottom w:w="0" w:type="dxa"/>
              <w:right w:w="0" w:type="dxa"/>
            </w:tcMar>
            <w:vAlign w:val="center"/>
          </w:tcPr>
          <w:p w14:paraId="122AF13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4308</w:t>
            </w:r>
          </w:p>
        </w:tc>
        <w:tc>
          <w:tcPr>
            <w:tcW w:w="287" w:type="pct"/>
            <w:shd w:val="clear" w:color="auto" w:fill="FFFFFF"/>
            <w:tcMar>
              <w:top w:w="0" w:type="dxa"/>
              <w:left w:w="0" w:type="dxa"/>
              <w:bottom w:w="0" w:type="dxa"/>
              <w:right w:w="0" w:type="dxa"/>
            </w:tcMar>
            <w:vAlign w:val="center"/>
          </w:tcPr>
          <w:p w14:paraId="1474F75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966" w:type="pct"/>
            <w:shd w:val="clear" w:color="auto" w:fill="FFFFFF"/>
            <w:tcMar>
              <w:top w:w="0" w:type="dxa"/>
              <w:left w:w="0" w:type="dxa"/>
              <w:bottom w:w="0" w:type="dxa"/>
              <w:right w:w="0" w:type="dxa"/>
            </w:tcMar>
            <w:vAlign w:val="center"/>
          </w:tcPr>
          <w:p w14:paraId="6640AF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risk genotype</w:t>
            </w:r>
          </w:p>
        </w:tc>
        <w:tc>
          <w:tcPr>
            <w:tcW w:w="638" w:type="pct"/>
            <w:shd w:val="clear" w:color="auto" w:fill="FFFFFF"/>
            <w:tcMar>
              <w:top w:w="0" w:type="dxa"/>
              <w:left w:w="0" w:type="dxa"/>
              <w:bottom w:w="0" w:type="dxa"/>
              <w:right w:w="0" w:type="dxa"/>
            </w:tcMar>
            <w:vAlign w:val="center"/>
          </w:tcPr>
          <w:p w14:paraId="5A9C69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3D8372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76DD9D6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2EEC8369" w14:textId="3DB39B7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C8418F" w:rsidRPr="00734942" w14:paraId="10A662E4" w14:textId="77777777" w:rsidTr="00DA0CBC">
        <w:trPr>
          <w:cantSplit/>
          <w:jc w:val="center"/>
        </w:trPr>
        <w:tc>
          <w:tcPr>
            <w:tcW w:w="484" w:type="pct"/>
            <w:shd w:val="clear" w:color="auto" w:fill="FFFFFF"/>
            <w:tcMar>
              <w:top w:w="0" w:type="dxa"/>
              <w:left w:w="0" w:type="dxa"/>
              <w:bottom w:w="0" w:type="dxa"/>
              <w:right w:w="0" w:type="dxa"/>
            </w:tcMar>
            <w:vAlign w:val="center"/>
          </w:tcPr>
          <w:p w14:paraId="63CC14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473" w:type="pct"/>
            <w:shd w:val="clear" w:color="auto" w:fill="FFFFFF"/>
            <w:tcMar>
              <w:top w:w="0" w:type="dxa"/>
              <w:left w:w="0" w:type="dxa"/>
              <w:bottom w:w="0" w:type="dxa"/>
              <w:right w:w="0" w:type="dxa"/>
            </w:tcMar>
            <w:vAlign w:val="center"/>
          </w:tcPr>
          <w:p w14:paraId="274855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75" w:type="pct"/>
            <w:shd w:val="clear" w:color="auto" w:fill="FFFFFF"/>
            <w:tcMar>
              <w:top w:w="0" w:type="dxa"/>
              <w:left w:w="0" w:type="dxa"/>
              <w:bottom w:w="0" w:type="dxa"/>
              <w:right w:w="0" w:type="dxa"/>
            </w:tcMar>
            <w:vAlign w:val="center"/>
          </w:tcPr>
          <w:p w14:paraId="1D1036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DQ2.2, HLA DQ2.5 or HLA DQ8</w:t>
            </w:r>
          </w:p>
        </w:tc>
        <w:tc>
          <w:tcPr>
            <w:tcW w:w="291" w:type="pct"/>
            <w:shd w:val="clear" w:color="auto" w:fill="FFFFFF"/>
            <w:tcMar>
              <w:top w:w="0" w:type="dxa"/>
              <w:left w:w="0" w:type="dxa"/>
              <w:bottom w:w="0" w:type="dxa"/>
              <w:right w:w="0" w:type="dxa"/>
            </w:tcMar>
            <w:vAlign w:val="center"/>
          </w:tcPr>
          <w:p w14:paraId="1214DE1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3715</w:t>
            </w:r>
          </w:p>
        </w:tc>
        <w:tc>
          <w:tcPr>
            <w:tcW w:w="287" w:type="pct"/>
            <w:shd w:val="clear" w:color="auto" w:fill="FFFFFF"/>
            <w:tcMar>
              <w:top w:w="0" w:type="dxa"/>
              <w:left w:w="0" w:type="dxa"/>
              <w:bottom w:w="0" w:type="dxa"/>
              <w:right w:w="0" w:type="dxa"/>
            </w:tcMar>
            <w:vAlign w:val="center"/>
          </w:tcPr>
          <w:p w14:paraId="459958E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966" w:type="pct"/>
            <w:shd w:val="clear" w:color="auto" w:fill="FFFFFF"/>
            <w:tcMar>
              <w:top w:w="0" w:type="dxa"/>
              <w:left w:w="0" w:type="dxa"/>
              <w:bottom w:w="0" w:type="dxa"/>
              <w:right w:w="0" w:type="dxa"/>
            </w:tcMar>
            <w:vAlign w:val="center"/>
          </w:tcPr>
          <w:p w14:paraId="26F528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risk genotype</w:t>
            </w:r>
          </w:p>
        </w:tc>
        <w:tc>
          <w:tcPr>
            <w:tcW w:w="638" w:type="pct"/>
            <w:shd w:val="clear" w:color="auto" w:fill="FFFFFF"/>
            <w:tcMar>
              <w:top w:w="0" w:type="dxa"/>
              <w:left w:w="0" w:type="dxa"/>
              <w:bottom w:w="0" w:type="dxa"/>
              <w:right w:w="0" w:type="dxa"/>
            </w:tcMar>
            <w:vAlign w:val="center"/>
          </w:tcPr>
          <w:p w14:paraId="2620B83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50488C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0A458E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Netherlands</w:t>
            </w:r>
          </w:p>
        </w:tc>
        <w:tc>
          <w:tcPr>
            <w:tcW w:w="369" w:type="pct"/>
            <w:shd w:val="clear" w:color="auto" w:fill="FFFFFF"/>
            <w:tcMar>
              <w:top w:w="0" w:type="dxa"/>
              <w:left w:w="0" w:type="dxa"/>
              <w:bottom w:w="0" w:type="dxa"/>
              <w:right w:w="0" w:type="dxa"/>
            </w:tcMar>
            <w:vAlign w:val="center"/>
          </w:tcPr>
          <w:p w14:paraId="29753607" w14:textId="6B13113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PEVuZE5vdGU+PENpdGUgRXhjbHVkZUF1dGg9IjEiIEV4Y2x1ZGVZZWFyPSIxIj48QXV0aG9yPldh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==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183</w:t>
            </w:r>
            <w:r w:rsidRPr="00734942">
              <w:rPr>
                <w:rFonts w:ascii="Arial" w:eastAsia="Arial" w:hAnsi="Arial" w:cs="Arial"/>
                <w:color w:val="111111"/>
                <w:sz w:val="18"/>
                <w:szCs w:val="18"/>
              </w:rPr>
              <w:fldChar w:fldCharType="end"/>
            </w:r>
          </w:p>
        </w:tc>
      </w:tr>
      <w:tr w:rsidR="00C8418F" w:rsidRPr="00734942" w14:paraId="7D82F3F5" w14:textId="77777777" w:rsidTr="00DA0CBC">
        <w:trPr>
          <w:cantSplit/>
          <w:jc w:val="center"/>
        </w:trPr>
        <w:tc>
          <w:tcPr>
            <w:tcW w:w="484" w:type="pct"/>
            <w:shd w:val="clear" w:color="auto" w:fill="FFFFFF"/>
            <w:tcMar>
              <w:top w:w="0" w:type="dxa"/>
              <w:left w:w="0" w:type="dxa"/>
              <w:bottom w:w="0" w:type="dxa"/>
              <w:right w:w="0" w:type="dxa"/>
            </w:tcMar>
            <w:vAlign w:val="center"/>
          </w:tcPr>
          <w:p w14:paraId="5A2C8F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73" w:type="pct"/>
            <w:shd w:val="clear" w:color="auto" w:fill="FFFFFF"/>
            <w:tcMar>
              <w:top w:w="0" w:type="dxa"/>
              <w:left w:w="0" w:type="dxa"/>
              <w:bottom w:w="0" w:type="dxa"/>
              <w:right w:w="0" w:type="dxa"/>
            </w:tcMar>
            <w:vAlign w:val="center"/>
          </w:tcPr>
          <w:p w14:paraId="7A79F2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75" w:type="pct"/>
            <w:shd w:val="clear" w:color="auto" w:fill="FFFFFF"/>
            <w:tcMar>
              <w:top w:w="0" w:type="dxa"/>
              <w:left w:w="0" w:type="dxa"/>
              <w:bottom w:w="0" w:type="dxa"/>
              <w:right w:w="0" w:type="dxa"/>
            </w:tcMar>
            <w:vAlign w:val="center"/>
          </w:tcPr>
          <w:p w14:paraId="336056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DR4-DQ8, DR3-DQ2 or both</w:t>
            </w:r>
          </w:p>
        </w:tc>
        <w:tc>
          <w:tcPr>
            <w:tcW w:w="291" w:type="pct"/>
            <w:shd w:val="clear" w:color="auto" w:fill="FFFFFF"/>
            <w:tcMar>
              <w:top w:w="0" w:type="dxa"/>
              <w:left w:w="0" w:type="dxa"/>
              <w:bottom w:w="0" w:type="dxa"/>
              <w:right w:w="0" w:type="dxa"/>
            </w:tcMar>
            <w:vAlign w:val="center"/>
          </w:tcPr>
          <w:p w14:paraId="11F1C2D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3627</w:t>
            </w:r>
          </w:p>
        </w:tc>
        <w:tc>
          <w:tcPr>
            <w:tcW w:w="287" w:type="pct"/>
            <w:shd w:val="clear" w:color="auto" w:fill="FFFFFF"/>
            <w:tcMar>
              <w:top w:w="0" w:type="dxa"/>
              <w:left w:w="0" w:type="dxa"/>
              <w:bottom w:w="0" w:type="dxa"/>
              <w:right w:w="0" w:type="dxa"/>
            </w:tcMar>
            <w:vAlign w:val="center"/>
          </w:tcPr>
          <w:p w14:paraId="02CC886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966" w:type="pct"/>
            <w:shd w:val="clear" w:color="auto" w:fill="FFFFFF"/>
            <w:tcMar>
              <w:top w:w="0" w:type="dxa"/>
              <w:left w:w="0" w:type="dxa"/>
              <w:bottom w:w="0" w:type="dxa"/>
              <w:right w:w="0" w:type="dxa"/>
            </w:tcMar>
            <w:vAlign w:val="center"/>
          </w:tcPr>
          <w:p w14:paraId="7B9A7A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not carrying HLA DR3-DQ2 nor HLA DR4-DQ8</w:t>
            </w:r>
          </w:p>
        </w:tc>
        <w:tc>
          <w:tcPr>
            <w:tcW w:w="638" w:type="pct"/>
            <w:shd w:val="clear" w:color="auto" w:fill="FFFFFF"/>
            <w:tcMar>
              <w:top w:w="0" w:type="dxa"/>
              <w:left w:w="0" w:type="dxa"/>
              <w:bottom w:w="0" w:type="dxa"/>
              <w:right w:w="0" w:type="dxa"/>
            </w:tcMar>
            <w:vAlign w:val="center"/>
          </w:tcPr>
          <w:p w14:paraId="7060A7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46F464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28CEBB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1DEF39A3" w14:textId="71370D1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a2k8L0F1dGhvcj48WWVhcj4yMDAzPC9ZZWFyPjxSZWNOdW0+MTk4PC9SZWNOdW0+PERpc3BsYXlU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=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PEVuZE5vdGU+PENpdGUgRXhjbHVkZUF1dGg9IjEiIEV4Y2x1ZGVZZWFyPSIxIj48QXV0aG9yPk1h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=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181</w:t>
            </w:r>
            <w:r w:rsidRPr="00734942">
              <w:rPr>
                <w:rFonts w:ascii="Arial" w:eastAsia="Arial" w:hAnsi="Arial" w:cs="Arial"/>
                <w:color w:val="111111"/>
                <w:sz w:val="18"/>
                <w:szCs w:val="18"/>
              </w:rPr>
              <w:fldChar w:fldCharType="end"/>
            </w:r>
          </w:p>
        </w:tc>
      </w:tr>
      <w:tr w:rsidR="00C8418F" w:rsidRPr="00734942" w14:paraId="1C57B610" w14:textId="77777777" w:rsidTr="00DA0CBC">
        <w:trPr>
          <w:cantSplit/>
          <w:jc w:val="center"/>
        </w:trPr>
        <w:tc>
          <w:tcPr>
            <w:tcW w:w="484" w:type="pct"/>
            <w:shd w:val="clear" w:color="auto" w:fill="FFFFFF"/>
            <w:tcMar>
              <w:top w:w="0" w:type="dxa"/>
              <w:left w:w="0" w:type="dxa"/>
              <w:bottom w:w="0" w:type="dxa"/>
              <w:right w:w="0" w:type="dxa"/>
            </w:tcMar>
            <w:vAlign w:val="center"/>
          </w:tcPr>
          <w:p w14:paraId="23D604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73" w:type="pct"/>
            <w:shd w:val="clear" w:color="auto" w:fill="FFFFFF"/>
            <w:tcMar>
              <w:top w:w="0" w:type="dxa"/>
              <w:left w:w="0" w:type="dxa"/>
              <w:bottom w:w="0" w:type="dxa"/>
              <w:right w:w="0" w:type="dxa"/>
            </w:tcMar>
            <w:vAlign w:val="center"/>
          </w:tcPr>
          <w:p w14:paraId="64801D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675" w:type="pct"/>
            <w:shd w:val="clear" w:color="auto" w:fill="FFFFFF"/>
            <w:tcMar>
              <w:top w:w="0" w:type="dxa"/>
              <w:left w:w="0" w:type="dxa"/>
              <w:bottom w:w="0" w:type="dxa"/>
              <w:right w:w="0" w:type="dxa"/>
            </w:tcMar>
            <w:vAlign w:val="center"/>
          </w:tcPr>
          <w:p w14:paraId="220501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 HLA DQ8 or both</w:t>
            </w:r>
          </w:p>
        </w:tc>
        <w:tc>
          <w:tcPr>
            <w:tcW w:w="291" w:type="pct"/>
            <w:shd w:val="clear" w:color="auto" w:fill="FFFFFF"/>
            <w:tcMar>
              <w:top w:w="0" w:type="dxa"/>
              <w:left w:w="0" w:type="dxa"/>
              <w:bottom w:w="0" w:type="dxa"/>
              <w:right w:w="0" w:type="dxa"/>
            </w:tcMar>
            <w:vAlign w:val="center"/>
          </w:tcPr>
          <w:p w14:paraId="351FB00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3435</w:t>
            </w:r>
          </w:p>
        </w:tc>
        <w:tc>
          <w:tcPr>
            <w:tcW w:w="287" w:type="pct"/>
            <w:shd w:val="clear" w:color="auto" w:fill="FFFFFF"/>
            <w:tcMar>
              <w:top w:w="0" w:type="dxa"/>
              <w:left w:w="0" w:type="dxa"/>
              <w:bottom w:w="0" w:type="dxa"/>
              <w:right w:w="0" w:type="dxa"/>
            </w:tcMar>
            <w:vAlign w:val="center"/>
          </w:tcPr>
          <w:p w14:paraId="1BB1FC7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966" w:type="pct"/>
            <w:shd w:val="clear" w:color="auto" w:fill="FFFFFF"/>
            <w:tcMar>
              <w:top w:w="0" w:type="dxa"/>
              <w:left w:w="0" w:type="dxa"/>
              <w:bottom w:w="0" w:type="dxa"/>
              <w:right w:w="0" w:type="dxa"/>
            </w:tcMar>
            <w:vAlign w:val="center"/>
          </w:tcPr>
          <w:p w14:paraId="162FA3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New-borns without risk genotype</w:t>
            </w:r>
          </w:p>
        </w:tc>
        <w:tc>
          <w:tcPr>
            <w:tcW w:w="638" w:type="pct"/>
            <w:shd w:val="clear" w:color="auto" w:fill="FFFFFF"/>
            <w:tcMar>
              <w:top w:w="0" w:type="dxa"/>
              <w:left w:w="0" w:type="dxa"/>
              <w:bottom w:w="0" w:type="dxa"/>
              <w:right w:w="0" w:type="dxa"/>
            </w:tcMar>
            <w:vAlign w:val="center"/>
          </w:tcPr>
          <w:p w14:paraId="3CA6BE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63EDA7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vAlign w:val="center"/>
          </w:tcPr>
          <w:p w14:paraId="2F3ACE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7DFE3582" w14:textId="11B644E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PEVuZE5vdGU+PENpdGUgRXhjbHVkZUF1dGg9IjEiIEV4Y2x1ZGVZZWFyPSIxIj48QXV0aG9yPkJq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PEVuZE5vdGU+PENpdGUgRXhjbHVkZUF1dGg9IjEiIEV4Y2x1ZGVZZWFyPSIxIj48QXV0aG9yPkJq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180</w:t>
            </w:r>
            <w:r w:rsidRPr="00734942">
              <w:rPr>
                <w:rFonts w:ascii="Arial" w:eastAsia="Arial" w:hAnsi="Arial" w:cs="Arial"/>
                <w:color w:val="111111"/>
                <w:sz w:val="18"/>
                <w:szCs w:val="18"/>
              </w:rPr>
              <w:fldChar w:fldCharType="end"/>
            </w:r>
          </w:p>
        </w:tc>
      </w:tr>
      <w:tr w:rsidR="00C8418F" w:rsidRPr="00734942" w14:paraId="03DE6A09" w14:textId="77777777" w:rsidTr="00DA0CBC">
        <w:trPr>
          <w:cantSplit/>
          <w:jc w:val="center"/>
        </w:trPr>
        <w:tc>
          <w:tcPr>
            <w:tcW w:w="484" w:type="pct"/>
            <w:shd w:val="clear" w:color="auto" w:fill="FFFFFF"/>
            <w:tcMar>
              <w:top w:w="0" w:type="dxa"/>
              <w:left w:w="0" w:type="dxa"/>
              <w:bottom w:w="0" w:type="dxa"/>
              <w:right w:w="0" w:type="dxa"/>
            </w:tcMar>
            <w:vAlign w:val="center"/>
          </w:tcPr>
          <w:p w14:paraId="6BF044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73" w:type="pct"/>
            <w:shd w:val="clear" w:color="auto" w:fill="FFFFFF"/>
            <w:tcMar>
              <w:top w:w="0" w:type="dxa"/>
              <w:left w:w="0" w:type="dxa"/>
              <w:bottom w:w="0" w:type="dxa"/>
              <w:right w:w="0" w:type="dxa"/>
            </w:tcMar>
            <w:vAlign w:val="center"/>
          </w:tcPr>
          <w:p w14:paraId="7B8B4C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 &amp; CD)</w:t>
            </w:r>
          </w:p>
        </w:tc>
        <w:tc>
          <w:tcPr>
            <w:tcW w:w="675" w:type="pct"/>
            <w:shd w:val="clear" w:color="auto" w:fill="FFFFFF"/>
            <w:tcMar>
              <w:top w:w="0" w:type="dxa"/>
              <w:left w:w="0" w:type="dxa"/>
              <w:bottom w:w="0" w:type="dxa"/>
              <w:right w:w="0" w:type="dxa"/>
            </w:tcMar>
            <w:vAlign w:val="center"/>
          </w:tcPr>
          <w:p w14:paraId="29FA0C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HLA DQ2</w:t>
            </w:r>
          </w:p>
        </w:tc>
        <w:tc>
          <w:tcPr>
            <w:tcW w:w="291" w:type="pct"/>
            <w:shd w:val="clear" w:color="auto" w:fill="FFFFFF"/>
            <w:tcMar>
              <w:top w:w="0" w:type="dxa"/>
              <w:left w:w="0" w:type="dxa"/>
              <w:bottom w:w="0" w:type="dxa"/>
              <w:right w:w="0" w:type="dxa"/>
            </w:tcMar>
            <w:vAlign w:val="center"/>
          </w:tcPr>
          <w:p w14:paraId="78BC445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82</w:t>
            </w:r>
          </w:p>
        </w:tc>
        <w:tc>
          <w:tcPr>
            <w:tcW w:w="287" w:type="pct"/>
            <w:shd w:val="clear" w:color="auto" w:fill="FFFFFF"/>
            <w:tcMar>
              <w:top w:w="0" w:type="dxa"/>
              <w:left w:w="0" w:type="dxa"/>
              <w:bottom w:w="0" w:type="dxa"/>
              <w:right w:w="0" w:type="dxa"/>
            </w:tcMar>
            <w:vAlign w:val="center"/>
          </w:tcPr>
          <w:p w14:paraId="69975A2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966" w:type="pct"/>
            <w:shd w:val="clear" w:color="auto" w:fill="FFFFFF"/>
            <w:tcMar>
              <w:top w:w="0" w:type="dxa"/>
              <w:left w:w="0" w:type="dxa"/>
              <w:bottom w:w="0" w:type="dxa"/>
              <w:right w:w="0" w:type="dxa"/>
            </w:tcMar>
            <w:vAlign w:val="center"/>
          </w:tcPr>
          <w:p w14:paraId="6E6B92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CD patients and healthy controls without risk genotype</w:t>
            </w:r>
          </w:p>
        </w:tc>
        <w:tc>
          <w:tcPr>
            <w:tcW w:w="638" w:type="pct"/>
            <w:shd w:val="clear" w:color="auto" w:fill="FFFFFF"/>
            <w:tcMar>
              <w:top w:w="0" w:type="dxa"/>
              <w:left w:w="0" w:type="dxa"/>
              <w:bottom w:w="0" w:type="dxa"/>
              <w:right w:w="0" w:type="dxa"/>
            </w:tcMar>
            <w:vAlign w:val="center"/>
          </w:tcPr>
          <w:p w14:paraId="2FD168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0FB453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419" w:type="pct"/>
            <w:shd w:val="clear" w:color="auto" w:fill="FFFFFF"/>
            <w:tcMar>
              <w:top w:w="0" w:type="dxa"/>
              <w:left w:w="0" w:type="dxa"/>
              <w:bottom w:w="0" w:type="dxa"/>
              <w:right w:w="0" w:type="dxa"/>
            </w:tcMar>
            <w:vAlign w:val="center"/>
          </w:tcPr>
          <w:p w14:paraId="13FDB0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Cuba</w:t>
            </w:r>
          </w:p>
        </w:tc>
        <w:tc>
          <w:tcPr>
            <w:tcW w:w="369" w:type="pct"/>
            <w:shd w:val="clear" w:color="auto" w:fill="FFFFFF"/>
            <w:tcMar>
              <w:top w:w="0" w:type="dxa"/>
              <w:left w:w="0" w:type="dxa"/>
              <w:bottom w:w="0" w:type="dxa"/>
              <w:right w:w="0" w:type="dxa"/>
            </w:tcMar>
            <w:vAlign w:val="center"/>
          </w:tcPr>
          <w:p w14:paraId="0679A5E8" w14:textId="454E000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PEVuZE5vdGU+PENpdGUgRXhjbHVkZUF1dGg9IjEiIEV4Y2x1ZGVZZWFyPSIxIj48QXV0aG9yPkNp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PEVuZE5vdGU+PENpdGUgRXhjbHVkZUF1dGg9IjEiIEV4Y2x1ZGVZZWFyPSIxIj48QXV0aG9yPkNp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363</w:t>
            </w:r>
            <w:r w:rsidRPr="00734942">
              <w:rPr>
                <w:rFonts w:ascii="Arial" w:eastAsia="Arial" w:hAnsi="Arial" w:cs="Arial"/>
                <w:color w:val="111111"/>
                <w:sz w:val="18"/>
                <w:szCs w:val="18"/>
              </w:rPr>
              <w:fldChar w:fldCharType="end"/>
            </w:r>
          </w:p>
        </w:tc>
      </w:tr>
      <w:tr w:rsidR="00C8418F" w:rsidRPr="00734942" w14:paraId="7AC133FC" w14:textId="77777777" w:rsidTr="00DA0CBC">
        <w:trPr>
          <w:cantSplit/>
          <w:jc w:val="center"/>
        </w:trPr>
        <w:tc>
          <w:tcPr>
            <w:tcW w:w="484" w:type="pct"/>
            <w:tcBorders>
              <w:bottom w:val="single" w:sz="16" w:space="0" w:color="000000"/>
            </w:tcBorders>
            <w:shd w:val="clear" w:color="auto" w:fill="FFFFFF"/>
            <w:tcMar>
              <w:top w:w="0" w:type="dxa"/>
              <w:left w:w="0" w:type="dxa"/>
              <w:bottom w:w="0" w:type="dxa"/>
              <w:right w:w="0" w:type="dxa"/>
            </w:tcMar>
            <w:vAlign w:val="center"/>
          </w:tcPr>
          <w:p w14:paraId="069689F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Mixed</w:t>
            </w:r>
          </w:p>
        </w:tc>
        <w:tc>
          <w:tcPr>
            <w:tcW w:w="473" w:type="pct"/>
            <w:tcBorders>
              <w:bottom w:val="single" w:sz="16" w:space="0" w:color="000000"/>
            </w:tcBorders>
            <w:shd w:val="clear" w:color="auto" w:fill="FFFFFF"/>
            <w:tcMar>
              <w:top w:w="0" w:type="dxa"/>
              <w:left w:w="0" w:type="dxa"/>
              <w:bottom w:w="0" w:type="dxa"/>
              <w:right w:w="0" w:type="dxa"/>
            </w:tcMar>
            <w:vAlign w:val="center"/>
          </w:tcPr>
          <w:p w14:paraId="58370F5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(CD)</w:t>
            </w:r>
          </w:p>
        </w:tc>
        <w:tc>
          <w:tcPr>
            <w:tcW w:w="675" w:type="pct"/>
            <w:tcBorders>
              <w:bottom w:val="single" w:sz="16" w:space="0" w:color="000000"/>
            </w:tcBorders>
            <w:shd w:val="clear" w:color="auto" w:fill="FFFFFF"/>
            <w:tcMar>
              <w:top w:w="0" w:type="dxa"/>
              <w:left w:w="0" w:type="dxa"/>
              <w:bottom w:w="0" w:type="dxa"/>
              <w:right w:w="0" w:type="dxa"/>
            </w:tcMar>
            <w:vAlign w:val="center"/>
          </w:tcPr>
          <w:p w14:paraId="53542AD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HLA DQ2</w:t>
            </w:r>
          </w:p>
        </w:tc>
        <w:tc>
          <w:tcPr>
            <w:tcW w:w="291" w:type="pct"/>
            <w:tcBorders>
              <w:bottom w:val="single" w:sz="16" w:space="0" w:color="000000"/>
            </w:tcBorders>
            <w:shd w:val="clear" w:color="auto" w:fill="FFFFFF"/>
            <w:tcMar>
              <w:top w:w="0" w:type="dxa"/>
              <w:left w:w="0" w:type="dxa"/>
              <w:bottom w:w="0" w:type="dxa"/>
              <w:right w:w="0" w:type="dxa"/>
            </w:tcMar>
            <w:vAlign w:val="center"/>
          </w:tcPr>
          <w:p w14:paraId="5EFC305A"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101</w:t>
            </w:r>
          </w:p>
        </w:tc>
        <w:tc>
          <w:tcPr>
            <w:tcW w:w="287" w:type="pct"/>
            <w:tcBorders>
              <w:bottom w:val="single" w:sz="16" w:space="0" w:color="000000"/>
            </w:tcBorders>
            <w:shd w:val="clear" w:color="auto" w:fill="FFFFFF"/>
            <w:tcMar>
              <w:top w:w="0" w:type="dxa"/>
              <w:left w:w="0" w:type="dxa"/>
              <w:bottom w:w="0" w:type="dxa"/>
              <w:right w:w="0" w:type="dxa"/>
            </w:tcMar>
            <w:vAlign w:val="center"/>
          </w:tcPr>
          <w:p w14:paraId="0BD7DA05"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NR</w:t>
            </w:r>
          </w:p>
        </w:tc>
        <w:tc>
          <w:tcPr>
            <w:tcW w:w="966" w:type="pct"/>
            <w:tcBorders>
              <w:bottom w:val="single" w:sz="16" w:space="0" w:color="000000"/>
            </w:tcBorders>
            <w:shd w:val="clear" w:color="auto" w:fill="FFFFFF"/>
            <w:tcMar>
              <w:top w:w="0" w:type="dxa"/>
              <w:left w:w="0" w:type="dxa"/>
              <w:bottom w:w="0" w:type="dxa"/>
              <w:right w:w="0" w:type="dxa"/>
            </w:tcMar>
            <w:vAlign w:val="center"/>
          </w:tcPr>
          <w:p w14:paraId="72D3A5D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HLA DQ2</w:t>
            </w:r>
          </w:p>
        </w:tc>
        <w:tc>
          <w:tcPr>
            <w:tcW w:w="638" w:type="pct"/>
            <w:tcBorders>
              <w:bottom w:val="single" w:sz="16" w:space="0" w:color="000000"/>
            </w:tcBorders>
            <w:shd w:val="clear" w:color="auto" w:fill="FFFFFF"/>
            <w:tcMar>
              <w:top w:w="0" w:type="dxa"/>
              <w:left w:w="0" w:type="dxa"/>
              <w:bottom w:w="0" w:type="dxa"/>
              <w:right w:w="0" w:type="dxa"/>
            </w:tcMar>
            <w:vAlign w:val="center"/>
          </w:tcPr>
          <w:p w14:paraId="3C8D1F0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398" w:type="pct"/>
            <w:tcBorders>
              <w:bottom w:val="single" w:sz="16" w:space="0" w:color="000000"/>
            </w:tcBorders>
            <w:shd w:val="clear" w:color="auto" w:fill="FFFFFF"/>
            <w:tcMar>
              <w:top w:w="0" w:type="dxa"/>
              <w:left w:w="0" w:type="dxa"/>
              <w:bottom w:w="0" w:type="dxa"/>
              <w:right w:w="0" w:type="dxa"/>
            </w:tcMar>
            <w:vAlign w:val="center"/>
          </w:tcPr>
          <w:p w14:paraId="0CEB991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19" w:type="pct"/>
            <w:tcBorders>
              <w:bottom w:val="single" w:sz="16" w:space="0" w:color="000000"/>
            </w:tcBorders>
            <w:shd w:val="clear" w:color="auto" w:fill="FFFFFF"/>
            <w:tcMar>
              <w:top w:w="0" w:type="dxa"/>
              <w:left w:w="0" w:type="dxa"/>
              <w:bottom w:w="0" w:type="dxa"/>
              <w:right w:w="0" w:type="dxa"/>
            </w:tcMar>
            <w:vAlign w:val="center"/>
          </w:tcPr>
          <w:p w14:paraId="455C1F5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Iraq</w:t>
            </w:r>
          </w:p>
        </w:tc>
        <w:tc>
          <w:tcPr>
            <w:tcW w:w="369" w:type="pct"/>
            <w:tcBorders>
              <w:bottom w:val="single" w:sz="16" w:space="0" w:color="000000"/>
            </w:tcBorders>
            <w:shd w:val="clear" w:color="auto" w:fill="FFFFFF"/>
            <w:tcMar>
              <w:top w:w="0" w:type="dxa"/>
              <w:left w:w="0" w:type="dxa"/>
              <w:bottom w:w="0" w:type="dxa"/>
              <w:right w:w="0" w:type="dxa"/>
            </w:tcMar>
            <w:vAlign w:val="center"/>
          </w:tcPr>
          <w:p w14:paraId="7A2BBB66" w14:textId="603C280B"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PEVuZE5vdGU+PENpdGUgRXhjbHVkZUF1dGg9IjEiIEV4Y2x1ZGVZZWFyPSIxIj48QXV0aG9yPkto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PEVuZE5vdGU+PENpdGUgRXhjbHVkZUF1dGg9IjEiIEV4Y2x1ZGVZZWFyPSIxIj48QXV0aG9yPkto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375</w:t>
            </w:r>
            <w:r w:rsidRPr="00734942">
              <w:rPr>
                <w:rFonts w:ascii="Arial" w:eastAsia="Arial" w:hAnsi="Arial" w:cs="Arial"/>
                <w:color w:val="111111"/>
                <w:sz w:val="18"/>
                <w:szCs w:val="18"/>
              </w:rPr>
              <w:fldChar w:fldCharType="end"/>
            </w:r>
          </w:p>
        </w:tc>
      </w:tr>
    </w:tbl>
    <w:p w14:paraId="60F4352B" w14:textId="77777777" w:rsidR="007B756D" w:rsidRPr="00734942" w:rsidRDefault="007B756D" w:rsidP="007B756D"/>
    <w:p w14:paraId="13A89EBF" w14:textId="77777777" w:rsidR="007B756D" w:rsidRPr="00734942" w:rsidRDefault="007B756D" w:rsidP="007B756D">
      <w:r w:rsidRPr="00734942">
        <w:br w:type="page"/>
      </w:r>
    </w:p>
    <w:p w14:paraId="1EEE9882" w14:textId="0AA13931" w:rsidR="00DA0CBC" w:rsidRDefault="00DA0CBC" w:rsidP="000526F1">
      <w:pPr>
        <w:pStyle w:val="Caption"/>
      </w:pPr>
      <w:bookmarkStart w:id="376" w:name="_Toc99720748"/>
      <w:r>
        <w:lastRenderedPageBreak/>
        <w:t xml:space="preserve">Table </w:t>
      </w:r>
      <w:r w:rsidR="00C34531">
        <w:fldChar w:fldCharType="begin"/>
      </w:r>
      <w:r w:rsidR="00C34531">
        <w:instrText xml:space="preserve"> SEQ Table \* ARABIC </w:instrText>
      </w:r>
      <w:r w:rsidR="00C34531">
        <w:fldChar w:fldCharType="separate"/>
      </w:r>
      <w:r w:rsidR="008B5583">
        <w:rPr>
          <w:noProof/>
        </w:rPr>
        <w:t>37</w:t>
      </w:r>
      <w:r w:rsidR="00C34531">
        <w:rPr>
          <w:noProof/>
        </w:rPr>
        <w:fldChar w:fldCharType="end"/>
      </w:r>
      <w:r>
        <w:t xml:space="preserve">  </w:t>
      </w:r>
      <w:r w:rsidRPr="00883B84">
        <w:t>Study characteristics: Inflammatory bowel disease</w:t>
      </w:r>
      <w:bookmarkEnd w:id="376"/>
    </w:p>
    <w:tbl>
      <w:tblPr>
        <w:tblW w:w="4996" w:type="pct"/>
        <w:jc w:val="center"/>
        <w:tblLook w:val="0420" w:firstRow="1" w:lastRow="0" w:firstColumn="0" w:lastColumn="0" w:noHBand="0" w:noVBand="1"/>
      </w:tblPr>
      <w:tblGrid>
        <w:gridCol w:w="1416"/>
        <w:gridCol w:w="1985"/>
        <w:gridCol w:w="1702"/>
        <w:gridCol w:w="1132"/>
        <w:gridCol w:w="1420"/>
        <w:gridCol w:w="1280"/>
        <w:gridCol w:w="2036"/>
        <w:gridCol w:w="1061"/>
        <w:gridCol w:w="884"/>
        <w:gridCol w:w="1031"/>
      </w:tblGrid>
      <w:tr w:rsidR="007B756D" w:rsidRPr="00734942" w14:paraId="3F18017E" w14:textId="77777777" w:rsidTr="006658D1">
        <w:trPr>
          <w:cantSplit/>
          <w:tblHeader/>
          <w:jc w:val="center"/>
        </w:trPr>
        <w:tc>
          <w:tcPr>
            <w:tcW w:w="50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8329B6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71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87FBB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1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7386B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40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A7DC575"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50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60CEE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45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91FB1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3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FE1DE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719BE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1B703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51A5A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054D4FE8" w14:textId="77777777" w:rsidTr="006658D1">
        <w:trPr>
          <w:cantSplit/>
          <w:jc w:val="center"/>
        </w:trPr>
        <w:tc>
          <w:tcPr>
            <w:tcW w:w="508" w:type="pct"/>
            <w:shd w:val="clear" w:color="auto" w:fill="FFFFFF"/>
            <w:tcMar>
              <w:top w:w="0" w:type="dxa"/>
              <w:left w:w="0" w:type="dxa"/>
              <w:bottom w:w="0" w:type="dxa"/>
              <w:right w:w="0" w:type="dxa"/>
            </w:tcMar>
            <w:vAlign w:val="center"/>
          </w:tcPr>
          <w:p w14:paraId="16FE20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712" w:type="pct"/>
            <w:shd w:val="clear" w:color="auto" w:fill="FFFFFF"/>
            <w:tcMar>
              <w:top w:w="0" w:type="dxa"/>
              <w:left w:w="0" w:type="dxa"/>
              <w:bottom w:w="0" w:type="dxa"/>
              <w:right w:w="0" w:type="dxa"/>
            </w:tcMar>
            <w:vAlign w:val="center"/>
          </w:tcPr>
          <w:p w14:paraId="2E3C62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shd w:val="clear" w:color="auto" w:fill="FFFFFF"/>
            <w:tcMar>
              <w:top w:w="0" w:type="dxa"/>
              <w:left w:w="0" w:type="dxa"/>
              <w:bottom w:w="0" w:type="dxa"/>
              <w:right w:w="0" w:type="dxa"/>
            </w:tcMar>
            <w:vAlign w:val="center"/>
          </w:tcPr>
          <w:p w14:paraId="5D9FDF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 or Crohn's disease</w:t>
            </w:r>
          </w:p>
        </w:tc>
        <w:tc>
          <w:tcPr>
            <w:tcW w:w="406" w:type="pct"/>
            <w:shd w:val="clear" w:color="auto" w:fill="FFFFFF"/>
            <w:tcMar>
              <w:top w:w="0" w:type="dxa"/>
              <w:left w:w="0" w:type="dxa"/>
              <w:bottom w:w="0" w:type="dxa"/>
              <w:right w:w="0" w:type="dxa"/>
            </w:tcMar>
            <w:vAlign w:val="center"/>
          </w:tcPr>
          <w:p w14:paraId="594384C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865</w:t>
            </w:r>
          </w:p>
        </w:tc>
        <w:tc>
          <w:tcPr>
            <w:tcW w:w="509" w:type="pct"/>
            <w:shd w:val="clear" w:color="auto" w:fill="FFFFFF"/>
            <w:tcMar>
              <w:top w:w="0" w:type="dxa"/>
              <w:left w:w="0" w:type="dxa"/>
              <w:bottom w:w="0" w:type="dxa"/>
              <w:right w:w="0" w:type="dxa"/>
            </w:tcMar>
            <w:vAlign w:val="center"/>
          </w:tcPr>
          <w:p w14:paraId="0E49451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59" w:type="pct"/>
            <w:shd w:val="clear" w:color="auto" w:fill="FFFFFF"/>
            <w:tcMar>
              <w:top w:w="0" w:type="dxa"/>
              <w:left w:w="0" w:type="dxa"/>
              <w:bottom w:w="0" w:type="dxa"/>
              <w:right w:w="0" w:type="dxa"/>
            </w:tcMar>
            <w:vAlign w:val="center"/>
          </w:tcPr>
          <w:p w14:paraId="2BEC872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shd w:val="clear" w:color="auto" w:fill="FFFFFF"/>
            <w:tcMar>
              <w:top w:w="0" w:type="dxa"/>
              <w:left w:w="0" w:type="dxa"/>
              <w:bottom w:w="0" w:type="dxa"/>
              <w:right w:w="0" w:type="dxa"/>
            </w:tcMar>
            <w:vAlign w:val="center"/>
          </w:tcPr>
          <w:p w14:paraId="2C09D0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0F8D45E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7" w:type="pct"/>
            <w:shd w:val="clear" w:color="auto" w:fill="FFFFFF"/>
            <w:tcMar>
              <w:top w:w="0" w:type="dxa"/>
              <w:left w:w="0" w:type="dxa"/>
              <w:bottom w:w="0" w:type="dxa"/>
              <w:right w:w="0" w:type="dxa"/>
            </w:tcMar>
            <w:vAlign w:val="center"/>
          </w:tcPr>
          <w:p w14:paraId="39BF8F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70" w:type="pct"/>
            <w:shd w:val="clear" w:color="auto" w:fill="FFFFFF"/>
            <w:tcMar>
              <w:top w:w="0" w:type="dxa"/>
              <w:left w:w="0" w:type="dxa"/>
              <w:bottom w:w="0" w:type="dxa"/>
              <w:right w:w="0" w:type="dxa"/>
            </w:tcMar>
            <w:vAlign w:val="center"/>
          </w:tcPr>
          <w:p w14:paraId="04E2A129" w14:textId="19C3E28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ExcludeYear="1"&gt;&lt;Author&gt;Horoldt&lt;/Author&gt;&lt;Year&gt;2006&lt;/Year&gt;&lt;RecNum&gt;201&lt;/RecNum&gt;&lt;DisplayText&gt;&lt;style face="superscript"&gt;376&lt;/style&gt;&lt;/DisplayText&gt;&lt;record&gt;&lt;rec-number&gt;201&lt;/rec-number&gt;&lt;foreign-keys&gt;&lt;key app="EN" db-id="tdwrx9xd1z9eepeevr355w2k959rv0f5zaax" timestamp="1632756132"&gt;201&lt;/key&gt;&lt;/foreign-keys&gt;&lt;ref-type name="Journal Article"&gt;17&lt;/ref-type&gt;&lt;contributors&gt;&lt;authors&gt;&lt;author&gt;Horoldt, B. S.&lt;/author&gt;&lt;author&gt;Leeds, J. S.&lt;/author&gt;&lt;author&gt;Sidhu, R.&lt;/author&gt;&lt;author&gt;Hopper, A. D.&lt;/author&gt;&lt;author&gt;Robinson, K.&lt;/author&gt;&lt;author&gt;Toulson, B.&lt;/author&gt;&lt;author&gt;Lobo, A. J.&lt;/author&gt;&lt;author&gt;McAlindon, M. E.&lt;/author&gt;&lt;author&gt;Hurlstone, D. P.&lt;/author&gt;&lt;author&gt;Sanders, D. S.&lt;/author&gt;&lt;/authors&gt;&lt;/contributors&gt;&lt;titles&gt;&lt;title&gt;Is there a relationship between coeliac disease and inflammatory bowel disease? A bidirectional prevalence study with controls&lt;/title&gt;&lt;secondary-title&gt;Gut&lt;/secondary-title&gt;&lt;/titles&gt;&lt;periodical&gt;&lt;full-title&gt;Gut&lt;/full-title&gt;&lt;/periodical&gt;&lt;pages&gt;A98-A98&lt;/pages&gt;&lt;volume&gt;55&lt;/volume&gt;&lt;dates&gt;&lt;year&gt;2006&lt;/year&gt;&lt;pub-dates&gt;&lt;date&gt;Apr&lt;/date&gt;&lt;/pub-dates&gt;&lt;/dates&gt;&lt;isbn&gt;0017-5749&lt;/isbn&gt;&lt;accession-num&gt;WOS:000235922100376&lt;/accession-num&gt;&lt;urls&gt;&lt;related-urls&gt;&lt;url&gt;&amp;lt;Go to ISI&amp;gt;://WOS:000235922100376&lt;/url&gt;&lt;/related-urls&gt;&lt;/urls&gt;&lt;remote-database-name&gt;Web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376</w:t>
            </w:r>
            <w:r w:rsidRPr="00734942">
              <w:rPr>
                <w:rFonts w:ascii="Arial" w:eastAsia="Arial" w:hAnsi="Arial" w:cs="Arial"/>
                <w:color w:val="111111"/>
                <w:sz w:val="18"/>
                <w:szCs w:val="18"/>
              </w:rPr>
              <w:fldChar w:fldCharType="end"/>
            </w:r>
          </w:p>
        </w:tc>
      </w:tr>
      <w:tr w:rsidR="007B756D" w:rsidRPr="00734942" w14:paraId="6A543650" w14:textId="77777777" w:rsidTr="006658D1">
        <w:trPr>
          <w:cantSplit/>
          <w:jc w:val="center"/>
        </w:trPr>
        <w:tc>
          <w:tcPr>
            <w:tcW w:w="508" w:type="pct"/>
            <w:shd w:val="clear" w:color="auto" w:fill="FFFFFF"/>
            <w:tcMar>
              <w:top w:w="0" w:type="dxa"/>
              <w:left w:w="0" w:type="dxa"/>
              <w:bottom w:w="0" w:type="dxa"/>
              <w:right w:w="0" w:type="dxa"/>
            </w:tcMar>
            <w:vAlign w:val="center"/>
          </w:tcPr>
          <w:p w14:paraId="01FF18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712" w:type="pct"/>
            <w:shd w:val="clear" w:color="auto" w:fill="FFFFFF"/>
            <w:tcMar>
              <w:top w:w="0" w:type="dxa"/>
              <w:left w:w="0" w:type="dxa"/>
              <w:bottom w:w="0" w:type="dxa"/>
              <w:right w:w="0" w:type="dxa"/>
            </w:tcMar>
            <w:vAlign w:val="center"/>
          </w:tcPr>
          <w:p w14:paraId="326085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shd w:val="clear" w:color="auto" w:fill="FFFFFF"/>
            <w:tcMar>
              <w:top w:w="0" w:type="dxa"/>
              <w:left w:w="0" w:type="dxa"/>
              <w:bottom w:w="0" w:type="dxa"/>
              <w:right w:w="0" w:type="dxa"/>
            </w:tcMar>
            <w:vAlign w:val="center"/>
          </w:tcPr>
          <w:p w14:paraId="3BEC3F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 or Crohn's disease</w:t>
            </w:r>
          </w:p>
        </w:tc>
        <w:tc>
          <w:tcPr>
            <w:tcW w:w="406" w:type="pct"/>
            <w:shd w:val="clear" w:color="auto" w:fill="FFFFFF"/>
            <w:tcMar>
              <w:top w:w="0" w:type="dxa"/>
              <w:left w:w="0" w:type="dxa"/>
              <w:bottom w:w="0" w:type="dxa"/>
              <w:right w:w="0" w:type="dxa"/>
            </w:tcMar>
            <w:vAlign w:val="center"/>
          </w:tcPr>
          <w:p w14:paraId="7152E75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955</w:t>
            </w:r>
          </w:p>
        </w:tc>
        <w:tc>
          <w:tcPr>
            <w:tcW w:w="509" w:type="pct"/>
            <w:shd w:val="clear" w:color="auto" w:fill="FFFFFF"/>
            <w:tcMar>
              <w:top w:w="0" w:type="dxa"/>
              <w:left w:w="0" w:type="dxa"/>
              <w:bottom w:w="0" w:type="dxa"/>
              <w:right w:w="0" w:type="dxa"/>
            </w:tcMar>
            <w:vAlign w:val="center"/>
          </w:tcPr>
          <w:p w14:paraId="1481261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59" w:type="pct"/>
            <w:shd w:val="clear" w:color="auto" w:fill="FFFFFF"/>
            <w:tcMar>
              <w:top w:w="0" w:type="dxa"/>
              <w:left w:w="0" w:type="dxa"/>
              <w:bottom w:w="0" w:type="dxa"/>
              <w:right w:w="0" w:type="dxa"/>
            </w:tcMar>
            <w:vAlign w:val="center"/>
          </w:tcPr>
          <w:p w14:paraId="399EBF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shd w:val="clear" w:color="auto" w:fill="FFFFFF"/>
            <w:tcMar>
              <w:top w:w="0" w:type="dxa"/>
              <w:left w:w="0" w:type="dxa"/>
              <w:bottom w:w="0" w:type="dxa"/>
              <w:right w:w="0" w:type="dxa"/>
            </w:tcMar>
            <w:vAlign w:val="center"/>
          </w:tcPr>
          <w:p w14:paraId="1A2C5E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33215C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7" w:type="pct"/>
            <w:shd w:val="clear" w:color="auto" w:fill="FFFFFF"/>
            <w:tcMar>
              <w:top w:w="0" w:type="dxa"/>
              <w:left w:w="0" w:type="dxa"/>
              <w:bottom w:w="0" w:type="dxa"/>
              <w:right w:w="0" w:type="dxa"/>
            </w:tcMar>
            <w:vAlign w:val="center"/>
          </w:tcPr>
          <w:p w14:paraId="21DB59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70" w:type="pct"/>
            <w:shd w:val="clear" w:color="auto" w:fill="FFFFFF"/>
            <w:tcMar>
              <w:top w:w="0" w:type="dxa"/>
              <w:left w:w="0" w:type="dxa"/>
              <w:bottom w:w="0" w:type="dxa"/>
              <w:right w:w="0" w:type="dxa"/>
            </w:tcMar>
            <w:vAlign w:val="center"/>
          </w:tcPr>
          <w:p w14:paraId="770A89C5" w14:textId="16A66E4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ExcludeYear="1"&gt;&lt;Author&gt;Leeds&lt;/Author&gt;&lt;Year&gt;2007&lt;/Year&gt;&lt;RecNum&gt;202&lt;/RecNum&gt;&lt;DisplayText&gt;&lt;style face="superscript"&gt;377&lt;/style&gt;&lt;/DisplayText&gt;&lt;record&gt;&lt;rec-number&gt;202&lt;/rec-number&gt;&lt;foreign-keys&gt;&lt;key app="EN" db-id="tdwrx9xd1z9eepeevr355w2k959rv0f5zaax" timestamp="1632756132"&gt;202&lt;/key&gt;&lt;/foreign-keys&gt;&lt;ref-type name="Journal Article"&gt;17&lt;/ref-type&gt;&lt;contributors&gt;&lt;authors&gt;&lt;author&gt;Leeds, J. S.&lt;/author&gt;&lt;author&gt;Hoeroldt, B. S.&lt;/author&gt;&lt;author&gt;Sidhu, R.&lt;/author&gt;&lt;author&gt;Hopper, A. D.&lt;/author&gt;&lt;author&gt;Robinson, K.&lt;/author&gt;&lt;author&gt;Toulson, B.&lt;/author&gt;&lt;author&gt;Dixon, L.&lt;/author&gt;&lt;author&gt;Lobo, A. J.&lt;/author&gt;&lt;author&gt;McAlindon, M. E.&lt;/author&gt;&lt;author&gt;Hurlstone, D. P.&lt;/author&gt;&lt;author&gt;Sanders, D. S.&lt;/author&gt;&lt;/authors&gt;&lt;/contributors&gt;&lt;titles&gt;&lt;title&gt;Is there an association between coeliac disease and inflammatory bowel diseases? A study of relative prevalence in comparison with population controls&lt;/title&gt;&lt;secondary-title&gt;Scandinavian Journal of Gastroenterology&lt;/secondary-title&gt;&lt;/titles&gt;&lt;periodical&gt;&lt;full-title&gt;Scandinavian Journal of Gastroenterology&lt;/full-title&gt;&lt;/periodical&gt;&lt;pages&gt;1214-1220&lt;/pages&gt;&lt;volume&gt;42&lt;/volume&gt;&lt;number&gt;10&lt;/number&gt;&lt;dates&gt;&lt;year&gt;2007&lt;/year&gt;&lt;/dates&gt;&lt;isbn&gt;0036-5521&lt;/isbn&gt;&lt;accession-num&gt;WOS:000249955900011&lt;/accession-num&gt;&lt;urls&gt;&lt;related-urls&gt;&lt;url&gt;&amp;lt;Go to ISI&amp;gt;://WOS:000249955900011&lt;/url&gt;&lt;url&gt;https://www.tandfonline.com/doi/pdf/10.1080/00365520701365112?needAccess=true&lt;/url&gt;&lt;/related-urls&gt;&lt;/urls&gt;&lt;electronic-resource-num&gt;10.1080/00365520701365112&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377</w:t>
            </w:r>
            <w:r w:rsidRPr="00734942">
              <w:rPr>
                <w:rFonts w:ascii="Arial" w:eastAsia="Arial" w:hAnsi="Arial" w:cs="Arial"/>
                <w:color w:val="111111"/>
                <w:sz w:val="18"/>
                <w:szCs w:val="18"/>
              </w:rPr>
              <w:fldChar w:fldCharType="end"/>
            </w:r>
          </w:p>
        </w:tc>
      </w:tr>
      <w:tr w:rsidR="007B756D" w:rsidRPr="00734942" w14:paraId="0009CC93" w14:textId="77777777" w:rsidTr="006658D1">
        <w:trPr>
          <w:cantSplit/>
          <w:jc w:val="center"/>
        </w:trPr>
        <w:tc>
          <w:tcPr>
            <w:tcW w:w="508" w:type="pct"/>
            <w:shd w:val="clear" w:color="auto" w:fill="FFFFFF"/>
            <w:tcMar>
              <w:top w:w="0" w:type="dxa"/>
              <w:left w:w="0" w:type="dxa"/>
              <w:bottom w:w="0" w:type="dxa"/>
              <w:right w:w="0" w:type="dxa"/>
            </w:tcMar>
            <w:vAlign w:val="center"/>
          </w:tcPr>
          <w:p w14:paraId="3BB47C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712" w:type="pct"/>
            <w:shd w:val="clear" w:color="auto" w:fill="FFFFFF"/>
            <w:tcMar>
              <w:top w:w="0" w:type="dxa"/>
              <w:left w:w="0" w:type="dxa"/>
              <w:bottom w:w="0" w:type="dxa"/>
              <w:right w:w="0" w:type="dxa"/>
            </w:tcMar>
            <w:vAlign w:val="center"/>
          </w:tcPr>
          <w:p w14:paraId="162086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shd w:val="clear" w:color="auto" w:fill="FFFFFF"/>
            <w:tcMar>
              <w:top w:w="0" w:type="dxa"/>
              <w:left w:w="0" w:type="dxa"/>
              <w:bottom w:w="0" w:type="dxa"/>
              <w:right w:w="0" w:type="dxa"/>
            </w:tcMar>
            <w:vAlign w:val="center"/>
          </w:tcPr>
          <w:p w14:paraId="78C6E5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 or Crohn's disease</w:t>
            </w:r>
          </w:p>
        </w:tc>
        <w:tc>
          <w:tcPr>
            <w:tcW w:w="406" w:type="pct"/>
            <w:shd w:val="clear" w:color="auto" w:fill="FFFFFF"/>
            <w:tcMar>
              <w:top w:w="0" w:type="dxa"/>
              <w:left w:w="0" w:type="dxa"/>
              <w:bottom w:w="0" w:type="dxa"/>
              <w:right w:w="0" w:type="dxa"/>
            </w:tcMar>
            <w:vAlign w:val="center"/>
          </w:tcPr>
          <w:p w14:paraId="016D913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362</w:t>
            </w:r>
          </w:p>
        </w:tc>
        <w:tc>
          <w:tcPr>
            <w:tcW w:w="509" w:type="pct"/>
            <w:shd w:val="clear" w:color="auto" w:fill="FFFFFF"/>
            <w:tcMar>
              <w:top w:w="0" w:type="dxa"/>
              <w:left w:w="0" w:type="dxa"/>
              <w:bottom w:w="0" w:type="dxa"/>
              <w:right w:w="0" w:type="dxa"/>
            </w:tcMar>
            <w:vAlign w:val="center"/>
          </w:tcPr>
          <w:p w14:paraId="63682EA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459" w:type="pct"/>
            <w:shd w:val="clear" w:color="auto" w:fill="FFFFFF"/>
            <w:tcMar>
              <w:top w:w="0" w:type="dxa"/>
              <w:left w:w="0" w:type="dxa"/>
              <w:bottom w:w="0" w:type="dxa"/>
              <w:right w:w="0" w:type="dxa"/>
            </w:tcMar>
            <w:vAlign w:val="center"/>
          </w:tcPr>
          <w:p w14:paraId="2ED301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shd w:val="clear" w:color="auto" w:fill="FFFFFF"/>
            <w:tcMar>
              <w:top w:w="0" w:type="dxa"/>
              <w:left w:w="0" w:type="dxa"/>
              <w:bottom w:w="0" w:type="dxa"/>
              <w:right w:w="0" w:type="dxa"/>
            </w:tcMar>
            <w:vAlign w:val="center"/>
          </w:tcPr>
          <w:p w14:paraId="6FDF3E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80" w:type="pct"/>
            <w:shd w:val="clear" w:color="auto" w:fill="FFFFFF"/>
            <w:tcMar>
              <w:top w:w="0" w:type="dxa"/>
              <w:left w:w="0" w:type="dxa"/>
              <w:bottom w:w="0" w:type="dxa"/>
              <w:right w:w="0" w:type="dxa"/>
            </w:tcMar>
            <w:vAlign w:val="center"/>
          </w:tcPr>
          <w:p w14:paraId="626719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7" w:type="pct"/>
            <w:shd w:val="clear" w:color="auto" w:fill="FFFFFF"/>
            <w:tcMar>
              <w:top w:w="0" w:type="dxa"/>
              <w:left w:w="0" w:type="dxa"/>
              <w:bottom w:w="0" w:type="dxa"/>
              <w:right w:w="0" w:type="dxa"/>
            </w:tcMar>
            <w:vAlign w:val="center"/>
          </w:tcPr>
          <w:p w14:paraId="284CD6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Japan</w:t>
            </w:r>
          </w:p>
        </w:tc>
        <w:tc>
          <w:tcPr>
            <w:tcW w:w="370" w:type="pct"/>
            <w:shd w:val="clear" w:color="auto" w:fill="FFFFFF"/>
            <w:tcMar>
              <w:top w:w="0" w:type="dxa"/>
              <w:left w:w="0" w:type="dxa"/>
              <w:bottom w:w="0" w:type="dxa"/>
              <w:right w:w="0" w:type="dxa"/>
            </w:tcMar>
            <w:vAlign w:val="center"/>
          </w:tcPr>
          <w:p w14:paraId="26BB71CF" w14:textId="6732687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dGFuYWJlPC9BdXRob3I+PFllYXI+MjAxNDwvWWVhcj48UmVjTnVtPjIwMzwvUmVjTnVtPjxEaXNw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PEVuZE5vdGU+PENpdGUgRXhjbHVkZUF1dGg9IjEiIEV4Y2x1ZGVZZWFyPSIxIj48QXV0aG9yPldh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378</w:t>
            </w:r>
            <w:r w:rsidRPr="00734942">
              <w:rPr>
                <w:rFonts w:ascii="Arial" w:eastAsia="Arial" w:hAnsi="Arial" w:cs="Arial"/>
                <w:color w:val="111111"/>
                <w:sz w:val="18"/>
                <w:szCs w:val="18"/>
              </w:rPr>
              <w:fldChar w:fldCharType="end"/>
            </w:r>
          </w:p>
        </w:tc>
      </w:tr>
      <w:tr w:rsidR="007B756D" w:rsidRPr="00734942" w14:paraId="577D0E28" w14:textId="77777777" w:rsidTr="006658D1">
        <w:trPr>
          <w:cantSplit/>
          <w:jc w:val="center"/>
        </w:trPr>
        <w:tc>
          <w:tcPr>
            <w:tcW w:w="508" w:type="pct"/>
            <w:shd w:val="clear" w:color="auto" w:fill="FFFFFF"/>
            <w:tcMar>
              <w:top w:w="0" w:type="dxa"/>
              <w:left w:w="0" w:type="dxa"/>
              <w:bottom w:w="0" w:type="dxa"/>
              <w:right w:w="0" w:type="dxa"/>
            </w:tcMar>
            <w:vAlign w:val="center"/>
          </w:tcPr>
          <w:p w14:paraId="12F9C3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712" w:type="pct"/>
            <w:shd w:val="clear" w:color="auto" w:fill="FFFFFF"/>
            <w:tcMar>
              <w:top w:w="0" w:type="dxa"/>
              <w:left w:w="0" w:type="dxa"/>
              <w:bottom w:w="0" w:type="dxa"/>
              <w:right w:w="0" w:type="dxa"/>
            </w:tcMar>
            <w:vAlign w:val="center"/>
          </w:tcPr>
          <w:p w14:paraId="12D288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shd w:val="clear" w:color="auto" w:fill="FFFFFF"/>
            <w:tcMar>
              <w:top w:w="0" w:type="dxa"/>
              <w:left w:w="0" w:type="dxa"/>
              <w:bottom w:w="0" w:type="dxa"/>
              <w:right w:w="0" w:type="dxa"/>
            </w:tcMar>
            <w:vAlign w:val="center"/>
          </w:tcPr>
          <w:p w14:paraId="31D120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 or Crohn's disease</w:t>
            </w:r>
          </w:p>
        </w:tc>
        <w:tc>
          <w:tcPr>
            <w:tcW w:w="406" w:type="pct"/>
            <w:shd w:val="clear" w:color="auto" w:fill="FFFFFF"/>
            <w:tcMar>
              <w:top w:w="0" w:type="dxa"/>
              <w:left w:w="0" w:type="dxa"/>
              <w:bottom w:w="0" w:type="dxa"/>
              <w:right w:w="0" w:type="dxa"/>
            </w:tcMar>
            <w:vAlign w:val="center"/>
          </w:tcPr>
          <w:p w14:paraId="3ED0925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290</w:t>
            </w:r>
          </w:p>
        </w:tc>
        <w:tc>
          <w:tcPr>
            <w:tcW w:w="509" w:type="pct"/>
            <w:shd w:val="clear" w:color="auto" w:fill="FFFFFF"/>
            <w:tcMar>
              <w:top w:w="0" w:type="dxa"/>
              <w:left w:w="0" w:type="dxa"/>
              <w:bottom w:w="0" w:type="dxa"/>
              <w:right w:w="0" w:type="dxa"/>
            </w:tcMar>
            <w:vAlign w:val="center"/>
          </w:tcPr>
          <w:p w14:paraId="6289F01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459" w:type="pct"/>
            <w:shd w:val="clear" w:color="auto" w:fill="FFFFFF"/>
            <w:tcMar>
              <w:top w:w="0" w:type="dxa"/>
              <w:left w:w="0" w:type="dxa"/>
              <w:bottom w:w="0" w:type="dxa"/>
              <w:right w:w="0" w:type="dxa"/>
            </w:tcMar>
            <w:vAlign w:val="center"/>
          </w:tcPr>
          <w:p w14:paraId="60CD55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shd w:val="clear" w:color="auto" w:fill="FFFFFF"/>
            <w:tcMar>
              <w:top w:w="0" w:type="dxa"/>
              <w:left w:w="0" w:type="dxa"/>
              <w:bottom w:w="0" w:type="dxa"/>
              <w:right w:w="0" w:type="dxa"/>
            </w:tcMar>
            <w:vAlign w:val="center"/>
          </w:tcPr>
          <w:p w14:paraId="404FA5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4A7BB1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17" w:type="pct"/>
            <w:shd w:val="clear" w:color="auto" w:fill="FFFFFF"/>
            <w:tcMar>
              <w:top w:w="0" w:type="dxa"/>
              <w:left w:w="0" w:type="dxa"/>
              <w:bottom w:w="0" w:type="dxa"/>
              <w:right w:w="0" w:type="dxa"/>
            </w:tcMar>
            <w:vAlign w:val="center"/>
          </w:tcPr>
          <w:p w14:paraId="064CA4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4543DCDE" w14:textId="332781A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327</w:t>
            </w:r>
            <w:r w:rsidRPr="00734942">
              <w:rPr>
                <w:rFonts w:ascii="Arial" w:eastAsia="Arial" w:hAnsi="Arial" w:cs="Arial"/>
                <w:color w:val="111111"/>
                <w:sz w:val="18"/>
                <w:szCs w:val="18"/>
              </w:rPr>
              <w:fldChar w:fldCharType="end"/>
            </w:r>
          </w:p>
        </w:tc>
      </w:tr>
      <w:tr w:rsidR="007B756D" w:rsidRPr="00734942" w14:paraId="2F0B7A81" w14:textId="77777777" w:rsidTr="006658D1">
        <w:trPr>
          <w:cantSplit/>
          <w:jc w:val="center"/>
        </w:trPr>
        <w:tc>
          <w:tcPr>
            <w:tcW w:w="508" w:type="pct"/>
            <w:shd w:val="clear" w:color="auto" w:fill="FFFFFF"/>
            <w:tcMar>
              <w:top w:w="0" w:type="dxa"/>
              <w:left w:w="0" w:type="dxa"/>
              <w:bottom w:w="0" w:type="dxa"/>
              <w:right w:w="0" w:type="dxa"/>
            </w:tcMar>
            <w:vAlign w:val="center"/>
          </w:tcPr>
          <w:p w14:paraId="739508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712" w:type="pct"/>
            <w:shd w:val="clear" w:color="auto" w:fill="FFFFFF"/>
            <w:tcMar>
              <w:top w:w="0" w:type="dxa"/>
              <w:left w:w="0" w:type="dxa"/>
              <w:bottom w:w="0" w:type="dxa"/>
              <w:right w:w="0" w:type="dxa"/>
            </w:tcMar>
            <w:vAlign w:val="center"/>
          </w:tcPr>
          <w:p w14:paraId="377D56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shd w:val="clear" w:color="auto" w:fill="FFFFFF"/>
            <w:tcMar>
              <w:top w:w="0" w:type="dxa"/>
              <w:left w:w="0" w:type="dxa"/>
              <w:bottom w:w="0" w:type="dxa"/>
              <w:right w:w="0" w:type="dxa"/>
            </w:tcMar>
            <w:vAlign w:val="center"/>
          </w:tcPr>
          <w:p w14:paraId="5E7272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 or Crohn's disease</w:t>
            </w:r>
          </w:p>
        </w:tc>
        <w:tc>
          <w:tcPr>
            <w:tcW w:w="406" w:type="pct"/>
            <w:shd w:val="clear" w:color="auto" w:fill="FFFFFF"/>
            <w:tcMar>
              <w:top w:w="0" w:type="dxa"/>
              <w:left w:w="0" w:type="dxa"/>
              <w:bottom w:w="0" w:type="dxa"/>
              <w:right w:w="0" w:type="dxa"/>
            </w:tcMar>
            <w:vAlign w:val="center"/>
          </w:tcPr>
          <w:p w14:paraId="6791229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328</w:t>
            </w:r>
          </w:p>
        </w:tc>
        <w:tc>
          <w:tcPr>
            <w:tcW w:w="509" w:type="pct"/>
            <w:shd w:val="clear" w:color="auto" w:fill="FFFFFF"/>
            <w:tcMar>
              <w:top w:w="0" w:type="dxa"/>
              <w:left w:w="0" w:type="dxa"/>
              <w:bottom w:w="0" w:type="dxa"/>
              <w:right w:w="0" w:type="dxa"/>
            </w:tcMar>
            <w:vAlign w:val="center"/>
          </w:tcPr>
          <w:p w14:paraId="45E818E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459" w:type="pct"/>
            <w:shd w:val="clear" w:color="auto" w:fill="FFFFFF"/>
            <w:tcMar>
              <w:top w:w="0" w:type="dxa"/>
              <w:left w:w="0" w:type="dxa"/>
              <w:bottom w:w="0" w:type="dxa"/>
              <w:right w:w="0" w:type="dxa"/>
            </w:tcMar>
            <w:vAlign w:val="center"/>
          </w:tcPr>
          <w:p w14:paraId="741106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shd w:val="clear" w:color="auto" w:fill="FFFFFF"/>
            <w:tcMar>
              <w:top w:w="0" w:type="dxa"/>
              <w:left w:w="0" w:type="dxa"/>
              <w:bottom w:w="0" w:type="dxa"/>
              <w:right w:w="0" w:type="dxa"/>
            </w:tcMar>
            <w:vAlign w:val="center"/>
          </w:tcPr>
          <w:p w14:paraId="4C3064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0" w:type="pct"/>
            <w:shd w:val="clear" w:color="auto" w:fill="FFFFFF"/>
            <w:tcMar>
              <w:top w:w="0" w:type="dxa"/>
              <w:left w:w="0" w:type="dxa"/>
              <w:bottom w:w="0" w:type="dxa"/>
              <w:right w:w="0" w:type="dxa"/>
            </w:tcMar>
            <w:vAlign w:val="center"/>
          </w:tcPr>
          <w:p w14:paraId="779157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7" w:type="pct"/>
            <w:shd w:val="clear" w:color="auto" w:fill="FFFFFF"/>
            <w:tcMar>
              <w:top w:w="0" w:type="dxa"/>
              <w:left w:w="0" w:type="dxa"/>
              <w:bottom w:w="0" w:type="dxa"/>
              <w:right w:w="0" w:type="dxa"/>
            </w:tcMar>
            <w:vAlign w:val="center"/>
          </w:tcPr>
          <w:p w14:paraId="1DC42F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NR</w:t>
            </w:r>
          </w:p>
        </w:tc>
        <w:tc>
          <w:tcPr>
            <w:tcW w:w="370" w:type="pct"/>
            <w:shd w:val="clear" w:color="auto" w:fill="FFFFFF"/>
            <w:tcMar>
              <w:top w:w="0" w:type="dxa"/>
              <w:left w:w="0" w:type="dxa"/>
              <w:bottom w:w="0" w:type="dxa"/>
              <w:right w:w="0" w:type="dxa"/>
            </w:tcMar>
            <w:vAlign w:val="center"/>
          </w:tcPr>
          <w:p w14:paraId="0A530C4C" w14:textId="0354EE6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ExcludeYear="1"&gt;&lt;Author&gt;El-Matary&lt;/Author&gt;&lt;Year&gt;2012&lt;/Year&gt;&lt;RecNum&gt;204&lt;/RecNum&gt;&lt;DisplayText&gt;&lt;style face="superscript"&gt;379&lt;/style&gt;&lt;/DisplayText&gt;&lt;record&gt;&lt;rec-number&gt;204&lt;/rec-number&gt;&lt;foreign-keys&gt;&lt;key app="EN" db-id="tdwrx9xd1z9eepeevr355w2k959rv0f5zaax" timestamp="1632756132"&gt;204&lt;/key&gt;&lt;/foreign-keys&gt;&lt;ref-type name="Journal Article"&gt;17&lt;/ref-type&gt;&lt;contributors&gt;&lt;authors&gt;&lt;author&gt;El-Matary, W.&lt;/author&gt;&lt;author&gt;Fedorak, R. N.&lt;/author&gt;&lt;author&gt;Senthilselvan, A.&lt;/author&gt;&lt;author&gt;Spady, D.&lt;/author&gt;&lt;/authors&gt;&lt;/contributors&gt;&lt;auth-address&gt;W. El-Matary&lt;/auth-address&gt;&lt;titles&gt;&lt;title&gt;Celiac disease and inflammatory bowel disease in children: Is there a link?&lt;/title&gt;&lt;secondary-title&gt;Gastroenterology&lt;/secondary-title&gt;&lt;tertiary-title&gt;Digestive Diease Week 2012, DDW 2012. San Diego, CA United States.&amp;#xD;(var.pagings).&lt;/tertiary-title&gt;&lt;/titles&gt;&lt;periodical&gt;&lt;full-title&gt;Gastroenterology&lt;/full-title&gt;&lt;/periodical&gt;&lt;pages&gt;S370-S371&lt;/pages&gt;&lt;volume&gt;142&lt;/volume&gt;&lt;number&gt;5 SUPPL. 1&lt;/number&gt;&lt;keywords&gt;&lt;keyword&gt;*celiac disease&lt;/keyword&gt;&lt;keyword&gt;*enteritis&lt;/keyword&gt;&lt;keyword&gt;*child&lt;/keyword&gt;&lt;keyword&gt;*human&lt;/keyword&gt;&lt;keyword&gt;prevalence&lt;/keyword&gt;&lt;keyword&gt;disease activity&lt;/keyword&gt;&lt;keyword&gt;patient&lt;/keyword&gt;&lt;keyword&gt;ulcerative colitis&lt;/keyword&gt;&lt;keyword&gt;cohort analysis&lt;/keyword&gt;&lt;keyword&gt;diseases&lt;/keyword&gt;&lt;keyword&gt;blood level&lt;/keyword&gt;&lt;keyword&gt;multiple linear regression analysis&lt;/keyword&gt;&lt;keyword&gt;hospital&lt;/keyword&gt;&lt;keyword&gt;boy&lt;/keyword&gt;&lt;keyword&gt;male&lt;/keyword&gt;&lt;keyword&gt;arm&lt;/keyword&gt;&lt;keyword&gt;tissues&lt;/keyword&gt;&lt;keyword&gt;immunoglobulin A&lt;/keyword&gt;&lt;keyword&gt;immunoglobulin A antibody&lt;/keyword&gt;&lt;keyword&gt;antibody&lt;/keyword&gt;&lt;keyword&gt;protein glutamine gamma glutamyltransferase&lt;/keyword&gt;&lt;/keywords&gt;&lt;dates&gt;&lt;year&gt;2012&lt;/year&gt;&lt;/dates&gt;&lt;publisher&gt;W.B. Saunders&lt;/publisher&gt;&lt;isbn&gt;0016-5085&lt;/isbn&gt;&lt;urls&gt;&lt;related-urls&gt;&lt;url&gt;http://ovidsp.ovid.com/ovidweb.cgi?T=JS&amp;amp;PAGE=reference&amp;amp;D=emed13&amp;amp;NEWS=N&amp;amp;AN=71106625&lt;/url&gt;&lt;/related-urls&gt;&lt;/urls&gt;&lt;remote-database-name&gt;Embase&lt;/remote-database-name&gt;&lt;language&gt;English&lt;/languag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379</w:t>
            </w:r>
            <w:r w:rsidRPr="00734942">
              <w:rPr>
                <w:rFonts w:ascii="Arial" w:eastAsia="Arial" w:hAnsi="Arial" w:cs="Arial"/>
                <w:color w:val="111111"/>
                <w:sz w:val="18"/>
                <w:szCs w:val="18"/>
              </w:rPr>
              <w:fldChar w:fldCharType="end"/>
            </w:r>
          </w:p>
        </w:tc>
      </w:tr>
      <w:tr w:rsidR="007B756D" w:rsidRPr="00734942" w14:paraId="24C33A38" w14:textId="77777777" w:rsidTr="006658D1">
        <w:trPr>
          <w:cantSplit/>
          <w:jc w:val="center"/>
        </w:trPr>
        <w:tc>
          <w:tcPr>
            <w:tcW w:w="508" w:type="pct"/>
            <w:tcBorders>
              <w:bottom w:val="single" w:sz="16" w:space="0" w:color="000000"/>
            </w:tcBorders>
            <w:shd w:val="clear" w:color="auto" w:fill="FFFFFF"/>
            <w:tcMar>
              <w:top w:w="0" w:type="dxa"/>
              <w:left w:w="0" w:type="dxa"/>
              <w:bottom w:w="0" w:type="dxa"/>
              <w:right w:w="0" w:type="dxa"/>
            </w:tcMar>
            <w:vAlign w:val="center"/>
          </w:tcPr>
          <w:p w14:paraId="666777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712" w:type="pct"/>
            <w:tcBorders>
              <w:bottom w:val="single" w:sz="16" w:space="0" w:color="000000"/>
            </w:tcBorders>
            <w:shd w:val="clear" w:color="auto" w:fill="FFFFFF"/>
            <w:tcMar>
              <w:top w:w="0" w:type="dxa"/>
              <w:left w:w="0" w:type="dxa"/>
              <w:bottom w:w="0" w:type="dxa"/>
              <w:right w:w="0" w:type="dxa"/>
            </w:tcMar>
            <w:vAlign w:val="center"/>
          </w:tcPr>
          <w:p w14:paraId="2A6E1A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10" w:type="pct"/>
            <w:tcBorders>
              <w:bottom w:val="single" w:sz="16" w:space="0" w:color="000000"/>
            </w:tcBorders>
            <w:shd w:val="clear" w:color="auto" w:fill="FFFFFF"/>
            <w:tcMar>
              <w:top w:w="0" w:type="dxa"/>
              <w:left w:w="0" w:type="dxa"/>
              <w:bottom w:w="0" w:type="dxa"/>
              <w:right w:w="0" w:type="dxa"/>
            </w:tcMar>
            <w:vAlign w:val="center"/>
          </w:tcPr>
          <w:p w14:paraId="5CF4AF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Ulcerative colitis</w:t>
            </w:r>
          </w:p>
        </w:tc>
        <w:tc>
          <w:tcPr>
            <w:tcW w:w="406" w:type="pct"/>
            <w:tcBorders>
              <w:bottom w:val="single" w:sz="16" w:space="0" w:color="000000"/>
            </w:tcBorders>
            <w:shd w:val="clear" w:color="auto" w:fill="FFFFFF"/>
            <w:tcMar>
              <w:top w:w="0" w:type="dxa"/>
              <w:left w:w="0" w:type="dxa"/>
              <w:bottom w:w="0" w:type="dxa"/>
              <w:right w:w="0" w:type="dxa"/>
            </w:tcMar>
            <w:vAlign w:val="center"/>
          </w:tcPr>
          <w:p w14:paraId="31EE673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86</w:t>
            </w:r>
          </w:p>
        </w:tc>
        <w:tc>
          <w:tcPr>
            <w:tcW w:w="509" w:type="pct"/>
            <w:tcBorders>
              <w:bottom w:val="single" w:sz="16" w:space="0" w:color="000000"/>
            </w:tcBorders>
            <w:shd w:val="clear" w:color="auto" w:fill="FFFFFF"/>
            <w:tcMar>
              <w:top w:w="0" w:type="dxa"/>
              <w:left w:w="0" w:type="dxa"/>
              <w:bottom w:w="0" w:type="dxa"/>
              <w:right w:w="0" w:type="dxa"/>
            </w:tcMar>
            <w:vAlign w:val="center"/>
          </w:tcPr>
          <w:p w14:paraId="21F9881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59" w:type="pct"/>
            <w:tcBorders>
              <w:bottom w:val="single" w:sz="16" w:space="0" w:color="000000"/>
            </w:tcBorders>
            <w:shd w:val="clear" w:color="auto" w:fill="FFFFFF"/>
            <w:tcMar>
              <w:top w:w="0" w:type="dxa"/>
              <w:left w:w="0" w:type="dxa"/>
              <w:bottom w:w="0" w:type="dxa"/>
              <w:right w:w="0" w:type="dxa"/>
            </w:tcMar>
            <w:vAlign w:val="center"/>
          </w:tcPr>
          <w:p w14:paraId="7CE774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0" w:type="pct"/>
            <w:tcBorders>
              <w:bottom w:val="single" w:sz="16" w:space="0" w:color="000000"/>
            </w:tcBorders>
            <w:shd w:val="clear" w:color="auto" w:fill="FFFFFF"/>
            <w:tcMar>
              <w:top w:w="0" w:type="dxa"/>
              <w:left w:w="0" w:type="dxa"/>
              <w:bottom w:w="0" w:type="dxa"/>
              <w:right w:w="0" w:type="dxa"/>
            </w:tcMar>
            <w:vAlign w:val="center"/>
          </w:tcPr>
          <w:p w14:paraId="567447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380" w:type="pct"/>
            <w:tcBorders>
              <w:bottom w:val="single" w:sz="16" w:space="0" w:color="000000"/>
            </w:tcBorders>
            <w:shd w:val="clear" w:color="auto" w:fill="FFFFFF"/>
            <w:tcMar>
              <w:top w:w="0" w:type="dxa"/>
              <w:left w:w="0" w:type="dxa"/>
              <w:bottom w:w="0" w:type="dxa"/>
              <w:right w:w="0" w:type="dxa"/>
            </w:tcMar>
            <w:vAlign w:val="center"/>
          </w:tcPr>
          <w:p w14:paraId="45EB93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7" w:type="pct"/>
            <w:tcBorders>
              <w:bottom w:val="single" w:sz="16" w:space="0" w:color="000000"/>
            </w:tcBorders>
            <w:shd w:val="clear" w:color="auto" w:fill="FFFFFF"/>
            <w:tcMar>
              <w:top w:w="0" w:type="dxa"/>
              <w:left w:w="0" w:type="dxa"/>
              <w:bottom w:w="0" w:type="dxa"/>
              <w:right w:w="0" w:type="dxa"/>
            </w:tcMar>
            <w:vAlign w:val="center"/>
          </w:tcPr>
          <w:p w14:paraId="797F89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Estonia</w:t>
            </w:r>
          </w:p>
        </w:tc>
        <w:tc>
          <w:tcPr>
            <w:tcW w:w="370" w:type="pct"/>
            <w:tcBorders>
              <w:bottom w:val="single" w:sz="16" w:space="0" w:color="000000"/>
            </w:tcBorders>
            <w:shd w:val="clear" w:color="auto" w:fill="FFFFFF"/>
            <w:tcMar>
              <w:top w:w="0" w:type="dxa"/>
              <w:left w:w="0" w:type="dxa"/>
              <w:bottom w:w="0" w:type="dxa"/>
              <w:right w:w="0" w:type="dxa"/>
            </w:tcMar>
            <w:vAlign w:val="center"/>
          </w:tcPr>
          <w:p w14:paraId="2CC5365C" w14:textId="6D115AC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bGw8L0F1dGhvcj48WWVhcj4xOTk5PC9ZZWFyPjxSZWNOdW0+MjA1PC9SZWNOdW0+PERpc3BsYXlU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bGw8L0F1dGhvcj48WWVhcj4xOTk5PC9ZZWFyPjxSZWNOdW0+MjA1PC9SZWNOdW0+PERpc3BsYXlU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380</w:t>
            </w:r>
            <w:r w:rsidRPr="00734942">
              <w:rPr>
                <w:rFonts w:ascii="Arial" w:eastAsia="Arial" w:hAnsi="Arial" w:cs="Arial"/>
                <w:color w:val="111111"/>
                <w:sz w:val="18"/>
                <w:szCs w:val="18"/>
              </w:rPr>
              <w:fldChar w:fldCharType="end"/>
            </w:r>
          </w:p>
        </w:tc>
      </w:tr>
    </w:tbl>
    <w:p w14:paraId="709D452A" w14:textId="77777777" w:rsidR="007B756D" w:rsidRPr="00734942" w:rsidRDefault="007B756D" w:rsidP="007B756D"/>
    <w:p w14:paraId="3F98EEF3" w14:textId="0CA6DFFA" w:rsidR="00DA0CBC" w:rsidRDefault="00DA0CBC" w:rsidP="000526F1">
      <w:pPr>
        <w:pStyle w:val="Caption"/>
      </w:pPr>
      <w:bookmarkStart w:id="377" w:name="_Toc99720749"/>
      <w:r>
        <w:t xml:space="preserve">Table </w:t>
      </w:r>
      <w:r w:rsidR="00C34531">
        <w:fldChar w:fldCharType="begin"/>
      </w:r>
      <w:r w:rsidR="00C34531">
        <w:instrText xml:space="preserve"> SEQ Table \* ARABIC </w:instrText>
      </w:r>
      <w:r w:rsidR="00C34531">
        <w:fldChar w:fldCharType="separate"/>
      </w:r>
      <w:r w:rsidR="008B5583">
        <w:rPr>
          <w:noProof/>
        </w:rPr>
        <w:t>38</w:t>
      </w:r>
      <w:r w:rsidR="00C34531">
        <w:rPr>
          <w:noProof/>
        </w:rPr>
        <w:fldChar w:fldCharType="end"/>
      </w:r>
      <w:r>
        <w:t xml:space="preserve">  </w:t>
      </w:r>
      <w:r w:rsidRPr="00282CD1">
        <w:t>Study characteristics: irritable bowel syndrome</w:t>
      </w:r>
      <w:bookmarkEnd w:id="377"/>
    </w:p>
    <w:tbl>
      <w:tblPr>
        <w:tblW w:w="5000" w:type="pct"/>
        <w:jc w:val="center"/>
        <w:tblLook w:val="0420" w:firstRow="1" w:lastRow="0" w:firstColumn="0" w:lastColumn="0" w:noHBand="0" w:noVBand="1"/>
      </w:tblPr>
      <w:tblGrid>
        <w:gridCol w:w="1417"/>
        <w:gridCol w:w="1266"/>
        <w:gridCol w:w="1411"/>
        <w:gridCol w:w="1008"/>
        <w:gridCol w:w="1561"/>
        <w:gridCol w:w="2373"/>
        <w:gridCol w:w="1898"/>
        <w:gridCol w:w="1111"/>
        <w:gridCol w:w="882"/>
        <w:gridCol w:w="1031"/>
      </w:tblGrid>
      <w:tr w:rsidR="007B756D" w:rsidRPr="00734942" w14:paraId="7DC9D547" w14:textId="77777777" w:rsidTr="006658D1">
        <w:trPr>
          <w:cantSplit/>
          <w:tblHeader/>
          <w:jc w:val="center"/>
        </w:trPr>
        <w:tc>
          <w:tcPr>
            <w:tcW w:w="50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5D256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5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1506C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50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56799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6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2778D7F"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55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F7C44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85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D6EB4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AFDA4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F94C81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9CCAAC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BBFF2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2C1CFDD4" w14:textId="77777777" w:rsidTr="006658D1">
        <w:trPr>
          <w:cantSplit/>
          <w:jc w:val="center"/>
        </w:trPr>
        <w:tc>
          <w:tcPr>
            <w:tcW w:w="508" w:type="pct"/>
            <w:shd w:val="clear" w:color="auto" w:fill="FFFFFF"/>
            <w:tcMar>
              <w:top w:w="0" w:type="dxa"/>
              <w:left w:w="0" w:type="dxa"/>
              <w:bottom w:w="0" w:type="dxa"/>
              <w:right w:w="0" w:type="dxa"/>
            </w:tcMar>
            <w:vAlign w:val="center"/>
          </w:tcPr>
          <w:p w14:paraId="430809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266F53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17F29E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51C9E9C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233</w:t>
            </w:r>
          </w:p>
        </w:tc>
        <w:tc>
          <w:tcPr>
            <w:tcW w:w="559" w:type="pct"/>
            <w:shd w:val="clear" w:color="auto" w:fill="FFFFFF"/>
            <w:tcMar>
              <w:top w:w="0" w:type="dxa"/>
              <w:left w:w="0" w:type="dxa"/>
              <w:bottom w:w="0" w:type="dxa"/>
              <w:right w:w="0" w:type="dxa"/>
            </w:tcMar>
            <w:vAlign w:val="center"/>
          </w:tcPr>
          <w:p w14:paraId="4A19AAD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850" w:type="pct"/>
            <w:shd w:val="clear" w:color="auto" w:fill="FFFFFF"/>
            <w:tcMar>
              <w:top w:w="0" w:type="dxa"/>
              <w:left w:w="0" w:type="dxa"/>
              <w:bottom w:w="0" w:type="dxa"/>
              <w:right w:w="0" w:type="dxa"/>
            </w:tcMar>
            <w:vAlign w:val="center"/>
          </w:tcPr>
          <w:p w14:paraId="55BCD5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486A7F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389E2F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278A69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04041818" w14:textId="639E10C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PEVuZE5vdGU+PENpdGUgRXhjbHVkZUF1dGg9IjEiIEV4Y2x1ZGVZZWFyPSIxIj48QXV0aG9yPk1l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PEVuZE5vdGU+PENpdGUgRXhjbHVkZUF1dGg9IjEiIEV4Y2x1ZGVZZWFyPSIxIj48QXV0aG9yPk1l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381</w:t>
            </w:r>
            <w:r w:rsidRPr="00734942">
              <w:rPr>
                <w:rFonts w:ascii="Arial" w:eastAsia="Arial" w:hAnsi="Arial" w:cs="Arial"/>
                <w:color w:val="111111"/>
                <w:sz w:val="18"/>
                <w:szCs w:val="18"/>
              </w:rPr>
              <w:fldChar w:fldCharType="end"/>
            </w:r>
          </w:p>
        </w:tc>
      </w:tr>
      <w:tr w:rsidR="007B756D" w:rsidRPr="00734942" w14:paraId="00521E84" w14:textId="77777777" w:rsidTr="006658D1">
        <w:trPr>
          <w:cantSplit/>
          <w:jc w:val="center"/>
        </w:trPr>
        <w:tc>
          <w:tcPr>
            <w:tcW w:w="508" w:type="pct"/>
            <w:shd w:val="clear" w:color="auto" w:fill="FFFFFF"/>
            <w:tcMar>
              <w:top w:w="0" w:type="dxa"/>
              <w:left w:w="0" w:type="dxa"/>
              <w:bottom w:w="0" w:type="dxa"/>
              <w:right w:w="0" w:type="dxa"/>
            </w:tcMar>
            <w:vAlign w:val="center"/>
          </w:tcPr>
          <w:p w14:paraId="6F426E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62A299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12E4BF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6C8D572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200</w:t>
            </w:r>
          </w:p>
        </w:tc>
        <w:tc>
          <w:tcPr>
            <w:tcW w:w="559" w:type="pct"/>
            <w:shd w:val="clear" w:color="auto" w:fill="FFFFFF"/>
            <w:tcMar>
              <w:top w:w="0" w:type="dxa"/>
              <w:left w:w="0" w:type="dxa"/>
              <w:bottom w:w="0" w:type="dxa"/>
              <w:right w:w="0" w:type="dxa"/>
            </w:tcMar>
            <w:vAlign w:val="center"/>
          </w:tcPr>
          <w:p w14:paraId="0555584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362744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1B6B68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02A4B4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3BE7C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69" w:type="pct"/>
            <w:shd w:val="clear" w:color="auto" w:fill="FFFFFF"/>
            <w:tcMar>
              <w:top w:w="0" w:type="dxa"/>
              <w:left w:w="0" w:type="dxa"/>
              <w:bottom w:w="0" w:type="dxa"/>
              <w:right w:w="0" w:type="dxa"/>
            </w:tcMar>
            <w:vAlign w:val="center"/>
          </w:tcPr>
          <w:p w14:paraId="3DC9C332" w14:textId="0849120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PEVuZE5vdGU+PENpdGUgRXhjbHVkZUF1dGg9IjEiIEV4Y2x1ZGVZZWFyPSIxIj48QXV0aG9yPlJl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PEVuZE5vdGU+PENpdGUgRXhjbHVkZUF1dGg9IjEiIEV4Y2x1ZGVZZWFyPSIxIj48QXV0aG9yPlJl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382</w:t>
            </w:r>
            <w:r w:rsidRPr="00734942">
              <w:rPr>
                <w:rFonts w:ascii="Arial" w:eastAsia="Arial" w:hAnsi="Arial" w:cs="Arial"/>
                <w:color w:val="111111"/>
                <w:sz w:val="18"/>
                <w:szCs w:val="18"/>
              </w:rPr>
              <w:fldChar w:fldCharType="end"/>
            </w:r>
          </w:p>
        </w:tc>
      </w:tr>
      <w:tr w:rsidR="007B756D" w:rsidRPr="00734942" w14:paraId="02A2150C" w14:textId="77777777" w:rsidTr="006658D1">
        <w:trPr>
          <w:cantSplit/>
          <w:jc w:val="center"/>
        </w:trPr>
        <w:tc>
          <w:tcPr>
            <w:tcW w:w="508" w:type="pct"/>
            <w:shd w:val="clear" w:color="auto" w:fill="FFFFFF"/>
            <w:tcMar>
              <w:top w:w="0" w:type="dxa"/>
              <w:left w:w="0" w:type="dxa"/>
              <w:bottom w:w="0" w:type="dxa"/>
              <w:right w:w="0" w:type="dxa"/>
            </w:tcMar>
            <w:vAlign w:val="center"/>
          </w:tcPr>
          <w:p w14:paraId="69694B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0781508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06FB1E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6AD42E8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1,064</w:t>
            </w:r>
          </w:p>
        </w:tc>
        <w:tc>
          <w:tcPr>
            <w:tcW w:w="559" w:type="pct"/>
            <w:shd w:val="clear" w:color="auto" w:fill="FFFFFF"/>
            <w:tcMar>
              <w:top w:w="0" w:type="dxa"/>
              <w:left w:w="0" w:type="dxa"/>
              <w:bottom w:w="0" w:type="dxa"/>
              <w:right w:w="0" w:type="dxa"/>
            </w:tcMar>
            <w:vAlign w:val="center"/>
          </w:tcPr>
          <w:p w14:paraId="6909076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850" w:type="pct"/>
            <w:shd w:val="clear" w:color="auto" w:fill="FFFFFF"/>
            <w:tcMar>
              <w:top w:w="0" w:type="dxa"/>
              <w:left w:w="0" w:type="dxa"/>
              <w:bottom w:w="0" w:type="dxa"/>
              <w:right w:w="0" w:type="dxa"/>
            </w:tcMar>
            <w:vAlign w:val="center"/>
          </w:tcPr>
          <w:p w14:paraId="1A6D83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765445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19F434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89995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71B6FF0" w14:textId="3283D97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PEVuZE5vdGU+PENpdGUgRXhjbHVkZUF1dGg9IjEiIEV4Y2x1ZGVZZWFyPSIxIj48QXV0aG9yPkFs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PEVuZE5vdGU+PENpdGUgRXhjbHVkZUF1dGg9IjEiIEV4Y2x1ZGVZZWFyPSIxIj48QXV0aG9yPkFs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383</w:t>
            </w:r>
            <w:r w:rsidRPr="00734942">
              <w:rPr>
                <w:rFonts w:ascii="Arial" w:eastAsia="Arial" w:hAnsi="Arial" w:cs="Arial"/>
                <w:color w:val="111111"/>
                <w:sz w:val="18"/>
                <w:szCs w:val="18"/>
              </w:rPr>
              <w:fldChar w:fldCharType="end"/>
            </w:r>
          </w:p>
        </w:tc>
      </w:tr>
      <w:tr w:rsidR="007B756D" w:rsidRPr="00734942" w14:paraId="1A6ED407" w14:textId="77777777" w:rsidTr="006658D1">
        <w:trPr>
          <w:cantSplit/>
          <w:jc w:val="center"/>
        </w:trPr>
        <w:tc>
          <w:tcPr>
            <w:tcW w:w="508" w:type="pct"/>
            <w:shd w:val="clear" w:color="auto" w:fill="FFFFFF"/>
            <w:tcMar>
              <w:top w:w="0" w:type="dxa"/>
              <w:left w:w="0" w:type="dxa"/>
              <w:bottom w:w="0" w:type="dxa"/>
              <w:right w:w="0" w:type="dxa"/>
            </w:tcMar>
            <w:vAlign w:val="center"/>
          </w:tcPr>
          <w:p w14:paraId="1F0E0C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8F247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01A3D63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055CBFF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950</w:t>
            </w:r>
          </w:p>
        </w:tc>
        <w:tc>
          <w:tcPr>
            <w:tcW w:w="559" w:type="pct"/>
            <w:shd w:val="clear" w:color="auto" w:fill="FFFFFF"/>
            <w:tcMar>
              <w:top w:w="0" w:type="dxa"/>
              <w:left w:w="0" w:type="dxa"/>
              <w:bottom w:w="0" w:type="dxa"/>
              <w:right w:w="0" w:type="dxa"/>
            </w:tcMar>
            <w:vAlign w:val="center"/>
          </w:tcPr>
          <w:p w14:paraId="523E0A8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0" w:type="pct"/>
            <w:shd w:val="clear" w:color="auto" w:fill="FFFFFF"/>
            <w:tcMar>
              <w:top w:w="0" w:type="dxa"/>
              <w:left w:w="0" w:type="dxa"/>
              <w:bottom w:w="0" w:type="dxa"/>
              <w:right w:w="0" w:type="dxa"/>
            </w:tcMar>
            <w:vAlign w:val="center"/>
          </w:tcPr>
          <w:p w14:paraId="3125C1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1083D7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2CDCDE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04F5A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6F513BC4" w14:textId="1A06FC6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PEVuZE5vdGU+PENpdGUgRXhjbHVkZUF1dGg9IjEiIEV4Y2x1ZGVZZWFyPSIxIj48QXV0aG9yPkNh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PEVuZE5vdGU+PENpdGUgRXhjbHVkZUF1dGg9IjEiIEV4Y2x1ZGVZZWFyPSIxIj48QXV0aG9yPkNh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384</w:t>
            </w:r>
            <w:r w:rsidRPr="00734942">
              <w:rPr>
                <w:rFonts w:ascii="Arial" w:eastAsia="Arial" w:hAnsi="Arial" w:cs="Arial"/>
                <w:color w:val="111111"/>
                <w:sz w:val="18"/>
                <w:szCs w:val="18"/>
              </w:rPr>
              <w:fldChar w:fldCharType="end"/>
            </w:r>
          </w:p>
        </w:tc>
      </w:tr>
      <w:tr w:rsidR="007B756D" w:rsidRPr="00734942" w14:paraId="086C6B7A" w14:textId="77777777" w:rsidTr="006658D1">
        <w:trPr>
          <w:cantSplit/>
          <w:jc w:val="center"/>
        </w:trPr>
        <w:tc>
          <w:tcPr>
            <w:tcW w:w="508" w:type="pct"/>
            <w:shd w:val="clear" w:color="auto" w:fill="FFFFFF"/>
            <w:tcMar>
              <w:top w:w="0" w:type="dxa"/>
              <w:left w:w="0" w:type="dxa"/>
              <w:bottom w:w="0" w:type="dxa"/>
              <w:right w:w="0" w:type="dxa"/>
            </w:tcMar>
            <w:vAlign w:val="center"/>
          </w:tcPr>
          <w:p w14:paraId="28C8D3E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3B762A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3F38D6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028E62B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68</w:t>
            </w:r>
          </w:p>
        </w:tc>
        <w:tc>
          <w:tcPr>
            <w:tcW w:w="559" w:type="pct"/>
            <w:shd w:val="clear" w:color="auto" w:fill="FFFFFF"/>
            <w:tcMar>
              <w:top w:w="0" w:type="dxa"/>
              <w:left w:w="0" w:type="dxa"/>
              <w:bottom w:w="0" w:type="dxa"/>
              <w:right w:w="0" w:type="dxa"/>
            </w:tcMar>
            <w:vAlign w:val="center"/>
          </w:tcPr>
          <w:p w14:paraId="2B6CB40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044281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067A74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22D378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NR</w:t>
            </w:r>
          </w:p>
        </w:tc>
        <w:tc>
          <w:tcPr>
            <w:tcW w:w="316" w:type="pct"/>
            <w:shd w:val="clear" w:color="auto" w:fill="FFFFFF"/>
            <w:tcMar>
              <w:top w:w="0" w:type="dxa"/>
              <w:left w:w="0" w:type="dxa"/>
              <w:bottom w:w="0" w:type="dxa"/>
              <w:right w:w="0" w:type="dxa"/>
            </w:tcMar>
            <w:vAlign w:val="center"/>
          </w:tcPr>
          <w:p w14:paraId="25CE8D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69" w:type="pct"/>
            <w:shd w:val="clear" w:color="auto" w:fill="FFFFFF"/>
            <w:tcMar>
              <w:top w:w="0" w:type="dxa"/>
              <w:left w:w="0" w:type="dxa"/>
              <w:bottom w:w="0" w:type="dxa"/>
              <w:right w:w="0" w:type="dxa"/>
            </w:tcMar>
            <w:vAlign w:val="center"/>
          </w:tcPr>
          <w:p w14:paraId="00098628" w14:textId="6B65491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PEVuZE5vdGU+PENpdGUgRXhjbHVkZUF1dGg9IjEiIEV4Y2x1ZGVZZWFyPSIxIj48QXV0aG9yPkRv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PEVuZE5vdGU+PENpdGUgRXhjbHVkZUF1dGg9IjEiIEV4Y2x1ZGVZZWFyPSIxIj48QXV0aG9yPkRv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385</w:t>
            </w:r>
            <w:r w:rsidRPr="00734942">
              <w:rPr>
                <w:rFonts w:ascii="Arial" w:eastAsia="Arial" w:hAnsi="Arial" w:cs="Arial"/>
                <w:color w:val="111111"/>
                <w:sz w:val="18"/>
                <w:szCs w:val="18"/>
              </w:rPr>
              <w:fldChar w:fldCharType="end"/>
            </w:r>
          </w:p>
        </w:tc>
      </w:tr>
      <w:tr w:rsidR="007B756D" w:rsidRPr="00734942" w14:paraId="31D04BC8" w14:textId="77777777" w:rsidTr="006658D1">
        <w:trPr>
          <w:cantSplit/>
          <w:jc w:val="center"/>
        </w:trPr>
        <w:tc>
          <w:tcPr>
            <w:tcW w:w="508" w:type="pct"/>
            <w:shd w:val="clear" w:color="auto" w:fill="FFFFFF"/>
            <w:tcMar>
              <w:top w:w="0" w:type="dxa"/>
              <w:left w:w="0" w:type="dxa"/>
              <w:bottom w:w="0" w:type="dxa"/>
              <w:right w:w="0" w:type="dxa"/>
            </w:tcMar>
            <w:vAlign w:val="center"/>
          </w:tcPr>
          <w:p w14:paraId="4263CA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Adults</w:t>
            </w:r>
          </w:p>
        </w:tc>
        <w:tc>
          <w:tcPr>
            <w:tcW w:w="454" w:type="pct"/>
            <w:shd w:val="clear" w:color="auto" w:fill="FFFFFF"/>
            <w:tcMar>
              <w:top w:w="0" w:type="dxa"/>
              <w:left w:w="0" w:type="dxa"/>
              <w:bottom w:w="0" w:type="dxa"/>
              <w:right w:w="0" w:type="dxa"/>
            </w:tcMar>
            <w:vAlign w:val="center"/>
          </w:tcPr>
          <w:p w14:paraId="0960BF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5F9A7B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4470606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492</w:t>
            </w:r>
          </w:p>
        </w:tc>
        <w:tc>
          <w:tcPr>
            <w:tcW w:w="559" w:type="pct"/>
            <w:shd w:val="clear" w:color="auto" w:fill="FFFFFF"/>
            <w:tcMar>
              <w:top w:w="0" w:type="dxa"/>
              <w:left w:w="0" w:type="dxa"/>
              <w:bottom w:w="0" w:type="dxa"/>
              <w:right w:w="0" w:type="dxa"/>
            </w:tcMar>
            <w:vAlign w:val="center"/>
          </w:tcPr>
          <w:p w14:paraId="262ECA0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6C091F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Controls who underwent colonoscopy examination for colorectal cancer (CRC) screening or polyp  surveillance.</w:t>
            </w:r>
          </w:p>
        </w:tc>
        <w:tc>
          <w:tcPr>
            <w:tcW w:w="680" w:type="pct"/>
            <w:shd w:val="clear" w:color="auto" w:fill="FFFFFF"/>
            <w:tcMar>
              <w:top w:w="0" w:type="dxa"/>
              <w:left w:w="0" w:type="dxa"/>
              <w:bottom w:w="0" w:type="dxa"/>
              <w:right w:w="0" w:type="dxa"/>
            </w:tcMar>
            <w:vAlign w:val="center"/>
          </w:tcPr>
          <w:p w14:paraId="34F7F0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26D868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572705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69" w:type="pct"/>
            <w:shd w:val="clear" w:color="auto" w:fill="FFFFFF"/>
            <w:tcMar>
              <w:top w:w="0" w:type="dxa"/>
              <w:left w:w="0" w:type="dxa"/>
              <w:bottom w:w="0" w:type="dxa"/>
              <w:right w:w="0" w:type="dxa"/>
            </w:tcMar>
            <w:vAlign w:val="center"/>
          </w:tcPr>
          <w:p w14:paraId="0F0444CE" w14:textId="69AFA8A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PEVuZE5vdGU+PENpdGUgRXhjbHVkZUF1dGg9IjEiIEV4Y2x1ZGVZZWFyPSIxIj48QXV0aG9yPktv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=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PEVuZE5vdGU+PENpdGUgRXhjbHVkZUF1dGg9IjEiIEV4Y2x1ZGVZZWFyPSIxIj48QXV0aG9yPktv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=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386</w:t>
            </w:r>
            <w:r w:rsidRPr="00734942">
              <w:rPr>
                <w:rFonts w:ascii="Arial" w:eastAsia="Arial" w:hAnsi="Arial" w:cs="Arial"/>
                <w:color w:val="111111"/>
                <w:sz w:val="18"/>
                <w:szCs w:val="18"/>
              </w:rPr>
              <w:fldChar w:fldCharType="end"/>
            </w:r>
          </w:p>
        </w:tc>
      </w:tr>
      <w:tr w:rsidR="007B756D" w:rsidRPr="00734942" w14:paraId="2A9CA00F" w14:textId="77777777" w:rsidTr="006658D1">
        <w:trPr>
          <w:cantSplit/>
          <w:jc w:val="center"/>
        </w:trPr>
        <w:tc>
          <w:tcPr>
            <w:tcW w:w="508" w:type="pct"/>
            <w:shd w:val="clear" w:color="auto" w:fill="FFFFFF"/>
            <w:tcMar>
              <w:top w:w="0" w:type="dxa"/>
              <w:left w:w="0" w:type="dxa"/>
              <w:bottom w:w="0" w:type="dxa"/>
              <w:right w:w="0" w:type="dxa"/>
            </w:tcMar>
            <w:vAlign w:val="center"/>
          </w:tcPr>
          <w:p w14:paraId="1EF813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2E0903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2ADFF9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6D854FF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1,121</w:t>
            </w:r>
          </w:p>
        </w:tc>
        <w:tc>
          <w:tcPr>
            <w:tcW w:w="559" w:type="pct"/>
            <w:shd w:val="clear" w:color="auto" w:fill="FFFFFF"/>
            <w:tcMar>
              <w:top w:w="0" w:type="dxa"/>
              <w:left w:w="0" w:type="dxa"/>
              <w:bottom w:w="0" w:type="dxa"/>
              <w:right w:w="0" w:type="dxa"/>
            </w:tcMar>
            <w:vAlign w:val="center"/>
          </w:tcPr>
          <w:p w14:paraId="2E58E13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850" w:type="pct"/>
            <w:shd w:val="clear" w:color="auto" w:fill="FFFFFF"/>
            <w:tcMar>
              <w:top w:w="0" w:type="dxa"/>
              <w:left w:w="0" w:type="dxa"/>
              <w:bottom w:w="0" w:type="dxa"/>
              <w:right w:w="0" w:type="dxa"/>
            </w:tcMar>
            <w:vAlign w:val="center"/>
          </w:tcPr>
          <w:p w14:paraId="22C5B1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1533D1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7FEE6D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8F9C8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21934A78" w14:textId="179E3AD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ExcludeYear="1"&gt;&lt;Author&gt;Saito-Loftus&lt;/Author&gt;&lt;Year&gt;2008&lt;/Year&gt;&lt;RecNum&gt;212&lt;/RecNum&gt;&lt;DisplayText&gt;&lt;style face="superscript"&gt;387&lt;/style&gt;&lt;/DisplayText&gt;&lt;record&gt;&lt;rec-number&gt;212&lt;/rec-number&gt;&lt;foreign-keys&gt;&lt;key app="EN" db-id="tdwrx9xd1z9eepeevr355w2k959rv0f5zaax" timestamp="1632756133"&gt;212&lt;/key&gt;&lt;/foreign-keys&gt;&lt;ref-type name="Journal Article"&gt;17&lt;/ref-type&gt;&lt;contributors&gt;&lt;authors&gt;&lt;author&gt;Saito-Loftus, Y.&lt;/author&gt;&lt;author&gt;Brantner, T.&lt;/author&gt;&lt;author&gt;Zimmerman, J.&lt;/author&gt;&lt;author&gt;Talley, N.&lt;/author&gt;&lt;author&gt;Murray, J.&lt;/author&gt;&lt;/authors&gt;&lt;/contributors&gt;&lt;titles&gt;&lt;title&gt;The prevalence of positive serologic tests for celiac sprue does not differ between irritable bowel syndrome (IBS) patients compared with controls&lt;/title&gt;&lt;secondary-title&gt;American Journal of Gastroenterology&lt;/secondary-title&gt;&lt;/titles&gt;&lt;periodical&gt;&lt;full-title&gt;American Journal of Gastroenterology&lt;/full-title&gt;&lt;/periodical&gt;&lt;pages&gt;S472-S472&lt;/pages&gt;&lt;volume&gt;103&lt;/volume&gt;&lt;dates&gt;&lt;year&gt;2008&lt;/year&gt;&lt;pub-dates&gt;&lt;date&gt;Sep&lt;/date&gt;&lt;/pub-dates&gt;&lt;/dates&gt;&lt;isbn&gt;0002-9270&lt;/isbn&gt;&lt;accession-num&gt;WOS:000259145201197&lt;/accession-num&gt;&lt;urls&gt;&lt;related-urls&gt;&lt;url&gt;&amp;lt;Go to ISI&amp;gt;://WOS:000259145201197&lt;/url&gt;&lt;/related-urls&gt;&lt;/urls&gt;&lt;remote-database-name&gt;Web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387</w:t>
            </w:r>
            <w:r w:rsidRPr="00734942">
              <w:rPr>
                <w:rFonts w:ascii="Arial" w:eastAsia="Arial" w:hAnsi="Arial" w:cs="Arial"/>
                <w:color w:val="111111"/>
                <w:sz w:val="18"/>
                <w:szCs w:val="18"/>
              </w:rPr>
              <w:fldChar w:fldCharType="end"/>
            </w:r>
          </w:p>
        </w:tc>
      </w:tr>
      <w:tr w:rsidR="007B756D" w:rsidRPr="00734942" w14:paraId="58E78B77" w14:textId="77777777" w:rsidTr="006658D1">
        <w:trPr>
          <w:cantSplit/>
          <w:jc w:val="center"/>
        </w:trPr>
        <w:tc>
          <w:tcPr>
            <w:tcW w:w="508" w:type="pct"/>
            <w:shd w:val="clear" w:color="auto" w:fill="FFFFFF"/>
            <w:tcMar>
              <w:top w:w="0" w:type="dxa"/>
              <w:left w:w="0" w:type="dxa"/>
              <w:bottom w:w="0" w:type="dxa"/>
              <w:right w:w="0" w:type="dxa"/>
            </w:tcMar>
            <w:vAlign w:val="center"/>
          </w:tcPr>
          <w:p w14:paraId="55B517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1F4D78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7A06C9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716D3E3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559" w:type="pct"/>
            <w:shd w:val="clear" w:color="auto" w:fill="FFFFFF"/>
            <w:tcMar>
              <w:top w:w="0" w:type="dxa"/>
              <w:left w:w="0" w:type="dxa"/>
              <w:bottom w:w="0" w:type="dxa"/>
              <w:right w:w="0" w:type="dxa"/>
            </w:tcMar>
            <w:vAlign w:val="center"/>
          </w:tcPr>
          <w:p w14:paraId="06F7C00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850" w:type="pct"/>
            <w:shd w:val="clear" w:color="auto" w:fill="FFFFFF"/>
            <w:tcMar>
              <w:top w:w="0" w:type="dxa"/>
              <w:left w:w="0" w:type="dxa"/>
              <w:bottom w:w="0" w:type="dxa"/>
              <w:right w:w="0" w:type="dxa"/>
            </w:tcMar>
            <w:vAlign w:val="center"/>
          </w:tcPr>
          <w:p w14:paraId="698ED1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271504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6C5172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B9EC1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Mexico</w:t>
            </w:r>
          </w:p>
        </w:tc>
        <w:tc>
          <w:tcPr>
            <w:tcW w:w="369" w:type="pct"/>
            <w:shd w:val="clear" w:color="auto" w:fill="FFFFFF"/>
            <w:tcMar>
              <w:top w:w="0" w:type="dxa"/>
              <w:left w:w="0" w:type="dxa"/>
              <w:bottom w:w="0" w:type="dxa"/>
              <w:right w:w="0" w:type="dxa"/>
            </w:tcMar>
            <w:vAlign w:val="center"/>
          </w:tcPr>
          <w:p w14:paraId="646384B9" w14:textId="365921B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bmNoZXotVmFyZ2FzPC9BdXRob3I+PFllYXI+MjAxNjwvWWVhcj48UmVjTnVtPjIxMzwvUmVjTnVt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bmNoZXotVmFyZ2FzPC9BdXRob3I+PFllYXI+MjAxNjwvWWVhcj48UmVjTnVtPjIxMzwvUmVjTnVt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388</w:t>
            </w:r>
            <w:r w:rsidRPr="00734942">
              <w:rPr>
                <w:rFonts w:ascii="Arial" w:eastAsia="Arial" w:hAnsi="Arial" w:cs="Arial"/>
                <w:color w:val="111111"/>
                <w:sz w:val="18"/>
                <w:szCs w:val="18"/>
              </w:rPr>
              <w:fldChar w:fldCharType="end"/>
            </w:r>
          </w:p>
        </w:tc>
      </w:tr>
      <w:tr w:rsidR="007B756D" w:rsidRPr="00734942" w14:paraId="0763CCF3" w14:textId="77777777" w:rsidTr="006658D1">
        <w:trPr>
          <w:cantSplit/>
          <w:jc w:val="center"/>
        </w:trPr>
        <w:tc>
          <w:tcPr>
            <w:tcW w:w="508" w:type="pct"/>
            <w:shd w:val="clear" w:color="auto" w:fill="FFFFFF"/>
            <w:tcMar>
              <w:top w:w="0" w:type="dxa"/>
              <w:left w:w="0" w:type="dxa"/>
              <w:bottom w:w="0" w:type="dxa"/>
              <w:right w:w="0" w:type="dxa"/>
            </w:tcMar>
            <w:vAlign w:val="center"/>
          </w:tcPr>
          <w:p w14:paraId="45DE41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A7FD8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15AEBA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6B41065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600</w:t>
            </w:r>
          </w:p>
        </w:tc>
        <w:tc>
          <w:tcPr>
            <w:tcW w:w="559" w:type="pct"/>
            <w:shd w:val="clear" w:color="auto" w:fill="FFFFFF"/>
            <w:tcMar>
              <w:top w:w="0" w:type="dxa"/>
              <w:left w:w="0" w:type="dxa"/>
              <w:bottom w:w="0" w:type="dxa"/>
              <w:right w:w="0" w:type="dxa"/>
            </w:tcMar>
            <w:vAlign w:val="center"/>
          </w:tcPr>
          <w:p w14:paraId="389D167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7D73AB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5989DF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195B74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48B28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49A2D8CB" w14:textId="735A826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bmRlcnM8L0F1dGhvcj48WWVhcj4yMDAxPC9ZZWFyPjxSZWNOdW0+MjE0PC9SZWNOdW0+PERpc3Bs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bmRlcnM8L0F1dGhvcj48WWVhcj4yMDAxPC9ZZWFyPjxSZWNOdW0+MjE0PC9SZWNOdW0+PERpc3Bs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389</w:t>
            </w:r>
            <w:r w:rsidRPr="00734942">
              <w:rPr>
                <w:rFonts w:ascii="Arial" w:eastAsia="Arial" w:hAnsi="Arial" w:cs="Arial"/>
                <w:color w:val="111111"/>
                <w:sz w:val="18"/>
                <w:szCs w:val="18"/>
              </w:rPr>
              <w:fldChar w:fldCharType="end"/>
            </w:r>
          </w:p>
        </w:tc>
      </w:tr>
      <w:tr w:rsidR="007B756D" w:rsidRPr="00734942" w14:paraId="017FA767" w14:textId="77777777" w:rsidTr="006658D1">
        <w:trPr>
          <w:cantSplit/>
          <w:jc w:val="center"/>
        </w:trPr>
        <w:tc>
          <w:tcPr>
            <w:tcW w:w="508" w:type="pct"/>
            <w:shd w:val="clear" w:color="auto" w:fill="FFFFFF"/>
            <w:tcMar>
              <w:top w:w="0" w:type="dxa"/>
              <w:left w:w="0" w:type="dxa"/>
              <w:bottom w:w="0" w:type="dxa"/>
              <w:right w:w="0" w:type="dxa"/>
            </w:tcMar>
            <w:vAlign w:val="center"/>
          </w:tcPr>
          <w:p w14:paraId="1ABA3A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7568F1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55FB59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2695E6E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678</w:t>
            </w:r>
          </w:p>
        </w:tc>
        <w:tc>
          <w:tcPr>
            <w:tcW w:w="559" w:type="pct"/>
            <w:shd w:val="clear" w:color="auto" w:fill="FFFFFF"/>
            <w:tcMar>
              <w:top w:w="0" w:type="dxa"/>
              <w:left w:w="0" w:type="dxa"/>
              <w:bottom w:w="0" w:type="dxa"/>
              <w:right w:w="0" w:type="dxa"/>
            </w:tcMar>
            <w:vAlign w:val="center"/>
          </w:tcPr>
          <w:p w14:paraId="5FC7149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850" w:type="pct"/>
            <w:shd w:val="clear" w:color="auto" w:fill="FFFFFF"/>
            <w:tcMar>
              <w:top w:w="0" w:type="dxa"/>
              <w:left w:w="0" w:type="dxa"/>
              <w:bottom w:w="0" w:type="dxa"/>
              <w:right w:w="0" w:type="dxa"/>
            </w:tcMar>
            <w:vAlign w:val="center"/>
          </w:tcPr>
          <w:p w14:paraId="736CB5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2C79CE2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57E66B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DC3B7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Mexico</w:t>
            </w:r>
          </w:p>
        </w:tc>
        <w:tc>
          <w:tcPr>
            <w:tcW w:w="369" w:type="pct"/>
            <w:shd w:val="clear" w:color="auto" w:fill="FFFFFF"/>
            <w:tcMar>
              <w:top w:w="0" w:type="dxa"/>
              <w:left w:w="0" w:type="dxa"/>
              <w:bottom w:w="0" w:type="dxa"/>
              <w:right w:w="0" w:type="dxa"/>
            </w:tcMar>
            <w:vAlign w:val="center"/>
          </w:tcPr>
          <w:p w14:paraId="1851498F" w14:textId="032D07A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ExcludeYear="1"&gt;&lt;Author&gt;Vargas&lt;/Author&gt;&lt;Year&gt;2013&lt;/Year&gt;&lt;RecNum&gt;215&lt;/RecNum&gt;&lt;DisplayText&gt;&lt;style face="superscript"&gt;390&lt;/style&gt;&lt;/DisplayText&gt;&lt;record&gt;&lt;rec-number&gt;215&lt;/rec-number&gt;&lt;foreign-keys&gt;&lt;key app="EN" db-id="tdwrx9xd1z9eepeevr355w2k959rv0f5zaax" timestamp="1632756133"&gt;215&lt;/key&gt;&lt;/foreign-keys&gt;&lt;ref-type name="Journal Article"&gt;17&lt;/ref-type&gt;&lt;contributors&gt;&lt;authors&gt;&lt;author&gt;Vargas, L. A. S.&lt;/author&gt;&lt;author&gt;Garces, Mrea&lt;/author&gt;&lt;author&gt;Dupont, P. T.&lt;/author&gt;&lt;author&gt;Meixueiro, A.&lt;/author&gt;&lt;author&gt;Jacome, A. A. A.&lt;/author&gt;&lt;author&gt;Roesch, F. B.&lt;/author&gt;&lt;author&gt;Cid, H. V.&lt;/author&gt;&lt;author&gt;Troche, J. M. R.&lt;/author&gt;&lt;/authors&gt;&lt;/contributors&gt;&lt;titles&gt;&lt;title&gt;Prevalence of Antibodies Related to Celiac Disease (CD) in Patients With Irritable Bowel Syndrome (IBS) According to ROME III Criteria. A Case-Control Study&lt;/title&gt;&lt;secondary-title&gt;Gastroenterology&lt;/secondary-title&gt;&lt;/titles&gt;&lt;periodical&gt;&lt;full-title&gt;Gastroenterology&lt;/full-title&gt;&lt;/periodical&gt;&lt;pages&gt;S252-S252&lt;/pages&gt;&lt;volume&gt;144&lt;/volume&gt;&lt;number&gt;5&lt;/number&gt;&lt;dates&gt;&lt;year&gt;2013&lt;/year&gt;&lt;pub-dates&gt;&lt;date&gt;May&lt;/date&gt;&lt;/pub-dates&gt;&lt;/dates&gt;&lt;isbn&gt;0016-5085&lt;/isbn&gt;&lt;accession-num&gt;WOS:000322997201287&lt;/accession-num&gt;&lt;urls&gt;&lt;related-urls&gt;&lt;url&gt;&amp;lt;Go to ISI&amp;gt;://WOS:000322997201287&lt;/url&gt;&lt;/related-urls&gt;&lt;/urls&gt;&lt;remote-database-name&gt;Web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390</w:t>
            </w:r>
            <w:r w:rsidRPr="00734942">
              <w:rPr>
                <w:rFonts w:ascii="Arial" w:eastAsia="Arial" w:hAnsi="Arial" w:cs="Arial"/>
                <w:color w:val="111111"/>
                <w:sz w:val="18"/>
                <w:szCs w:val="18"/>
              </w:rPr>
              <w:fldChar w:fldCharType="end"/>
            </w:r>
          </w:p>
        </w:tc>
      </w:tr>
      <w:tr w:rsidR="007B756D" w:rsidRPr="00734942" w14:paraId="52D55485" w14:textId="77777777" w:rsidTr="006658D1">
        <w:trPr>
          <w:cantSplit/>
          <w:jc w:val="center"/>
        </w:trPr>
        <w:tc>
          <w:tcPr>
            <w:tcW w:w="508" w:type="pct"/>
            <w:shd w:val="clear" w:color="auto" w:fill="FFFFFF"/>
            <w:tcMar>
              <w:top w:w="0" w:type="dxa"/>
              <w:left w:w="0" w:type="dxa"/>
              <w:bottom w:w="0" w:type="dxa"/>
              <w:right w:w="0" w:type="dxa"/>
            </w:tcMar>
            <w:vAlign w:val="center"/>
          </w:tcPr>
          <w:p w14:paraId="1945D3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26D312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0A67C1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498534A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758</w:t>
            </w:r>
          </w:p>
        </w:tc>
        <w:tc>
          <w:tcPr>
            <w:tcW w:w="559" w:type="pct"/>
            <w:shd w:val="clear" w:color="auto" w:fill="FFFFFF"/>
            <w:tcMar>
              <w:top w:w="0" w:type="dxa"/>
              <w:left w:w="0" w:type="dxa"/>
              <w:bottom w:w="0" w:type="dxa"/>
              <w:right w:w="0" w:type="dxa"/>
            </w:tcMar>
            <w:vAlign w:val="center"/>
          </w:tcPr>
          <w:p w14:paraId="1640F7E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5573B2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5282D2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7FCF65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527311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69" w:type="pct"/>
            <w:shd w:val="clear" w:color="auto" w:fill="FFFFFF"/>
            <w:tcMar>
              <w:top w:w="0" w:type="dxa"/>
              <w:left w:w="0" w:type="dxa"/>
              <w:bottom w:w="0" w:type="dxa"/>
              <w:right w:w="0" w:type="dxa"/>
            </w:tcMar>
            <w:vAlign w:val="center"/>
          </w:tcPr>
          <w:p w14:paraId="23822515" w14:textId="2124014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PEVuZE5vdGU+PENpdGUgRXhjbHVkZUF1dGg9IjEiIEV4Y2x1ZGVZZWFyPSIxIj48QXV0aG9yPldh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PEVuZE5vdGU+PENpdGUgRXhjbHVkZUF1dGg9IjEiIEV4Y2x1ZGVZZWFyPSIxIj48QXV0aG9yPldh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391</w:t>
            </w:r>
            <w:r w:rsidRPr="00734942">
              <w:rPr>
                <w:rFonts w:ascii="Arial" w:eastAsia="Arial" w:hAnsi="Arial" w:cs="Arial"/>
                <w:color w:val="111111"/>
                <w:sz w:val="18"/>
                <w:szCs w:val="18"/>
              </w:rPr>
              <w:fldChar w:fldCharType="end"/>
            </w:r>
          </w:p>
        </w:tc>
      </w:tr>
      <w:tr w:rsidR="007B756D" w:rsidRPr="00734942" w14:paraId="2D40C15B" w14:textId="77777777" w:rsidTr="006658D1">
        <w:trPr>
          <w:cantSplit/>
          <w:jc w:val="center"/>
        </w:trPr>
        <w:tc>
          <w:tcPr>
            <w:tcW w:w="508" w:type="pct"/>
            <w:shd w:val="clear" w:color="auto" w:fill="FFFFFF"/>
            <w:tcMar>
              <w:top w:w="0" w:type="dxa"/>
              <w:left w:w="0" w:type="dxa"/>
              <w:bottom w:w="0" w:type="dxa"/>
              <w:right w:w="0" w:type="dxa"/>
            </w:tcMar>
            <w:vAlign w:val="center"/>
          </w:tcPr>
          <w:p w14:paraId="5D184D8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086229E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505" w:type="pct"/>
            <w:shd w:val="clear" w:color="auto" w:fill="FFFFFF"/>
            <w:tcMar>
              <w:top w:w="0" w:type="dxa"/>
              <w:left w:w="0" w:type="dxa"/>
              <w:bottom w:w="0" w:type="dxa"/>
              <w:right w:w="0" w:type="dxa"/>
            </w:tcMar>
            <w:vAlign w:val="center"/>
          </w:tcPr>
          <w:p w14:paraId="38ED525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037B9C09"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509</w:t>
            </w:r>
          </w:p>
        </w:tc>
        <w:tc>
          <w:tcPr>
            <w:tcW w:w="559" w:type="pct"/>
            <w:shd w:val="clear" w:color="auto" w:fill="FFFFFF"/>
            <w:tcMar>
              <w:top w:w="0" w:type="dxa"/>
              <w:left w:w="0" w:type="dxa"/>
              <w:bottom w:w="0" w:type="dxa"/>
              <w:right w:w="0" w:type="dxa"/>
            </w:tcMar>
            <w:vAlign w:val="center"/>
          </w:tcPr>
          <w:p w14:paraId="381DB7FF"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26-50%</w:t>
            </w:r>
          </w:p>
        </w:tc>
        <w:tc>
          <w:tcPr>
            <w:tcW w:w="850" w:type="pct"/>
            <w:shd w:val="clear" w:color="auto" w:fill="FFFFFF"/>
            <w:tcMar>
              <w:top w:w="0" w:type="dxa"/>
              <w:left w:w="0" w:type="dxa"/>
              <w:bottom w:w="0" w:type="dxa"/>
              <w:right w:w="0" w:type="dxa"/>
            </w:tcMar>
            <w:vAlign w:val="center"/>
          </w:tcPr>
          <w:p w14:paraId="67288A5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19507AE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3F88ED4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30491F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Saudi Arabia</w:t>
            </w:r>
          </w:p>
        </w:tc>
        <w:tc>
          <w:tcPr>
            <w:tcW w:w="369" w:type="pct"/>
            <w:shd w:val="clear" w:color="auto" w:fill="FFFFFF"/>
            <w:tcMar>
              <w:top w:w="0" w:type="dxa"/>
              <w:left w:w="0" w:type="dxa"/>
              <w:bottom w:w="0" w:type="dxa"/>
              <w:right w:w="0" w:type="dxa"/>
            </w:tcMar>
            <w:vAlign w:val="center"/>
          </w:tcPr>
          <w:p w14:paraId="615FA4C3" w14:textId="69DA57AA"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ExcludeYear="1"&gt;&lt;Author&gt;Khayyat&lt;/Author&gt;&lt;Year&gt;2020&lt;/Year&gt;&lt;RecNum&gt;217&lt;/RecNum&gt;&lt;DisplayText&gt;&lt;style face="superscript"&gt;392&lt;/style&gt;&lt;/DisplayText&gt;&lt;record&gt;&lt;rec-number&gt;217&lt;/rec-number&gt;&lt;foreign-keys&gt;&lt;key app="EN" db-id="tdwrx9xd1z9eepeevr355w2k959rv0f5zaax" timestamp="1632756134"&gt;217&lt;/key&gt;&lt;/foreign-keys&gt;&lt;ref-type name="Journal Article"&gt;17&lt;/ref-type&gt;&lt;contributors&gt;&lt;authors&gt;&lt;author&gt;Khayyat, Y. M.&lt;/author&gt;&lt;/authors&gt;&lt;/contributors&gt;&lt;titles&gt;&lt;title&gt;Undiagnosed Celiac Disease In Patients Presenting With Irritable Bowel Syndrome Symptoms&lt;/title&gt;&lt;secondary-title&gt;Journal of Ayub Medical College, Abbottabad: JAMC&lt;/secondary-title&gt;&lt;short-title&gt;Undiagnosed Celiac Disease In Patients Presenting With Irritable Bowel Syndrome Symptoms&lt;/short-title&gt;&lt;/titles&gt;&lt;periodical&gt;&lt;full-title&gt;Journal of Ayub Medical College, Abbottabad: JAMC&lt;/full-title&gt;&lt;/periodical&gt;&lt;pages&gt;18-23&lt;/pages&gt;&lt;volume&gt;32&lt;/volume&gt;&lt;number&gt;1&lt;/number&gt;&lt;keywords&gt;&lt;keyword&gt;Adolescent&lt;/keyword&gt;&lt;keyword&gt;Adult&lt;/keyword&gt;&lt;keyword&gt;Aged&lt;/keyword&gt;&lt;keyword&gt;Case-Control Studies&lt;/keyword&gt;&lt;keyword&gt;Celiac Disease/co [Complications]&lt;/keyword&gt;&lt;keyword&gt;*Celiac Disease/di [Diagnosis]&lt;/keyword&gt;&lt;keyword&gt;*Celiac Disease/ep [Epidemiology]&lt;/keyword&gt;&lt;keyword&gt;Diarrhea&lt;/keyword&gt;&lt;keyword&gt;Female&lt;/keyword&gt;&lt;keyword&gt;GTP-Binding Proteins&lt;/keyword&gt;&lt;keyword&gt;Humans&lt;/keyword&gt;&lt;keyword&gt;Immunoglobulin A/bl [Blood]&lt;/keyword&gt;&lt;keyword&gt;*Irritable Bowel Syndrome/co [Complications]&lt;/keyword&gt;&lt;keyword&gt;*Irritable Bowel Syndrome/di [Diagnosis]&lt;/keyword&gt;&lt;keyword&gt;Male&lt;/keyword&gt;&lt;keyword&gt;Mass Screening&lt;/keyword&gt;&lt;keyword&gt;Middle Aged&lt;/keyword&gt;&lt;keyword&gt;Prevalence&lt;/keyword&gt;&lt;keyword&gt;Surveys and Questionnaires&lt;/keyword&gt;&lt;keyword&gt;Transglutaminases&lt;/keyword&gt;&lt;keyword&gt;Young Adult&lt;/keyword&gt;&lt;keyword&gt;0 (Immunoglobulin A)&lt;/keyword&gt;&lt;/keywords&gt;&lt;dates&gt;&lt;year&gt;2020&lt;/year&gt;&lt;pub-dates&gt;&lt;date&gt;Jan- Mar&lt;/date&gt;&lt;/pub-dates&gt;&lt;/dates&gt;&lt;isbn&gt;1819-2718&lt;/isbn&gt;&lt;accession-num&gt;32468748&lt;/accession-num&gt;&lt;urls&gt;&lt;/urls&gt;&lt;/record&gt;&lt;/Cite&gt;&lt;/EndNote&gt;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392</w:t>
            </w:r>
            <w:r w:rsidRPr="00734942">
              <w:rPr>
                <w:rFonts w:ascii="Arial" w:eastAsia="Arial" w:hAnsi="Arial" w:cs="Arial"/>
                <w:color w:val="111111"/>
                <w:sz w:val="18"/>
                <w:szCs w:val="18"/>
              </w:rPr>
              <w:fldChar w:fldCharType="end"/>
            </w:r>
          </w:p>
        </w:tc>
      </w:tr>
      <w:tr w:rsidR="007B756D" w:rsidRPr="00734942" w14:paraId="2B74C655" w14:textId="77777777" w:rsidTr="006658D1">
        <w:trPr>
          <w:cantSplit/>
          <w:jc w:val="center"/>
        </w:trPr>
        <w:tc>
          <w:tcPr>
            <w:tcW w:w="508" w:type="pct"/>
            <w:shd w:val="clear" w:color="auto" w:fill="FFFFFF"/>
            <w:tcMar>
              <w:top w:w="0" w:type="dxa"/>
              <w:left w:w="0" w:type="dxa"/>
              <w:bottom w:w="0" w:type="dxa"/>
              <w:right w:w="0" w:type="dxa"/>
            </w:tcMar>
            <w:vAlign w:val="center"/>
          </w:tcPr>
          <w:p w14:paraId="28469B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37D59A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5" w:type="pct"/>
            <w:shd w:val="clear" w:color="auto" w:fill="FFFFFF"/>
            <w:tcMar>
              <w:top w:w="0" w:type="dxa"/>
              <w:left w:w="0" w:type="dxa"/>
              <w:bottom w:w="0" w:type="dxa"/>
              <w:right w:w="0" w:type="dxa"/>
            </w:tcMar>
            <w:vAlign w:val="center"/>
          </w:tcPr>
          <w:p w14:paraId="18A2F1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3E1C125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1,200</w:t>
            </w:r>
          </w:p>
        </w:tc>
        <w:tc>
          <w:tcPr>
            <w:tcW w:w="559" w:type="pct"/>
            <w:shd w:val="clear" w:color="auto" w:fill="FFFFFF"/>
            <w:tcMar>
              <w:top w:w="0" w:type="dxa"/>
              <w:left w:w="0" w:type="dxa"/>
              <w:bottom w:w="0" w:type="dxa"/>
              <w:right w:w="0" w:type="dxa"/>
            </w:tcMar>
            <w:vAlign w:val="center"/>
          </w:tcPr>
          <w:p w14:paraId="55F95D1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62.8</w:t>
            </w:r>
          </w:p>
        </w:tc>
        <w:tc>
          <w:tcPr>
            <w:tcW w:w="850" w:type="pct"/>
            <w:shd w:val="clear" w:color="auto" w:fill="FFFFFF"/>
            <w:tcMar>
              <w:top w:w="0" w:type="dxa"/>
              <w:left w:w="0" w:type="dxa"/>
              <w:bottom w:w="0" w:type="dxa"/>
              <w:right w:w="0" w:type="dxa"/>
            </w:tcMar>
            <w:vAlign w:val="center"/>
          </w:tcPr>
          <w:p w14:paraId="5A7422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irritable bowel syndrome</w:t>
            </w:r>
          </w:p>
        </w:tc>
        <w:tc>
          <w:tcPr>
            <w:tcW w:w="680" w:type="pct"/>
            <w:shd w:val="clear" w:color="auto" w:fill="FFFFFF"/>
            <w:tcMar>
              <w:top w:w="0" w:type="dxa"/>
              <w:left w:w="0" w:type="dxa"/>
              <w:bottom w:w="0" w:type="dxa"/>
              <w:right w:w="0" w:type="dxa"/>
            </w:tcMar>
            <w:vAlign w:val="center"/>
          </w:tcPr>
          <w:p w14:paraId="345C73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59D057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16" w:type="pct"/>
            <w:shd w:val="clear" w:color="auto" w:fill="FFFFFF"/>
            <w:tcMar>
              <w:top w:w="0" w:type="dxa"/>
              <w:left w:w="0" w:type="dxa"/>
              <w:bottom w:w="0" w:type="dxa"/>
              <w:right w:w="0" w:type="dxa"/>
            </w:tcMar>
            <w:vAlign w:val="center"/>
          </w:tcPr>
          <w:p w14:paraId="28B0F4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27ACCE58" w14:textId="0EFAD94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bmRlcnM8L0F1dGhvcj48WWVhcj4yMDAzPC9ZZWFyPjxSZWNOdW0+ODQ8L1JlY051bT48RGlzcGxh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bmRlcnM8L0F1dGhvcj48WWVhcj4yMDAzPC9ZZWFyPjxSZWNOdW0+ODQ8L1JlY051bT48RGlzcGxh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321</w:t>
            </w:r>
            <w:r w:rsidRPr="00734942">
              <w:rPr>
                <w:rFonts w:ascii="Arial" w:eastAsia="Arial" w:hAnsi="Arial" w:cs="Arial"/>
                <w:color w:val="111111"/>
                <w:sz w:val="18"/>
                <w:szCs w:val="18"/>
              </w:rPr>
              <w:fldChar w:fldCharType="end"/>
            </w:r>
          </w:p>
        </w:tc>
      </w:tr>
      <w:tr w:rsidR="007B756D" w:rsidRPr="00734942" w14:paraId="6E4870C4" w14:textId="77777777" w:rsidTr="006658D1">
        <w:trPr>
          <w:cantSplit/>
          <w:jc w:val="center"/>
        </w:trPr>
        <w:tc>
          <w:tcPr>
            <w:tcW w:w="508" w:type="pct"/>
            <w:shd w:val="clear" w:color="auto" w:fill="FFFFFF"/>
            <w:tcMar>
              <w:top w:w="0" w:type="dxa"/>
              <w:left w:w="0" w:type="dxa"/>
              <w:bottom w:w="0" w:type="dxa"/>
              <w:right w:w="0" w:type="dxa"/>
            </w:tcMar>
            <w:vAlign w:val="center"/>
          </w:tcPr>
          <w:p w14:paraId="39E985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4EC076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5" w:type="pct"/>
            <w:shd w:val="clear" w:color="auto" w:fill="FFFFFF"/>
            <w:tcMar>
              <w:top w:w="0" w:type="dxa"/>
              <w:left w:w="0" w:type="dxa"/>
              <w:bottom w:w="0" w:type="dxa"/>
              <w:right w:w="0" w:type="dxa"/>
            </w:tcMar>
            <w:vAlign w:val="center"/>
          </w:tcPr>
          <w:p w14:paraId="4891CDB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1C8D463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3,196</w:t>
            </w:r>
          </w:p>
        </w:tc>
        <w:tc>
          <w:tcPr>
            <w:tcW w:w="559" w:type="pct"/>
            <w:shd w:val="clear" w:color="auto" w:fill="FFFFFF"/>
            <w:tcMar>
              <w:top w:w="0" w:type="dxa"/>
              <w:left w:w="0" w:type="dxa"/>
              <w:bottom w:w="0" w:type="dxa"/>
              <w:right w:w="0" w:type="dxa"/>
            </w:tcMar>
            <w:vAlign w:val="center"/>
          </w:tcPr>
          <w:p w14:paraId="72CC4F7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0" w:type="pct"/>
            <w:shd w:val="clear" w:color="auto" w:fill="FFFFFF"/>
            <w:tcMar>
              <w:top w:w="0" w:type="dxa"/>
              <w:left w:w="0" w:type="dxa"/>
              <w:bottom w:w="0" w:type="dxa"/>
              <w:right w:w="0" w:type="dxa"/>
            </w:tcMar>
            <w:vAlign w:val="center"/>
          </w:tcPr>
          <w:p w14:paraId="2310DE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irritable bowel disease</w:t>
            </w:r>
          </w:p>
        </w:tc>
        <w:tc>
          <w:tcPr>
            <w:tcW w:w="680" w:type="pct"/>
            <w:shd w:val="clear" w:color="auto" w:fill="FFFFFF"/>
            <w:tcMar>
              <w:top w:w="0" w:type="dxa"/>
              <w:left w:w="0" w:type="dxa"/>
              <w:bottom w:w="0" w:type="dxa"/>
              <w:right w:w="0" w:type="dxa"/>
            </w:tcMar>
            <w:vAlign w:val="center"/>
          </w:tcPr>
          <w:p w14:paraId="5945C0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63FADA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29925D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6F06ADDA" w14:textId="384180A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7B756D" w:rsidRPr="00734942" w14:paraId="625D08DB" w14:textId="77777777" w:rsidTr="006658D1">
        <w:trPr>
          <w:cantSplit/>
          <w:jc w:val="center"/>
        </w:trPr>
        <w:tc>
          <w:tcPr>
            <w:tcW w:w="508" w:type="pct"/>
            <w:shd w:val="clear" w:color="auto" w:fill="FFFFFF"/>
            <w:tcMar>
              <w:top w:w="0" w:type="dxa"/>
              <w:left w:w="0" w:type="dxa"/>
              <w:bottom w:w="0" w:type="dxa"/>
              <w:right w:w="0" w:type="dxa"/>
            </w:tcMar>
            <w:vAlign w:val="center"/>
          </w:tcPr>
          <w:p w14:paraId="6C1AF0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60904F8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505" w:type="pct"/>
            <w:shd w:val="clear" w:color="auto" w:fill="FFFFFF"/>
            <w:tcMar>
              <w:top w:w="0" w:type="dxa"/>
              <w:left w:w="0" w:type="dxa"/>
              <w:bottom w:w="0" w:type="dxa"/>
              <w:right w:w="0" w:type="dxa"/>
            </w:tcMar>
            <w:vAlign w:val="center"/>
          </w:tcPr>
          <w:p w14:paraId="1B48B6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4F869F4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559" w:type="pct"/>
            <w:shd w:val="clear" w:color="auto" w:fill="FFFFFF"/>
            <w:tcMar>
              <w:top w:w="0" w:type="dxa"/>
              <w:left w:w="0" w:type="dxa"/>
              <w:bottom w:w="0" w:type="dxa"/>
              <w:right w:w="0" w:type="dxa"/>
            </w:tcMar>
            <w:vAlign w:val="center"/>
          </w:tcPr>
          <w:p w14:paraId="7A98876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488F98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IBS</w:t>
            </w:r>
          </w:p>
        </w:tc>
        <w:tc>
          <w:tcPr>
            <w:tcW w:w="680" w:type="pct"/>
            <w:shd w:val="clear" w:color="auto" w:fill="FFFFFF"/>
            <w:tcMar>
              <w:top w:w="0" w:type="dxa"/>
              <w:left w:w="0" w:type="dxa"/>
              <w:bottom w:w="0" w:type="dxa"/>
              <w:right w:w="0" w:type="dxa"/>
            </w:tcMar>
            <w:vAlign w:val="center"/>
          </w:tcPr>
          <w:p w14:paraId="47CF64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7A4F59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16" w:type="pct"/>
            <w:shd w:val="clear" w:color="auto" w:fill="FFFFFF"/>
            <w:tcMar>
              <w:top w:w="0" w:type="dxa"/>
              <w:left w:w="0" w:type="dxa"/>
              <w:bottom w:w="0" w:type="dxa"/>
              <w:right w:w="0" w:type="dxa"/>
            </w:tcMar>
            <w:vAlign w:val="center"/>
          </w:tcPr>
          <w:p w14:paraId="51206C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63F252BD" w14:textId="075FF79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12DA0696" w14:textId="77777777" w:rsidTr="006658D1">
        <w:trPr>
          <w:cantSplit/>
          <w:jc w:val="center"/>
        </w:trPr>
        <w:tc>
          <w:tcPr>
            <w:tcW w:w="508" w:type="pct"/>
            <w:shd w:val="clear" w:color="auto" w:fill="FFFFFF"/>
            <w:tcMar>
              <w:top w:w="0" w:type="dxa"/>
              <w:left w:w="0" w:type="dxa"/>
              <w:bottom w:w="0" w:type="dxa"/>
              <w:right w:w="0" w:type="dxa"/>
            </w:tcMar>
            <w:vAlign w:val="center"/>
          </w:tcPr>
          <w:p w14:paraId="26299E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25B1EE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505" w:type="pct"/>
            <w:shd w:val="clear" w:color="auto" w:fill="FFFFFF"/>
            <w:tcMar>
              <w:top w:w="0" w:type="dxa"/>
              <w:left w:w="0" w:type="dxa"/>
              <w:bottom w:w="0" w:type="dxa"/>
              <w:right w:w="0" w:type="dxa"/>
            </w:tcMar>
            <w:vAlign w:val="center"/>
          </w:tcPr>
          <w:p w14:paraId="361ACD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3D552A9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381</w:t>
            </w:r>
          </w:p>
        </w:tc>
        <w:tc>
          <w:tcPr>
            <w:tcW w:w="559" w:type="pct"/>
            <w:shd w:val="clear" w:color="auto" w:fill="FFFFFF"/>
            <w:tcMar>
              <w:top w:w="0" w:type="dxa"/>
              <w:left w:w="0" w:type="dxa"/>
              <w:bottom w:w="0" w:type="dxa"/>
              <w:right w:w="0" w:type="dxa"/>
            </w:tcMar>
            <w:vAlign w:val="center"/>
          </w:tcPr>
          <w:p w14:paraId="0750319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850" w:type="pct"/>
            <w:shd w:val="clear" w:color="auto" w:fill="FFFFFF"/>
            <w:tcMar>
              <w:top w:w="0" w:type="dxa"/>
              <w:left w:w="0" w:type="dxa"/>
              <w:bottom w:w="0" w:type="dxa"/>
              <w:right w:w="0" w:type="dxa"/>
            </w:tcMar>
            <w:vAlign w:val="center"/>
          </w:tcPr>
          <w:p w14:paraId="2A8B00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irritable bowel syndrome</w:t>
            </w:r>
          </w:p>
        </w:tc>
        <w:tc>
          <w:tcPr>
            <w:tcW w:w="680" w:type="pct"/>
            <w:shd w:val="clear" w:color="auto" w:fill="FFFFFF"/>
            <w:tcMar>
              <w:top w:w="0" w:type="dxa"/>
              <w:left w:w="0" w:type="dxa"/>
              <w:bottom w:w="0" w:type="dxa"/>
              <w:right w:w="0" w:type="dxa"/>
            </w:tcMar>
            <w:vAlign w:val="center"/>
          </w:tcPr>
          <w:p w14:paraId="31A264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3DE5B7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0B961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52E413D7" w14:textId="3979D8E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7B756D" w:rsidRPr="00734942" w14:paraId="5B565C09" w14:textId="77777777" w:rsidTr="006658D1">
        <w:trPr>
          <w:cantSplit/>
          <w:jc w:val="center"/>
        </w:trPr>
        <w:tc>
          <w:tcPr>
            <w:tcW w:w="508" w:type="pct"/>
            <w:shd w:val="clear" w:color="auto" w:fill="FFFFFF"/>
            <w:tcMar>
              <w:top w:w="0" w:type="dxa"/>
              <w:left w:w="0" w:type="dxa"/>
              <w:bottom w:w="0" w:type="dxa"/>
              <w:right w:w="0" w:type="dxa"/>
            </w:tcMar>
            <w:vAlign w:val="center"/>
          </w:tcPr>
          <w:p w14:paraId="513B56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54" w:type="pct"/>
            <w:shd w:val="clear" w:color="auto" w:fill="FFFFFF"/>
            <w:tcMar>
              <w:top w:w="0" w:type="dxa"/>
              <w:left w:w="0" w:type="dxa"/>
              <w:bottom w:w="0" w:type="dxa"/>
              <w:right w:w="0" w:type="dxa"/>
            </w:tcMar>
            <w:vAlign w:val="center"/>
          </w:tcPr>
          <w:p w14:paraId="6C60F4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505" w:type="pct"/>
            <w:shd w:val="clear" w:color="auto" w:fill="FFFFFF"/>
            <w:tcMar>
              <w:top w:w="0" w:type="dxa"/>
              <w:left w:w="0" w:type="dxa"/>
              <w:bottom w:w="0" w:type="dxa"/>
              <w:right w:w="0" w:type="dxa"/>
            </w:tcMar>
            <w:vAlign w:val="center"/>
          </w:tcPr>
          <w:p w14:paraId="5EA32D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Irritable bowel syndrome</w:t>
            </w:r>
          </w:p>
        </w:tc>
        <w:tc>
          <w:tcPr>
            <w:tcW w:w="361" w:type="pct"/>
            <w:shd w:val="clear" w:color="auto" w:fill="FFFFFF"/>
            <w:tcMar>
              <w:top w:w="0" w:type="dxa"/>
              <w:left w:w="0" w:type="dxa"/>
              <w:bottom w:w="0" w:type="dxa"/>
              <w:right w:w="0" w:type="dxa"/>
            </w:tcMar>
            <w:vAlign w:val="center"/>
          </w:tcPr>
          <w:p w14:paraId="350B079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128</w:t>
            </w:r>
          </w:p>
        </w:tc>
        <w:tc>
          <w:tcPr>
            <w:tcW w:w="559" w:type="pct"/>
            <w:shd w:val="clear" w:color="auto" w:fill="FFFFFF"/>
            <w:tcMar>
              <w:top w:w="0" w:type="dxa"/>
              <w:left w:w="0" w:type="dxa"/>
              <w:bottom w:w="0" w:type="dxa"/>
              <w:right w:w="0" w:type="dxa"/>
            </w:tcMar>
            <w:vAlign w:val="center"/>
          </w:tcPr>
          <w:p w14:paraId="032E75C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850" w:type="pct"/>
            <w:shd w:val="clear" w:color="auto" w:fill="FFFFFF"/>
            <w:tcMar>
              <w:top w:w="0" w:type="dxa"/>
              <w:left w:w="0" w:type="dxa"/>
              <w:bottom w:w="0" w:type="dxa"/>
              <w:right w:w="0" w:type="dxa"/>
            </w:tcMar>
            <w:vAlign w:val="center"/>
          </w:tcPr>
          <w:p w14:paraId="286867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shd w:val="clear" w:color="auto" w:fill="FFFFFF"/>
            <w:tcMar>
              <w:top w:w="0" w:type="dxa"/>
              <w:left w:w="0" w:type="dxa"/>
              <w:bottom w:w="0" w:type="dxa"/>
              <w:right w:w="0" w:type="dxa"/>
            </w:tcMar>
            <w:vAlign w:val="center"/>
          </w:tcPr>
          <w:p w14:paraId="4861D7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6C9BA9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2AC4EF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6023E007" w14:textId="6095BA4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PEVuZE5vdGU+PENpdGUgRXhjbHVkZUF1dGg9IjEiIEV4Y2x1ZGVZZWFyPSIxIj48QXV0aG9yPkxv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PEVuZE5vdGU+PENpdGUgRXhjbHVkZUF1dGg9IjEiIEV4Y2x1ZGVZZWFyPSIxIj48QXV0aG9yPkxv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312</w:t>
            </w:r>
            <w:r w:rsidRPr="00734942">
              <w:rPr>
                <w:rFonts w:ascii="Arial" w:eastAsia="Arial" w:hAnsi="Arial" w:cs="Arial"/>
                <w:color w:val="111111"/>
                <w:sz w:val="18"/>
                <w:szCs w:val="18"/>
              </w:rPr>
              <w:fldChar w:fldCharType="end"/>
            </w:r>
          </w:p>
        </w:tc>
      </w:tr>
      <w:tr w:rsidR="007B756D" w:rsidRPr="00734942" w14:paraId="080B3DB6" w14:textId="77777777" w:rsidTr="006658D1">
        <w:trPr>
          <w:cantSplit/>
          <w:jc w:val="center"/>
        </w:trPr>
        <w:tc>
          <w:tcPr>
            <w:tcW w:w="508" w:type="pct"/>
            <w:tcBorders>
              <w:bottom w:val="single" w:sz="16" w:space="0" w:color="000000"/>
            </w:tcBorders>
            <w:shd w:val="clear" w:color="auto" w:fill="FFFFFF"/>
            <w:tcMar>
              <w:top w:w="0" w:type="dxa"/>
              <w:left w:w="0" w:type="dxa"/>
              <w:bottom w:w="0" w:type="dxa"/>
              <w:right w:w="0" w:type="dxa"/>
            </w:tcMar>
            <w:vAlign w:val="center"/>
          </w:tcPr>
          <w:p w14:paraId="1B15A9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54" w:type="pct"/>
            <w:tcBorders>
              <w:bottom w:val="single" w:sz="16" w:space="0" w:color="000000"/>
            </w:tcBorders>
            <w:shd w:val="clear" w:color="auto" w:fill="FFFFFF"/>
            <w:tcMar>
              <w:top w:w="0" w:type="dxa"/>
              <w:left w:w="0" w:type="dxa"/>
              <w:bottom w:w="0" w:type="dxa"/>
              <w:right w:w="0" w:type="dxa"/>
            </w:tcMar>
            <w:vAlign w:val="center"/>
          </w:tcPr>
          <w:p w14:paraId="2923B4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505" w:type="pct"/>
            <w:tcBorders>
              <w:bottom w:val="single" w:sz="16" w:space="0" w:color="000000"/>
            </w:tcBorders>
            <w:shd w:val="clear" w:color="auto" w:fill="FFFFFF"/>
            <w:tcMar>
              <w:top w:w="0" w:type="dxa"/>
              <w:left w:w="0" w:type="dxa"/>
              <w:bottom w:w="0" w:type="dxa"/>
              <w:right w:w="0" w:type="dxa"/>
            </w:tcMar>
            <w:vAlign w:val="center"/>
          </w:tcPr>
          <w:p w14:paraId="59C5B61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Functional gastrointestinal disorder</w:t>
            </w:r>
          </w:p>
        </w:tc>
        <w:tc>
          <w:tcPr>
            <w:tcW w:w="361" w:type="pct"/>
            <w:tcBorders>
              <w:bottom w:val="single" w:sz="16" w:space="0" w:color="000000"/>
            </w:tcBorders>
            <w:shd w:val="clear" w:color="auto" w:fill="FFFFFF"/>
            <w:tcMar>
              <w:top w:w="0" w:type="dxa"/>
              <w:left w:w="0" w:type="dxa"/>
              <w:bottom w:w="0" w:type="dxa"/>
              <w:right w:w="0" w:type="dxa"/>
            </w:tcMar>
            <w:vAlign w:val="center"/>
          </w:tcPr>
          <w:p w14:paraId="10E8545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5,268</w:t>
            </w:r>
          </w:p>
        </w:tc>
        <w:tc>
          <w:tcPr>
            <w:tcW w:w="559" w:type="pct"/>
            <w:tcBorders>
              <w:bottom w:val="single" w:sz="16" w:space="0" w:color="000000"/>
            </w:tcBorders>
            <w:shd w:val="clear" w:color="auto" w:fill="FFFFFF"/>
            <w:tcMar>
              <w:top w:w="0" w:type="dxa"/>
              <w:left w:w="0" w:type="dxa"/>
              <w:bottom w:w="0" w:type="dxa"/>
              <w:right w:w="0" w:type="dxa"/>
            </w:tcMar>
            <w:vAlign w:val="center"/>
          </w:tcPr>
          <w:p w14:paraId="3BF89DB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850" w:type="pct"/>
            <w:tcBorders>
              <w:bottom w:val="single" w:sz="16" w:space="0" w:color="000000"/>
            </w:tcBorders>
            <w:shd w:val="clear" w:color="auto" w:fill="FFFFFF"/>
            <w:tcMar>
              <w:top w:w="0" w:type="dxa"/>
              <w:left w:w="0" w:type="dxa"/>
              <w:bottom w:w="0" w:type="dxa"/>
              <w:right w:w="0" w:type="dxa"/>
            </w:tcMar>
            <w:vAlign w:val="center"/>
          </w:tcPr>
          <w:p w14:paraId="4BC674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80" w:type="pct"/>
            <w:tcBorders>
              <w:bottom w:val="single" w:sz="16" w:space="0" w:color="000000"/>
            </w:tcBorders>
            <w:shd w:val="clear" w:color="auto" w:fill="FFFFFF"/>
            <w:tcMar>
              <w:top w:w="0" w:type="dxa"/>
              <w:left w:w="0" w:type="dxa"/>
              <w:bottom w:w="0" w:type="dxa"/>
              <w:right w:w="0" w:type="dxa"/>
            </w:tcMar>
            <w:vAlign w:val="center"/>
          </w:tcPr>
          <w:p w14:paraId="176E68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tcBorders>
              <w:bottom w:val="single" w:sz="16" w:space="0" w:color="000000"/>
            </w:tcBorders>
            <w:shd w:val="clear" w:color="auto" w:fill="FFFFFF"/>
            <w:tcMar>
              <w:top w:w="0" w:type="dxa"/>
              <w:left w:w="0" w:type="dxa"/>
              <w:bottom w:w="0" w:type="dxa"/>
              <w:right w:w="0" w:type="dxa"/>
            </w:tcMar>
            <w:vAlign w:val="center"/>
          </w:tcPr>
          <w:p w14:paraId="01A123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tcBorders>
              <w:bottom w:val="single" w:sz="16" w:space="0" w:color="000000"/>
            </w:tcBorders>
            <w:shd w:val="clear" w:color="auto" w:fill="FFFFFF"/>
            <w:tcMar>
              <w:top w:w="0" w:type="dxa"/>
              <w:left w:w="0" w:type="dxa"/>
              <w:bottom w:w="0" w:type="dxa"/>
              <w:right w:w="0" w:type="dxa"/>
            </w:tcMar>
            <w:vAlign w:val="center"/>
          </w:tcPr>
          <w:p w14:paraId="1DE0B7E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tcBorders>
              <w:bottom w:val="single" w:sz="16" w:space="0" w:color="000000"/>
            </w:tcBorders>
            <w:shd w:val="clear" w:color="auto" w:fill="FFFFFF"/>
            <w:tcMar>
              <w:top w:w="0" w:type="dxa"/>
              <w:left w:w="0" w:type="dxa"/>
              <w:bottom w:w="0" w:type="dxa"/>
              <w:right w:w="0" w:type="dxa"/>
            </w:tcMar>
            <w:vAlign w:val="center"/>
          </w:tcPr>
          <w:p w14:paraId="50FCA9CF" w14:textId="55CB36E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PEVuZE5vdGU+PENpdGUgRXhjbHVkZUF1dGg9IjEiIEV4Y2x1ZGVZZWFyPSIxIj48QXV0aG9yPk9s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PEVuZE5vdGU+PENpdGUgRXhjbHVkZUF1dGg9IjEiIEV4Y2x1ZGVZZWFyPSIxIj48QXV0aG9yPk9s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393</w:t>
            </w:r>
            <w:r w:rsidRPr="00734942">
              <w:rPr>
                <w:rFonts w:ascii="Arial" w:eastAsia="Arial" w:hAnsi="Arial" w:cs="Arial"/>
                <w:color w:val="111111"/>
                <w:sz w:val="18"/>
                <w:szCs w:val="18"/>
              </w:rPr>
              <w:fldChar w:fldCharType="end"/>
            </w:r>
          </w:p>
        </w:tc>
      </w:tr>
    </w:tbl>
    <w:p w14:paraId="324B2045" w14:textId="77777777" w:rsidR="007B756D" w:rsidRPr="00734942" w:rsidRDefault="007B756D" w:rsidP="007B756D"/>
    <w:p w14:paraId="5691E48B" w14:textId="760DCFBE" w:rsidR="00DA0CBC" w:rsidRDefault="00DA0CBC" w:rsidP="000526F1">
      <w:pPr>
        <w:pStyle w:val="Caption"/>
      </w:pPr>
      <w:bookmarkStart w:id="378" w:name="_Toc99720750"/>
      <w:r>
        <w:lastRenderedPageBreak/>
        <w:t xml:space="preserve">Table </w:t>
      </w:r>
      <w:r w:rsidR="00C34531">
        <w:fldChar w:fldCharType="begin"/>
      </w:r>
      <w:r w:rsidR="00C34531">
        <w:instrText xml:space="preserve"> SEQ Table \* ARABIC </w:instrText>
      </w:r>
      <w:r w:rsidR="00C34531">
        <w:fldChar w:fldCharType="separate"/>
      </w:r>
      <w:r w:rsidR="008B5583">
        <w:rPr>
          <w:noProof/>
        </w:rPr>
        <w:t>39</w:t>
      </w:r>
      <w:r w:rsidR="00C34531">
        <w:rPr>
          <w:noProof/>
        </w:rPr>
        <w:fldChar w:fldCharType="end"/>
      </w:r>
      <w:r>
        <w:t xml:space="preserve">  </w:t>
      </w:r>
      <w:r w:rsidRPr="00EA52A9">
        <w:t>Study characteristics: Chronic liver disease</w:t>
      </w:r>
      <w:bookmarkEnd w:id="378"/>
    </w:p>
    <w:tbl>
      <w:tblPr>
        <w:tblW w:w="5000" w:type="pct"/>
        <w:jc w:val="center"/>
        <w:tblLook w:val="0420" w:firstRow="1" w:lastRow="0" w:firstColumn="0" w:lastColumn="0" w:noHBand="0" w:noVBand="1"/>
      </w:tblPr>
      <w:tblGrid>
        <w:gridCol w:w="1914"/>
        <w:gridCol w:w="1153"/>
        <w:gridCol w:w="2613"/>
        <w:gridCol w:w="812"/>
        <w:gridCol w:w="801"/>
        <w:gridCol w:w="1988"/>
        <w:gridCol w:w="1541"/>
        <w:gridCol w:w="1111"/>
        <w:gridCol w:w="994"/>
        <w:gridCol w:w="1031"/>
      </w:tblGrid>
      <w:tr w:rsidR="007B756D" w:rsidRPr="00734942" w14:paraId="34132FBE" w14:textId="77777777" w:rsidTr="006658D1">
        <w:trPr>
          <w:cantSplit/>
          <w:tblHeader/>
          <w:jc w:val="center"/>
        </w:trPr>
        <w:tc>
          <w:tcPr>
            <w:tcW w:w="68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1B5F2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1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C1CA0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93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14081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2B9A460"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6E3DB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71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E5D3C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55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9D5704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C4023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5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3A11C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6D929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4AFE6CCE" w14:textId="77777777" w:rsidTr="006658D1">
        <w:trPr>
          <w:cantSplit/>
          <w:jc w:val="center"/>
        </w:trPr>
        <w:tc>
          <w:tcPr>
            <w:tcW w:w="686" w:type="pct"/>
            <w:shd w:val="clear" w:color="auto" w:fill="FFFFFF"/>
            <w:tcMar>
              <w:top w:w="0" w:type="dxa"/>
              <w:left w:w="0" w:type="dxa"/>
              <w:bottom w:w="0" w:type="dxa"/>
              <w:right w:w="0" w:type="dxa"/>
            </w:tcMar>
            <w:vAlign w:val="center"/>
          </w:tcPr>
          <w:p w14:paraId="5F1B56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36D81B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1B98B8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biliary cirrhosis</w:t>
            </w:r>
          </w:p>
        </w:tc>
        <w:tc>
          <w:tcPr>
            <w:tcW w:w="291" w:type="pct"/>
            <w:shd w:val="clear" w:color="auto" w:fill="FFFFFF"/>
            <w:tcMar>
              <w:top w:w="0" w:type="dxa"/>
              <w:left w:w="0" w:type="dxa"/>
              <w:bottom w:w="0" w:type="dxa"/>
              <w:right w:w="0" w:type="dxa"/>
            </w:tcMar>
            <w:vAlign w:val="center"/>
          </w:tcPr>
          <w:p w14:paraId="4CEE47C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168</w:t>
            </w:r>
          </w:p>
        </w:tc>
        <w:tc>
          <w:tcPr>
            <w:tcW w:w="287" w:type="pct"/>
            <w:shd w:val="clear" w:color="auto" w:fill="FFFFFF"/>
            <w:tcMar>
              <w:top w:w="0" w:type="dxa"/>
              <w:left w:w="0" w:type="dxa"/>
              <w:bottom w:w="0" w:type="dxa"/>
              <w:right w:w="0" w:type="dxa"/>
            </w:tcMar>
            <w:vAlign w:val="center"/>
          </w:tcPr>
          <w:p w14:paraId="6C439B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12" w:type="pct"/>
            <w:shd w:val="clear" w:color="auto" w:fill="FFFFFF"/>
            <w:tcMar>
              <w:top w:w="0" w:type="dxa"/>
              <w:left w:w="0" w:type="dxa"/>
              <w:bottom w:w="0" w:type="dxa"/>
              <w:right w:w="0" w:type="dxa"/>
            </w:tcMar>
            <w:vAlign w:val="center"/>
          </w:tcPr>
          <w:p w14:paraId="78A680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26A02B8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69B37C1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56" w:type="pct"/>
            <w:shd w:val="clear" w:color="auto" w:fill="FFFFFF"/>
            <w:tcMar>
              <w:top w:w="0" w:type="dxa"/>
              <w:left w:w="0" w:type="dxa"/>
              <w:bottom w:w="0" w:type="dxa"/>
              <w:right w:w="0" w:type="dxa"/>
            </w:tcMar>
            <w:vAlign w:val="center"/>
          </w:tcPr>
          <w:p w14:paraId="25AC5D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6080DF2B" w14:textId="1AC60B8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327</w:t>
            </w:r>
            <w:r w:rsidRPr="00734942">
              <w:rPr>
                <w:rFonts w:ascii="Arial" w:eastAsia="Arial" w:hAnsi="Arial" w:cs="Arial"/>
                <w:color w:val="111111"/>
                <w:sz w:val="18"/>
                <w:szCs w:val="18"/>
              </w:rPr>
              <w:fldChar w:fldCharType="end"/>
            </w:r>
          </w:p>
        </w:tc>
      </w:tr>
      <w:tr w:rsidR="007B756D" w:rsidRPr="00734942" w14:paraId="4DBA71E7" w14:textId="77777777" w:rsidTr="006658D1">
        <w:trPr>
          <w:cantSplit/>
          <w:jc w:val="center"/>
        </w:trPr>
        <w:tc>
          <w:tcPr>
            <w:tcW w:w="686" w:type="pct"/>
            <w:shd w:val="clear" w:color="auto" w:fill="FFFFFF"/>
            <w:tcMar>
              <w:top w:w="0" w:type="dxa"/>
              <w:left w:w="0" w:type="dxa"/>
              <w:bottom w:w="0" w:type="dxa"/>
              <w:right w:w="0" w:type="dxa"/>
            </w:tcMar>
            <w:vAlign w:val="center"/>
          </w:tcPr>
          <w:p w14:paraId="1DA102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44DCCB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656DD6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biliary cirrhosis</w:t>
            </w:r>
          </w:p>
        </w:tc>
        <w:tc>
          <w:tcPr>
            <w:tcW w:w="291" w:type="pct"/>
            <w:shd w:val="clear" w:color="auto" w:fill="FFFFFF"/>
            <w:tcMar>
              <w:top w:w="0" w:type="dxa"/>
              <w:left w:w="0" w:type="dxa"/>
              <w:bottom w:w="0" w:type="dxa"/>
              <w:right w:w="0" w:type="dxa"/>
            </w:tcMar>
            <w:vAlign w:val="center"/>
          </w:tcPr>
          <w:p w14:paraId="41B88F7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162</w:t>
            </w:r>
          </w:p>
        </w:tc>
        <w:tc>
          <w:tcPr>
            <w:tcW w:w="287" w:type="pct"/>
            <w:shd w:val="clear" w:color="auto" w:fill="FFFFFF"/>
            <w:tcMar>
              <w:top w:w="0" w:type="dxa"/>
              <w:left w:w="0" w:type="dxa"/>
              <w:bottom w:w="0" w:type="dxa"/>
              <w:right w:w="0" w:type="dxa"/>
            </w:tcMar>
            <w:vAlign w:val="center"/>
          </w:tcPr>
          <w:p w14:paraId="6065195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712" w:type="pct"/>
            <w:shd w:val="clear" w:color="auto" w:fill="FFFFFF"/>
            <w:tcMar>
              <w:top w:w="0" w:type="dxa"/>
              <w:left w:w="0" w:type="dxa"/>
              <w:bottom w:w="0" w:type="dxa"/>
              <w:right w:w="0" w:type="dxa"/>
            </w:tcMar>
            <w:vAlign w:val="center"/>
          </w:tcPr>
          <w:p w14:paraId="218A90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5BCF98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462B38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032D30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Greece</w:t>
            </w:r>
          </w:p>
        </w:tc>
        <w:tc>
          <w:tcPr>
            <w:tcW w:w="369" w:type="pct"/>
            <w:shd w:val="clear" w:color="auto" w:fill="FFFFFF"/>
            <w:tcMar>
              <w:top w:w="0" w:type="dxa"/>
              <w:left w:w="0" w:type="dxa"/>
              <w:bottom w:w="0" w:type="dxa"/>
              <w:right w:w="0" w:type="dxa"/>
            </w:tcMar>
            <w:vAlign w:val="center"/>
          </w:tcPr>
          <w:p w14:paraId="77B74AB8" w14:textId="67852E2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YXR6aWNvc3RhczwvQXV0aG9yPjxZZWFyPjIwMDI8L1llYXI+PFJlY051bT4xMTA8L1JlY051bT48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YXR6aWNvc3RhczwvQXV0aG9yPjxZZWFyPjIwMDI8L1llYXI+PFJlY051bT4xMTA8L1JlY051bT48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394</w:t>
            </w:r>
            <w:r w:rsidRPr="00734942">
              <w:rPr>
                <w:rFonts w:ascii="Arial" w:eastAsia="Arial" w:hAnsi="Arial" w:cs="Arial"/>
                <w:color w:val="111111"/>
                <w:sz w:val="18"/>
                <w:szCs w:val="18"/>
              </w:rPr>
              <w:fldChar w:fldCharType="end"/>
            </w:r>
          </w:p>
        </w:tc>
      </w:tr>
      <w:tr w:rsidR="007B756D" w:rsidRPr="00734942" w14:paraId="716676A5" w14:textId="77777777" w:rsidTr="006658D1">
        <w:trPr>
          <w:cantSplit/>
          <w:jc w:val="center"/>
        </w:trPr>
        <w:tc>
          <w:tcPr>
            <w:tcW w:w="686" w:type="pct"/>
            <w:shd w:val="clear" w:color="auto" w:fill="FFFFFF"/>
            <w:tcMar>
              <w:top w:w="0" w:type="dxa"/>
              <w:left w:w="0" w:type="dxa"/>
              <w:bottom w:w="0" w:type="dxa"/>
              <w:right w:w="0" w:type="dxa"/>
            </w:tcMar>
            <w:vAlign w:val="center"/>
          </w:tcPr>
          <w:p w14:paraId="04B07B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017D68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4312B8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Chronic hepatitis C</w:t>
            </w:r>
          </w:p>
        </w:tc>
        <w:tc>
          <w:tcPr>
            <w:tcW w:w="291" w:type="pct"/>
            <w:shd w:val="clear" w:color="auto" w:fill="FFFFFF"/>
            <w:tcMar>
              <w:top w:w="0" w:type="dxa"/>
              <w:left w:w="0" w:type="dxa"/>
              <w:bottom w:w="0" w:type="dxa"/>
              <w:right w:w="0" w:type="dxa"/>
            </w:tcMar>
            <w:vAlign w:val="center"/>
          </w:tcPr>
          <w:p w14:paraId="40468A3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395</w:t>
            </w:r>
          </w:p>
        </w:tc>
        <w:tc>
          <w:tcPr>
            <w:tcW w:w="287" w:type="pct"/>
            <w:shd w:val="clear" w:color="auto" w:fill="FFFFFF"/>
            <w:tcMar>
              <w:top w:w="0" w:type="dxa"/>
              <w:left w:w="0" w:type="dxa"/>
              <w:bottom w:w="0" w:type="dxa"/>
              <w:right w:w="0" w:type="dxa"/>
            </w:tcMar>
            <w:vAlign w:val="center"/>
          </w:tcPr>
          <w:p w14:paraId="6D3278C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4450B8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67BFD5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4569FB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0DEBC4D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28EB9957" w14:textId="65D01AD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ExcludeYear="1"&gt;&lt;Author&gt;Durante-Mangoni&lt;/Author&gt;&lt;Year&gt;2004&lt;/Year&gt;&lt;RecNum&gt;219&lt;/RecNum&gt;&lt;DisplayText&gt;&lt;style face="superscript"&gt;395&lt;/style&gt;&lt;/DisplayText&gt;&lt;record&gt;&lt;rec-number&gt;219&lt;/rec-number&gt;&lt;foreign-keys&gt;&lt;key app="EN" db-id="tdwrx9xd1z9eepeevr355w2k959rv0f5zaax" timestamp="1632756134"&gt;219&lt;/key&gt;&lt;/foreign-keys&gt;&lt;ref-type name="Journal Article"&gt;17&lt;/ref-type&gt;&lt;contributors&gt;&lt;authors&gt;&lt;author&gt;Durante-Mangoni, E.&lt;/author&gt;&lt;author&gt;Iardino, P.&lt;/author&gt;&lt;author&gt;Resse, M.&lt;/author&gt;&lt;author&gt;Cesaro, G.&lt;/author&gt;&lt;author&gt;Sica, A.&lt;/author&gt;&lt;author&gt;Farzati, B.&lt;/author&gt;&lt;author&gt;Ruggiero, G.&lt;/author&gt;&lt;author&gt;Adinolfi, L. E.&lt;/author&gt;&lt;/authors&gt;&lt;/contributors&gt;&lt;titles&gt;&lt;title&gt;Silent celiac disease in chronic hepatitis C - Impact of interferon treatment on the disease onset and clinical outcome&lt;/title&gt;&lt;secondary-title&gt;Journal of Clinical Gastroenterology&lt;/secondary-title&gt;&lt;/titles&gt;&lt;periodical&gt;&lt;full-title&gt;Journal of Clinical Gastroenterology&lt;/full-title&gt;&lt;/periodical&gt;&lt;pages&gt;901-905&lt;/pages&gt;&lt;volume&gt;38&lt;/volume&gt;&lt;number&gt;10&lt;/number&gt;&lt;dates&gt;&lt;year&gt;2004&lt;/year&gt;&lt;pub-dates&gt;&lt;date&gt;Nov-Dec&lt;/date&gt;&lt;/pub-dates&gt;&lt;/dates&gt;&lt;isbn&gt;0192-0790&lt;/isbn&gt;&lt;accession-num&gt;WOS:000224718100014&lt;/accession-num&gt;&lt;urls&gt;&lt;related-urls&gt;&lt;url&gt;&amp;lt;Go to ISI&amp;gt;://WOS:000224718100014&lt;/url&gt;&lt;/related-urls&gt;&lt;/urls&gt;&lt;electronic-resource-num&gt;10.1097/00004836-200411000-00014&lt;/electronic-resource-num&gt;&lt;remote-database-name&gt;Web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395</w:t>
            </w:r>
            <w:r w:rsidRPr="00734942">
              <w:rPr>
                <w:rFonts w:ascii="Arial" w:eastAsia="Arial" w:hAnsi="Arial" w:cs="Arial"/>
                <w:color w:val="111111"/>
                <w:sz w:val="18"/>
                <w:szCs w:val="18"/>
              </w:rPr>
              <w:fldChar w:fldCharType="end"/>
            </w:r>
          </w:p>
        </w:tc>
      </w:tr>
      <w:tr w:rsidR="007B756D" w:rsidRPr="00734942" w14:paraId="58B6018F" w14:textId="77777777" w:rsidTr="006658D1">
        <w:trPr>
          <w:cantSplit/>
          <w:jc w:val="center"/>
        </w:trPr>
        <w:tc>
          <w:tcPr>
            <w:tcW w:w="686" w:type="pct"/>
            <w:shd w:val="clear" w:color="auto" w:fill="FFFFFF"/>
            <w:tcMar>
              <w:top w:w="0" w:type="dxa"/>
              <w:left w:w="0" w:type="dxa"/>
              <w:bottom w:w="0" w:type="dxa"/>
              <w:right w:w="0" w:type="dxa"/>
            </w:tcMar>
            <w:vAlign w:val="center"/>
          </w:tcPr>
          <w:p w14:paraId="02E282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46A95B2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6A1AE0B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Chronic hepatitis C</w:t>
            </w:r>
          </w:p>
        </w:tc>
        <w:tc>
          <w:tcPr>
            <w:tcW w:w="291" w:type="pct"/>
            <w:shd w:val="clear" w:color="auto" w:fill="FFFFFF"/>
            <w:tcMar>
              <w:top w:w="0" w:type="dxa"/>
              <w:left w:w="0" w:type="dxa"/>
              <w:bottom w:w="0" w:type="dxa"/>
              <w:right w:w="0" w:type="dxa"/>
            </w:tcMar>
            <w:vAlign w:val="center"/>
          </w:tcPr>
          <w:p w14:paraId="242B3BB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275</w:t>
            </w:r>
          </w:p>
        </w:tc>
        <w:tc>
          <w:tcPr>
            <w:tcW w:w="287" w:type="pct"/>
            <w:shd w:val="clear" w:color="auto" w:fill="FFFFFF"/>
            <w:tcMar>
              <w:top w:w="0" w:type="dxa"/>
              <w:left w:w="0" w:type="dxa"/>
              <w:bottom w:w="0" w:type="dxa"/>
              <w:right w:w="0" w:type="dxa"/>
            </w:tcMar>
            <w:vAlign w:val="center"/>
          </w:tcPr>
          <w:p w14:paraId="299E017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2DAC12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3D5BBA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0314EF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55373F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437ACA77" w14:textId="2F01F6A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cm5hbmRlejwvQXV0aG9yPjxZZWFyPjIwMDg8L1llYXI+PFJlY051bT4yMjA8L1JlY051bT48RGlz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=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cm5hbmRlejwvQXV0aG9yPjxZZWFyPjIwMDg8L1llYXI+PFJlY051bT4yMjA8L1JlY051bT48RGlz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=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396</w:t>
            </w:r>
            <w:r w:rsidRPr="00734942">
              <w:rPr>
                <w:rFonts w:ascii="Arial" w:eastAsia="Arial" w:hAnsi="Arial" w:cs="Arial"/>
                <w:color w:val="111111"/>
                <w:sz w:val="18"/>
                <w:szCs w:val="18"/>
              </w:rPr>
              <w:fldChar w:fldCharType="end"/>
            </w:r>
          </w:p>
        </w:tc>
      </w:tr>
      <w:tr w:rsidR="007B756D" w:rsidRPr="00734942" w14:paraId="6AA6507A" w14:textId="77777777" w:rsidTr="006658D1">
        <w:trPr>
          <w:cantSplit/>
          <w:jc w:val="center"/>
        </w:trPr>
        <w:tc>
          <w:tcPr>
            <w:tcW w:w="686" w:type="pct"/>
            <w:shd w:val="clear" w:color="auto" w:fill="FFFFFF"/>
            <w:tcMar>
              <w:top w:w="0" w:type="dxa"/>
              <w:left w:w="0" w:type="dxa"/>
              <w:bottom w:w="0" w:type="dxa"/>
              <w:right w:w="0" w:type="dxa"/>
            </w:tcMar>
            <w:vAlign w:val="center"/>
          </w:tcPr>
          <w:p w14:paraId="5966AB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52E09EA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0E32C6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ALD, HCV, PBC, PSC, CH</w:t>
            </w:r>
          </w:p>
        </w:tc>
        <w:tc>
          <w:tcPr>
            <w:tcW w:w="291" w:type="pct"/>
            <w:shd w:val="clear" w:color="auto" w:fill="FFFFFF"/>
            <w:tcMar>
              <w:top w:w="0" w:type="dxa"/>
              <w:left w:w="0" w:type="dxa"/>
              <w:bottom w:w="0" w:type="dxa"/>
              <w:right w:w="0" w:type="dxa"/>
            </w:tcMar>
            <w:vAlign w:val="center"/>
          </w:tcPr>
          <w:p w14:paraId="4D08570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2,002</w:t>
            </w:r>
          </w:p>
        </w:tc>
        <w:tc>
          <w:tcPr>
            <w:tcW w:w="287" w:type="pct"/>
            <w:shd w:val="clear" w:color="auto" w:fill="FFFFFF"/>
            <w:tcMar>
              <w:top w:w="0" w:type="dxa"/>
              <w:left w:w="0" w:type="dxa"/>
              <w:bottom w:w="0" w:type="dxa"/>
              <w:right w:w="0" w:type="dxa"/>
            </w:tcMar>
            <w:vAlign w:val="center"/>
          </w:tcPr>
          <w:p w14:paraId="53FEE10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740BF3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09774E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4116E0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25B5E3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4DF5D2D7" w14:textId="1813597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PEVuZE5vdGU+PENpdGUgRXhjbHVkZUF1dGg9IjEiIEV4Y2x1ZGVZZWFyPSIxIj48QXV0aG9yPlNq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PEVuZE5vdGU+PENpdGUgRXhjbHVkZUF1dGg9IjEiIEV4Y2x1ZGVZZWFyPSIxIj48QXV0aG9yPlNq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397</w:t>
            </w:r>
            <w:r w:rsidRPr="00734942">
              <w:rPr>
                <w:rFonts w:ascii="Arial" w:eastAsia="Arial" w:hAnsi="Arial" w:cs="Arial"/>
                <w:color w:val="111111"/>
                <w:sz w:val="18"/>
                <w:szCs w:val="18"/>
              </w:rPr>
              <w:fldChar w:fldCharType="end"/>
            </w:r>
          </w:p>
        </w:tc>
      </w:tr>
      <w:tr w:rsidR="007B756D" w:rsidRPr="00734942" w14:paraId="367219C9" w14:textId="77777777" w:rsidTr="006658D1">
        <w:trPr>
          <w:cantSplit/>
          <w:jc w:val="center"/>
        </w:trPr>
        <w:tc>
          <w:tcPr>
            <w:tcW w:w="686" w:type="pct"/>
            <w:shd w:val="clear" w:color="auto" w:fill="FFFFFF"/>
            <w:tcMar>
              <w:top w:w="0" w:type="dxa"/>
              <w:left w:w="0" w:type="dxa"/>
              <w:bottom w:w="0" w:type="dxa"/>
              <w:right w:w="0" w:type="dxa"/>
            </w:tcMar>
            <w:vAlign w:val="center"/>
          </w:tcPr>
          <w:p w14:paraId="096A58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4FCD1E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0B1C28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Abnormal liver function tests</w:t>
            </w:r>
          </w:p>
        </w:tc>
        <w:tc>
          <w:tcPr>
            <w:tcW w:w="291" w:type="pct"/>
            <w:shd w:val="clear" w:color="auto" w:fill="FFFFFF"/>
            <w:tcMar>
              <w:top w:w="0" w:type="dxa"/>
              <w:left w:w="0" w:type="dxa"/>
              <w:bottom w:w="0" w:type="dxa"/>
              <w:right w:w="0" w:type="dxa"/>
            </w:tcMar>
            <w:vAlign w:val="center"/>
          </w:tcPr>
          <w:p w14:paraId="524305D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250</w:t>
            </w:r>
          </w:p>
        </w:tc>
        <w:tc>
          <w:tcPr>
            <w:tcW w:w="287" w:type="pct"/>
            <w:shd w:val="clear" w:color="auto" w:fill="FFFFFF"/>
            <w:tcMar>
              <w:top w:w="0" w:type="dxa"/>
              <w:left w:w="0" w:type="dxa"/>
              <w:bottom w:w="0" w:type="dxa"/>
              <w:right w:w="0" w:type="dxa"/>
            </w:tcMar>
            <w:vAlign w:val="center"/>
          </w:tcPr>
          <w:p w14:paraId="7042CF5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1-25%</w:t>
            </w:r>
          </w:p>
        </w:tc>
        <w:tc>
          <w:tcPr>
            <w:tcW w:w="712" w:type="pct"/>
            <w:shd w:val="clear" w:color="auto" w:fill="FFFFFF"/>
            <w:tcMar>
              <w:top w:w="0" w:type="dxa"/>
              <w:left w:w="0" w:type="dxa"/>
              <w:bottom w:w="0" w:type="dxa"/>
              <w:right w:w="0" w:type="dxa"/>
            </w:tcMar>
            <w:vAlign w:val="center"/>
          </w:tcPr>
          <w:p w14:paraId="4E19CB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4E970D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13DB70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6479B5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69" w:type="pct"/>
            <w:shd w:val="clear" w:color="auto" w:fill="FFFFFF"/>
            <w:tcMar>
              <w:top w:w="0" w:type="dxa"/>
              <w:left w:w="0" w:type="dxa"/>
              <w:bottom w:w="0" w:type="dxa"/>
              <w:right w:w="0" w:type="dxa"/>
            </w:tcMar>
            <w:vAlign w:val="center"/>
          </w:tcPr>
          <w:p w14:paraId="2C258528" w14:textId="7D4FE6F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PEVuZE5vdGU+PENpdGUgRXhjbHVkZUF1dGg9IjEiIEV4Y2x1ZGVZZWFyPSIxIj48QXV0aG9yPll1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PEVuZE5vdGU+PENpdGUgRXhjbHVkZUF1dGg9IjEiIEV4Y2x1ZGVZZWFyPSIxIj48QXV0aG9yPll1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398</w:t>
            </w:r>
            <w:r w:rsidRPr="00734942">
              <w:rPr>
                <w:rFonts w:ascii="Arial" w:eastAsia="Arial" w:hAnsi="Arial" w:cs="Arial"/>
                <w:color w:val="111111"/>
                <w:sz w:val="18"/>
                <w:szCs w:val="18"/>
              </w:rPr>
              <w:fldChar w:fldCharType="end"/>
            </w:r>
          </w:p>
        </w:tc>
      </w:tr>
      <w:tr w:rsidR="007B756D" w:rsidRPr="00734942" w14:paraId="5CDFE972" w14:textId="77777777" w:rsidTr="006658D1">
        <w:trPr>
          <w:cantSplit/>
          <w:jc w:val="center"/>
        </w:trPr>
        <w:tc>
          <w:tcPr>
            <w:tcW w:w="686" w:type="pct"/>
            <w:shd w:val="clear" w:color="auto" w:fill="FFFFFF"/>
            <w:tcMar>
              <w:top w:w="0" w:type="dxa"/>
              <w:left w:w="0" w:type="dxa"/>
              <w:bottom w:w="0" w:type="dxa"/>
              <w:right w:w="0" w:type="dxa"/>
            </w:tcMar>
            <w:vAlign w:val="center"/>
          </w:tcPr>
          <w:p w14:paraId="52540E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7DAD22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936" w:type="pct"/>
            <w:shd w:val="clear" w:color="auto" w:fill="FFFFFF"/>
            <w:tcMar>
              <w:top w:w="0" w:type="dxa"/>
              <w:left w:w="0" w:type="dxa"/>
              <w:bottom w:w="0" w:type="dxa"/>
              <w:right w:w="0" w:type="dxa"/>
            </w:tcMar>
            <w:vAlign w:val="center"/>
          </w:tcPr>
          <w:p w14:paraId="7606184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Hepatitis</w:t>
            </w:r>
          </w:p>
        </w:tc>
        <w:tc>
          <w:tcPr>
            <w:tcW w:w="291" w:type="pct"/>
            <w:shd w:val="clear" w:color="auto" w:fill="FFFFFF"/>
            <w:tcMar>
              <w:top w:w="0" w:type="dxa"/>
              <w:left w:w="0" w:type="dxa"/>
              <w:bottom w:w="0" w:type="dxa"/>
              <w:right w:w="0" w:type="dxa"/>
            </w:tcMar>
            <w:vAlign w:val="center"/>
          </w:tcPr>
          <w:p w14:paraId="62DE518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1,197</w:t>
            </w:r>
          </w:p>
        </w:tc>
        <w:tc>
          <w:tcPr>
            <w:tcW w:w="287" w:type="pct"/>
            <w:shd w:val="clear" w:color="auto" w:fill="FFFFFF"/>
            <w:tcMar>
              <w:top w:w="0" w:type="dxa"/>
              <w:left w:w="0" w:type="dxa"/>
              <w:bottom w:w="0" w:type="dxa"/>
              <w:right w:w="0" w:type="dxa"/>
            </w:tcMar>
            <w:vAlign w:val="center"/>
          </w:tcPr>
          <w:p w14:paraId="05E9A97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701802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hepatitis</w:t>
            </w:r>
          </w:p>
        </w:tc>
        <w:tc>
          <w:tcPr>
            <w:tcW w:w="552" w:type="pct"/>
            <w:shd w:val="clear" w:color="auto" w:fill="FFFFFF"/>
            <w:tcMar>
              <w:top w:w="0" w:type="dxa"/>
              <w:left w:w="0" w:type="dxa"/>
              <w:bottom w:w="0" w:type="dxa"/>
              <w:right w:w="0" w:type="dxa"/>
            </w:tcMar>
            <w:vAlign w:val="center"/>
          </w:tcPr>
          <w:p w14:paraId="641BCD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19978B8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56" w:type="pct"/>
            <w:shd w:val="clear" w:color="auto" w:fill="FFFFFF"/>
            <w:tcMar>
              <w:top w:w="0" w:type="dxa"/>
              <w:left w:w="0" w:type="dxa"/>
              <w:bottom w:w="0" w:type="dxa"/>
              <w:right w:w="0" w:type="dxa"/>
            </w:tcMar>
            <w:vAlign w:val="center"/>
          </w:tcPr>
          <w:p w14:paraId="65CF84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United Arab Emirates</w:t>
            </w:r>
          </w:p>
        </w:tc>
        <w:tc>
          <w:tcPr>
            <w:tcW w:w="369" w:type="pct"/>
            <w:shd w:val="clear" w:color="auto" w:fill="FFFFFF"/>
            <w:tcMar>
              <w:top w:w="0" w:type="dxa"/>
              <w:left w:w="0" w:type="dxa"/>
              <w:bottom w:w="0" w:type="dxa"/>
              <w:right w:w="0" w:type="dxa"/>
            </w:tcMar>
            <w:vAlign w:val="center"/>
          </w:tcPr>
          <w:p w14:paraId="6517CB52" w14:textId="4F96D97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288</w:t>
            </w:r>
            <w:r w:rsidRPr="00734942">
              <w:rPr>
                <w:rFonts w:ascii="Arial" w:eastAsia="Arial" w:hAnsi="Arial" w:cs="Arial"/>
                <w:color w:val="111111"/>
                <w:sz w:val="18"/>
                <w:szCs w:val="18"/>
              </w:rPr>
              <w:fldChar w:fldCharType="end"/>
            </w:r>
          </w:p>
        </w:tc>
      </w:tr>
      <w:tr w:rsidR="007B756D" w:rsidRPr="00734942" w14:paraId="1342CC6B" w14:textId="77777777" w:rsidTr="006658D1">
        <w:trPr>
          <w:cantSplit/>
          <w:jc w:val="center"/>
        </w:trPr>
        <w:tc>
          <w:tcPr>
            <w:tcW w:w="686" w:type="pct"/>
            <w:shd w:val="clear" w:color="auto" w:fill="FFFFFF"/>
            <w:tcMar>
              <w:top w:w="0" w:type="dxa"/>
              <w:left w:w="0" w:type="dxa"/>
              <w:bottom w:w="0" w:type="dxa"/>
              <w:right w:w="0" w:type="dxa"/>
            </w:tcMar>
            <w:vAlign w:val="center"/>
          </w:tcPr>
          <w:p w14:paraId="150BA0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7A14FE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936" w:type="pct"/>
            <w:shd w:val="clear" w:color="auto" w:fill="FFFFFF"/>
            <w:tcMar>
              <w:top w:w="0" w:type="dxa"/>
              <w:left w:w="0" w:type="dxa"/>
              <w:bottom w:w="0" w:type="dxa"/>
              <w:right w:w="0" w:type="dxa"/>
            </w:tcMar>
            <w:vAlign w:val="center"/>
          </w:tcPr>
          <w:p w14:paraId="126DF3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Hepatic diseases</w:t>
            </w:r>
          </w:p>
        </w:tc>
        <w:tc>
          <w:tcPr>
            <w:tcW w:w="291" w:type="pct"/>
            <w:shd w:val="clear" w:color="auto" w:fill="FFFFFF"/>
            <w:tcMar>
              <w:top w:w="0" w:type="dxa"/>
              <w:left w:w="0" w:type="dxa"/>
              <w:bottom w:w="0" w:type="dxa"/>
              <w:right w:w="0" w:type="dxa"/>
            </w:tcMar>
            <w:vAlign w:val="center"/>
          </w:tcPr>
          <w:p w14:paraId="1F17A9C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527</w:t>
            </w:r>
          </w:p>
        </w:tc>
        <w:tc>
          <w:tcPr>
            <w:tcW w:w="287" w:type="pct"/>
            <w:shd w:val="clear" w:color="auto" w:fill="FFFFFF"/>
            <w:tcMar>
              <w:top w:w="0" w:type="dxa"/>
              <w:left w:w="0" w:type="dxa"/>
              <w:bottom w:w="0" w:type="dxa"/>
              <w:right w:w="0" w:type="dxa"/>
            </w:tcMar>
            <w:vAlign w:val="center"/>
          </w:tcPr>
          <w:p w14:paraId="69D9A8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12" w:type="pct"/>
            <w:shd w:val="clear" w:color="auto" w:fill="FFFFFF"/>
            <w:tcMar>
              <w:top w:w="0" w:type="dxa"/>
              <w:left w:w="0" w:type="dxa"/>
              <w:bottom w:w="0" w:type="dxa"/>
              <w:right w:w="0" w:type="dxa"/>
            </w:tcMar>
            <w:vAlign w:val="center"/>
          </w:tcPr>
          <w:p w14:paraId="5E1EB1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hepatic diseases</w:t>
            </w:r>
          </w:p>
        </w:tc>
        <w:tc>
          <w:tcPr>
            <w:tcW w:w="552" w:type="pct"/>
            <w:shd w:val="clear" w:color="auto" w:fill="FFFFFF"/>
            <w:tcMar>
              <w:top w:w="0" w:type="dxa"/>
              <w:left w:w="0" w:type="dxa"/>
              <w:bottom w:w="0" w:type="dxa"/>
              <w:right w:w="0" w:type="dxa"/>
            </w:tcMar>
            <w:vAlign w:val="center"/>
          </w:tcPr>
          <w:p w14:paraId="5A9C3B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36AFAA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0C3287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Malaysia</w:t>
            </w:r>
          </w:p>
        </w:tc>
        <w:tc>
          <w:tcPr>
            <w:tcW w:w="369" w:type="pct"/>
            <w:shd w:val="clear" w:color="auto" w:fill="FFFFFF"/>
            <w:tcMar>
              <w:top w:w="0" w:type="dxa"/>
              <w:left w:w="0" w:type="dxa"/>
              <w:bottom w:w="0" w:type="dxa"/>
              <w:right w:w="0" w:type="dxa"/>
            </w:tcMar>
            <w:vAlign w:val="center"/>
          </w:tcPr>
          <w:p w14:paraId="09837597" w14:textId="398E79A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287</w:t>
            </w:r>
            <w:r w:rsidRPr="00734942">
              <w:rPr>
                <w:rFonts w:ascii="Arial" w:eastAsia="Arial" w:hAnsi="Arial" w:cs="Arial"/>
                <w:color w:val="111111"/>
                <w:sz w:val="18"/>
                <w:szCs w:val="18"/>
              </w:rPr>
              <w:fldChar w:fldCharType="end"/>
            </w:r>
          </w:p>
        </w:tc>
      </w:tr>
      <w:tr w:rsidR="007B756D" w:rsidRPr="00734942" w14:paraId="4F6EA78C" w14:textId="77777777" w:rsidTr="006658D1">
        <w:trPr>
          <w:cantSplit/>
          <w:jc w:val="center"/>
        </w:trPr>
        <w:tc>
          <w:tcPr>
            <w:tcW w:w="686" w:type="pct"/>
            <w:shd w:val="clear" w:color="auto" w:fill="FFFFFF"/>
            <w:tcMar>
              <w:top w:w="0" w:type="dxa"/>
              <w:left w:w="0" w:type="dxa"/>
              <w:bottom w:w="0" w:type="dxa"/>
              <w:right w:w="0" w:type="dxa"/>
            </w:tcMar>
            <w:vAlign w:val="center"/>
          </w:tcPr>
          <w:p w14:paraId="04A8DE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13" w:type="pct"/>
            <w:shd w:val="clear" w:color="auto" w:fill="FFFFFF"/>
            <w:tcMar>
              <w:top w:w="0" w:type="dxa"/>
              <w:left w:w="0" w:type="dxa"/>
              <w:bottom w:w="0" w:type="dxa"/>
              <w:right w:w="0" w:type="dxa"/>
            </w:tcMar>
            <w:vAlign w:val="center"/>
          </w:tcPr>
          <w:p w14:paraId="5D7D94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936" w:type="pct"/>
            <w:shd w:val="clear" w:color="auto" w:fill="FFFFFF"/>
            <w:tcMar>
              <w:top w:w="0" w:type="dxa"/>
              <w:left w:w="0" w:type="dxa"/>
              <w:bottom w:w="0" w:type="dxa"/>
              <w:right w:w="0" w:type="dxa"/>
            </w:tcMar>
            <w:vAlign w:val="center"/>
          </w:tcPr>
          <w:p w14:paraId="35BB86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Unexplained abnormal AST/ALT</w:t>
            </w:r>
          </w:p>
        </w:tc>
        <w:tc>
          <w:tcPr>
            <w:tcW w:w="291" w:type="pct"/>
            <w:shd w:val="clear" w:color="auto" w:fill="FFFFFF"/>
            <w:tcMar>
              <w:top w:w="0" w:type="dxa"/>
              <w:left w:w="0" w:type="dxa"/>
              <w:bottom w:w="0" w:type="dxa"/>
              <w:right w:w="0" w:type="dxa"/>
            </w:tcMar>
            <w:vAlign w:val="center"/>
          </w:tcPr>
          <w:p w14:paraId="76158F2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87" w:type="pct"/>
            <w:shd w:val="clear" w:color="auto" w:fill="FFFFFF"/>
            <w:tcMar>
              <w:top w:w="0" w:type="dxa"/>
              <w:left w:w="0" w:type="dxa"/>
              <w:bottom w:w="0" w:type="dxa"/>
              <w:right w:w="0" w:type="dxa"/>
            </w:tcMar>
            <w:vAlign w:val="center"/>
          </w:tcPr>
          <w:p w14:paraId="3422C6D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12" w:type="pct"/>
            <w:shd w:val="clear" w:color="auto" w:fill="FFFFFF"/>
            <w:tcMar>
              <w:top w:w="0" w:type="dxa"/>
              <w:left w:w="0" w:type="dxa"/>
              <w:bottom w:w="0" w:type="dxa"/>
              <w:right w:w="0" w:type="dxa"/>
            </w:tcMar>
            <w:vAlign w:val="center"/>
          </w:tcPr>
          <w:p w14:paraId="35329B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unexplained abnormal AST/ALT</w:t>
            </w:r>
          </w:p>
        </w:tc>
        <w:tc>
          <w:tcPr>
            <w:tcW w:w="552" w:type="pct"/>
            <w:shd w:val="clear" w:color="auto" w:fill="FFFFFF"/>
            <w:tcMar>
              <w:top w:w="0" w:type="dxa"/>
              <w:left w:w="0" w:type="dxa"/>
              <w:bottom w:w="0" w:type="dxa"/>
              <w:right w:w="0" w:type="dxa"/>
            </w:tcMar>
            <w:vAlign w:val="center"/>
          </w:tcPr>
          <w:p w14:paraId="717A66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7FB73E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56" w:type="pct"/>
            <w:shd w:val="clear" w:color="auto" w:fill="FFFFFF"/>
            <w:tcMar>
              <w:top w:w="0" w:type="dxa"/>
              <w:left w:w="0" w:type="dxa"/>
              <w:bottom w:w="0" w:type="dxa"/>
              <w:right w:w="0" w:type="dxa"/>
            </w:tcMar>
            <w:vAlign w:val="center"/>
          </w:tcPr>
          <w:p w14:paraId="33F23A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6EC9D148" w14:textId="252A08A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206B9E24" w14:textId="77777777" w:rsidTr="006658D1">
        <w:trPr>
          <w:cantSplit/>
          <w:jc w:val="center"/>
        </w:trPr>
        <w:tc>
          <w:tcPr>
            <w:tcW w:w="686" w:type="pct"/>
            <w:shd w:val="clear" w:color="auto" w:fill="FFFFFF"/>
            <w:tcMar>
              <w:top w:w="0" w:type="dxa"/>
              <w:left w:w="0" w:type="dxa"/>
              <w:bottom w:w="0" w:type="dxa"/>
              <w:right w:w="0" w:type="dxa"/>
            </w:tcMar>
            <w:vAlign w:val="center"/>
          </w:tcPr>
          <w:p w14:paraId="631E916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413" w:type="pct"/>
            <w:shd w:val="clear" w:color="auto" w:fill="FFFFFF"/>
            <w:tcMar>
              <w:top w:w="0" w:type="dxa"/>
              <w:left w:w="0" w:type="dxa"/>
              <w:bottom w:w="0" w:type="dxa"/>
              <w:right w:w="0" w:type="dxa"/>
            </w:tcMar>
            <w:vAlign w:val="center"/>
          </w:tcPr>
          <w:p w14:paraId="26BC292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1B84959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Autoimmune hepatitis</w:t>
            </w:r>
          </w:p>
        </w:tc>
        <w:tc>
          <w:tcPr>
            <w:tcW w:w="291" w:type="pct"/>
            <w:shd w:val="clear" w:color="auto" w:fill="FFFFFF"/>
            <w:tcMar>
              <w:top w:w="0" w:type="dxa"/>
              <w:left w:w="0" w:type="dxa"/>
              <w:bottom w:w="0" w:type="dxa"/>
              <w:right w:w="0" w:type="dxa"/>
            </w:tcMar>
            <w:vAlign w:val="center"/>
          </w:tcPr>
          <w:p w14:paraId="486C81F3"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46</w:t>
            </w:r>
          </w:p>
        </w:tc>
        <w:tc>
          <w:tcPr>
            <w:tcW w:w="287" w:type="pct"/>
            <w:shd w:val="clear" w:color="auto" w:fill="FFFFFF"/>
            <w:tcMar>
              <w:top w:w="0" w:type="dxa"/>
              <w:left w:w="0" w:type="dxa"/>
              <w:bottom w:w="0" w:type="dxa"/>
              <w:right w:w="0" w:type="dxa"/>
            </w:tcMar>
            <w:vAlign w:val="center"/>
          </w:tcPr>
          <w:p w14:paraId="05C21FEC"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034F4FA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14AF152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1BCC4DF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07D70B4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Egypt</w:t>
            </w:r>
          </w:p>
        </w:tc>
        <w:tc>
          <w:tcPr>
            <w:tcW w:w="369" w:type="pct"/>
            <w:shd w:val="clear" w:color="auto" w:fill="FFFFFF"/>
            <w:tcMar>
              <w:top w:w="0" w:type="dxa"/>
              <w:left w:w="0" w:type="dxa"/>
              <w:bottom w:w="0" w:type="dxa"/>
              <w:right w:w="0" w:type="dxa"/>
            </w:tcMar>
            <w:vAlign w:val="center"/>
          </w:tcPr>
          <w:p w14:paraId="5FD8EF92" w14:textId="28A7C89D"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PEVuZE5vdGU+PENpdGUgRXhjbHVkZUF1dGg9IjEiIEV4Y2x1ZGVZZWFyPSIxIj48QXV0aG9yPkVs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PEVuZE5vdGU+PENpdGUgRXhjbHVkZUF1dGg9IjEiIEV4Y2x1ZGVZZWFyPSIxIj48QXV0aG9yPkVs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399</w:t>
            </w:r>
            <w:r w:rsidRPr="00734942">
              <w:rPr>
                <w:rFonts w:ascii="Arial" w:eastAsia="Arial" w:hAnsi="Arial" w:cs="Arial"/>
                <w:color w:val="111111"/>
                <w:sz w:val="18"/>
                <w:szCs w:val="18"/>
              </w:rPr>
              <w:fldChar w:fldCharType="end"/>
            </w:r>
          </w:p>
        </w:tc>
      </w:tr>
      <w:tr w:rsidR="007B756D" w:rsidRPr="00734942" w14:paraId="479A730C" w14:textId="77777777" w:rsidTr="006658D1">
        <w:trPr>
          <w:cantSplit/>
          <w:jc w:val="center"/>
        </w:trPr>
        <w:tc>
          <w:tcPr>
            <w:tcW w:w="686" w:type="pct"/>
            <w:shd w:val="clear" w:color="auto" w:fill="FFFFFF"/>
            <w:tcMar>
              <w:top w:w="0" w:type="dxa"/>
              <w:left w:w="0" w:type="dxa"/>
              <w:bottom w:w="0" w:type="dxa"/>
              <w:right w:w="0" w:type="dxa"/>
            </w:tcMar>
            <w:vAlign w:val="center"/>
          </w:tcPr>
          <w:p w14:paraId="5B9E865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413" w:type="pct"/>
            <w:shd w:val="clear" w:color="auto" w:fill="FFFFFF"/>
            <w:tcMar>
              <w:top w:w="0" w:type="dxa"/>
              <w:left w:w="0" w:type="dxa"/>
              <w:bottom w:w="0" w:type="dxa"/>
              <w:right w:w="0" w:type="dxa"/>
            </w:tcMar>
            <w:vAlign w:val="center"/>
          </w:tcPr>
          <w:p w14:paraId="6B94D1C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4741C4F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Autoimmune hepatitis</w:t>
            </w:r>
          </w:p>
        </w:tc>
        <w:tc>
          <w:tcPr>
            <w:tcW w:w="291" w:type="pct"/>
            <w:shd w:val="clear" w:color="auto" w:fill="FFFFFF"/>
            <w:tcMar>
              <w:top w:w="0" w:type="dxa"/>
              <w:left w:w="0" w:type="dxa"/>
              <w:bottom w:w="0" w:type="dxa"/>
              <w:right w:w="0" w:type="dxa"/>
            </w:tcMar>
            <w:vAlign w:val="center"/>
          </w:tcPr>
          <w:p w14:paraId="412F3989"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122</w:t>
            </w:r>
          </w:p>
        </w:tc>
        <w:tc>
          <w:tcPr>
            <w:tcW w:w="287" w:type="pct"/>
            <w:shd w:val="clear" w:color="auto" w:fill="FFFFFF"/>
            <w:tcMar>
              <w:top w:w="0" w:type="dxa"/>
              <w:left w:w="0" w:type="dxa"/>
              <w:bottom w:w="0" w:type="dxa"/>
              <w:right w:w="0" w:type="dxa"/>
            </w:tcMar>
            <w:vAlign w:val="center"/>
          </w:tcPr>
          <w:p w14:paraId="4BBF20E0"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NR</w:t>
            </w:r>
          </w:p>
        </w:tc>
        <w:tc>
          <w:tcPr>
            <w:tcW w:w="712" w:type="pct"/>
            <w:shd w:val="clear" w:color="auto" w:fill="FFFFFF"/>
            <w:tcMar>
              <w:top w:w="0" w:type="dxa"/>
              <w:left w:w="0" w:type="dxa"/>
              <w:bottom w:w="0" w:type="dxa"/>
              <w:right w:w="0" w:type="dxa"/>
            </w:tcMar>
            <w:vAlign w:val="center"/>
          </w:tcPr>
          <w:p w14:paraId="7E5CFE9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50A1246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50FD789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NR</w:t>
            </w:r>
          </w:p>
        </w:tc>
        <w:tc>
          <w:tcPr>
            <w:tcW w:w="356" w:type="pct"/>
            <w:shd w:val="clear" w:color="auto" w:fill="FFFFFF"/>
            <w:tcMar>
              <w:top w:w="0" w:type="dxa"/>
              <w:left w:w="0" w:type="dxa"/>
              <w:bottom w:w="0" w:type="dxa"/>
              <w:right w:w="0" w:type="dxa"/>
            </w:tcMar>
            <w:vAlign w:val="center"/>
          </w:tcPr>
          <w:p w14:paraId="2707895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Romania</w:t>
            </w:r>
          </w:p>
        </w:tc>
        <w:tc>
          <w:tcPr>
            <w:tcW w:w="369" w:type="pct"/>
            <w:shd w:val="clear" w:color="auto" w:fill="FFFFFF"/>
            <w:tcMar>
              <w:top w:w="0" w:type="dxa"/>
              <w:left w:w="0" w:type="dxa"/>
              <w:bottom w:w="0" w:type="dxa"/>
              <w:right w:w="0" w:type="dxa"/>
            </w:tcMar>
            <w:vAlign w:val="center"/>
          </w:tcPr>
          <w:p w14:paraId="672D1563" w14:textId="1B81F9EC"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PEVuZE5vdGU+PENpdGUgRXhjbHVkZUF1dGg9IjEiIEV4Y2x1ZGVZZWFyPSIxIj48QXV0aG9yPk9h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PEVuZE5vdGU+PENpdGUgRXhjbHVkZUF1dGg9IjEiIEV4Y2x1ZGVZZWFyPSIxIj48QXV0aG9yPk9h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400</w:t>
            </w:r>
            <w:r w:rsidRPr="00734942">
              <w:rPr>
                <w:rFonts w:ascii="Arial" w:eastAsia="Arial" w:hAnsi="Arial" w:cs="Arial"/>
                <w:color w:val="111111"/>
                <w:sz w:val="18"/>
                <w:szCs w:val="18"/>
              </w:rPr>
              <w:fldChar w:fldCharType="end"/>
            </w:r>
          </w:p>
        </w:tc>
      </w:tr>
      <w:tr w:rsidR="007B756D" w:rsidRPr="00734942" w14:paraId="3FC103DB" w14:textId="77777777" w:rsidTr="006658D1">
        <w:trPr>
          <w:cantSplit/>
          <w:jc w:val="center"/>
        </w:trPr>
        <w:tc>
          <w:tcPr>
            <w:tcW w:w="686" w:type="pct"/>
            <w:shd w:val="clear" w:color="auto" w:fill="FFFFFF"/>
            <w:tcMar>
              <w:top w:w="0" w:type="dxa"/>
              <w:left w:w="0" w:type="dxa"/>
              <w:bottom w:w="0" w:type="dxa"/>
              <w:right w:w="0" w:type="dxa"/>
            </w:tcMar>
            <w:vAlign w:val="center"/>
          </w:tcPr>
          <w:p w14:paraId="0B3C65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Mixed</w:t>
            </w:r>
          </w:p>
        </w:tc>
        <w:tc>
          <w:tcPr>
            <w:tcW w:w="413" w:type="pct"/>
            <w:shd w:val="clear" w:color="auto" w:fill="FFFFFF"/>
            <w:tcMar>
              <w:top w:w="0" w:type="dxa"/>
              <w:left w:w="0" w:type="dxa"/>
              <w:bottom w:w="0" w:type="dxa"/>
              <w:right w:w="0" w:type="dxa"/>
            </w:tcMar>
            <w:vAlign w:val="center"/>
          </w:tcPr>
          <w:p w14:paraId="270B1C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7056EC49" w14:textId="77777777" w:rsidR="007B756D" w:rsidRPr="00734942" w:rsidRDefault="007B756D" w:rsidP="006658D1">
            <w:pPr>
              <w:spacing w:before="40" w:after="40"/>
              <w:ind w:left="100" w:right="100"/>
            </w:pPr>
            <w:bookmarkStart w:id="379" w:name="_Hlk65240704"/>
            <w:r w:rsidRPr="00734942">
              <w:rPr>
                <w:rFonts w:ascii="Arial" w:eastAsia="Arial" w:hAnsi="Arial" w:cs="Arial"/>
                <w:color w:val="111111"/>
                <w:sz w:val="18"/>
                <w:szCs w:val="18"/>
              </w:rPr>
              <w:t>HCV, HBV, AIH, PBC, PSC, NAFLD-ALD, NAFLD</w:t>
            </w:r>
            <w:bookmarkEnd w:id="379"/>
            <w:r w:rsidRPr="00734942">
              <w:rPr>
                <w:rFonts w:ascii="Arial" w:eastAsia="Arial" w:hAnsi="Arial" w:cs="Arial"/>
                <w:color w:val="111111"/>
                <w:sz w:val="18"/>
                <w:szCs w:val="18"/>
              </w:rPr>
              <w:t>, and others</w:t>
            </w:r>
          </w:p>
        </w:tc>
        <w:tc>
          <w:tcPr>
            <w:tcW w:w="291" w:type="pct"/>
            <w:shd w:val="clear" w:color="auto" w:fill="FFFFFF"/>
            <w:tcMar>
              <w:top w:w="0" w:type="dxa"/>
              <w:left w:w="0" w:type="dxa"/>
              <w:bottom w:w="0" w:type="dxa"/>
              <w:right w:w="0" w:type="dxa"/>
            </w:tcMar>
            <w:vAlign w:val="center"/>
          </w:tcPr>
          <w:p w14:paraId="51B3A08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2,084</w:t>
            </w:r>
          </w:p>
        </w:tc>
        <w:tc>
          <w:tcPr>
            <w:tcW w:w="287" w:type="pct"/>
            <w:shd w:val="clear" w:color="auto" w:fill="FFFFFF"/>
            <w:tcMar>
              <w:top w:w="0" w:type="dxa"/>
              <w:left w:w="0" w:type="dxa"/>
              <w:bottom w:w="0" w:type="dxa"/>
              <w:right w:w="0" w:type="dxa"/>
            </w:tcMar>
            <w:vAlign w:val="center"/>
          </w:tcPr>
          <w:p w14:paraId="73217BF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712" w:type="pct"/>
            <w:shd w:val="clear" w:color="auto" w:fill="FFFFFF"/>
            <w:tcMar>
              <w:top w:w="0" w:type="dxa"/>
              <w:left w:w="0" w:type="dxa"/>
              <w:bottom w:w="0" w:type="dxa"/>
              <w:right w:w="0" w:type="dxa"/>
            </w:tcMar>
            <w:vAlign w:val="center"/>
          </w:tcPr>
          <w:p w14:paraId="669D52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3C8412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31BF5F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15B8F2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Greece</w:t>
            </w:r>
          </w:p>
        </w:tc>
        <w:tc>
          <w:tcPr>
            <w:tcW w:w="369" w:type="pct"/>
            <w:shd w:val="clear" w:color="auto" w:fill="FFFFFF"/>
            <w:tcMar>
              <w:top w:w="0" w:type="dxa"/>
              <w:left w:w="0" w:type="dxa"/>
              <w:bottom w:w="0" w:type="dxa"/>
              <w:right w:w="0" w:type="dxa"/>
            </w:tcMar>
            <w:vAlign w:val="center"/>
          </w:tcPr>
          <w:p w14:paraId="73347D8A" w14:textId="086119E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PEVuZE5vdGU+PENpdGUgRXhjbHVkZUF1dGg9IjEiIEV4Y2x1ZGVZZWFyPSIxIj48QXV0aG9yPkdl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PEVuZE5vdGU+PENpdGUgRXhjbHVkZUF1dGg9IjEiIEV4Y2x1ZGVZZWFyPSIxIj48QXV0aG9yPkdl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401</w:t>
            </w:r>
            <w:r w:rsidRPr="00734942">
              <w:rPr>
                <w:rFonts w:ascii="Arial" w:eastAsia="Arial" w:hAnsi="Arial" w:cs="Arial"/>
                <w:color w:val="111111"/>
                <w:sz w:val="18"/>
                <w:szCs w:val="18"/>
              </w:rPr>
              <w:fldChar w:fldCharType="end"/>
            </w:r>
          </w:p>
        </w:tc>
      </w:tr>
      <w:tr w:rsidR="007B756D" w:rsidRPr="00734942" w14:paraId="4DA0F74C" w14:textId="77777777" w:rsidTr="006658D1">
        <w:trPr>
          <w:cantSplit/>
          <w:jc w:val="center"/>
        </w:trPr>
        <w:tc>
          <w:tcPr>
            <w:tcW w:w="686" w:type="pct"/>
            <w:shd w:val="clear" w:color="auto" w:fill="FFFFFF"/>
            <w:tcMar>
              <w:top w:w="0" w:type="dxa"/>
              <w:left w:w="0" w:type="dxa"/>
              <w:bottom w:w="0" w:type="dxa"/>
              <w:right w:w="0" w:type="dxa"/>
            </w:tcMar>
            <w:vAlign w:val="center"/>
          </w:tcPr>
          <w:p w14:paraId="6ABDB19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Mixed</w:t>
            </w:r>
          </w:p>
        </w:tc>
        <w:tc>
          <w:tcPr>
            <w:tcW w:w="413" w:type="pct"/>
            <w:shd w:val="clear" w:color="auto" w:fill="FFFFFF"/>
            <w:tcMar>
              <w:top w:w="0" w:type="dxa"/>
              <w:left w:w="0" w:type="dxa"/>
              <w:bottom w:w="0" w:type="dxa"/>
              <w:right w:w="0" w:type="dxa"/>
            </w:tcMar>
            <w:vAlign w:val="center"/>
          </w:tcPr>
          <w:p w14:paraId="0A53B1B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47D4D57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Autoimmune hepatitis</w:t>
            </w:r>
          </w:p>
        </w:tc>
        <w:tc>
          <w:tcPr>
            <w:tcW w:w="291" w:type="pct"/>
            <w:shd w:val="clear" w:color="auto" w:fill="FFFFFF"/>
            <w:tcMar>
              <w:top w:w="0" w:type="dxa"/>
              <w:left w:w="0" w:type="dxa"/>
              <w:bottom w:w="0" w:type="dxa"/>
              <w:right w:w="0" w:type="dxa"/>
            </w:tcMar>
            <w:vAlign w:val="center"/>
          </w:tcPr>
          <w:p w14:paraId="4B0D8A2C"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167</w:t>
            </w:r>
          </w:p>
        </w:tc>
        <w:tc>
          <w:tcPr>
            <w:tcW w:w="287" w:type="pct"/>
            <w:shd w:val="clear" w:color="auto" w:fill="FFFFFF"/>
            <w:tcMar>
              <w:top w:w="0" w:type="dxa"/>
              <w:left w:w="0" w:type="dxa"/>
              <w:bottom w:w="0" w:type="dxa"/>
              <w:right w:w="0" w:type="dxa"/>
            </w:tcMar>
            <w:vAlign w:val="center"/>
          </w:tcPr>
          <w:p w14:paraId="617A9B51"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NR</w:t>
            </w:r>
          </w:p>
        </w:tc>
        <w:tc>
          <w:tcPr>
            <w:tcW w:w="712" w:type="pct"/>
            <w:shd w:val="clear" w:color="auto" w:fill="FFFFFF"/>
            <w:tcMar>
              <w:top w:w="0" w:type="dxa"/>
              <w:left w:w="0" w:type="dxa"/>
              <w:bottom w:w="0" w:type="dxa"/>
              <w:right w:w="0" w:type="dxa"/>
            </w:tcMar>
            <w:vAlign w:val="center"/>
          </w:tcPr>
          <w:p w14:paraId="37A54A6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5B23C19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Other</w:t>
            </w:r>
          </w:p>
        </w:tc>
        <w:tc>
          <w:tcPr>
            <w:tcW w:w="398" w:type="pct"/>
            <w:shd w:val="clear" w:color="auto" w:fill="FFFFFF"/>
            <w:tcMar>
              <w:top w:w="0" w:type="dxa"/>
              <w:left w:w="0" w:type="dxa"/>
              <w:bottom w:w="0" w:type="dxa"/>
              <w:right w:w="0" w:type="dxa"/>
            </w:tcMar>
            <w:vAlign w:val="center"/>
          </w:tcPr>
          <w:p w14:paraId="05C74B0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499503D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74C1E5FC" w14:textId="0B95993F"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PEVuZE5vdGU+PENpdGUgRXhjbHVkZUF1dGg9IjEiIEV4Y2x1ZGVZZWFyPSIxIj48QXV0aG9yPlZp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PEVuZE5vdGU+PENpdGUgRXhjbHVkZUF1dGg9IjEiIEV4Y2x1ZGVZZWFyPSIxIj48QXV0aG9yPlZp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402</w:t>
            </w:r>
            <w:r w:rsidRPr="00734942">
              <w:rPr>
                <w:rFonts w:ascii="Arial" w:eastAsia="Arial" w:hAnsi="Arial" w:cs="Arial"/>
                <w:color w:val="111111"/>
                <w:sz w:val="18"/>
                <w:szCs w:val="18"/>
              </w:rPr>
              <w:fldChar w:fldCharType="end"/>
            </w:r>
          </w:p>
        </w:tc>
      </w:tr>
      <w:tr w:rsidR="007B756D" w:rsidRPr="00734942" w14:paraId="214CCC8C" w14:textId="77777777" w:rsidTr="006658D1">
        <w:trPr>
          <w:cantSplit/>
          <w:jc w:val="center"/>
        </w:trPr>
        <w:tc>
          <w:tcPr>
            <w:tcW w:w="686" w:type="pct"/>
            <w:shd w:val="clear" w:color="auto" w:fill="FFFFFF"/>
            <w:tcMar>
              <w:top w:w="0" w:type="dxa"/>
              <w:left w:w="0" w:type="dxa"/>
              <w:bottom w:w="0" w:type="dxa"/>
              <w:right w:w="0" w:type="dxa"/>
            </w:tcMar>
            <w:vAlign w:val="center"/>
          </w:tcPr>
          <w:p w14:paraId="333BF7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13" w:type="pct"/>
            <w:shd w:val="clear" w:color="auto" w:fill="FFFFFF"/>
            <w:tcMar>
              <w:top w:w="0" w:type="dxa"/>
              <w:left w:w="0" w:type="dxa"/>
              <w:bottom w:w="0" w:type="dxa"/>
              <w:right w:w="0" w:type="dxa"/>
            </w:tcMar>
            <w:vAlign w:val="center"/>
          </w:tcPr>
          <w:p w14:paraId="1E8367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shd w:val="clear" w:color="auto" w:fill="FFFFFF"/>
            <w:tcMar>
              <w:top w:w="0" w:type="dxa"/>
              <w:left w:w="0" w:type="dxa"/>
              <w:bottom w:w="0" w:type="dxa"/>
              <w:right w:w="0" w:type="dxa"/>
            </w:tcMar>
            <w:vAlign w:val="center"/>
          </w:tcPr>
          <w:p w14:paraId="323114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Chronic hepatitis C</w:t>
            </w:r>
          </w:p>
        </w:tc>
        <w:tc>
          <w:tcPr>
            <w:tcW w:w="291" w:type="pct"/>
            <w:shd w:val="clear" w:color="auto" w:fill="FFFFFF"/>
            <w:tcMar>
              <w:top w:w="0" w:type="dxa"/>
              <w:left w:w="0" w:type="dxa"/>
              <w:bottom w:w="0" w:type="dxa"/>
              <w:right w:w="0" w:type="dxa"/>
            </w:tcMar>
            <w:vAlign w:val="center"/>
          </w:tcPr>
          <w:p w14:paraId="1FDE4A3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267</w:t>
            </w:r>
          </w:p>
        </w:tc>
        <w:tc>
          <w:tcPr>
            <w:tcW w:w="287" w:type="pct"/>
            <w:shd w:val="clear" w:color="auto" w:fill="FFFFFF"/>
            <w:tcMar>
              <w:top w:w="0" w:type="dxa"/>
              <w:left w:w="0" w:type="dxa"/>
              <w:bottom w:w="0" w:type="dxa"/>
              <w:right w:w="0" w:type="dxa"/>
            </w:tcMar>
            <w:vAlign w:val="center"/>
          </w:tcPr>
          <w:p w14:paraId="2DD144F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712" w:type="pct"/>
            <w:shd w:val="clear" w:color="auto" w:fill="FFFFFF"/>
            <w:tcMar>
              <w:top w:w="0" w:type="dxa"/>
              <w:left w:w="0" w:type="dxa"/>
              <w:bottom w:w="0" w:type="dxa"/>
              <w:right w:w="0" w:type="dxa"/>
            </w:tcMar>
            <w:vAlign w:val="center"/>
          </w:tcPr>
          <w:p w14:paraId="504EB72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shd w:val="clear" w:color="auto" w:fill="FFFFFF"/>
            <w:tcMar>
              <w:top w:w="0" w:type="dxa"/>
              <w:left w:w="0" w:type="dxa"/>
              <w:bottom w:w="0" w:type="dxa"/>
              <w:right w:w="0" w:type="dxa"/>
            </w:tcMar>
            <w:vAlign w:val="center"/>
          </w:tcPr>
          <w:p w14:paraId="76D538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6CECE3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shd w:val="clear" w:color="auto" w:fill="FFFFFF"/>
            <w:tcMar>
              <w:top w:w="0" w:type="dxa"/>
              <w:left w:w="0" w:type="dxa"/>
              <w:bottom w:w="0" w:type="dxa"/>
              <w:right w:w="0" w:type="dxa"/>
            </w:tcMar>
            <w:vAlign w:val="center"/>
          </w:tcPr>
          <w:p w14:paraId="56D5E48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Spain</w:t>
            </w:r>
          </w:p>
        </w:tc>
        <w:tc>
          <w:tcPr>
            <w:tcW w:w="369" w:type="pct"/>
            <w:shd w:val="clear" w:color="auto" w:fill="FFFFFF"/>
            <w:tcMar>
              <w:top w:w="0" w:type="dxa"/>
              <w:left w:w="0" w:type="dxa"/>
              <w:bottom w:w="0" w:type="dxa"/>
              <w:right w:w="0" w:type="dxa"/>
            </w:tcMar>
            <w:vAlign w:val="center"/>
          </w:tcPr>
          <w:p w14:paraId="66AD4C16" w14:textId="79328FF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PEVuZE5vdGU+PENpdGUgRXhjbHVkZUF1dGg9IjEiIEV4Y2x1ZGVZZWFyPSIxIj48QXV0aG9yPlZp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PEVuZE5vdGU+PENpdGUgRXhjbHVkZUF1dGg9IjEiIEV4Y2x1ZGVZZWFyPSIxIj48QXV0aG9yPlZp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313</w:t>
            </w:r>
            <w:r w:rsidRPr="00734942">
              <w:rPr>
                <w:rFonts w:ascii="Arial" w:eastAsia="Arial" w:hAnsi="Arial" w:cs="Arial"/>
                <w:color w:val="111111"/>
                <w:sz w:val="18"/>
                <w:szCs w:val="18"/>
              </w:rPr>
              <w:fldChar w:fldCharType="end"/>
            </w:r>
          </w:p>
        </w:tc>
      </w:tr>
      <w:tr w:rsidR="007B756D" w:rsidRPr="00734942" w14:paraId="33372903" w14:textId="77777777" w:rsidTr="006658D1">
        <w:trPr>
          <w:cantSplit/>
          <w:jc w:val="center"/>
        </w:trPr>
        <w:tc>
          <w:tcPr>
            <w:tcW w:w="686" w:type="pct"/>
            <w:tcBorders>
              <w:bottom w:val="single" w:sz="16" w:space="0" w:color="000000"/>
            </w:tcBorders>
            <w:shd w:val="clear" w:color="auto" w:fill="FFFFFF"/>
            <w:tcMar>
              <w:top w:w="0" w:type="dxa"/>
              <w:left w:w="0" w:type="dxa"/>
              <w:bottom w:w="0" w:type="dxa"/>
              <w:right w:w="0" w:type="dxa"/>
            </w:tcMar>
            <w:vAlign w:val="center"/>
          </w:tcPr>
          <w:p w14:paraId="1A4FE7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13" w:type="pct"/>
            <w:tcBorders>
              <w:bottom w:val="single" w:sz="16" w:space="0" w:color="000000"/>
            </w:tcBorders>
            <w:shd w:val="clear" w:color="auto" w:fill="FFFFFF"/>
            <w:tcMar>
              <w:top w:w="0" w:type="dxa"/>
              <w:left w:w="0" w:type="dxa"/>
              <w:bottom w:w="0" w:type="dxa"/>
              <w:right w:w="0" w:type="dxa"/>
            </w:tcMar>
            <w:vAlign w:val="center"/>
          </w:tcPr>
          <w:p w14:paraId="067324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936" w:type="pct"/>
            <w:tcBorders>
              <w:bottom w:val="single" w:sz="16" w:space="0" w:color="000000"/>
            </w:tcBorders>
            <w:shd w:val="clear" w:color="auto" w:fill="FFFFFF"/>
            <w:tcMar>
              <w:top w:w="0" w:type="dxa"/>
              <w:left w:w="0" w:type="dxa"/>
              <w:bottom w:w="0" w:type="dxa"/>
              <w:right w:w="0" w:type="dxa"/>
            </w:tcMar>
            <w:vAlign w:val="center"/>
          </w:tcPr>
          <w:p w14:paraId="0A4B39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Chronic hepatitis C</w:t>
            </w:r>
          </w:p>
        </w:tc>
        <w:tc>
          <w:tcPr>
            <w:tcW w:w="291" w:type="pct"/>
            <w:tcBorders>
              <w:bottom w:val="single" w:sz="16" w:space="0" w:color="000000"/>
            </w:tcBorders>
            <w:shd w:val="clear" w:color="auto" w:fill="FFFFFF"/>
            <w:tcMar>
              <w:top w:w="0" w:type="dxa"/>
              <w:left w:w="0" w:type="dxa"/>
              <w:bottom w:w="0" w:type="dxa"/>
              <w:right w:w="0" w:type="dxa"/>
            </w:tcMar>
            <w:vAlign w:val="center"/>
          </w:tcPr>
          <w:p w14:paraId="02F38E5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w:t>
            </w:r>
          </w:p>
        </w:tc>
        <w:tc>
          <w:tcPr>
            <w:tcW w:w="287" w:type="pct"/>
            <w:tcBorders>
              <w:bottom w:val="single" w:sz="16" w:space="0" w:color="000000"/>
            </w:tcBorders>
            <w:shd w:val="clear" w:color="auto" w:fill="FFFFFF"/>
            <w:tcMar>
              <w:top w:w="0" w:type="dxa"/>
              <w:left w:w="0" w:type="dxa"/>
              <w:bottom w:w="0" w:type="dxa"/>
              <w:right w:w="0" w:type="dxa"/>
            </w:tcMar>
            <w:vAlign w:val="center"/>
          </w:tcPr>
          <w:p w14:paraId="54A932D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712" w:type="pct"/>
            <w:tcBorders>
              <w:bottom w:val="single" w:sz="16" w:space="0" w:color="000000"/>
            </w:tcBorders>
            <w:shd w:val="clear" w:color="auto" w:fill="FFFFFF"/>
            <w:tcMar>
              <w:top w:w="0" w:type="dxa"/>
              <w:left w:w="0" w:type="dxa"/>
              <w:bottom w:w="0" w:type="dxa"/>
              <w:right w:w="0" w:type="dxa"/>
            </w:tcMar>
            <w:vAlign w:val="center"/>
          </w:tcPr>
          <w:p w14:paraId="7A0F5C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52" w:type="pct"/>
            <w:tcBorders>
              <w:bottom w:val="single" w:sz="16" w:space="0" w:color="000000"/>
            </w:tcBorders>
            <w:shd w:val="clear" w:color="auto" w:fill="FFFFFF"/>
            <w:tcMar>
              <w:top w:w="0" w:type="dxa"/>
              <w:left w:w="0" w:type="dxa"/>
              <w:bottom w:w="0" w:type="dxa"/>
              <w:right w:w="0" w:type="dxa"/>
            </w:tcMar>
            <w:vAlign w:val="center"/>
          </w:tcPr>
          <w:p w14:paraId="3A4E7D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398" w:type="pct"/>
            <w:tcBorders>
              <w:bottom w:val="single" w:sz="16" w:space="0" w:color="000000"/>
            </w:tcBorders>
            <w:shd w:val="clear" w:color="auto" w:fill="FFFFFF"/>
            <w:tcMar>
              <w:top w:w="0" w:type="dxa"/>
              <w:left w:w="0" w:type="dxa"/>
              <w:bottom w:w="0" w:type="dxa"/>
              <w:right w:w="0" w:type="dxa"/>
            </w:tcMar>
            <w:vAlign w:val="center"/>
          </w:tcPr>
          <w:p w14:paraId="704038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56" w:type="pct"/>
            <w:tcBorders>
              <w:bottom w:val="single" w:sz="16" w:space="0" w:color="000000"/>
            </w:tcBorders>
            <w:shd w:val="clear" w:color="auto" w:fill="FFFFFF"/>
            <w:tcMar>
              <w:top w:w="0" w:type="dxa"/>
              <w:left w:w="0" w:type="dxa"/>
              <w:bottom w:w="0" w:type="dxa"/>
              <w:right w:w="0" w:type="dxa"/>
            </w:tcMar>
            <w:vAlign w:val="center"/>
          </w:tcPr>
          <w:p w14:paraId="6AD465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tcBorders>
              <w:bottom w:val="single" w:sz="16" w:space="0" w:color="000000"/>
            </w:tcBorders>
            <w:shd w:val="clear" w:color="auto" w:fill="FFFFFF"/>
            <w:tcMar>
              <w:top w:w="0" w:type="dxa"/>
              <w:left w:w="0" w:type="dxa"/>
              <w:bottom w:w="0" w:type="dxa"/>
              <w:right w:w="0" w:type="dxa"/>
            </w:tcMar>
            <w:vAlign w:val="center"/>
          </w:tcPr>
          <w:p w14:paraId="7153B442" w14:textId="3038FD4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PEVuZE5vdGU+PENpdGUgRXhjbHVkZUF1dGg9IjEiIEV4Y2x1ZGVZZWFyPSIxIj48QXV0aG9yPlZp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PEVuZE5vdGU+PENpdGUgRXhjbHVkZUF1dGg9IjEiIEV4Y2x1ZGVZZWFyPSIxIj48QXV0aG9yPlZp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402</w:t>
            </w:r>
            <w:r w:rsidRPr="00734942">
              <w:rPr>
                <w:rFonts w:ascii="Arial" w:eastAsia="Arial" w:hAnsi="Arial" w:cs="Arial"/>
                <w:color w:val="111111"/>
                <w:sz w:val="18"/>
                <w:szCs w:val="18"/>
              </w:rPr>
              <w:fldChar w:fldCharType="end"/>
            </w:r>
          </w:p>
        </w:tc>
      </w:tr>
    </w:tbl>
    <w:p w14:paraId="662D1441" w14:textId="77777777" w:rsidR="007B756D" w:rsidRPr="00734942" w:rsidRDefault="007B756D" w:rsidP="007B756D"/>
    <w:p w14:paraId="4B927797" w14:textId="6B92FAFC" w:rsidR="00DA0CBC" w:rsidRDefault="00DA0CBC" w:rsidP="000526F1">
      <w:pPr>
        <w:pStyle w:val="Caption"/>
      </w:pPr>
      <w:bookmarkStart w:id="380" w:name="_Toc99720751"/>
      <w:r>
        <w:t xml:space="preserve">Table </w:t>
      </w:r>
      <w:r w:rsidR="00C34531">
        <w:fldChar w:fldCharType="begin"/>
      </w:r>
      <w:r w:rsidR="00C34531">
        <w:instrText xml:space="preserve"> SEQ Table \* ARABIC </w:instrText>
      </w:r>
      <w:r w:rsidR="00C34531">
        <w:fldChar w:fldCharType="separate"/>
      </w:r>
      <w:r w:rsidR="008B5583">
        <w:rPr>
          <w:noProof/>
        </w:rPr>
        <w:t>40</w:t>
      </w:r>
      <w:r w:rsidR="00C34531">
        <w:rPr>
          <w:noProof/>
        </w:rPr>
        <w:fldChar w:fldCharType="end"/>
      </w:r>
      <w:r>
        <w:t xml:space="preserve">  </w:t>
      </w:r>
      <w:r w:rsidRPr="00E73355">
        <w:t>Study characteristics: Migraine</w:t>
      </w:r>
      <w:bookmarkEnd w:id="380"/>
    </w:p>
    <w:tbl>
      <w:tblPr>
        <w:tblW w:w="5000" w:type="pct"/>
        <w:jc w:val="center"/>
        <w:tblLook w:val="0420" w:firstRow="1" w:lastRow="0" w:firstColumn="0" w:lastColumn="0" w:noHBand="0" w:noVBand="1"/>
      </w:tblPr>
      <w:tblGrid>
        <w:gridCol w:w="2165"/>
        <w:gridCol w:w="1339"/>
        <w:gridCol w:w="1529"/>
        <w:gridCol w:w="1041"/>
        <w:gridCol w:w="1231"/>
        <w:gridCol w:w="1253"/>
        <w:gridCol w:w="2426"/>
        <w:gridCol w:w="1061"/>
        <w:gridCol w:w="882"/>
        <w:gridCol w:w="1031"/>
      </w:tblGrid>
      <w:tr w:rsidR="00C8418F" w:rsidRPr="00734942" w14:paraId="3A8D84C7" w14:textId="77777777" w:rsidTr="00DA0CBC">
        <w:trPr>
          <w:cantSplit/>
          <w:tblHeader/>
          <w:jc w:val="center"/>
        </w:trPr>
        <w:tc>
          <w:tcPr>
            <w:tcW w:w="77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92F14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E43AD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54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57277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7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35B0B7A"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44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6D3FA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44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D2F56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8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C275A0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CB5AF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12490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2D899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5C2C897E" w14:textId="77777777" w:rsidTr="00DA0CBC">
        <w:trPr>
          <w:cantSplit/>
          <w:jc w:val="center"/>
        </w:trPr>
        <w:tc>
          <w:tcPr>
            <w:tcW w:w="776" w:type="pct"/>
            <w:shd w:val="clear" w:color="auto" w:fill="FFFFFF"/>
            <w:tcMar>
              <w:top w:w="0" w:type="dxa"/>
              <w:left w:w="0" w:type="dxa"/>
              <w:bottom w:w="0" w:type="dxa"/>
              <w:right w:w="0" w:type="dxa"/>
            </w:tcMar>
            <w:vAlign w:val="center"/>
          </w:tcPr>
          <w:p w14:paraId="622B9F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80" w:type="pct"/>
            <w:shd w:val="clear" w:color="auto" w:fill="FFFFFF"/>
            <w:tcMar>
              <w:top w:w="0" w:type="dxa"/>
              <w:left w:w="0" w:type="dxa"/>
              <w:bottom w:w="0" w:type="dxa"/>
              <w:right w:w="0" w:type="dxa"/>
            </w:tcMar>
            <w:vAlign w:val="center"/>
          </w:tcPr>
          <w:p w14:paraId="3E9F8A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48" w:type="pct"/>
            <w:shd w:val="clear" w:color="auto" w:fill="FFFFFF"/>
            <w:tcMar>
              <w:top w:w="0" w:type="dxa"/>
              <w:left w:w="0" w:type="dxa"/>
              <w:bottom w:w="0" w:type="dxa"/>
              <w:right w:w="0" w:type="dxa"/>
            </w:tcMar>
            <w:vAlign w:val="center"/>
          </w:tcPr>
          <w:p w14:paraId="0992BA0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Migraine</w:t>
            </w:r>
          </w:p>
        </w:tc>
        <w:tc>
          <w:tcPr>
            <w:tcW w:w="373" w:type="pct"/>
            <w:shd w:val="clear" w:color="auto" w:fill="FFFFFF"/>
            <w:tcMar>
              <w:top w:w="0" w:type="dxa"/>
              <w:left w:w="0" w:type="dxa"/>
              <w:bottom w:w="0" w:type="dxa"/>
              <w:right w:w="0" w:type="dxa"/>
            </w:tcMar>
            <w:vAlign w:val="center"/>
          </w:tcPr>
          <w:p w14:paraId="5CF6AB7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326</w:t>
            </w:r>
          </w:p>
        </w:tc>
        <w:tc>
          <w:tcPr>
            <w:tcW w:w="441" w:type="pct"/>
            <w:shd w:val="clear" w:color="auto" w:fill="FFFFFF"/>
            <w:tcMar>
              <w:top w:w="0" w:type="dxa"/>
              <w:left w:w="0" w:type="dxa"/>
              <w:bottom w:w="0" w:type="dxa"/>
              <w:right w:w="0" w:type="dxa"/>
            </w:tcMar>
            <w:vAlign w:val="center"/>
          </w:tcPr>
          <w:p w14:paraId="7E1C5AF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49" w:type="pct"/>
            <w:shd w:val="clear" w:color="auto" w:fill="FFFFFF"/>
            <w:tcMar>
              <w:top w:w="0" w:type="dxa"/>
              <w:left w:w="0" w:type="dxa"/>
              <w:bottom w:w="0" w:type="dxa"/>
              <w:right w:w="0" w:type="dxa"/>
            </w:tcMar>
            <w:vAlign w:val="center"/>
          </w:tcPr>
          <w:p w14:paraId="20DB20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69" w:type="pct"/>
            <w:shd w:val="clear" w:color="auto" w:fill="FFFFFF"/>
            <w:tcMar>
              <w:top w:w="0" w:type="dxa"/>
              <w:left w:w="0" w:type="dxa"/>
              <w:bottom w:w="0" w:type="dxa"/>
              <w:right w:w="0" w:type="dxa"/>
            </w:tcMar>
            <w:vAlign w:val="center"/>
          </w:tcPr>
          <w:p w14:paraId="11884B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34B5DA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F8266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089F23C9" w14:textId="3336944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ExcludeYear="1"&gt;&lt;Author&gt;Gabrielli&lt;/Author&gt;&lt;Year&gt;2003&lt;/Year&gt;&lt;RecNum&gt;227&lt;/RecNum&gt;&lt;DisplayText&gt;&lt;style face="superscript"&gt;403&lt;/style&gt;&lt;/DisplayText&gt;&lt;record&gt;&lt;rec-number&gt;227&lt;/rec-number&gt;&lt;foreign-keys&gt;&lt;key app="EN" db-id="tdwrx9xd1z9eepeevr355w2k959rv0f5zaax" timestamp="1632756135"&gt;227&lt;/key&gt;&lt;/foreign-keys&gt;&lt;ref-type name="Journal Article"&gt;17&lt;/ref-type&gt;&lt;contributors&gt;&lt;authors&gt;&lt;author&gt;Gabrielli, M.&lt;/author&gt;&lt;author&gt;Fiore, G.&lt;/author&gt;&lt;author&gt;Addolorato, G.&lt;/author&gt;&lt;author&gt;Padalino, C.&lt;/author&gt;&lt;author&gt;Candelli, M.&lt;/author&gt;&lt;author&gt;De Leo, M. E.&lt;/author&gt;&lt;author&gt;Santarelli, L.&lt;/author&gt;&lt;author&gt;Giacovazzo, M.&lt;/author&gt;&lt;author&gt;Gasbarrini, G.&lt;/author&gt;&lt;author&gt;Pola, P.&lt;/author&gt;&lt;author&gt;Gasbarrini, A.&lt;/author&gt;&lt;author&gt;Cremonini, F.&lt;/author&gt;&lt;/authors&gt;&lt;/contributors&gt;&lt;titles&gt;&lt;title&gt;Association between migraine and celiac disease: Results from a preliminary case-control and therapeutic study. (vol 98, pg 625, 2003)&lt;/title&gt;&lt;secondary-title&gt;American Journal of Gastroenterology&lt;/secondary-title&gt;&lt;/titles&gt;&lt;periodical&gt;&lt;full-title&gt;American Journal of Gastroenterology&lt;/full-title&gt;&lt;/periodical&gt;&lt;pages&gt;1674-1674&lt;/pages&gt;&lt;volume&gt;98&lt;/volume&gt;&lt;number&gt;7&lt;/number&gt;&lt;dates&gt;&lt;year&gt;2003&lt;/year&gt;&lt;pub-dates&gt;&lt;date&gt;Jul&lt;/date&gt;&lt;/pub-dates&gt;&lt;/dates&gt;&lt;isbn&gt;0002-9270&lt;/isbn&gt;&lt;accession-num&gt;WOS:000184216400051&lt;/accession-num&gt;&lt;urls&gt;&lt;related-urls&gt;&lt;url&gt;&amp;lt;Go to ISI&amp;gt;://WOS:000184216400051&lt;/url&gt;&lt;/related-urls&gt;&lt;/urls&gt;&lt;remote-database-name&gt;Web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403</w:t>
            </w:r>
            <w:r w:rsidRPr="00734942">
              <w:rPr>
                <w:rFonts w:ascii="Arial" w:eastAsia="Arial" w:hAnsi="Arial" w:cs="Arial"/>
                <w:color w:val="111111"/>
                <w:sz w:val="18"/>
                <w:szCs w:val="18"/>
              </w:rPr>
              <w:fldChar w:fldCharType="end"/>
            </w:r>
          </w:p>
        </w:tc>
      </w:tr>
      <w:tr w:rsidR="00C8418F" w:rsidRPr="00734942" w14:paraId="0BD52FC9" w14:textId="77777777" w:rsidTr="00DA0CBC">
        <w:trPr>
          <w:cantSplit/>
          <w:jc w:val="center"/>
        </w:trPr>
        <w:tc>
          <w:tcPr>
            <w:tcW w:w="776" w:type="pct"/>
            <w:shd w:val="clear" w:color="auto" w:fill="FFFFFF"/>
            <w:tcMar>
              <w:top w:w="0" w:type="dxa"/>
              <w:left w:w="0" w:type="dxa"/>
              <w:bottom w:w="0" w:type="dxa"/>
              <w:right w:w="0" w:type="dxa"/>
            </w:tcMar>
            <w:vAlign w:val="center"/>
          </w:tcPr>
          <w:p w14:paraId="33A39EC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80" w:type="pct"/>
            <w:shd w:val="clear" w:color="auto" w:fill="FFFFFF"/>
            <w:tcMar>
              <w:top w:w="0" w:type="dxa"/>
              <w:left w:w="0" w:type="dxa"/>
              <w:bottom w:w="0" w:type="dxa"/>
              <w:right w:w="0" w:type="dxa"/>
            </w:tcMar>
            <w:vAlign w:val="center"/>
          </w:tcPr>
          <w:p w14:paraId="2710449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48" w:type="pct"/>
            <w:shd w:val="clear" w:color="auto" w:fill="FFFFFF"/>
            <w:tcMar>
              <w:top w:w="0" w:type="dxa"/>
              <w:left w:w="0" w:type="dxa"/>
              <w:bottom w:w="0" w:type="dxa"/>
              <w:right w:w="0" w:type="dxa"/>
            </w:tcMar>
            <w:vAlign w:val="center"/>
          </w:tcPr>
          <w:p w14:paraId="362423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Migraine</w:t>
            </w:r>
          </w:p>
        </w:tc>
        <w:tc>
          <w:tcPr>
            <w:tcW w:w="373" w:type="pct"/>
            <w:shd w:val="clear" w:color="auto" w:fill="FFFFFF"/>
            <w:tcMar>
              <w:top w:w="0" w:type="dxa"/>
              <w:left w:w="0" w:type="dxa"/>
              <w:bottom w:w="0" w:type="dxa"/>
              <w:right w:w="0" w:type="dxa"/>
            </w:tcMar>
            <w:vAlign w:val="center"/>
          </w:tcPr>
          <w:p w14:paraId="2362A86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257</w:t>
            </w:r>
          </w:p>
        </w:tc>
        <w:tc>
          <w:tcPr>
            <w:tcW w:w="441" w:type="pct"/>
            <w:shd w:val="clear" w:color="auto" w:fill="FFFFFF"/>
            <w:tcMar>
              <w:top w:w="0" w:type="dxa"/>
              <w:left w:w="0" w:type="dxa"/>
              <w:bottom w:w="0" w:type="dxa"/>
              <w:right w:w="0" w:type="dxa"/>
            </w:tcMar>
            <w:vAlign w:val="center"/>
          </w:tcPr>
          <w:p w14:paraId="1AE2839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49" w:type="pct"/>
            <w:shd w:val="clear" w:color="auto" w:fill="FFFFFF"/>
            <w:tcMar>
              <w:top w:w="0" w:type="dxa"/>
              <w:left w:w="0" w:type="dxa"/>
              <w:bottom w:w="0" w:type="dxa"/>
              <w:right w:w="0" w:type="dxa"/>
            </w:tcMar>
            <w:vAlign w:val="center"/>
          </w:tcPr>
          <w:p w14:paraId="7EDEA5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69" w:type="pct"/>
            <w:shd w:val="clear" w:color="auto" w:fill="FFFFFF"/>
            <w:tcMar>
              <w:top w:w="0" w:type="dxa"/>
              <w:left w:w="0" w:type="dxa"/>
              <w:bottom w:w="0" w:type="dxa"/>
              <w:right w:w="0" w:type="dxa"/>
            </w:tcMar>
            <w:vAlign w:val="center"/>
          </w:tcPr>
          <w:p w14:paraId="3E85A5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283765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035DF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5DD33CED" w14:textId="6714DDB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PEVuZE5vdGU+PENpdGUgRXhjbHVkZUF1dGg9IjEiIEV4Y2x1ZGVZZWFyPSIxIj48QXV0aG9yPkJh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=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PEVuZE5vdGU+PENpdGUgRXhjbHVkZUF1dGg9IjEiIEV4Y2x1ZGVZZWFyPSIxIj48QXV0aG9yPkJh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=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404</w:t>
            </w:r>
            <w:r w:rsidRPr="00734942">
              <w:rPr>
                <w:rFonts w:ascii="Arial" w:eastAsia="Arial" w:hAnsi="Arial" w:cs="Arial"/>
                <w:color w:val="111111"/>
                <w:sz w:val="18"/>
                <w:szCs w:val="18"/>
              </w:rPr>
              <w:fldChar w:fldCharType="end"/>
            </w:r>
          </w:p>
        </w:tc>
      </w:tr>
      <w:tr w:rsidR="00C8418F" w:rsidRPr="00734942" w14:paraId="443EB9F1" w14:textId="77777777" w:rsidTr="00DA0CBC">
        <w:trPr>
          <w:cantSplit/>
          <w:jc w:val="center"/>
        </w:trPr>
        <w:tc>
          <w:tcPr>
            <w:tcW w:w="776" w:type="pct"/>
            <w:shd w:val="clear" w:color="auto" w:fill="FFFFFF"/>
            <w:tcMar>
              <w:top w:w="0" w:type="dxa"/>
              <w:left w:w="0" w:type="dxa"/>
              <w:bottom w:w="0" w:type="dxa"/>
              <w:right w:w="0" w:type="dxa"/>
            </w:tcMar>
            <w:vAlign w:val="center"/>
          </w:tcPr>
          <w:p w14:paraId="0C96E3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80" w:type="pct"/>
            <w:shd w:val="clear" w:color="auto" w:fill="FFFFFF"/>
            <w:tcMar>
              <w:top w:w="0" w:type="dxa"/>
              <w:left w:w="0" w:type="dxa"/>
              <w:bottom w:w="0" w:type="dxa"/>
              <w:right w:w="0" w:type="dxa"/>
            </w:tcMar>
            <w:vAlign w:val="center"/>
          </w:tcPr>
          <w:p w14:paraId="13ACED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48" w:type="pct"/>
            <w:shd w:val="clear" w:color="auto" w:fill="FFFFFF"/>
            <w:tcMar>
              <w:top w:w="0" w:type="dxa"/>
              <w:left w:w="0" w:type="dxa"/>
              <w:bottom w:w="0" w:type="dxa"/>
              <w:right w:w="0" w:type="dxa"/>
            </w:tcMar>
            <w:vAlign w:val="center"/>
          </w:tcPr>
          <w:p w14:paraId="6C2AFD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Migraine</w:t>
            </w:r>
          </w:p>
        </w:tc>
        <w:tc>
          <w:tcPr>
            <w:tcW w:w="373" w:type="pct"/>
            <w:shd w:val="clear" w:color="auto" w:fill="FFFFFF"/>
            <w:tcMar>
              <w:top w:w="0" w:type="dxa"/>
              <w:left w:w="0" w:type="dxa"/>
              <w:bottom w:w="0" w:type="dxa"/>
              <w:right w:w="0" w:type="dxa"/>
            </w:tcMar>
            <w:vAlign w:val="center"/>
          </w:tcPr>
          <w:p w14:paraId="483CBA6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w:t>
            </w:r>
          </w:p>
        </w:tc>
        <w:tc>
          <w:tcPr>
            <w:tcW w:w="441" w:type="pct"/>
            <w:shd w:val="clear" w:color="auto" w:fill="FFFFFF"/>
            <w:tcMar>
              <w:top w:w="0" w:type="dxa"/>
              <w:left w:w="0" w:type="dxa"/>
              <w:bottom w:w="0" w:type="dxa"/>
              <w:right w:w="0" w:type="dxa"/>
            </w:tcMar>
            <w:vAlign w:val="center"/>
          </w:tcPr>
          <w:p w14:paraId="5CC86AF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49" w:type="pct"/>
            <w:shd w:val="clear" w:color="auto" w:fill="FFFFFF"/>
            <w:tcMar>
              <w:top w:w="0" w:type="dxa"/>
              <w:left w:w="0" w:type="dxa"/>
              <w:bottom w:w="0" w:type="dxa"/>
              <w:right w:w="0" w:type="dxa"/>
            </w:tcMar>
            <w:vAlign w:val="center"/>
          </w:tcPr>
          <w:p w14:paraId="0FBC8C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69" w:type="pct"/>
            <w:shd w:val="clear" w:color="auto" w:fill="FFFFFF"/>
            <w:tcMar>
              <w:top w:w="0" w:type="dxa"/>
              <w:left w:w="0" w:type="dxa"/>
              <w:bottom w:w="0" w:type="dxa"/>
              <w:right w:w="0" w:type="dxa"/>
            </w:tcMar>
            <w:vAlign w:val="center"/>
          </w:tcPr>
          <w:p w14:paraId="4F6AC7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0" w:type="pct"/>
            <w:shd w:val="clear" w:color="auto" w:fill="FFFFFF"/>
            <w:tcMar>
              <w:top w:w="0" w:type="dxa"/>
              <w:left w:w="0" w:type="dxa"/>
              <w:bottom w:w="0" w:type="dxa"/>
              <w:right w:w="0" w:type="dxa"/>
            </w:tcMar>
            <w:vAlign w:val="center"/>
          </w:tcPr>
          <w:p w14:paraId="4E86F8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2B03735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3E6BAFA9" w14:textId="6F742EA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PEVuZE5vdGU+PENpdGUgRXhjbHVkZUF1dGg9IjEiIEV4Y2x1ZGVZZWFyPSIxIj48QXV0aG9yPkFs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PEVuZE5vdGU+PENpdGUgRXhjbHVkZUF1dGg9IjEiIEV4Y2x1ZGVZZWFyPSIxIj48QXV0aG9yPkFs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405</w:t>
            </w:r>
            <w:r w:rsidRPr="00734942">
              <w:rPr>
                <w:rFonts w:ascii="Arial" w:eastAsia="Arial" w:hAnsi="Arial" w:cs="Arial"/>
                <w:color w:val="111111"/>
                <w:sz w:val="18"/>
                <w:szCs w:val="18"/>
              </w:rPr>
              <w:fldChar w:fldCharType="end"/>
            </w:r>
          </w:p>
        </w:tc>
      </w:tr>
      <w:tr w:rsidR="00C8418F" w:rsidRPr="00734942" w14:paraId="31D1A160" w14:textId="77777777" w:rsidTr="00DA0CBC">
        <w:trPr>
          <w:cantSplit/>
          <w:jc w:val="center"/>
        </w:trPr>
        <w:tc>
          <w:tcPr>
            <w:tcW w:w="776" w:type="pct"/>
            <w:shd w:val="clear" w:color="auto" w:fill="FFFFFF"/>
            <w:tcMar>
              <w:top w:w="0" w:type="dxa"/>
              <w:left w:w="0" w:type="dxa"/>
              <w:bottom w:w="0" w:type="dxa"/>
              <w:right w:w="0" w:type="dxa"/>
            </w:tcMar>
            <w:vAlign w:val="center"/>
          </w:tcPr>
          <w:p w14:paraId="35701A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80" w:type="pct"/>
            <w:shd w:val="clear" w:color="auto" w:fill="FFFFFF"/>
            <w:tcMar>
              <w:top w:w="0" w:type="dxa"/>
              <w:left w:w="0" w:type="dxa"/>
              <w:bottom w:w="0" w:type="dxa"/>
              <w:right w:w="0" w:type="dxa"/>
            </w:tcMar>
            <w:vAlign w:val="center"/>
          </w:tcPr>
          <w:p w14:paraId="28AF09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48" w:type="pct"/>
            <w:shd w:val="clear" w:color="auto" w:fill="FFFFFF"/>
            <w:tcMar>
              <w:top w:w="0" w:type="dxa"/>
              <w:left w:w="0" w:type="dxa"/>
              <w:bottom w:w="0" w:type="dxa"/>
              <w:right w:w="0" w:type="dxa"/>
            </w:tcMar>
            <w:vAlign w:val="center"/>
          </w:tcPr>
          <w:p w14:paraId="5DFF8B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Migraine</w:t>
            </w:r>
          </w:p>
        </w:tc>
        <w:tc>
          <w:tcPr>
            <w:tcW w:w="373" w:type="pct"/>
            <w:shd w:val="clear" w:color="auto" w:fill="FFFFFF"/>
            <w:tcMar>
              <w:top w:w="0" w:type="dxa"/>
              <w:left w:w="0" w:type="dxa"/>
              <w:bottom w:w="0" w:type="dxa"/>
              <w:right w:w="0" w:type="dxa"/>
            </w:tcMar>
            <w:vAlign w:val="center"/>
          </w:tcPr>
          <w:p w14:paraId="2FA0B8B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1,600</w:t>
            </w:r>
          </w:p>
        </w:tc>
        <w:tc>
          <w:tcPr>
            <w:tcW w:w="441" w:type="pct"/>
            <w:shd w:val="clear" w:color="auto" w:fill="FFFFFF"/>
            <w:tcMar>
              <w:top w:w="0" w:type="dxa"/>
              <w:left w:w="0" w:type="dxa"/>
              <w:bottom w:w="0" w:type="dxa"/>
              <w:right w:w="0" w:type="dxa"/>
            </w:tcMar>
            <w:vAlign w:val="center"/>
          </w:tcPr>
          <w:p w14:paraId="43DA08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449" w:type="pct"/>
            <w:shd w:val="clear" w:color="auto" w:fill="FFFFFF"/>
            <w:tcMar>
              <w:top w:w="0" w:type="dxa"/>
              <w:left w:w="0" w:type="dxa"/>
              <w:bottom w:w="0" w:type="dxa"/>
              <w:right w:w="0" w:type="dxa"/>
            </w:tcMar>
            <w:vAlign w:val="center"/>
          </w:tcPr>
          <w:p w14:paraId="1E8181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69" w:type="pct"/>
            <w:shd w:val="clear" w:color="auto" w:fill="FFFFFF"/>
            <w:tcMar>
              <w:top w:w="0" w:type="dxa"/>
              <w:left w:w="0" w:type="dxa"/>
              <w:bottom w:w="0" w:type="dxa"/>
              <w:right w:w="0" w:type="dxa"/>
            </w:tcMar>
            <w:vAlign w:val="center"/>
          </w:tcPr>
          <w:p w14:paraId="6943B8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6614E3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A5ABA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159FE2EF" w14:textId="6427C43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PEVuZE5vdGU+PENpdGUgRXhjbHVkZUF1dGg9IjEiIEV4Y2x1ZGVZZWFyPSIxIj48QXV0aG9yPklu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PEVuZE5vdGU+PENpdGUgRXhjbHVkZUF1dGg9IjEiIEV4Y2x1ZGVZZWFyPSIxIj48QXV0aG9yPklu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406</w:t>
            </w:r>
            <w:r w:rsidRPr="00734942">
              <w:rPr>
                <w:rFonts w:ascii="Arial" w:eastAsia="Arial" w:hAnsi="Arial" w:cs="Arial"/>
                <w:color w:val="111111"/>
                <w:sz w:val="18"/>
                <w:szCs w:val="18"/>
              </w:rPr>
              <w:fldChar w:fldCharType="end"/>
            </w:r>
          </w:p>
        </w:tc>
      </w:tr>
      <w:tr w:rsidR="00C8418F" w:rsidRPr="00734942" w14:paraId="11B78E6A" w14:textId="77777777" w:rsidTr="00DA0CBC">
        <w:trPr>
          <w:cantSplit/>
          <w:jc w:val="center"/>
        </w:trPr>
        <w:tc>
          <w:tcPr>
            <w:tcW w:w="776" w:type="pct"/>
            <w:tcBorders>
              <w:bottom w:val="single" w:sz="16" w:space="0" w:color="000000"/>
            </w:tcBorders>
            <w:shd w:val="clear" w:color="auto" w:fill="FFFFFF"/>
            <w:tcMar>
              <w:top w:w="0" w:type="dxa"/>
              <w:left w:w="0" w:type="dxa"/>
              <w:bottom w:w="0" w:type="dxa"/>
              <w:right w:w="0" w:type="dxa"/>
            </w:tcMar>
            <w:vAlign w:val="center"/>
          </w:tcPr>
          <w:p w14:paraId="52289C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480" w:type="pct"/>
            <w:tcBorders>
              <w:bottom w:val="single" w:sz="16" w:space="0" w:color="000000"/>
            </w:tcBorders>
            <w:shd w:val="clear" w:color="auto" w:fill="FFFFFF"/>
            <w:tcMar>
              <w:top w:w="0" w:type="dxa"/>
              <w:left w:w="0" w:type="dxa"/>
              <w:bottom w:w="0" w:type="dxa"/>
              <w:right w:w="0" w:type="dxa"/>
            </w:tcMar>
            <w:vAlign w:val="center"/>
          </w:tcPr>
          <w:p w14:paraId="7B02A5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548" w:type="pct"/>
            <w:tcBorders>
              <w:bottom w:val="single" w:sz="16" w:space="0" w:color="000000"/>
            </w:tcBorders>
            <w:shd w:val="clear" w:color="auto" w:fill="FFFFFF"/>
            <w:tcMar>
              <w:top w:w="0" w:type="dxa"/>
              <w:left w:w="0" w:type="dxa"/>
              <w:bottom w:w="0" w:type="dxa"/>
              <w:right w:w="0" w:type="dxa"/>
            </w:tcMar>
            <w:vAlign w:val="center"/>
          </w:tcPr>
          <w:p w14:paraId="2FA153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Migraine headaches</w:t>
            </w:r>
          </w:p>
        </w:tc>
        <w:tc>
          <w:tcPr>
            <w:tcW w:w="373" w:type="pct"/>
            <w:tcBorders>
              <w:bottom w:val="single" w:sz="16" w:space="0" w:color="000000"/>
            </w:tcBorders>
            <w:shd w:val="clear" w:color="auto" w:fill="FFFFFF"/>
            <w:tcMar>
              <w:top w:w="0" w:type="dxa"/>
              <w:left w:w="0" w:type="dxa"/>
              <w:bottom w:w="0" w:type="dxa"/>
              <w:right w:w="0" w:type="dxa"/>
            </w:tcMar>
            <w:vAlign w:val="center"/>
          </w:tcPr>
          <w:p w14:paraId="5B0A04C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75</w:t>
            </w:r>
          </w:p>
        </w:tc>
        <w:tc>
          <w:tcPr>
            <w:tcW w:w="441" w:type="pct"/>
            <w:tcBorders>
              <w:bottom w:val="single" w:sz="16" w:space="0" w:color="000000"/>
            </w:tcBorders>
            <w:shd w:val="clear" w:color="auto" w:fill="FFFFFF"/>
            <w:tcMar>
              <w:top w:w="0" w:type="dxa"/>
              <w:left w:w="0" w:type="dxa"/>
              <w:bottom w:w="0" w:type="dxa"/>
              <w:right w:w="0" w:type="dxa"/>
            </w:tcMar>
            <w:vAlign w:val="center"/>
          </w:tcPr>
          <w:p w14:paraId="2A65A55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449" w:type="pct"/>
            <w:tcBorders>
              <w:bottom w:val="single" w:sz="16" w:space="0" w:color="000000"/>
            </w:tcBorders>
            <w:shd w:val="clear" w:color="auto" w:fill="FFFFFF"/>
            <w:tcMar>
              <w:top w:w="0" w:type="dxa"/>
              <w:left w:w="0" w:type="dxa"/>
              <w:bottom w:w="0" w:type="dxa"/>
              <w:right w:w="0" w:type="dxa"/>
            </w:tcMar>
            <w:vAlign w:val="center"/>
          </w:tcPr>
          <w:p w14:paraId="18843D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69" w:type="pct"/>
            <w:tcBorders>
              <w:bottom w:val="single" w:sz="16" w:space="0" w:color="000000"/>
            </w:tcBorders>
            <w:shd w:val="clear" w:color="auto" w:fill="FFFFFF"/>
            <w:tcMar>
              <w:top w:w="0" w:type="dxa"/>
              <w:left w:w="0" w:type="dxa"/>
              <w:bottom w:w="0" w:type="dxa"/>
              <w:right w:w="0" w:type="dxa"/>
            </w:tcMar>
            <w:vAlign w:val="center"/>
          </w:tcPr>
          <w:p w14:paraId="244AEE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380" w:type="pct"/>
            <w:tcBorders>
              <w:bottom w:val="single" w:sz="16" w:space="0" w:color="000000"/>
            </w:tcBorders>
            <w:shd w:val="clear" w:color="auto" w:fill="FFFFFF"/>
            <w:tcMar>
              <w:top w:w="0" w:type="dxa"/>
              <w:left w:w="0" w:type="dxa"/>
              <w:bottom w:w="0" w:type="dxa"/>
              <w:right w:w="0" w:type="dxa"/>
            </w:tcMar>
            <w:vAlign w:val="center"/>
          </w:tcPr>
          <w:p w14:paraId="69B6EF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2A1F5A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Israel</w:t>
            </w:r>
          </w:p>
        </w:tc>
        <w:tc>
          <w:tcPr>
            <w:tcW w:w="369" w:type="pct"/>
            <w:tcBorders>
              <w:bottom w:val="single" w:sz="16" w:space="0" w:color="000000"/>
            </w:tcBorders>
            <w:shd w:val="clear" w:color="auto" w:fill="FFFFFF"/>
            <w:tcMar>
              <w:top w:w="0" w:type="dxa"/>
              <w:left w:w="0" w:type="dxa"/>
              <w:bottom w:w="0" w:type="dxa"/>
              <w:right w:w="0" w:type="dxa"/>
            </w:tcMar>
            <w:vAlign w:val="center"/>
          </w:tcPr>
          <w:p w14:paraId="0FE650D4" w14:textId="6DB63FF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aGF0PC9BdXRob3I+PFllYXI+MjAwMDwvWWVhcj48UmVjTnVtPjE4MjwvUmVjTnVtPjxEaXNwbGF5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aGF0PC9BdXRob3I+PFllYXI+MjAwMDwvWWVhcj48UmVjTnVtPjE4MjwvUmVjTnVtPjxEaXNwbGF5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357</w:t>
            </w:r>
            <w:r w:rsidRPr="00734942">
              <w:rPr>
                <w:rFonts w:ascii="Arial" w:eastAsia="Arial" w:hAnsi="Arial" w:cs="Arial"/>
                <w:color w:val="111111"/>
                <w:sz w:val="18"/>
                <w:szCs w:val="18"/>
              </w:rPr>
              <w:fldChar w:fldCharType="end"/>
            </w:r>
          </w:p>
        </w:tc>
      </w:tr>
    </w:tbl>
    <w:p w14:paraId="49DF313A" w14:textId="77777777" w:rsidR="007B756D" w:rsidRPr="00734942" w:rsidRDefault="007B756D" w:rsidP="007B756D"/>
    <w:p w14:paraId="19DB6895" w14:textId="2E0EC455" w:rsidR="00DA0CBC" w:rsidRDefault="00DA0CBC" w:rsidP="000526F1">
      <w:pPr>
        <w:pStyle w:val="Caption"/>
      </w:pPr>
      <w:bookmarkStart w:id="381" w:name="_Toc99720752"/>
      <w:r>
        <w:t xml:space="preserve">Table </w:t>
      </w:r>
      <w:r w:rsidR="00C34531">
        <w:fldChar w:fldCharType="begin"/>
      </w:r>
      <w:r w:rsidR="00C34531">
        <w:instrText xml:space="preserve"> SEQ Table \* ARABIC </w:instrText>
      </w:r>
      <w:r w:rsidR="00C34531">
        <w:fldChar w:fldCharType="separate"/>
      </w:r>
      <w:r w:rsidR="008B5583">
        <w:rPr>
          <w:noProof/>
        </w:rPr>
        <w:t>41</w:t>
      </w:r>
      <w:r w:rsidR="00C34531">
        <w:rPr>
          <w:noProof/>
        </w:rPr>
        <w:fldChar w:fldCharType="end"/>
      </w:r>
      <w:r>
        <w:t xml:space="preserve">  </w:t>
      </w:r>
      <w:r w:rsidRPr="00D61D0B">
        <w:t>Study characteristics: Multiple sclerosis</w:t>
      </w:r>
      <w:bookmarkEnd w:id="381"/>
    </w:p>
    <w:tbl>
      <w:tblPr>
        <w:tblW w:w="5000" w:type="pct"/>
        <w:jc w:val="center"/>
        <w:tblLook w:val="0420" w:firstRow="1" w:lastRow="0" w:firstColumn="0" w:lastColumn="0" w:noHBand="0" w:noVBand="1"/>
      </w:tblPr>
      <w:tblGrid>
        <w:gridCol w:w="2654"/>
        <w:gridCol w:w="1289"/>
        <w:gridCol w:w="1289"/>
        <w:gridCol w:w="1003"/>
        <w:gridCol w:w="1188"/>
        <w:gridCol w:w="1210"/>
        <w:gridCol w:w="2352"/>
        <w:gridCol w:w="1061"/>
        <w:gridCol w:w="881"/>
        <w:gridCol w:w="1031"/>
      </w:tblGrid>
      <w:tr w:rsidR="00C8418F" w:rsidRPr="00734942" w14:paraId="38D58B0F" w14:textId="77777777" w:rsidTr="00DA0CBC">
        <w:trPr>
          <w:cantSplit/>
          <w:tblHeader/>
          <w:jc w:val="center"/>
        </w:trPr>
        <w:tc>
          <w:tcPr>
            <w:tcW w:w="95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977E5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6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7B47F6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6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288C8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6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4807272"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42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EB376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43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5C692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84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DEEDD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FC05F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22D38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BE9F1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03E91DAC" w14:textId="77777777" w:rsidTr="00DA0CBC">
        <w:trPr>
          <w:cantSplit/>
          <w:jc w:val="center"/>
        </w:trPr>
        <w:tc>
          <w:tcPr>
            <w:tcW w:w="953" w:type="pct"/>
            <w:shd w:val="clear" w:color="auto" w:fill="FFFFFF"/>
            <w:tcMar>
              <w:top w:w="0" w:type="dxa"/>
              <w:left w:w="0" w:type="dxa"/>
              <w:bottom w:w="0" w:type="dxa"/>
              <w:right w:w="0" w:type="dxa"/>
            </w:tcMar>
            <w:vAlign w:val="center"/>
          </w:tcPr>
          <w:p w14:paraId="73449E21" w14:textId="0B59100D" w:rsidR="007B756D" w:rsidRPr="00734942" w:rsidRDefault="00160722" w:rsidP="006658D1">
            <w:pPr>
              <w:spacing w:before="40" w:after="40"/>
              <w:ind w:left="100" w:right="100"/>
            </w:pPr>
            <w:r w:rsidRPr="00734942">
              <w:rPr>
                <w:rFonts w:ascii="Arial" w:eastAsia="Arial" w:hAnsi="Arial" w:cs="Arial"/>
                <w:color w:val="111111"/>
                <w:sz w:val="18"/>
                <w:szCs w:val="18"/>
              </w:rPr>
              <w:t>Adults</w:t>
            </w:r>
          </w:p>
        </w:tc>
        <w:tc>
          <w:tcPr>
            <w:tcW w:w="464" w:type="pct"/>
            <w:shd w:val="clear" w:color="auto" w:fill="FFFFFF"/>
            <w:tcMar>
              <w:top w:w="0" w:type="dxa"/>
              <w:left w:w="0" w:type="dxa"/>
              <w:bottom w:w="0" w:type="dxa"/>
              <w:right w:w="0" w:type="dxa"/>
            </w:tcMar>
            <w:vAlign w:val="center"/>
          </w:tcPr>
          <w:p w14:paraId="2A7356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64" w:type="pct"/>
            <w:shd w:val="clear" w:color="auto" w:fill="FFFFFF"/>
            <w:tcMar>
              <w:top w:w="0" w:type="dxa"/>
              <w:left w:w="0" w:type="dxa"/>
              <w:bottom w:w="0" w:type="dxa"/>
              <w:right w:w="0" w:type="dxa"/>
            </w:tcMar>
            <w:vAlign w:val="center"/>
          </w:tcPr>
          <w:p w14:paraId="25C904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Multiple sclerosis</w:t>
            </w:r>
          </w:p>
        </w:tc>
        <w:tc>
          <w:tcPr>
            <w:tcW w:w="361" w:type="pct"/>
            <w:shd w:val="clear" w:color="auto" w:fill="FFFFFF"/>
            <w:tcMar>
              <w:top w:w="0" w:type="dxa"/>
              <w:left w:w="0" w:type="dxa"/>
              <w:bottom w:w="0" w:type="dxa"/>
              <w:right w:w="0" w:type="dxa"/>
            </w:tcMar>
            <w:vAlign w:val="center"/>
          </w:tcPr>
          <w:p w14:paraId="2BBC74D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68</w:t>
            </w:r>
          </w:p>
        </w:tc>
        <w:tc>
          <w:tcPr>
            <w:tcW w:w="427" w:type="pct"/>
            <w:shd w:val="clear" w:color="auto" w:fill="FFFFFF"/>
            <w:tcMar>
              <w:top w:w="0" w:type="dxa"/>
              <w:left w:w="0" w:type="dxa"/>
              <w:bottom w:w="0" w:type="dxa"/>
              <w:right w:w="0" w:type="dxa"/>
            </w:tcMar>
            <w:vAlign w:val="center"/>
          </w:tcPr>
          <w:p w14:paraId="77DC07E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435" w:type="pct"/>
            <w:shd w:val="clear" w:color="auto" w:fill="FFFFFF"/>
            <w:tcMar>
              <w:top w:w="0" w:type="dxa"/>
              <w:left w:w="0" w:type="dxa"/>
              <w:bottom w:w="0" w:type="dxa"/>
              <w:right w:w="0" w:type="dxa"/>
            </w:tcMar>
            <w:vAlign w:val="center"/>
          </w:tcPr>
          <w:p w14:paraId="4F27AC37" w14:textId="75C10256" w:rsidR="007B756D" w:rsidRPr="00734942" w:rsidRDefault="00160722" w:rsidP="006658D1">
            <w:pPr>
              <w:spacing w:before="40" w:after="40"/>
              <w:ind w:left="100" w:right="100"/>
            </w:pPr>
            <w:r w:rsidRPr="00734942">
              <w:rPr>
                <w:rFonts w:ascii="Arial" w:eastAsia="Arial" w:hAnsi="Arial" w:cs="Arial"/>
                <w:color w:val="111111"/>
                <w:sz w:val="18"/>
                <w:szCs w:val="18"/>
              </w:rPr>
              <w:t>Healthy controls</w:t>
            </w:r>
          </w:p>
        </w:tc>
        <w:tc>
          <w:tcPr>
            <w:tcW w:w="844" w:type="pct"/>
            <w:shd w:val="clear" w:color="auto" w:fill="FFFFFF"/>
            <w:tcMar>
              <w:top w:w="0" w:type="dxa"/>
              <w:left w:w="0" w:type="dxa"/>
              <w:bottom w:w="0" w:type="dxa"/>
              <w:right w:w="0" w:type="dxa"/>
            </w:tcMar>
            <w:vAlign w:val="center"/>
          </w:tcPr>
          <w:p w14:paraId="400693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69" w:type="pct"/>
            <w:shd w:val="clear" w:color="auto" w:fill="FFFFFF"/>
            <w:tcMar>
              <w:top w:w="0" w:type="dxa"/>
              <w:left w:w="0" w:type="dxa"/>
              <w:bottom w:w="0" w:type="dxa"/>
              <w:right w:w="0" w:type="dxa"/>
            </w:tcMar>
            <w:vAlign w:val="center"/>
          </w:tcPr>
          <w:p w14:paraId="5756317A" w14:textId="7F484949" w:rsidR="007B756D" w:rsidRPr="00734942" w:rsidRDefault="00160722" w:rsidP="006658D1">
            <w:pPr>
              <w:spacing w:before="40" w:after="40"/>
              <w:ind w:left="100" w:right="100"/>
            </w:pPr>
            <w:r w:rsidRPr="00734942">
              <w:rPr>
                <w:rFonts w:ascii="Arial" w:eastAsia="Arial" w:hAnsi="Arial" w:cs="Arial"/>
                <w:color w:val="111111"/>
                <w:sz w:val="18"/>
                <w:szCs w:val="18"/>
              </w:rPr>
              <w:t>Unclear</w:t>
            </w:r>
          </w:p>
        </w:tc>
        <w:tc>
          <w:tcPr>
            <w:tcW w:w="316" w:type="pct"/>
            <w:shd w:val="clear" w:color="auto" w:fill="FFFFFF"/>
            <w:tcMar>
              <w:top w:w="0" w:type="dxa"/>
              <w:left w:w="0" w:type="dxa"/>
              <w:bottom w:w="0" w:type="dxa"/>
              <w:right w:w="0" w:type="dxa"/>
            </w:tcMar>
            <w:vAlign w:val="center"/>
          </w:tcPr>
          <w:p w14:paraId="20B4FF3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5AAEEDE4" w14:textId="01C2C84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b2xmYXpsaTwvQXV0aG9yPjxZZWFyPjIwMDk8L1llYXI+PFJlY051bT4yMzE8L1JlY051bT48RGlz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b2xmYXpsaTwvQXV0aG9yPjxZZWFyPjIwMDk8L1llYXI+PFJlY051bT4yMzE8L1JlY051bT48RGlz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407</w:t>
            </w:r>
            <w:r w:rsidRPr="00734942">
              <w:rPr>
                <w:rFonts w:ascii="Arial" w:eastAsia="Arial" w:hAnsi="Arial" w:cs="Arial"/>
                <w:color w:val="111111"/>
                <w:sz w:val="18"/>
                <w:szCs w:val="18"/>
              </w:rPr>
              <w:fldChar w:fldCharType="end"/>
            </w:r>
          </w:p>
        </w:tc>
      </w:tr>
      <w:tr w:rsidR="00C8418F" w:rsidRPr="00734942" w14:paraId="7B0CA7E3" w14:textId="77777777" w:rsidTr="00DA0CBC">
        <w:trPr>
          <w:cantSplit/>
          <w:jc w:val="center"/>
        </w:trPr>
        <w:tc>
          <w:tcPr>
            <w:tcW w:w="953" w:type="pct"/>
            <w:shd w:val="clear" w:color="auto" w:fill="FFFFFF"/>
            <w:tcMar>
              <w:top w:w="0" w:type="dxa"/>
              <w:left w:w="0" w:type="dxa"/>
              <w:bottom w:w="0" w:type="dxa"/>
              <w:right w:w="0" w:type="dxa"/>
            </w:tcMar>
            <w:vAlign w:val="center"/>
          </w:tcPr>
          <w:p w14:paraId="2123FACC" w14:textId="33EE098A" w:rsidR="007B756D" w:rsidRPr="00734942" w:rsidRDefault="00160722" w:rsidP="006658D1">
            <w:pPr>
              <w:spacing w:before="40" w:after="40"/>
              <w:ind w:left="100" w:right="100"/>
            </w:pPr>
            <w:r w:rsidRPr="00734942">
              <w:rPr>
                <w:rFonts w:ascii="Arial" w:eastAsia="Arial" w:hAnsi="Arial" w:cs="Arial"/>
                <w:color w:val="111111"/>
                <w:sz w:val="18"/>
                <w:szCs w:val="18"/>
              </w:rPr>
              <w:lastRenderedPageBreak/>
              <w:t>Adults</w:t>
            </w:r>
          </w:p>
        </w:tc>
        <w:tc>
          <w:tcPr>
            <w:tcW w:w="464" w:type="pct"/>
            <w:shd w:val="clear" w:color="auto" w:fill="FFFFFF"/>
            <w:tcMar>
              <w:top w:w="0" w:type="dxa"/>
              <w:left w:w="0" w:type="dxa"/>
              <w:bottom w:w="0" w:type="dxa"/>
              <w:right w:w="0" w:type="dxa"/>
            </w:tcMar>
            <w:vAlign w:val="center"/>
          </w:tcPr>
          <w:p w14:paraId="7C59172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64" w:type="pct"/>
            <w:shd w:val="clear" w:color="auto" w:fill="FFFFFF"/>
            <w:tcMar>
              <w:top w:w="0" w:type="dxa"/>
              <w:left w:w="0" w:type="dxa"/>
              <w:bottom w:w="0" w:type="dxa"/>
              <w:right w:w="0" w:type="dxa"/>
            </w:tcMar>
            <w:vAlign w:val="center"/>
          </w:tcPr>
          <w:p w14:paraId="00D967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Multiple sclerosis</w:t>
            </w:r>
          </w:p>
        </w:tc>
        <w:tc>
          <w:tcPr>
            <w:tcW w:w="361" w:type="pct"/>
            <w:shd w:val="clear" w:color="auto" w:fill="FFFFFF"/>
            <w:tcMar>
              <w:top w:w="0" w:type="dxa"/>
              <w:left w:w="0" w:type="dxa"/>
              <w:bottom w:w="0" w:type="dxa"/>
              <w:right w:w="0" w:type="dxa"/>
            </w:tcMar>
            <w:vAlign w:val="center"/>
          </w:tcPr>
          <w:p w14:paraId="2F75544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417</w:t>
            </w:r>
          </w:p>
        </w:tc>
        <w:tc>
          <w:tcPr>
            <w:tcW w:w="427" w:type="pct"/>
            <w:shd w:val="clear" w:color="auto" w:fill="FFFFFF"/>
            <w:tcMar>
              <w:top w:w="0" w:type="dxa"/>
              <w:left w:w="0" w:type="dxa"/>
              <w:bottom w:w="0" w:type="dxa"/>
              <w:right w:w="0" w:type="dxa"/>
            </w:tcMar>
            <w:vAlign w:val="center"/>
          </w:tcPr>
          <w:p w14:paraId="4330005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35" w:type="pct"/>
            <w:shd w:val="clear" w:color="auto" w:fill="FFFFFF"/>
            <w:tcMar>
              <w:top w:w="0" w:type="dxa"/>
              <w:left w:w="0" w:type="dxa"/>
              <w:bottom w:w="0" w:type="dxa"/>
              <w:right w:w="0" w:type="dxa"/>
            </w:tcMar>
            <w:vAlign w:val="center"/>
          </w:tcPr>
          <w:p w14:paraId="2388E973" w14:textId="5183DA9D" w:rsidR="007B756D" w:rsidRPr="00734942" w:rsidRDefault="00160722" w:rsidP="006658D1">
            <w:pPr>
              <w:spacing w:before="40" w:after="40"/>
              <w:ind w:left="100" w:right="100"/>
            </w:pPr>
            <w:r w:rsidRPr="00734942">
              <w:rPr>
                <w:rFonts w:ascii="Arial" w:eastAsia="Arial" w:hAnsi="Arial" w:cs="Arial"/>
                <w:color w:val="111111"/>
                <w:sz w:val="18"/>
                <w:szCs w:val="18"/>
              </w:rPr>
              <w:t>Healthy controls</w:t>
            </w:r>
          </w:p>
        </w:tc>
        <w:tc>
          <w:tcPr>
            <w:tcW w:w="844" w:type="pct"/>
            <w:shd w:val="clear" w:color="auto" w:fill="FFFFFF"/>
            <w:tcMar>
              <w:top w:w="0" w:type="dxa"/>
              <w:left w:w="0" w:type="dxa"/>
              <w:bottom w:w="0" w:type="dxa"/>
              <w:right w:w="0" w:type="dxa"/>
            </w:tcMar>
            <w:vAlign w:val="center"/>
          </w:tcPr>
          <w:p w14:paraId="56709D9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69" w:type="pct"/>
            <w:shd w:val="clear" w:color="auto" w:fill="FFFFFF"/>
            <w:tcMar>
              <w:top w:w="0" w:type="dxa"/>
              <w:left w:w="0" w:type="dxa"/>
              <w:bottom w:w="0" w:type="dxa"/>
              <w:right w:w="0" w:type="dxa"/>
            </w:tcMar>
            <w:vAlign w:val="center"/>
          </w:tcPr>
          <w:p w14:paraId="395BA31F" w14:textId="4491526C" w:rsidR="007B756D" w:rsidRPr="00734942" w:rsidRDefault="00160722"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B8DA5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54091237" w14:textId="125293E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PEVuZE5vdGU+PENpdGUgRXhjbHVkZUF1dGg9IjEiIEV4Y2x1ZGVZZWFyPSIxIj48QXV0aG9yPk5p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PEVuZE5vdGU+PENpdGUgRXhjbHVkZUF1dGg9IjEiIEV4Y2x1ZGVZZWFyPSIxIj48QXV0aG9yPk5p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408</w:t>
            </w:r>
            <w:r w:rsidRPr="00734942">
              <w:rPr>
                <w:rFonts w:ascii="Arial" w:eastAsia="Arial" w:hAnsi="Arial" w:cs="Arial"/>
                <w:color w:val="111111"/>
                <w:sz w:val="18"/>
                <w:szCs w:val="18"/>
              </w:rPr>
              <w:fldChar w:fldCharType="end"/>
            </w:r>
          </w:p>
        </w:tc>
      </w:tr>
      <w:tr w:rsidR="00C8418F" w:rsidRPr="00734942" w14:paraId="73BE919B" w14:textId="77777777" w:rsidTr="00DA0CBC">
        <w:trPr>
          <w:cantSplit/>
          <w:jc w:val="center"/>
        </w:trPr>
        <w:tc>
          <w:tcPr>
            <w:tcW w:w="953" w:type="pct"/>
            <w:shd w:val="clear" w:color="auto" w:fill="FFFFFF"/>
            <w:tcMar>
              <w:top w:w="0" w:type="dxa"/>
              <w:left w:w="0" w:type="dxa"/>
              <w:bottom w:w="0" w:type="dxa"/>
              <w:right w:w="0" w:type="dxa"/>
            </w:tcMar>
            <w:vAlign w:val="center"/>
          </w:tcPr>
          <w:p w14:paraId="2F919C7D" w14:textId="28509103" w:rsidR="007B756D" w:rsidRPr="00734942" w:rsidRDefault="00160722" w:rsidP="006658D1">
            <w:pPr>
              <w:spacing w:before="40" w:after="40"/>
              <w:ind w:left="100" w:right="100"/>
            </w:pPr>
            <w:r w:rsidRPr="00734942">
              <w:rPr>
                <w:rFonts w:ascii="Arial" w:eastAsia="Arial" w:hAnsi="Arial" w:cs="Arial"/>
                <w:color w:val="111111"/>
                <w:sz w:val="18"/>
                <w:szCs w:val="18"/>
              </w:rPr>
              <w:t>Adults</w:t>
            </w:r>
          </w:p>
        </w:tc>
        <w:tc>
          <w:tcPr>
            <w:tcW w:w="464" w:type="pct"/>
            <w:shd w:val="clear" w:color="auto" w:fill="FFFFFF"/>
            <w:tcMar>
              <w:top w:w="0" w:type="dxa"/>
              <w:left w:w="0" w:type="dxa"/>
              <w:bottom w:w="0" w:type="dxa"/>
              <w:right w:w="0" w:type="dxa"/>
            </w:tcMar>
            <w:vAlign w:val="center"/>
          </w:tcPr>
          <w:p w14:paraId="002D25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64" w:type="pct"/>
            <w:shd w:val="clear" w:color="auto" w:fill="FFFFFF"/>
            <w:tcMar>
              <w:top w:w="0" w:type="dxa"/>
              <w:left w:w="0" w:type="dxa"/>
              <w:bottom w:w="0" w:type="dxa"/>
              <w:right w:w="0" w:type="dxa"/>
            </w:tcMar>
            <w:vAlign w:val="center"/>
          </w:tcPr>
          <w:p w14:paraId="5F16B4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Multiple sclerosis</w:t>
            </w:r>
          </w:p>
        </w:tc>
        <w:tc>
          <w:tcPr>
            <w:tcW w:w="361" w:type="pct"/>
            <w:shd w:val="clear" w:color="auto" w:fill="FFFFFF"/>
            <w:tcMar>
              <w:top w:w="0" w:type="dxa"/>
              <w:left w:w="0" w:type="dxa"/>
              <w:bottom w:w="0" w:type="dxa"/>
              <w:right w:w="0" w:type="dxa"/>
            </w:tcMar>
            <w:vAlign w:val="center"/>
          </w:tcPr>
          <w:p w14:paraId="052A77E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195</w:t>
            </w:r>
          </w:p>
        </w:tc>
        <w:tc>
          <w:tcPr>
            <w:tcW w:w="427" w:type="pct"/>
            <w:shd w:val="clear" w:color="auto" w:fill="FFFFFF"/>
            <w:tcMar>
              <w:top w:w="0" w:type="dxa"/>
              <w:left w:w="0" w:type="dxa"/>
              <w:bottom w:w="0" w:type="dxa"/>
              <w:right w:w="0" w:type="dxa"/>
            </w:tcMar>
            <w:vAlign w:val="center"/>
          </w:tcPr>
          <w:p w14:paraId="4947866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435" w:type="pct"/>
            <w:shd w:val="clear" w:color="auto" w:fill="FFFFFF"/>
            <w:tcMar>
              <w:top w:w="0" w:type="dxa"/>
              <w:left w:w="0" w:type="dxa"/>
              <w:bottom w:w="0" w:type="dxa"/>
              <w:right w:w="0" w:type="dxa"/>
            </w:tcMar>
            <w:vAlign w:val="center"/>
          </w:tcPr>
          <w:p w14:paraId="57FD00CD" w14:textId="5E5F330D" w:rsidR="007B756D" w:rsidRPr="00734942" w:rsidRDefault="00160722" w:rsidP="006658D1">
            <w:pPr>
              <w:spacing w:before="40" w:after="40"/>
              <w:ind w:left="100" w:right="100"/>
            </w:pPr>
            <w:r w:rsidRPr="00734942">
              <w:rPr>
                <w:rFonts w:ascii="Arial" w:eastAsia="Arial" w:hAnsi="Arial" w:cs="Arial"/>
                <w:color w:val="111111"/>
                <w:sz w:val="18"/>
                <w:szCs w:val="18"/>
              </w:rPr>
              <w:t>Healthy controls</w:t>
            </w:r>
          </w:p>
        </w:tc>
        <w:tc>
          <w:tcPr>
            <w:tcW w:w="844" w:type="pct"/>
            <w:shd w:val="clear" w:color="auto" w:fill="FFFFFF"/>
            <w:tcMar>
              <w:top w:w="0" w:type="dxa"/>
              <w:left w:w="0" w:type="dxa"/>
              <w:bottom w:w="0" w:type="dxa"/>
              <w:right w:w="0" w:type="dxa"/>
            </w:tcMar>
            <w:vAlign w:val="center"/>
          </w:tcPr>
          <w:p w14:paraId="2014A6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69" w:type="pct"/>
            <w:shd w:val="clear" w:color="auto" w:fill="FFFFFF"/>
            <w:tcMar>
              <w:top w:w="0" w:type="dxa"/>
              <w:left w:w="0" w:type="dxa"/>
              <w:bottom w:w="0" w:type="dxa"/>
              <w:right w:w="0" w:type="dxa"/>
            </w:tcMar>
            <w:vAlign w:val="center"/>
          </w:tcPr>
          <w:p w14:paraId="533D5634" w14:textId="0EF1CFF8" w:rsidR="007B756D" w:rsidRPr="00734942" w:rsidRDefault="00160722"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320EE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Spain</w:t>
            </w:r>
          </w:p>
        </w:tc>
        <w:tc>
          <w:tcPr>
            <w:tcW w:w="369" w:type="pct"/>
            <w:shd w:val="clear" w:color="auto" w:fill="FFFFFF"/>
            <w:tcMar>
              <w:top w:w="0" w:type="dxa"/>
              <w:left w:w="0" w:type="dxa"/>
              <w:bottom w:w="0" w:type="dxa"/>
              <w:right w:w="0" w:type="dxa"/>
            </w:tcMar>
            <w:vAlign w:val="center"/>
          </w:tcPr>
          <w:p w14:paraId="516A3D4D" w14:textId="44E0BD0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PEVuZE5vdGU+PENpdGUgRXhjbHVkZUF1dGg9IjEiIEV4Y2x1ZGVZZWFyPSIxIj48QXV0aG9yPlJv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PEVuZE5vdGU+PENpdGUgRXhjbHVkZUF1dGg9IjEiIEV4Y2x1ZGVZZWFyPSIxIj48QXV0aG9yPlJv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409</w:t>
            </w:r>
            <w:r w:rsidRPr="00734942">
              <w:rPr>
                <w:rFonts w:ascii="Arial" w:eastAsia="Arial" w:hAnsi="Arial" w:cs="Arial"/>
                <w:color w:val="111111"/>
                <w:sz w:val="18"/>
                <w:szCs w:val="18"/>
              </w:rPr>
              <w:fldChar w:fldCharType="end"/>
            </w:r>
          </w:p>
        </w:tc>
      </w:tr>
      <w:tr w:rsidR="00C8418F" w:rsidRPr="00734942" w14:paraId="55C75056" w14:textId="77777777" w:rsidTr="00DA0CBC">
        <w:trPr>
          <w:cantSplit/>
          <w:jc w:val="center"/>
        </w:trPr>
        <w:tc>
          <w:tcPr>
            <w:tcW w:w="953" w:type="pct"/>
            <w:shd w:val="clear" w:color="auto" w:fill="FFFFFF"/>
            <w:tcMar>
              <w:top w:w="0" w:type="dxa"/>
              <w:left w:w="0" w:type="dxa"/>
              <w:bottom w:w="0" w:type="dxa"/>
              <w:right w:w="0" w:type="dxa"/>
            </w:tcMar>
            <w:vAlign w:val="center"/>
          </w:tcPr>
          <w:p w14:paraId="70E4D0F4" w14:textId="37B906DC" w:rsidR="007B756D" w:rsidRPr="00734942" w:rsidRDefault="00160722" w:rsidP="006658D1">
            <w:pPr>
              <w:spacing w:before="40" w:after="40"/>
              <w:ind w:left="100" w:right="100"/>
            </w:pPr>
            <w:r w:rsidRPr="00734942">
              <w:rPr>
                <w:rFonts w:ascii="Arial" w:eastAsia="Arial" w:hAnsi="Arial" w:cs="Arial"/>
                <w:color w:val="111111"/>
                <w:sz w:val="18"/>
                <w:szCs w:val="18"/>
              </w:rPr>
              <w:t>Adults</w:t>
            </w:r>
          </w:p>
        </w:tc>
        <w:tc>
          <w:tcPr>
            <w:tcW w:w="464" w:type="pct"/>
            <w:shd w:val="clear" w:color="auto" w:fill="FFFFFF"/>
            <w:tcMar>
              <w:top w:w="0" w:type="dxa"/>
              <w:left w:w="0" w:type="dxa"/>
              <w:bottom w:w="0" w:type="dxa"/>
              <w:right w:w="0" w:type="dxa"/>
            </w:tcMar>
            <w:vAlign w:val="center"/>
          </w:tcPr>
          <w:p w14:paraId="1531255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64" w:type="pct"/>
            <w:shd w:val="clear" w:color="auto" w:fill="FFFFFF"/>
            <w:tcMar>
              <w:top w:w="0" w:type="dxa"/>
              <w:left w:w="0" w:type="dxa"/>
              <w:bottom w:w="0" w:type="dxa"/>
              <w:right w:w="0" w:type="dxa"/>
            </w:tcMar>
            <w:vAlign w:val="center"/>
          </w:tcPr>
          <w:p w14:paraId="197248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Multiple sclerosis</w:t>
            </w:r>
          </w:p>
        </w:tc>
        <w:tc>
          <w:tcPr>
            <w:tcW w:w="361" w:type="pct"/>
            <w:shd w:val="clear" w:color="auto" w:fill="FFFFFF"/>
            <w:tcMar>
              <w:top w:w="0" w:type="dxa"/>
              <w:left w:w="0" w:type="dxa"/>
              <w:bottom w:w="0" w:type="dxa"/>
              <w:right w:w="0" w:type="dxa"/>
            </w:tcMar>
            <w:vAlign w:val="center"/>
          </w:tcPr>
          <w:p w14:paraId="50527FC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185</w:t>
            </w:r>
          </w:p>
        </w:tc>
        <w:tc>
          <w:tcPr>
            <w:tcW w:w="427" w:type="pct"/>
            <w:shd w:val="clear" w:color="auto" w:fill="FFFFFF"/>
            <w:tcMar>
              <w:top w:w="0" w:type="dxa"/>
              <w:left w:w="0" w:type="dxa"/>
              <w:bottom w:w="0" w:type="dxa"/>
              <w:right w:w="0" w:type="dxa"/>
            </w:tcMar>
            <w:vAlign w:val="center"/>
          </w:tcPr>
          <w:p w14:paraId="07FCD5E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35" w:type="pct"/>
            <w:shd w:val="clear" w:color="auto" w:fill="FFFFFF"/>
            <w:tcMar>
              <w:top w:w="0" w:type="dxa"/>
              <w:left w:w="0" w:type="dxa"/>
              <w:bottom w:w="0" w:type="dxa"/>
              <w:right w:w="0" w:type="dxa"/>
            </w:tcMar>
            <w:vAlign w:val="center"/>
          </w:tcPr>
          <w:p w14:paraId="09A5D163" w14:textId="127812BC" w:rsidR="007B756D" w:rsidRPr="00734942" w:rsidRDefault="00160722" w:rsidP="006658D1">
            <w:pPr>
              <w:spacing w:before="40" w:after="40"/>
              <w:ind w:left="100" w:right="100"/>
            </w:pPr>
            <w:r w:rsidRPr="00734942">
              <w:rPr>
                <w:rFonts w:ascii="Arial" w:eastAsia="Arial" w:hAnsi="Arial" w:cs="Arial"/>
                <w:color w:val="111111"/>
                <w:sz w:val="18"/>
                <w:szCs w:val="18"/>
              </w:rPr>
              <w:t>Healthy controls</w:t>
            </w:r>
          </w:p>
        </w:tc>
        <w:tc>
          <w:tcPr>
            <w:tcW w:w="844" w:type="pct"/>
            <w:shd w:val="clear" w:color="auto" w:fill="FFFFFF"/>
            <w:tcMar>
              <w:top w:w="0" w:type="dxa"/>
              <w:left w:w="0" w:type="dxa"/>
              <w:bottom w:w="0" w:type="dxa"/>
              <w:right w:w="0" w:type="dxa"/>
            </w:tcMar>
            <w:vAlign w:val="center"/>
          </w:tcPr>
          <w:p w14:paraId="395E82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69" w:type="pct"/>
            <w:shd w:val="clear" w:color="auto" w:fill="FFFFFF"/>
            <w:tcMar>
              <w:top w:w="0" w:type="dxa"/>
              <w:left w:w="0" w:type="dxa"/>
              <w:bottom w:w="0" w:type="dxa"/>
              <w:right w:w="0" w:type="dxa"/>
            </w:tcMar>
            <w:vAlign w:val="center"/>
          </w:tcPr>
          <w:p w14:paraId="79CA0983" w14:textId="17129353" w:rsidR="007B756D" w:rsidRPr="00734942" w:rsidRDefault="00160722"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56DBCE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49943523" w14:textId="69AF29D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ExcludeYear="1"&gt;&lt;Author&gt;Roth&lt;/Author&gt;&lt;Year&gt;2008&lt;/Year&gt;&lt;RecNum&gt;88&lt;/RecNum&gt;&lt;DisplayText&gt;&lt;style face="superscript"&gt;410&lt;/style&gt;&lt;/DisplayText&gt;&lt;record&gt;&lt;rec-number&gt;88&lt;/rec-number&gt;&lt;foreign-keys&gt;&lt;key app="EN" db-id="tdwrx9xd1z9eepeevr355w2k959rv0f5zaax" timestamp="1632756114"&gt;88&lt;/key&gt;&lt;/foreign-keys&gt;&lt;ref-type name="Journal Article"&gt;17&lt;/ref-type&gt;&lt;contributors&gt;&lt;authors&gt;&lt;author&gt;Roth, E. B.&lt;/author&gt;&lt;author&gt;Theander, E.&lt;/author&gt;&lt;author&gt;Londos, E.&lt;/author&gt;&lt;author&gt;Sandberg-Wollheim, M.&lt;/author&gt;&lt;author&gt;Larsson, A.&lt;/author&gt;&lt;author&gt;Sjoberg, K.&lt;/author&gt;&lt;author&gt;Stenberg, P.&lt;/author&gt;&lt;/authors&gt;&lt;/contributors&gt;&lt;titles&gt;&lt;title&gt;Pathogenesis of autoimmune diseases: Antibodies against transglutaminase, peptidylarginine deiminase and protein-bound citrulline in primary Sjogren&amp;apos;s syndrome, multiple sclerosis and Alzheimer&amp;apos;s disease&lt;/title&gt;&lt;secondary-title&gt;Scandinavian Journal of Immunology&lt;/secondary-title&gt;&lt;/titles&gt;&lt;periodical&gt;&lt;full-title&gt;Scandinavian Journal of Immunology&lt;/full-title&gt;&lt;/periodical&gt;&lt;pages&gt;626-631&lt;/pages&gt;&lt;volume&gt;67&lt;/volume&gt;&lt;number&gt;6&lt;/number&gt;&lt;dates&gt;&lt;year&gt;2008&lt;/year&gt;&lt;pub-dates&gt;&lt;date&gt;Jun&lt;/date&gt;&lt;/pub-dates&gt;&lt;/dates&gt;&lt;isbn&gt;0300-9475&lt;/isbn&gt;&lt;accession-num&gt;WOS:000255725000012&lt;/accession-num&gt;&lt;urls&gt;&lt;related-urls&gt;&lt;url&gt;&amp;lt;Go to ISI&amp;gt;://WOS:000255725000012&lt;/url&gt;&lt;url&gt;https://onlinelibrary.wiley.com/doi/full/10.1111/j.1365-3083.2008.02115.x&lt;/url&gt;&lt;/related-urls&gt;&lt;/urls&gt;&lt;electronic-resource-num&gt;10.1111/j.1365-3083.2008.02115.x&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410</w:t>
            </w:r>
            <w:r w:rsidRPr="00734942">
              <w:rPr>
                <w:rFonts w:ascii="Arial" w:eastAsia="Arial" w:hAnsi="Arial" w:cs="Arial"/>
                <w:color w:val="111111"/>
                <w:sz w:val="18"/>
                <w:szCs w:val="18"/>
              </w:rPr>
              <w:fldChar w:fldCharType="end"/>
            </w:r>
          </w:p>
        </w:tc>
      </w:tr>
      <w:tr w:rsidR="00C8418F" w:rsidRPr="00734942" w14:paraId="4746EA2E" w14:textId="77777777" w:rsidTr="00DA0CBC">
        <w:trPr>
          <w:cantSplit/>
          <w:jc w:val="center"/>
        </w:trPr>
        <w:tc>
          <w:tcPr>
            <w:tcW w:w="953" w:type="pct"/>
            <w:tcBorders>
              <w:bottom w:val="single" w:sz="16" w:space="0" w:color="000000"/>
            </w:tcBorders>
            <w:shd w:val="clear" w:color="auto" w:fill="FFFFFF"/>
            <w:tcMar>
              <w:top w:w="0" w:type="dxa"/>
              <w:left w:w="0" w:type="dxa"/>
              <w:bottom w:w="0" w:type="dxa"/>
              <w:right w:w="0" w:type="dxa"/>
            </w:tcMar>
            <w:vAlign w:val="center"/>
          </w:tcPr>
          <w:p w14:paraId="5A61DE2A" w14:textId="1BBC6B30" w:rsidR="007B756D" w:rsidRPr="00734942" w:rsidRDefault="00160722" w:rsidP="006658D1">
            <w:pPr>
              <w:spacing w:before="40" w:after="40"/>
              <w:ind w:left="100" w:right="100"/>
            </w:pPr>
            <w:r w:rsidRPr="00734942">
              <w:rPr>
                <w:rFonts w:ascii="Arial" w:eastAsia="Arial" w:hAnsi="Arial" w:cs="Arial"/>
                <w:color w:val="111111"/>
                <w:sz w:val="18"/>
                <w:szCs w:val="18"/>
              </w:rPr>
              <w:t>Mixed</w:t>
            </w:r>
          </w:p>
        </w:tc>
        <w:tc>
          <w:tcPr>
            <w:tcW w:w="464" w:type="pct"/>
            <w:tcBorders>
              <w:bottom w:val="single" w:sz="16" w:space="0" w:color="000000"/>
            </w:tcBorders>
            <w:shd w:val="clear" w:color="auto" w:fill="FFFFFF"/>
            <w:tcMar>
              <w:top w:w="0" w:type="dxa"/>
              <w:left w:w="0" w:type="dxa"/>
              <w:bottom w:w="0" w:type="dxa"/>
              <w:right w:w="0" w:type="dxa"/>
            </w:tcMar>
            <w:vAlign w:val="center"/>
          </w:tcPr>
          <w:p w14:paraId="7794D2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64" w:type="pct"/>
            <w:tcBorders>
              <w:bottom w:val="single" w:sz="16" w:space="0" w:color="000000"/>
            </w:tcBorders>
            <w:shd w:val="clear" w:color="auto" w:fill="FFFFFF"/>
            <w:tcMar>
              <w:top w:w="0" w:type="dxa"/>
              <w:left w:w="0" w:type="dxa"/>
              <w:bottom w:w="0" w:type="dxa"/>
              <w:right w:w="0" w:type="dxa"/>
            </w:tcMar>
            <w:vAlign w:val="center"/>
          </w:tcPr>
          <w:p w14:paraId="236862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Multiple sclerosis</w:t>
            </w:r>
          </w:p>
        </w:tc>
        <w:tc>
          <w:tcPr>
            <w:tcW w:w="361" w:type="pct"/>
            <w:tcBorders>
              <w:bottom w:val="single" w:sz="16" w:space="0" w:color="000000"/>
            </w:tcBorders>
            <w:shd w:val="clear" w:color="auto" w:fill="FFFFFF"/>
            <w:tcMar>
              <w:top w:w="0" w:type="dxa"/>
              <w:left w:w="0" w:type="dxa"/>
              <w:bottom w:w="0" w:type="dxa"/>
              <w:right w:w="0" w:type="dxa"/>
            </w:tcMar>
            <w:vAlign w:val="center"/>
          </w:tcPr>
          <w:p w14:paraId="7695135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221</w:t>
            </w:r>
          </w:p>
        </w:tc>
        <w:tc>
          <w:tcPr>
            <w:tcW w:w="427" w:type="pct"/>
            <w:tcBorders>
              <w:bottom w:val="single" w:sz="16" w:space="0" w:color="000000"/>
            </w:tcBorders>
            <w:shd w:val="clear" w:color="auto" w:fill="FFFFFF"/>
            <w:tcMar>
              <w:top w:w="0" w:type="dxa"/>
              <w:left w:w="0" w:type="dxa"/>
              <w:bottom w:w="0" w:type="dxa"/>
              <w:right w:w="0" w:type="dxa"/>
            </w:tcMar>
            <w:vAlign w:val="center"/>
          </w:tcPr>
          <w:p w14:paraId="5012DFD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435" w:type="pct"/>
            <w:tcBorders>
              <w:bottom w:val="single" w:sz="16" w:space="0" w:color="000000"/>
            </w:tcBorders>
            <w:shd w:val="clear" w:color="auto" w:fill="FFFFFF"/>
            <w:tcMar>
              <w:top w:w="0" w:type="dxa"/>
              <w:left w:w="0" w:type="dxa"/>
              <w:bottom w:w="0" w:type="dxa"/>
              <w:right w:w="0" w:type="dxa"/>
            </w:tcMar>
            <w:vAlign w:val="center"/>
          </w:tcPr>
          <w:p w14:paraId="7F223E00" w14:textId="1EB8F694" w:rsidR="007B756D" w:rsidRPr="00734942" w:rsidRDefault="00160722" w:rsidP="006658D1">
            <w:pPr>
              <w:spacing w:before="40" w:after="40"/>
              <w:ind w:left="100" w:right="100"/>
            </w:pPr>
            <w:r w:rsidRPr="00734942">
              <w:rPr>
                <w:rFonts w:ascii="Arial" w:eastAsia="Arial" w:hAnsi="Arial" w:cs="Arial"/>
                <w:color w:val="111111"/>
                <w:sz w:val="18"/>
                <w:szCs w:val="18"/>
              </w:rPr>
              <w:t>Healthy controls</w:t>
            </w:r>
          </w:p>
        </w:tc>
        <w:tc>
          <w:tcPr>
            <w:tcW w:w="844" w:type="pct"/>
            <w:tcBorders>
              <w:bottom w:val="single" w:sz="16" w:space="0" w:color="000000"/>
            </w:tcBorders>
            <w:shd w:val="clear" w:color="auto" w:fill="FFFFFF"/>
            <w:tcMar>
              <w:top w:w="0" w:type="dxa"/>
              <w:left w:w="0" w:type="dxa"/>
              <w:bottom w:w="0" w:type="dxa"/>
              <w:right w:w="0" w:type="dxa"/>
            </w:tcMar>
            <w:vAlign w:val="center"/>
          </w:tcPr>
          <w:p w14:paraId="5FB192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69" w:type="pct"/>
            <w:tcBorders>
              <w:bottom w:val="single" w:sz="16" w:space="0" w:color="000000"/>
            </w:tcBorders>
            <w:shd w:val="clear" w:color="auto" w:fill="FFFFFF"/>
            <w:tcMar>
              <w:top w:w="0" w:type="dxa"/>
              <w:left w:w="0" w:type="dxa"/>
              <w:bottom w:w="0" w:type="dxa"/>
              <w:right w:w="0" w:type="dxa"/>
            </w:tcMar>
            <w:vAlign w:val="center"/>
          </w:tcPr>
          <w:p w14:paraId="3A56551E" w14:textId="30C5C674" w:rsidR="007B756D" w:rsidRPr="00734942" w:rsidRDefault="00160722"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1D0C23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tcBorders>
              <w:bottom w:val="single" w:sz="16" w:space="0" w:color="000000"/>
            </w:tcBorders>
            <w:shd w:val="clear" w:color="auto" w:fill="FFFFFF"/>
            <w:tcMar>
              <w:top w:w="0" w:type="dxa"/>
              <w:left w:w="0" w:type="dxa"/>
              <w:bottom w:w="0" w:type="dxa"/>
              <w:right w:w="0" w:type="dxa"/>
            </w:tcMar>
            <w:vAlign w:val="center"/>
          </w:tcPr>
          <w:p w14:paraId="75AEA042" w14:textId="27530CC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ExcludeYear="1"&gt;&lt;Author&gt;Khoshbaten&lt;/Author&gt;&lt;Year&gt;2012&lt;/Year&gt;&lt;RecNum&gt;234&lt;/RecNum&gt;&lt;DisplayText&gt;&lt;style face="superscript"&gt;411&lt;/style&gt;&lt;/DisplayText&gt;&lt;record&gt;&lt;rec-number&gt;234&lt;/rec-number&gt;&lt;foreign-keys&gt;&lt;key app="EN" db-id="tdwrx9xd1z9eepeevr355w2k959rv0f5zaax" timestamp="1632756136"&gt;234&lt;/key&gt;&lt;/foreign-keys&gt;&lt;ref-type name="Journal Article"&gt;17&lt;/ref-type&gt;&lt;contributors&gt;&lt;authors&gt;&lt;author&gt;Khoshbaten, M.&lt;/author&gt;&lt;author&gt;Farhoudi, M.&lt;/author&gt;&lt;author&gt;Nikanfar, M.&lt;/author&gt;&lt;author&gt;Ayromlou, H.&lt;/author&gt;&lt;author&gt;Shaafi, S.&lt;/author&gt;&lt;author&gt;Sadreddini, S. A.&lt;/author&gt;&lt;author&gt;Pashapoor, A.&lt;/author&gt;&lt;author&gt;Taheraghdam, A.&lt;/author&gt;&lt;author&gt;Yazdchi, M.&lt;/author&gt;&lt;author&gt;Sharifi, N.&lt;/author&gt;&lt;/authors&gt;&lt;/contributors&gt;&lt;titles&gt;&lt;title&gt;Celiac disease and multiple sclerosis in the northwest of Iran&lt;/title&gt;&lt;secondary-title&gt;Bratislavske lekarske listy&lt;/secondary-title&gt;&lt;/titles&gt;&lt;periodical&gt;&lt;full-title&gt;Bratislavske lekarske listy&lt;/full-title&gt;&lt;/periodical&gt;&lt;pages&gt;495-7&lt;/pages&gt;&lt;volume&gt;113&lt;/volume&gt;&lt;number&gt;8&lt;/number&gt;&lt;section&gt;Khoshbaten, M. Tabriz University of Medical Sciences, Tabriz, Iran.&lt;/section&gt;&lt;keywords&gt;&lt;keyword&gt;Adult&lt;/keyword&gt;&lt;keyword&gt;*Celiac Disease/co [Complications]&lt;/keyword&gt;&lt;keyword&gt;Celiac Disease/ep [Epidemiology]&lt;/keyword&gt;&lt;keyword&gt;Celiac Disease/im [Immunology]&lt;/keyword&gt;&lt;keyword&gt;Female&lt;/keyword&gt;&lt;keyword&gt;Humans&lt;/keyword&gt;&lt;keyword&gt;Immunoglobulin A/an [Analysis]&lt;/keyword&gt;&lt;keyword&gt;Iran/ep [Epidemiology]&lt;/keyword&gt;&lt;keyword&gt;Male&lt;/keyword&gt;&lt;keyword&gt;*Multiple Sclerosis/co [Complications]&lt;/keyword&gt;&lt;keyword&gt;Multiple Sclerosis/ep [Epidemiology]&lt;/keyword&gt;&lt;keyword&gt;Multiple Sclerosis/im [Immunology]&lt;/keyword&gt;&lt;keyword&gt;Transglutaminases/im [Immunology]&lt;/keyword&gt;&lt;/keywords&gt;&lt;dates&gt;&lt;year&gt;2012&lt;/year&gt;&lt;/dates&gt;&lt;pub-location&gt;Slovakia&lt;/pub-location&gt;&lt;isbn&gt;0006-9248&lt;/isbn&gt;&lt;urls&gt;&lt;related-urls&gt;&lt;url&gt;http://ovidsp.ovid.com/ovidweb.cgi?T=JS&amp;amp;PAGE=reference&amp;amp;D=medc&amp;amp;NEWS=N&amp;amp;AN=22897375&lt;/url&gt;&lt;/related-urls&gt;&lt;/urls&gt;&lt;remote-database-name&gt;MEDLIN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411</w:t>
            </w:r>
            <w:r w:rsidRPr="00734942">
              <w:rPr>
                <w:rFonts w:ascii="Arial" w:eastAsia="Arial" w:hAnsi="Arial" w:cs="Arial"/>
                <w:color w:val="111111"/>
                <w:sz w:val="18"/>
                <w:szCs w:val="18"/>
              </w:rPr>
              <w:fldChar w:fldCharType="end"/>
            </w:r>
          </w:p>
        </w:tc>
      </w:tr>
    </w:tbl>
    <w:p w14:paraId="0692B743" w14:textId="77777777" w:rsidR="007B756D" w:rsidRPr="00734942" w:rsidRDefault="007B756D" w:rsidP="007B756D"/>
    <w:p w14:paraId="5E708CC2" w14:textId="02206DEB" w:rsidR="00160722" w:rsidRDefault="00160722" w:rsidP="000526F1">
      <w:pPr>
        <w:pStyle w:val="Caption"/>
      </w:pPr>
      <w:bookmarkStart w:id="382" w:name="_Toc99720753"/>
      <w:r>
        <w:t xml:space="preserve">Table </w:t>
      </w:r>
      <w:r w:rsidR="00C34531">
        <w:fldChar w:fldCharType="begin"/>
      </w:r>
      <w:r w:rsidR="00C34531">
        <w:instrText xml:space="preserve"> SEQ Table \* ARABIC </w:instrText>
      </w:r>
      <w:r w:rsidR="00C34531">
        <w:fldChar w:fldCharType="separate"/>
      </w:r>
      <w:r w:rsidR="008B5583">
        <w:rPr>
          <w:noProof/>
        </w:rPr>
        <w:t>42</w:t>
      </w:r>
      <w:r w:rsidR="00C34531">
        <w:rPr>
          <w:noProof/>
        </w:rPr>
        <w:fldChar w:fldCharType="end"/>
      </w:r>
      <w:r>
        <w:t xml:space="preserve">  </w:t>
      </w:r>
      <w:r w:rsidRPr="008E0923">
        <w:t>Study characteristics: Osteoporosis</w:t>
      </w:r>
      <w:bookmarkEnd w:id="382"/>
    </w:p>
    <w:tbl>
      <w:tblPr>
        <w:tblW w:w="5000" w:type="pct"/>
        <w:jc w:val="center"/>
        <w:tblLook w:val="0420" w:firstRow="1" w:lastRow="0" w:firstColumn="0" w:lastColumn="0" w:noHBand="0" w:noVBand="1"/>
      </w:tblPr>
      <w:tblGrid>
        <w:gridCol w:w="2107"/>
        <w:gridCol w:w="1551"/>
        <w:gridCol w:w="1261"/>
        <w:gridCol w:w="853"/>
        <w:gridCol w:w="1019"/>
        <w:gridCol w:w="1778"/>
        <w:gridCol w:w="2063"/>
        <w:gridCol w:w="1393"/>
        <w:gridCol w:w="902"/>
        <w:gridCol w:w="1031"/>
      </w:tblGrid>
      <w:tr w:rsidR="00C8418F" w:rsidRPr="00734942" w14:paraId="5672AB9B" w14:textId="77777777" w:rsidTr="00160722">
        <w:trPr>
          <w:cantSplit/>
          <w:tblHeader/>
          <w:jc w:val="center"/>
        </w:trPr>
        <w:tc>
          <w:tcPr>
            <w:tcW w:w="75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4B94D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5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3D3EB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5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3ED5B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0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3CE52DD"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6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D4DB98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3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9D286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3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C7206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72FE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2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FA9EB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4B81E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2AA0DC47" w14:textId="77777777" w:rsidTr="00160722">
        <w:trPr>
          <w:cantSplit/>
          <w:jc w:val="center"/>
        </w:trPr>
        <w:tc>
          <w:tcPr>
            <w:tcW w:w="755" w:type="pct"/>
            <w:shd w:val="clear" w:color="auto" w:fill="FFFFFF"/>
            <w:tcMar>
              <w:top w:w="0" w:type="dxa"/>
              <w:left w:w="0" w:type="dxa"/>
              <w:bottom w:w="0" w:type="dxa"/>
              <w:right w:w="0" w:type="dxa"/>
            </w:tcMar>
            <w:vAlign w:val="center"/>
          </w:tcPr>
          <w:p w14:paraId="082E4C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73275F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2" w:type="pct"/>
            <w:shd w:val="clear" w:color="auto" w:fill="FFFFFF"/>
            <w:tcMar>
              <w:top w:w="0" w:type="dxa"/>
              <w:left w:w="0" w:type="dxa"/>
              <w:bottom w:w="0" w:type="dxa"/>
              <w:right w:w="0" w:type="dxa"/>
            </w:tcMar>
            <w:vAlign w:val="center"/>
          </w:tcPr>
          <w:p w14:paraId="488917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4E53EEB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197</w:t>
            </w:r>
          </w:p>
        </w:tc>
        <w:tc>
          <w:tcPr>
            <w:tcW w:w="365" w:type="pct"/>
            <w:shd w:val="clear" w:color="auto" w:fill="FFFFFF"/>
            <w:tcMar>
              <w:top w:w="0" w:type="dxa"/>
              <w:left w:w="0" w:type="dxa"/>
              <w:bottom w:w="0" w:type="dxa"/>
              <w:right w:w="0" w:type="dxa"/>
            </w:tcMar>
            <w:vAlign w:val="center"/>
          </w:tcPr>
          <w:p w14:paraId="04FA891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637" w:type="pct"/>
            <w:shd w:val="clear" w:color="auto" w:fill="FFFFFF"/>
            <w:tcMar>
              <w:top w:w="0" w:type="dxa"/>
              <w:left w:w="0" w:type="dxa"/>
              <w:bottom w:w="0" w:type="dxa"/>
              <w:right w:w="0" w:type="dxa"/>
            </w:tcMar>
            <w:vAlign w:val="center"/>
          </w:tcPr>
          <w:p w14:paraId="1A6A66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9" w:type="pct"/>
            <w:shd w:val="clear" w:color="auto" w:fill="FFFFFF"/>
            <w:tcMar>
              <w:top w:w="0" w:type="dxa"/>
              <w:left w:w="0" w:type="dxa"/>
              <w:bottom w:w="0" w:type="dxa"/>
              <w:right w:w="0" w:type="dxa"/>
            </w:tcMar>
            <w:vAlign w:val="center"/>
          </w:tcPr>
          <w:p w14:paraId="7ED86A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9" w:type="pct"/>
            <w:shd w:val="clear" w:color="auto" w:fill="FFFFFF"/>
            <w:tcMar>
              <w:top w:w="0" w:type="dxa"/>
              <w:left w:w="0" w:type="dxa"/>
              <w:bottom w:w="0" w:type="dxa"/>
              <w:right w:w="0" w:type="dxa"/>
            </w:tcMar>
            <w:vAlign w:val="center"/>
          </w:tcPr>
          <w:p w14:paraId="4F7833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515747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1C52AC18" w14:textId="625AE9C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PEVuZE5vdGU+PENpdGUgRXhjbHVkZUF1dGg9IjEiIEV4Y2x1ZGVZZWFyPSIxIj48QXV0aG9yPkd1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PEVuZE5vdGU+PENpdGUgRXhjbHVkZUF1dGg9IjEiIEV4Y2x1ZGVZZWFyPSIxIj48QXV0aG9yPkd1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412</w:t>
            </w:r>
            <w:r w:rsidRPr="00734942">
              <w:rPr>
                <w:rFonts w:ascii="Arial" w:eastAsia="Arial" w:hAnsi="Arial" w:cs="Arial"/>
                <w:color w:val="111111"/>
                <w:sz w:val="18"/>
                <w:szCs w:val="18"/>
              </w:rPr>
              <w:fldChar w:fldCharType="end"/>
            </w:r>
          </w:p>
        </w:tc>
      </w:tr>
      <w:tr w:rsidR="00C8418F" w:rsidRPr="00734942" w14:paraId="7A255F66" w14:textId="77777777" w:rsidTr="00160722">
        <w:trPr>
          <w:cantSplit/>
          <w:jc w:val="center"/>
        </w:trPr>
        <w:tc>
          <w:tcPr>
            <w:tcW w:w="755" w:type="pct"/>
            <w:shd w:val="clear" w:color="auto" w:fill="FFFFFF"/>
            <w:tcMar>
              <w:top w:w="0" w:type="dxa"/>
              <w:left w:w="0" w:type="dxa"/>
              <w:bottom w:w="0" w:type="dxa"/>
              <w:right w:w="0" w:type="dxa"/>
            </w:tcMar>
            <w:vAlign w:val="center"/>
          </w:tcPr>
          <w:p w14:paraId="782F55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4AE380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2" w:type="pct"/>
            <w:shd w:val="clear" w:color="auto" w:fill="FFFFFF"/>
            <w:tcMar>
              <w:top w:w="0" w:type="dxa"/>
              <w:left w:w="0" w:type="dxa"/>
              <w:bottom w:w="0" w:type="dxa"/>
              <w:right w:w="0" w:type="dxa"/>
            </w:tcMar>
            <w:vAlign w:val="center"/>
          </w:tcPr>
          <w:p w14:paraId="14D22A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5DC8344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560</w:t>
            </w:r>
          </w:p>
        </w:tc>
        <w:tc>
          <w:tcPr>
            <w:tcW w:w="365" w:type="pct"/>
            <w:shd w:val="clear" w:color="auto" w:fill="FFFFFF"/>
            <w:tcMar>
              <w:top w:w="0" w:type="dxa"/>
              <w:left w:w="0" w:type="dxa"/>
              <w:bottom w:w="0" w:type="dxa"/>
              <w:right w:w="0" w:type="dxa"/>
            </w:tcMar>
            <w:vAlign w:val="center"/>
          </w:tcPr>
          <w:p w14:paraId="648A781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37" w:type="pct"/>
            <w:shd w:val="clear" w:color="auto" w:fill="FFFFFF"/>
            <w:tcMar>
              <w:top w:w="0" w:type="dxa"/>
              <w:left w:w="0" w:type="dxa"/>
              <w:bottom w:w="0" w:type="dxa"/>
              <w:right w:w="0" w:type="dxa"/>
            </w:tcMar>
            <w:vAlign w:val="center"/>
          </w:tcPr>
          <w:p w14:paraId="2F2EAE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9" w:type="pct"/>
            <w:shd w:val="clear" w:color="auto" w:fill="FFFFFF"/>
            <w:tcMar>
              <w:top w:w="0" w:type="dxa"/>
              <w:left w:w="0" w:type="dxa"/>
              <w:bottom w:w="0" w:type="dxa"/>
              <w:right w:w="0" w:type="dxa"/>
            </w:tcMar>
            <w:vAlign w:val="center"/>
          </w:tcPr>
          <w:p w14:paraId="2CF1E64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9" w:type="pct"/>
            <w:shd w:val="clear" w:color="auto" w:fill="FFFFFF"/>
            <w:tcMar>
              <w:top w:w="0" w:type="dxa"/>
              <w:left w:w="0" w:type="dxa"/>
              <w:bottom w:w="0" w:type="dxa"/>
              <w:right w:w="0" w:type="dxa"/>
            </w:tcMar>
            <w:vAlign w:val="center"/>
          </w:tcPr>
          <w:p w14:paraId="571BB0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5C5294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671DB7E9" w14:textId="5EE84A3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YWhiYXpraGFuaTwvQXV0aG9yPjxZZWFyPjIwMTU8L1llYXI+PFJlY051bT4yMzY8L1JlY051bT48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YWhiYXpraGFuaTwvQXV0aG9yPjxZZWFyPjIwMTU8L1llYXI+PFJlY051bT4yMzY8L1JlY051bT48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413</w:t>
            </w:r>
            <w:r w:rsidRPr="00734942">
              <w:rPr>
                <w:rFonts w:ascii="Arial" w:eastAsia="Arial" w:hAnsi="Arial" w:cs="Arial"/>
                <w:color w:val="111111"/>
                <w:sz w:val="18"/>
                <w:szCs w:val="18"/>
              </w:rPr>
              <w:fldChar w:fldCharType="end"/>
            </w:r>
          </w:p>
        </w:tc>
      </w:tr>
      <w:tr w:rsidR="00C8418F" w:rsidRPr="00734942" w14:paraId="29E855CA" w14:textId="77777777" w:rsidTr="00160722">
        <w:trPr>
          <w:cantSplit/>
          <w:jc w:val="center"/>
        </w:trPr>
        <w:tc>
          <w:tcPr>
            <w:tcW w:w="755" w:type="pct"/>
            <w:shd w:val="clear" w:color="auto" w:fill="FFFFFF"/>
            <w:tcMar>
              <w:top w:w="0" w:type="dxa"/>
              <w:left w:w="0" w:type="dxa"/>
              <w:bottom w:w="0" w:type="dxa"/>
              <w:right w:w="0" w:type="dxa"/>
            </w:tcMar>
            <w:vAlign w:val="center"/>
          </w:tcPr>
          <w:p w14:paraId="06C9D2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07A226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2" w:type="pct"/>
            <w:shd w:val="clear" w:color="auto" w:fill="FFFFFF"/>
            <w:tcMar>
              <w:top w:w="0" w:type="dxa"/>
              <w:left w:w="0" w:type="dxa"/>
              <w:bottom w:w="0" w:type="dxa"/>
              <w:right w:w="0" w:type="dxa"/>
            </w:tcMar>
            <w:vAlign w:val="center"/>
          </w:tcPr>
          <w:p w14:paraId="72B1CF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2A6E6A2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840</w:t>
            </w:r>
          </w:p>
        </w:tc>
        <w:tc>
          <w:tcPr>
            <w:tcW w:w="365" w:type="pct"/>
            <w:shd w:val="clear" w:color="auto" w:fill="FFFFFF"/>
            <w:tcMar>
              <w:top w:w="0" w:type="dxa"/>
              <w:left w:w="0" w:type="dxa"/>
              <w:bottom w:w="0" w:type="dxa"/>
              <w:right w:w="0" w:type="dxa"/>
            </w:tcMar>
            <w:vAlign w:val="center"/>
          </w:tcPr>
          <w:p w14:paraId="68EA210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637" w:type="pct"/>
            <w:shd w:val="clear" w:color="auto" w:fill="FFFFFF"/>
            <w:tcMar>
              <w:top w:w="0" w:type="dxa"/>
              <w:left w:w="0" w:type="dxa"/>
              <w:bottom w:w="0" w:type="dxa"/>
              <w:right w:w="0" w:type="dxa"/>
            </w:tcMar>
            <w:vAlign w:val="center"/>
          </w:tcPr>
          <w:p w14:paraId="79019D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9" w:type="pct"/>
            <w:shd w:val="clear" w:color="auto" w:fill="FFFFFF"/>
            <w:tcMar>
              <w:top w:w="0" w:type="dxa"/>
              <w:left w:w="0" w:type="dxa"/>
              <w:bottom w:w="0" w:type="dxa"/>
              <w:right w:w="0" w:type="dxa"/>
            </w:tcMar>
            <w:vAlign w:val="center"/>
          </w:tcPr>
          <w:p w14:paraId="4DF1D1B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9" w:type="pct"/>
            <w:shd w:val="clear" w:color="auto" w:fill="FFFFFF"/>
            <w:tcMar>
              <w:top w:w="0" w:type="dxa"/>
              <w:left w:w="0" w:type="dxa"/>
              <w:bottom w:w="0" w:type="dxa"/>
              <w:right w:w="0" w:type="dxa"/>
            </w:tcMar>
            <w:vAlign w:val="center"/>
          </w:tcPr>
          <w:p w14:paraId="510707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15B9ED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18EBD21D" w14:textId="1B64095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PEVuZE5vdGU+PENpdGUgRXhjbHVkZUF1dGg9IjEiIEV4Y2x1ZGVZZWFyPSIxIj48QXV0aG9yPlN0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PEVuZE5vdGU+PENpdGUgRXhjbHVkZUF1dGg9IjEiIEV4Y2x1ZGVZZWFyPSIxIj48QXV0aG9yPlN0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414</w:t>
            </w:r>
            <w:r w:rsidRPr="00734942">
              <w:rPr>
                <w:rFonts w:ascii="Arial" w:eastAsia="Arial" w:hAnsi="Arial" w:cs="Arial"/>
                <w:color w:val="111111"/>
                <w:sz w:val="18"/>
                <w:szCs w:val="18"/>
              </w:rPr>
              <w:fldChar w:fldCharType="end"/>
            </w:r>
          </w:p>
        </w:tc>
      </w:tr>
      <w:tr w:rsidR="00C8418F" w:rsidRPr="00734942" w14:paraId="308E96D5" w14:textId="77777777" w:rsidTr="00160722">
        <w:trPr>
          <w:cantSplit/>
          <w:jc w:val="center"/>
        </w:trPr>
        <w:tc>
          <w:tcPr>
            <w:tcW w:w="755" w:type="pct"/>
            <w:shd w:val="clear" w:color="auto" w:fill="FFFFFF"/>
            <w:tcMar>
              <w:top w:w="0" w:type="dxa"/>
              <w:left w:w="0" w:type="dxa"/>
              <w:bottom w:w="0" w:type="dxa"/>
              <w:right w:w="0" w:type="dxa"/>
            </w:tcMar>
            <w:vAlign w:val="center"/>
          </w:tcPr>
          <w:p w14:paraId="512FE3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352A0E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2" w:type="pct"/>
            <w:shd w:val="clear" w:color="auto" w:fill="FFFFFF"/>
            <w:tcMar>
              <w:top w:w="0" w:type="dxa"/>
              <w:left w:w="0" w:type="dxa"/>
              <w:bottom w:w="0" w:type="dxa"/>
              <w:right w:w="0" w:type="dxa"/>
            </w:tcMar>
            <w:vAlign w:val="center"/>
          </w:tcPr>
          <w:p w14:paraId="297D51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479B360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1,414</w:t>
            </w:r>
          </w:p>
        </w:tc>
        <w:tc>
          <w:tcPr>
            <w:tcW w:w="365" w:type="pct"/>
            <w:shd w:val="clear" w:color="auto" w:fill="FFFFFF"/>
            <w:tcMar>
              <w:top w:w="0" w:type="dxa"/>
              <w:left w:w="0" w:type="dxa"/>
              <w:bottom w:w="0" w:type="dxa"/>
              <w:right w:w="0" w:type="dxa"/>
            </w:tcMar>
            <w:vAlign w:val="center"/>
          </w:tcPr>
          <w:p w14:paraId="2875011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37" w:type="pct"/>
            <w:shd w:val="clear" w:color="auto" w:fill="FFFFFF"/>
            <w:tcMar>
              <w:top w:w="0" w:type="dxa"/>
              <w:left w:w="0" w:type="dxa"/>
              <w:bottom w:w="0" w:type="dxa"/>
              <w:right w:w="0" w:type="dxa"/>
            </w:tcMar>
            <w:vAlign w:val="center"/>
          </w:tcPr>
          <w:p w14:paraId="2BB69E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9" w:type="pct"/>
            <w:shd w:val="clear" w:color="auto" w:fill="FFFFFF"/>
            <w:tcMar>
              <w:top w:w="0" w:type="dxa"/>
              <w:left w:w="0" w:type="dxa"/>
              <w:bottom w:w="0" w:type="dxa"/>
              <w:right w:w="0" w:type="dxa"/>
            </w:tcMar>
            <w:vAlign w:val="center"/>
          </w:tcPr>
          <w:p w14:paraId="17DB21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9" w:type="pct"/>
            <w:shd w:val="clear" w:color="auto" w:fill="FFFFFF"/>
            <w:tcMar>
              <w:top w:w="0" w:type="dxa"/>
              <w:left w:w="0" w:type="dxa"/>
              <w:bottom w:w="0" w:type="dxa"/>
              <w:right w:w="0" w:type="dxa"/>
            </w:tcMar>
            <w:vAlign w:val="center"/>
          </w:tcPr>
          <w:p w14:paraId="4CAFB2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0B6FB6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Czechia</w:t>
            </w:r>
          </w:p>
        </w:tc>
        <w:tc>
          <w:tcPr>
            <w:tcW w:w="369" w:type="pct"/>
            <w:shd w:val="clear" w:color="auto" w:fill="FFFFFF"/>
            <w:tcMar>
              <w:top w:w="0" w:type="dxa"/>
              <w:left w:w="0" w:type="dxa"/>
              <w:bottom w:w="0" w:type="dxa"/>
              <w:right w:w="0" w:type="dxa"/>
            </w:tcMar>
            <w:vAlign w:val="center"/>
          </w:tcPr>
          <w:p w14:paraId="57C1600C" w14:textId="73FEF50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PEVuZE5vdGU+PENpdGUgRXhjbHVkZUF1dGg9IjEiIEV4Y2x1ZGVZZWFyPSIxIj48QXV0aG9yPlZh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PEVuZE5vdGU+PENpdGUgRXhjbHVkZUF1dGg9IjEiIEV4Y2x1ZGVZZWFyPSIxIj48QXV0aG9yPlZh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415</w:t>
            </w:r>
            <w:r w:rsidRPr="00734942">
              <w:rPr>
                <w:rFonts w:ascii="Arial" w:eastAsia="Arial" w:hAnsi="Arial" w:cs="Arial"/>
                <w:color w:val="111111"/>
                <w:sz w:val="18"/>
                <w:szCs w:val="18"/>
              </w:rPr>
              <w:fldChar w:fldCharType="end"/>
            </w:r>
          </w:p>
        </w:tc>
      </w:tr>
      <w:tr w:rsidR="00C8418F" w:rsidRPr="00734942" w14:paraId="77B69EE4" w14:textId="77777777" w:rsidTr="00160722">
        <w:trPr>
          <w:cantSplit/>
          <w:jc w:val="center"/>
        </w:trPr>
        <w:tc>
          <w:tcPr>
            <w:tcW w:w="755" w:type="pct"/>
            <w:shd w:val="clear" w:color="auto" w:fill="FFFFFF"/>
            <w:tcMar>
              <w:top w:w="0" w:type="dxa"/>
              <w:left w:w="0" w:type="dxa"/>
              <w:bottom w:w="0" w:type="dxa"/>
              <w:right w:w="0" w:type="dxa"/>
            </w:tcMar>
            <w:vAlign w:val="center"/>
          </w:tcPr>
          <w:p w14:paraId="693D47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6EEC65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2" w:type="pct"/>
            <w:shd w:val="clear" w:color="auto" w:fill="FFFFFF"/>
            <w:tcMar>
              <w:top w:w="0" w:type="dxa"/>
              <w:left w:w="0" w:type="dxa"/>
              <w:bottom w:w="0" w:type="dxa"/>
              <w:right w:w="0" w:type="dxa"/>
            </w:tcMar>
            <w:vAlign w:val="center"/>
          </w:tcPr>
          <w:p w14:paraId="7E043F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0409276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2,121</w:t>
            </w:r>
          </w:p>
        </w:tc>
        <w:tc>
          <w:tcPr>
            <w:tcW w:w="365" w:type="pct"/>
            <w:shd w:val="clear" w:color="auto" w:fill="FFFFFF"/>
            <w:tcMar>
              <w:top w:w="0" w:type="dxa"/>
              <w:left w:w="0" w:type="dxa"/>
              <w:bottom w:w="0" w:type="dxa"/>
              <w:right w:w="0" w:type="dxa"/>
            </w:tcMar>
            <w:vAlign w:val="center"/>
          </w:tcPr>
          <w:p w14:paraId="6E396B4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37" w:type="pct"/>
            <w:shd w:val="clear" w:color="auto" w:fill="FFFFFF"/>
            <w:tcMar>
              <w:top w:w="0" w:type="dxa"/>
              <w:left w:w="0" w:type="dxa"/>
              <w:bottom w:w="0" w:type="dxa"/>
              <w:right w:w="0" w:type="dxa"/>
            </w:tcMar>
            <w:vAlign w:val="center"/>
          </w:tcPr>
          <w:p w14:paraId="2BD4E9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osteoporosis</w:t>
            </w:r>
          </w:p>
        </w:tc>
        <w:tc>
          <w:tcPr>
            <w:tcW w:w="739" w:type="pct"/>
            <w:shd w:val="clear" w:color="auto" w:fill="FFFFFF"/>
            <w:tcMar>
              <w:top w:w="0" w:type="dxa"/>
              <w:left w:w="0" w:type="dxa"/>
              <w:bottom w:w="0" w:type="dxa"/>
              <w:right w:w="0" w:type="dxa"/>
            </w:tcMar>
            <w:vAlign w:val="center"/>
          </w:tcPr>
          <w:p w14:paraId="2201EB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9" w:type="pct"/>
            <w:shd w:val="clear" w:color="auto" w:fill="FFFFFF"/>
            <w:tcMar>
              <w:top w:w="0" w:type="dxa"/>
              <w:left w:w="0" w:type="dxa"/>
              <w:bottom w:w="0" w:type="dxa"/>
              <w:right w:w="0" w:type="dxa"/>
            </w:tcMar>
            <w:vAlign w:val="center"/>
          </w:tcPr>
          <w:p w14:paraId="3EC638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556AA6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Australia</w:t>
            </w:r>
          </w:p>
        </w:tc>
        <w:tc>
          <w:tcPr>
            <w:tcW w:w="369" w:type="pct"/>
            <w:shd w:val="clear" w:color="auto" w:fill="FFFFFF"/>
            <w:tcMar>
              <w:top w:w="0" w:type="dxa"/>
              <w:left w:w="0" w:type="dxa"/>
              <w:bottom w:w="0" w:type="dxa"/>
              <w:right w:w="0" w:type="dxa"/>
            </w:tcMar>
            <w:vAlign w:val="center"/>
          </w:tcPr>
          <w:p w14:paraId="777251BC" w14:textId="3059A84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PEVuZE5vdGU+PENpdGUgRXhjbHVkZUF1dGg9IjEiIEV4Y2x1ZGVZZWFyPSIxIj48QXV0aG9yPlBv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PEVuZE5vdGU+PENpdGUgRXhjbHVkZUF1dGg9IjEiIEV4Y2x1ZGVZZWFyPSIxIj48QXV0aG9yPlBv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370</w:t>
            </w:r>
            <w:r w:rsidRPr="00734942">
              <w:rPr>
                <w:rFonts w:ascii="Arial" w:eastAsia="Arial" w:hAnsi="Arial" w:cs="Arial"/>
                <w:color w:val="111111"/>
                <w:sz w:val="18"/>
                <w:szCs w:val="18"/>
              </w:rPr>
              <w:fldChar w:fldCharType="end"/>
            </w:r>
          </w:p>
        </w:tc>
      </w:tr>
      <w:tr w:rsidR="00C8418F" w:rsidRPr="00734942" w14:paraId="150B872E" w14:textId="77777777" w:rsidTr="00160722">
        <w:trPr>
          <w:cantSplit/>
          <w:jc w:val="center"/>
        </w:trPr>
        <w:tc>
          <w:tcPr>
            <w:tcW w:w="755" w:type="pct"/>
            <w:shd w:val="clear" w:color="auto" w:fill="FFFFFF"/>
            <w:tcMar>
              <w:top w:w="0" w:type="dxa"/>
              <w:left w:w="0" w:type="dxa"/>
              <w:bottom w:w="0" w:type="dxa"/>
              <w:right w:w="0" w:type="dxa"/>
            </w:tcMar>
            <w:vAlign w:val="center"/>
          </w:tcPr>
          <w:p w14:paraId="33FA8B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2DD73A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52" w:type="pct"/>
            <w:shd w:val="clear" w:color="auto" w:fill="FFFFFF"/>
            <w:tcMar>
              <w:top w:w="0" w:type="dxa"/>
              <w:left w:w="0" w:type="dxa"/>
              <w:bottom w:w="0" w:type="dxa"/>
              <w:right w:w="0" w:type="dxa"/>
            </w:tcMar>
            <w:vAlign w:val="center"/>
          </w:tcPr>
          <w:p w14:paraId="34EA13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12F96CD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6,480</w:t>
            </w:r>
          </w:p>
        </w:tc>
        <w:tc>
          <w:tcPr>
            <w:tcW w:w="365" w:type="pct"/>
            <w:shd w:val="clear" w:color="auto" w:fill="FFFFFF"/>
            <w:tcMar>
              <w:top w:w="0" w:type="dxa"/>
              <w:left w:w="0" w:type="dxa"/>
              <w:bottom w:w="0" w:type="dxa"/>
              <w:right w:w="0" w:type="dxa"/>
            </w:tcMar>
            <w:vAlign w:val="center"/>
          </w:tcPr>
          <w:p w14:paraId="05D2095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637" w:type="pct"/>
            <w:shd w:val="clear" w:color="auto" w:fill="FFFFFF"/>
            <w:tcMar>
              <w:top w:w="0" w:type="dxa"/>
              <w:left w:w="0" w:type="dxa"/>
              <w:bottom w:w="0" w:type="dxa"/>
              <w:right w:w="0" w:type="dxa"/>
            </w:tcMar>
            <w:vAlign w:val="center"/>
          </w:tcPr>
          <w:p w14:paraId="65BD2B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Women without osteoporosis</w:t>
            </w:r>
          </w:p>
        </w:tc>
        <w:tc>
          <w:tcPr>
            <w:tcW w:w="739" w:type="pct"/>
            <w:shd w:val="clear" w:color="auto" w:fill="FFFFFF"/>
            <w:tcMar>
              <w:top w:w="0" w:type="dxa"/>
              <w:left w:w="0" w:type="dxa"/>
              <w:bottom w:w="0" w:type="dxa"/>
              <w:right w:w="0" w:type="dxa"/>
            </w:tcMar>
            <w:vAlign w:val="center"/>
          </w:tcPr>
          <w:p w14:paraId="252CEA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9" w:type="pct"/>
            <w:shd w:val="clear" w:color="auto" w:fill="FFFFFF"/>
            <w:tcMar>
              <w:top w:w="0" w:type="dxa"/>
              <w:left w:w="0" w:type="dxa"/>
              <w:bottom w:w="0" w:type="dxa"/>
              <w:right w:w="0" w:type="dxa"/>
            </w:tcMar>
            <w:vAlign w:val="center"/>
          </w:tcPr>
          <w:p w14:paraId="472A5C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3F295D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30E67B0E" w14:textId="0B48AA5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PEVuZE5vdGU+PENpdGUgRXhjbHVkZUF1dGg9IjEiIEV4Y2x1ZGVZZWFyPSIxIj48QXV0aG9yPkFn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PEVuZE5vdGU+PENpdGUgRXhjbHVkZUF1dGg9IjEiIEV4Y2x1ZGVZZWFyPSIxIj48QXV0aG9yPkFn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371</w:t>
            </w:r>
            <w:r w:rsidRPr="00734942">
              <w:rPr>
                <w:rFonts w:ascii="Arial" w:eastAsia="Arial" w:hAnsi="Arial" w:cs="Arial"/>
                <w:color w:val="111111"/>
                <w:sz w:val="18"/>
                <w:szCs w:val="18"/>
              </w:rPr>
              <w:fldChar w:fldCharType="end"/>
            </w:r>
          </w:p>
        </w:tc>
      </w:tr>
      <w:tr w:rsidR="00C8418F" w:rsidRPr="00734942" w14:paraId="30E03B36" w14:textId="77777777" w:rsidTr="00160722">
        <w:trPr>
          <w:cantSplit/>
          <w:jc w:val="center"/>
        </w:trPr>
        <w:tc>
          <w:tcPr>
            <w:tcW w:w="755" w:type="pct"/>
            <w:shd w:val="clear" w:color="auto" w:fill="FFFFFF"/>
            <w:tcMar>
              <w:top w:w="0" w:type="dxa"/>
              <w:left w:w="0" w:type="dxa"/>
              <w:bottom w:w="0" w:type="dxa"/>
              <w:right w:w="0" w:type="dxa"/>
            </w:tcMar>
            <w:vAlign w:val="center"/>
          </w:tcPr>
          <w:p w14:paraId="764DA0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1B23FD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52" w:type="pct"/>
            <w:shd w:val="clear" w:color="auto" w:fill="FFFFFF"/>
            <w:tcMar>
              <w:top w:w="0" w:type="dxa"/>
              <w:left w:w="0" w:type="dxa"/>
              <w:bottom w:w="0" w:type="dxa"/>
              <w:right w:w="0" w:type="dxa"/>
            </w:tcMar>
            <w:vAlign w:val="center"/>
          </w:tcPr>
          <w:p w14:paraId="4ED3B4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2ACD857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65" w:type="pct"/>
            <w:shd w:val="clear" w:color="auto" w:fill="FFFFFF"/>
            <w:tcMar>
              <w:top w:w="0" w:type="dxa"/>
              <w:left w:w="0" w:type="dxa"/>
              <w:bottom w:w="0" w:type="dxa"/>
              <w:right w:w="0" w:type="dxa"/>
            </w:tcMar>
            <w:vAlign w:val="center"/>
          </w:tcPr>
          <w:p w14:paraId="29859BD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37" w:type="pct"/>
            <w:shd w:val="clear" w:color="auto" w:fill="FFFFFF"/>
            <w:tcMar>
              <w:top w:w="0" w:type="dxa"/>
              <w:left w:w="0" w:type="dxa"/>
              <w:bottom w:w="0" w:type="dxa"/>
              <w:right w:w="0" w:type="dxa"/>
            </w:tcMar>
            <w:vAlign w:val="center"/>
          </w:tcPr>
          <w:p w14:paraId="05B7714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osteoporosis</w:t>
            </w:r>
          </w:p>
        </w:tc>
        <w:tc>
          <w:tcPr>
            <w:tcW w:w="739" w:type="pct"/>
            <w:shd w:val="clear" w:color="auto" w:fill="FFFFFF"/>
            <w:tcMar>
              <w:top w:w="0" w:type="dxa"/>
              <w:left w:w="0" w:type="dxa"/>
              <w:bottom w:w="0" w:type="dxa"/>
              <w:right w:w="0" w:type="dxa"/>
            </w:tcMar>
            <w:vAlign w:val="center"/>
          </w:tcPr>
          <w:p w14:paraId="698073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9" w:type="pct"/>
            <w:shd w:val="clear" w:color="auto" w:fill="FFFFFF"/>
            <w:tcMar>
              <w:top w:w="0" w:type="dxa"/>
              <w:left w:w="0" w:type="dxa"/>
              <w:bottom w:w="0" w:type="dxa"/>
              <w:right w:w="0" w:type="dxa"/>
            </w:tcMar>
            <w:vAlign w:val="center"/>
          </w:tcPr>
          <w:p w14:paraId="7FD41C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23" w:type="pct"/>
            <w:shd w:val="clear" w:color="auto" w:fill="FFFFFF"/>
            <w:tcMar>
              <w:top w:w="0" w:type="dxa"/>
              <w:left w:w="0" w:type="dxa"/>
              <w:bottom w:w="0" w:type="dxa"/>
              <w:right w:w="0" w:type="dxa"/>
            </w:tcMar>
            <w:vAlign w:val="center"/>
          </w:tcPr>
          <w:p w14:paraId="075BF7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6E398CEC" w14:textId="268097A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7D7DC03E" w14:textId="77777777" w:rsidTr="00160722">
        <w:trPr>
          <w:cantSplit/>
          <w:jc w:val="center"/>
        </w:trPr>
        <w:tc>
          <w:tcPr>
            <w:tcW w:w="755" w:type="pct"/>
            <w:shd w:val="clear" w:color="auto" w:fill="FFFFFF"/>
            <w:tcMar>
              <w:top w:w="0" w:type="dxa"/>
              <w:left w:w="0" w:type="dxa"/>
              <w:bottom w:w="0" w:type="dxa"/>
              <w:right w:w="0" w:type="dxa"/>
            </w:tcMar>
            <w:vAlign w:val="center"/>
          </w:tcPr>
          <w:p w14:paraId="254C5B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56" w:type="pct"/>
            <w:shd w:val="clear" w:color="auto" w:fill="FFFFFF"/>
            <w:tcMar>
              <w:top w:w="0" w:type="dxa"/>
              <w:left w:w="0" w:type="dxa"/>
              <w:bottom w:w="0" w:type="dxa"/>
              <w:right w:w="0" w:type="dxa"/>
            </w:tcMar>
            <w:vAlign w:val="center"/>
          </w:tcPr>
          <w:p w14:paraId="7D6542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452" w:type="pct"/>
            <w:shd w:val="clear" w:color="auto" w:fill="FFFFFF"/>
            <w:tcMar>
              <w:top w:w="0" w:type="dxa"/>
              <w:left w:w="0" w:type="dxa"/>
              <w:bottom w:w="0" w:type="dxa"/>
              <w:right w:w="0" w:type="dxa"/>
            </w:tcMar>
            <w:vAlign w:val="center"/>
          </w:tcPr>
          <w:p w14:paraId="30B330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shd w:val="clear" w:color="auto" w:fill="FFFFFF"/>
            <w:tcMar>
              <w:top w:w="0" w:type="dxa"/>
              <w:left w:w="0" w:type="dxa"/>
              <w:bottom w:w="0" w:type="dxa"/>
              <w:right w:w="0" w:type="dxa"/>
            </w:tcMar>
            <w:vAlign w:val="center"/>
          </w:tcPr>
          <w:p w14:paraId="656178F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843</w:t>
            </w:r>
          </w:p>
        </w:tc>
        <w:tc>
          <w:tcPr>
            <w:tcW w:w="365" w:type="pct"/>
            <w:shd w:val="clear" w:color="auto" w:fill="FFFFFF"/>
            <w:tcMar>
              <w:top w:w="0" w:type="dxa"/>
              <w:left w:w="0" w:type="dxa"/>
              <w:bottom w:w="0" w:type="dxa"/>
              <w:right w:w="0" w:type="dxa"/>
            </w:tcMar>
            <w:vAlign w:val="center"/>
          </w:tcPr>
          <w:p w14:paraId="676B297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37" w:type="pct"/>
            <w:shd w:val="clear" w:color="auto" w:fill="FFFFFF"/>
            <w:tcMar>
              <w:top w:w="0" w:type="dxa"/>
              <w:left w:w="0" w:type="dxa"/>
              <w:bottom w:w="0" w:type="dxa"/>
              <w:right w:w="0" w:type="dxa"/>
            </w:tcMar>
            <w:vAlign w:val="center"/>
          </w:tcPr>
          <w:p w14:paraId="1522DD3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osteoporosis</w:t>
            </w:r>
          </w:p>
        </w:tc>
        <w:tc>
          <w:tcPr>
            <w:tcW w:w="739" w:type="pct"/>
            <w:shd w:val="clear" w:color="auto" w:fill="FFFFFF"/>
            <w:tcMar>
              <w:top w:w="0" w:type="dxa"/>
              <w:left w:w="0" w:type="dxa"/>
              <w:bottom w:w="0" w:type="dxa"/>
              <w:right w:w="0" w:type="dxa"/>
            </w:tcMar>
            <w:vAlign w:val="center"/>
          </w:tcPr>
          <w:p w14:paraId="758CC9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9" w:type="pct"/>
            <w:shd w:val="clear" w:color="auto" w:fill="FFFFFF"/>
            <w:tcMar>
              <w:top w:w="0" w:type="dxa"/>
              <w:left w:w="0" w:type="dxa"/>
              <w:bottom w:w="0" w:type="dxa"/>
              <w:right w:w="0" w:type="dxa"/>
            </w:tcMar>
            <w:vAlign w:val="center"/>
          </w:tcPr>
          <w:p w14:paraId="352DCE4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394FF5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B9A6767" w14:textId="6B64216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b3VuZzwvQXV0aG9yPjxZZWFyPjIwMTc8L1llYXI+PFJlY051bT4xMDE8L1JlY051bT48RGlzcGxh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b3VuZzwvQXV0aG9yPjxZZWFyPjIwMTc8L1llYXI+PFJlY051bT4xMDE8L1JlY051bT48RGlzcGxh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373</w:t>
            </w:r>
            <w:r w:rsidRPr="00734942">
              <w:rPr>
                <w:rFonts w:ascii="Arial" w:eastAsia="Arial" w:hAnsi="Arial" w:cs="Arial"/>
                <w:color w:val="111111"/>
                <w:sz w:val="18"/>
                <w:szCs w:val="18"/>
              </w:rPr>
              <w:fldChar w:fldCharType="end"/>
            </w:r>
          </w:p>
        </w:tc>
      </w:tr>
      <w:tr w:rsidR="00C8418F" w:rsidRPr="00734942" w14:paraId="02BB590A" w14:textId="77777777" w:rsidTr="00160722">
        <w:trPr>
          <w:cantSplit/>
          <w:jc w:val="center"/>
        </w:trPr>
        <w:tc>
          <w:tcPr>
            <w:tcW w:w="755" w:type="pct"/>
            <w:tcBorders>
              <w:bottom w:val="single" w:sz="16" w:space="0" w:color="000000"/>
            </w:tcBorders>
            <w:shd w:val="clear" w:color="auto" w:fill="FFFFFF"/>
            <w:tcMar>
              <w:top w:w="0" w:type="dxa"/>
              <w:left w:w="0" w:type="dxa"/>
              <w:bottom w:w="0" w:type="dxa"/>
              <w:right w:w="0" w:type="dxa"/>
            </w:tcMar>
            <w:vAlign w:val="center"/>
          </w:tcPr>
          <w:p w14:paraId="5C4504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56" w:type="pct"/>
            <w:tcBorders>
              <w:bottom w:val="single" w:sz="16" w:space="0" w:color="000000"/>
            </w:tcBorders>
            <w:shd w:val="clear" w:color="auto" w:fill="FFFFFF"/>
            <w:tcMar>
              <w:top w:w="0" w:type="dxa"/>
              <w:left w:w="0" w:type="dxa"/>
              <w:bottom w:w="0" w:type="dxa"/>
              <w:right w:w="0" w:type="dxa"/>
            </w:tcMar>
            <w:vAlign w:val="center"/>
          </w:tcPr>
          <w:p w14:paraId="5EDBFD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(CD)</w:t>
            </w:r>
          </w:p>
        </w:tc>
        <w:tc>
          <w:tcPr>
            <w:tcW w:w="452" w:type="pct"/>
            <w:tcBorders>
              <w:bottom w:val="single" w:sz="16" w:space="0" w:color="000000"/>
            </w:tcBorders>
            <w:shd w:val="clear" w:color="auto" w:fill="FFFFFF"/>
            <w:tcMar>
              <w:top w:w="0" w:type="dxa"/>
              <w:left w:w="0" w:type="dxa"/>
              <w:bottom w:w="0" w:type="dxa"/>
              <w:right w:w="0" w:type="dxa"/>
            </w:tcMar>
            <w:vAlign w:val="center"/>
          </w:tcPr>
          <w:p w14:paraId="389331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Osteoporosis</w:t>
            </w:r>
          </w:p>
        </w:tc>
        <w:tc>
          <w:tcPr>
            <w:tcW w:w="306" w:type="pct"/>
            <w:tcBorders>
              <w:bottom w:val="single" w:sz="16" w:space="0" w:color="000000"/>
            </w:tcBorders>
            <w:shd w:val="clear" w:color="auto" w:fill="FFFFFF"/>
            <w:tcMar>
              <w:top w:w="0" w:type="dxa"/>
              <w:left w:w="0" w:type="dxa"/>
              <w:bottom w:w="0" w:type="dxa"/>
              <w:right w:w="0" w:type="dxa"/>
            </w:tcMar>
            <w:vAlign w:val="center"/>
          </w:tcPr>
          <w:p w14:paraId="01CE756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6,963</w:t>
            </w:r>
          </w:p>
        </w:tc>
        <w:tc>
          <w:tcPr>
            <w:tcW w:w="365" w:type="pct"/>
            <w:tcBorders>
              <w:bottom w:val="single" w:sz="16" w:space="0" w:color="000000"/>
            </w:tcBorders>
            <w:shd w:val="clear" w:color="auto" w:fill="FFFFFF"/>
            <w:tcMar>
              <w:top w:w="0" w:type="dxa"/>
              <w:left w:w="0" w:type="dxa"/>
              <w:bottom w:w="0" w:type="dxa"/>
              <w:right w:w="0" w:type="dxa"/>
            </w:tcMar>
            <w:vAlign w:val="center"/>
          </w:tcPr>
          <w:p w14:paraId="687ABF8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37" w:type="pct"/>
            <w:tcBorders>
              <w:bottom w:val="single" w:sz="16" w:space="0" w:color="000000"/>
            </w:tcBorders>
            <w:shd w:val="clear" w:color="auto" w:fill="FFFFFF"/>
            <w:tcMar>
              <w:top w:w="0" w:type="dxa"/>
              <w:left w:w="0" w:type="dxa"/>
              <w:bottom w:w="0" w:type="dxa"/>
              <w:right w:w="0" w:type="dxa"/>
            </w:tcMar>
            <w:vAlign w:val="center"/>
          </w:tcPr>
          <w:p w14:paraId="48130A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Patients without osteoporosis</w:t>
            </w:r>
          </w:p>
        </w:tc>
        <w:tc>
          <w:tcPr>
            <w:tcW w:w="739" w:type="pct"/>
            <w:tcBorders>
              <w:bottom w:val="single" w:sz="16" w:space="0" w:color="000000"/>
            </w:tcBorders>
            <w:shd w:val="clear" w:color="auto" w:fill="FFFFFF"/>
            <w:tcMar>
              <w:top w:w="0" w:type="dxa"/>
              <w:left w:w="0" w:type="dxa"/>
              <w:bottom w:w="0" w:type="dxa"/>
              <w:right w:w="0" w:type="dxa"/>
            </w:tcMar>
            <w:vAlign w:val="center"/>
          </w:tcPr>
          <w:p w14:paraId="1D7905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99" w:type="pct"/>
            <w:tcBorders>
              <w:bottom w:val="single" w:sz="16" w:space="0" w:color="000000"/>
            </w:tcBorders>
            <w:shd w:val="clear" w:color="auto" w:fill="FFFFFF"/>
            <w:tcMar>
              <w:top w:w="0" w:type="dxa"/>
              <w:left w:w="0" w:type="dxa"/>
              <w:bottom w:w="0" w:type="dxa"/>
              <w:right w:w="0" w:type="dxa"/>
            </w:tcMar>
            <w:vAlign w:val="center"/>
          </w:tcPr>
          <w:p w14:paraId="46CE6A3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tcBorders>
              <w:bottom w:val="single" w:sz="16" w:space="0" w:color="000000"/>
            </w:tcBorders>
            <w:shd w:val="clear" w:color="auto" w:fill="FFFFFF"/>
            <w:tcMar>
              <w:top w:w="0" w:type="dxa"/>
              <w:left w:w="0" w:type="dxa"/>
              <w:bottom w:w="0" w:type="dxa"/>
              <w:right w:w="0" w:type="dxa"/>
            </w:tcMar>
            <w:vAlign w:val="center"/>
          </w:tcPr>
          <w:p w14:paraId="77CCAB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tcBorders>
              <w:bottom w:val="single" w:sz="16" w:space="0" w:color="000000"/>
            </w:tcBorders>
            <w:shd w:val="clear" w:color="auto" w:fill="FFFFFF"/>
            <w:tcMar>
              <w:top w:w="0" w:type="dxa"/>
              <w:left w:w="0" w:type="dxa"/>
              <w:bottom w:w="0" w:type="dxa"/>
              <w:right w:w="0" w:type="dxa"/>
            </w:tcMar>
            <w:vAlign w:val="center"/>
          </w:tcPr>
          <w:p w14:paraId="01D27ABD" w14:textId="5F8CBDE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ZW48L0F1dGhvcj48WWVhcj4yMDE0PC9ZZWFyPjxSZWNOdW0+MjM4PC9SZWNOdW0+PERpc3BsYXlU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ZW48L0F1dGhvcj48WWVhcj4yMDE0PC9ZZWFyPjxSZWNOdW0+MjM4PC9SZWNOdW0+PERpc3BsYXlU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416</w:t>
            </w:r>
            <w:r w:rsidRPr="00734942">
              <w:rPr>
                <w:rFonts w:ascii="Arial" w:eastAsia="Arial" w:hAnsi="Arial" w:cs="Arial"/>
                <w:color w:val="111111"/>
                <w:sz w:val="18"/>
                <w:szCs w:val="18"/>
              </w:rPr>
              <w:fldChar w:fldCharType="end"/>
            </w:r>
          </w:p>
        </w:tc>
      </w:tr>
    </w:tbl>
    <w:p w14:paraId="685386D6" w14:textId="77777777" w:rsidR="007B756D" w:rsidRPr="00734942" w:rsidRDefault="007B756D" w:rsidP="007B756D"/>
    <w:p w14:paraId="4A2E6E3F" w14:textId="5C00862D" w:rsidR="00160722" w:rsidRDefault="00160722" w:rsidP="000526F1">
      <w:pPr>
        <w:pStyle w:val="Caption"/>
      </w:pPr>
      <w:bookmarkStart w:id="383" w:name="_Toc99720754"/>
      <w:r>
        <w:t xml:space="preserve">Table </w:t>
      </w:r>
      <w:r w:rsidR="00C34531">
        <w:fldChar w:fldCharType="begin"/>
      </w:r>
      <w:r w:rsidR="00C34531">
        <w:instrText xml:space="preserve"> SEQ Table \* ARABIC </w:instrText>
      </w:r>
      <w:r w:rsidR="00C34531">
        <w:fldChar w:fldCharType="separate"/>
      </w:r>
      <w:r w:rsidR="008B5583">
        <w:rPr>
          <w:noProof/>
        </w:rPr>
        <w:t>43</w:t>
      </w:r>
      <w:r w:rsidR="00C34531">
        <w:rPr>
          <w:noProof/>
        </w:rPr>
        <w:fldChar w:fldCharType="end"/>
      </w:r>
      <w:r>
        <w:t xml:space="preserve">  </w:t>
      </w:r>
      <w:r w:rsidRPr="002E4A26">
        <w:t>Study characteristics: Psoriasis</w:t>
      </w:r>
      <w:bookmarkEnd w:id="383"/>
    </w:p>
    <w:tbl>
      <w:tblPr>
        <w:tblW w:w="5000" w:type="pct"/>
        <w:jc w:val="center"/>
        <w:tblLook w:val="0420" w:firstRow="1" w:lastRow="0" w:firstColumn="0" w:lastColumn="0" w:noHBand="0" w:noVBand="1"/>
      </w:tblPr>
      <w:tblGrid>
        <w:gridCol w:w="2208"/>
        <w:gridCol w:w="1343"/>
        <w:gridCol w:w="1259"/>
        <w:gridCol w:w="1044"/>
        <w:gridCol w:w="1237"/>
        <w:gridCol w:w="1457"/>
        <w:gridCol w:w="2434"/>
        <w:gridCol w:w="1061"/>
        <w:gridCol w:w="882"/>
        <w:gridCol w:w="1033"/>
      </w:tblGrid>
      <w:tr w:rsidR="007B756D" w:rsidRPr="00734942" w14:paraId="62566CA1" w14:textId="77777777" w:rsidTr="006658D1">
        <w:trPr>
          <w:cantSplit/>
          <w:tblHeader/>
          <w:jc w:val="center"/>
        </w:trPr>
        <w:tc>
          <w:tcPr>
            <w:tcW w:w="7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0B37C8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8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0BD99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5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4BCFF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7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19B0013"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44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25E76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2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D033C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87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022B6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ED013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F886C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FA970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736DB32B" w14:textId="77777777" w:rsidTr="006658D1">
        <w:trPr>
          <w:cantSplit/>
          <w:jc w:val="center"/>
        </w:trPr>
        <w:tc>
          <w:tcPr>
            <w:tcW w:w="791" w:type="pct"/>
            <w:shd w:val="clear" w:color="auto" w:fill="FFFFFF"/>
            <w:tcMar>
              <w:top w:w="0" w:type="dxa"/>
              <w:left w:w="0" w:type="dxa"/>
              <w:bottom w:w="0" w:type="dxa"/>
              <w:right w:w="0" w:type="dxa"/>
            </w:tcMar>
            <w:vAlign w:val="center"/>
          </w:tcPr>
          <w:p w14:paraId="28924D4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81" w:type="pct"/>
            <w:shd w:val="clear" w:color="auto" w:fill="FFFFFF"/>
            <w:tcMar>
              <w:top w:w="0" w:type="dxa"/>
              <w:left w:w="0" w:type="dxa"/>
              <w:bottom w:w="0" w:type="dxa"/>
              <w:right w:w="0" w:type="dxa"/>
            </w:tcMar>
            <w:vAlign w:val="center"/>
          </w:tcPr>
          <w:p w14:paraId="0FAA9E9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1" w:type="pct"/>
            <w:shd w:val="clear" w:color="auto" w:fill="FFFFFF"/>
            <w:tcMar>
              <w:top w:w="0" w:type="dxa"/>
              <w:left w:w="0" w:type="dxa"/>
              <w:bottom w:w="0" w:type="dxa"/>
              <w:right w:w="0" w:type="dxa"/>
            </w:tcMar>
            <w:vAlign w:val="center"/>
          </w:tcPr>
          <w:p w14:paraId="1F93CB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Psoriasis</w:t>
            </w:r>
          </w:p>
        </w:tc>
        <w:tc>
          <w:tcPr>
            <w:tcW w:w="374" w:type="pct"/>
            <w:shd w:val="clear" w:color="auto" w:fill="FFFFFF"/>
            <w:tcMar>
              <w:top w:w="0" w:type="dxa"/>
              <w:left w:w="0" w:type="dxa"/>
              <w:bottom w:w="0" w:type="dxa"/>
              <w:right w:w="0" w:type="dxa"/>
            </w:tcMar>
            <w:vAlign w:val="center"/>
          </w:tcPr>
          <w:p w14:paraId="03EDC94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482</w:t>
            </w:r>
          </w:p>
        </w:tc>
        <w:tc>
          <w:tcPr>
            <w:tcW w:w="443" w:type="pct"/>
            <w:shd w:val="clear" w:color="auto" w:fill="FFFFFF"/>
            <w:tcMar>
              <w:top w:w="0" w:type="dxa"/>
              <w:left w:w="0" w:type="dxa"/>
              <w:bottom w:w="0" w:type="dxa"/>
              <w:right w:w="0" w:type="dxa"/>
            </w:tcMar>
            <w:vAlign w:val="center"/>
          </w:tcPr>
          <w:p w14:paraId="544FE43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22" w:type="pct"/>
            <w:shd w:val="clear" w:color="auto" w:fill="FFFFFF"/>
            <w:tcMar>
              <w:top w:w="0" w:type="dxa"/>
              <w:left w:w="0" w:type="dxa"/>
              <w:bottom w:w="0" w:type="dxa"/>
              <w:right w:w="0" w:type="dxa"/>
            </w:tcMar>
            <w:vAlign w:val="center"/>
          </w:tcPr>
          <w:p w14:paraId="17F1EA2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General population</w:t>
            </w:r>
          </w:p>
        </w:tc>
        <w:tc>
          <w:tcPr>
            <w:tcW w:w="872" w:type="pct"/>
            <w:shd w:val="clear" w:color="auto" w:fill="FFFFFF"/>
            <w:tcMar>
              <w:top w:w="0" w:type="dxa"/>
              <w:left w:w="0" w:type="dxa"/>
              <w:bottom w:w="0" w:type="dxa"/>
              <w:right w:w="0" w:type="dxa"/>
            </w:tcMar>
            <w:vAlign w:val="center"/>
          </w:tcPr>
          <w:p w14:paraId="36B045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236F40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16" w:type="pct"/>
            <w:shd w:val="clear" w:color="auto" w:fill="FFFFFF"/>
            <w:tcMar>
              <w:top w:w="0" w:type="dxa"/>
              <w:left w:w="0" w:type="dxa"/>
              <w:bottom w:w="0" w:type="dxa"/>
              <w:right w:w="0" w:type="dxa"/>
            </w:tcMar>
            <w:vAlign w:val="center"/>
          </w:tcPr>
          <w:p w14:paraId="7E147D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731B252A" w14:textId="787F7FE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PEVuZE5vdGU+PENpdGUgRXhjbHVkZUF1dGg9IjEiIEV4Y2x1ZGVZZWFyPSIxIj48QXV0aG9yPkRl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PEVuZE5vdGU+PENpdGUgRXhjbHVkZUF1dGg9IjEiIEV4Y2x1ZGVZZWFyPSIxIj48QXV0aG9yPkRl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417</w:t>
            </w:r>
            <w:r w:rsidRPr="00734942">
              <w:rPr>
                <w:rFonts w:ascii="Arial" w:eastAsia="Arial" w:hAnsi="Arial" w:cs="Arial"/>
                <w:color w:val="111111"/>
                <w:sz w:val="18"/>
                <w:szCs w:val="18"/>
              </w:rPr>
              <w:fldChar w:fldCharType="end"/>
            </w:r>
          </w:p>
        </w:tc>
      </w:tr>
      <w:tr w:rsidR="007B756D" w:rsidRPr="00734942" w14:paraId="6B7A4E35" w14:textId="77777777" w:rsidTr="006658D1">
        <w:trPr>
          <w:cantSplit/>
          <w:jc w:val="center"/>
        </w:trPr>
        <w:tc>
          <w:tcPr>
            <w:tcW w:w="791" w:type="pct"/>
            <w:shd w:val="clear" w:color="auto" w:fill="FFFFFF"/>
            <w:tcMar>
              <w:top w:w="0" w:type="dxa"/>
              <w:left w:w="0" w:type="dxa"/>
              <w:bottom w:w="0" w:type="dxa"/>
              <w:right w:w="0" w:type="dxa"/>
            </w:tcMar>
            <w:vAlign w:val="center"/>
          </w:tcPr>
          <w:p w14:paraId="527F5C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81" w:type="pct"/>
            <w:shd w:val="clear" w:color="auto" w:fill="FFFFFF"/>
            <w:tcMar>
              <w:top w:w="0" w:type="dxa"/>
              <w:left w:w="0" w:type="dxa"/>
              <w:bottom w:w="0" w:type="dxa"/>
              <w:right w:w="0" w:type="dxa"/>
            </w:tcMar>
            <w:vAlign w:val="center"/>
          </w:tcPr>
          <w:p w14:paraId="7B1239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1" w:type="pct"/>
            <w:shd w:val="clear" w:color="auto" w:fill="FFFFFF"/>
            <w:tcMar>
              <w:top w:w="0" w:type="dxa"/>
              <w:left w:w="0" w:type="dxa"/>
              <w:bottom w:w="0" w:type="dxa"/>
              <w:right w:w="0" w:type="dxa"/>
            </w:tcMar>
            <w:vAlign w:val="center"/>
          </w:tcPr>
          <w:p w14:paraId="05228A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Psoriasis</w:t>
            </w:r>
          </w:p>
        </w:tc>
        <w:tc>
          <w:tcPr>
            <w:tcW w:w="374" w:type="pct"/>
            <w:shd w:val="clear" w:color="auto" w:fill="FFFFFF"/>
            <w:tcMar>
              <w:top w:w="0" w:type="dxa"/>
              <w:left w:w="0" w:type="dxa"/>
              <w:bottom w:w="0" w:type="dxa"/>
              <w:right w:w="0" w:type="dxa"/>
            </w:tcMar>
            <w:vAlign w:val="center"/>
          </w:tcPr>
          <w:p w14:paraId="19290D8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87</w:t>
            </w:r>
          </w:p>
        </w:tc>
        <w:tc>
          <w:tcPr>
            <w:tcW w:w="443" w:type="pct"/>
            <w:shd w:val="clear" w:color="auto" w:fill="FFFFFF"/>
            <w:tcMar>
              <w:top w:w="0" w:type="dxa"/>
              <w:left w:w="0" w:type="dxa"/>
              <w:bottom w:w="0" w:type="dxa"/>
              <w:right w:w="0" w:type="dxa"/>
            </w:tcMar>
            <w:vAlign w:val="center"/>
          </w:tcPr>
          <w:p w14:paraId="56F8952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22" w:type="pct"/>
            <w:shd w:val="clear" w:color="auto" w:fill="FFFFFF"/>
            <w:tcMar>
              <w:top w:w="0" w:type="dxa"/>
              <w:left w:w="0" w:type="dxa"/>
              <w:bottom w:w="0" w:type="dxa"/>
              <w:right w:w="0" w:type="dxa"/>
            </w:tcMar>
            <w:vAlign w:val="center"/>
          </w:tcPr>
          <w:p w14:paraId="197F2A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72" w:type="pct"/>
            <w:shd w:val="clear" w:color="auto" w:fill="FFFFFF"/>
            <w:tcMar>
              <w:top w:w="0" w:type="dxa"/>
              <w:left w:w="0" w:type="dxa"/>
              <w:bottom w:w="0" w:type="dxa"/>
              <w:right w:w="0" w:type="dxa"/>
            </w:tcMar>
            <w:vAlign w:val="center"/>
          </w:tcPr>
          <w:p w14:paraId="3E94EE1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727EA7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FED77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vAlign w:val="center"/>
          </w:tcPr>
          <w:p w14:paraId="541CAF34" w14:textId="14560FD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ExcludeYear="1"&gt;&lt;Author&gt;Akbulut&lt;/Author&gt;&lt;Year&gt;2013&lt;/Year&gt;&lt;RecNum&gt;240&lt;/RecNum&gt;&lt;DisplayText&gt;&lt;style face="superscript"&gt;418&lt;/style&gt;&lt;/DisplayText&gt;&lt;record&gt;&lt;rec-number&gt;240&lt;/rec-number&gt;&lt;foreign-keys&gt;&lt;key app="EN" db-id="tdwrx9xd1z9eepeevr355w2k959rv0f5zaax" timestamp="1632756137"&gt;240&lt;/key&gt;&lt;/foreign-keys&gt;&lt;ref-type name="Journal Article"&gt;17&lt;/ref-type&gt;&lt;contributors&gt;&lt;authors&gt;&lt;author&gt;Akbulut, Sabiye&lt;/author&gt;&lt;author&gt;Gur, Gunes&lt;/author&gt;&lt;author&gt;Topal, Firdevs&lt;/author&gt;&lt;author&gt;Senel, Engin&lt;/author&gt;&lt;author&gt;Topal, Fatih Esad&lt;/author&gt;&lt;author&gt;Alli, Nuran&lt;/author&gt;&lt;author&gt;Saritas, Ulku&lt;/author&gt;&lt;/authors&gt;&lt;/contributors&gt;&lt;titles&gt;&lt;title&gt;Coeliac disease-associated antibodies in psoriasis&lt;/title&gt;&lt;secondary-title&gt;Annals of dermatology&lt;/secondary-title&gt;&lt;/titles&gt;&lt;periodical&gt;&lt;full-title&gt;Annals of dermatology&lt;/full-title&gt;&lt;/periodical&gt;&lt;pages&gt;298-303&lt;/pages&gt;&lt;volume&gt;25&lt;/volume&gt;&lt;number&gt;3&lt;/number&gt;&lt;section&gt;Akbulut, Sabiye. Department of Gastroenterology, Kartal Kosuyolu High Speciality Education and Research Hospital, Istanbul, Turkey.&lt;/section&gt;&lt;dates&gt;&lt;year&gt;2013&lt;/year&gt;&lt;/dates&gt;&lt;pub-location&gt;Korea (South)&lt;/pub-location&gt;&lt;isbn&gt;1013-9087&lt;/isbn&gt;&lt;urls&gt;&lt;related-urls&gt;&lt;url&gt;http://ovidsp.ovid.com/ovidweb.cgi?T=JS&amp;amp;PAGE=reference&amp;amp;D=prem1&amp;amp;NEWS=N&amp;amp;AN=24003271&lt;/url&gt;&lt;url&gt;https://www.ncbi.nlm.nih.gov/pmc/articles/PMC3756193/pdf/ad-25-298.pdf&lt;/url&gt;&lt;/related-urls&gt;&lt;/urls&gt;&lt;electronic-resource-num&gt;https://dx.doi.org/10.5021/ad.2013.25.3.298&lt;/electronic-resource-num&gt;&lt;remote-database-name&gt;MEDLIN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418</w:t>
            </w:r>
            <w:r w:rsidRPr="00734942">
              <w:rPr>
                <w:rFonts w:ascii="Arial" w:eastAsia="Arial" w:hAnsi="Arial" w:cs="Arial"/>
                <w:color w:val="111111"/>
                <w:sz w:val="18"/>
                <w:szCs w:val="18"/>
              </w:rPr>
              <w:fldChar w:fldCharType="end"/>
            </w:r>
          </w:p>
        </w:tc>
      </w:tr>
      <w:tr w:rsidR="007B756D" w:rsidRPr="00734942" w14:paraId="4F44B6AA" w14:textId="77777777" w:rsidTr="006658D1">
        <w:trPr>
          <w:cantSplit/>
          <w:jc w:val="center"/>
        </w:trPr>
        <w:tc>
          <w:tcPr>
            <w:tcW w:w="791" w:type="pct"/>
            <w:shd w:val="clear" w:color="auto" w:fill="FFFFFF"/>
            <w:tcMar>
              <w:top w:w="0" w:type="dxa"/>
              <w:left w:w="0" w:type="dxa"/>
              <w:bottom w:w="0" w:type="dxa"/>
              <w:right w:w="0" w:type="dxa"/>
            </w:tcMar>
            <w:vAlign w:val="center"/>
          </w:tcPr>
          <w:p w14:paraId="4E172BC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481" w:type="pct"/>
            <w:shd w:val="clear" w:color="auto" w:fill="FFFFFF"/>
            <w:tcMar>
              <w:top w:w="0" w:type="dxa"/>
              <w:left w:w="0" w:type="dxa"/>
              <w:bottom w:w="0" w:type="dxa"/>
              <w:right w:w="0" w:type="dxa"/>
            </w:tcMar>
            <w:vAlign w:val="center"/>
          </w:tcPr>
          <w:p w14:paraId="69F8750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451" w:type="pct"/>
            <w:shd w:val="clear" w:color="auto" w:fill="FFFFFF"/>
            <w:tcMar>
              <w:top w:w="0" w:type="dxa"/>
              <w:left w:w="0" w:type="dxa"/>
              <w:bottom w:w="0" w:type="dxa"/>
              <w:right w:w="0" w:type="dxa"/>
            </w:tcMar>
            <w:vAlign w:val="center"/>
          </w:tcPr>
          <w:p w14:paraId="7BAF26D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Chronic plaque psoriasis</w:t>
            </w:r>
          </w:p>
        </w:tc>
        <w:tc>
          <w:tcPr>
            <w:tcW w:w="374" w:type="pct"/>
            <w:shd w:val="clear" w:color="auto" w:fill="FFFFFF"/>
            <w:tcMar>
              <w:top w:w="0" w:type="dxa"/>
              <w:left w:w="0" w:type="dxa"/>
              <w:bottom w:w="0" w:type="dxa"/>
              <w:right w:w="0" w:type="dxa"/>
            </w:tcMar>
            <w:vAlign w:val="center"/>
          </w:tcPr>
          <w:p w14:paraId="097141D9"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160</w:t>
            </w:r>
          </w:p>
        </w:tc>
        <w:tc>
          <w:tcPr>
            <w:tcW w:w="443" w:type="pct"/>
            <w:shd w:val="clear" w:color="auto" w:fill="FFFFFF"/>
            <w:tcMar>
              <w:top w:w="0" w:type="dxa"/>
              <w:left w:w="0" w:type="dxa"/>
              <w:bottom w:w="0" w:type="dxa"/>
              <w:right w:w="0" w:type="dxa"/>
            </w:tcMar>
            <w:vAlign w:val="center"/>
          </w:tcPr>
          <w:p w14:paraId="58F7E98A"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26-50%</w:t>
            </w:r>
          </w:p>
        </w:tc>
        <w:tc>
          <w:tcPr>
            <w:tcW w:w="522" w:type="pct"/>
            <w:shd w:val="clear" w:color="auto" w:fill="FFFFFF"/>
            <w:tcMar>
              <w:top w:w="0" w:type="dxa"/>
              <w:left w:w="0" w:type="dxa"/>
              <w:bottom w:w="0" w:type="dxa"/>
              <w:right w:w="0" w:type="dxa"/>
            </w:tcMar>
            <w:vAlign w:val="center"/>
          </w:tcPr>
          <w:p w14:paraId="39C7267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872" w:type="pct"/>
            <w:shd w:val="clear" w:color="auto" w:fill="FFFFFF"/>
            <w:tcMar>
              <w:top w:w="0" w:type="dxa"/>
              <w:left w:w="0" w:type="dxa"/>
              <w:bottom w:w="0" w:type="dxa"/>
              <w:right w:w="0" w:type="dxa"/>
            </w:tcMar>
            <w:vAlign w:val="center"/>
          </w:tcPr>
          <w:p w14:paraId="281B096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380" w:type="pct"/>
            <w:shd w:val="clear" w:color="auto" w:fill="FFFFFF"/>
            <w:tcMar>
              <w:top w:w="0" w:type="dxa"/>
              <w:left w:w="0" w:type="dxa"/>
              <w:bottom w:w="0" w:type="dxa"/>
              <w:right w:w="0" w:type="dxa"/>
            </w:tcMar>
            <w:vAlign w:val="center"/>
          </w:tcPr>
          <w:p w14:paraId="3043B4E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Unclear</w:t>
            </w:r>
          </w:p>
        </w:tc>
        <w:tc>
          <w:tcPr>
            <w:tcW w:w="316" w:type="pct"/>
            <w:shd w:val="clear" w:color="auto" w:fill="FFFFFF"/>
            <w:tcMar>
              <w:top w:w="0" w:type="dxa"/>
              <w:left w:w="0" w:type="dxa"/>
              <w:bottom w:w="0" w:type="dxa"/>
              <w:right w:w="0" w:type="dxa"/>
            </w:tcMar>
            <w:vAlign w:val="center"/>
          </w:tcPr>
          <w:p w14:paraId="307F62D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India</w:t>
            </w:r>
          </w:p>
        </w:tc>
        <w:tc>
          <w:tcPr>
            <w:tcW w:w="370" w:type="pct"/>
            <w:shd w:val="clear" w:color="auto" w:fill="FFFFFF"/>
            <w:tcMar>
              <w:top w:w="0" w:type="dxa"/>
              <w:left w:w="0" w:type="dxa"/>
              <w:bottom w:w="0" w:type="dxa"/>
              <w:right w:w="0" w:type="dxa"/>
            </w:tcMar>
            <w:vAlign w:val="center"/>
          </w:tcPr>
          <w:p w14:paraId="21FF03E2" w14:textId="77D1F7AA"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PEVuZE5vdGU+PENpdGUgRXhjbHVkZUF1dGg9IjEiIEV4Y2x1ZGVZZWFyPSIxIj48QXV0aG9yPkRo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PEVuZE5vdGU+PENpdGUgRXhjbHVkZUF1dGg9IjEiIEV4Y2x1ZGVZZWFyPSIxIj48QXV0aG9yPkRo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419</w:t>
            </w:r>
            <w:r w:rsidRPr="00734942">
              <w:rPr>
                <w:rFonts w:ascii="Arial" w:eastAsia="Arial" w:hAnsi="Arial" w:cs="Arial"/>
                <w:color w:val="111111"/>
                <w:sz w:val="18"/>
                <w:szCs w:val="18"/>
              </w:rPr>
              <w:fldChar w:fldCharType="end"/>
            </w:r>
          </w:p>
        </w:tc>
      </w:tr>
      <w:tr w:rsidR="007B756D" w:rsidRPr="00734942" w14:paraId="2AA07BC2" w14:textId="77777777" w:rsidTr="006658D1">
        <w:trPr>
          <w:cantSplit/>
          <w:jc w:val="center"/>
        </w:trPr>
        <w:tc>
          <w:tcPr>
            <w:tcW w:w="791" w:type="pct"/>
            <w:shd w:val="clear" w:color="auto" w:fill="FFFFFF"/>
            <w:tcMar>
              <w:top w:w="0" w:type="dxa"/>
              <w:left w:w="0" w:type="dxa"/>
              <w:bottom w:w="0" w:type="dxa"/>
              <w:right w:w="0" w:type="dxa"/>
            </w:tcMar>
            <w:vAlign w:val="center"/>
          </w:tcPr>
          <w:p w14:paraId="1A206F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81" w:type="pct"/>
            <w:shd w:val="clear" w:color="auto" w:fill="FFFFFF"/>
            <w:tcMar>
              <w:top w:w="0" w:type="dxa"/>
              <w:left w:w="0" w:type="dxa"/>
              <w:bottom w:w="0" w:type="dxa"/>
              <w:right w:w="0" w:type="dxa"/>
            </w:tcMar>
            <w:vAlign w:val="center"/>
          </w:tcPr>
          <w:p w14:paraId="6953F0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1" w:type="pct"/>
            <w:shd w:val="clear" w:color="auto" w:fill="FFFFFF"/>
            <w:tcMar>
              <w:top w:w="0" w:type="dxa"/>
              <w:left w:w="0" w:type="dxa"/>
              <w:bottom w:w="0" w:type="dxa"/>
              <w:right w:w="0" w:type="dxa"/>
            </w:tcMar>
            <w:vAlign w:val="center"/>
          </w:tcPr>
          <w:p w14:paraId="543F0C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Psoriasis</w:t>
            </w:r>
          </w:p>
        </w:tc>
        <w:tc>
          <w:tcPr>
            <w:tcW w:w="374" w:type="pct"/>
            <w:shd w:val="clear" w:color="auto" w:fill="FFFFFF"/>
            <w:tcMar>
              <w:top w:w="0" w:type="dxa"/>
              <w:left w:w="0" w:type="dxa"/>
              <w:bottom w:w="0" w:type="dxa"/>
              <w:right w:w="0" w:type="dxa"/>
            </w:tcMar>
            <w:vAlign w:val="center"/>
          </w:tcPr>
          <w:p w14:paraId="11D3A4E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200</w:t>
            </w:r>
          </w:p>
        </w:tc>
        <w:tc>
          <w:tcPr>
            <w:tcW w:w="443" w:type="pct"/>
            <w:shd w:val="clear" w:color="auto" w:fill="FFFFFF"/>
            <w:tcMar>
              <w:top w:w="0" w:type="dxa"/>
              <w:left w:w="0" w:type="dxa"/>
              <w:bottom w:w="0" w:type="dxa"/>
              <w:right w:w="0" w:type="dxa"/>
            </w:tcMar>
            <w:vAlign w:val="center"/>
          </w:tcPr>
          <w:p w14:paraId="7F69D86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22" w:type="pct"/>
            <w:shd w:val="clear" w:color="auto" w:fill="FFFFFF"/>
            <w:tcMar>
              <w:top w:w="0" w:type="dxa"/>
              <w:left w:w="0" w:type="dxa"/>
              <w:bottom w:w="0" w:type="dxa"/>
              <w:right w:w="0" w:type="dxa"/>
            </w:tcMar>
            <w:vAlign w:val="center"/>
          </w:tcPr>
          <w:p w14:paraId="1AA0DB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72" w:type="pct"/>
            <w:shd w:val="clear" w:color="auto" w:fill="FFFFFF"/>
            <w:tcMar>
              <w:top w:w="0" w:type="dxa"/>
              <w:left w:w="0" w:type="dxa"/>
              <w:bottom w:w="0" w:type="dxa"/>
              <w:right w:w="0" w:type="dxa"/>
            </w:tcMar>
            <w:vAlign w:val="center"/>
          </w:tcPr>
          <w:p w14:paraId="281AAB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0" w:type="pct"/>
            <w:shd w:val="clear" w:color="auto" w:fill="FFFFFF"/>
            <w:tcMar>
              <w:top w:w="0" w:type="dxa"/>
              <w:left w:w="0" w:type="dxa"/>
              <w:bottom w:w="0" w:type="dxa"/>
              <w:right w:w="0" w:type="dxa"/>
            </w:tcMar>
            <w:vAlign w:val="center"/>
          </w:tcPr>
          <w:p w14:paraId="22254B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BC918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3CB298E6" w14:textId="02FAB3F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ExcludeYear="1"&gt;&lt;Author&gt;Montesu&lt;/Author&gt;&lt;Year&gt;2011&lt;/Year&gt;&lt;RecNum&gt;242&lt;/RecNum&gt;&lt;DisplayText&gt;&lt;style face="superscript"&gt;420&lt;/style&gt;&lt;/DisplayText&gt;&lt;record&gt;&lt;rec-number&gt;242&lt;/rec-number&gt;&lt;foreign-keys&gt;&lt;key app="EN" db-id="tdwrx9xd1z9eepeevr355w2k959rv0f5zaax" timestamp="1632756137"&gt;242&lt;/key&gt;&lt;/foreign-keys&gt;&lt;ref-type name="Journal Article"&gt;17&lt;/ref-type&gt;&lt;contributors&gt;&lt;authors&gt;&lt;author&gt;Montesu, M. A.&lt;/author&gt;&lt;author&gt;Dessi-Fulgheri, C.&lt;/author&gt;&lt;author&gt;Pattaro, C.&lt;/author&gt;&lt;author&gt;Ventura, V.&lt;/author&gt;&lt;author&gt;Satta, R.&lt;/author&gt;&lt;author&gt;Cottoni, F.&lt;/author&gt;&lt;/authors&gt;&lt;/contributors&gt;&lt;titles&gt;&lt;title&gt;Association Between Psoriasis and Coeliac Disease? A Case-control Study&lt;/title&gt;&lt;secondary-title&gt;Acta Dermato-Venereologica&lt;/secondary-title&gt;&lt;/titles&gt;&lt;periodical&gt;&lt;full-title&gt;Acta Dermato-Venereologica&lt;/full-title&gt;&lt;/periodical&gt;&lt;pages&gt;92-93&lt;/pages&gt;&lt;volume&gt;91&lt;/volume&gt;&lt;number&gt;1&lt;/number&gt;&lt;dates&gt;&lt;year&gt;2011&lt;/year&gt;&lt;/dates&gt;&lt;isbn&gt;0001-5555&lt;/isbn&gt;&lt;accession-num&gt;WOS:000286553800027&lt;/accession-num&gt;&lt;urls&gt;&lt;related-urls&gt;&lt;url&gt;&amp;lt;Go to ISI&amp;gt;://WOS:000286553800027&lt;/url&gt;&lt;url&gt;http://docserver.ingentaconnect.com/deliver/connect/mjl/00015555/v91n1/s27.pdf?expires=1586858068&amp;amp;id=0000&amp;amp;titleid=75001721&amp;amp;checksum=CEEFE7211DD97933112B8CD17FC1719A&lt;/url&gt;&lt;/related-urls&gt;&lt;/urls&gt;&lt;electronic-resource-num&gt;10.2340/00015555-0960&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420</w:t>
            </w:r>
            <w:r w:rsidRPr="00734942">
              <w:rPr>
                <w:rFonts w:ascii="Arial" w:eastAsia="Arial" w:hAnsi="Arial" w:cs="Arial"/>
                <w:color w:val="111111"/>
                <w:sz w:val="18"/>
                <w:szCs w:val="18"/>
              </w:rPr>
              <w:fldChar w:fldCharType="end"/>
            </w:r>
          </w:p>
        </w:tc>
      </w:tr>
      <w:tr w:rsidR="007B756D" w:rsidRPr="00734942" w14:paraId="4AFF8E35" w14:textId="77777777" w:rsidTr="006658D1">
        <w:trPr>
          <w:cantSplit/>
          <w:jc w:val="center"/>
        </w:trPr>
        <w:tc>
          <w:tcPr>
            <w:tcW w:w="791" w:type="pct"/>
            <w:shd w:val="clear" w:color="auto" w:fill="FFFFFF"/>
            <w:tcMar>
              <w:top w:w="0" w:type="dxa"/>
              <w:left w:w="0" w:type="dxa"/>
              <w:bottom w:w="0" w:type="dxa"/>
              <w:right w:w="0" w:type="dxa"/>
            </w:tcMar>
            <w:vAlign w:val="center"/>
          </w:tcPr>
          <w:p w14:paraId="69B890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81" w:type="pct"/>
            <w:shd w:val="clear" w:color="auto" w:fill="FFFFFF"/>
            <w:tcMar>
              <w:top w:w="0" w:type="dxa"/>
              <w:left w:w="0" w:type="dxa"/>
              <w:bottom w:w="0" w:type="dxa"/>
              <w:right w:w="0" w:type="dxa"/>
            </w:tcMar>
            <w:vAlign w:val="center"/>
          </w:tcPr>
          <w:p w14:paraId="689BB6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1" w:type="pct"/>
            <w:shd w:val="clear" w:color="auto" w:fill="FFFFFF"/>
            <w:tcMar>
              <w:top w:w="0" w:type="dxa"/>
              <w:left w:w="0" w:type="dxa"/>
              <w:bottom w:w="0" w:type="dxa"/>
              <w:right w:w="0" w:type="dxa"/>
            </w:tcMar>
            <w:vAlign w:val="center"/>
          </w:tcPr>
          <w:p w14:paraId="38A4CD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Psoriasis</w:t>
            </w:r>
          </w:p>
        </w:tc>
        <w:tc>
          <w:tcPr>
            <w:tcW w:w="374" w:type="pct"/>
            <w:shd w:val="clear" w:color="auto" w:fill="FFFFFF"/>
            <w:tcMar>
              <w:top w:w="0" w:type="dxa"/>
              <w:left w:w="0" w:type="dxa"/>
              <w:bottom w:w="0" w:type="dxa"/>
              <w:right w:w="0" w:type="dxa"/>
            </w:tcMar>
            <w:vAlign w:val="center"/>
          </w:tcPr>
          <w:p w14:paraId="2573000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82</w:t>
            </w:r>
          </w:p>
        </w:tc>
        <w:tc>
          <w:tcPr>
            <w:tcW w:w="443" w:type="pct"/>
            <w:shd w:val="clear" w:color="auto" w:fill="FFFFFF"/>
            <w:tcMar>
              <w:top w:w="0" w:type="dxa"/>
              <w:left w:w="0" w:type="dxa"/>
              <w:bottom w:w="0" w:type="dxa"/>
              <w:right w:w="0" w:type="dxa"/>
            </w:tcMar>
            <w:vAlign w:val="center"/>
          </w:tcPr>
          <w:p w14:paraId="47D3C28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22" w:type="pct"/>
            <w:shd w:val="clear" w:color="auto" w:fill="FFFFFF"/>
            <w:tcMar>
              <w:top w:w="0" w:type="dxa"/>
              <w:left w:w="0" w:type="dxa"/>
              <w:bottom w:w="0" w:type="dxa"/>
              <w:right w:w="0" w:type="dxa"/>
            </w:tcMar>
            <w:vAlign w:val="center"/>
          </w:tcPr>
          <w:p w14:paraId="21DAE7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72" w:type="pct"/>
            <w:shd w:val="clear" w:color="auto" w:fill="FFFFFF"/>
            <w:tcMar>
              <w:top w:w="0" w:type="dxa"/>
              <w:left w:w="0" w:type="dxa"/>
              <w:bottom w:w="0" w:type="dxa"/>
              <w:right w:w="0" w:type="dxa"/>
            </w:tcMar>
            <w:vAlign w:val="center"/>
          </w:tcPr>
          <w:p w14:paraId="65DCAD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0" w:type="pct"/>
            <w:shd w:val="clear" w:color="auto" w:fill="FFFFFF"/>
            <w:tcMar>
              <w:top w:w="0" w:type="dxa"/>
              <w:left w:w="0" w:type="dxa"/>
              <w:bottom w:w="0" w:type="dxa"/>
              <w:right w:w="0" w:type="dxa"/>
            </w:tcMar>
            <w:vAlign w:val="center"/>
          </w:tcPr>
          <w:p w14:paraId="5E0005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1E904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Egypt</w:t>
            </w:r>
          </w:p>
        </w:tc>
        <w:tc>
          <w:tcPr>
            <w:tcW w:w="370" w:type="pct"/>
            <w:shd w:val="clear" w:color="auto" w:fill="FFFFFF"/>
            <w:tcMar>
              <w:top w:w="0" w:type="dxa"/>
              <w:left w:w="0" w:type="dxa"/>
              <w:bottom w:w="0" w:type="dxa"/>
              <w:right w:w="0" w:type="dxa"/>
            </w:tcMar>
            <w:vAlign w:val="center"/>
          </w:tcPr>
          <w:p w14:paraId="235D3D26" w14:textId="0120128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PEVuZE5vdGU+PENpdGUgRXhjbHVkZUF1dGg9IjEiIEV4Y2x1ZGVZZWFyPSIxIj48QXV0aG9yPk5h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PEVuZE5vdGU+PENpdGUgRXhjbHVkZUF1dGg9IjEiIEV4Y2x1ZGVZZWFyPSIxIj48QXV0aG9yPk5h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421</w:t>
            </w:r>
            <w:r w:rsidRPr="00734942">
              <w:rPr>
                <w:rFonts w:ascii="Arial" w:eastAsia="Arial" w:hAnsi="Arial" w:cs="Arial"/>
                <w:color w:val="111111"/>
                <w:sz w:val="18"/>
                <w:szCs w:val="18"/>
              </w:rPr>
              <w:fldChar w:fldCharType="end"/>
            </w:r>
          </w:p>
        </w:tc>
      </w:tr>
      <w:tr w:rsidR="007B756D" w:rsidRPr="00734942" w14:paraId="1993FAA5" w14:textId="77777777" w:rsidTr="006658D1">
        <w:trPr>
          <w:cantSplit/>
          <w:jc w:val="center"/>
        </w:trPr>
        <w:tc>
          <w:tcPr>
            <w:tcW w:w="791" w:type="pct"/>
            <w:tcBorders>
              <w:bottom w:val="single" w:sz="16" w:space="0" w:color="000000"/>
            </w:tcBorders>
            <w:shd w:val="clear" w:color="auto" w:fill="FFFFFF"/>
            <w:tcMar>
              <w:top w:w="0" w:type="dxa"/>
              <w:left w:w="0" w:type="dxa"/>
              <w:bottom w:w="0" w:type="dxa"/>
              <w:right w:w="0" w:type="dxa"/>
            </w:tcMar>
            <w:vAlign w:val="center"/>
          </w:tcPr>
          <w:p w14:paraId="48FF51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81" w:type="pct"/>
            <w:tcBorders>
              <w:bottom w:val="single" w:sz="16" w:space="0" w:color="000000"/>
            </w:tcBorders>
            <w:shd w:val="clear" w:color="auto" w:fill="FFFFFF"/>
            <w:tcMar>
              <w:top w:w="0" w:type="dxa"/>
              <w:left w:w="0" w:type="dxa"/>
              <w:bottom w:w="0" w:type="dxa"/>
              <w:right w:w="0" w:type="dxa"/>
            </w:tcMar>
            <w:vAlign w:val="center"/>
          </w:tcPr>
          <w:p w14:paraId="05F801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51" w:type="pct"/>
            <w:tcBorders>
              <w:bottom w:val="single" w:sz="16" w:space="0" w:color="000000"/>
            </w:tcBorders>
            <w:shd w:val="clear" w:color="auto" w:fill="FFFFFF"/>
            <w:tcMar>
              <w:top w:w="0" w:type="dxa"/>
              <w:left w:w="0" w:type="dxa"/>
              <w:bottom w:w="0" w:type="dxa"/>
              <w:right w:w="0" w:type="dxa"/>
            </w:tcMar>
            <w:vAlign w:val="center"/>
          </w:tcPr>
          <w:p w14:paraId="165EF2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Psoriasis</w:t>
            </w:r>
          </w:p>
        </w:tc>
        <w:tc>
          <w:tcPr>
            <w:tcW w:w="374" w:type="pct"/>
            <w:tcBorders>
              <w:bottom w:val="single" w:sz="16" w:space="0" w:color="000000"/>
            </w:tcBorders>
            <w:shd w:val="clear" w:color="auto" w:fill="FFFFFF"/>
            <w:tcMar>
              <w:top w:w="0" w:type="dxa"/>
              <w:left w:w="0" w:type="dxa"/>
              <w:bottom w:w="0" w:type="dxa"/>
              <w:right w:w="0" w:type="dxa"/>
            </w:tcMar>
            <w:vAlign w:val="center"/>
          </w:tcPr>
          <w:p w14:paraId="5395981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116</w:t>
            </w:r>
          </w:p>
        </w:tc>
        <w:tc>
          <w:tcPr>
            <w:tcW w:w="443" w:type="pct"/>
            <w:tcBorders>
              <w:bottom w:val="single" w:sz="16" w:space="0" w:color="000000"/>
            </w:tcBorders>
            <w:shd w:val="clear" w:color="auto" w:fill="FFFFFF"/>
            <w:tcMar>
              <w:top w:w="0" w:type="dxa"/>
              <w:left w:w="0" w:type="dxa"/>
              <w:bottom w:w="0" w:type="dxa"/>
              <w:right w:w="0" w:type="dxa"/>
            </w:tcMar>
            <w:vAlign w:val="center"/>
          </w:tcPr>
          <w:p w14:paraId="2CF94AC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22" w:type="pct"/>
            <w:tcBorders>
              <w:bottom w:val="single" w:sz="16" w:space="0" w:color="000000"/>
            </w:tcBorders>
            <w:shd w:val="clear" w:color="auto" w:fill="FFFFFF"/>
            <w:tcMar>
              <w:top w:w="0" w:type="dxa"/>
              <w:left w:w="0" w:type="dxa"/>
              <w:bottom w:w="0" w:type="dxa"/>
              <w:right w:w="0" w:type="dxa"/>
            </w:tcMar>
            <w:vAlign w:val="center"/>
          </w:tcPr>
          <w:p w14:paraId="72B5AD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72" w:type="pct"/>
            <w:tcBorders>
              <w:bottom w:val="single" w:sz="16" w:space="0" w:color="000000"/>
            </w:tcBorders>
            <w:shd w:val="clear" w:color="auto" w:fill="FFFFFF"/>
            <w:tcMar>
              <w:top w:w="0" w:type="dxa"/>
              <w:left w:w="0" w:type="dxa"/>
              <w:bottom w:w="0" w:type="dxa"/>
              <w:right w:w="0" w:type="dxa"/>
            </w:tcMar>
            <w:vAlign w:val="center"/>
          </w:tcPr>
          <w:p w14:paraId="3EBF64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80" w:type="pct"/>
            <w:tcBorders>
              <w:bottom w:val="single" w:sz="16" w:space="0" w:color="000000"/>
            </w:tcBorders>
            <w:shd w:val="clear" w:color="auto" w:fill="FFFFFF"/>
            <w:tcMar>
              <w:top w:w="0" w:type="dxa"/>
              <w:left w:w="0" w:type="dxa"/>
              <w:bottom w:w="0" w:type="dxa"/>
              <w:right w:w="0" w:type="dxa"/>
            </w:tcMar>
            <w:vAlign w:val="center"/>
          </w:tcPr>
          <w:p w14:paraId="4F7B19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40A0A1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70" w:type="pct"/>
            <w:tcBorders>
              <w:bottom w:val="single" w:sz="16" w:space="0" w:color="000000"/>
            </w:tcBorders>
            <w:shd w:val="clear" w:color="auto" w:fill="FFFFFF"/>
            <w:tcMar>
              <w:top w:w="0" w:type="dxa"/>
              <w:left w:w="0" w:type="dxa"/>
              <w:bottom w:w="0" w:type="dxa"/>
              <w:right w:w="0" w:type="dxa"/>
            </w:tcMar>
            <w:vAlign w:val="center"/>
          </w:tcPr>
          <w:p w14:paraId="6D560F40" w14:textId="30978B1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PEVuZE5vdGU+PENpdGUgRXhjbHVkZUF1dGg9IjEiIEV4Y2x1ZGVZZWFyPSIxIj48QXV0aG9yPlNp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PEVuZE5vdGU+PENpdGUgRXhjbHVkZUF1dGg9IjEiIEV4Y2x1ZGVZZWFyPSIxIj48QXV0aG9yPlNp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422</w:t>
            </w:r>
            <w:r w:rsidRPr="00734942">
              <w:rPr>
                <w:rFonts w:ascii="Arial" w:eastAsia="Arial" w:hAnsi="Arial" w:cs="Arial"/>
                <w:color w:val="111111"/>
                <w:sz w:val="18"/>
                <w:szCs w:val="18"/>
              </w:rPr>
              <w:fldChar w:fldCharType="end"/>
            </w:r>
          </w:p>
        </w:tc>
      </w:tr>
    </w:tbl>
    <w:p w14:paraId="5D035119" w14:textId="77777777" w:rsidR="007B756D" w:rsidRPr="00734942" w:rsidRDefault="007B756D" w:rsidP="007B756D"/>
    <w:p w14:paraId="385836AF" w14:textId="3B77BF2B" w:rsidR="00160722" w:rsidRDefault="00160722" w:rsidP="000526F1">
      <w:pPr>
        <w:pStyle w:val="Caption"/>
      </w:pPr>
      <w:bookmarkStart w:id="384" w:name="_Toc99720755"/>
      <w:r>
        <w:t xml:space="preserve">Table </w:t>
      </w:r>
      <w:r w:rsidR="00C34531">
        <w:fldChar w:fldCharType="begin"/>
      </w:r>
      <w:r w:rsidR="00C34531">
        <w:instrText xml:space="preserve"> SEQ Table \* ARABIC </w:instrText>
      </w:r>
      <w:r w:rsidR="00C34531">
        <w:fldChar w:fldCharType="separate"/>
      </w:r>
      <w:r w:rsidR="008B5583">
        <w:rPr>
          <w:noProof/>
        </w:rPr>
        <w:t>44</w:t>
      </w:r>
      <w:r w:rsidR="00C34531">
        <w:rPr>
          <w:noProof/>
        </w:rPr>
        <w:fldChar w:fldCharType="end"/>
      </w:r>
      <w:r>
        <w:t xml:space="preserve">  </w:t>
      </w:r>
      <w:r w:rsidRPr="001F0ABA">
        <w:t>Study characteristics: Systemic lupus erythematosus</w:t>
      </w:r>
      <w:bookmarkEnd w:id="384"/>
    </w:p>
    <w:tbl>
      <w:tblPr>
        <w:tblW w:w="5000" w:type="pct"/>
        <w:jc w:val="center"/>
        <w:tblLook w:val="0420" w:firstRow="1" w:lastRow="0" w:firstColumn="0" w:lastColumn="0" w:noHBand="0" w:noVBand="1"/>
      </w:tblPr>
      <w:tblGrid>
        <w:gridCol w:w="3112"/>
        <w:gridCol w:w="1107"/>
        <w:gridCol w:w="1816"/>
        <w:gridCol w:w="848"/>
        <w:gridCol w:w="1013"/>
        <w:gridCol w:w="1036"/>
        <w:gridCol w:w="2052"/>
        <w:gridCol w:w="1061"/>
        <w:gridCol w:w="882"/>
        <w:gridCol w:w="1031"/>
      </w:tblGrid>
      <w:tr w:rsidR="00C8418F" w:rsidRPr="00734942" w14:paraId="15FCBD10" w14:textId="77777777" w:rsidTr="00160722">
        <w:trPr>
          <w:cantSplit/>
          <w:tblHeader/>
          <w:jc w:val="center"/>
        </w:trPr>
        <w:tc>
          <w:tcPr>
            <w:tcW w:w="111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454008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39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5A5AD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65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FEFEC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0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2634E26"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6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6B9D0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37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16EC7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3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1D554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008EC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15935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66D9B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25D2343E" w14:textId="77777777" w:rsidTr="00160722">
        <w:trPr>
          <w:cantSplit/>
          <w:jc w:val="center"/>
        </w:trPr>
        <w:tc>
          <w:tcPr>
            <w:tcW w:w="1115" w:type="pct"/>
            <w:shd w:val="clear" w:color="auto" w:fill="FFFFFF"/>
            <w:tcMar>
              <w:top w:w="0" w:type="dxa"/>
              <w:left w:w="0" w:type="dxa"/>
              <w:bottom w:w="0" w:type="dxa"/>
              <w:right w:w="0" w:type="dxa"/>
            </w:tcMar>
            <w:vAlign w:val="center"/>
          </w:tcPr>
          <w:p w14:paraId="1BEDDE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397" w:type="pct"/>
            <w:shd w:val="clear" w:color="auto" w:fill="FFFFFF"/>
            <w:tcMar>
              <w:top w:w="0" w:type="dxa"/>
              <w:left w:w="0" w:type="dxa"/>
              <w:bottom w:w="0" w:type="dxa"/>
              <w:right w:w="0" w:type="dxa"/>
            </w:tcMar>
            <w:vAlign w:val="center"/>
          </w:tcPr>
          <w:p w14:paraId="0F6AF2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51" w:type="pct"/>
            <w:shd w:val="clear" w:color="auto" w:fill="FFFFFF"/>
            <w:tcMar>
              <w:top w:w="0" w:type="dxa"/>
              <w:left w:w="0" w:type="dxa"/>
              <w:bottom w:w="0" w:type="dxa"/>
              <w:right w:w="0" w:type="dxa"/>
            </w:tcMar>
            <w:vAlign w:val="center"/>
          </w:tcPr>
          <w:p w14:paraId="14EDC6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shd w:val="clear" w:color="auto" w:fill="FFFFFF"/>
            <w:tcMar>
              <w:top w:w="0" w:type="dxa"/>
              <w:left w:w="0" w:type="dxa"/>
              <w:bottom w:w="0" w:type="dxa"/>
              <w:right w:w="0" w:type="dxa"/>
            </w:tcMar>
            <w:vAlign w:val="center"/>
          </w:tcPr>
          <w:p w14:paraId="00E5C21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w:t>
            </w:r>
          </w:p>
        </w:tc>
        <w:tc>
          <w:tcPr>
            <w:tcW w:w="363" w:type="pct"/>
            <w:shd w:val="clear" w:color="auto" w:fill="FFFFFF"/>
            <w:tcMar>
              <w:top w:w="0" w:type="dxa"/>
              <w:left w:w="0" w:type="dxa"/>
              <w:bottom w:w="0" w:type="dxa"/>
              <w:right w:w="0" w:type="dxa"/>
            </w:tcMar>
            <w:vAlign w:val="center"/>
          </w:tcPr>
          <w:p w14:paraId="0952F9A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371" w:type="pct"/>
            <w:shd w:val="clear" w:color="auto" w:fill="FFFFFF"/>
            <w:tcMar>
              <w:top w:w="0" w:type="dxa"/>
              <w:left w:w="0" w:type="dxa"/>
              <w:bottom w:w="0" w:type="dxa"/>
              <w:right w:w="0" w:type="dxa"/>
            </w:tcMar>
            <w:vAlign w:val="center"/>
          </w:tcPr>
          <w:p w14:paraId="4F3FDE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shd w:val="clear" w:color="auto" w:fill="FFFFFF"/>
            <w:tcMar>
              <w:top w:w="0" w:type="dxa"/>
              <w:left w:w="0" w:type="dxa"/>
              <w:bottom w:w="0" w:type="dxa"/>
              <w:right w:w="0" w:type="dxa"/>
            </w:tcMar>
            <w:vAlign w:val="center"/>
          </w:tcPr>
          <w:p w14:paraId="6056E6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00C71D3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1B874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4C52F6C8" w14:textId="52A09DF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cmFpPC9BdXRob3I+PFllYXI+MjAwNDwvWWVhcj48UmVjTnVtPjI0NTwvUmVjTnVtPjxEaXNwbGF5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PEVuZE5vdGU+PENpdGUgRXhjbHVkZUF1dGg9IjEiIEV4Y2x1ZGVZZWFyPSIxIj48QXV0aG9yPk1h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423</w:t>
            </w:r>
            <w:r w:rsidRPr="00734942">
              <w:rPr>
                <w:rFonts w:ascii="Arial" w:eastAsia="Arial" w:hAnsi="Arial" w:cs="Arial"/>
                <w:color w:val="111111"/>
                <w:sz w:val="18"/>
                <w:szCs w:val="18"/>
              </w:rPr>
              <w:fldChar w:fldCharType="end"/>
            </w:r>
          </w:p>
        </w:tc>
      </w:tr>
      <w:tr w:rsidR="00C8418F" w:rsidRPr="00734942" w14:paraId="6301B491" w14:textId="77777777" w:rsidTr="00160722">
        <w:trPr>
          <w:cantSplit/>
          <w:jc w:val="center"/>
        </w:trPr>
        <w:tc>
          <w:tcPr>
            <w:tcW w:w="1115" w:type="pct"/>
            <w:shd w:val="clear" w:color="auto" w:fill="FFFFFF"/>
            <w:tcMar>
              <w:top w:w="0" w:type="dxa"/>
              <w:left w:w="0" w:type="dxa"/>
              <w:bottom w:w="0" w:type="dxa"/>
              <w:right w:w="0" w:type="dxa"/>
            </w:tcMar>
            <w:vAlign w:val="center"/>
          </w:tcPr>
          <w:p w14:paraId="0C2B03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397" w:type="pct"/>
            <w:shd w:val="clear" w:color="auto" w:fill="FFFFFF"/>
            <w:tcMar>
              <w:top w:w="0" w:type="dxa"/>
              <w:left w:w="0" w:type="dxa"/>
              <w:bottom w:w="0" w:type="dxa"/>
              <w:right w:w="0" w:type="dxa"/>
            </w:tcMar>
            <w:vAlign w:val="center"/>
          </w:tcPr>
          <w:p w14:paraId="692C12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51" w:type="pct"/>
            <w:shd w:val="clear" w:color="auto" w:fill="FFFFFF"/>
            <w:tcMar>
              <w:top w:w="0" w:type="dxa"/>
              <w:left w:w="0" w:type="dxa"/>
              <w:bottom w:w="0" w:type="dxa"/>
              <w:right w:w="0" w:type="dxa"/>
            </w:tcMar>
            <w:vAlign w:val="center"/>
          </w:tcPr>
          <w:p w14:paraId="5AC010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shd w:val="clear" w:color="auto" w:fill="FFFFFF"/>
            <w:tcMar>
              <w:top w:w="0" w:type="dxa"/>
              <w:left w:w="0" w:type="dxa"/>
              <w:bottom w:w="0" w:type="dxa"/>
              <w:right w:w="0" w:type="dxa"/>
            </w:tcMar>
            <w:vAlign w:val="center"/>
          </w:tcPr>
          <w:p w14:paraId="153B0FD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w:t>
            </w:r>
          </w:p>
        </w:tc>
        <w:tc>
          <w:tcPr>
            <w:tcW w:w="363" w:type="pct"/>
            <w:shd w:val="clear" w:color="auto" w:fill="FFFFFF"/>
            <w:tcMar>
              <w:top w:w="0" w:type="dxa"/>
              <w:left w:w="0" w:type="dxa"/>
              <w:bottom w:w="0" w:type="dxa"/>
              <w:right w:w="0" w:type="dxa"/>
            </w:tcMar>
            <w:vAlign w:val="center"/>
          </w:tcPr>
          <w:p w14:paraId="15DB2FE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371" w:type="pct"/>
            <w:shd w:val="clear" w:color="auto" w:fill="FFFFFF"/>
            <w:tcMar>
              <w:top w:w="0" w:type="dxa"/>
              <w:left w:w="0" w:type="dxa"/>
              <w:bottom w:w="0" w:type="dxa"/>
              <w:right w:w="0" w:type="dxa"/>
            </w:tcMar>
            <w:vAlign w:val="center"/>
          </w:tcPr>
          <w:p w14:paraId="14C97C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shd w:val="clear" w:color="auto" w:fill="FFFFFF"/>
            <w:tcMar>
              <w:top w:w="0" w:type="dxa"/>
              <w:left w:w="0" w:type="dxa"/>
              <w:bottom w:w="0" w:type="dxa"/>
              <w:right w:w="0" w:type="dxa"/>
            </w:tcMar>
            <w:vAlign w:val="center"/>
          </w:tcPr>
          <w:p w14:paraId="10B51E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0F724E3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16" w:type="pct"/>
            <w:shd w:val="clear" w:color="auto" w:fill="FFFFFF"/>
            <w:tcMar>
              <w:top w:w="0" w:type="dxa"/>
              <w:left w:w="0" w:type="dxa"/>
              <w:bottom w:w="0" w:type="dxa"/>
              <w:right w:w="0" w:type="dxa"/>
            </w:tcMar>
            <w:vAlign w:val="center"/>
          </w:tcPr>
          <w:p w14:paraId="2F2E5A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20511E3C" w14:textId="3341820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PEVuZE5vdGU+PENpdGUgRXhjbHVkZUF1dGg9IjEiIEV4Y2x1ZGVZZWFyPSIxIj48QXV0aG9yPkJp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327</w:t>
            </w:r>
            <w:r w:rsidRPr="00734942">
              <w:rPr>
                <w:rFonts w:ascii="Arial" w:eastAsia="Arial" w:hAnsi="Arial" w:cs="Arial"/>
                <w:color w:val="111111"/>
                <w:sz w:val="18"/>
                <w:szCs w:val="18"/>
              </w:rPr>
              <w:fldChar w:fldCharType="end"/>
            </w:r>
          </w:p>
        </w:tc>
      </w:tr>
      <w:tr w:rsidR="00C8418F" w:rsidRPr="00734942" w14:paraId="2E232F9D" w14:textId="77777777" w:rsidTr="00160722">
        <w:trPr>
          <w:cantSplit/>
          <w:jc w:val="center"/>
        </w:trPr>
        <w:tc>
          <w:tcPr>
            <w:tcW w:w="1115" w:type="pct"/>
            <w:shd w:val="clear" w:color="auto" w:fill="FFFFFF"/>
            <w:tcMar>
              <w:top w:w="0" w:type="dxa"/>
              <w:left w:w="0" w:type="dxa"/>
              <w:bottom w:w="0" w:type="dxa"/>
              <w:right w:w="0" w:type="dxa"/>
            </w:tcMar>
            <w:vAlign w:val="center"/>
          </w:tcPr>
          <w:p w14:paraId="5379178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397" w:type="pct"/>
            <w:shd w:val="clear" w:color="auto" w:fill="FFFFFF"/>
            <w:tcMar>
              <w:top w:w="0" w:type="dxa"/>
              <w:left w:w="0" w:type="dxa"/>
              <w:bottom w:w="0" w:type="dxa"/>
              <w:right w:w="0" w:type="dxa"/>
            </w:tcMar>
            <w:vAlign w:val="center"/>
          </w:tcPr>
          <w:p w14:paraId="6788BC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51" w:type="pct"/>
            <w:shd w:val="clear" w:color="auto" w:fill="FFFFFF"/>
            <w:tcMar>
              <w:top w:w="0" w:type="dxa"/>
              <w:left w:w="0" w:type="dxa"/>
              <w:bottom w:w="0" w:type="dxa"/>
              <w:right w:w="0" w:type="dxa"/>
            </w:tcMar>
            <w:vAlign w:val="center"/>
          </w:tcPr>
          <w:p w14:paraId="03A45F4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shd w:val="clear" w:color="auto" w:fill="FFFFFF"/>
            <w:tcMar>
              <w:top w:w="0" w:type="dxa"/>
              <w:left w:w="0" w:type="dxa"/>
              <w:bottom w:w="0" w:type="dxa"/>
              <w:right w:w="0" w:type="dxa"/>
            </w:tcMar>
            <w:vAlign w:val="center"/>
          </w:tcPr>
          <w:p w14:paraId="53E6EA1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w:t>
            </w:r>
          </w:p>
        </w:tc>
        <w:tc>
          <w:tcPr>
            <w:tcW w:w="363" w:type="pct"/>
            <w:shd w:val="clear" w:color="auto" w:fill="FFFFFF"/>
            <w:tcMar>
              <w:top w:w="0" w:type="dxa"/>
              <w:left w:w="0" w:type="dxa"/>
              <w:bottom w:w="0" w:type="dxa"/>
              <w:right w:w="0" w:type="dxa"/>
            </w:tcMar>
            <w:vAlign w:val="center"/>
          </w:tcPr>
          <w:p w14:paraId="5CB0993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371" w:type="pct"/>
            <w:shd w:val="clear" w:color="auto" w:fill="FFFFFF"/>
            <w:tcMar>
              <w:top w:w="0" w:type="dxa"/>
              <w:left w:w="0" w:type="dxa"/>
              <w:bottom w:w="0" w:type="dxa"/>
              <w:right w:w="0" w:type="dxa"/>
            </w:tcMar>
            <w:vAlign w:val="center"/>
          </w:tcPr>
          <w:p w14:paraId="7DF32A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shd w:val="clear" w:color="auto" w:fill="FFFFFF"/>
            <w:tcMar>
              <w:top w:w="0" w:type="dxa"/>
              <w:left w:w="0" w:type="dxa"/>
              <w:bottom w:w="0" w:type="dxa"/>
              <w:right w:w="0" w:type="dxa"/>
            </w:tcMar>
            <w:vAlign w:val="center"/>
          </w:tcPr>
          <w:p w14:paraId="74B14D1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380" w:type="pct"/>
            <w:shd w:val="clear" w:color="auto" w:fill="FFFFFF"/>
            <w:tcMar>
              <w:top w:w="0" w:type="dxa"/>
              <w:left w:w="0" w:type="dxa"/>
              <w:bottom w:w="0" w:type="dxa"/>
              <w:right w:w="0" w:type="dxa"/>
            </w:tcMar>
            <w:vAlign w:val="center"/>
          </w:tcPr>
          <w:p w14:paraId="50E6F2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46F0EF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Ireland</w:t>
            </w:r>
          </w:p>
        </w:tc>
        <w:tc>
          <w:tcPr>
            <w:tcW w:w="369" w:type="pct"/>
            <w:shd w:val="clear" w:color="auto" w:fill="FFFFFF"/>
            <w:tcMar>
              <w:top w:w="0" w:type="dxa"/>
              <w:left w:w="0" w:type="dxa"/>
              <w:bottom w:w="0" w:type="dxa"/>
              <w:right w:w="0" w:type="dxa"/>
            </w:tcMar>
            <w:vAlign w:val="center"/>
          </w:tcPr>
          <w:p w14:paraId="242803B6" w14:textId="57F4B69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328</w:t>
            </w:r>
            <w:r w:rsidRPr="00734942">
              <w:rPr>
                <w:rFonts w:ascii="Arial" w:eastAsia="Arial" w:hAnsi="Arial" w:cs="Arial"/>
                <w:color w:val="111111"/>
                <w:sz w:val="18"/>
                <w:szCs w:val="18"/>
              </w:rPr>
              <w:fldChar w:fldCharType="end"/>
            </w:r>
          </w:p>
        </w:tc>
      </w:tr>
      <w:tr w:rsidR="00C8418F" w:rsidRPr="00734942" w14:paraId="509E0CF7" w14:textId="77777777" w:rsidTr="00160722">
        <w:trPr>
          <w:cantSplit/>
          <w:jc w:val="center"/>
        </w:trPr>
        <w:tc>
          <w:tcPr>
            <w:tcW w:w="1115" w:type="pct"/>
            <w:shd w:val="clear" w:color="auto" w:fill="FFFFFF"/>
            <w:tcMar>
              <w:top w:w="0" w:type="dxa"/>
              <w:left w:w="0" w:type="dxa"/>
              <w:bottom w:w="0" w:type="dxa"/>
              <w:right w:w="0" w:type="dxa"/>
            </w:tcMar>
            <w:vAlign w:val="center"/>
          </w:tcPr>
          <w:p w14:paraId="16E673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397" w:type="pct"/>
            <w:shd w:val="clear" w:color="auto" w:fill="FFFFFF"/>
            <w:tcMar>
              <w:top w:w="0" w:type="dxa"/>
              <w:left w:w="0" w:type="dxa"/>
              <w:bottom w:w="0" w:type="dxa"/>
              <w:right w:w="0" w:type="dxa"/>
            </w:tcMar>
            <w:vAlign w:val="center"/>
          </w:tcPr>
          <w:p w14:paraId="21E40A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51" w:type="pct"/>
            <w:shd w:val="clear" w:color="auto" w:fill="FFFFFF"/>
            <w:tcMar>
              <w:top w:w="0" w:type="dxa"/>
              <w:left w:w="0" w:type="dxa"/>
              <w:bottom w:w="0" w:type="dxa"/>
              <w:right w:w="0" w:type="dxa"/>
            </w:tcMar>
            <w:vAlign w:val="center"/>
          </w:tcPr>
          <w:p w14:paraId="4485028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shd w:val="clear" w:color="auto" w:fill="FFFFFF"/>
            <w:tcMar>
              <w:top w:w="0" w:type="dxa"/>
              <w:left w:w="0" w:type="dxa"/>
              <w:bottom w:w="0" w:type="dxa"/>
              <w:right w:w="0" w:type="dxa"/>
            </w:tcMar>
            <w:vAlign w:val="center"/>
          </w:tcPr>
          <w:p w14:paraId="3DBE4D8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297</w:t>
            </w:r>
          </w:p>
        </w:tc>
        <w:tc>
          <w:tcPr>
            <w:tcW w:w="363" w:type="pct"/>
            <w:shd w:val="clear" w:color="auto" w:fill="FFFFFF"/>
            <w:tcMar>
              <w:top w:w="0" w:type="dxa"/>
              <w:left w:w="0" w:type="dxa"/>
              <w:bottom w:w="0" w:type="dxa"/>
              <w:right w:w="0" w:type="dxa"/>
            </w:tcMar>
            <w:vAlign w:val="center"/>
          </w:tcPr>
          <w:p w14:paraId="48B224F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371" w:type="pct"/>
            <w:shd w:val="clear" w:color="auto" w:fill="FFFFFF"/>
            <w:tcMar>
              <w:top w:w="0" w:type="dxa"/>
              <w:left w:w="0" w:type="dxa"/>
              <w:bottom w:w="0" w:type="dxa"/>
              <w:right w:w="0" w:type="dxa"/>
            </w:tcMar>
            <w:vAlign w:val="center"/>
          </w:tcPr>
          <w:p w14:paraId="7541E7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shd w:val="clear" w:color="auto" w:fill="FFFFFF"/>
            <w:tcMar>
              <w:top w:w="0" w:type="dxa"/>
              <w:left w:w="0" w:type="dxa"/>
              <w:bottom w:w="0" w:type="dxa"/>
              <w:right w:w="0" w:type="dxa"/>
            </w:tcMar>
            <w:vAlign w:val="center"/>
          </w:tcPr>
          <w:p w14:paraId="7C49180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80" w:type="pct"/>
            <w:shd w:val="clear" w:color="auto" w:fill="FFFFFF"/>
            <w:tcMar>
              <w:top w:w="0" w:type="dxa"/>
              <w:left w:w="0" w:type="dxa"/>
              <w:bottom w:w="0" w:type="dxa"/>
              <w:right w:w="0" w:type="dxa"/>
            </w:tcMar>
            <w:vAlign w:val="center"/>
          </w:tcPr>
          <w:p w14:paraId="1B2C14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051A1B8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559F0560" w14:textId="259BE53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PEVuZE5vdGU+PENpdGUgRXhjbHVkZUF1dGg9IjEiIEV4Y2x1ZGVZZWFyPSIxIj48QXV0aG9yPlBp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PEVuZE5vdGU+PENpdGUgRXhjbHVkZUF1dGg9IjEiIEV4Y2x1ZGVZZWFyPSIxIj48QXV0aG9yPlBp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424</w:t>
            </w:r>
            <w:r w:rsidRPr="00734942">
              <w:rPr>
                <w:rFonts w:ascii="Arial" w:eastAsia="Arial" w:hAnsi="Arial" w:cs="Arial"/>
                <w:color w:val="111111"/>
                <w:sz w:val="18"/>
                <w:szCs w:val="18"/>
              </w:rPr>
              <w:fldChar w:fldCharType="end"/>
            </w:r>
          </w:p>
        </w:tc>
      </w:tr>
      <w:tr w:rsidR="00C8418F" w:rsidRPr="00734942" w14:paraId="71EFE879" w14:textId="77777777" w:rsidTr="00160722">
        <w:trPr>
          <w:cantSplit/>
          <w:jc w:val="center"/>
        </w:trPr>
        <w:tc>
          <w:tcPr>
            <w:tcW w:w="1115" w:type="pct"/>
            <w:shd w:val="clear" w:color="auto" w:fill="FFFFFF"/>
            <w:tcMar>
              <w:top w:w="0" w:type="dxa"/>
              <w:left w:w="0" w:type="dxa"/>
              <w:bottom w:w="0" w:type="dxa"/>
              <w:right w:w="0" w:type="dxa"/>
            </w:tcMar>
            <w:vAlign w:val="center"/>
          </w:tcPr>
          <w:p w14:paraId="5A6438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397" w:type="pct"/>
            <w:shd w:val="clear" w:color="auto" w:fill="FFFFFF"/>
            <w:tcMar>
              <w:top w:w="0" w:type="dxa"/>
              <w:left w:w="0" w:type="dxa"/>
              <w:bottom w:w="0" w:type="dxa"/>
              <w:right w:w="0" w:type="dxa"/>
            </w:tcMar>
            <w:vAlign w:val="center"/>
          </w:tcPr>
          <w:p w14:paraId="51D649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651" w:type="pct"/>
            <w:shd w:val="clear" w:color="auto" w:fill="FFFFFF"/>
            <w:tcMar>
              <w:top w:w="0" w:type="dxa"/>
              <w:left w:w="0" w:type="dxa"/>
              <w:bottom w:w="0" w:type="dxa"/>
              <w:right w:w="0" w:type="dxa"/>
            </w:tcMar>
            <w:vAlign w:val="center"/>
          </w:tcPr>
          <w:p w14:paraId="24D456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shd w:val="clear" w:color="auto" w:fill="FFFFFF"/>
            <w:tcMar>
              <w:top w:w="0" w:type="dxa"/>
              <w:left w:w="0" w:type="dxa"/>
              <w:bottom w:w="0" w:type="dxa"/>
              <w:right w:w="0" w:type="dxa"/>
            </w:tcMar>
            <w:vAlign w:val="center"/>
          </w:tcPr>
          <w:p w14:paraId="00F9B86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363" w:type="pct"/>
            <w:shd w:val="clear" w:color="auto" w:fill="FFFFFF"/>
            <w:tcMar>
              <w:top w:w="0" w:type="dxa"/>
              <w:left w:w="0" w:type="dxa"/>
              <w:bottom w:w="0" w:type="dxa"/>
              <w:right w:w="0" w:type="dxa"/>
            </w:tcMar>
            <w:vAlign w:val="center"/>
          </w:tcPr>
          <w:p w14:paraId="07246E5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371" w:type="pct"/>
            <w:shd w:val="clear" w:color="auto" w:fill="FFFFFF"/>
            <w:tcMar>
              <w:top w:w="0" w:type="dxa"/>
              <w:left w:w="0" w:type="dxa"/>
              <w:bottom w:w="0" w:type="dxa"/>
              <w:right w:w="0" w:type="dxa"/>
            </w:tcMar>
            <w:vAlign w:val="center"/>
          </w:tcPr>
          <w:p w14:paraId="1BAA8D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shd w:val="clear" w:color="auto" w:fill="FFFFFF"/>
            <w:tcMar>
              <w:top w:w="0" w:type="dxa"/>
              <w:left w:w="0" w:type="dxa"/>
              <w:bottom w:w="0" w:type="dxa"/>
              <w:right w:w="0" w:type="dxa"/>
            </w:tcMar>
            <w:vAlign w:val="center"/>
          </w:tcPr>
          <w:p w14:paraId="790610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shd w:val="clear" w:color="auto" w:fill="FFFFFF"/>
            <w:tcMar>
              <w:top w:w="0" w:type="dxa"/>
              <w:left w:w="0" w:type="dxa"/>
              <w:bottom w:w="0" w:type="dxa"/>
              <w:right w:w="0" w:type="dxa"/>
            </w:tcMar>
            <w:vAlign w:val="center"/>
          </w:tcPr>
          <w:p w14:paraId="78BB0E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3B2F30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1C688CD7" w14:textId="31BC9EF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PEVuZE5vdGU+PENpdGUgRXhjbHVkZUF1dGg9IjEiIEV4Y2x1ZGVZZWFyPSIxIj48QXV0aG9yPkx1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PEVuZE5vdGU+PENpdGUgRXhjbHVkZUF1dGg9IjEiIEV4Y2x1ZGVZZWFyPSIxIj48QXV0aG9yPkx1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332</w:t>
            </w:r>
            <w:r w:rsidRPr="00734942">
              <w:rPr>
                <w:rFonts w:ascii="Arial" w:eastAsia="Arial" w:hAnsi="Arial" w:cs="Arial"/>
                <w:color w:val="111111"/>
                <w:sz w:val="18"/>
                <w:szCs w:val="18"/>
              </w:rPr>
              <w:fldChar w:fldCharType="end"/>
            </w:r>
          </w:p>
        </w:tc>
      </w:tr>
      <w:tr w:rsidR="00C8418F" w:rsidRPr="00734942" w14:paraId="4DE369A4" w14:textId="77777777" w:rsidTr="00160722">
        <w:trPr>
          <w:cantSplit/>
          <w:jc w:val="center"/>
        </w:trPr>
        <w:tc>
          <w:tcPr>
            <w:tcW w:w="1115" w:type="pct"/>
            <w:tcBorders>
              <w:bottom w:val="single" w:sz="16" w:space="0" w:color="000000"/>
            </w:tcBorders>
            <w:shd w:val="clear" w:color="auto" w:fill="FFFFFF"/>
            <w:tcMar>
              <w:top w:w="0" w:type="dxa"/>
              <w:left w:w="0" w:type="dxa"/>
              <w:bottom w:w="0" w:type="dxa"/>
              <w:right w:w="0" w:type="dxa"/>
            </w:tcMar>
            <w:vAlign w:val="center"/>
          </w:tcPr>
          <w:p w14:paraId="1BB658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397" w:type="pct"/>
            <w:tcBorders>
              <w:bottom w:val="single" w:sz="16" w:space="0" w:color="000000"/>
            </w:tcBorders>
            <w:shd w:val="clear" w:color="auto" w:fill="FFFFFF"/>
            <w:tcMar>
              <w:top w:w="0" w:type="dxa"/>
              <w:left w:w="0" w:type="dxa"/>
              <w:bottom w:w="0" w:type="dxa"/>
              <w:right w:w="0" w:type="dxa"/>
            </w:tcMar>
            <w:vAlign w:val="center"/>
          </w:tcPr>
          <w:p w14:paraId="3D5BD7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651" w:type="pct"/>
            <w:tcBorders>
              <w:bottom w:val="single" w:sz="16" w:space="0" w:color="000000"/>
            </w:tcBorders>
            <w:shd w:val="clear" w:color="auto" w:fill="FFFFFF"/>
            <w:tcMar>
              <w:top w:w="0" w:type="dxa"/>
              <w:left w:w="0" w:type="dxa"/>
              <w:bottom w:w="0" w:type="dxa"/>
              <w:right w:w="0" w:type="dxa"/>
            </w:tcMar>
            <w:vAlign w:val="center"/>
          </w:tcPr>
          <w:p w14:paraId="0777F2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Systemic lupus erythematosus</w:t>
            </w:r>
          </w:p>
        </w:tc>
        <w:tc>
          <w:tcPr>
            <w:tcW w:w="304" w:type="pct"/>
            <w:tcBorders>
              <w:bottom w:val="single" w:sz="16" w:space="0" w:color="000000"/>
            </w:tcBorders>
            <w:shd w:val="clear" w:color="auto" w:fill="FFFFFF"/>
            <w:tcMar>
              <w:top w:w="0" w:type="dxa"/>
              <w:left w:w="0" w:type="dxa"/>
              <w:bottom w:w="0" w:type="dxa"/>
              <w:right w:w="0" w:type="dxa"/>
            </w:tcMar>
            <w:vAlign w:val="center"/>
          </w:tcPr>
          <w:p w14:paraId="1F9AEF3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91</w:t>
            </w:r>
          </w:p>
        </w:tc>
        <w:tc>
          <w:tcPr>
            <w:tcW w:w="363" w:type="pct"/>
            <w:tcBorders>
              <w:bottom w:val="single" w:sz="16" w:space="0" w:color="000000"/>
            </w:tcBorders>
            <w:shd w:val="clear" w:color="auto" w:fill="FFFFFF"/>
            <w:tcMar>
              <w:top w:w="0" w:type="dxa"/>
              <w:left w:w="0" w:type="dxa"/>
              <w:bottom w:w="0" w:type="dxa"/>
              <w:right w:w="0" w:type="dxa"/>
            </w:tcMar>
            <w:vAlign w:val="center"/>
          </w:tcPr>
          <w:p w14:paraId="15D8321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371" w:type="pct"/>
            <w:tcBorders>
              <w:bottom w:val="single" w:sz="16" w:space="0" w:color="000000"/>
            </w:tcBorders>
            <w:shd w:val="clear" w:color="auto" w:fill="FFFFFF"/>
            <w:tcMar>
              <w:top w:w="0" w:type="dxa"/>
              <w:left w:w="0" w:type="dxa"/>
              <w:bottom w:w="0" w:type="dxa"/>
              <w:right w:w="0" w:type="dxa"/>
            </w:tcMar>
            <w:vAlign w:val="center"/>
          </w:tcPr>
          <w:p w14:paraId="2205F0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35" w:type="pct"/>
            <w:tcBorders>
              <w:bottom w:val="single" w:sz="16" w:space="0" w:color="000000"/>
            </w:tcBorders>
            <w:shd w:val="clear" w:color="auto" w:fill="FFFFFF"/>
            <w:tcMar>
              <w:top w:w="0" w:type="dxa"/>
              <w:left w:w="0" w:type="dxa"/>
              <w:bottom w:w="0" w:type="dxa"/>
              <w:right w:w="0" w:type="dxa"/>
            </w:tcMar>
            <w:vAlign w:val="center"/>
          </w:tcPr>
          <w:p w14:paraId="58FA53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80" w:type="pct"/>
            <w:tcBorders>
              <w:bottom w:val="single" w:sz="16" w:space="0" w:color="000000"/>
            </w:tcBorders>
            <w:shd w:val="clear" w:color="auto" w:fill="FFFFFF"/>
            <w:tcMar>
              <w:top w:w="0" w:type="dxa"/>
              <w:left w:w="0" w:type="dxa"/>
              <w:bottom w:w="0" w:type="dxa"/>
              <w:right w:w="0" w:type="dxa"/>
            </w:tcMar>
            <w:vAlign w:val="center"/>
          </w:tcPr>
          <w:p w14:paraId="166CD28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16" w:type="pct"/>
            <w:tcBorders>
              <w:bottom w:val="single" w:sz="16" w:space="0" w:color="000000"/>
            </w:tcBorders>
            <w:shd w:val="clear" w:color="auto" w:fill="FFFFFF"/>
            <w:tcMar>
              <w:top w:w="0" w:type="dxa"/>
              <w:left w:w="0" w:type="dxa"/>
              <w:bottom w:w="0" w:type="dxa"/>
              <w:right w:w="0" w:type="dxa"/>
            </w:tcMar>
            <w:vAlign w:val="center"/>
          </w:tcPr>
          <w:p w14:paraId="67D592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tcBorders>
              <w:bottom w:val="single" w:sz="16" w:space="0" w:color="000000"/>
            </w:tcBorders>
            <w:shd w:val="clear" w:color="auto" w:fill="FFFFFF"/>
            <w:tcMar>
              <w:top w:w="0" w:type="dxa"/>
              <w:left w:w="0" w:type="dxa"/>
              <w:bottom w:w="0" w:type="dxa"/>
              <w:right w:w="0" w:type="dxa"/>
            </w:tcMar>
            <w:vAlign w:val="center"/>
          </w:tcPr>
          <w:p w14:paraId="07511D73" w14:textId="4A88022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aGluPC9BdXRob3I+PFllYXI+MjAxNzwvWWVhcj48UmVjTnVtPjI0NzwvUmVjTnVtPjxEaXNwbGF5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=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aGluPC9BdXRob3I+PFllYXI+MjAxNzwvWWVhcj48UmVjTnVtPjI0NzwvUmVjTnVtPjxEaXNwbGF5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=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425</w:t>
            </w:r>
            <w:r w:rsidRPr="00734942">
              <w:rPr>
                <w:rFonts w:ascii="Arial" w:eastAsia="Arial" w:hAnsi="Arial" w:cs="Arial"/>
                <w:color w:val="111111"/>
                <w:sz w:val="18"/>
                <w:szCs w:val="18"/>
              </w:rPr>
              <w:fldChar w:fldCharType="end"/>
            </w:r>
          </w:p>
        </w:tc>
      </w:tr>
    </w:tbl>
    <w:p w14:paraId="2858A081" w14:textId="77777777" w:rsidR="007B756D" w:rsidRPr="00734942" w:rsidRDefault="007B756D" w:rsidP="007B756D"/>
    <w:p w14:paraId="0D64BB24" w14:textId="745A872F" w:rsidR="00160722" w:rsidRDefault="00160722" w:rsidP="000526F1">
      <w:pPr>
        <w:pStyle w:val="Caption"/>
      </w:pPr>
      <w:bookmarkStart w:id="385" w:name="_Toc99720756"/>
      <w:r>
        <w:t xml:space="preserve">Table </w:t>
      </w:r>
      <w:r w:rsidR="00C34531">
        <w:fldChar w:fldCharType="begin"/>
      </w:r>
      <w:r w:rsidR="00C34531">
        <w:instrText xml:space="preserve"> SEQ Table \* ARABIC </w:instrText>
      </w:r>
      <w:r w:rsidR="00C34531">
        <w:fldChar w:fldCharType="separate"/>
      </w:r>
      <w:r w:rsidR="008B5583">
        <w:rPr>
          <w:noProof/>
        </w:rPr>
        <w:t>45</w:t>
      </w:r>
      <w:r w:rsidR="00C34531">
        <w:rPr>
          <w:noProof/>
        </w:rPr>
        <w:fldChar w:fldCharType="end"/>
      </w:r>
      <w:r>
        <w:t xml:space="preserve">  </w:t>
      </w:r>
      <w:r w:rsidRPr="00054E6D">
        <w:t>Study characteristics: Subfertility or recurrent pregnancy loss</w:t>
      </w:r>
      <w:bookmarkEnd w:id="385"/>
    </w:p>
    <w:tbl>
      <w:tblPr>
        <w:tblW w:w="5000" w:type="pct"/>
        <w:jc w:val="center"/>
        <w:tblLook w:val="0420" w:firstRow="1" w:lastRow="0" w:firstColumn="0" w:lastColumn="0" w:noHBand="0" w:noVBand="1"/>
      </w:tblPr>
      <w:tblGrid>
        <w:gridCol w:w="2782"/>
        <w:gridCol w:w="1183"/>
        <w:gridCol w:w="2082"/>
        <w:gridCol w:w="811"/>
        <w:gridCol w:w="801"/>
        <w:gridCol w:w="1672"/>
        <w:gridCol w:w="1583"/>
        <w:gridCol w:w="1111"/>
        <w:gridCol w:w="902"/>
        <w:gridCol w:w="1031"/>
      </w:tblGrid>
      <w:tr w:rsidR="007B756D" w:rsidRPr="00734942" w14:paraId="7400DDB6" w14:textId="77777777" w:rsidTr="006658D1">
        <w:trPr>
          <w:cantSplit/>
          <w:tblHeader/>
          <w:jc w:val="center"/>
        </w:trPr>
        <w:tc>
          <w:tcPr>
            <w:tcW w:w="99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08795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2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C8DEE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74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BFBA2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F90B1EF"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8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070A1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21B269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56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6A544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3FF3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2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978DB4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C8060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74B785EE" w14:textId="77777777" w:rsidTr="006658D1">
        <w:trPr>
          <w:cantSplit/>
          <w:jc w:val="center"/>
        </w:trPr>
        <w:tc>
          <w:tcPr>
            <w:tcW w:w="997" w:type="pct"/>
            <w:shd w:val="clear" w:color="auto" w:fill="FFFFFF"/>
            <w:tcMar>
              <w:top w:w="0" w:type="dxa"/>
              <w:left w:w="0" w:type="dxa"/>
              <w:bottom w:w="0" w:type="dxa"/>
              <w:right w:w="0" w:type="dxa"/>
            </w:tcMar>
            <w:vAlign w:val="center"/>
          </w:tcPr>
          <w:p w14:paraId="604689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0D0F18E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173A66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miscarriages or implantation failure</w:t>
            </w:r>
          </w:p>
        </w:tc>
        <w:tc>
          <w:tcPr>
            <w:tcW w:w="291" w:type="pct"/>
            <w:shd w:val="clear" w:color="auto" w:fill="FFFFFF"/>
            <w:tcMar>
              <w:top w:w="0" w:type="dxa"/>
              <w:left w:w="0" w:type="dxa"/>
              <w:bottom w:w="0" w:type="dxa"/>
              <w:right w:w="0" w:type="dxa"/>
            </w:tcMar>
            <w:vAlign w:val="center"/>
          </w:tcPr>
          <w:p w14:paraId="368971D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528</w:t>
            </w:r>
          </w:p>
        </w:tc>
        <w:tc>
          <w:tcPr>
            <w:tcW w:w="287" w:type="pct"/>
            <w:shd w:val="clear" w:color="auto" w:fill="FFFFFF"/>
            <w:tcMar>
              <w:top w:w="0" w:type="dxa"/>
              <w:left w:w="0" w:type="dxa"/>
              <w:bottom w:w="0" w:type="dxa"/>
              <w:right w:w="0" w:type="dxa"/>
            </w:tcMar>
            <w:vAlign w:val="center"/>
          </w:tcPr>
          <w:p w14:paraId="51E2515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7256CA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06ADDDC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5722F39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72E7B3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Czech Republic</w:t>
            </w:r>
          </w:p>
        </w:tc>
        <w:tc>
          <w:tcPr>
            <w:tcW w:w="369" w:type="pct"/>
            <w:shd w:val="clear" w:color="auto" w:fill="FFFFFF"/>
            <w:tcMar>
              <w:top w:w="0" w:type="dxa"/>
              <w:left w:w="0" w:type="dxa"/>
              <w:bottom w:w="0" w:type="dxa"/>
              <w:right w:w="0" w:type="dxa"/>
            </w:tcMar>
            <w:vAlign w:val="center"/>
          </w:tcPr>
          <w:p w14:paraId="3DEAD343" w14:textId="783AC0B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ExcludeYear="1"&gt;&lt;Author&gt;Cedikova&lt;/Author&gt;&lt;Year&gt;2013&lt;/Year&gt;&lt;RecNum&gt;248&lt;/RecNum&gt;&lt;DisplayText&gt;&lt;style face="superscript"&gt;426&lt;/style&gt;&lt;/DisplayText&gt;&lt;record&gt;&lt;rec-number&gt;248&lt;/rec-number&gt;&lt;foreign-keys&gt;&lt;key app="EN" db-id="tdwrx9xd1z9eepeevr355w2k959rv0f5zaax" timestamp="1632756138"&gt;248&lt;/key&gt;&lt;/foreign-keys&gt;&lt;ref-type name="Journal Article"&gt;17&lt;/ref-type&gt;&lt;contributors&gt;&lt;authors&gt;&lt;author&gt;Cedikova, M.&lt;/author&gt;&lt;author&gt;Ulcova-Gallova, Z.&lt;/author&gt;&lt;author&gt;Bibkova, K.&lt;/author&gt;&lt;author&gt;Micanova, Z.&lt;/author&gt;&lt;/authors&gt;&lt;/contributors&gt;&lt;titles&gt;&lt;title&gt;[The incidence of latent asymptomatic celiac disease in women with decreased fertility]&lt;/title&gt;&lt;secondary-title&gt;Vyskyt latentni asymptomaticke celiakie u zen se snizenou plodnosti&lt;/secondary-title&gt;&lt;/titles&gt;&lt;periodical&gt;&lt;full-title&gt;Vyskyt latentni asymptomaticke celiakie u zen se snizenou plodnosti&lt;/full-title&gt;&lt;/periodical&gt;&lt;pages&gt;247-51&lt;/pages&gt;&lt;volume&gt;78&lt;/volume&gt;&lt;number&gt;3&lt;/number&gt;&lt;section&gt;Cedikova, M. Ustav histologie a embryologie LF UK, Plzen.&lt;/section&gt;&lt;keywords&gt;&lt;keyword&gt;*Abortion, Habitual/ep [Epidemiology]&lt;/keyword&gt;&lt;keyword&gt;Adult&lt;/keyword&gt;&lt;keyword&gt;Case-Control Studies&lt;/keyword&gt;&lt;keyword&gt;*Celiac Disease/co [Complications]&lt;/keyword&gt;&lt;keyword&gt;*Celiac Disease/ep [Epidemiology]&lt;/keyword&gt;&lt;keyword&gt;Czech Republic/ep [Epidemiology]&lt;/keyword&gt;&lt;keyword&gt;Female&lt;/keyword&gt;&lt;keyword&gt;Humans&lt;/keyword&gt;&lt;keyword&gt;Incidence&lt;/keyword&gt;&lt;keyword&gt;*Infertility, Female/co [Complications]&lt;/keyword&gt;&lt;keyword&gt;*Infertility, Female/ep [Epidemiology]&lt;/keyword&gt;&lt;keyword&gt;Young Adult&lt;/keyword&gt;&lt;/keywords&gt;&lt;dates&gt;&lt;year&gt;2013&lt;/year&gt;&lt;/dates&gt;&lt;pub-location&gt;Czech Republic&lt;/pub-location&gt;&lt;isbn&gt;1210-7832&lt;/isbn&gt;&lt;urls&gt;&lt;related-urls&gt;&lt;url&gt;http://ovidsp.ovid.com/ovidweb.cgi?T=JS&amp;amp;PAGE=reference&amp;amp;D=med9&amp;amp;NEWS=N&amp;amp;AN=23869830&lt;/url&gt;&lt;/related-urls&gt;&lt;/urls&gt;&lt;remote-database-name&gt;MEDLIN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426</w:t>
            </w:r>
            <w:r w:rsidRPr="00734942">
              <w:rPr>
                <w:rFonts w:ascii="Arial" w:eastAsia="Arial" w:hAnsi="Arial" w:cs="Arial"/>
                <w:color w:val="111111"/>
                <w:sz w:val="18"/>
                <w:szCs w:val="18"/>
              </w:rPr>
              <w:fldChar w:fldCharType="end"/>
            </w:r>
          </w:p>
        </w:tc>
      </w:tr>
      <w:tr w:rsidR="007B756D" w:rsidRPr="00734942" w14:paraId="61D5FC58" w14:textId="77777777" w:rsidTr="006658D1">
        <w:trPr>
          <w:cantSplit/>
          <w:jc w:val="center"/>
        </w:trPr>
        <w:tc>
          <w:tcPr>
            <w:tcW w:w="997" w:type="pct"/>
            <w:shd w:val="clear" w:color="auto" w:fill="FFFFFF"/>
            <w:tcMar>
              <w:top w:w="0" w:type="dxa"/>
              <w:left w:w="0" w:type="dxa"/>
              <w:bottom w:w="0" w:type="dxa"/>
              <w:right w:w="0" w:type="dxa"/>
            </w:tcMar>
            <w:vAlign w:val="center"/>
          </w:tcPr>
          <w:p w14:paraId="3F99FE7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11C2D5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7A8AF5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Unexplained infertility or recurrent miscarriages</w:t>
            </w:r>
          </w:p>
        </w:tc>
        <w:tc>
          <w:tcPr>
            <w:tcW w:w="291" w:type="pct"/>
            <w:shd w:val="clear" w:color="auto" w:fill="FFFFFF"/>
            <w:tcMar>
              <w:top w:w="0" w:type="dxa"/>
              <w:left w:w="0" w:type="dxa"/>
              <w:bottom w:w="0" w:type="dxa"/>
              <w:right w:w="0" w:type="dxa"/>
            </w:tcMar>
            <w:vAlign w:val="center"/>
          </w:tcPr>
          <w:p w14:paraId="3FF18D6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342</w:t>
            </w:r>
          </w:p>
        </w:tc>
        <w:tc>
          <w:tcPr>
            <w:tcW w:w="287" w:type="pct"/>
            <w:shd w:val="clear" w:color="auto" w:fill="FFFFFF"/>
            <w:tcMar>
              <w:top w:w="0" w:type="dxa"/>
              <w:left w:w="0" w:type="dxa"/>
              <w:bottom w:w="0" w:type="dxa"/>
              <w:right w:w="0" w:type="dxa"/>
            </w:tcMar>
            <w:vAlign w:val="center"/>
          </w:tcPr>
          <w:p w14:paraId="30CB4B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021154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6DEEEB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01CB96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7A619F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Mexico</w:t>
            </w:r>
          </w:p>
        </w:tc>
        <w:tc>
          <w:tcPr>
            <w:tcW w:w="369" w:type="pct"/>
            <w:shd w:val="clear" w:color="auto" w:fill="FFFFFF"/>
            <w:tcMar>
              <w:top w:w="0" w:type="dxa"/>
              <w:left w:w="0" w:type="dxa"/>
              <w:bottom w:w="0" w:type="dxa"/>
              <w:right w:w="0" w:type="dxa"/>
            </w:tcMar>
            <w:vAlign w:val="center"/>
          </w:tcPr>
          <w:p w14:paraId="0E294F5B" w14:textId="40C8052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ExcludeYear="1"&gt;&lt;Author&gt;Remes-Troche&lt;/Author&gt;&lt;Year&gt;2014&lt;/Year&gt;&lt;RecNum&gt;249&lt;/RecNum&gt;&lt;DisplayText&gt;&lt;style face="superscript"&gt;427&lt;/style&gt;&lt;/DisplayText&gt;&lt;record&gt;&lt;rec-number&gt;249&lt;/rec-number&gt;&lt;foreign-keys&gt;&lt;key app="EN" db-id="tdwrx9xd1z9eepeevr355w2k959rv0f5zaax" timestamp="1632756138"&gt;249&lt;/key&gt;&lt;/foreign-keys&gt;&lt;ref-type name="Journal Article"&gt;17&lt;/ref-type&gt;&lt;contributors&gt;&lt;authors&gt;&lt;author&gt;Remes-Troche, J. M.&lt;/author&gt;&lt;author&gt;Vargas, L. A. S.&lt;/author&gt;&lt;author&gt;Meixueiro, A.&lt;/author&gt;&lt;author&gt;Patino, E. D.&lt;/author&gt;&lt;author&gt;Gonzalez-Sicilia, E.&lt;/author&gt;&lt;author&gt;Abreu, J. A.&lt;/author&gt;&lt;author&gt;Medellin-Urquiaga, M.&lt;/author&gt;&lt;/authors&gt;&lt;/contributors&gt;&lt;titles&gt;&lt;title&gt;Celiac Disease Screening in Patients Previously Diagnosed With Infertility. A Prospective Study in Mexican Population&lt;/title&gt;&lt;secondary-title&gt;Gastroenterology&lt;/secondary-title&gt;&lt;/titles&gt;&lt;periodical&gt;&lt;full-title&gt;Gastroenterology&lt;/full-title&gt;&lt;/periodical&gt;&lt;pages&gt;S468-S468&lt;/pages&gt;&lt;volume&gt;146&lt;/volume&gt;&lt;number&gt;5&lt;/number&gt;&lt;dates&gt;&lt;year&gt;2014&lt;/year&gt;&lt;pub-dates&gt;&lt;date&gt;May&lt;/date&gt;&lt;/pub-dates&gt;&lt;/dates&gt;&lt;isbn&gt;0016-5085&lt;/isbn&gt;&lt;accession-num&gt;WOS:000371236402229&lt;/accession-num&gt;&lt;urls&gt;&lt;related-urls&gt;&lt;url&gt;&amp;lt;Go to ISI&amp;gt;://WOS:000371236402229&lt;/url&gt;&lt;/related-urls&gt;&lt;/urls&gt;&lt;remote-database-name&gt;Web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427</w:t>
            </w:r>
            <w:r w:rsidRPr="00734942">
              <w:rPr>
                <w:rFonts w:ascii="Arial" w:eastAsia="Arial" w:hAnsi="Arial" w:cs="Arial"/>
                <w:color w:val="111111"/>
                <w:sz w:val="18"/>
                <w:szCs w:val="18"/>
              </w:rPr>
              <w:fldChar w:fldCharType="end"/>
            </w:r>
          </w:p>
        </w:tc>
      </w:tr>
      <w:tr w:rsidR="007B756D" w:rsidRPr="00734942" w14:paraId="7F89A79D" w14:textId="77777777" w:rsidTr="006658D1">
        <w:trPr>
          <w:cantSplit/>
          <w:jc w:val="center"/>
        </w:trPr>
        <w:tc>
          <w:tcPr>
            <w:tcW w:w="997" w:type="pct"/>
            <w:shd w:val="clear" w:color="auto" w:fill="FFFFFF"/>
            <w:tcMar>
              <w:top w:w="0" w:type="dxa"/>
              <w:left w:w="0" w:type="dxa"/>
              <w:bottom w:w="0" w:type="dxa"/>
              <w:right w:w="0" w:type="dxa"/>
            </w:tcMar>
            <w:vAlign w:val="center"/>
          </w:tcPr>
          <w:p w14:paraId="693EB5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25BA61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7A424F9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miscarriages or implantation failure</w:t>
            </w:r>
          </w:p>
        </w:tc>
        <w:tc>
          <w:tcPr>
            <w:tcW w:w="291" w:type="pct"/>
            <w:shd w:val="clear" w:color="auto" w:fill="FFFFFF"/>
            <w:tcMar>
              <w:top w:w="0" w:type="dxa"/>
              <w:left w:w="0" w:type="dxa"/>
              <w:bottom w:w="0" w:type="dxa"/>
              <w:right w:w="0" w:type="dxa"/>
            </w:tcMar>
            <w:vAlign w:val="center"/>
          </w:tcPr>
          <w:p w14:paraId="5CF4259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279</w:t>
            </w:r>
          </w:p>
        </w:tc>
        <w:tc>
          <w:tcPr>
            <w:tcW w:w="287" w:type="pct"/>
            <w:shd w:val="clear" w:color="auto" w:fill="FFFFFF"/>
            <w:tcMar>
              <w:top w:w="0" w:type="dxa"/>
              <w:left w:w="0" w:type="dxa"/>
              <w:bottom w:w="0" w:type="dxa"/>
              <w:right w:w="0" w:type="dxa"/>
            </w:tcMar>
            <w:vAlign w:val="center"/>
          </w:tcPr>
          <w:p w14:paraId="1D53656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23650B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766FC4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38C1AF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797198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Spain</w:t>
            </w:r>
          </w:p>
        </w:tc>
        <w:tc>
          <w:tcPr>
            <w:tcW w:w="369" w:type="pct"/>
            <w:shd w:val="clear" w:color="auto" w:fill="FFFFFF"/>
            <w:tcMar>
              <w:top w:w="0" w:type="dxa"/>
              <w:left w:w="0" w:type="dxa"/>
              <w:bottom w:w="0" w:type="dxa"/>
              <w:right w:w="0" w:type="dxa"/>
            </w:tcMar>
            <w:vAlign w:val="center"/>
          </w:tcPr>
          <w:p w14:paraId="15EB50DB" w14:textId="328B98C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cnJhaXotTmljdWVzYTwvQXV0aG9yPjxZZWFyPjIwMTM8L1llYXI+PFJlY051bT4yNTA8L1JlY051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cnJhaXotTmljdWVzYTwvQXV0aG9yPjxZZWFyPjIwMTM8L1llYXI+PFJlY051bT4yNTA8L1JlY051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428</w:t>
            </w:r>
            <w:r w:rsidRPr="00734942">
              <w:rPr>
                <w:rFonts w:ascii="Arial" w:eastAsia="Arial" w:hAnsi="Arial" w:cs="Arial"/>
                <w:color w:val="111111"/>
                <w:sz w:val="18"/>
                <w:szCs w:val="18"/>
              </w:rPr>
              <w:fldChar w:fldCharType="end"/>
            </w:r>
          </w:p>
        </w:tc>
      </w:tr>
      <w:tr w:rsidR="007B756D" w:rsidRPr="00734942" w14:paraId="032D5096" w14:textId="77777777" w:rsidTr="006658D1">
        <w:trPr>
          <w:cantSplit/>
          <w:jc w:val="center"/>
        </w:trPr>
        <w:tc>
          <w:tcPr>
            <w:tcW w:w="997" w:type="pct"/>
            <w:shd w:val="clear" w:color="auto" w:fill="FFFFFF"/>
            <w:tcMar>
              <w:top w:w="0" w:type="dxa"/>
              <w:left w:w="0" w:type="dxa"/>
              <w:bottom w:w="0" w:type="dxa"/>
              <w:right w:w="0" w:type="dxa"/>
            </w:tcMar>
            <w:vAlign w:val="center"/>
          </w:tcPr>
          <w:p w14:paraId="5EF02B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3ECFCA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44AA9E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Unexplained infertility</w:t>
            </w:r>
          </w:p>
        </w:tc>
        <w:tc>
          <w:tcPr>
            <w:tcW w:w="291" w:type="pct"/>
            <w:shd w:val="clear" w:color="auto" w:fill="FFFFFF"/>
            <w:tcMar>
              <w:top w:w="0" w:type="dxa"/>
              <w:left w:w="0" w:type="dxa"/>
              <w:bottom w:w="0" w:type="dxa"/>
              <w:right w:w="0" w:type="dxa"/>
            </w:tcMar>
            <w:vAlign w:val="center"/>
          </w:tcPr>
          <w:p w14:paraId="609B115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535</w:t>
            </w:r>
          </w:p>
        </w:tc>
        <w:tc>
          <w:tcPr>
            <w:tcW w:w="287" w:type="pct"/>
            <w:shd w:val="clear" w:color="auto" w:fill="FFFFFF"/>
            <w:tcMar>
              <w:top w:w="0" w:type="dxa"/>
              <w:left w:w="0" w:type="dxa"/>
              <w:bottom w:w="0" w:type="dxa"/>
              <w:right w:w="0" w:type="dxa"/>
            </w:tcMar>
            <w:vAlign w:val="center"/>
          </w:tcPr>
          <w:p w14:paraId="37F4FB8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4C62BB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02B338E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309A354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26F9E1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5B5912A6" w14:textId="1B74CE7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bWFyPC9BdXRob3I+PFllYXI+MjAxMTwvWWVhcj48UmVjTnVtPjEwNjwvUmVjTnVtPjxEaXNwbGF5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bWFyPC9BdXRob3I+PFllYXI+MjAxMTwvWWVhcj48UmVjTnVtPjEwNjwvUmVjTnVtPjxEaXNwbGF5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429</w:t>
            </w:r>
            <w:r w:rsidRPr="00734942">
              <w:rPr>
                <w:rFonts w:ascii="Arial" w:eastAsia="Arial" w:hAnsi="Arial" w:cs="Arial"/>
                <w:color w:val="111111"/>
                <w:sz w:val="18"/>
                <w:szCs w:val="18"/>
              </w:rPr>
              <w:fldChar w:fldCharType="end"/>
            </w:r>
          </w:p>
        </w:tc>
      </w:tr>
      <w:tr w:rsidR="007B756D" w:rsidRPr="00734942" w14:paraId="18E1990A" w14:textId="77777777" w:rsidTr="006658D1">
        <w:trPr>
          <w:cantSplit/>
          <w:jc w:val="center"/>
        </w:trPr>
        <w:tc>
          <w:tcPr>
            <w:tcW w:w="997" w:type="pct"/>
            <w:shd w:val="clear" w:color="auto" w:fill="FFFFFF"/>
            <w:tcMar>
              <w:top w:w="0" w:type="dxa"/>
              <w:left w:w="0" w:type="dxa"/>
              <w:bottom w:w="0" w:type="dxa"/>
              <w:right w:w="0" w:type="dxa"/>
            </w:tcMar>
            <w:vAlign w:val="center"/>
          </w:tcPr>
          <w:p w14:paraId="7C793B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51F208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4D4790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pregnancy loss</w:t>
            </w:r>
          </w:p>
        </w:tc>
        <w:tc>
          <w:tcPr>
            <w:tcW w:w="291" w:type="pct"/>
            <w:shd w:val="clear" w:color="auto" w:fill="FFFFFF"/>
            <w:tcMar>
              <w:top w:w="0" w:type="dxa"/>
              <w:left w:w="0" w:type="dxa"/>
              <w:bottom w:w="0" w:type="dxa"/>
              <w:right w:w="0" w:type="dxa"/>
            </w:tcMar>
            <w:vAlign w:val="center"/>
          </w:tcPr>
          <w:p w14:paraId="4D91F37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808</w:t>
            </w:r>
          </w:p>
        </w:tc>
        <w:tc>
          <w:tcPr>
            <w:tcW w:w="287" w:type="pct"/>
            <w:shd w:val="clear" w:color="auto" w:fill="FFFFFF"/>
            <w:tcMar>
              <w:top w:w="0" w:type="dxa"/>
              <w:left w:w="0" w:type="dxa"/>
              <w:bottom w:w="0" w:type="dxa"/>
              <w:right w:w="0" w:type="dxa"/>
            </w:tcMar>
            <w:vAlign w:val="center"/>
          </w:tcPr>
          <w:p w14:paraId="7335962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69CE87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333A971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69C3D6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18FB6C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008C13D6" w14:textId="7F960EC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dHRlaDwvQXV0aG9yPjxZZWFyPjIwMTk8L1llYXI+PFJlY051bT4yNTE8L1JlY051bT48RGlzcGxh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dHRlaDwvQXV0aG9yPjxZZWFyPjIwMTk8L1llYXI+PFJlY051bT4yNTE8L1JlY051bT48RGlzcGxh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430</w:t>
            </w:r>
            <w:r w:rsidRPr="00734942">
              <w:rPr>
                <w:rFonts w:ascii="Arial" w:eastAsia="Arial" w:hAnsi="Arial" w:cs="Arial"/>
                <w:color w:val="111111"/>
                <w:sz w:val="18"/>
                <w:szCs w:val="18"/>
              </w:rPr>
              <w:fldChar w:fldCharType="end"/>
            </w:r>
          </w:p>
        </w:tc>
      </w:tr>
      <w:tr w:rsidR="007B756D" w:rsidRPr="00734942" w14:paraId="493F52BD" w14:textId="77777777" w:rsidTr="006658D1">
        <w:trPr>
          <w:cantSplit/>
          <w:jc w:val="center"/>
        </w:trPr>
        <w:tc>
          <w:tcPr>
            <w:tcW w:w="997" w:type="pct"/>
            <w:shd w:val="clear" w:color="auto" w:fill="FFFFFF"/>
            <w:tcMar>
              <w:top w:w="0" w:type="dxa"/>
              <w:left w:w="0" w:type="dxa"/>
              <w:bottom w:w="0" w:type="dxa"/>
              <w:right w:w="0" w:type="dxa"/>
            </w:tcMar>
            <w:vAlign w:val="center"/>
          </w:tcPr>
          <w:p w14:paraId="21B8D3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4A88445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68B260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pregnancy loss</w:t>
            </w:r>
          </w:p>
        </w:tc>
        <w:tc>
          <w:tcPr>
            <w:tcW w:w="291" w:type="pct"/>
            <w:shd w:val="clear" w:color="auto" w:fill="FFFFFF"/>
            <w:tcMar>
              <w:top w:w="0" w:type="dxa"/>
              <w:left w:w="0" w:type="dxa"/>
              <w:bottom w:w="0" w:type="dxa"/>
              <w:right w:w="0" w:type="dxa"/>
            </w:tcMar>
            <w:vAlign w:val="center"/>
          </w:tcPr>
          <w:p w14:paraId="1E3D902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409</w:t>
            </w:r>
          </w:p>
        </w:tc>
        <w:tc>
          <w:tcPr>
            <w:tcW w:w="287" w:type="pct"/>
            <w:shd w:val="clear" w:color="auto" w:fill="FFFFFF"/>
            <w:tcMar>
              <w:top w:w="0" w:type="dxa"/>
              <w:left w:w="0" w:type="dxa"/>
              <w:bottom w:w="0" w:type="dxa"/>
              <w:right w:w="0" w:type="dxa"/>
            </w:tcMar>
            <w:vAlign w:val="center"/>
          </w:tcPr>
          <w:p w14:paraId="3ACF43F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3C7020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34969F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117A53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1CDF40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3BBC7E20" w14:textId="4CBC88B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bWFyPC9BdXRob3I+PFllYXI+MjAxMTwvWWVhcj48UmVjTnVtPjEwNjwvUmVjTnVtPjxEaXNwbGF5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bWFyPC9BdXRob3I+PFllYXI+MjAxMTwvWWVhcj48UmVjTnVtPjEwNjwvUmVjTnVtPjxEaXNwbGF5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429</w:t>
            </w:r>
            <w:r w:rsidRPr="00734942">
              <w:rPr>
                <w:rFonts w:ascii="Arial" w:eastAsia="Arial" w:hAnsi="Arial" w:cs="Arial"/>
                <w:color w:val="111111"/>
                <w:sz w:val="18"/>
                <w:szCs w:val="18"/>
              </w:rPr>
              <w:fldChar w:fldCharType="end"/>
            </w:r>
          </w:p>
        </w:tc>
      </w:tr>
      <w:tr w:rsidR="007B756D" w:rsidRPr="00734942" w14:paraId="2F4ED7BE" w14:textId="77777777" w:rsidTr="006658D1">
        <w:trPr>
          <w:cantSplit/>
          <w:jc w:val="center"/>
        </w:trPr>
        <w:tc>
          <w:tcPr>
            <w:tcW w:w="997" w:type="pct"/>
            <w:shd w:val="clear" w:color="auto" w:fill="FFFFFF"/>
            <w:tcMar>
              <w:top w:w="0" w:type="dxa"/>
              <w:left w:w="0" w:type="dxa"/>
              <w:bottom w:w="0" w:type="dxa"/>
              <w:right w:w="0" w:type="dxa"/>
            </w:tcMar>
            <w:vAlign w:val="center"/>
          </w:tcPr>
          <w:p w14:paraId="1D55F09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04FB48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3714EA0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pregnancy loss</w:t>
            </w:r>
          </w:p>
        </w:tc>
        <w:tc>
          <w:tcPr>
            <w:tcW w:w="291" w:type="pct"/>
            <w:shd w:val="clear" w:color="auto" w:fill="FFFFFF"/>
            <w:tcMar>
              <w:top w:w="0" w:type="dxa"/>
              <w:left w:w="0" w:type="dxa"/>
              <w:bottom w:w="0" w:type="dxa"/>
              <w:right w:w="0" w:type="dxa"/>
            </w:tcMar>
            <w:vAlign w:val="center"/>
          </w:tcPr>
          <w:p w14:paraId="38624C1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86</w:t>
            </w:r>
          </w:p>
        </w:tc>
        <w:tc>
          <w:tcPr>
            <w:tcW w:w="287" w:type="pct"/>
            <w:shd w:val="clear" w:color="auto" w:fill="FFFFFF"/>
            <w:tcMar>
              <w:top w:w="0" w:type="dxa"/>
              <w:left w:w="0" w:type="dxa"/>
              <w:bottom w:w="0" w:type="dxa"/>
              <w:right w:w="0" w:type="dxa"/>
            </w:tcMar>
            <w:vAlign w:val="center"/>
          </w:tcPr>
          <w:p w14:paraId="2E0D970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5A6883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7698CE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5F3888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16EBE0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7222777C" w14:textId="2FB8752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cmlrYXlhPC9BdXRob3I+PFllYXI+MjAxNzwvWWVhcj48UmVjTnVtPjI1MjwvUmVjTnVtPjxEaXNw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cmlrYXlhPC9BdXRob3I+PFllYXI+MjAxNzwvWWVhcj48UmVjTnVtPjI1MjwvUmVjTnVtPjxEaXNw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431</w:t>
            </w:r>
            <w:r w:rsidRPr="00734942">
              <w:rPr>
                <w:rFonts w:ascii="Arial" w:eastAsia="Arial" w:hAnsi="Arial" w:cs="Arial"/>
                <w:color w:val="111111"/>
                <w:sz w:val="18"/>
                <w:szCs w:val="18"/>
              </w:rPr>
              <w:fldChar w:fldCharType="end"/>
            </w:r>
          </w:p>
        </w:tc>
      </w:tr>
      <w:tr w:rsidR="007B756D" w:rsidRPr="00734942" w14:paraId="25E583F4" w14:textId="77777777" w:rsidTr="006658D1">
        <w:trPr>
          <w:cantSplit/>
          <w:jc w:val="center"/>
        </w:trPr>
        <w:tc>
          <w:tcPr>
            <w:tcW w:w="997" w:type="pct"/>
            <w:shd w:val="clear" w:color="auto" w:fill="FFFFFF"/>
            <w:tcMar>
              <w:top w:w="0" w:type="dxa"/>
              <w:left w:w="0" w:type="dxa"/>
              <w:bottom w:w="0" w:type="dxa"/>
              <w:right w:w="0" w:type="dxa"/>
            </w:tcMar>
            <w:vAlign w:val="center"/>
          </w:tcPr>
          <w:p w14:paraId="7EB76C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5DB98C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323F0B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Unexplained infertility</w:t>
            </w:r>
          </w:p>
        </w:tc>
        <w:tc>
          <w:tcPr>
            <w:tcW w:w="291" w:type="pct"/>
            <w:shd w:val="clear" w:color="auto" w:fill="FFFFFF"/>
            <w:tcMar>
              <w:top w:w="0" w:type="dxa"/>
              <w:left w:w="0" w:type="dxa"/>
              <w:bottom w:w="0" w:type="dxa"/>
              <w:right w:w="0" w:type="dxa"/>
            </w:tcMar>
            <w:vAlign w:val="center"/>
          </w:tcPr>
          <w:p w14:paraId="379C43C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402</w:t>
            </w:r>
          </w:p>
        </w:tc>
        <w:tc>
          <w:tcPr>
            <w:tcW w:w="287" w:type="pct"/>
            <w:shd w:val="clear" w:color="auto" w:fill="FFFFFF"/>
            <w:tcMar>
              <w:top w:w="0" w:type="dxa"/>
              <w:left w:w="0" w:type="dxa"/>
              <w:bottom w:w="0" w:type="dxa"/>
              <w:right w:w="0" w:type="dxa"/>
            </w:tcMar>
            <w:vAlign w:val="center"/>
          </w:tcPr>
          <w:p w14:paraId="00E18E0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6813514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4820FD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34B7BE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081A15C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Israel</w:t>
            </w:r>
          </w:p>
        </w:tc>
        <w:tc>
          <w:tcPr>
            <w:tcW w:w="369" w:type="pct"/>
            <w:shd w:val="clear" w:color="auto" w:fill="FFFFFF"/>
            <w:tcMar>
              <w:top w:w="0" w:type="dxa"/>
              <w:left w:w="0" w:type="dxa"/>
              <w:bottom w:w="0" w:type="dxa"/>
              <w:right w:w="0" w:type="dxa"/>
            </w:tcMar>
            <w:vAlign w:val="center"/>
          </w:tcPr>
          <w:p w14:paraId="6BC2A94B" w14:textId="36B2965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YW1hbHk8L0F1dGhvcj48WWVhcj4yMDA0PC9ZZWFyPjxSZWNOdW0+MjUzPC9SZWNOdW0+PERpc3Bs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YW1hbHk8L0F1dGhvcj48WWVhcj4yMDA0PC9ZZWFyPjxSZWNOdW0+MjUzPC9SZWNOdW0+PERpc3Bs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432</w:t>
            </w:r>
            <w:r w:rsidRPr="00734942">
              <w:rPr>
                <w:rFonts w:ascii="Arial" w:eastAsia="Arial" w:hAnsi="Arial" w:cs="Arial"/>
                <w:color w:val="111111"/>
                <w:sz w:val="18"/>
                <w:szCs w:val="18"/>
              </w:rPr>
              <w:fldChar w:fldCharType="end"/>
            </w:r>
          </w:p>
        </w:tc>
      </w:tr>
      <w:tr w:rsidR="007B756D" w:rsidRPr="00734942" w14:paraId="7D006A70" w14:textId="77777777" w:rsidTr="006658D1">
        <w:trPr>
          <w:cantSplit/>
          <w:jc w:val="center"/>
        </w:trPr>
        <w:tc>
          <w:tcPr>
            <w:tcW w:w="997" w:type="pct"/>
            <w:shd w:val="clear" w:color="auto" w:fill="FFFFFF"/>
            <w:tcMar>
              <w:top w:w="0" w:type="dxa"/>
              <w:left w:w="0" w:type="dxa"/>
              <w:bottom w:w="0" w:type="dxa"/>
              <w:right w:w="0" w:type="dxa"/>
            </w:tcMar>
            <w:vAlign w:val="center"/>
          </w:tcPr>
          <w:p w14:paraId="7103FC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40EAA6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0508BD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Recurrent pregnancy loss</w:t>
            </w:r>
          </w:p>
        </w:tc>
        <w:tc>
          <w:tcPr>
            <w:tcW w:w="291" w:type="pct"/>
            <w:shd w:val="clear" w:color="auto" w:fill="FFFFFF"/>
            <w:tcMar>
              <w:top w:w="0" w:type="dxa"/>
              <w:left w:w="0" w:type="dxa"/>
              <w:bottom w:w="0" w:type="dxa"/>
              <w:right w:w="0" w:type="dxa"/>
            </w:tcMar>
            <w:vAlign w:val="center"/>
          </w:tcPr>
          <w:p w14:paraId="3B598C2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232</w:t>
            </w:r>
          </w:p>
        </w:tc>
        <w:tc>
          <w:tcPr>
            <w:tcW w:w="287" w:type="pct"/>
            <w:shd w:val="clear" w:color="auto" w:fill="FFFFFF"/>
            <w:tcMar>
              <w:top w:w="0" w:type="dxa"/>
              <w:left w:w="0" w:type="dxa"/>
              <w:bottom w:w="0" w:type="dxa"/>
              <w:right w:w="0" w:type="dxa"/>
            </w:tcMar>
            <w:vAlign w:val="center"/>
          </w:tcPr>
          <w:p w14:paraId="7562425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559777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2EBDC0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409D24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679B59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4DCAED5A" w14:textId="24E971A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YXJzaGluZXI8L0F1dGhvcj48WWVhcj4yMDEzPC9ZZWFyPjxSZWNOdW0+MjU0PC9SZWNOdW0+PERp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YXJzaGluZXI8L0F1dGhvcj48WWVhcj4yMDEzPC9ZZWFyPjxSZWNOdW0+MjU0PC9SZWNOdW0+PERp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433</w:t>
            </w:r>
            <w:r w:rsidRPr="00734942">
              <w:rPr>
                <w:rFonts w:ascii="Arial" w:eastAsia="Arial" w:hAnsi="Arial" w:cs="Arial"/>
                <w:color w:val="111111"/>
                <w:sz w:val="18"/>
                <w:szCs w:val="18"/>
              </w:rPr>
              <w:fldChar w:fldCharType="end"/>
            </w:r>
          </w:p>
        </w:tc>
      </w:tr>
      <w:tr w:rsidR="007B756D" w:rsidRPr="00734942" w14:paraId="44DAD2CF" w14:textId="77777777" w:rsidTr="006658D1">
        <w:trPr>
          <w:cantSplit/>
          <w:jc w:val="center"/>
        </w:trPr>
        <w:tc>
          <w:tcPr>
            <w:tcW w:w="997" w:type="pct"/>
            <w:shd w:val="clear" w:color="auto" w:fill="FFFFFF"/>
            <w:tcMar>
              <w:top w:w="0" w:type="dxa"/>
              <w:left w:w="0" w:type="dxa"/>
              <w:bottom w:w="0" w:type="dxa"/>
              <w:right w:w="0" w:type="dxa"/>
            </w:tcMar>
            <w:vAlign w:val="center"/>
          </w:tcPr>
          <w:p w14:paraId="140035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6707240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17FDE3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Infertility</w:t>
            </w:r>
          </w:p>
        </w:tc>
        <w:tc>
          <w:tcPr>
            <w:tcW w:w="291" w:type="pct"/>
            <w:shd w:val="clear" w:color="auto" w:fill="FFFFFF"/>
            <w:tcMar>
              <w:top w:w="0" w:type="dxa"/>
              <w:left w:w="0" w:type="dxa"/>
              <w:bottom w:w="0" w:type="dxa"/>
              <w:right w:w="0" w:type="dxa"/>
            </w:tcMar>
            <w:vAlign w:val="center"/>
          </w:tcPr>
          <w:p w14:paraId="02031B3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400</w:t>
            </w:r>
          </w:p>
        </w:tc>
        <w:tc>
          <w:tcPr>
            <w:tcW w:w="287" w:type="pct"/>
            <w:shd w:val="clear" w:color="auto" w:fill="FFFFFF"/>
            <w:tcMar>
              <w:top w:w="0" w:type="dxa"/>
              <w:left w:w="0" w:type="dxa"/>
              <w:bottom w:w="0" w:type="dxa"/>
              <w:right w:w="0" w:type="dxa"/>
            </w:tcMar>
            <w:vAlign w:val="center"/>
          </w:tcPr>
          <w:p w14:paraId="4C38AD9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3568E0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138748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47FC6F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3A5F28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6FA26A74" w14:textId="5A1C0A4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PEVuZE5vdGU+PENpdGUgRXhjbHVkZUF1dGg9IjEiIEV4Y2x1ZGVZZWFyPSIxIj48QXV0aG9yPlRp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PEVuZE5vdGU+PENpdGUgRXhjbHVkZUF1dGg9IjEiIEV4Y2x1ZGVZZWFyPSIxIj48QXV0aG9yPlRp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434</w:t>
            </w:r>
            <w:r w:rsidRPr="00734942">
              <w:rPr>
                <w:rFonts w:ascii="Arial" w:eastAsia="Arial" w:hAnsi="Arial" w:cs="Arial"/>
                <w:color w:val="111111"/>
                <w:sz w:val="18"/>
                <w:szCs w:val="18"/>
              </w:rPr>
              <w:fldChar w:fldCharType="end"/>
            </w:r>
          </w:p>
        </w:tc>
      </w:tr>
      <w:tr w:rsidR="007B756D" w:rsidRPr="00734942" w14:paraId="13D0E126" w14:textId="77777777" w:rsidTr="006658D1">
        <w:trPr>
          <w:cantSplit/>
          <w:jc w:val="center"/>
        </w:trPr>
        <w:tc>
          <w:tcPr>
            <w:tcW w:w="997" w:type="pct"/>
            <w:shd w:val="clear" w:color="auto" w:fill="FFFFFF"/>
            <w:tcMar>
              <w:top w:w="0" w:type="dxa"/>
              <w:left w:w="0" w:type="dxa"/>
              <w:bottom w:w="0" w:type="dxa"/>
              <w:right w:w="0" w:type="dxa"/>
            </w:tcMar>
            <w:vAlign w:val="center"/>
          </w:tcPr>
          <w:p w14:paraId="19D633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Adults</w:t>
            </w:r>
          </w:p>
        </w:tc>
        <w:tc>
          <w:tcPr>
            <w:tcW w:w="424" w:type="pct"/>
            <w:shd w:val="clear" w:color="auto" w:fill="FFFFFF"/>
            <w:tcMar>
              <w:top w:w="0" w:type="dxa"/>
              <w:left w:w="0" w:type="dxa"/>
              <w:bottom w:w="0" w:type="dxa"/>
              <w:right w:w="0" w:type="dxa"/>
            </w:tcMar>
            <w:vAlign w:val="center"/>
          </w:tcPr>
          <w:p w14:paraId="4994E3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6FE58BC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Infertility</w:t>
            </w:r>
          </w:p>
        </w:tc>
        <w:tc>
          <w:tcPr>
            <w:tcW w:w="291" w:type="pct"/>
            <w:shd w:val="clear" w:color="auto" w:fill="FFFFFF"/>
            <w:tcMar>
              <w:top w:w="0" w:type="dxa"/>
              <w:left w:w="0" w:type="dxa"/>
              <w:bottom w:w="0" w:type="dxa"/>
              <w:right w:w="0" w:type="dxa"/>
            </w:tcMar>
            <w:vAlign w:val="center"/>
          </w:tcPr>
          <w:p w14:paraId="542F966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297</w:t>
            </w:r>
          </w:p>
        </w:tc>
        <w:tc>
          <w:tcPr>
            <w:tcW w:w="287" w:type="pct"/>
            <w:shd w:val="clear" w:color="auto" w:fill="FFFFFF"/>
            <w:tcMar>
              <w:top w:w="0" w:type="dxa"/>
              <w:left w:w="0" w:type="dxa"/>
              <w:bottom w:w="0" w:type="dxa"/>
              <w:right w:w="0" w:type="dxa"/>
            </w:tcMar>
            <w:vAlign w:val="center"/>
          </w:tcPr>
          <w:p w14:paraId="40A9A9E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47E733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0BA994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03B4E06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23" w:type="pct"/>
            <w:shd w:val="clear" w:color="auto" w:fill="FFFFFF"/>
            <w:tcMar>
              <w:top w:w="0" w:type="dxa"/>
              <w:left w:w="0" w:type="dxa"/>
              <w:bottom w:w="0" w:type="dxa"/>
              <w:right w:w="0" w:type="dxa"/>
            </w:tcMar>
            <w:vAlign w:val="center"/>
          </w:tcPr>
          <w:p w14:paraId="4D11C0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3D2371C8" w14:textId="243321A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PEVuZE5vdGU+PENpdGUgRXhjbHVkZUF1dGg9IjEiIEV4Y2x1ZGVZZWFyPSIxIj48QXV0aG9yPlph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PEVuZE5vdGU+PENpdGUgRXhjbHVkZUF1dGg9IjEiIEV4Y2x1ZGVZZWFyPSIxIj48QXV0aG9yPlph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435</w:t>
            </w:r>
            <w:r w:rsidRPr="00734942">
              <w:rPr>
                <w:rFonts w:ascii="Arial" w:eastAsia="Arial" w:hAnsi="Arial" w:cs="Arial"/>
                <w:color w:val="111111"/>
                <w:sz w:val="18"/>
                <w:szCs w:val="18"/>
              </w:rPr>
              <w:fldChar w:fldCharType="end"/>
            </w:r>
          </w:p>
        </w:tc>
      </w:tr>
      <w:tr w:rsidR="007B756D" w:rsidRPr="00734942" w14:paraId="4E0480E1" w14:textId="77777777" w:rsidTr="006658D1">
        <w:trPr>
          <w:cantSplit/>
          <w:jc w:val="center"/>
        </w:trPr>
        <w:tc>
          <w:tcPr>
            <w:tcW w:w="997" w:type="pct"/>
            <w:shd w:val="clear" w:color="auto" w:fill="FFFFFF"/>
            <w:tcMar>
              <w:top w:w="0" w:type="dxa"/>
              <w:left w:w="0" w:type="dxa"/>
              <w:bottom w:w="0" w:type="dxa"/>
              <w:right w:w="0" w:type="dxa"/>
            </w:tcMar>
            <w:vAlign w:val="center"/>
          </w:tcPr>
          <w:p w14:paraId="4F5A19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4EA2E4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746" w:type="pct"/>
            <w:shd w:val="clear" w:color="auto" w:fill="FFFFFF"/>
            <w:tcMar>
              <w:top w:w="0" w:type="dxa"/>
              <w:left w:w="0" w:type="dxa"/>
              <w:bottom w:w="0" w:type="dxa"/>
              <w:right w:w="0" w:type="dxa"/>
            </w:tcMar>
            <w:vAlign w:val="center"/>
          </w:tcPr>
          <w:p w14:paraId="5A18B58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Infertility</w:t>
            </w:r>
          </w:p>
        </w:tc>
        <w:tc>
          <w:tcPr>
            <w:tcW w:w="291" w:type="pct"/>
            <w:shd w:val="clear" w:color="auto" w:fill="FFFFFF"/>
            <w:tcMar>
              <w:top w:w="0" w:type="dxa"/>
              <w:left w:w="0" w:type="dxa"/>
              <w:bottom w:w="0" w:type="dxa"/>
              <w:right w:w="0" w:type="dxa"/>
            </w:tcMar>
            <w:vAlign w:val="center"/>
          </w:tcPr>
          <w:p w14:paraId="00F9608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1675</w:t>
            </w:r>
          </w:p>
        </w:tc>
        <w:tc>
          <w:tcPr>
            <w:tcW w:w="287" w:type="pct"/>
            <w:shd w:val="clear" w:color="auto" w:fill="FFFFFF"/>
            <w:tcMar>
              <w:top w:w="0" w:type="dxa"/>
              <w:left w:w="0" w:type="dxa"/>
              <w:bottom w:w="0" w:type="dxa"/>
              <w:right w:w="0" w:type="dxa"/>
            </w:tcMar>
            <w:vAlign w:val="center"/>
          </w:tcPr>
          <w:p w14:paraId="79F7E18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99" w:type="pct"/>
            <w:shd w:val="clear" w:color="auto" w:fill="FFFFFF"/>
            <w:tcMar>
              <w:top w:w="0" w:type="dxa"/>
              <w:left w:w="0" w:type="dxa"/>
              <w:bottom w:w="0" w:type="dxa"/>
              <w:right w:w="0" w:type="dxa"/>
            </w:tcMar>
            <w:vAlign w:val="center"/>
          </w:tcPr>
          <w:p w14:paraId="35938F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shd w:val="clear" w:color="auto" w:fill="FFFFFF"/>
            <w:tcMar>
              <w:top w:w="0" w:type="dxa"/>
              <w:left w:w="0" w:type="dxa"/>
              <w:bottom w:w="0" w:type="dxa"/>
              <w:right w:w="0" w:type="dxa"/>
            </w:tcMar>
            <w:vAlign w:val="center"/>
          </w:tcPr>
          <w:p w14:paraId="78E39B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4EDAC6C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3A098D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Czech Republic</w:t>
            </w:r>
          </w:p>
        </w:tc>
        <w:tc>
          <w:tcPr>
            <w:tcW w:w="369" w:type="pct"/>
            <w:shd w:val="clear" w:color="auto" w:fill="FFFFFF"/>
            <w:tcMar>
              <w:top w:w="0" w:type="dxa"/>
              <w:left w:w="0" w:type="dxa"/>
              <w:bottom w:w="0" w:type="dxa"/>
              <w:right w:w="0" w:type="dxa"/>
            </w:tcMar>
            <w:vAlign w:val="center"/>
          </w:tcPr>
          <w:p w14:paraId="1B7AB87E" w14:textId="17C4CF1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PEVuZE5vdGU+PENpdGUgRXhjbHVkZUF1dGg9IjEiIEV4Y2x1ZGVZZWFyPSIxIj48QXV0aG9yPlZh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PEVuZE5vdGU+PENpdGUgRXhjbHVkZUF1dGg9IjEiIEV4Y2x1ZGVZZWFyPSIxIj48QXV0aG9yPlZh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415</w:t>
            </w:r>
            <w:r w:rsidRPr="00734942">
              <w:rPr>
                <w:rFonts w:ascii="Arial" w:eastAsia="Arial" w:hAnsi="Arial" w:cs="Arial"/>
                <w:color w:val="111111"/>
                <w:sz w:val="18"/>
                <w:szCs w:val="18"/>
              </w:rPr>
              <w:fldChar w:fldCharType="end"/>
            </w:r>
          </w:p>
        </w:tc>
      </w:tr>
      <w:tr w:rsidR="007B756D" w:rsidRPr="00734942" w14:paraId="74B59837" w14:textId="77777777" w:rsidTr="006658D1">
        <w:trPr>
          <w:cantSplit/>
          <w:jc w:val="center"/>
        </w:trPr>
        <w:tc>
          <w:tcPr>
            <w:tcW w:w="997" w:type="pct"/>
            <w:shd w:val="clear" w:color="auto" w:fill="FFFFFF"/>
            <w:tcMar>
              <w:top w:w="0" w:type="dxa"/>
              <w:left w:w="0" w:type="dxa"/>
              <w:bottom w:w="0" w:type="dxa"/>
              <w:right w:w="0" w:type="dxa"/>
            </w:tcMar>
            <w:vAlign w:val="center"/>
          </w:tcPr>
          <w:p w14:paraId="1DD120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7AC6F37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746" w:type="pct"/>
            <w:shd w:val="clear" w:color="auto" w:fill="FFFFFF"/>
            <w:tcMar>
              <w:top w:w="0" w:type="dxa"/>
              <w:left w:w="0" w:type="dxa"/>
              <w:bottom w:w="0" w:type="dxa"/>
              <w:right w:w="0" w:type="dxa"/>
            </w:tcMar>
            <w:vAlign w:val="center"/>
          </w:tcPr>
          <w:p w14:paraId="3D7772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Spontaneous abortion</w:t>
            </w:r>
          </w:p>
        </w:tc>
        <w:tc>
          <w:tcPr>
            <w:tcW w:w="291" w:type="pct"/>
            <w:shd w:val="clear" w:color="auto" w:fill="FFFFFF"/>
            <w:tcMar>
              <w:top w:w="0" w:type="dxa"/>
              <w:left w:w="0" w:type="dxa"/>
              <w:bottom w:w="0" w:type="dxa"/>
              <w:right w:w="0" w:type="dxa"/>
            </w:tcMar>
            <w:vAlign w:val="center"/>
          </w:tcPr>
          <w:p w14:paraId="2A82AAC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5060</w:t>
            </w:r>
          </w:p>
        </w:tc>
        <w:tc>
          <w:tcPr>
            <w:tcW w:w="287" w:type="pct"/>
            <w:shd w:val="clear" w:color="auto" w:fill="FFFFFF"/>
            <w:tcMar>
              <w:top w:w="0" w:type="dxa"/>
              <w:left w:w="0" w:type="dxa"/>
              <w:bottom w:w="0" w:type="dxa"/>
              <w:right w:w="0" w:type="dxa"/>
            </w:tcMar>
            <w:vAlign w:val="center"/>
          </w:tcPr>
          <w:p w14:paraId="71DE527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790F2FB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Women without spontaneous abortion</w:t>
            </w:r>
          </w:p>
        </w:tc>
        <w:tc>
          <w:tcPr>
            <w:tcW w:w="567" w:type="pct"/>
            <w:shd w:val="clear" w:color="auto" w:fill="FFFFFF"/>
            <w:tcMar>
              <w:top w:w="0" w:type="dxa"/>
              <w:left w:w="0" w:type="dxa"/>
              <w:bottom w:w="0" w:type="dxa"/>
              <w:right w:w="0" w:type="dxa"/>
            </w:tcMar>
            <w:vAlign w:val="center"/>
          </w:tcPr>
          <w:p w14:paraId="56A77D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7299376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shd w:val="clear" w:color="auto" w:fill="FFFFFF"/>
            <w:tcMar>
              <w:top w:w="0" w:type="dxa"/>
              <w:left w:w="0" w:type="dxa"/>
              <w:bottom w:w="0" w:type="dxa"/>
              <w:right w:w="0" w:type="dxa"/>
            </w:tcMar>
            <w:vAlign w:val="center"/>
          </w:tcPr>
          <w:p w14:paraId="7AEEC1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34712C19" w14:textId="039B60F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PEVuZE5vdGU+PENpdGUgRXhjbHVkZUF1dGg9IjEiIEV4Y2x1ZGVZZWFyPSIxIj48QXV0aG9yPkdy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=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PEVuZE5vdGU+PENpdGUgRXhjbHVkZUF1dGg9IjEiIEV4Y2x1ZGVZZWFyPSIxIj48QXV0aG9yPkdy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=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322</w:t>
            </w:r>
            <w:r w:rsidRPr="00734942">
              <w:rPr>
                <w:rFonts w:ascii="Arial" w:eastAsia="Arial" w:hAnsi="Arial" w:cs="Arial"/>
                <w:color w:val="111111"/>
                <w:sz w:val="18"/>
                <w:szCs w:val="18"/>
              </w:rPr>
              <w:fldChar w:fldCharType="end"/>
            </w:r>
          </w:p>
        </w:tc>
      </w:tr>
      <w:tr w:rsidR="007B756D" w:rsidRPr="00734942" w14:paraId="68B9962B" w14:textId="77777777" w:rsidTr="006658D1">
        <w:trPr>
          <w:cantSplit/>
          <w:jc w:val="center"/>
        </w:trPr>
        <w:tc>
          <w:tcPr>
            <w:tcW w:w="997" w:type="pct"/>
            <w:shd w:val="clear" w:color="auto" w:fill="FFFFFF"/>
            <w:tcMar>
              <w:top w:w="0" w:type="dxa"/>
              <w:left w:w="0" w:type="dxa"/>
              <w:bottom w:w="0" w:type="dxa"/>
              <w:right w:w="0" w:type="dxa"/>
            </w:tcMar>
            <w:vAlign w:val="center"/>
          </w:tcPr>
          <w:p w14:paraId="759D6DB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3386E98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746" w:type="pct"/>
            <w:shd w:val="clear" w:color="auto" w:fill="FFFFFF"/>
            <w:tcMar>
              <w:top w:w="0" w:type="dxa"/>
              <w:left w:w="0" w:type="dxa"/>
              <w:bottom w:w="0" w:type="dxa"/>
              <w:right w:w="0" w:type="dxa"/>
            </w:tcMar>
            <w:vAlign w:val="center"/>
          </w:tcPr>
          <w:p w14:paraId="59B90C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Infertility</w:t>
            </w:r>
          </w:p>
        </w:tc>
        <w:tc>
          <w:tcPr>
            <w:tcW w:w="291" w:type="pct"/>
            <w:shd w:val="clear" w:color="auto" w:fill="FFFFFF"/>
            <w:tcMar>
              <w:top w:w="0" w:type="dxa"/>
              <w:left w:w="0" w:type="dxa"/>
              <w:bottom w:w="0" w:type="dxa"/>
              <w:right w:w="0" w:type="dxa"/>
            </w:tcMar>
            <w:vAlign w:val="center"/>
          </w:tcPr>
          <w:p w14:paraId="2B328F4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87" w:type="pct"/>
            <w:shd w:val="clear" w:color="auto" w:fill="FFFFFF"/>
            <w:tcMar>
              <w:top w:w="0" w:type="dxa"/>
              <w:left w:w="0" w:type="dxa"/>
              <w:bottom w:w="0" w:type="dxa"/>
              <w:right w:w="0" w:type="dxa"/>
            </w:tcMar>
            <w:vAlign w:val="center"/>
          </w:tcPr>
          <w:p w14:paraId="4DAEADA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99" w:type="pct"/>
            <w:shd w:val="clear" w:color="auto" w:fill="FFFFFF"/>
            <w:tcMar>
              <w:top w:w="0" w:type="dxa"/>
              <w:left w:w="0" w:type="dxa"/>
              <w:bottom w:w="0" w:type="dxa"/>
              <w:right w:w="0" w:type="dxa"/>
            </w:tcMar>
            <w:vAlign w:val="center"/>
          </w:tcPr>
          <w:p w14:paraId="414959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infertility</w:t>
            </w:r>
          </w:p>
        </w:tc>
        <w:tc>
          <w:tcPr>
            <w:tcW w:w="567" w:type="pct"/>
            <w:shd w:val="clear" w:color="auto" w:fill="FFFFFF"/>
            <w:tcMar>
              <w:top w:w="0" w:type="dxa"/>
              <w:left w:w="0" w:type="dxa"/>
              <w:bottom w:w="0" w:type="dxa"/>
              <w:right w:w="0" w:type="dxa"/>
            </w:tcMar>
            <w:vAlign w:val="center"/>
          </w:tcPr>
          <w:p w14:paraId="35E94E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5277CF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23" w:type="pct"/>
            <w:shd w:val="clear" w:color="auto" w:fill="FFFFFF"/>
            <w:tcMar>
              <w:top w:w="0" w:type="dxa"/>
              <w:left w:w="0" w:type="dxa"/>
              <w:bottom w:w="0" w:type="dxa"/>
              <w:right w:w="0" w:type="dxa"/>
            </w:tcMar>
            <w:vAlign w:val="center"/>
          </w:tcPr>
          <w:p w14:paraId="59536A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7036286B" w14:textId="3DE5572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5035E9E2" w14:textId="77777777" w:rsidTr="006658D1">
        <w:trPr>
          <w:cantSplit/>
          <w:jc w:val="center"/>
        </w:trPr>
        <w:tc>
          <w:tcPr>
            <w:tcW w:w="997" w:type="pct"/>
            <w:shd w:val="clear" w:color="auto" w:fill="FFFFFF"/>
            <w:tcMar>
              <w:top w:w="0" w:type="dxa"/>
              <w:left w:w="0" w:type="dxa"/>
              <w:bottom w:w="0" w:type="dxa"/>
              <w:right w:w="0" w:type="dxa"/>
            </w:tcMar>
            <w:vAlign w:val="center"/>
          </w:tcPr>
          <w:p w14:paraId="32C2CED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424" w:type="pct"/>
            <w:shd w:val="clear" w:color="auto" w:fill="FFFFFF"/>
            <w:tcMar>
              <w:top w:w="0" w:type="dxa"/>
              <w:left w:w="0" w:type="dxa"/>
              <w:bottom w:w="0" w:type="dxa"/>
              <w:right w:w="0" w:type="dxa"/>
            </w:tcMar>
            <w:vAlign w:val="center"/>
          </w:tcPr>
          <w:p w14:paraId="76867C3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Nested case-control (CD)</w:t>
            </w:r>
          </w:p>
        </w:tc>
        <w:tc>
          <w:tcPr>
            <w:tcW w:w="746" w:type="pct"/>
            <w:shd w:val="clear" w:color="auto" w:fill="FFFFFF"/>
            <w:tcMar>
              <w:top w:w="0" w:type="dxa"/>
              <w:left w:w="0" w:type="dxa"/>
              <w:bottom w:w="0" w:type="dxa"/>
              <w:right w:w="0" w:type="dxa"/>
            </w:tcMar>
            <w:vAlign w:val="center"/>
          </w:tcPr>
          <w:p w14:paraId="2058A0A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Previous abortion</w:t>
            </w:r>
          </w:p>
        </w:tc>
        <w:tc>
          <w:tcPr>
            <w:tcW w:w="291" w:type="pct"/>
            <w:shd w:val="clear" w:color="auto" w:fill="FFFFFF"/>
            <w:tcMar>
              <w:top w:w="0" w:type="dxa"/>
              <w:left w:w="0" w:type="dxa"/>
              <w:bottom w:w="0" w:type="dxa"/>
              <w:right w:w="0" w:type="dxa"/>
            </w:tcMar>
            <w:vAlign w:val="center"/>
          </w:tcPr>
          <w:p w14:paraId="0317E995"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619</w:t>
            </w:r>
          </w:p>
        </w:tc>
        <w:tc>
          <w:tcPr>
            <w:tcW w:w="287" w:type="pct"/>
            <w:shd w:val="clear" w:color="auto" w:fill="FFFFFF"/>
            <w:tcMar>
              <w:top w:w="0" w:type="dxa"/>
              <w:left w:w="0" w:type="dxa"/>
              <w:bottom w:w="0" w:type="dxa"/>
              <w:right w:w="0" w:type="dxa"/>
            </w:tcMar>
            <w:vAlign w:val="center"/>
          </w:tcPr>
          <w:p w14:paraId="4768B479"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100%</w:t>
            </w:r>
          </w:p>
        </w:tc>
        <w:tc>
          <w:tcPr>
            <w:tcW w:w="599" w:type="pct"/>
            <w:shd w:val="clear" w:color="auto" w:fill="FFFFFF"/>
            <w:tcMar>
              <w:top w:w="0" w:type="dxa"/>
              <w:left w:w="0" w:type="dxa"/>
              <w:bottom w:w="0" w:type="dxa"/>
              <w:right w:w="0" w:type="dxa"/>
            </w:tcMar>
            <w:vAlign w:val="center"/>
          </w:tcPr>
          <w:p w14:paraId="16E05A6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previous abortion</w:t>
            </w:r>
          </w:p>
        </w:tc>
        <w:tc>
          <w:tcPr>
            <w:tcW w:w="567" w:type="pct"/>
            <w:shd w:val="clear" w:color="auto" w:fill="FFFFFF"/>
            <w:tcMar>
              <w:top w:w="0" w:type="dxa"/>
              <w:left w:w="0" w:type="dxa"/>
              <w:bottom w:w="0" w:type="dxa"/>
              <w:right w:w="0" w:type="dxa"/>
            </w:tcMar>
            <w:vAlign w:val="center"/>
          </w:tcPr>
          <w:p w14:paraId="37F9071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6792103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323" w:type="pct"/>
            <w:shd w:val="clear" w:color="auto" w:fill="FFFFFF"/>
            <w:tcMar>
              <w:top w:w="0" w:type="dxa"/>
              <w:left w:w="0" w:type="dxa"/>
              <w:bottom w:w="0" w:type="dxa"/>
              <w:right w:w="0" w:type="dxa"/>
            </w:tcMar>
            <w:vAlign w:val="center"/>
          </w:tcPr>
          <w:p w14:paraId="6984E86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2AD533EE" w14:textId="4207C3AC"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PEVuZE5vdGU+PENpdGUgRXhjbHVkZUF1dGg9IjEiIEV4Y2x1ZGVZZWFyPSIxIj48QXV0aG9yPkNl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PEVuZE5vdGU+PENpdGUgRXhjbHVkZUF1dGg9IjEiIEV4Y2x1ZGVZZWFyPSIxIj48QXV0aG9yPkNl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436</w:t>
            </w:r>
            <w:r w:rsidRPr="00734942">
              <w:rPr>
                <w:rFonts w:ascii="Arial" w:eastAsia="Arial" w:hAnsi="Arial" w:cs="Arial"/>
                <w:color w:val="111111"/>
                <w:sz w:val="18"/>
                <w:szCs w:val="18"/>
              </w:rPr>
              <w:fldChar w:fldCharType="end"/>
            </w:r>
          </w:p>
        </w:tc>
      </w:tr>
      <w:tr w:rsidR="007B756D" w:rsidRPr="00734942" w14:paraId="78F330FA" w14:textId="77777777" w:rsidTr="006658D1">
        <w:trPr>
          <w:cantSplit/>
          <w:jc w:val="center"/>
        </w:trPr>
        <w:tc>
          <w:tcPr>
            <w:tcW w:w="997" w:type="pct"/>
            <w:tcBorders>
              <w:bottom w:val="single" w:sz="16" w:space="0" w:color="000000"/>
            </w:tcBorders>
            <w:shd w:val="clear" w:color="auto" w:fill="FFFFFF"/>
            <w:tcMar>
              <w:top w:w="0" w:type="dxa"/>
              <w:left w:w="0" w:type="dxa"/>
              <w:bottom w:w="0" w:type="dxa"/>
              <w:right w:w="0" w:type="dxa"/>
            </w:tcMar>
            <w:vAlign w:val="center"/>
          </w:tcPr>
          <w:p w14:paraId="3F5A54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24" w:type="pct"/>
            <w:tcBorders>
              <w:bottom w:val="single" w:sz="16" w:space="0" w:color="000000"/>
            </w:tcBorders>
            <w:shd w:val="clear" w:color="auto" w:fill="FFFFFF"/>
            <w:tcMar>
              <w:top w:w="0" w:type="dxa"/>
              <w:left w:w="0" w:type="dxa"/>
              <w:bottom w:w="0" w:type="dxa"/>
              <w:right w:w="0" w:type="dxa"/>
            </w:tcMar>
            <w:vAlign w:val="center"/>
          </w:tcPr>
          <w:p w14:paraId="0761CA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746" w:type="pct"/>
            <w:tcBorders>
              <w:bottom w:val="single" w:sz="16" w:space="0" w:color="000000"/>
            </w:tcBorders>
            <w:shd w:val="clear" w:color="auto" w:fill="FFFFFF"/>
            <w:tcMar>
              <w:top w:w="0" w:type="dxa"/>
              <w:left w:w="0" w:type="dxa"/>
              <w:bottom w:w="0" w:type="dxa"/>
              <w:right w:w="0" w:type="dxa"/>
            </w:tcMar>
            <w:vAlign w:val="center"/>
          </w:tcPr>
          <w:p w14:paraId="4D92E1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Previous miscarriage</w:t>
            </w:r>
          </w:p>
        </w:tc>
        <w:tc>
          <w:tcPr>
            <w:tcW w:w="291" w:type="pct"/>
            <w:tcBorders>
              <w:bottom w:val="single" w:sz="16" w:space="0" w:color="000000"/>
            </w:tcBorders>
            <w:shd w:val="clear" w:color="auto" w:fill="FFFFFF"/>
            <w:tcMar>
              <w:top w:w="0" w:type="dxa"/>
              <w:left w:w="0" w:type="dxa"/>
              <w:bottom w:w="0" w:type="dxa"/>
              <w:right w:w="0" w:type="dxa"/>
            </w:tcMar>
            <w:vAlign w:val="center"/>
          </w:tcPr>
          <w:p w14:paraId="16E84CF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218</w:t>
            </w:r>
          </w:p>
        </w:tc>
        <w:tc>
          <w:tcPr>
            <w:tcW w:w="287" w:type="pct"/>
            <w:tcBorders>
              <w:bottom w:val="single" w:sz="16" w:space="0" w:color="000000"/>
            </w:tcBorders>
            <w:shd w:val="clear" w:color="auto" w:fill="FFFFFF"/>
            <w:tcMar>
              <w:top w:w="0" w:type="dxa"/>
              <w:left w:w="0" w:type="dxa"/>
              <w:bottom w:w="0" w:type="dxa"/>
              <w:right w:w="0" w:type="dxa"/>
            </w:tcMar>
            <w:vAlign w:val="center"/>
          </w:tcPr>
          <w:p w14:paraId="68DE670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99" w:type="pct"/>
            <w:tcBorders>
              <w:bottom w:val="single" w:sz="16" w:space="0" w:color="000000"/>
            </w:tcBorders>
            <w:shd w:val="clear" w:color="auto" w:fill="FFFFFF"/>
            <w:tcMar>
              <w:top w:w="0" w:type="dxa"/>
              <w:left w:w="0" w:type="dxa"/>
              <w:bottom w:w="0" w:type="dxa"/>
              <w:right w:w="0" w:type="dxa"/>
            </w:tcMar>
            <w:vAlign w:val="center"/>
          </w:tcPr>
          <w:p w14:paraId="3722ED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567" w:type="pct"/>
            <w:tcBorders>
              <w:bottom w:val="single" w:sz="16" w:space="0" w:color="000000"/>
            </w:tcBorders>
            <w:shd w:val="clear" w:color="auto" w:fill="FFFFFF"/>
            <w:tcMar>
              <w:top w:w="0" w:type="dxa"/>
              <w:left w:w="0" w:type="dxa"/>
              <w:bottom w:w="0" w:type="dxa"/>
              <w:right w:w="0" w:type="dxa"/>
            </w:tcMar>
            <w:vAlign w:val="center"/>
          </w:tcPr>
          <w:p w14:paraId="520C9A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tcBorders>
              <w:bottom w:val="single" w:sz="16" w:space="0" w:color="000000"/>
            </w:tcBorders>
            <w:shd w:val="clear" w:color="auto" w:fill="FFFFFF"/>
            <w:tcMar>
              <w:top w:w="0" w:type="dxa"/>
              <w:left w:w="0" w:type="dxa"/>
              <w:bottom w:w="0" w:type="dxa"/>
              <w:right w:w="0" w:type="dxa"/>
            </w:tcMar>
            <w:vAlign w:val="center"/>
          </w:tcPr>
          <w:p w14:paraId="487D7E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23" w:type="pct"/>
            <w:tcBorders>
              <w:bottom w:val="single" w:sz="16" w:space="0" w:color="000000"/>
            </w:tcBorders>
            <w:shd w:val="clear" w:color="auto" w:fill="FFFFFF"/>
            <w:tcMar>
              <w:top w:w="0" w:type="dxa"/>
              <w:left w:w="0" w:type="dxa"/>
              <w:bottom w:w="0" w:type="dxa"/>
              <w:right w:w="0" w:type="dxa"/>
            </w:tcMar>
            <w:vAlign w:val="center"/>
          </w:tcPr>
          <w:p w14:paraId="115855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tcBorders>
              <w:bottom w:val="single" w:sz="16" w:space="0" w:color="000000"/>
            </w:tcBorders>
            <w:shd w:val="clear" w:color="auto" w:fill="FFFFFF"/>
            <w:tcMar>
              <w:top w:w="0" w:type="dxa"/>
              <w:left w:w="0" w:type="dxa"/>
              <w:bottom w:w="0" w:type="dxa"/>
              <w:right w:w="0" w:type="dxa"/>
            </w:tcMar>
            <w:vAlign w:val="center"/>
          </w:tcPr>
          <w:p w14:paraId="04CAF3AF" w14:textId="728915D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cnRpbmVsbGk8L0F1dGhvcj48WWVhcj4yMDAwPC9ZZWFyPjxSZWNOdW0+MTA1PC9SZWNOdW0+PERp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PEVuZE5vdGU+PENpdGUgRXhjbHVkZUF1dGg9IjEiIEV4Y2x1ZGVZZWFyPSIxIj48QXV0aG9yPk1h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437</w:t>
            </w:r>
            <w:r w:rsidRPr="00734942">
              <w:rPr>
                <w:rFonts w:ascii="Arial" w:eastAsia="Arial" w:hAnsi="Arial" w:cs="Arial"/>
                <w:color w:val="111111"/>
                <w:sz w:val="18"/>
                <w:szCs w:val="18"/>
              </w:rPr>
              <w:fldChar w:fldCharType="end"/>
            </w:r>
          </w:p>
        </w:tc>
      </w:tr>
    </w:tbl>
    <w:p w14:paraId="24AACDB3" w14:textId="77777777" w:rsidR="007B756D" w:rsidRPr="00734942" w:rsidRDefault="007B756D" w:rsidP="007B756D"/>
    <w:p w14:paraId="706F03AD" w14:textId="5D5055B9" w:rsidR="00F74B40" w:rsidRDefault="00F74B40" w:rsidP="000526F1">
      <w:pPr>
        <w:pStyle w:val="Caption"/>
      </w:pPr>
      <w:bookmarkStart w:id="386" w:name="_Toc99720757"/>
      <w:r>
        <w:t xml:space="preserve">Table </w:t>
      </w:r>
      <w:r w:rsidR="00C34531">
        <w:fldChar w:fldCharType="begin"/>
      </w:r>
      <w:r w:rsidR="00C34531">
        <w:instrText xml:space="preserve"> SEQ Table \* ARABIC </w:instrText>
      </w:r>
      <w:r w:rsidR="00C34531">
        <w:fldChar w:fldCharType="separate"/>
      </w:r>
      <w:r w:rsidR="008B5583">
        <w:rPr>
          <w:noProof/>
        </w:rPr>
        <w:t>46</w:t>
      </w:r>
      <w:r w:rsidR="00C34531">
        <w:rPr>
          <w:noProof/>
        </w:rPr>
        <w:fldChar w:fldCharType="end"/>
      </w:r>
      <w:r>
        <w:t xml:space="preserve">  </w:t>
      </w:r>
      <w:r w:rsidRPr="001844E8">
        <w:t>Study characteristics: Type 1 Diabetes</w:t>
      </w:r>
      <w:bookmarkEnd w:id="386"/>
    </w:p>
    <w:tbl>
      <w:tblPr>
        <w:tblW w:w="5000" w:type="pct"/>
        <w:jc w:val="center"/>
        <w:tblLook w:val="0420" w:firstRow="1" w:lastRow="0" w:firstColumn="0" w:lastColumn="0" w:noHBand="0" w:noVBand="1"/>
      </w:tblPr>
      <w:tblGrid>
        <w:gridCol w:w="2249"/>
        <w:gridCol w:w="1526"/>
        <w:gridCol w:w="1061"/>
        <w:gridCol w:w="849"/>
        <w:gridCol w:w="1011"/>
        <w:gridCol w:w="1873"/>
        <w:gridCol w:w="2024"/>
        <w:gridCol w:w="1373"/>
        <w:gridCol w:w="961"/>
        <w:gridCol w:w="1031"/>
      </w:tblGrid>
      <w:tr w:rsidR="00C8418F" w:rsidRPr="00734942" w14:paraId="4C2411B7" w14:textId="77777777" w:rsidTr="00F74B40">
        <w:trPr>
          <w:cantSplit/>
          <w:tblHeader/>
          <w:jc w:val="center"/>
        </w:trPr>
        <w:tc>
          <w:tcPr>
            <w:tcW w:w="80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776F4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4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97E4A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38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CECBE8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0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1570688"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36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2A26B0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67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BF164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72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6A79F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9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7ACC6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4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A4598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6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B028E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0281A06B" w14:textId="77777777" w:rsidTr="00F74B40">
        <w:trPr>
          <w:cantSplit/>
          <w:jc w:val="center"/>
        </w:trPr>
        <w:tc>
          <w:tcPr>
            <w:tcW w:w="806" w:type="pct"/>
            <w:shd w:val="clear" w:color="auto" w:fill="FFFFFF"/>
            <w:tcMar>
              <w:top w:w="0" w:type="dxa"/>
              <w:left w:w="0" w:type="dxa"/>
              <w:bottom w:w="0" w:type="dxa"/>
              <w:right w:w="0" w:type="dxa"/>
            </w:tcMar>
            <w:vAlign w:val="center"/>
          </w:tcPr>
          <w:p w14:paraId="1EC866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090E78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0B397D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77FA95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600</w:t>
            </w:r>
          </w:p>
        </w:tc>
        <w:tc>
          <w:tcPr>
            <w:tcW w:w="362" w:type="pct"/>
            <w:shd w:val="clear" w:color="auto" w:fill="FFFFFF"/>
            <w:tcMar>
              <w:top w:w="0" w:type="dxa"/>
              <w:left w:w="0" w:type="dxa"/>
              <w:bottom w:w="0" w:type="dxa"/>
              <w:right w:w="0" w:type="dxa"/>
            </w:tcMar>
            <w:vAlign w:val="center"/>
          </w:tcPr>
          <w:p w14:paraId="378FBF2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20A5FC0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1AC1D0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186FC25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128015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Egypt</w:t>
            </w:r>
          </w:p>
        </w:tc>
        <w:tc>
          <w:tcPr>
            <w:tcW w:w="369" w:type="pct"/>
            <w:shd w:val="clear" w:color="auto" w:fill="FFFFFF"/>
            <w:tcMar>
              <w:top w:w="0" w:type="dxa"/>
              <w:left w:w="0" w:type="dxa"/>
              <w:bottom w:w="0" w:type="dxa"/>
              <w:right w:w="0" w:type="dxa"/>
            </w:tcMar>
            <w:vAlign w:val="center"/>
          </w:tcPr>
          <w:p w14:paraId="56CFF1F1" w14:textId="53C1BAA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PEVuZE5vdGU+PENpdGUgRXhjbHVkZUF1dGg9IjEiIEV4Y2x1ZGVZZWFyPSIxIj48QXV0aG9yPk1v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=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PEVuZE5vdGU+PENpdGUgRXhjbHVkZUF1dGg9IjEiIEV4Y2x1ZGVZZWFyPSIxIj48QXV0aG9yPk1v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=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438</w:t>
            </w:r>
            <w:r w:rsidRPr="00734942">
              <w:rPr>
                <w:rFonts w:ascii="Arial" w:eastAsia="Arial" w:hAnsi="Arial" w:cs="Arial"/>
                <w:color w:val="111111"/>
                <w:sz w:val="18"/>
                <w:szCs w:val="18"/>
              </w:rPr>
              <w:fldChar w:fldCharType="end"/>
            </w:r>
          </w:p>
        </w:tc>
      </w:tr>
      <w:tr w:rsidR="00C8418F" w:rsidRPr="00734942" w14:paraId="29620266" w14:textId="77777777" w:rsidTr="00F74B40">
        <w:trPr>
          <w:cantSplit/>
          <w:jc w:val="center"/>
        </w:trPr>
        <w:tc>
          <w:tcPr>
            <w:tcW w:w="806" w:type="pct"/>
            <w:shd w:val="clear" w:color="auto" w:fill="FFFFFF"/>
            <w:tcMar>
              <w:top w:w="0" w:type="dxa"/>
              <w:left w:w="0" w:type="dxa"/>
              <w:bottom w:w="0" w:type="dxa"/>
              <w:right w:w="0" w:type="dxa"/>
            </w:tcMar>
            <w:vAlign w:val="center"/>
          </w:tcPr>
          <w:p w14:paraId="41F3D1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41BE06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320C34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942BCA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177</w:t>
            </w:r>
          </w:p>
        </w:tc>
        <w:tc>
          <w:tcPr>
            <w:tcW w:w="362" w:type="pct"/>
            <w:shd w:val="clear" w:color="auto" w:fill="FFFFFF"/>
            <w:tcMar>
              <w:top w:w="0" w:type="dxa"/>
              <w:left w:w="0" w:type="dxa"/>
              <w:bottom w:w="0" w:type="dxa"/>
              <w:right w:w="0" w:type="dxa"/>
            </w:tcMar>
            <w:vAlign w:val="center"/>
          </w:tcPr>
          <w:p w14:paraId="304BB10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62D31E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5833CD2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56515B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0A4282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349DEB8B" w14:textId="3BE30AA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PEVuZE5vdGU+PENpdGUgRXhjbHVkZUF1dGg9IjEiIEV4Y2x1ZGVZZWFyPSIxIj48QXV0aG9yPlBp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PEVuZE5vdGU+PENpdGUgRXhjbHVkZUF1dGg9IjEiIEV4Y2x1ZGVZZWFyPSIxIj48QXV0aG9yPlBp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439</w:t>
            </w:r>
            <w:r w:rsidRPr="00734942">
              <w:rPr>
                <w:rFonts w:ascii="Arial" w:eastAsia="Arial" w:hAnsi="Arial" w:cs="Arial"/>
                <w:color w:val="111111"/>
                <w:sz w:val="18"/>
                <w:szCs w:val="18"/>
              </w:rPr>
              <w:fldChar w:fldCharType="end"/>
            </w:r>
          </w:p>
        </w:tc>
      </w:tr>
      <w:tr w:rsidR="00C8418F" w:rsidRPr="00734942" w14:paraId="7A60D08C" w14:textId="77777777" w:rsidTr="00F74B40">
        <w:trPr>
          <w:cantSplit/>
          <w:jc w:val="center"/>
        </w:trPr>
        <w:tc>
          <w:tcPr>
            <w:tcW w:w="806" w:type="pct"/>
            <w:shd w:val="clear" w:color="auto" w:fill="FFFFFF"/>
            <w:tcMar>
              <w:top w:w="0" w:type="dxa"/>
              <w:left w:w="0" w:type="dxa"/>
              <w:bottom w:w="0" w:type="dxa"/>
              <w:right w:w="0" w:type="dxa"/>
            </w:tcMar>
            <w:vAlign w:val="center"/>
          </w:tcPr>
          <w:p w14:paraId="3002C0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74AB1F5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63DEF0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7AC3F82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130</w:t>
            </w:r>
          </w:p>
        </w:tc>
        <w:tc>
          <w:tcPr>
            <w:tcW w:w="362" w:type="pct"/>
            <w:shd w:val="clear" w:color="auto" w:fill="FFFFFF"/>
            <w:tcMar>
              <w:top w:w="0" w:type="dxa"/>
              <w:left w:w="0" w:type="dxa"/>
              <w:bottom w:w="0" w:type="dxa"/>
              <w:right w:w="0" w:type="dxa"/>
            </w:tcMar>
            <w:vAlign w:val="center"/>
          </w:tcPr>
          <w:p w14:paraId="4B150D0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01A173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29C690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41AF2B8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8267B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776F0D5E" w14:textId="148030F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ExcludeYear="1"&gt;&lt;Author&gt;Dagdelen&lt;/Author&gt;&lt;Year&gt;2009&lt;/Year&gt;&lt;RecNum&gt;259&lt;/RecNum&gt;&lt;DisplayText&gt;&lt;style face="superscript"&gt;440&lt;/style&gt;&lt;/DisplayText&gt;&lt;record&gt;&lt;rec-number&gt;259&lt;/rec-number&gt;&lt;foreign-keys&gt;&lt;key app="EN" db-id="tdwrx9xd1z9eepeevr355w2k959rv0f5zaax" timestamp="1632756140"&gt;259&lt;/key&gt;&lt;/foreign-keys&gt;&lt;ref-type name="Journal Article"&gt;17&lt;/ref-type&gt;&lt;contributors&gt;&lt;authors&gt;&lt;author&gt;Dagdelen, S.&lt;/author&gt;&lt;author&gt;Hascelik, G.&lt;/author&gt;&lt;author&gt;Bayraktar, M.&lt;/author&gt;&lt;/authors&gt;&lt;/contributors&gt;&lt;titles&gt;&lt;title&gt;Simultaneous triple organ specific autoantibody profiling in adult patients with type 1 diabetes mellitus and their first-degree relatives&lt;/title&gt;&lt;secondary-title&gt;International Journal of Clinical Practice&lt;/secondary-title&gt;&lt;/titles&gt;&lt;periodical&gt;&lt;full-title&gt;International Journal of Clinical Practice&lt;/full-title&gt;&lt;/periodical&gt;&lt;pages&gt;449-456&lt;/pages&gt;&lt;volume&gt;63&lt;/volume&gt;&lt;number&gt;3&lt;/number&gt;&lt;dates&gt;&lt;year&gt;2009&lt;/year&gt;&lt;pub-dates&gt;&lt;date&gt;Mar&lt;/date&gt;&lt;/pub-dates&gt;&lt;/dates&gt;&lt;isbn&gt;1368-5031&lt;/isbn&gt;&lt;accession-num&gt;WOS:000262953500016&lt;/accession-num&gt;&lt;urls&gt;&lt;related-urls&gt;&lt;url&gt;&amp;lt;Go to ISI&amp;gt;://WOS:000262953500016&lt;/url&gt;&lt;url&gt;https://onlinelibrary.wiley.com/doi/abs/10.1111/j.1742-1241.2007.01619.x&lt;/url&gt;&lt;url&gt;https://onlinelibrary.wiley.com/doi/full/10.1111/j.1742-1241.2007.01619.x&lt;/url&gt;&lt;/related-urls&gt;&lt;/urls&gt;&lt;electronic-resource-num&gt;10.1111/j.1742-1241.2007.01619.x&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440</w:t>
            </w:r>
            <w:r w:rsidRPr="00734942">
              <w:rPr>
                <w:rFonts w:ascii="Arial" w:eastAsia="Arial" w:hAnsi="Arial" w:cs="Arial"/>
                <w:color w:val="111111"/>
                <w:sz w:val="18"/>
                <w:szCs w:val="18"/>
              </w:rPr>
              <w:fldChar w:fldCharType="end"/>
            </w:r>
          </w:p>
        </w:tc>
      </w:tr>
      <w:tr w:rsidR="00C8418F" w:rsidRPr="00734942" w14:paraId="0BBFF9B8" w14:textId="77777777" w:rsidTr="00F74B40">
        <w:trPr>
          <w:cantSplit/>
          <w:jc w:val="center"/>
        </w:trPr>
        <w:tc>
          <w:tcPr>
            <w:tcW w:w="806" w:type="pct"/>
            <w:shd w:val="clear" w:color="auto" w:fill="FFFFFF"/>
            <w:tcMar>
              <w:top w:w="0" w:type="dxa"/>
              <w:left w:w="0" w:type="dxa"/>
              <w:bottom w:w="0" w:type="dxa"/>
              <w:right w:w="0" w:type="dxa"/>
            </w:tcMar>
            <w:vAlign w:val="center"/>
          </w:tcPr>
          <w:p w14:paraId="6F2D7F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3F7C4A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E4BE57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60ADDD0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180</w:t>
            </w:r>
          </w:p>
        </w:tc>
        <w:tc>
          <w:tcPr>
            <w:tcW w:w="362" w:type="pct"/>
            <w:shd w:val="clear" w:color="auto" w:fill="FFFFFF"/>
            <w:tcMar>
              <w:top w:w="0" w:type="dxa"/>
              <w:left w:w="0" w:type="dxa"/>
              <w:bottom w:w="0" w:type="dxa"/>
              <w:right w:w="0" w:type="dxa"/>
            </w:tcMar>
            <w:vAlign w:val="center"/>
          </w:tcPr>
          <w:p w14:paraId="0905C34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3D21D4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55F49E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248428C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D1D1E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6118B40B" w14:textId="645D92C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PEVuZE5vdGU+PENpdGUgRXhjbHVkZUF1dGg9IjEiIEV4Y2x1ZGVZZWFyPSIxIj48QXV0aG9yPkd1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PEVuZE5vdGU+PENpdGUgRXhjbHVkZUF1dGg9IjEiIEV4Y2x1ZGVZZWFyPSIxIj48QXV0aG9yPkd1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441</w:t>
            </w:r>
            <w:r w:rsidRPr="00734942">
              <w:rPr>
                <w:rFonts w:ascii="Arial" w:eastAsia="Arial" w:hAnsi="Arial" w:cs="Arial"/>
                <w:color w:val="111111"/>
                <w:sz w:val="18"/>
                <w:szCs w:val="18"/>
              </w:rPr>
              <w:fldChar w:fldCharType="end"/>
            </w:r>
          </w:p>
        </w:tc>
      </w:tr>
      <w:tr w:rsidR="00C8418F" w:rsidRPr="00734942" w14:paraId="24D840FA" w14:textId="77777777" w:rsidTr="00F74B40">
        <w:trPr>
          <w:cantSplit/>
          <w:jc w:val="center"/>
        </w:trPr>
        <w:tc>
          <w:tcPr>
            <w:tcW w:w="806" w:type="pct"/>
            <w:shd w:val="clear" w:color="auto" w:fill="FFFFFF"/>
            <w:tcMar>
              <w:top w:w="0" w:type="dxa"/>
              <w:left w:w="0" w:type="dxa"/>
              <w:bottom w:w="0" w:type="dxa"/>
              <w:right w:w="0" w:type="dxa"/>
            </w:tcMar>
            <w:vAlign w:val="center"/>
          </w:tcPr>
          <w:p w14:paraId="5EDBB4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2DAE35F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0F5959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71DE122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1,680</w:t>
            </w:r>
          </w:p>
        </w:tc>
        <w:tc>
          <w:tcPr>
            <w:tcW w:w="362" w:type="pct"/>
            <w:shd w:val="clear" w:color="auto" w:fill="FFFFFF"/>
            <w:tcMar>
              <w:top w:w="0" w:type="dxa"/>
              <w:left w:w="0" w:type="dxa"/>
              <w:bottom w:w="0" w:type="dxa"/>
              <w:right w:w="0" w:type="dxa"/>
            </w:tcMar>
            <w:vAlign w:val="center"/>
          </w:tcPr>
          <w:p w14:paraId="6F6B5AC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048755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56E3E5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7FE16E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065DE9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Israel</w:t>
            </w:r>
          </w:p>
        </w:tc>
        <w:tc>
          <w:tcPr>
            <w:tcW w:w="369" w:type="pct"/>
            <w:shd w:val="clear" w:color="auto" w:fill="FFFFFF"/>
            <w:tcMar>
              <w:top w:w="0" w:type="dxa"/>
              <w:left w:w="0" w:type="dxa"/>
              <w:bottom w:w="0" w:type="dxa"/>
              <w:right w:w="0" w:type="dxa"/>
            </w:tcMar>
            <w:vAlign w:val="center"/>
          </w:tcPr>
          <w:p w14:paraId="5BCB646B" w14:textId="57178AF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PEVuZE5vdGU+PENpdGUgRXhjbHVkZUF1dGg9IjEiIEV4Y2x1ZGVZZWFyPSIxIj48QXV0aG9yPkhh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PEVuZE5vdGU+PENpdGUgRXhjbHVkZUF1dGg9IjEiIEV4Y2x1ZGVZZWFyPSIxIj48QXV0aG9yPkhh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442</w:t>
            </w:r>
            <w:r w:rsidRPr="00734942">
              <w:rPr>
                <w:rFonts w:ascii="Arial" w:eastAsia="Arial" w:hAnsi="Arial" w:cs="Arial"/>
                <w:color w:val="111111"/>
                <w:sz w:val="18"/>
                <w:szCs w:val="18"/>
              </w:rPr>
              <w:fldChar w:fldCharType="end"/>
            </w:r>
          </w:p>
        </w:tc>
      </w:tr>
      <w:tr w:rsidR="00C8418F" w:rsidRPr="00734942" w14:paraId="129E5995" w14:textId="77777777" w:rsidTr="00F74B40">
        <w:trPr>
          <w:cantSplit/>
          <w:jc w:val="center"/>
        </w:trPr>
        <w:tc>
          <w:tcPr>
            <w:tcW w:w="806" w:type="pct"/>
            <w:shd w:val="clear" w:color="auto" w:fill="FFFFFF"/>
            <w:tcMar>
              <w:top w:w="0" w:type="dxa"/>
              <w:left w:w="0" w:type="dxa"/>
              <w:bottom w:w="0" w:type="dxa"/>
              <w:right w:w="0" w:type="dxa"/>
            </w:tcMar>
            <w:vAlign w:val="center"/>
          </w:tcPr>
          <w:p w14:paraId="174184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Adults</w:t>
            </w:r>
          </w:p>
        </w:tc>
        <w:tc>
          <w:tcPr>
            <w:tcW w:w="547" w:type="pct"/>
            <w:shd w:val="clear" w:color="auto" w:fill="FFFFFF"/>
            <w:tcMar>
              <w:top w:w="0" w:type="dxa"/>
              <w:left w:w="0" w:type="dxa"/>
              <w:bottom w:w="0" w:type="dxa"/>
              <w:right w:w="0" w:type="dxa"/>
            </w:tcMar>
            <w:vAlign w:val="center"/>
          </w:tcPr>
          <w:p w14:paraId="47748A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5CFD68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00AF74D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2,200</w:t>
            </w:r>
          </w:p>
        </w:tc>
        <w:tc>
          <w:tcPr>
            <w:tcW w:w="362" w:type="pct"/>
            <w:shd w:val="clear" w:color="auto" w:fill="FFFFFF"/>
            <w:tcMar>
              <w:top w:w="0" w:type="dxa"/>
              <w:left w:w="0" w:type="dxa"/>
              <w:bottom w:w="0" w:type="dxa"/>
              <w:right w:w="0" w:type="dxa"/>
            </w:tcMar>
            <w:vAlign w:val="center"/>
          </w:tcPr>
          <w:p w14:paraId="662211A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440D15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44F26A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22E383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0D34D1F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69" w:type="pct"/>
            <w:shd w:val="clear" w:color="auto" w:fill="FFFFFF"/>
            <w:tcMar>
              <w:top w:w="0" w:type="dxa"/>
              <w:left w:w="0" w:type="dxa"/>
              <w:bottom w:w="0" w:type="dxa"/>
              <w:right w:w="0" w:type="dxa"/>
            </w:tcMar>
            <w:vAlign w:val="center"/>
          </w:tcPr>
          <w:p w14:paraId="3E670E5A" w14:textId="65A0239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PEVuZE5vdGU+PENpdGUgRXhjbHVkZUF1dGg9IjEiIEV4Y2x1ZGVZZWFyPSIxIj48QXV0aG9yPkt1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PEVuZE5vdGU+PENpdGUgRXhjbHVkZUF1dGg9IjEiIEV4Y2x1ZGVZZWFyPSIxIj48QXV0aG9yPkt1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443</w:t>
            </w:r>
            <w:r w:rsidRPr="00734942">
              <w:rPr>
                <w:rFonts w:ascii="Arial" w:eastAsia="Arial" w:hAnsi="Arial" w:cs="Arial"/>
                <w:color w:val="111111"/>
                <w:sz w:val="18"/>
                <w:szCs w:val="18"/>
              </w:rPr>
              <w:fldChar w:fldCharType="end"/>
            </w:r>
          </w:p>
        </w:tc>
      </w:tr>
      <w:tr w:rsidR="00C8418F" w:rsidRPr="00734942" w14:paraId="51EF80E2" w14:textId="77777777" w:rsidTr="00F74B40">
        <w:trPr>
          <w:cantSplit/>
          <w:jc w:val="center"/>
        </w:trPr>
        <w:tc>
          <w:tcPr>
            <w:tcW w:w="806" w:type="pct"/>
            <w:shd w:val="clear" w:color="auto" w:fill="FFFFFF"/>
            <w:tcMar>
              <w:top w:w="0" w:type="dxa"/>
              <w:left w:w="0" w:type="dxa"/>
              <w:bottom w:w="0" w:type="dxa"/>
              <w:right w:w="0" w:type="dxa"/>
            </w:tcMar>
            <w:vAlign w:val="center"/>
          </w:tcPr>
          <w:p w14:paraId="5FDF56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15F9431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6901E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201313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346</w:t>
            </w:r>
          </w:p>
        </w:tc>
        <w:tc>
          <w:tcPr>
            <w:tcW w:w="362" w:type="pct"/>
            <w:shd w:val="clear" w:color="auto" w:fill="FFFFFF"/>
            <w:tcMar>
              <w:top w:w="0" w:type="dxa"/>
              <w:left w:w="0" w:type="dxa"/>
              <w:bottom w:w="0" w:type="dxa"/>
              <w:right w:w="0" w:type="dxa"/>
            </w:tcMar>
            <w:vAlign w:val="center"/>
          </w:tcPr>
          <w:p w14:paraId="72C8EC8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71" w:type="pct"/>
            <w:shd w:val="clear" w:color="auto" w:fill="FFFFFF"/>
            <w:tcMar>
              <w:top w:w="0" w:type="dxa"/>
              <w:left w:w="0" w:type="dxa"/>
              <w:bottom w:w="0" w:type="dxa"/>
              <w:right w:w="0" w:type="dxa"/>
            </w:tcMar>
            <w:vAlign w:val="center"/>
          </w:tcPr>
          <w:p w14:paraId="21260A8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4B6F76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0E1283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75497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033CE37A" w14:textId="1DC22DE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ExcludeYear="1"&gt;&lt;Author&gt;Shivaprasad&lt;/Author&gt;&lt;Year&gt;2017&lt;/Year&gt;&lt;RecNum&gt;263&lt;/RecNum&gt;&lt;DisplayText&gt;&lt;style face="superscript"&gt;444&lt;/style&gt;&lt;/DisplayText&gt;&lt;record&gt;&lt;rec-number&gt;263&lt;/rec-number&gt;&lt;foreign-keys&gt;&lt;key app="EN" db-id="tdwrx9xd1z9eepeevr355w2k959rv0f5zaax" timestamp="1632756141"&gt;263&lt;/key&gt;&lt;/foreign-keys&gt;&lt;ref-type name="Journal Article"&gt;17&lt;/ref-type&gt;&lt;contributors&gt;&lt;authors&gt;&lt;author&gt;Shivaprasad, C.&lt;/author&gt;&lt;author&gt;Kolly, A.&lt;/author&gt;&lt;author&gt;Pulikkal, A.&lt;/author&gt;&lt;author&gt;Kumar, K. M. P.&lt;/author&gt;&lt;/authors&gt;&lt;/contributors&gt;&lt;titles&gt;&lt;title&gt;High prevalence of organ specific autoantibodies in Indian type 1 diabetic patients&lt;/title&gt;&lt;secondary-title&gt;Journal of Pediatric Endocrinology &amp;amp; Metabolism&lt;/secondary-title&gt;&lt;/titles&gt;&lt;periodical&gt;&lt;full-title&gt;Journal of Pediatric Endocrinology &amp;amp; Metabolism&lt;/full-title&gt;&lt;/periodical&gt;&lt;pages&gt;707-712&lt;/pages&gt;&lt;volume&gt;30&lt;/volume&gt;&lt;number&gt;7&lt;/number&gt;&lt;dates&gt;&lt;year&gt;2017&lt;/year&gt;&lt;pub-dates&gt;&lt;date&gt;Jul&lt;/date&gt;&lt;/pub-dates&gt;&lt;/dates&gt;&lt;isbn&gt;0334-018X&lt;/isbn&gt;&lt;accession-num&gt;WOS:000408795100001&lt;/accession-num&gt;&lt;urls&gt;&lt;related-urls&gt;&lt;url&gt;&amp;lt;Go to ISI&amp;gt;://WOS:000408795100001&lt;/url&gt;&lt;url&gt;https://www.degruyter.com/view/journals/jpem/30/7/article-p707.xml&lt;/url&gt;&lt;/related-urls&gt;&lt;/urls&gt;&lt;electronic-resource-num&gt;10.1515/jpem-2017-0011&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444</w:t>
            </w:r>
            <w:r w:rsidRPr="00734942">
              <w:rPr>
                <w:rFonts w:ascii="Arial" w:eastAsia="Arial" w:hAnsi="Arial" w:cs="Arial"/>
                <w:color w:val="111111"/>
                <w:sz w:val="18"/>
                <w:szCs w:val="18"/>
              </w:rPr>
              <w:fldChar w:fldCharType="end"/>
            </w:r>
          </w:p>
        </w:tc>
      </w:tr>
      <w:tr w:rsidR="00C8418F" w:rsidRPr="00734942" w14:paraId="555E5492" w14:textId="77777777" w:rsidTr="00F74B40">
        <w:trPr>
          <w:cantSplit/>
          <w:jc w:val="center"/>
        </w:trPr>
        <w:tc>
          <w:tcPr>
            <w:tcW w:w="806" w:type="pct"/>
            <w:shd w:val="clear" w:color="auto" w:fill="FFFFFF"/>
            <w:tcMar>
              <w:top w:w="0" w:type="dxa"/>
              <w:left w:w="0" w:type="dxa"/>
              <w:bottom w:w="0" w:type="dxa"/>
              <w:right w:w="0" w:type="dxa"/>
            </w:tcMar>
            <w:vAlign w:val="center"/>
          </w:tcPr>
          <w:p w14:paraId="6C3035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1080257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F2B380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5810410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280</w:t>
            </w:r>
          </w:p>
        </w:tc>
        <w:tc>
          <w:tcPr>
            <w:tcW w:w="362" w:type="pct"/>
            <w:shd w:val="clear" w:color="auto" w:fill="FFFFFF"/>
            <w:tcMar>
              <w:top w:w="0" w:type="dxa"/>
              <w:left w:w="0" w:type="dxa"/>
              <w:bottom w:w="0" w:type="dxa"/>
              <w:right w:w="0" w:type="dxa"/>
            </w:tcMar>
            <w:vAlign w:val="center"/>
          </w:tcPr>
          <w:p w14:paraId="029C5C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439661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7B26C5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19855F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2C9F836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69" w:type="pct"/>
            <w:shd w:val="clear" w:color="auto" w:fill="FFFFFF"/>
            <w:tcMar>
              <w:top w:w="0" w:type="dxa"/>
              <w:left w:w="0" w:type="dxa"/>
              <w:bottom w:w="0" w:type="dxa"/>
              <w:right w:w="0" w:type="dxa"/>
            </w:tcMar>
            <w:vAlign w:val="center"/>
          </w:tcPr>
          <w:p w14:paraId="7E81D1E6" w14:textId="3D012E6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445</w:t>
            </w:r>
            <w:r w:rsidRPr="00734942">
              <w:rPr>
                <w:rFonts w:ascii="Arial" w:eastAsia="Arial" w:hAnsi="Arial" w:cs="Arial"/>
                <w:color w:val="111111"/>
                <w:sz w:val="18"/>
                <w:szCs w:val="18"/>
              </w:rPr>
              <w:fldChar w:fldCharType="end"/>
            </w:r>
          </w:p>
        </w:tc>
      </w:tr>
      <w:tr w:rsidR="00C8418F" w:rsidRPr="00734942" w14:paraId="21F30F3A" w14:textId="77777777" w:rsidTr="00F74B40">
        <w:trPr>
          <w:cantSplit/>
          <w:jc w:val="center"/>
        </w:trPr>
        <w:tc>
          <w:tcPr>
            <w:tcW w:w="806" w:type="pct"/>
            <w:shd w:val="clear" w:color="auto" w:fill="FFFFFF"/>
            <w:tcMar>
              <w:top w:w="0" w:type="dxa"/>
              <w:left w:w="0" w:type="dxa"/>
              <w:bottom w:w="0" w:type="dxa"/>
              <w:right w:w="0" w:type="dxa"/>
            </w:tcMar>
            <w:vAlign w:val="center"/>
          </w:tcPr>
          <w:p w14:paraId="1EDF54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78AC6AA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0" w:type="pct"/>
            <w:shd w:val="clear" w:color="auto" w:fill="FFFFFF"/>
            <w:tcMar>
              <w:top w:w="0" w:type="dxa"/>
              <w:left w:w="0" w:type="dxa"/>
              <w:bottom w:w="0" w:type="dxa"/>
              <w:right w:w="0" w:type="dxa"/>
            </w:tcMar>
            <w:vAlign w:val="center"/>
          </w:tcPr>
          <w:p w14:paraId="098581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61C537A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527</w:t>
            </w:r>
          </w:p>
        </w:tc>
        <w:tc>
          <w:tcPr>
            <w:tcW w:w="362" w:type="pct"/>
            <w:shd w:val="clear" w:color="auto" w:fill="FFFFFF"/>
            <w:tcMar>
              <w:top w:w="0" w:type="dxa"/>
              <w:left w:w="0" w:type="dxa"/>
              <w:bottom w:w="0" w:type="dxa"/>
              <w:right w:w="0" w:type="dxa"/>
            </w:tcMar>
            <w:vAlign w:val="center"/>
          </w:tcPr>
          <w:p w14:paraId="65F4F80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01DD0A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type 1 diabetes</w:t>
            </w:r>
          </w:p>
        </w:tc>
        <w:tc>
          <w:tcPr>
            <w:tcW w:w="725" w:type="pct"/>
            <w:shd w:val="clear" w:color="auto" w:fill="FFFFFF"/>
            <w:tcMar>
              <w:top w:w="0" w:type="dxa"/>
              <w:left w:w="0" w:type="dxa"/>
              <w:bottom w:w="0" w:type="dxa"/>
              <w:right w:w="0" w:type="dxa"/>
            </w:tcMar>
            <w:vAlign w:val="center"/>
          </w:tcPr>
          <w:p w14:paraId="17ED78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2" w:type="pct"/>
            <w:shd w:val="clear" w:color="auto" w:fill="FFFFFF"/>
            <w:tcMar>
              <w:top w:w="0" w:type="dxa"/>
              <w:left w:w="0" w:type="dxa"/>
              <w:bottom w:w="0" w:type="dxa"/>
              <w:right w:w="0" w:type="dxa"/>
            </w:tcMar>
            <w:vAlign w:val="center"/>
          </w:tcPr>
          <w:p w14:paraId="0C2C72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202D70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Malaysia</w:t>
            </w:r>
          </w:p>
        </w:tc>
        <w:tc>
          <w:tcPr>
            <w:tcW w:w="369" w:type="pct"/>
            <w:shd w:val="clear" w:color="auto" w:fill="FFFFFF"/>
            <w:tcMar>
              <w:top w:w="0" w:type="dxa"/>
              <w:left w:w="0" w:type="dxa"/>
              <w:bottom w:w="0" w:type="dxa"/>
              <w:right w:w="0" w:type="dxa"/>
            </w:tcMar>
            <w:vAlign w:val="center"/>
          </w:tcPr>
          <w:p w14:paraId="0A3EB003" w14:textId="1AE179F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287</w:t>
            </w:r>
            <w:r w:rsidRPr="00734942">
              <w:rPr>
                <w:rFonts w:ascii="Arial" w:eastAsia="Arial" w:hAnsi="Arial" w:cs="Arial"/>
                <w:color w:val="111111"/>
                <w:sz w:val="18"/>
                <w:szCs w:val="18"/>
              </w:rPr>
              <w:fldChar w:fldCharType="end"/>
            </w:r>
          </w:p>
        </w:tc>
      </w:tr>
      <w:tr w:rsidR="00C8418F" w:rsidRPr="00734942" w14:paraId="192A71FB" w14:textId="77777777" w:rsidTr="00F74B40">
        <w:trPr>
          <w:cantSplit/>
          <w:jc w:val="center"/>
        </w:trPr>
        <w:tc>
          <w:tcPr>
            <w:tcW w:w="806" w:type="pct"/>
            <w:shd w:val="clear" w:color="auto" w:fill="FFFFFF"/>
            <w:tcMar>
              <w:top w:w="0" w:type="dxa"/>
              <w:left w:w="0" w:type="dxa"/>
              <w:bottom w:w="0" w:type="dxa"/>
              <w:right w:w="0" w:type="dxa"/>
            </w:tcMar>
            <w:vAlign w:val="center"/>
          </w:tcPr>
          <w:p w14:paraId="049BD70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6994C8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380" w:type="pct"/>
            <w:shd w:val="clear" w:color="auto" w:fill="FFFFFF"/>
            <w:tcMar>
              <w:top w:w="0" w:type="dxa"/>
              <w:left w:w="0" w:type="dxa"/>
              <w:bottom w:w="0" w:type="dxa"/>
              <w:right w:w="0" w:type="dxa"/>
            </w:tcMar>
            <w:vAlign w:val="center"/>
          </w:tcPr>
          <w:p w14:paraId="0BDA40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4EEB9FE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6,919</w:t>
            </w:r>
          </w:p>
        </w:tc>
        <w:tc>
          <w:tcPr>
            <w:tcW w:w="362" w:type="pct"/>
            <w:shd w:val="clear" w:color="auto" w:fill="FFFFFF"/>
            <w:tcMar>
              <w:top w:w="0" w:type="dxa"/>
              <w:left w:w="0" w:type="dxa"/>
              <w:bottom w:w="0" w:type="dxa"/>
              <w:right w:w="0" w:type="dxa"/>
            </w:tcMar>
            <w:vAlign w:val="center"/>
          </w:tcPr>
          <w:p w14:paraId="4062B86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26497D4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type 1 diabetes</w:t>
            </w:r>
          </w:p>
        </w:tc>
        <w:tc>
          <w:tcPr>
            <w:tcW w:w="725" w:type="pct"/>
            <w:shd w:val="clear" w:color="auto" w:fill="FFFFFF"/>
            <w:tcMar>
              <w:top w:w="0" w:type="dxa"/>
              <w:left w:w="0" w:type="dxa"/>
              <w:bottom w:w="0" w:type="dxa"/>
              <w:right w:w="0" w:type="dxa"/>
            </w:tcMar>
            <w:vAlign w:val="center"/>
          </w:tcPr>
          <w:p w14:paraId="6C5793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2" w:type="pct"/>
            <w:shd w:val="clear" w:color="auto" w:fill="FFFFFF"/>
            <w:tcMar>
              <w:top w:w="0" w:type="dxa"/>
              <w:left w:w="0" w:type="dxa"/>
              <w:bottom w:w="0" w:type="dxa"/>
              <w:right w:w="0" w:type="dxa"/>
            </w:tcMar>
            <w:vAlign w:val="center"/>
          </w:tcPr>
          <w:p w14:paraId="76CF55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4" w:type="pct"/>
            <w:shd w:val="clear" w:color="auto" w:fill="FFFFFF"/>
            <w:tcMar>
              <w:top w:w="0" w:type="dxa"/>
              <w:left w:w="0" w:type="dxa"/>
              <w:bottom w:w="0" w:type="dxa"/>
              <w:right w:w="0" w:type="dxa"/>
            </w:tcMar>
            <w:vAlign w:val="center"/>
          </w:tcPr>
          <w:p w14:paraId="0B0D2A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69" w:type="pct"/>
            <w:shd w:val="clear" w:color="auto" w:fill="FFFFFF"/>
            <w:tcMar>
              <w:top w:w="0" w:type="dxa"/>
              <w:left w:w="0" w:type="dxa"/>
              <w:bottom w:w="0" w:type="dxa"/>
              <w:right w:w="0" w:type="dxa"/>
            </w:tcMar>
            <w:vAlign w:val="center"/>
          </w:tcPr>
          <w:p w14:paraId="1335FCA8" w14:textId="18EA91A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333</w:t>
            </w:r>
            <w:r w:rsidRPr="00734942">
              <w:rPr>
                <w:rFonts w:ascii="Arial" w:eastAsia="Arial" w:hAnsi="Arial" w:cs="Arial"/>
                <w:color w:val="111111"/>
                <w:sz w:val="18"/>
                <w:szCs w:val="18"/>
              </w:rPr>
              <w:fldChar w:fldCharType="end"/>
            </w:r>
          </w:p>
        </w:tc>
      </w:tr>
      <w:tr w:rsidR="00C8418F" w:rsidRPr="00734942" w14:paraId="5B77582B" w14:textId="77777777" w:rsidTr="00F74B40">
        <w:trPr>
          <w:cantSplit/>
          <w:jc w:val="center"/>
        </w:trPr>
        <w:tc>
          <w:tcPr>
            <w:tcW w:w="806" w:type="pct"/>
            <w:shd w:val="clear" w:color="auto" w:fill="FFFFFF"/>
            <w:tcMar>
              <w:top w:w="0" w:type="dxa"/>
              <w:left w:w="0" w:type="dxa"/>
              <w:bottom w:w="0" w:type="dxa"/>
              <w:right w:w="0" w:type="dxa"/>
            </w:tcMar>
            <w:vAlign w:val="center"/>
          </w:tcPr>
          <w:p w14:paraId="0C635F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47" w:type="pct"/>
            <w:shd w:val="clear" w:color="auto" w:fill="FFFFFF"/>
            <w:tcMar>
              <w:top w:w="0" w:type="dxa"/>
              <w:left w:w="0" w:type="dxa"/>
              <w:bottom w:w="0" w:type="dxa"/>
              <w:right w:w="0" w:type="dxa"/>
            </w:tcMar>
            <w:vAlign w:val="center"/>
          </w:tcPr>
          <w:p w14:paraId="5B51EA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380" w:type="pct"/>
            <w:shd w:val="clear" w:color="auto" w:fill="FFFFFF"/>
            <w:tcMar>
              <w:top w:w="0" w:type="dxa"/>
              <w:left w:w="0" w:type="dxa"/>
              <w:bottom w:w="0" w:type="dxa"/>
              <w:right w:w="0" w:type="dxa"/>
            </w:tcMar>
            <w:vAlign w:val="center"/>
          </w:tcPr>
          <w:p w14:paraId="70AFC8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22BC9CC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362" w:type="pct"/>
            <w:shd w:val="clear" w:color="auto" w:fill="FFFFFF"/>
            <w:tcMar>
              <w:top w:w="0" w:type="dxa"/>
              <w:left w:w="0" w:type="dxa"/>
              <w:bottom w:w="0" w:type="dxa"/>
              <w:right w:w="0" w:type="dxa"/>
            </w:tcMar>
            <w:vAlign w:val="center"/>
          </w:tcPr>
          <w:p w14:paraId="38D6F58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29960C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type 1 diabetes</w:t>
            </w:r>
          </w:p>
        </w:tc>
        <w:tc>
          <w:tcPr>
            <w:tcW w:w="725" w:type="pct"/>
            <w:shd w:val="clear" w:color="auto" w:fill="FFFFFF"/>
            <w:tcMar>
              <w:top w:w="0" w:type="dxa"/>
              <w:left w:w="0" w:type="dxa"/>
              <w:bottom w:w="0" w:type="dxa"/>
              <w:right w:w="0" w:type="dxa"/>
            </w:tcMar>
            <w:vAlign w:val="center"/>
          </w:tcPr>
          <w:p w14:paraId="7C5F81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2" w:type="pct"/>
            <w:shd w:val="clear" w:color="auto" w:fill="FFFFFF"/>
            <w:tcMar>
              <w:top w:w="0" w:type="dxa"/>
              <w:left w:w="0" w:type="dxa"/>
              <w:bottom w:w="0" w:type="dxa"/>
              <w:right w:w="0" w:type="dxa"/>
            </w:tcMar>
            <w:vAlign w:val="center"/>
          </w:tcPr>
          <w:p w14:paraId="76F639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44" w:type="pct"/>
            <w:shd w:val="clear" w:color="auto" w:fill="FFFFFF"/>
            <w:tcMar>
              <w:top w:w="0" w:type="dxa"/>
              <w:left w:w="0" w:type="dxa"/>
              <w:bottom w:w="0" w:type="dxa"/>
              <w:right w:w="0" w:type="dxa"/>
            </w:tcMar>
            <w:vAlign w:val="center"/>
          </w:tcPr>
          <w:p w14:paraId="5F05CE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7CDD93AD" w14:textId="585B3D7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C8418F" w:rsidRPr="00734942" w14:paraId="71A350F8" w14:textId="77777777" w:rsidTr="00F74B40">
        <w:trPr>
          <w:cantSplit/>
          <w:jc w:val="center"/>
        </w:trPr>
        <w:tc>
          <w:tcPr>
            <w:tcW w:w="806" w:type="pct"/>
            <w:shd w:val="clear" w:color="auto" w:fill="FFFFFF"/>
            <w:tcMar>
              <w:top w:w="0" w:type="dxa"/>
              <w:left w:w="0" w:type="dxa"/>
              <w:bottom w:w="0" w:type="dxa"/>
              <w:right w:w="0" w:type="dxa"/>
            </w:tcMar>
            <w:vAlign w:val="center"/>
          </w:tcPr>
          <w:p w14:paraId="0C7E61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676CA3C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4DD516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02D80E0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1,750</w:t>
            </w:r>
          </w:p>
        </w:tc>
        <w:tc>
          <w:tcPr>
            <w:tcW w:w="362" w:type="pct"/>
            <w:shd w:val="clear" w:color="auto" w:fill="FFFFFF"/>
            <w:tcMar>
              <w:top w:w="0" w:type="dxa"/>
              <w:left w:w="0" w:type="dxa"/>
              <w:bottom w:w="0" w:type="dxa"/>
              <w:right w:w="0" w:type="dxa"/>
            </w:tcMar>
            <w:vAlign w:val="center"/>
          </w:tcPr>
          <w:p w14:paraId="359E5FA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17C79B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 without type 1 diabetes</w:t>
            </w:r>
          </w:p>
        </w:tc>
        <w:tc>
          <w:tcPr>
            <w:tcW w:w="725" w:type="pct"/>
            <w:shd w:val="clear" w:color="auto" w:fill="FFFFFF"/>
            <w:tcMar>
              <w:top w:w="0" w:type="dxa"/>
              <w:left w:w="0" w:type="dxa"/>
              <w:bottom w:w="0" w:type="dxa"/>
              <w:right w:w="0" w:type="dxa"/>
            </w:tcMar>
            <w:vAlign w:val="center"/>
          </w:tcPr>
          <w:p w14:paraId="5FB1D3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Other</w:t>
            </w:r>
          </w:p>
        </w:tc>
        <w:tc>
          <w:tcPr>
            <w:tcW w:w="492" w:type="pct"/>
            <w:shd w:val="clear" w:color="auto" w:fill="FFFFFF"/>
            <w:tcMar>
              <w:top w:w="0" w:type="dxa"/>
              <w:left w:w="0" w:type="dxa"/>
              <w:bottom w:w="0" w:type="dxa"/>
              <w:right w:w="0" w:type="dxa"/>
            </w:tcMar>
            <w:vAlign w:val="center"/>
          </w:tcPr>
          <w:p w14:paraId="440DC9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5FFCCD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Egypt</w:t>
            </w:r>
          </w:p>
        </w:tc>
        <w:tc>
          <w:tcPr>
            <w:tcW w:w="369" w:type="pct"/>
            <w:shd w:val="clear" w:color="auto" w:fill="FFFFFF"/>
            <w:tcMar>
              <w:top w:w="0" w:type="dxa"/>
              <w:left w:w="0" w:type="dxa"/>
              <w:bottom w:w="0" w:type="dxa"/>
              <w:right w:w="0" w:type="dxa"/>
            </w:tcMar>
            <w:vAlign w:val="center"/>
          </w:tcPr>
          <w:p w14:paraId="005901B6" w14:textId="3DEF6F1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dS1aZWtyeTwvQXV0aG9yPjxZZWFyPjIwMDg8L1llYXI+PFJlY051bT4yNjQ8L1JlY051bT48RGlz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dS1aZWtyeTwvQXV0aG9yPjxZZWFyPjIwMDg8L1llYXI+PFJlY051bT4yNjQ8L1JlY051bT48RGlz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446</w:t>
            </w:r>
            <w:r w:rsidRPr="00734942">
              <w:rPr>
                <w:rFonts w:ascii="Arial" w:eastAsia="Arial" w:hAnsi="Arial" w:cs="Arial"/>
                <w:color w:val="111111"/>
                <w:sz w:val="18"/>
                <w:szCs w:val="18"/>
              </w:rPr>
              <w:fldChar w:fldCharType="end"/>
            </w:r>
          </w:p>
        </w:tc>
      </w:tr>
      <w:tr w:rsidR="00C8418F" w:rsidRPr="00734942" w14:paraId="05BACDDF" w14:textId="77777777" w:rsidTr="00F74B40">
        <w:trPr>
          <w:cantSplit/>
          <w:jc w:val="center"/>
        </w:trPr>
        <w:tc>
          <w:tcPr>
            <w:tcW w:w="806" w:type="pct"/>
            <w:shd w:val="clear" w:color="auto" w:fill="FFFFFF"/>
            <w:tcMar>
              <w:top w:w="0" w:type="dxa"/>
              <w:left w:w="0" w:type="dxa"/>
              <w:bottom w:w="0" w:type="dxa"/>
              <w:right w:w="0" w:type="dxa"/>
            </w:tcMar>
            <w:vAlign w:val="center"/>
          </w:tcPr>
          <w:p w14:paraId="2166409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6AC8CA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341BF4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2F7BE52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971</w:t>
            </w:r>
          </w:p>
        </w:tc>
        <w:tc>
          <w:tcPr>
            <w:tcW w:w="362" w:type="pct"/>
            <w:shd w:val="clear" w:color="auto" w:fill="FFFFFF"/>
            <w:tcMar>
              <w:top w:w="0" w:type="dxa"/>
              <w:left w:w="0" w:type="dxa"/>
              <w:bottom w:w="0" w:type="dxa"/>
              <w:right w:w="0" w:type="dxa"/>
            </w:tcMar>
            <w:vAlign w:val="center"/>
          </w:tcPr>
          <w:p w14:paraId="3F135C9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64D4E3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562897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2" w:type="pct"/>
            <w:shd w:val="clear" w:color="auto" w:fill="FFFFFF"/>
            <w:tcMar>
              <w:top w:w="0" w:type="dxa"/>
              <w:left w:w="0" w:type="dxa"/>
              <w:bottom w:w="0" w:type="dxa"/>
              <w:right w:w="0" w:type="dxa"/>
            </w:tcMar>
            <w:vAlign w:val="center"/>
          </w:tcPr>
          <w:p w14:paraId="6E5BB3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4" w:type="pct"/>
            <w:shd w:val="clear" w:color="auto" w:fill="FFFFFF"/>
            <w:tcMar>
              <w:top w:w="0" w:type="dxa"/>
              <w:left w:w="0" w:type="dxa"/>
              <w:bottom w:w="0" w:type="dxa"/>
              <w:right w:w="0" w:type="dxa"/>
            </w:tcMar>
            <w:vAlign w:val="center"/>
          </w:tcPr>
          <w:p w14:paraId="4F0AD9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6E3BC328" w14:textId="3F719181"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PEVuZE5vdGU+PENpdGUgRXhjbHVkZUF1dGg9IjEiIEV4Y2x1ZGVZZWFyPSIxIj48QXV0aG9yPkFk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PEVuZE5vdGU+PENpdGUgRXhjbHVkZUF1dGg9IjEiIEV4Y2x1ZGVZZWFyPSIxIj48QXV0aG9yPkFk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447</w:t>
            </w:r>
            <w:r w:rsidRPr="00734942">
              <w:rPr>
                <w:rFonts w:ascii="Arial" w:eastAsia="Arial" w:hAnsi="Arial" w:cs="Arial"/>
                <w:color w:val="111111"/>
                <w:sz w:val="18"/>
                <w:szCs w:val="18"/>
              </w:rPr>
              <w:fldChar w:fldCharType="end"/>
            </w:r>
          </w:p>
        </w:tc>
      </w:tr>
      <w:tr w:rsidR="00C8418F" w:rsidRPr="00734942" w14:paraId="0F39E689" w14:textId="77777777" w:rsidTr="00F74B40">
        <w:trPr>
          <w:cantSplit/>
          <w:jc w:val="center"/>
        </w:trPr>
        <w:tc>
          <w:tcPr>
            <w:tcW w:w="806" w:type="pct"/>
            <w:shd w:val="clear" w:color="auto" w:fill="FFFFFF"/>
            <w:tcMar>
              <w:top w:w="0" w:type="dxa"/>
              <w:left w:w="0" w:type="dxa"/>
              <w:bottom w:w="0" w:type="dxa"/>
              <w:right w:w="0" w:type="dxa"/>
            </w:tcMar>
            <w:vAlign w:val="center"/>
          </w:tcPr>
          <w:p w14:paraId="6A788C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2DBA7AB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660236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7DFBBBD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1,363</w:t>
            </w:r>
          </w:p>
        </w:tc>
        <w:tc>
          <w:tcPr>
            <w:tcW w:w="362" w:type="pct"/>
            <w:shd w:val="clear" w:color="auto" w:fill="FFFFFF"/>
            <w:tcMar>
              <w:top w:w="0" w:type="dxa"/>
              <w:left w:w="0" w:type="dxa"/>
              <w:bottom w:w="0" w:type="dxa"/>
              <w:right w:w="0" w:type="dxa"/>
            </w:tcMar>
            <w:vAlign w:val="center"/>
          </w:tcPr>
          <w:p w14:paraId="3D62219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78B05D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20F72D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92" w:type="pct"/>
            <w:shd w:val="clear" w:color="auto" w:fill="FFFFFF"/>
            <w:tcMar>
              <w:top w:w="0" w:type="dxa"/>
              <w:left w:w="0" w:type="dxa"/>
              <w:bottom w:w="0" w:type="dxa"/>
              <w:right w:w="0" w:type="dxa"/>
            </w:tcMar>
            <w:vAlign w:val="center"/>
          </w:tcPr>
          <w:p w14:paraId="458952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44" w:type="pct"/>
            <w:shd w:val="clear" w:color="auto" w:fill="FFFFFF"/>
            <w:tcMar>
              <w:top w:w="0" w:type="dxa"/>
              <w:left w:w="0" w:type="dxa"/>
              <w:bottom w:w="0" w:type="dxa"/>
              <w:right w:w="0" w:type="dxa"/>
            </w:tcMar>
            <w:vAlign w:val="center"/>
          </w:tcPr>
          <w:p w14:paraId="40394F1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Denmark</w:t>
            </w:r>
          </w:p>
        </w:tc>
        <w:tc>
          <w:tcPr>
            <w:tcW w:w="369" w:type="pct"/>
            <w:shd w:val="clear" w:color="auto" w:fill="FFFFFF"/>
            <w:tcMar>
              <w:top w:w="0" w:type="dxa"/>
              <w:left w:w="0" w:type="dxa"/>
              <w:bottom w:w="0" w:type="dxa"/>
              <w:right w:w="0" w:type="dxa"/>
            </w:tcMar>
            <w:vAlign w:val="center"/>
          </w:tcPr>
          <w:p w14:paraId="719C2B66" w14:textId="15EE67E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PEVuZE5vdGU+PENpdGUgRXhjbHVkZUF1dGg9IjEiIEV4Y2x1ZGVZZWFyPSIxIj48QXV0aG9yPkFk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PEVuZE5vdGU+PENpdGUgRXhjbHVkZUF1dGg9IjEiIEV4Y2x1ZGVZZWFyPSIxIj48QXV0aG9yPkFk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447</w:t>
            </w:r>
            <w:r w:rsidRPr="00734942">
              <w:rPr>
                <w:rFonts w:ascii="Arial" w:eastAsia="Arial" w:hAnsi="Arial" w:cs="Arial"/>
                <w:color w:val="111111"/>
                <w:sz w:val="18"/>
                <w:szCs w:val="18"/>
              </w:rPr>
              <w:fldChar w:fldCharType="end"/>
            </w:r>
          </w:p>
        </w:tc>
      </w:tr>
      <w:tr w:rsidR="00C8418F" w:rsidRPr="00734942" w14:paraId="528E1C97" w14:textId="77777777" w:rsidTr="00F74B40">
        <w:trPr>
          <w:cantSplit/>
          <w:jc w:val="center"/>
        </w:trPr>
        <w:tc>
          <w:tcPr>
            <w:tcW w:w="806" w:type="pct"/>
            <w:shd w:val="clear" w:color="auto" w:fill="FFFFFF"/>
            <w:tcMar>
              <w:top w:w="0" w:type="dxa"/>
              <w:left w:w="0" w:type="dxa"/>
              <w:bottom w:w="0" w:type="dxa"/>
              <w:right w:w="0" w:type="dxa"/>
            </w:tcMar>
            <w:vAlign w:val="center"/>
          </w:tcPr>
          <w:p w14:paraId="3B4DE0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35AF1F3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A4D20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BDA211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335</w:t>
            </w:r>
          </w:p>
        </w:tc>
        <w:tc>
          <w:tcPr>
            <w:tcW w:w="362" w:type="pct"/>
            <w:shd w:val="clear" w:color="auto" w:fill="FFFFFF"/>
            <w:tcMar>
              <w:top w:w="0" w:type="dxa"/>
              <w:left w:w="0" w:type="dxa"/>
              <w:bottom w:w="0" w:type="dxa"/>
              <w:right w:w="0" w:type="dxa"/>
            </w:tcMar>
            <w:vAlign w:val="center"/>
          </w:tcPr>
          <w:p w14:paraId="1A346F4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689D13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6CF40F9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6A06E0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24E28DF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USA</w:t>
            </w:r>
          </w:p>
        </w:tc>
        <w:tc>
          <w:tcPr>
            <w:tcW w:w="369" w:type="pct"/>
            <w:shd w:val="clear" w:color="auto" w:fill="FFFFFF"/>
            <w:tcMar>
              <w:top w:w="0" w:type="dxa"/>
              <w:left w:w="0" w:type="dxa"/>
              <w:bottom w:w="0" w:type="dxa"/>
              <w:right w:w="0" w:type="dxa"/>
            </w:tcMar>
            <w:vAlign w:val="center"/>
          </w:tcPr>
          <w:p w14:paraId="226D34C5" w14:textId="4C7BE55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PEVuZE5vdGU+PENpdGUgRXhjbHVkZUF1dGg9IjEiIEV4Y2x1ZGVZZWFyPSIxIj48QXV0aG9yPkFr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PEVuZE5vdGU+PENpdGUgRXhjbHVkZUF1dGg9IjEiIEV4Y2x1ZGVZZWFyPSIxIj48QXV0aG9yPkFr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448</w:t>
            </w:r>
            <w:r w:rsidRPr="00734942">
              <w:rPr>
                <w:rFonts w:ascii="Arial" w:eastAsia="Arial" w:hAnsi="Arial" w:cs="Arial"/>
                <w:color w:val="111111"/>
                <w:sz w:val="18"/>
                <w:szCs w:val="18"/>
              </w:rPr>
              <w:fldChar w:fldCharType="end"/>
            </w:r>
          </w:p>
        </w:tc>
      </w:tr>
      <w:tr w:rsidR="00C8418F" w:rsidRPr="00734942" w14:paraId="072AD298" w14:textId="77777777" w:rsidTr="00F74B40">
        <w:trPr>
          <w:cantSplit/>
          <w:jc w:val="center"/>
        </w:trPr>
        <w:tc>
          <w:tcPr>
            <w:tcW w:w="806" w:type="pct"/>
            <w:shd w:val="clear" w:color="auto" w:fill="FFFFFF"/>
            <w:tcMar>
              <w:top w:w="0" w:type="dxa"/>
              <w:left w:w="0" w:type="dxa"/>
              <w:bottom w:w="0" w:type="dxa"/>
              <w:right w:w="0" w:type="dxa"/>
            </w:tcMar>
            <w:vAlign w:val="center"/>
          </w:tcPr>
          <w:p w14:paraId="30EBC1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5F68FE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59EB83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B24657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209</w:t>
            </w:r>
          </w:p>
        </w:tc>
        <w:tc>
          <w:tcPr>
            <w:tcW w:w="362" w:type="pct"/>
            <w:shd w:val="clear" w:color="auto" w:fill="FFFFFF"/>
            <w:tcMar>
              <w:top w:w="0" w:type="dxa"/>
              <w:left w:w="0" w:type="dxa"/>
              <w:bottom w:w="0" w:type="dxa"/>
              <w:right w:w="0" w:type="dxa"/>
            </w:tcMar>
            <w:vAlign w:val="center"/>
          </w:tcPr>
          <w:p w14:paraId="7E555AB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2B874D6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00B0E6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1D94CD6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099AA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69" w:type="pct"/>
            <w:shd w:val="clear" w:color="auto" w:fill="FFFFFF"/>
            <w:tcMar>
              <w:top w:w="0" w:type="dxa"/>
              <w:left w:w="0" w:type="dxa"/>
              <w:bottom w:w="0" w:type="dxa"/>
              <w:right w:w="0" w:type="dxa"/>
            </w:tcMar>
            <w:vAlign w:val="center"/>
          </w:tcPr>
          <w:p w14:paraId="521EEB04" w14:textId="2D50830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PEVuZE5vdGU+PENpdGUgRXhjbHVkZUF1dGg9IjEiIEV4Y2x1ZGVZZWFyPSIxIj48QXV0aG9yPkJh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PEVuZE5vdGU+PENpdGUgRXhjbHVkZUF1dGg9IjEiIEV4Y2x1ZGVZZWFyPSIxIj48QXV0aG9yPkJh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449</w:t>
            </w:r>
            <w:r w:rsidRPr="00734942">
              <w:rPr>
                <w:rFonts w:ascii="Arial" w:eastAsia="Arial" w:hAnsi="Arial" w:cs="Arial"/>
                <w:color w:val="111111"/>
                <w:sz w:val="18"/>
                <w:szCs w:val="18"/>
              </w:rPr>
              <w:fldChar w:fldCharType="end"/>
            </w:r>
          </w:p>
        </w:tc>
      </w:tr>
      <w:tr w:rsidR="00C8418F" w:rsidRPr="00734942" w14:paraId="0504C85B" w14:textId="77777777" w:rsidTr="00F74B40">
        <w:trPr>
          <w:cantSplit/>
          <w:jc w:val="center"/>
        </w:trPr>
        <w:tc>
          <w:tcPr>
            <w:tcW w:w="806" w:type="pct"/>
            <w:shd w:val="clear" w:color="auto" w:fill="FFFFFF"/>
            <w:tcMar>
              <w:top w:w="0" w:type="dxa"/>
              <w:left w:w="0" w:type="dxa"/>
              <w:bottom w:w="0" w:type="dxa"/>
              <w:right w:w="0" w:type="dxa"/>
            </w:tcMar>
            <w:vAlign w:val="center"/>
          </w:tcPr>
          <w:p w14:paraId="10DDD86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29C3B0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53502F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4649886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246</w:t>
            </w:r>
          </w:p>
        </w:tc>
        <w:tc>
          <w:tcPr>
            <w:tcW w:w="362" w:type="pct"/>
            <w:shd w:val="clear" w:color="auto" w:fill="FFFFFF"/>
            <w:tcMar>
              <w:top w:w="0" w:type="dxa"/>
              <w:left w:w="0" w:type="dxa"/>
              <w:bottom w:w="0" w:type="dxa"/>
              <w:right w:w="0" w:type="dxa"/>
            </w:tcMar>
            <w:vAlign w:val="center"/>
          </w:tcPr>
          <w:p w14:paraId="0E02C41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1B28823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7C17463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23EEE4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1ECBBD4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Serbia</w:t>
            </w:r>
          </w:p>
        </w:tc>
        <w:tc>
          <w:tcPr>
            <w:tcW w:w="369" w:type="pct"/>
            <w:shd w:val="clear" w:color="auto" w:fill="FFFFFF"/>
            <w:tcMar>
              <w:top w:w="0" w:type="dxa"/>
              <w:left w:w="0" w:type="dxa"/>
              <w:bottom w:w="0" w:type="dxa"/>
              <w:right w:w="0" w:type="dxa"/>
            </w:tcMar>
            <w:vAlign w:val="center"/>
          </w:tcPr>
          <w:p w14:paraId="0929007F" w14:textId="1D3BEDA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PEVuZE5vdGU+PENpdGUgRXhjbHVkZUF1dGg9IjEiIEV4Y2x1ZGVZZWFyPSIxIj48QXV0aG9yPkRq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=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PEVuZE5vdGU+PENpdGUgRXhjbHVkZUF1dGg9IjEiIEV4Y2x1ZGVZZWFyPSIxIj48QXV0aG9yPkRq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=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450</w:t>
            </w:r>
            <w:r w:rsidRPr="00734942">
              <w:rPr>
                <w:rFonts w:ascii="Arial" w:eastAsia="Arial" w:hAnsi="Arial" w:cs="Arial"/>
                <w:color w:val="111111"/>
                <w:sz w:val="18"/>
                <w:szCs w:val="18"/>
              </w:rPr>
              <w:fldChar w:fldCharType="end"/>
            </w:r>
          </w:p>
        </w:tc>
      </w:tr>
      <w:tr w:rsidR="00C8418F" w:rsidRPr="00734942" w14:paraId="770BBC8E" w14:textId="77777777" w:rsidTr="00F74B40">
        <w:trPr>
          <w:cantSplit/>
          <w:jc w:val="center"/>
        </w:trPr>
        <w:tc>
          <w:tcPr>
            <w:tcW w:w="806" w:type="pct"/>
            <w:shd w:val="clear" w:color="auto" w:fill="FFFFFF"/>
            <w:tcMar>
              <w:top w:w="0" w:type="dxa"/>
              <w:left w:w="0" w:type="dxa"/>
              <w:bottom w:w="0" w:type="dxa"/>
              <w:right w:w="0" w:type="dxa"/>
            </w:tcMar>
            <w:vAlign w:val="center"/>
          </w:tcPr>
          <w:p w14:paraId="2386F1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0AF415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50EBD02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019CA99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394</w:t>
            </w:r>
          </w:p>
        </w:tc>
        <w:tc>
          <w:tcPr>
            <w:tcW w:w="362" w:type="pct"/>
            <w:shd w:val="clear" w:color="auto" w:fill="FFFFFF"/>
            <w:tcMar>
              <w:top w:w="0" w:type="dxa"/>
              <w:left w:w="0" w:type="dxa"/>
              <w:bottom w:w="0" w:type="dxa"/>
              <w:right w:w="0" w:type="dxa"/>
            </w:tcMar>
            <w:vAlign w:val="center"/>
          </w:tcPr>
          <w:p w14:paraId="72235F7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71" w:type="pct"/>
            <w:shd w:val="clear" w:color="auto" w:fill="FFFFFF"/>
            <w:tcMar>
              <w:top w:w="0" w:type="dxa"/>
              <w:left w:w="0" w:type="dxa"/>
              <w:bottom w:w="0" w:type="dxa"/>
              <w:right w:w="0" w:type="dxa"/>
            </w:tcMar>
            <w:vAlign w:val="center"/>
          </w:tcPr>
          <w:p w14:paraId="521184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0521E4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00545F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44" w:type="pct"/>
            <w:shd w:val="clear" w:color="auto" w:fill="FFFFFF"/>
            <w:tcMar>
              <w:top w:w="0" w:type="dxa"/>
              <w:left w:w="0" w:type="dxa"/>
              <w:bottom w:w="0" w:type="dxa"/>
              <w:right w:w="0" w:type="dxa"/>
            </w:tcMar>
            <w:vAlign w:val="center"/>
          </w:tcPr>
          <w:p w14:paraId="3FEA0E3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69" w:type="pct"/>
            <w:shd w:val="clear" w:color="auto" w:fill="FFFFFF"/>
            <w:tcMar>
              <w:top w:w="0" w:type="dxa"/>
              <w:left w:w="0" w:type="dxa"/>
              <w:bottom w:w="0" w:type="dxa"/>
              <w:right w:w="0" w:type="dxa"/>
            </w:tcMar>
            <w:vAlign w:val="center"/>
          </w:tcPr>
          <w:p w14:paraId="112FEFB5" w14:textId="65C1682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PEVuZE5vdGU+PENpdGUgRXhjbHVkZUF1dGg9IjEiIEV4Y2x1ZGVZZWFyPSIxIj48QXV0aG9yPkZy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PEVuZE5vdGU+PENpdGUgRXhjbHVkZUF1dGg9IjEiIEV4Y2x1ZGVZZWFyPSIxIj48QXV0aG9yPkZy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451</w:t>
            </w:r>
            <w:r w:rsidRPr="00734942">
              <w:rPr>
                <w:rFonts w:ascii="Arial" w:eastAsia="Arial" w:hAnsi="Arial" w:cs="Arial"/>
                <w:color w:val="111111"/>
                <w:sz w:val="18"/>
                <w:szCs w:val="18"/>
              </w:rPr>
              <w:fldChar w:fldCharType="end"/>
            </w:r>
          </w:p>
        </w:tc>
      </w:tr>
      <w:tr w:rsidR="00C8418F" w:rsidRPr="00734942" w14:paraId="1E32CD17" w14:textId="77777777" w:rsidTr="00F74B40">
        <w:trPr>
          <w:cantSplit/>
          <w:jc w:val="center"/>
        </w:trPr>
        <w:tc>
          <w:tcPr>
            <w:tcW w:w="806" w:type="pct"/>
            <w:shd w:val="clear" w:color="auto" w:fill="FFFFFF"/>
            <w:tcMar>
              <w:top w:w="0" w:type="dxa"/>
              <w:left w:w="0" w:type="dxa"/>
              <w:bottom w:w="0" w:type="dxa"/>
              <w:right w:w="0" w:type="dxa"/>
            </w:tcMar>
            <w:vAlign w:val="center"/>
          </w:tcPr>
          <w:p w14:paraId="184D90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72AFE3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60BBEF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24D375F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272</w:t>
            </w:r>
          </w:p>
        </w:tc>
        <w:tc>
          <w:tcPr>
            <w:tcW w:w="362" w:type="pct"/>
            <w:shd w:val="clear" w:color="auto" w:fill="FFFFFF"/>
            <w:tcMar>
              <w:top w:w="0" w:type="dxa"/>
              <w:left w:w="0" w:type="dxa"/>
              <w:bottom w:w="0" w:type="dxa"/>
              <w:right w:w="0" w:type="dxa"/>
            </w:tcMar>
            <w:vAlign w:val="center"/>
          </w:tcPr>
          <w:p w14:paraId="5F61CF7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4661B5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2D88F0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798846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BF312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Romania</w:t>
            </w:r>
          </w:p>
        </w:tc>
        <w:tc>
          <w:tcPr>
            <w:tcW w:w="369" w:type="pct"/>
            <w:shd w:val="clear" w:color="auto" w:fill="FFFFFF"/>
            <w:tcMar>
              <w:top w:w="0" w:type="dxa"/>
              <w:left w:w="0" w:type="dxa"/>
              <w:bottom w:w="0" w:type="dxa"/>
              <w:right w:w="0" w:type="dxa"/>
            </w:tcMar>
            <w:vAlign w:val="center"/>
          </w:tcPr>
          <w:p w14:paraId="372B9653" w14:textId="23F3C6F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ExcludeYear="1"&gt;&lt;Author&gt;Gurau&lt;/Author&gt;&lt;Year&gt;2012&lt;/Year&gt;&lt;RecNum&gt;270&lt;/RecNum&gt;&lt;DisplayText&gt;&lt;style face="superscript"&gt;452&lt;/style&gt;&lt;/DisplayText&gt;&lt;record&gt;&lt;rec-number&gt;270&lt;/rec-number&gt;&lt;foreign-keys&gt;&lt;key app="EN" db-id="tdwrx9xd1z9eepeevr355w2k959rv0f5zaax" timestamp="1632756142"&gt;270&lt;/key&gt;&lt;/foreign-keys&gt;&lt;ref-type name="Journal Article"&gt;17&lt;/ref-type&gt;&lt;contributors&gt;&lt;authors&gt;&lt;author&gt;Gurau, G.&lt;/author&gt;&lt;author&gt;Dobre, M.&lt;/author&gt;&lt;author&gt;Nechita, A.&lt;/author&gt;&lt;/authors&gt;&lt;/contributors&gt;&lt;titles&gt;&lt;title&gt;Anti-tissue transglutaminase antibodies in patients with anti-glutamate dehydrogenase positive type 1 diabetes mellitus&lt;/title&gt;&lt;secondary-title&gt;Revista Romana De Medicina De Laborator&lt;/secondary-title&gt;&lt;/titles&gt;&lt;periodical&gt;&lt;full-title&gt;Revista Romana De Medicina De Laborator&lt;/full-title&gt;&lt;/periodical&gt;&lt;pages&gt;39-46&lt;/pages&gt;&lt;volume&gt;20&lt;/volume&gt;&lt;number&gt;3&lt;/number&gt;&lt;dates&gt;&lt;year&gt;2012&lt;/year&gt;&lt;pub-dates&gt;&lt;date&gt;Sep&lt;/date&gt;&lt;/pub-dates&gt;&lt;/dates&gt;&lt;isbn&gt;1841-6624&lt;/isbn&gt;&lt;accession-num&gt;WOS:000309439200005&lt;/accession-num&gt;&lt;urls&gt;&lt;related-urls&gt;&lt;url&gt;&amp;lt;Go to ISI&amp;gt;://WOS:000309439200005&lt;/url&gt;&lt;/related-urls&gt;&lt;/urls&gt;&lt;remote-database-name&gt;Web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452</w:t>
            </w:r>
            <w:r w:rsidRPr="00734942">
              <w:rPr>
                <w:rFonts w:ascii="Arial" w:eastAsia="Arial" w:hAnsi="Arial" w:cs="Arial"/>
                <w:color w:val="111111"/>
                <w:sz w:val="18"/>
                <w:szCs w:val="18"/>
              </w:rPr>
              <w:fldChar w:fldCharType="end"/>
            </w:r>
          </w:p>
        </w:tc>
      </w:tr>
      <w:tr w:rsidR="00C8418F" w:rsidRPr="00734942" w14:paraId="720A0623" w14:textId="77777777" w:rsidTr="00F74B40">
        <w:trPr>
          <w:cantSplit/>
          <w:jc w:val="center"/>
        </w:trPr>
        <w:tc>
          <w:tcPr>
            <w:tcW w:w="806" w:type="pct"/>
            <w:shd w:val="clear" w:color="auto" w:fill="FFFFFF"/>
            <w:tcMar>
              <w:top w:w="0" w:type="dxa"/>
              <w:left w:w="0" w:type="dxa"/>
              <w:bottom w:w="0" w:type="dxa"/>
              <w:right w:w="0" w:type="dxa"/>
            </w:tcMar>
            <w:vAlign w:val="center"/>
          </w:tcPr>
          <w:p w14:paraId="1DF2A42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009039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3808E1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47B9FC2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w:t>
            </w:r>
          </w:p>
        </w:tc>
        <w:tc>
          <w:tcPr>
            <w:tcW w:w="362" w:type="pct"/>
            <w:shd w:val="clear" w:color="auto" w:fill="FFFFFF"/>
            <w:tcMar>
              <w:top w:w="0" w:type="dxa"/>
              <w:left w:w="0" w:type="dxa"/>
              <w:bottom w:w="0" w:type="dxa"/>
              <w:right w:w="0" w:type="dxa"/>
            </w:tcMar>
            <w:vAlign w:val="center"/>
          </w:tcPr>
          <w:p w14:paraId="450B744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6377C6C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05112F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7F4FD47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3495D3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69" w:type="pct"/>
            <w:shd w:val="clear" w:color="auto" w:fill="FFFFFF"/>
            <w:tcMar>
              <w:top w:w="0" w:type="dxa"/>
              <w:left w:w="0" w:type="dxa"/>
              <w:bottom w:w="0" w:type="dxa"/>
              <w:right w:w="0" w:type="dxa"/>
            </w:tcMar>
            <w:vAlign w:val="center"/>
          </w:tcPr>
          <w:p w14:paraId="72DF0D31" w14:textId="1EAA1F1B"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PEVuZE5vdGU+PENpdGUgRXhjbHVkZUF1dGg9IjEiIEV4Y2x1ZGVZZWFyPSIxIj48QXV0aG9yPkhh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PEVuZE5vdGU+PENpdGUgRXhjbHVkZUF1dGg9IjEiIEV4Y2x1ZGVZZWFyPSIxIj48QXV0aG9yPkhh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453</w:t>
            </w:r>
            <w:r w:rsidRPr="00734942">
              <w:rPr>
                <w:rFonts w:ascii="Arial" w:eastAsia="Arial" w:hAnsi="Arial" w:cs="Arial"/>
                <w:color w:val="111111"/>
                <w:sz w:val="18"/>
                <w:szCs w:val="18"/>
              </w:rPr>
              <w:fldChar w:fldCharType="end"/>
            </w:r>
          </w:p>
        </w:tc>
      </w:tr>
      <w:tr w:rsidR="00C8418F" w:rsidRPr="00734942" w14:paraId="28FE4B14" w14:textId="77777777" w:rsidTr="00F74B40">
        <w:trPr>
          <w:cantSplit/>
          <w:jc w:val="center"/>
        </w:trPr>
        <w:tc>
          <w:tcPr>
            <w:tcW w:w="806" w:type="pct"/>
            <w:shd w:val="clear" w:color="auto" w:fill="FFFFFF"/>
            <w:tcMar>
              <w:top w:w="0" w:type="dxa"/>
              <w:left w:w="0" w:type="dxa"/>
              <w:bottom w:w="0" w:type="dxa"/>
              <w:right w:w="0" w:type="dxa"/>
            </w:tcMar>
            <w:vAlign w:val="center"/>
          </w:tcPr>
          <w:p w14:paraId="059A57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0D2C69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7BD19E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3C8A54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197</w:t>
            </w:r>
          </w:p>
        </w:tc>
        <w:tc>
          <w:tcPr>
            <w:tcW w:w="362" w:type="pct"/>
            <w:shd w:val="clear" w:color="auto" w:fill="FFFFFF"/>
            <w:tcMar>
              <w:top w:w="0" w:type="dxa"/>
              <w:left w:w="0" w:type="dxa"/>
              <w:bottom w:w="0" w:type="dxa"/>
              <w:right w:w="0" w:type="dxa"/>
            </w:tcMar>
            <w:vAlign w:val="center"/>
          </w:tcPr>
          <w:p w14:paraId="337A888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71" w:type="pct"/>
            <w:shd w:val="clear" w:color="auto" w:fill="FFFFFF"/>
            <w:tcMar>
              <w:top w:w="0" w:type="dxa"/>
              <w:left w:w="0" w:type="dxa"/>
              <w:bottom w:w="0" w:type="dxa"/>
              <w:right w:w="0" w:type="dxa"/>
            </w:tcMar>
            <w:vAlign w:val="center"/>
          </w:tcPr>
          <w:p w14:paraId="7ED3E7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22781C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74F38F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3EDA98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Colombia</w:t>
            </w:r>
          </w:p>
        </w:tc>
        <w:tc>
          <w:tcPr>
            <w:tcW w:w="369" w:type="pct"/>
            <w:shd w:val="clear" w:color="auto" w:fill="FFFFFF"/>
            <w:tcMar>
              <w:top w:w="0" w:type="dxa"/>
              <w:left w:w="0" w:type="dxa"/>
              <w:bottom w:w="0" w:type="dxa"/>
              <w:right w:w="0" w:type="dxa"/>
            </w:tcMar>
            <w:vAlign w:val="center"/>
          </w:tcPr>
          <w:p w14:paraId="632BF90D" w14:textId="6531BF1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PEVuZE5vdGU+PENpdGUgRXhjbHVkZUF1dGg9IjEiIEV4Y2x1ZGVZZWFyPSIxIj48QXV0aG9yPkty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PEVuZE5vdGU+PENpdGUgRXhjbHVkZUF1dGg9IjEiIEV4Y2x1ZGVZZWFyPSIxIj48QXV0aG9yPkty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454</w:t>
            </w:r>
            <w:r w:rsidRPr="00734942">
              <w:rPr>
                <w:rFonts w:ascii="Arial" w:eastAsia="Arial" w:hAnsi="Arial" w:cs="Arial"/>
                <w:color w:val="111111"/>
                <w:sz w:val="18"/>
                <w:szCs w:val="18"/>
              </w:rPr>
              <w:fldChar w:fldCharType="end"/>
            </w:r>
          </w:p>
        </w:tc>
      </w:tr>
      <w:tr w:rsidR="00C8418F" w:rsidRPr="00734942" w14:paraId="6F0A1474" w14:textId="77777777" w:rsidTr="00F74B40">
        <w:trPr>
          <w:cantSplit/>
          <w:jc w:val="center"/>
        </w:trPr>
        <w:tc>
          <w:tcPr>
            <w:tcW w:w="806" w:type="pct"/>
            <w:shd w:val="clear" w:color="auto" w:fill="FFFFFF"/>
            <w:tcMar>
              <w:top w:w="0" w:type="dxa"/>
              <w:left w:w="0" w:type="dxa"/>
              <w:bottom w:w="0" w:type="dxa"/>
              <w:right w:w="0" w:type="dxa"/>
            </w:tcMar>
            <w:vAlign w:val="center"/>
          </w:tcPr>
          <w:p w14:paraId="3E9312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Children</w:t>
            </w:r>
          </w:p>
        </w:tc>
        <w:tc>
          <w:tcPr>
            <w:tcW w:w="547" w:type="pct"/>
            <w:shd w:val="clear" w:color="auto" w:fill="FFFFFF"/>
            <w:tcMar>
              <w:top w:w="0" w:type="dxa"/>
              <w:left w:w="0" w:type="dxa"/>
              <w:bottom w:w="0" w:type="dxa"/>
              <w:right w:w="0" w:type="dxa"/>
            </w:tcMar>
            <w:vAlign w:val="center"/>
          </w:tcPr>
          <w:p w14:paraId="2B3BDF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32E8CD2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28139D2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74</w:t>
            </w:r>
          </w:p>
        </w:tc>
        <w:tc>
          <w:tcPr>
            <w:tcW w:w="362" w:type="pct"/>
            <w:shd w:val="clear" w:color="auto" w:fill="FFFFFF"/>
            <w:tcMar>
              <w:top w:w="0" w:type="dxa"/>
              <w:left w:w="0" w:type="dxa"/>
              <w:bottom w:w="0" w:type="dxa"/>
              <w:right w:w="0" w:type="dxa"/>
            </w:tcMar>
            <w:vAlign w:val="center"/>
          </w:tcPr>
          <w:p w14:paraId="137F987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2107C2E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41CDC7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0E69805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006C48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552106AE" w14:textId="06A99DF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PEVuZE5vdGU+PENpdGUgRXhjbHVkZUF1dGg9IjEiIEV4Y2x1ZGVZZWFyPSIxIj48QXV0aG9yPlNv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PEVuZE5vdGU+PENpdGUgRXhjbHVkZUF1dGg9IjEiIEV4Y2x1ZGVZZWFyPSIxIj48QXV0aG9yPlNv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455</w:t>
            </w:r>
            <w:r w:rsidRPr="00734942">
              <w:rPr>
                <w:rFonts w:ascii="Arial" w:eastAsia="Arial" w:hAnsi="Arial" w:cs="Arial"/>
                <w:color w:val="111111"/>
                <w:sz w:val="18"/>
                <w:szCs w:val="18"/>
              </w:rPr>
              <w:fldChar w:fldCharType="end"/>
            </w:r>
          </w:p>
        </w:tc>
      </w:tr>
      <w:tr w:rsidR="00C8418F" w:rsidRPr="00734942" w14:paraId="650AD385" w14:textId="77777777" w:rsidTr="00F74B40">
        <w:trPr>
          <w:cantSplit/>
          <w:jc w:val="center"/>
        </w:trPr>
        <w:tc>
          <w:tcPr>
            <w:tcW w:w="806" w:type="pct"/>
            <w:shd w:val="clear" w:color="auto" w:fill="FFFFFF"/>
            <w:tcMar>
              <w:top w:w="0" w:type="dxa"/>
              <w:left w:w="0" w:type="dxa"/>
              <w:bottom w:w="0" w:type="dxa"/>
              <w:right w:w="0" w:type="dxa"/>
            </w:tcMar>
            <w:vAlign w:val="center"/>
          </w:tcPr>
          <w:p w14:paraId="70BFAA3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47" w:type="pct"/>
            <w:shd w:val="clear" w:color="auto" w:fill="FFFFFF"/>
            <w:tcMar>
              <w:top w:w="0" w:type="dxa"/>
              <w:left w:w="0" w:type="dxa"/>
              <w:bottom w:w="0" w:type="dxa"/>
              <w:right w:w="0" w:type="dxa"/>
            </w:tcMar>
            <w:vAlign w:val="center"/>
          </w:tcPr>
          <w:p w14:paraId="03F2C8F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41582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831CFA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446</w:t>
            </w:r>
          </w:p>
        </w:tc>
        <w:tc>
          <w:tcPr>
            <w:tcW w:w="362" w:type="pct"/>
            <w:shd w:val="clear" w:color="auto" w:fill="FFFFFF"/>
            <w:tcMar>
              <w:top w:w="0" w:type="dxa"/>
              <w:left w:w="0" w:type="dxa"/>
              <w:bottom w:w="0" w:type="dxa"/>
              <w:right w:w="0" w:type="dxa"/>
            </w:tcMar>
            <w:vAlign w:val="center"/>
          </w:tcPr>
          <w:p w14:paraId="49F6FDD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237453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40A7E9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04A81DB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4087BC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Colombia</w:t>
            </w:r>
          </w:p>
        </w:tc>
        <w:tc>
          <w:tcPr>
            <w:tcW w:w="369" w:type="pct"/>
            <w:shd w:val="clear" w:color="auto" w:fill="FFFFFF"/>
            <w:tcMar>
              <w:top w:w="0" w:type="dxa"/>
              <w:left w:w="0" w:type="dxa"/>
              <w:bottom w:w="0" w:type="dxa"/>
              <w:right w:w="0" w:type="dxa"/>
            </w:tcMar>
            <w:vAlign w:val="center"/>
          </w:tcPr>
          <w:p w14:paraId="3250E917" w14:textId="582FA857"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PEVuZE5vdGU+PENpdGUgRXhjbHVkZUF1dGg9IjEiIEV4Y2x1ZGVZZWFyPSIxIj48QXV0aG9yPlZl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PEVuZE5vdGU+PENpdGUgRXhjbHVkZUF1dGg9IjEiIEV4Y2x1ZGVZZWFyPSIxIj48QXV0aG9yPlZl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456</w:t>
            </w:r>
            <w:r w:rsidRPr="00734942">
              <w:rPr>
                <w:rFonts w:ascii="Arial" w:eastAsia="Arial" w:hAnsi="Arial" w:cs="Arial"/>
                <w:color w:val="111111"/>
                <w:sz w:val="18"/>
                <w:szCs w:val="18"/>
              </w:rPr>
              <w:fldChar w:fldCharType="end"/>
            </w:r>
          </w:p>
        </w:tc>
      </w:tr>
      <w:tr w:rsidR="00C8418F" w:rsidRPr="00734942" w14:paraId="4D4761E3" w14:textId="77777777" w:rsidTr="00F74B40">
        <w:trPr>
          <w:cantSplit/>
          <w:jc w:val="center"/>
        </w:trPr>
        <w:tc>
          <w:tcPr>
            <w:tcW w:w="806" w:type="pct"/>
            <w:shd w:val="clear" w:color="auto" w:fill="FFFFFF"/>
            <w:tcMar>
              <w:top w:w="0" w:type="dxa"/>
              <w:left w:w="0" w:type="dxa"/>
              <w:bottom w:w="0" w:type="dxa"/>
              <w:right w:w="0" w:type="dxa"/>
            </w:tcMar>
            <w:vAlign w:val="center"/>
          </w:tcPr>
          <w:p w14:paraId="6B6190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18E00A6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65FCF1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3C4104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4,491</w:t>
            </w:r>
          </w:p>
        </w:tc>
        <w:tc>
          <w:tcPr>
            <w:tcW w:w="362" w:type="pct"/>
            <w:shd w:val="clear" w:color="auto" w:fill="FFFFFF"/>
            <w:tcMar>
              <w:top w:w="0" w:type="dxa"/>
              <w:left w:w="0" w:type="dxa"/>
              <w:bottom w:w="0" w:type="dxa"/>
              <w:right w:w="0" w:type="dxa"/>
            </w:tcMar>
            <w:vAlign w:val="center"/>
          </w:tcPr>
          <w:p w14:paraId="03B0E33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340A492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09A5BE5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36836F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6B663D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4C64ACD6" w14:textId="51046E4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ExcludeYear="1"&gt;&lt;Author&gt;Not&lt;/Author&gt;&lt;Year&gt;2001&lt;/Year&gt;&lt;RecNum&gt;91&lt;/RecNum&gt;&lt;DisplayText&gt;&lt;style face="superscript"&gt;457&lt;/style&gt;&lt;/DisplayText&gt;&lt;record&gt;&lt;rec-number&gt;91&lt;/rec-number&gt;&lt;foreign-keys&gt;&lt;key app="EN" db-id="tdwrx9xd1z9eepeevr355w2k959rv0f5zaax" timestamp="1632756114"&gt;91&lt;/key&gt;&lt;/foreign-keys&gt;&lt;ref-type name="Journal Article"&gt;17&lt;/ref-type&gt;&lt;contributors&gt;&lt;authors&gt;&lt;author&gt;Not, T.&lt;/author&gt;&lt;author&gt;Tommasini, A.&lt;/author&gt;&lt;author&gt;Tonini, G.&lt;/author&gt;&lt;author&gt;Buratti, E.&lt;/author&gt;&lt;author&gt;Pocecco, M.&lt;/author&gt;&lt;author&gt;Tortul, C.&lt;/author&gt;&lt;author&gt;Valussi, M.&lt;/author&gt;&lt;author&gt;Crichiutti, G.&lt;/author&gt;&lt;author&gt;Berti, I.&lt;/author&gt;&lt;author&gt;Trevisiol, C.&lt;/author&gt;&lt;author&gt;Azzoni, E.&lt;/author&gt;&lt;author&gt;Neri, E.&lt;/author&gt;&lt;author&gt;Torre, G.&lt;/author&gt;&lt;author&gt;Martelossi, S.&lt;/author&gt;&lt;author&gt;Soban, M.&lt;/author&gt;&lt;author&gt;Lenhardt, A.&lt;/author&gt;&lt;author&gt;Cattin, L.&lt;/author&gt;&lt;author&gt;Ventura, A.&lt;/author&gt;&lt;/authors&gt;&lt;/contributors&gt;&lt;titles&gt;&lt;title&gt;Undiagnosed coeliac disease and risk of autoimmune disorders in subjects with Type I diabetes mellitus&lt;/title&gt;&lt;secondary-title&gt;Diabetologia&lt;/secondary-title&gt;&lt;/titles&gt;&lt;periodical&gt;&lt;full-title&gt;Diabetologia&lt;/full-title&gt;&lt;/periodical&gt;&lt;pages&gt;151-155&lt;/pages&gt;&lt;volume&gt;44&lt;/volume&gt;&lt;number&gt;2&lt;/number&gt;&lt;dates&gt;&lt;year&gt;2001&lt;/year&gt;&lt;pub-dates&gt;&lt;date&gt;Feb&lt;/date&gt;&lt;/pub-dates&gt;&lt;/dates&gt;&lt;isbn&gt;0012-186X&lt;/isbn&gt;&lt;accession-num&gt;WOS:000167005200003&lt;/accession-num&gt;&lt;urls&gt;&lt;related-urls&gt;&lt;url&gt;&amp;lt;Go to ISI&amp;gt;://WOS:000167005200003&lt;/url&gt;&lt;url&gt;https://link.springer.com/content/pdf/10.1007/s001250051593.pdf&lt;/url&gt;&lt;/related-urls&gt;&lt;/urls&gt;&lt;electronic-resource-num&gt;10.1007/s001250051593&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457</w:t>
            </w:r>
            <w:r w:rsidRPr="00734942">
              <w:rPr>
                <w:rFonts w:ascii="Arial" w:eastAsia="Arial" w:hAnsi="Arial" w:cs="Arial"/>
                <w:color w:val="111111"/>
                <w:sz w:val="18"/>
                <w:szCs w:val="18"/>
              </w:rPr>
              <w:fldChar w:fldCharType="end"/>
            </w:r>
          </w:p>
        </w:tc>
      </w:tr>
      <w:tr w:rsidR="00C8418F" w:rsidRPr="00734942" w14:paraId="2578A30D" w14:textId="77777777" w:rsidTr="00F74B40">
        <w:trPr>
          <w:cantSplit/>
          <w:jc w:val="center"/>
        </w:trPr>
        <w:tc>
          <w:tcPr>
            <w:tcW w:w="806" w:type="pct"/>
            <w:shd w:val="clear" w:color="auto" w:fill="FFFFFF"/>
            <w:tcMar>
              <w:top w:w="0" w:type="dxa"/>
              <w:left w:w="0" w:type="dxa"/>
              <w:bottom w:w="0" w:type="dxa"/>
              <w:right w:w="0" w:type="dxa"/>
            </w:tcMar>
            <w:vAlign w:val="center"/>
          </w:tcPr>
          <w:p w14:paraId="46831AA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2EA172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02A5DA1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2FACE24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219</w:t>
            </w:r>
          </w:p>
        </w:tc>
        <w:tc>
          <w:tcPr>
            <w:tcW w:w="362" w:type="pct"/>
            <w:shd w:val="clear" w:color="auto" w:fill="FFFFFF"/>
            <w:tcMar>
              <w:top w:w="0" w:type="dxa"/>
              <w:left w:w="0" w:type="dxa"/>
              <w:bottom w:w="0" w:type="dxa"/>
              <w:right w:w="0" w:type="dxa"/>
            </w:tcMar>
            <w:vAlign w:val="center"/>
          </w:tcPr>
          <w:p w14:paraId="1672691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3E3541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1C0DC9C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580264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6EE6DA8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Sri Lanka</w:t>
            </w:r>
          </w:p>
        </w:tc>
        <w:tc>
          <w:tcPr>
            <w:tcW w:w="369" w:type="pct"/>
            <w:shd w:val="clear" w:color="auto" w:fill="FFFFFF"/>
            <w:tcMar>
              <w:top w:w="0" w:type="dxa"/>
              <w:left w:w="0" w:type="dxa"/>
              <w:bottom w:w="0" w:type="dxa"/>
              <w:right w:w="0" w:type="dxa"/>
            </w:tcMar>
            <w:vAlign w:val="center"/>
          </w:tcPr>
          <w:p w14:paraId="295B0FC4" w14:textId="4661B74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PEVuZE5vdGU+PENpdGUgRXhjbHVkZUF1dGg9IjEiIEV4Y2x1ZGVZZWFyPSIxIj48QXV0aG9yPlBy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PEVuZE5vdGU+PENpdGUgRXhjbHVkZUF1dGg9IjEiIEV4Y2x1ZGVZZWFyPSIxIj48QXV0aG9yPlBy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458</w:t>
            </w:r>
            <w:r w:rsidRPr="00734942">
              <w:rPr>
                <w:rFonts w:ascii="Arial" w:eastAsia="Arial" w:hAnsi="Arial" w:cs="Arial"/>
                <w:color w:val="111111"/>
                <w:sz w:val="18"/>
                <w:szCs w:val="18"/>
              </w:rPr>
              <w:fldChar w:fldCharType="end"/>
            </w:r>
          </w:p>
        </w:tc>
      </w:tr>
      <w:tr w:rsidR="00C8418F" w:rsidRPr="00734942" w14:paraId="545A8B3D" w14:textId="77777777" w:rsidTr="00F74B40">
        <w:trPr>
          <w:cantSplit/>
          <w:jc w:val="center"/>
        </w:trPr>
        <w:tc>
          <w:tcPr>
            <w:tcW w:w="806" w:type="pct"/>
            <w:shd w:val="clear" w:color="auto" w:fill="FFFFFF"/>
            <w:tcMar>
              <w:top w:w="0" w:type="dxa"/>
              <w:left w:w="0" w:type="dxa"/>
              <w:bottom w:w="0" w:type="dxa"/>
              <w:right w:w="0" w:type="dxa"/>
            </w:tcMar>
            <w:vAlign w:val="center"/>
          </w:tcPr>
          <w:p w14:paraId="201403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3ACB1D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D3C97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388C3C6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347</w:t>
            </w:r>
          </w:p>
        </w:tc>
        <w:tc>
          <w:tcPr>
            <w:tcW w:w="362" w:type="pct"/>
            <w:shd w:val="clear" w:color="auto" w:fill="FFFFFF"/>
            <w:tcMar>
              <w:top w:w="0" w:type="dxa"/>
              <w:left w:w="0" w:type="dxa"/>
              <w:bottom w:w="0" w:type="dxa"/>
              <w:right w:w="0" w:type="dxa"/>
            </w:tcMar>
            <w:vAlign w:val="center"/>
          </w:tcPr>
          <w:p w14:paraId="76F5F26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5461B2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4314A0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096267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1F286EE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Germany</w:t>
            </w:r>
          </w:p>
        </w:tc>
        <w:tc>
          <w:tcPr>
            <w:tcW w:w="369" w:type="pct"/>
            <w:shd w:val="clear" w:color="auto" w:fill="FFFFFF"/>
            <w:tcMar>
              <w:top w:w="0" w:type="dxa"/>
              <w:left w:w="0" w:type="dxa"/>
              <w:bottom w:w="0" w:type="dxa"/>
              <w:right w:w="0" w:type="dxa"/>
            </w:tcMar>
            <w:vAlign w:val="center"/>
          </w:tcPr>
          <w:p w14:paraId="6D32E3D0" w14:textId="0F6265A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PEVuZE5vdGU+PENpdGUgRXhjbHVkZUF1dGg9IjEiIEV4Y2x1ZGVZZWFyPSIxIj48QXV0aG9yPkph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PEVuZE5vdGU+PENpdGUgRXhjbHVkZUF1dGg9IjEiIEV4Y2x1ZGVZZWFyPSIxIj48QXV0aG9yPkph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459</w:t>
            </w:r>
            <w:r w:rsidRPr="00734942">
              <w:rPr>
                <w:rFonts w:ascii="Arial" w:eastAsia="Arial" w:hAnsi="Arial" w:cs="Arial"/>
                <w:color w:val="111111"/>
                <w:sz w:val="18"/>
                <w:szCs w:val="18"/>
              </w:rPr>
              <w:fldChar w:fldCharType="end"/>
            </w:r>
          </w:p>
        </w:tc>
      </w:tr>
      <w:tr w:rsidR="00C8418F" w:rsidRPr="00734942" w14:paraId="0E565DB1" w14:textId="77777777" w:rsidTr="00F74B40">
        <w:trPr>
          <w:cantSplit/>
          <w:jc w:val="center"/>
        </w:trPr>
        <w:tc>
          <w:tcPr>
            <w:tcW w:w="806" w:type="pct"/>
            <w:shd w:val="clear" w:color="auto" w:fill="FFFFFF"/>
            <w:tcMar>
              <w:top w:w="0" w:type="dxa"/>
              <w:left w:w="0" w:type="dxa"/>
              <w:bottom w:w="0" w:type="dxa"/>
              <w:right w:w="0" w:type="dxa"/>
            </w:tcMar>
            <w:vAlign w:val="center"/>
          </w:tcPr>
          <w:p w14:paraId="309C738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7D0A0A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055393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7254332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196</w:t>
            </w:r>
          </w:p>
        </w:tc>
        <w:tc>
          <w:tcPr>
            <w:tcW w:w="362" w:type="pct"/>
            <w:shd w:val="clear" w:color="auto" w:fill="FFFFFF"/>
            <w:tcMar>
              <w:top w:w="0" w:type="dxa"/>
              <w:left w:w="0" w:type="dxa"/>
              <w:bottom w:w="0" w:type="dxa"/>
              <w:right w:w="0" w:type="dxa"/>
            </w:tcMar>
            <w:vAlign w:val="center"/>
          </w:tcPr>
          <w:p w14:paraId="233A3B1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71" w:type="pct"/>
            <w:shd w:val="clear" w:color="auto" w:fill="FFFFFF"/>
            <w:tcMar>
              <w:top w:w="0" w:type="dxa"/>
              <w:left w:w="0" w:type="dxa"/>
              <w:bottom w:w="0" w:type="dxa"/>
              <w:right w:w="0" w:type="dxa"/>
            </w:tcMar>
            <w:vAlign w:val="center"/>
          </w:tcPr>
          <w:p w14:paraId="0BF929D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70C6B9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12CFFD4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50332A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69" w:type="pct"/>
            <w:shd w:val="clear" w:color="auto" w:fill="FFFFFF"/>
            <w:tcMar>
              <w:top w:w="0" w:type="dxa"/>
              <w:left w:w="0" w:type="dxa"/>
              <w:bottom w:w="0" w:type="dxa"/>
              <w:right w:w="0" w:type="dxa"/>
            </w:tcMar>
            <w:vAlign w:val="center"/>
          </w:tcPr>
          <w:p w14:paraId="55EA0889" w14:textId="634849D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ExcludeYear="1"&gt;&lt;Author&gt;Kanungo&lt;/Author&gt;&lt;Year&gt;2002&lt;/Year&gt;&lt;RecNum&gt;277&lt;/RecNum&gt;&lt;DisplayText&gt;&lt;style face="superscript"&gt;460&lt;/style&gt;&lt;/DisplayText&gt;&lt;record&gt;&lt;rec-number&gt;277&lt;/rec-number&gt;&lt;foreign-keys&gt;&lt;key app="EN" db-id="tdwrx9xd1z9eepeevr355w2k959rv0f5zaax" timestamp="1632756143"&gt;277&lt;/key&gt;&lt;/foreign-keys&gt;&lt;ref-type name="Book Section"&gt;5&lt;/ref-type&gt;&lt;contributors&gt;&lt;authors&gt;&lt;author&gt;Kanungo, A.&lt;/author&gt;&lt;author&gt;Shtauvere-Brameus, A.&lt;/author&gt;&lt;author&gt;Samal, K. C.&lt;/author&gt;&lt;author&gt;Sanjeevi, C. B.&lt;/author&gt;&lt;/authors&gt;&lt;secondary-authors&gt;&lt;author&gt;Sanjeevi, C. B.&lt;/author&gt;&lt;/secondary-authors&gt;&lt;/contributors&gt;&lt;titles&gt;&lt;title&gt;Autoantibodies to tissue transglutaminase in patients from eastern India with malnutrition-modulated diabetes mellitus, insulin-dependent diabetes mellitus, and non-insulin-dependent diabetes mellitus&lt;/title&gt;&lt;secondary-title&gt;Immunology of Diabetes: Autoimmune Mechanisms and the Prevention and Cure of Type 1 Diabetes&lt;/secondary-title&gt;&lt;tertiary-title&gt;Annals of the New York Academy of Sciences&lt;/tertiary-title&gt;&lt;/titles&gt;&lt;pages&gt;232-234&lt;/pages&gt;&lt;volume&gt;958&lt;/volume&gt;&lt;dates&gt;&lt;year&gt;2002&lt;/year&gt;&lt;/dates&gt;&lt;isbn&gt;1-57331-362-9&lt;/isbn&gt;&lt;accession-num&gt;WOS:000176952100037&lt;/accession-num&gt;&lt;urls&gt;&lt;related-urls&gt;&lt;url&gt;&amp;lt;Go to ISI&amp;gt;://WOS:000176952100037&lt;/url&gt;&lt;/related-urls&gt;&lt;/urls&gt;&lt;remote-database-name&gt;Web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460</w:t>
            </w:r>
            <w:r w:rsidRPr="00734942">
              <w:rPr>
                <w:rFonts w:ascii="Arial" w:eastAsia="Arial" w:hAnsi="Arial" w:cs="Arial"/>
                <w:color w:val="111111"/>
                <w:sz w:val="18"/>
                <w:szCs w:val="18"/>
              </w:rPr>
              <w:fldChar w:fldCharType="end"/>
            </w:r>
          </w:p>
        </w:tc>
      </w:tr>
      <w:tr w:rsidR="00C8418F" w:rsidRPr="00734942" w14:paraId="081FAEC1" w14:textId="77777777" w:rsidTr="00F74B40">
        <w:trPr>
          <w:cantSplit/>
          <w:jc w:val="center"/>
        </w:trPr>
        <w:tc>
          <w:tcPr>
            <w:tcW w:w="806" w:type="pct"/>
            <w:shd w:val="clear" w:color="auto" w:fill="FFFFFF"/>
            <w:tcMar>
              <w:top w:w="0" w:type="dxa"/>
              <w:left w:w="0" w:type="dxa"/>
              <w:bottom w:w="0" w:type="dxa"/>
              <w:right w:w="0" w:type="dxa"/>
            </w:tcMar>
            <w:vAlign w:val="center"/>
          </w:tcPr>
          <w:p w14:paraId="225514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35075F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76D681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E45A1F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151</w:t>
            </w:r>
          </w:p>
        </w:tc>
        <w:tc>
          <w:tcPr>
            <w:tcW w:w="362" w:type="pct"/>
            <w:shd w:val="clear" w:color="auto" w:fill="FFFFFF"/>
            <w:tcMar>
              <w:top w:w="0" w:type="dxa"/>
              <w:left w:w="0" w:type="dxa"/>
              <w:bottom w:w="0" w:type="dxa"/>
              <w:right w:w="0" w:type="dxa"/>
            </w:tcMar>
            <w:vAlign w:val="center"/>
          </w:tcPr>
          <w:p w14:paraId="7062B56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15D701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746ACCA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shd w:val="clear" w:color="auto" w:fill="FFFFFF"/>
            <w:tcMar>
              <w:top w:w="0" w:type="dxa"/>
              <w:left w:w="0" w:type="dxa"/>
              <w:bottom w:w="0" w:type="dxa"/>
              <w:right w:w="0" w:type="dxa"/>
            </w:tcMar>
            <w:vAlign w:val="center"/>
          </w:tcPr>
          <w:p w14:paraId="403951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1F0A0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69" w:type="pct"/>
            <w:shd w:val="clear" w:color="auto" w:fill="FFFFFF"/>
            <w:tcMar>
              <w:top w:w="0" w:type="dxa"/>
              <w:left w:w="0" w:type="dxa"/>
              <w:bottom w:w="0" w:type="dxa"/>
              <w:right w:w="0" w:type="dxa"/>
            </w:tcMar>
            <w:vAlign w:val="center"/>
          </w:tcPr>
          <w:p w14:paraId="374C6085" w14:textId="0ED82EC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cmk8L0F1dGhvcj48WWVhcj4yMDEwPC9ZZWFyPjxSZWNOdW0+Mjc4PC9SZWNOdW0+PERpc3BsYXlU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cmk8L0F1dGhvcj48WWVhcj4yMDEwPC9ZZWFyPjxSZWNOdW0+Mjc4PC9SZWNOdW0+PERpc3BsYXlU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461</w:t>
            </w:r>
            <w:r w:rsidRPr="00734942">
              <w:rPr>
                <w:rFonts w:ascii="Arial" w:eastAsia="Arial" w:hAnsi="Arial" w:cs="Arial"/>
                <w:color w:val="111111"/>
                <w:sz w:val="18"/>
                <w:szCs w:val="18"/>
              </w:rPr>
              <w:fldChar w:fldCharType="end"/>
            </w:r>
          </w:p>
        </w:tc>
      </w:tr>
      <w:tr w:rsidR="00C8418F" w:rsidRPr="00734942" w14:paraId="59A4445D" w14:textId="77777777" w:rsidTr="00F74B40">
        <w:trPr>
          <w:cantSplit/>
          <w:jc w:val="center"/>
        </w:trPr>
        <w:tc>
          <w:tcPr>
            <w:tcW w:w="806" w:type="pct"/>
            <w:shd w:val="clear" w:color="auto" w:fill="FFFFFF"/>
            <w:tcMar>
              <w:top w:w="0" w:type="dxa"/>
              <w:left w:w="0" w:type="dxa"/>
              <w:bottom w:w="0" w:type="dxa"/>
              <w:right w:w="0" w:type="dxa"/>
            </w:tcMar>
            <w:vAlign w:val="center"/>
          </w:tcPr>
          <w:p w14:paraId="427FCC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3BE182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555E56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F1EB7D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500</w:t>
            </w:r>
          </w:p>
        </w:tc>
        <w:tc>
          <w:tcPr>
            <w:tcW w:w="362" w:type="pct"/>
            <w:shd w:val="clear" w:color="auto" w:fill="FFFFFF"/>
            <w:tcMar>
              <w:top w:w="0" w:type="dxa"/>
              <w:left w:w="0" w:type="dxa"/>
              <w:bottom w:w="0" w:type="dxa"/>
              <w:right w:w="0" w:type="dxa"/>
            </w:tcMar>
            <w:vAlign w:val="center"/>
          </w:tcPr>
          <w:p w14:paraId="787F01C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671" w:type="pct"/>
            <w:shd w:val="clear" w:color="auto" w:fill="FFFFFF"/>
            <w:tcMar>
              <w:top w:w="0" w:type="dxa"/>
              <w:left w:w="0" w:type="dxa"/>
              <w:bottom w:w="0" w:type="dxa"/>
              <w:right w:w="0" w:type="dxa"/>
            </w:tcMar>
            <w:vAlign w:val="center"/>
          </w:tcPr>
          <w:p w14:paraId="3B7501B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12D0C2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6DAF23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2F7E3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69" w:type="pct"/>
            <w:shd w:val="clear" w:color="auto" w:fill="FFFFFF"/>
            <w:tcMar>
              <w:top w:w="0" w:type="dxa"/>
              <w:left w:w="0" w:type="dxa"/>
              <w:bottom w:w="0" w:type="dxa"/>
              <w:right w:w="0" w:type="dxa"/>
            </w:tcMar>
            <w:vAlign w:val="center"/>
          </w:tcPr>
          <w:p w14:paraId="2AF02410" w14:textId="3460EC4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bXBhc29uYTwvQXV0aG9yPjxZZWFyPjE5OTk8L1llYXI+PFJlY051bT4yNzk8L1JlY051bT48RGlz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bXBhc29uYTwvQXV0aG9yPjxZZWFyPjE5OTk8L1llYXI+PFJlY051bT4yNzk8L1JlY051bT48RGlz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462</w:t>
            </w:r>
            <w:r w:rsidRPr="00734942">
              <w:rPr>
                <w:rFonts w:ascii="Arial" w:eastAsia="Arial" w:hAnsi="Arial" w:cs="Arial"/>
                <w:color w:val="111111"/>
                <w:sz w:val="18"/>
                <w:szCs w:val="18"/>
              </w:rPr>
              <w:fldChar w:fldCharType="end"/>
            </w:r>
          </w:p>
        </w:tc>
      </w:tr>
      <w:tr w:rsidR="00C8418F" w:rsidRPr="00734942" w14:paraId="14C412D8" w14:textId="77777777" w:rsidTr="00F74B40">
        <w:trPr>
          <w:cantSplit/>
          <w:jc w:val="center"/>
        </w:trPr>
        <w:tc>
          <w:tcPr>
            <w:tcW w:w="806" w:type="pct"/>
            <w:shd w:val="clear" w:color="auto" w:fill="FFFFFF"/>
            <w:tcMar>
              <w:top w:w="0" w:type="dxa"/>
              <w:left w:w="0" w:type="dxa"/>
              <w:bottom w:w="0" w:type="dxa"/>
              <w:right w:w="0" w:type="dxa"/>
            </w:tcMar>
            <w:vAlign w:val="center"/>
          </w:tcPr>
          <w:p w14:paraId="0DDF99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shd w:val="clear" w:color="auto" w:fill="FFFFFF"/>
            <w:tcMar>
              <w:top w:w="0" w:type="dxa"/>
              <w:left w:w="0" w:type="dxa"/>
              <w:bottom w:w="0" w:type="dxa"/>
              <w:right w:w="0" w:type="dxa"/>
            </w:tcMar>
            <w:vAlign w:val="center"/>
          </w:tcPr>
          <w:p w14:paraId="5619244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shd w:val="clear" w:color="auto" w:fill="FFFFFF"/>
            <w:tcMar>
              <w:top w:w="0" w:type="dxa"/>
              <w:left w:w="0" w:type="dxa"/>
              <w:bottom w:w="0" w:type="dxa"/>
              <w:right w:w="0" w:type="dxa"/>
            </w:tcMar>
            <w:vAlign w:val="center"/>
          </w:tcPr>
          <w:p w14:paraId="1D926C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shd w:val="clear" w:color="auto" w:fill="FFFFFF"/>
            <w:tcMar>
              <w:top w:w="0" w:type="dxa"/>
              <w:left w:w="0" w:type="dxa"/>
              <w:bottom w:w="0" w:type="dxa"/>
              <w:right w:w="0" w:type="dxa"/>
            </w:tcMar>
            <w:vAlign w:val="center"/>
          </w:tcPr>
          <w:p w14:paraId="15592BC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250</w:t>
            </w:r>
          </w:p>
        </w:tc>
        <w:tc>
          <w:tcPr>
            <w:tcW w:w="362" w:type="pct"/>
            <w:shd w:val="clear" w:color="auto" w:fill="FFFFFF"/>
            <w:tcMar>
              <w:top w:w="0" w:type="dxa"/>
              <w:left w:w="0" w:type="dxa"/>
              <w:bottom w:w="0" w:type="dxa"/>
              <w:right w:w="0" w:type="dxa"/>
            </w:tcMar>
            <w:vAlign w:val="center"/>
          </w:tcPr>
          <w:p w14:paraId="18F0B9B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671" w:type="pct"/>
            <w:shd w:val="clear" w:color="auto" w:fill="FFFFFF"/>
            <w:tcMar>
              <w:top w:w="0" w:type="dxa"/>
              <w:left w:w="0" w:type="dxa"/>
              <w:bottom w:w="0" w:type="dxa"/>
              <w:right w:w="0" w:type="dxa"/>
            </w:tcMar>
            <w:vAlign w:val="center"/>
          </w:tcPr>
          <w:p w14:paraId="6610C40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shd w:val="clear" w:color="auto" w:fill="FFFFFF"/>
            <w:tcMar>
              <w:top w:w="0" w:type="dxa"/>
              <w:left w:w="0" w:type="dxa"/>
              <w:bottom w:w="0" w:type="dxa"/>
              <w:right w:w="0" w:type="dxa"/>
            </w:tcMar>
            <w:vAlign w:val="center"/>
          </w:tcPr>
          <w:p w14:paraId="2C3DC6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92" w:type="pct"/>
            <w:shd w:val="clear" w:color="auto" w:fill="FFFFFF"/>
            <w:tcMar>
              <w:top w:w="0" w:type="dxa"/>
              <w:left w:w="0" w:type="dxa"/>
              <w:bottom w:w="0" w:type="dxa"/>
              <w:right w:w="0" w:type="dxa"/>
            </w:tcMar>
            <w:vAlign w:val="center"/>
          </w:tcPr>
          <w:p w14:paraId="590029B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shd w:val="clear" w:color="auto" w:fill="FFFFFF"/>
            <w:tcMar>
              <w:top w:w="0" w:type="dxa"/>
              <w:left w:w="0" w:type="dxa"/>
              <w:bottom w:w="0" w:type="dxa"/>
              <w:right w:w="0" w:type="dxa"/>
            </w:tcMar>
            <w:vAlign w:val="center"/>
          </w:tcPr>
          <w:p w14:paraId="764C643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shd w:val="clear" w:color="auto" w:fill="FFFFFF"/>
            <w:tcMar>
              <w:top w:w="0" w:type="dxa"/>
              <w:left w:w="0" w:type="dxa"/>
              <w:bottom w:w="0" w:type="dxa"/>
              <w:right w:w="0" w:type="dxa"/>
            </w:tcMar>
            <w:vAlign w:val="center"/>
          </w:tcPr>
          <w:p w14:paraId="6BAE3214" w14:textId="346299E5"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ExcludeYear="1"&gt;&lt;Author&gt;Sharifi&lt;/Author&gt;&lt;Year&gt;2008&lt;/Year&gt;&lt;RecNum&gt;280&lt;/RecNum&gt;&lt;DisplayText&gt;&lt;style face="superscript"&gt;463&lt;/style&gt;&lt;/DisplayText&gt;&lt;record&gt;&lt;rec-number&gt;280&lt;/rec-number&gt;&lt;foreign-keys&gt;&lt;key app="EN" db-id="tdwrx9xd1z9eepeevr355w2k959rv0f5zaax" timestamp="1632756144"&gt;280&lt;/key&gt;&lt;/foreign-keys&gt;&lt;ref-type name="Journal Article"&gt;17&lt;/ref-type&gt;&lt;contributors&gt;&lt;authors&gt;&lt;author&gt;Sharifi, Nasrin&lt;/author&gt;&lt;author&gt;Khoshbaten, Manouchehr&lt;/author&gt;&lt;author&gt;Aliasgarzade, Akbar&lt;/author&gt;&lt;author&gt;Bahrami, Amir&lt;/author&gt;&lt;/authors&gt;&lt;/contributors&gt;&lt;titles&gt;&lt;title&gt;Celiac disease in patients with type-1 diabetes mellitus screened by tissue transglutaminase antibodies in northwest of Iran&lt;/title&gt;&lt;secondary-title&gt;International journal of diabetes in developing countries&lt;/secondary-title&gt;&lt;/titles&gt;&lt;periodical&gt;&lt;full-title&gt;International journal of diabetes in developing countries&lt;/full-title&gt;&lt;/periodical&gt;&lt;pages&gt;95-9&lt;/pages&gt;&lt;volume&gt;28&lt;/volume&gt;&lt;number&gt;3&lt;/number&gt;&lt;dates&gt;&lt;year&gt;2008&lt;/year&gt;&lt;/dates&gt;&lt;pub-location&gt;India&lt;/pub-location&gt;&lt;isbn&gt;1998-3832&lt;/isbn&gt;&lt;urls&gt;&lt;related-urls&gt;&lt;url&gt;http://ovidsp.ovid.com/ovidweb.cgi?T=JS&amp;amp;PAGE=reference&amp;amp;D=prem1&amp;amp;NEWS=N&amp;amp;AN=19902043&lt;/url&gt;&lt;/related-urls&gt;&lt;/urls&gt;&lt;electronic-resource-num&gt;https://dx.doi.org/10.4103/0973-3930.44081&lt;/electronic-resource-num&gt;&lt;remote-database-name&gt;MEDLIN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463</w:t>
            </w:r>
            <w:r w:rsidRPr="00734942">
              <w:rPr>
                <w:rFonts w:ascii="Arial" w:eastAsia="Arial" w:hAnsi="Arial" w:cs="Arial"/>
                <w:color w:val="111111"/>
                <w:sz w:val="18"/>
                <w:szCs w:val="18"/>
              </w:rPr>
              <w:fldChar w:fldCharType="end"/>
            </w:r>
          </w:p>
        </w:tc>
      </w:tr>
      <w:tr w:rsidR="00C8418F" w:rsidRPr="00734942" w14:paraId="6820042B" w14:textId="77777777" w:rsidTr="00F74B40">
        <w:trPr>
          <w:cantSplit/>
          <w:jc w:val="center"/>
        </w:trPr>
        <w:tc>
          <w:tcPr>
            <w:tcW w:w="806" w:type="pct"/>
            <w:tcBorders>
              <w:bottom w:val="single" w:sz="16" w:space="0" w:color="000000"/>
            </w:tcBorders>
            <w:shd w:val="clear" w:color="auto" w:fill="FFFFFF"/>
            <w:tcMar>
              <w:top w:w="0" w:type="dxa"/>
              <w:left w:w="0" w:type="dxa"/>
              <w:bottom w:w="0" w:type="dxa"/>
              <w:right w:w="0" w:type="dxa"/>
            </w:tcMar>
            <w:vAlign w:val="center"/>
          </w:tcPr>
          <w:p w14:paraId="4113996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47" w:type="pct"/>
            <w:tcBorders>
              <w:bottom w:val="single" w:sz="16" w:space="0" w:color="000000"/>
            </w:tcBorders>
            <w:shd w:val="clear" w:color="auto" w:fill="FFFFFF"/>
            <w:tcMar>
              <w:top w:w="0" w:type="dxa"/>
              <w:left w:w="0" w:type="dxa"/>
              <w:bottom w:w="0" w:type="dxa"/>
              <w:right w:w="0" w:type="dxa"/>
            </w:tcMar>
            <w:vAlign w:val="center"/>
          </w:tcPr>
          <w:p w14:paraId="27F0A8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380" w:type="pct"/>
            <w:tcBorders>
              <w:bottom w:val="single" w:sz="16" w:space="0" w:color="000000"/>
            </w:tcBorders>
            <w:shd w:val="clear" w:color="auto" w:fill="FFFFFF"/>
            <w:tcMar>
              <w:top w:w="0" w:type="dxa"/>
              <w:left w:w="0" w:type="dxa"/>
              <w:bottom w:w="0" w:type="dxa"/>
              <w:right w:w="0" w:type="dxa"/>
            </w:tcMar>
            <w:vAlign w:val="center"/>
          </w:tcPr>
          <w:p w14:paraId="568F979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1 Diabetes</w:t>
            </w:r>
          </w:p>
        </w:tc>
        <w:tc>
          <w:tcPr>
            <w:tcW w:w="304" w:type="pct"/>
            <w:tcBorders>
              <w:bottom w:val="single" w:sz="16" w:space="0" w:color="000000"/>
            </w:tcBorders>
            <w:shd w:val="clear" w:color="auto" w:fill="FFFFFF"/>
            <w:tcMar>
              <w:top w:w="0" w:type="dxa"/>
              <w:left w:w="0" w:type="dxa"/>
              <w:bottom w:w="0" w:type="dxa"/>
              <w:right w:w="0" w:type="dxa"/>
            </w:tcMar>
            <w:vAlign w:val="center"/>
          </w:tcPr>
          <w:p w14:paraId="5DB7B06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120</w:t>
            </w:r>
          </w:p>
        </w:tc>
        <w:tc>
          <w:tcPr>
            <w:tcW w:w="362" w:type="pct"/>
            <w:tcBorders>
              <w:bottom w:val="single" w:sz="16" w:space="0" w:color="000000"/>
            </w:tcBorders>
            <w:shd w:val="clear" w:color="auto" w:fill="FFFFFF"/>
            <w:tcMar>
              <w:top w:w="0" w:type="dxa"/>
              <w:left w:w="0" w:type="dxa"/>
              <w:bottom w:w="0" w:type="dxa"/>
              <w:right w:w="0" w:type="dxa"/>
            </w:tcMar>
            <w:vAlign w:val="center"/>
          </w:tcPr>
          <w:p w14:paraId="6AF862B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671" w:type="pct"/>
            <w:tcBorders>
              <w:bottom w:val="single" w:sz="16" w:space="0" w:color="000000"/>
            </w:tcBorders>
            <w:shd w:val="clear" w:color="auto" w:fill="FFFFFF"/>
            <w:tcMar>
              <w:top w:w="0" w:type="dxa"/>
              <w:left w:w="0" w:type="dxa"/>
              <w:bottom w:w="0" w:type="dxa"/>
              <w:right w:w="0" w:type="dxa"/>
            </w:tcMar>
            <w:vAlign w:val="center"/>
          </w:tcPr>
          <w:p w14:paraId="55F029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725" w:type="pct"/>
            <w:tcBorders>
              <w:bottom w:val="single" w:sz="16" w:space="0" w:color="000000"/>
            </w:tcBorders>
            <w:shd w:val="clear" w:color="auto" w:fill="FFFFFF"/>
            <w:tcMar>
              <w:top w:w="0" w:type="dxa"/>
              <w:left w:w="0" w:type="dxa"/>
              <w:bottom w:w="0" w:type="dxa"/>
              <w:right w:w="0" w:type="dxa"/>
            </w:tcMar>
            <w:vAlign w:val="center"/>
          </w:tcPr>
          <w:p w14:paraId="796A5DA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92" w:type="pct"/>
            <w:tcBorders>
              <w:bottom w:val="single" w:sz="16" w:space="0" w:color="000000"/>
            </w:tcBorders>
            <w:shd w:val="clear" w:color="auto" w:fill="FFFFFF"/>
            <w:tcMar>
              <w:top w:w="0" w:type="dxa"/>
              <w:left w:w="0" w:type="dxa"/>
              <w:bottom w:w="0" w:type="dxa"/>
              <w:right w:w="0" w:type="dxa"/>
            </w:tcMar>
            <w:vAlign w:val="center"/>
          </w:tcPr>
          <w:p w14:paraId="0096AE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44" w:type="pct"/>
            <w:tcBorders>
              <w:bottom w:val="single" w:sz="16" w:space="0" w:color="000000"/>
            </w:tcBorders>
            <w:shd w:val="clear" w:color="auto" w:fill="FFFFFF"/>
            <w:tcMar>
              <w:top w:w="0" w:type="dxa"/>
              <w:left w:w="0" w:type="dxa"/>
              <w:bottom w:w="0" w:type="dxa"/>
              <w:right w:w="0" w:type="dxa"/>
            </w:tcMar>
            <w:vAlign w:val="center"/>
          </w:tcPr>
          <w:p w14:paraId="2FBF82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69" w:type="pct"/>
            <w:tcBorders>
              <w:bottom w:val="single" w:sz="16" w:space="0" w:color="000000"/>
            </w:tcBorders>
            <w:shd w:val="clear" w:color="auto" w:fill="FFFFFF"/>
            <w:tcMar>
              <w:top w:w="0" w:type="dxa"/>
              <w:left w:w="0" w:type="dxa"/>
              <w:bottom w:w="0" w:type="dxa"/>
              <w:right w:w="0" w:type="dxa"/>
            </w:tcMar>
            <w:vAlign w:val="center"/>
          </w:tcPr>
          <w:p w14:paraId="6103C16B" w14:textId="6962380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PEVuZE5vdGU+PENpdGUgRXhjbHVkZUF1dGg9IjEiIEV4Y2x1ZGVZZWFyPSIxIj48QXV0aG9yPlNo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PEVuZE5vdGU+PENpdGUgRXhjbHVkZUF1dGg9IjEiIEV4Y2x1ZGVZZWFyPSIxIj48QXV0aG9yPlNo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464</w:t>
            </w:r>
            <w:r w:rsidRPr="00734942">
              <w:rPr>
                <w:rFonts w:ascii="Arial" w:eastAsia="Arial" w:hAnsi="Arial" w:cs="Arial"/>
                <w:color w:val="111111"/>
                <w:sz w:val="18"/>
                <w:szCs w:val="18"/>
              </w:rPr>
              <w:fldChar w:fldCharType="end"/>
            </w:r>
          </w:p>
        </w:tc>
      </w:tr>
    </w:tbl>
    <w:p w14:paraId="2F4CC322" w14:textId="77777777" w:rsidR="007B756D" w:rsidRPr="00734942" w:rsidRDefault="007B756D" w:rsidP="007B756D"/>
    <w:p w14:paraId="05D82D65" w14:textId="7CD6CF3E" w:rsidR="00F74B40" w:rsidRDefault="00F74B40" w:rsidP="000526F1">
      <w:pPr>
        <w:pStyle w:val="Caption"/>
      </w:pPr>
      <w:bookmarkStart w:id="387" w:name="_Toc99720758"/>
      <w:r>
        <w:t xml:space="preserve">Table </w:t>
      </w:r>
      <w:r w:rsidR="00C34531">
        <w:fldChar w:fldCharType="begin"/>
      </w:r>
      <w:r w:rsidR="00C34531">
        <w:instrText xml:space="preserve"> SEQ Table \* ARABIC </w:instrText>
      </w:r>
      <w:r w:rsidR="00C34531">
        <w:fldChar w:fldCharType="separate"/>
      </w:r>
      <w:r w:rsidR="008B5583">
        <w:rPr>
          <w:noProof/>
        </w:rPr>
        <w:t>47</w:t>
      </w:r>
      <w:r w:rsidR="00C34531">
        <w:rPr>
          <w:noProof/>
        </w:rPr>
        <w:fldChar w:fldCharType="end"/>
      </w:r>
      <w:r>
        <w:t xml:space="preserve">  </w:t>
      </w:r>
      <w:r w:rsidRPr="0009678C">
        <w:t>Study characteristics: Type 2 Diabetes</w:t>
      </w:r>
      <w:bookmarkEnd w:id="387"/>
    </w:p>
    <w:tbl>
      <w:tblPr>
        <w:tblW w:w="5000" w:type="pct"/>
        <w:jc w:val="center"/>
        <w:tblLook w:val="0420" w:firstRow="1" w:lastRow="0" w:firstColumn="0" w:lastColumn="0" w:noHBand="0" w:noVBand="1"/>
      </w:tblPr>
      <w:tblGrid>
        <w:gridCol w:w="2517"/>
        <w:gridCol w:w="1237"/>
        <w:gridCol w:w="1192"/>
        <w:gridCol w:w="955"/>
        <w:gridCol w:w="1136"/>
        <w:gridCol w:w="1625"/>
        <w:gridCol w:w="2267"/>
        <w:gridCol w:w="1111"/>
        <w:gridCol w:w="882"/>
        <w:gridCol w:w="1036"/>
      </w:tblGrid>
      <w:tr w:rsidR="00C8418F" w:rsidRPr="00734942" w14:paraId="584B0727" w14:textId="77777777" w:rsidTr="00F74B40">
        <w:trPr>
          <w:cantSplit/>
          <w:tblHeader/>
          <w:jc w:val="center"/>
        </w:trPr>
        <w:tc>
          <w:tcPr>
            <w:tcW w:w="90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01E82D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44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D8E51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42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7CAABA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34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5286257"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4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95165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8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2AE79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81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A76D8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398"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C577E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1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38A40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9DB975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4594A536" w14:textId="77777777" w:rsidTr="00F74B40">
        <w:trPr>
          <w:cantSplit/>
          <w:jc w:val="center"/>
        </w:trPr>
        <w:tc>
          <w:tcPr>
            <w:tcW w:w="902" w:type="pct"/>
            <w:shd w:val="clear" w:color="auto" w:fill="FFFFFF"/>
            <w:tcMar>
              <w:top w:w="0" w:type="dxa"/>
              <w:left w:w="0" w:type="dxa"/>
              <w:bottom w:w="0" w:type="dxa"/>
              <w:right w:w="0" w:type="dxa"/>
            </w:tcMar>
            <w:vAlign w:val="center"/>
          </w:tcPr>
          <w:p w14:paraId="515E55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3" w:type="pct"/>
            <w:shd w:val="clear" w:color="auto" w:fill="FFFFFF"/>
            <w:tcMar>
              <w:top w:w="0" w:type="dxa"/>
              <w:left w:w="0" w:type="dxa"/>
              <w:bottom w:w="0" w:type="dxa"/>
              <w:right w:w="0" w:type="dxa"/>
            </w:tcMar>
            <w:vAlign w:val="center"/>
          </w:tcPr>
          <w:p w14:paraId="2B0BDC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27" w:type="pct"/>
            <w:shd w:val="clear" w:color="auto" w:fill="FFFFFF"/>
            <w:tcMar>
              <w:top w:w="0" w:type="dxa"/>
              <w:left w:w="0" w:type="dxa"/>
              <w:bottom w:w="0" w:type="dxa"/>
              <w:right w:w="0" w:type="dxa"/>
            </w:tcMar>
            <w:vAlign w:val="center"/>
          </w:tcPr>
          <w:p w14:paraId="011F6D5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shd w:val="clear" w:color="auto" w:fill="FFFFFF"/>
            <w:tcMar>
              <w:top w:w="0" w:type="dxa"/>
              <w:left w:w="0" w:type="dxa"/>
              <w:bottom w:w="0" w:type="dxa"/>
              <w:right w:w="0" w:type="dxa"/>
            </w:tcMar>
            <w:vAlign w:val="center"/>
          </w:tcPr>
          <w:p w14:paraId="2DB35F8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250</w:t>
            </w:r>
          </w:p>
        </w:tc>
        <w:tc>
          <w:tcPr>
            <w:tcW w:w="407" w:type="pct"/>
            <w:shd w:val="clear" w:color="auto" w:fill="FFFFFF"/>
            <w:tcMar>
              <w:top w:w="0" w:type="dxa"/>
              <w:left w:w="0" w:type="dxa"/>
              <w:bottom w:w="0" w:type="dxa"/>
              <w:right w:w="0" w:type="dxa"/>
            </w:tcMar>
            <w:vAlign w:val="center"/>
          </w:tcPr>
          <w:p w14:paraId="55658B1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82" w:type="pct"/>
            <w:shd w:val="clear" w:color="auto" w:fill="FFFFFF"/>
            <w:tcMar>
              <w:top w:w="0" w:type="dxa"/>
              <w:left w:w="0" w:type="dxa"/>
              <w:bottom w:w="0" w:type="dxa"/>
              <w:right w:w="0" w:type="dxa"/>
            </w:tcMar>
            <w:vAlign w:val="center"/>
          </w:tcPr>
          <w:p w14:paraId="339632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12" w:type="pct"/>
            <w:shd w:val="clear" w:color="auto" w:fill="FFFFFF"/>
            <w:tcMar>
              <w:top w:w="0" w:type="dxa"/>
              <w:left w:w="0" w:type="dxa"/>
              <w:bottom w:w="0" w:type="dxa"/>
              <w:right w:w="0" w:type="dxa"/>
            </w:tcMar>
            <w:vAlign w:val="center"/>
          </w:tcPr>
          <w:p w14:paraId="241B8C8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398" w:type="pct"/>
            <w:shd w:val="clear" w:color="auto" w:fill="FFFFFF"/>
            <w:tcMar>
              <w:top w:w="0" w:type="dxa"/>
              <w:left w:w="0" w:type="dxa"/>
              <w:bottom w:w="0" w:type="dxa"/>
              <w:right w:w="0" w:type="dxa"/>
            </w:tcMar>
            <w:vAlign w:val="center"/>
          </w:tcPr>
          <w:p w14:paraId="4FEAC3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7C59EE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1" w:type="pct"/>
            <w:shd w:val="clear" w:color="auto" w:fill="FFFFFF"/>
            <w:tcMar>
              <w:top w:w="0" w:type="dxa"/>
              <w:left w:w="0" w:type="dxa"/>
              <w:bottom w:w="0" w:type="dxa"/>
              <w:right w:w="0" w:type="dxa"/>
            </w:tcMar>
            <w:vAlign w:val="center"/>
          </w:tcPr>
          <w:p w14:paraId="2111DE94" w14:textId="2A06BB5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PEVuZE5vdGU+PENpdGUgRXhjbHVkZUF1dGg9IjEiIEV4Y2x1ZGVZZWFyPSIxIj48QXV0aG9yPktp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PEVuZE5vdGU+PENpdGUgRXhjbHVkZUF1dGg9IjEiIEV4Y2x1ZGVZZWFyPSIxIj48QXV0aG9yPktp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465</w:t>
            </w:r>
            <w:r w:rsidRPr="00734942">
              <w:rPr>
                <w:rFonts w:ascii="Arial" w:eastAsia="Arial" w:hAnsi="Arial" w:cs="Arial"/>
                <w:color w:val="111111"/>
                <w:sz w:val="18"/>
                <w:szCs w:val="18"/>
              </w:rPr>
              <w:fldChar w:fldCharType="end"/>
            </w:r>
          </w:p>
        </w:tc>
      </w:tr>
      <w:tr w:rsidR="00C8418F" w:rsidRPr="00734942" w14:paraId="3B340E04" w14:textId="77777777" w:rsidTr="00F74B40">
        <w:trPr>
          <w:cantSplit/>
          <w:jc w:val="center"/>
        </w:trPr>
        <w:tc>
          <w:tcPr>
            <w:tcW w:w="902" w:type="pct"/>
            <w:shd w:val="clear" w:color="auto" w:fill="FFFFFF"/>
            <w:tcMar>
              <w:top w:w="0" w:type="dxa"/>
              <w:left w:w="0" w:type="dxa"/>
              <w:bottom w:w="0" w:type="dxa"/>
              <w:right w:w="0" w:type="dxa"/>
            </w:tcMar>
            <w:vAlign w:val="center"/>
          </w:tcPr>
          <w:p w14:paraId="7292F3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3" w:type="pct"/>
            <w:shd w:val="clear" w:color="auto" w:fill="FFFFFF"/>
            <w:tcMar>
              <w:top w:w="0" w:type="dxa"/>
              <w:left w:w="0" w:type="dxa"/>
              <w:bottom w:w="0" w:type="dxa"/>
              <w:right w:w="0" w:type="dxa"/>
            </w:tcMar>
            <w:vAlign w:val="center"/>
          </w:tcPr>
          <w:p w14:paraId="0A92F6D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27" w:type="pct"/>
            <w:shd w:val="clear" w:color="auto" w:fill="FFFFFF"/>
            <w:tcMar>
              <w:top w:w="0" w:type="dxa"/>
              <w:left w:w="0" w:type="dxa"/>
              <w:bottom w:w="0" w:type="dxa"/>
              <w:right w:w="0" w:type="dxa"/>
            </w:tcMar>
            <w:vAlign w:val="center"/>
          </w:tcPr>
          <w:p w14:paraId="4313A0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shd w:val="clear" w:color="auto" w:fill="FFFFFF"/>
            <w:tcMar>
              <w:top w:w="0" w:type="dxa"/>
              <w:left w:w="0" w:type="dxa"/>
              <w:bottom w:w="0" w:type="dxa"/>
              <w:right w:w="0" w:type="dxa"/>
            </w:tcMar>
            <w:vAlign w:val="center"/>
          </w:tcPr>
          <w:p w14:paraId="63140DC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113</w:t>
            </w:r>
          </w:p>
        </w:tc>
        <w:tc>
          <w:tcPr>
            <w:tcW w:w="407" w:type="pct"/>
            <w:shd w:val="clear" w:color="auto" w:fill="FFFFFF"/>
            <w:tcMar>
              <w:top w:w="0" w:type="dxa"/>
              <w:left w:w="0" w:type="dxa"/>
              <w:bottom w:w="0" w:type="dxa"/>
              <w:right w:w="0" w:type="dxa"/>
            </w:tcMar>
            <w:vAlign w:val="center"/>
          </w:tcPr>
          <w:p w14:paraId="1361A5E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82" w:type="pct"/>
            <w:shd w:val="clear" w:color="auto" w:fill="FFFFFF"/>
            <w:tcMar>
              <w:top w:w="0" w:type="dxa"/>
              <w:left w:w="0" w:type="dxa"/>
              <w:bottom w:w="0" w:type="dxa"/>
              <w:right w:w="0" w:type="dxa"/>
            </w:tcMar>
            <w:vAlign w:val="center"/>
          </w:tcPr>
          <w:p w14:paraId="24252B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12" w:type="pct"/>
            <w:shd w:val="clear" w:color="auto" w:fill="FFFFFF"/>
            <w:tcMar>
              <w:top w:w="0" w:type="dxa"/>
              <w:left w:w="0" w:type="dxa"/>
              <w:bottom w:w="0" w:type="dxa"/>
              <w:right w:w="0" w:type="dxa"/>
            </w:tcMar>
            <w:vAlign w:val="center"/>
          </w:tcPr>
          <w:p w14:paraId="40FA701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62AB747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69F6C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71" w:type="pct"/>
            <w:shd w:val="clear" w:color="auto" w:fill="FFFFFF"/>
            <w:tcMar>
              <w:top w:w="0" w:type="dxa"/>
              <w:left w:w="0" w:type="dxa"/>
              <w:bottom w:w="0" w:type="dxa"/>
              <w:right w:w="0" w:type="dxa"/>
            </w:tcMar>
            <w:vAlign w:val="center"/>
          </w:tcPr>
          <w:p w14:paraId="0D095CA6" w14:textId="600924D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ExcludeYear="1"&gt;&lt;Author&gt;Szepietowska&lt;/Author&gt;&lt;Year&gt;2016&lt;/Year&gt;&lt;RecNum&gt;123&lt;/RecNum&gt;&lt;DisplayText&gt;&lt;style face="superscript"&gt;466&lt;/style&gt;&lt;/DisplayText&gt;&lt;record&gt;&lt;rec-number&gt;123&lt;/rec-number&gt;&lt;foreign-keys&gt;&lt;key app="EN" db-id="tdwrx9xd1z9eepeevr355w2k959rv0f5zaax" timestamp="1632756119"&gt;123&lt;/key&gt;&lt;/foreign-keys&gt;&lt;ref-type name="Journal Article"&gt;17&lt;/ref-type&gt;&lt;contributors&gt;&lt;authors&gt;&lt;author&gt;Szepietowska, B.&lt;/author&gt;&lt;author&gt;Wawrusiewicz-Kurylonek, N.&lt;/author&gt;&lt;author&gt;Kretowski, A.&lt;/author&gt;&lt;author&gt;Gorska, M.&lt;/author&gt;&lt;author&gt;Szelachowska, M.&lt;/author&gt;&lt;/authors&gt;&lt;/contributors&gt;&lt;titles&gt;&lt;title&gt;Endocrine autoimmunity in patients with Latent Autoimmune Diabetes in Adults (LADA) - association with HLA genotype&lt;/title&gt;&lt;secondary-title&gt;Endokrynologia Polska&lt;/secondary-title&gt;&lt;/titles&gt;&lt;periodical&gt;&lt;full-title&gt;Endokrynologia Polska&lt;/full-title&gt;&lt;/periodical&gt;&lt;pages&gt;197-201&lt;/pages&gt;&lt;volume&gt;67&lt;/volume&gt;&lt;number&gt;2&lt;/number&gt;&lt;dates&gt;&lt;year&gt;2016&lt;/year&gt;&lt;/dates&gt;&lt;isbn&gt;0423-104X&lt;/isbn&gt;&lt;accession-num&gt;WOS:000374546600007&lt;/accession-num&gt;&lt;urls&gt;&lt;related-urls&gt;&lt;url&gt;&amp;lt;Go to ISI&amp;gt;://WOS:000374546600007&lt;/url&gt;&lt;url&gt;https://journals.viamedica.pl/endokrynologia_polska/article/download/EP.a2016.0017/31619&lt;/url&gt;&lt;/related-urls&gt;&lt;/urls&gt;&lt;electronic-resource-num&gt;10.5603/EP.a2016.0017&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466</w:t>
            </w:r>
            <w:r w:rsidRPr="00734942">
              <w:rPr>
                <w:rFonts w:ascii="Arial" w:eastAsia="Arial" w:hAnsi="Arial" w:cs="Arial"/>
                <w:color w:val="111111"/>
                <w:sz w:val="18"/>
                <w:szCs w:val="18"/>
              </w:rPr>
              <w:fldChar w:fldCharType="end"/>
            </w:r>
          </w:p>
        </w:tc>
      </w:tr>
      <w:tr w:rsidR="00C8418F" w:rsidRPr="00734942" w14:paraId="1F7FFD9D" w14:textId="77777777" w:rsidTr="00F74B40">
        <w:trPr>
          <w:cantSplit/>
          <w:jc w:val="center"/>
        </w:trPr>
        <w:tc>
          <w:tcPr>
            <w:tcW w:w="902" w:type="pct"/>
            <w:shd w:val="clear" w:color="auto" w:fill="FFFFFF"/>
            <w:tcMar>
              <w:top w:w="0" w:type="dxa"/>
              <w:left w:w="0" w:type="dxa"/>
              <w:bottom w:w="0" w:type="dxa"/>
              <w:right w:w="0" w:type="dxa"/>
            </w:tcMar>
            <w:vAlign w:val="center"/>
          </w:tcPr>
          <w:p w14:paraId="570A94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443" w:type="pct"/>
            <w:shd w:val="clear" w:color="auto" w:fill="FFFFFF"/>
            <w:tcMar>
              <w:top w:w="0" w:type="dxa"/>
              <w:left w:w="0" w:type="dxa"/>
              <w:bottom w:w="0" w:type="dxa"/>
              <w:right w:w="0" w:type="dxa"/>
            </w:tcMar>
            <w:vAlign w:val="center"/>
          </w:tcPr>
          <w:p w14:paraId="4BF9A02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27" w:type="pct"/>
            <w:shd w:val="clear" w:color="auto" w:fill="FFFFFF"/>
            <w:tcMar>
              <w:top w:w="0" w:type="dxa"/>
              <w:left w:w="0" w:type="dxa"/>
              <w:bottom w:w="0" w:type="dxa"/>
              <w:right w:w="0" w:type="dxa"/>
            </w:tcMar>
            <w:vAlign w:val="center"/>
          </w:tcPr>
          <w:p w14:paraId="4281010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shd w:val="clear" w:color="auto" w:fill="FFFFFF"/>
            <w:tcMar>
              <w:top w:w="0" w:type="dxa"/>
              <w:left w:w="0" w:type="dxa"/>
              <w:bottom w:w="0" w:type="dxa"/>
              <w:right w:w="0" w:type="dxa"/>
            </w:tcMar>
            <w:vAlign w:val="center"/>
          </w:tcPr>
          <w:p w14:paraId="6A11711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247</w:t>
            </w:r>
          </w:p>
        </w:tc>
        <w:tc>
          <w:tcPr>
            <w:tcW w:w="407" w:type="pct"/>
            <w:shd w:val="clear" w:color="auto" w:fill="FFFFFF"/>
            <w:tcMar>
              <w:top w:w="0" w:type="dxa"/>
              <w:left w:w="0" w:type="dxa"/>
              <w:bottom w:w="0" w:type="dxa"/>
              <w:right w:w="0" w:type="dxa"/>
            </w:tcMar>
            <w:vAlign w:val="center"/>
          </w:tcPr>
          <w:p w14:paraId="3A2C4963"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82" w:type="pct"/>
            <w:shd w:val="clear" w:color="auto" w:fill="FFFFFF"/>
            <w:tcMar>
              <w:top w:w="0" w:type="dxa"/>
              <w:left w:w="0" w:type="dxa"/>
              <w:bottom w:w="0" w:type="dxa"/>
              <w:right w:w="0" w:type="dxa"/>
            </w:tcMar>
            <w:vAlign w:val="center"/>
          </w:tcPr>
          <w:p w14:paraId="500820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12" w:type="pct"/>
            <w:shd w:val="clear" w:color="auto" w:fill="FFFFFF"/>
            <w:tcMar>
              <w:top w:w="0" w:type="dxa"/>
              <w:left w:w="0" w:type="dxa"/>
              <w:bottom w:w="0" w:type="dxa"/>
              <w:right w:w="0" w:type="dxa"/>
            </w:tcMar>
            <w:vAlign w:val="center"/>
          </w:tcPr>
          <w:p w14:paraId="62C538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4309EEC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F1ABBA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71" w:type="pct"/>
            <w:shd w:val="clear" w:color="auto" w:fill="FFFFFF"/>
            <w:tcMar>
              <w:top w:w="0" w:type="dxa"/>
              <w:left w:w="0" w:type="dxa"/>
              <w:bottom w:w="0" w:type="dxa"/>
              <w:right w:w="0" w:type="dxa"/>
            </w:tcMar>
            <w:vAlign w:val="center"/>
          </w:tcPr>
          <w:p w14:paraId="6F9E1B08" w14:textId="48BCEBA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445</w:t>
            </w:r>
            <w:r w:rsidRPr="00734942">
              <w:rPr>
                <w:rFonts w:ascii="Arial" w:eastAsia="Arial" w:hAnsi="Arial" w:cs="Arial"/>
                <w:color w:val="111111"/>
                <w:sz w:val="18"/>
                <w:szCs w:val="18"/>
              </w:rPr>
              <w:fldChar w:fldCharType="end"/>
            </w:r>
          </w:p>
        </w:tc>
      </w:tr>
      <w:tr w:rsidR="00C8418F" w:rsidRPr="00734942" w14:paraId="0FC19F3E" w14:textId="77777777" w:rsidTr="00F74B40">
        <w:trPr>
          <w:cantSplit/>
          <w:jc w:val="center"/>
        </w:trPr>
        <w:tc>
          <w:tcPr>
            <w:tcW w:w="902" w:type="pct"/>
            <w:shd w:val="clear" w:color="auto" w:fill="FFFFFF"/>
            <w:tcMar>
              <w:top w:w="0" w:type="dxa"/>
              <w:left w:w="0" w:type="dxa"/>
              <w:bottom w:w="0" w:type="dxa"/>
              <w:right w:w="0" w:type="dxa"/>
            </w:tcMar>
            <w:vAlign w:val="center"/>
          </w:tcPr>
          <w:p w14:paraId="0C3145A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Adults</w:t>
            </w:r>
          </w:p>
        </w:tc>
        <w:tc>
          <w:tcPr>
            <w:tcW w:w="443" w:type="pct"/>
            <w:shd w:val="clear" w:color="auto" w:fill="FFFFFF"/>
            <w:tcMar>
              <w:top w:w="0" w:type="dxa"/>
              <w:left w:w="0" w:type="dxa"/>
              <w:bottom w:w="0" w:type="dxa"/>
              <w:right w:w="0" w:type="dxa"/>
            </w:tcMar>
            <w:vAlign w:val="center"/>
          </w:tcPr>
          <w:p w14:paraId="594AEF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427" w:type="pct"/>
            <w:shd w:val="clear" w:color="auto" w:fill="FFFFFF"/>
            <w:tcMar>
              <w:top w:w="0" w:type="dxa"/>
              <w:left w:w="0" w:type="dxa"/>
              <w:bottom w:w="0" w:type="dxa"/>
              <w:right w:w="0" w:type="dxa"/>
            </w:tcMar>
            <w:vAlign w:val="center"/>
          </w:tcPr>
          <w:p w14:paraId="2ACAC3E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shd w:val="clear" w:color="auto" w:fill="FFFFFF"/>
            <w:tcMar>
              <w:top w:w="0" w:type="dxa"/>
              <w:left w:w="0" w:type="dxa"/>
              <w:bottom w:w="0" w:type="dxa"/>
              <w:right w:w="0" w:type="dxa"/>
            </w:tcMar>
            <w:vAlign w:val="center"/>
          </w:tcPr>
          <w:p w14:paraId="3FC9219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6919</w:t>
            </w:r>
          </w:p>
        </w:tc>
        <w:tc>
          <w:tcPr>
            <w:tcW w:w="407" w:type="pct"/>
            <w:shd w:val="clear" w:color="auto" w:fill="FFFFFF"/>
            <w:tcMar>
              <w:top w:w="0" w:type="dxa"/>
              <w:left w:w="0" w:type="dxa"/>
              <w:bottom w:w="0" w:type="dxa"/>
              <w:right w:w="0" w:type="dxa"/>
            </w:tcMar>
            <w:vAlign w:val="center"/>
          </w:tcPr>
          <w:p w14:paraId="221BA1E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82" w:type="pct"/>
            <w:shd w:val="clear" w:color="auto" w:fill="FFFFFF"/>
            <w:tcMar>
              <w:top w:w="0" w:type="dxa"/>
              <w:left w:w="0" w:type="dxa"/>
              <w:bottom w:w="0" w:type="dxa"/>
              <w:right w:w="0" w:type="dxa"/>
            </w:tcMar>
            <w:vAlign w:val="center"/>
          </w:tcPr>
          <w:p w14:paraId="191F36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diabetes</w:t>
            </w:r>
          </w:p>
        </w:tc>
        <w:tc>
          <w:tcPr>
            <w:tcW w:w="812" w:type="pct"/>
            <w:shd w:val="clear" w:color="auto" w:fill="FFFFFF"/>
            <w:tcMar>
              <w:top w:w="0" w:type="dxa"/>
              <w:left w:w="0" w:type="dxa"/>
              <w:bottom w:w="0" w:type="dxa"/>
              <w:right w:w="0" w:type="dxa"/>
            </w:tcMar>
            <w:vAlign w:val="center"/>
          </w:tcPr>
          <w:p w14:paraId="5D7F367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398" w:type="pct"/>
            <w:shd w:val="clear" w:color="auto" w:fill="FFFFFF"/>
            <w:tcMar>
              <w:top w:w="0" w:type="dxa"/>
              <w:left w:w="0" w:type="dxa"/>
              <w:bottom w:w="0" w:type="dxa"/>
              <w:right w:w="0" w:type="dxa"/>
            </w:tcMar>
            <w:vAlign w:val="center"/>
          </w:tcPr>
          <w:p w14:paraId="7459891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16" w:type="pct"/>
            <w:shd w:val="clear" w:color="auto" w:fill="FFFFFF"/>
            <w:tcMar>
              <w:top w:w="0" w:type="dxa"/>
              <w:left w:w="0" w:type="dxa"/>
              <w:bottom w:w="0" w:type="dxa"/>
              <w:right w:w="0" w:type="dxa"/>
            </w:tcMar>
            <w:vAlign w:val="center"/>
          </w:tcPr>
          <w:p w14:paraId="29ECF5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Finland</w:t>
            </w:r>
          </w:p>
        </w:tc>
        <w:tc>
          <w:tcPr>
            <w:tcW w:w="371" w:type="pct"/>
            <w:shd w:val="clear" w:color="auto" w:fill="FFFFFF"/>
            <w:tcMar>
              <w:top w:w="0" w:type="dxa"/>
              <w:left w:w="0" w:type="dxa"/>
              <w:bottom w:w="0" w:type="dxa"/>
              <w:right w:w="0" w:type="dxa"/>
            </w:tcMar>
            <w:vAlign w:val="center"/>
          </w:tcPr>
          <w:p w14:paraId="0297AC82" w14:textId="5DF9D8E0"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PEVuZE5vdGU+PENpdGUgRXhjbHVkZUF1dGg9IjEiIEV4Y2x1ZGVZZWFyPSIxIj48QXV0aG9yPkhl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333</w:t>
            </w:r>
            <w:r w:rsidRPr="00734942">
              <w:rPr>
                <w:rFonts w:ascii="Arial" w:eastAsia="Arial" w:hAnsi="Arial" w:cs="Arial"/>
                <w:color w:val="111111"/>
                <w:sz w:val="18"/>
                <w:szCs w:val="18"/>
              </w:rPr>
              <w:fldChar w:fldCharType="end"/>
            </w:r>
          </w:p>
        </w:tc>
      </w:tr>
      <w:tr w:rsidR="00C8418F" w:rsidRPr="00734942" w14:paraId="74CAF7C6" w14:textId="77777777" w:rsidTr="00F74B40">
        <w:trPr>
          <w:cantSplit/>
          <w:jc w:val="center"/>
        </w:trPr>
        <w:tc>
          <w:tcPr>
            <w:tcW w:w="902" w:type="pct"/>
            <w:shd w:val="clear" w:color="auto" w:fill="FFFFFF"/>
            <w:tcMar>
              <w:top w:w="0" w:type="dxa"/>
              <w:left w:w="0" w:type="dxa"/>
              <w:bottom w:w="0" w:type="dxa"/>
              <w:right w:w="0" w:type="dxa"/>
            </w:tcMar>
            <w:vAlign w:val="center"/>
          </w:tcPr>
          <w:p w14:paraId="1206C0D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43" w:type="pct"/>
            <w:shd w:val="clear" w:color="auto" w:fill="FFFFFF"/>
            <w:tcMar>
              <w:top w:w="0" w:type="dxa"/>
              <w:left w:w="0" w:type="dxa"/>
              <w:bottom w:w="0" w:type="dxa"/>
              <w:right w:w="0" w:type="dxa"/>
            </w:tcMar>
            <w:vAlign w:val="center"/>
          </w:tcPr>
          <w:p w14:paraId="282145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27" w:type="pct"/>
            <w:shd w:val="clear" w:color="auto" w:fill="FFFFFF"/>
            <w:tcMar>
              <w:top w:w="0" w:type="dxa"/>
              <w:left w:w="0" w:type="dxa"/>
              <w:bottom w:w="0" w:type="dxa"/>
              <w:right w:w="0" w:type="dxa"/>
            </w:tcMar>
            <w:vAlign w:val="center"/>
          </w:tcPr>
          <w:p w14:paraId="1F84BA6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shd w:val="clear" w:color="auto" w:fill="FFFFFF"/>
            <w:tcMar>
              <w:top w:w="0" w:type="dxa"/>
              <w:left w:w="0" w:type="dxa"/>
              <w:bottom w:w="0" w:type="dxa"/>
              <w:right w:w="0" w:type="dxa"/>
            </w:tcMar>
            <w:vAlign w:val="center"/>
          </w:tcPr>
          <w:p w14:paraId="41EF5CA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338</w:t>
            </w:r>
          </w:p>
        </w:tc>
        <w:tc>
          <w:tcPr>
            <w:tcW w:w="407" w:type="pct"/>
            <w:shd w:val="clear" w:color="auto" w:fill="FFFFFF"/>
            <w:tcMar>
              <w:top w:w="0" w:type="dxa"/>
              <w:left w:w="0" w:type="dxa"/>
              <w:bottom w:w="0" w:type="dxa"/>
              <w:right w:w="0" w:type="dxa"/>
            </w:tcMar>
            <w:vAlign w:val="center"/>
          </w:tcPr>
          <w:p w14:paraId="16C15F3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82" w:type="pct"/>
            <w:shd w:val="clear" w:color="auto" w:fill="FFFFFF"/>
            <w:tcMar>
              <w:top w:w="0" w:type="dxa"/>
              <w:left w:w="0" w:type="dxa"/>
              <w:bottom w:w="0" w:type="dxa"/>
              <w:right w:w="0" w:type="dxa"/>
            </w:tcMar>
            <w:vAlign w:val="center"/>
          </w:tcPr>
          <w:p w14:paraId="136E627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12" w:type="pct"/>
            <w:shd w:val="clear" w:color="auto" w:fill="FFFFFF"/>
            <w:tcMar>
              <w:top w:w="0" w:type="dxa"/>
              <w:left w:w="0" w:type="dxa"/>
              <w:bottom w:w="0" w:type="dxa"/>
              <w:right w:w="0" w:type="dxa"/>
            </w:tcMar>
            <w:vAlign w:val="center"/>
          </w:tcPr>
          <w:p w14:paraId="0CC49D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shd w:val="clear" w:color="auto" w:fill="FFFFFF"/>
            <w:tcMar>
              <w:top w:w="0" w:type="dxa"/>
              <w:left w:w="0" w:type="dxa"/>
              <w:bottom w:w="0" w:type="dxa"/>
              <w:right w:w="0" w:type="dxa"/>
            </w:tcMar>
            <w:vAlign w:val="center"/>
          </w:tcPr>
          <w:p w14:paraId="6DD017F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shd w:val="clear" w:color="auto" w:fill="FFFFFF"/>
            <w:tcMar>
              <w:top w:w="0" w:type="dxa"/>
              <w:left w:w="0" w:type="dxa"/>
              <w:bottom w:w="0" w:type="dxa"/>
              <w:right w:w="0" w:type="dxa"/>
            </w:tcMar>
            <w:vAlign w:val="center"/>
          </w:tcPr>
          <w:p w14:paraId="6334B93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71" w:type="pct"/>
            <w:shd w:val="clear" w:color="auto" w:fill="FFFFFF"/>
            <w:tcMar>
              <w:top w:w="0" w:type="dxa"/>
              <w:left w:w="0" w:type="dxa"/>
              <w:bottom w:w="0" w:type="dxa"/>
              <w:right w:w="0" w:type="dxa"/>
            </w:tcMar>
            <w:vAlign w:val="center"/>
          </w:tcPr>
          <w:p w14:paraId="78B28CA8" w14:textId="152F52E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ExcludeYear="1"&gt;&lt;Author&gt;Kanungo&lt;/Author&gt;&lt;Year&gt;2002&lt;/Year&gt;&lt;RecNum&gt;277&lt;/RecNum&gt;&lt;DisplayText&gt;&lt;style face="superscript"&gt;460&lt;/style&gt;&lt;/DisplayText&gt;&lt;record&gt;&lt;rec-number&gt;277&lt;/rec-number&gt;&lt;foreign-keys&gt;&lt;key app="EN" db-id="tdwrx9xd1z9eepeevr355w2k959rv0f5zaax" timestamp="1632756143"&gt;277&lt;/key&gt;&lt;/foreign-keys&gt;&lt;ref-type name="Book Section"&gt;5&lt;/ref-type&gt;&lt;contributors&gt;&lt;authors&gt;&lt;author&gt;Kanungo, A.&lt;/author&gt;&lt;author&gt;Shtauvere-Brameus, A.&lt;/author&gt;&lt;author&gt;Samal, K. C.&lt;/author&gt;&lt;author&gt;Sanjeevi, C. B.&lt;/author&gt;&lt;/authors&gt;&lt;secondary-authors&gt;&lt;author&gt;Sanjeevi, C. B.&lt;/author&gt;&lt;/secondary-authors&gt;&lt;/contributors&gt;&lt;titles&gt;&lt;title&gt;Autoantibodies to tissue transglutaminase in patients from eastern India with malnutrition-modulated diabetes mellitus, insulin-dependent diabetes mellitus, and non-insulin-dependent diabetes mellitus&lt;/title&gt;&lt;secondary-title&gt;Immunology of Diabetes: Autoimmune Mechanisms and the Prevention and Cure of Type 1 Diabetes&lt;/secondary-title&gt;&lt;tertiary-title&gt;Annals of the New York Academy of Sciences&lt;/tertiary-title&gt;&lt;/titles&gt;&lt;pages&gt;232-234&lt;/pages&gt;&lt;volume&gt;958&lt;/volume&gt;&lt;dates&gt;&lt;year&gt;2002&lt;/year&gt;&lt;/dates&gt;&lt;isbn&gt;1-57331-362-9&lt;/isbn&gt;&lt;accession-num&gt;WOS:000176952100037&lt;/accession-num&gt;&lt;urls&gt;&lt;related-urls&gt;&lt;url&gt;&amp;lt;Go to ISI&amp;gt;://WOS:000176952100037&lt;/url&gt;&lt;/related-urls&gt;&lt;/urls&gt;&lt;remote-database-name&gt;Web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460</w:t>
            </w:r>
            <w:r w:rsidRPr="00734942">
              <w:rPr>
                <w:rFonts w:ascii="Arial" w:eastAsia="Arial" w:hAnsi="Arial" w:cs="Arial"/>
                <w:color w:val="111111"/>
                <w:sz w:val="18"/>
                <w:szCs w:val="18"/>
              </w:rPr>
              <w:fldChar w:fldCharType="end"/>
            </w:r>
          </w:p>
        </w:tc>
      </w:tr>
      <w:tr w:rsidR="00C8418F" w:rsidRPr="00734942" w14:paraId="02401897" w14:textId="77777777" w:rsidTr="00F74B40">
        <w:trPr>
          <w:cantSplit/>
          <w:jc w:val="center"/>
        </w:trPr>
        <w:tc>
          <w:tcPr>
            <w:tcW w:w="902" w:type="pct"/>
            <w:tcBorders>
              <w:bottom w:val="single" w:sz="16" w:space="0" w:color="000000"/>
            </w:tcBorders>
            <w:shd w:val="clear" w:color="auto" w:fill="FFFFFF"/>
            <w:tcMar>
              <w:top w:w="0" w:type="dxa"/>
              <w:left w:w="0" w:type="dxa"/>
              <w:bottom w:w="0" w:type="dxa"/>
              <w:right w:w="0" w:type="dxa"/>
            </w:tcMar>
            <w:vAlign w:val="center"/>
          </w:tcPr>
          <w:p w14:paraId="299052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443" w:type="pct"/>
            <w:tcBorders>
              <w:bottom w:val="single" w:sz="16" w:space="0" w:color="000000"/>
            </w:tcBorders>
            <w:shd w:val="clear" w:color="auto" w:fill="FFFFFF"/>
            <w:tcMar>
              <w:top w:w="0" w:type="dxa"/>
              <w:left w:w="0" w:type="dxa"/>
              <w:bottom w:w="0" w:type="dxa"/>
              <w:right w:w="0" w:type="dxa"/>
            </w:tcMar>
            <w:vAlign w:val="center"/>
          </w:tcPr>
          <w:p w14:paraId="20C3784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427" w:type="pct"/>
            <w:tcBorders>
              <w:bottom w:val="single" w:sz="16" w:space="0" w:color="000000"/>
            </w:tcBorders>
            <w:shd w:val="clear" w:color="auto" w:fill="FFFFFF"/>
            <w:tcMar>
              <w:top w:w="0" w:type="dxa"/>
              <w:left w:w="0" w:type="dxa"/>
              <w:bottom w:w="0" w:type="dxa"/>
              <w:right w:w="0" w:type="dxa"/>
            </w:tcMar>
            <w:vAlign w:val="center"/>
          </w:tcPr>
          <w:p w14:paraId="05E9FE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Type 2 Diabetes</w:t>
            </w:r>
          </w:p>
        </w:tc>
        <w:tc>
          <w:tcPr>
            <w:tcW w:w="342" w:type="pct"/>
            <w:tcBorders>
              <w:bottom w:val="single" w:sz="16" w:space="0" w:color="000000"/>
            </w:tcBorders>
            <w:shd w:val="clear" w:color="auto" w:fill="FFFFFF"/>
            <w:tcMar>
              <w:top w:w="0" w:type="dxa"/>
              <w:left w:w="0" w:type="dxa"/>
              <w:bottom w:w="0" w:type="dxa"/>
              <w:right w:w="0" w:type="dxa"/>
            </w:tcMar>
            <w:vAlign w:val="center"/>
          </w:tcPr>
          <w:p w14:paraId="7CC9020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332</w:t>
            </w:r>
          </w:p>
        </w:tc>
        <w:tc>
          <w:tcPr>
            <w:tcW w:w="407" w:type="pct"/>
            <w:tcBorders>
              <w:bottom w:val="single" w:sz="16" w:space="0" w:color="000000"/>
            </w:tcBorders>
            <w:shd w:val="clear" w:color="auto" w:fill="FFFFFF"/>
            <w:tcMar>
              <w:top w:w="0" w:type="dxa"/>
              <w:left w:w="0" w:type="dxa"/>
              <w:bottom w:w="0" w:type="dxa"/>
              <w:right w:w="0" w:type="dxa"/>
            </w:tcMar>
            <w:vAlign w:val="center"/>
          </w:tcPr>
          <w:p w14:paraId="465EAB4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82" w:type="pct"/>
            <w:tcBorders>
              <w:bottom w:val="single" w:sz="16" w:space="0" w:color="000000"/>
            </w:tcBorders>
            <w:shd w:val="clear" w:color="auto" w:fill="FFFFFF"/>
            <w:tcMar>
              <w:top w:w="0" w:type="dxa"/>
              <w:left w:w="0" w:type="dxa"/>
              <w:bottom w:w="0" w:type="dxa"/>
              <w:right w:w="0" w:type="dxa"/>
            </w:tcMar>
            <w:vAlign w:val="center"/>
          </w:tcPr>
          <w:p w14:paraId="38DE28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812" w:type="pct"/>
            <w:tcBorders>
              <w:bottom w:val="single" w:sz="16" w:space="0" w:color="000000"/>
            </w:tcBorders>
            <w:shd w:val="clear" w:color="auto" w:fill="FFFFFF"/>
            <w:tcMar>
              <w:top w:w="0" w:type="dxa"/>
              <w:left w:w="0" w:type="dxa"/>
              <w:bottom w:w="0" w:type="dxa"/>
              <w:right w:w="0" w:type="dxa"/>
            </w:tcMar>
            <w:vAlign w:val="center"/>
          </w:tcPr>
          <w:p w14:paraId="3DBCD37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398" w:type="pct"/>
            <w:tcBorders>
              <w:bottom w:val="single" w:sz="16" w:space="0" w:color="000000"/>
            </w:tcBorders>
            <w:shd w:val="clear" w:color="auto" w:fill="FFFFFF"/>
            <w:tcMar>
              <w:top w:w="0" w:type="dxa"/>
              <w:left w:w="0" w:type="dxa"/>
              <w:bottom w:w="0" w:type="dxa"/>
              <w:right w:w="0" w:type="dxa"/>
            </w:tcMar>
            <w:vAlign w:val="center"/>
          </w:tcPr>
          <w:p w14:paraId="1009264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16" w:type="pct"/>
            <w:tcBorders>
              <w:bottom w:val="single" w:sz="16" w:space="0" w:color="000000"/>
            </w:tcBorders>
            <w:shd w:val="clear" w:color="auto" w:fill="FFFFFF"/>
            <w:tcMar>
              <w:top w:w="0" w:type="dxa"/>
              <w:left w:w="0" w:type="dxa"/>
              <w:bottom w:w="0" w:type="dxa"/>
              <w:right w:w="0" w:type="dxa"/>
            </w:tcMar>
            <w:vAlign w:val="center"/>
          </w:tcPr>
          <w:p w14:paraId="4A0DD4B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1" w:type="pct"/>
            <w:tcBorders>
              <w:bottom w:val="single" w:sz="16" w:space="0" w:color="000000"/>
            </w:tcBorders>
            <w:shd w:val="clear" w:color="auto" w:fill="FFFFFF"/>
            <w:tcMar>
              <w:top w:w="0" w:type="dxa"/>
              <w:left w:w="0" w:type="dxa"/>
              <w:bottom w:w="0" w:type="dxa"/>
              <w:right w:w="0" w:type="dxa"/>
            </w:tcMar>
            <w:vAlign w:val="center"/>
          </w:tcPr>
          <w:p w14:paraId="0FA684C4" w14:textId="3C209FF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PEVuZE5vdGU+PENpdGUgRXhjbHVkZUF1dGg9IjEiIEV4Y2x1ZGVZZWFyPSIxIj48QXV0aG9yPkxh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PEVuZE5vdGU+PENpdGUgRXhjbHVkZUF1dGg9IjEiIEV4Y2x1ZGVZZWFyPSIxIj48QXV0aG9yPkxh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462</w:t>
            </w:r>
            <w:r w:rsidRPr="00734942">
              <w:rPr>
                <w:rFonts w:ascii="Arial" w:eastAsia="Arial" w:hAnsi="Arial" w:cs="Arial"/>
                <w:color w:val="111111"/>
                <w:sz w:val="18"/>
                <w:szCs w:val="18"/>
              </w:rPr>
              <w:fldChar w:fldCharType="end"/>
            </w:r>
          </w:p>
        </w:tc>
      </w:tr>
    </w:tbl>
    <w:p w14:paraId="6FFC13F9" w14:textId="77777777" w:rsidR="007B756D" w:rsidRPr="00734942" w:rsidRDefault="007B756D" w:rsidP="007B756D"/>
    <w:p w14:paraId="63D25920" w14:textId="01A0C162" w:rsidR="00F74B40" w:rsidRDefault="00F74B40" w:rsidP="000526F1">
      <w:pPr>
        <w:pStyle w:val="Caption"/>
      </w:pPr>
      <w:bookmarkStart w:id="388" w:name="_Toc99720759"/>
      <w:r>
        <w:t xml:space="preserve">Table </w:t>
      </w:r>
      <w:r w:rsidR="00C34531">
        <w:fldChar w:fldCharType="begin"/>
      </w:r>
      <w:r w:rsidR="00C34531">
        <w:instrText xml:space="preserve"> SEQ Table \* ARABIC </w:instrText>
      </w:r>
      <w:r w:rsidR="00C34531">
        <w:fldChar w:fldCharType="separate"/>
      </w:r>
      <w:r w:rsidR="008B5583">
        <w:rPr>
          <w:noProof/>
        </w:rPr>
        <w:t>48</w:t>
      </w:r>
      <w:r w:rsidR="00C34531">
        <w:rPr>
          <w:noProof/>
        </w:rPr>
        <w:fldChar w:fldCharType="end"/>
      </w:r>
      <w:r>
        <w:t xml:space="preserve">  </w:t>
      </w:r>
      <w:r w:rsidRPr="000A47E1">
        <w:t>Study characteristics: Thyroid disease</w:t>
      </w:r>
      <w:bookmarkEnd w:id="388"/>
    </w:p>
    <w:tbl>
      <w:tblPr>
        <w:tblW w:w="5000" w:type="pct"/>
        <w:jc w:val="center"/>
        <w:tblLook w:val="0420" w:firstRow="1" w:lastRow="0" w:firstColumn="0" w:lastColumn="0" w:noHBand="0" w:noVBand="1"/>
      </w:tblPr>
      <w:tblGrid>
        <w:gridCol w:w="1846"/>
        <w:gridCol w:w="1672"/>
        <w:gridCol w:w="2342"/>
        <w:gridCol w:w="812"/>
        <w:gridCol w:w="835"/>
        <w:gridCol w:w="1505"/>
        <w:gridCol w:w="1683"/>
        <w:gridCol w:w="1136"/>
        <w:gridCol w:w="1094"/>
        <w:gridCol w:w="1033"/>
      </w:tblGrid>
      <w:tr w:rsidR="007B756D" w:rsidRPr="00734942" w14:paraId="2A4DECD5" w14:textId="77777777" w:rsidTr="006658D1">
        <w:trPr>
          <w:cantSplit/>
          <w:tblHeader/>
          <w:jc w:val="center"/>
        </w:trPr>
        <w:tc>
          <w:tcPr>
            <w:tcW w:w="66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9A82E1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3FDC90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83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A16F29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D65F9F4"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C32D0B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3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47DFC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0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505956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E6AF91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9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8E183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E7BB14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32BB2D8B" w14:textId="77777777" w:rsidTr="006658D1">
        <w:trPr>
          <w:cantSplit/>
          <w:jc w:val="center"/>
        </w:trPr>
        <w:tc>
          <w:tcPr>
            <w:tcW w:w="661" w:type="pct"/>
            <w:shd w:val="clear" w:color="auto" w:fill="FFFFFF"/>
            <w:tcMar>
              <w:top w:w="0" w:type="dxa"/>
              <w:left w:w="0" w:type="dxa"/>
              <w:bottom w:w="0" w:type="dxa"/>
              <w:right w:w="0" w:type="dxa"/>
            </w:tcMar>
            <w:vAlign w:val="center"/>
          </w:tcPr>
          <w:p w14:paraId="0A8365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6DDF429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290B221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2B27372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1,337</w:t>
            </w:r>
          </w:p>
        </w:tc>
        <w:tc>
          <w:tcPr>
            <w:tcW w:w="299" w:type="pct"/>
            <w:shd w:val="clear" w:color="auto" w:fill="FFFFFF"/>
            <w:tcMar>
              <w:top w:w="0" w:type="dxa"/>
              <w:left w:w="0" w:type="dxa"/>
              <w:bottom w:w="0" w:type="dxa"/>
              <w:right w:w="0" w:type="dxa"/>
            </w:tcMar>
            <w:vAlign w:val="center"/>
          </w:tcPr>
          <w:p w14:paraId="1A7B9D8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1355F2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63383E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7FB252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771A35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43947E39" w14:textId="07D92C0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PEVuZE5vdGU+PENpdGUgRXhjbHVkZUF1dGg9IjEiIEV4Y2x1ZGVZZWFyPSIxIj48QXV0aG9yPlJh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PEVuZE5vdGU+PENpdGUgRXhjbHVkZUF1dGg9IjEiIEV4Y2x1ZGVZZWFyPSIxIj48QXV0aG9yPlJh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467</w:t>
            </w:r>
            <w:r w:rsidRPr="00734942">
              <w:rPr>
                <w:rFonts w:ascii="Arial" w:eastAsia="Arial" w:hAnsi="Arial" w:cs="Arial"/>
                <w:color w:val="111111"/>
                <w:sz w:val="18"/>
                <w:szCs w:val="18"/>
              </w:rPr>
              <w:fldChar w:fldCharType="end"/>
            </w:r>
          </w:p>
        </w:tc>
      </w:tr>
      <w:tr w:rsidR="007B756D" w:rsidRPr="00734942" w14:paraId="65FE5246" w14:textId="77777777" w:rsidTr="006658D1">
        <w:trPr>
          <w:cantSplit/>
          <w:jc w:val="center"/>
        </w:trPr>
        <w:tc>
          <w:tcPr>
            <w:tcW w:w="661" w:type="pct"/>
            <w:shd w:val="clear" w:color="auto" w:fill="FFFFFF"/>
            <w:tcMar>
              <w:top w:w="0" w:type="dxa"/>
              <w:left w:w="0" w:type="dxa"/>
              <w:bottom w:w="0" w:type="dxa"/>
              <w:right w:w="0" w:type="dxa"/>
            </w:tcMar>
            <w:vAlign w:val="center"/>
          </w:tcPr>
          <w:p w14:paraId="51CF09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0EA6DC6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3262F87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19E205C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814</w:t>
            </w:r>
          </w:p>
        </w:tc>
        <w:tc>
          <w:tcPr>
            <w:tcW w:w="299" w:type="pct"/>
            <w:shd w:val="clear" w:color="auto" w:fill="FFFFFF"/>
            <w:tcMar>
              <w:top w:w="0" w:type="dxa"/>
              <w:left w:w="0" w:type="dxa"/>
              <w:bottom w:w="0" w:type="dxa"/>
              <w:right w:w="0" w:type="dxa"/>
            </w:tcMar>
            <w:vAlign w:val="center"/>
          </w:tcPr>
          <w:p w14:paraId="0F039CE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18A5F6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31DEE3D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4ED68E6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18212E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4BF08A81" w14:textId="427585B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PEVuZE5vdGU+PENpdGUgRXhjbHVkZUF1dGg9IjEiIEV4Y2x1ZGVZZWFyPSIxIj48QXV0aG9yPlJh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PEVuZE5vdGU+PENpdGUgRXhjbHVkZUF1dGg9IjEiIEV4Y2x1ZGVZZWFyPSIxIj48QXV0aG9yPlJh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467</w:t>
            </w:r>
            <w:r w:rsidRPr="00734942">
              <w:rPr>
                <w:rFonts w:ascii="Arial" w:eastAsia="Arial" w:hAnsi="Arial" w:cs="Arial"/>
                <w:color w:val="111111"/>
                <w:sz w:val="18"/>
                <w:szCs w:val="18"/>
              </w:rPr>
              <w:fldChar w:fldCharType="end"/>
            </w:r>
          </w:p>
        </w:tc>
      </w:tr>
      <w:tr w:rsidR="007B756D" w:rsidRPr="00734942" w14:paraId="769331F3" w14:textId="77777777" w:rsidTr="006658D1">
        <w:trPr>
          <w:cantSplit/>
          <w:jc w:val="center"/>
        </w:trPr>
        <w:tc>
          <w:tcPr>
            <w:tcW w:w="661" w:type="pct"/>
            <w:shd w:val="clear" w:color="auto" w:fill="FFFFFF"/>
            <w:tcMar>
              <w:top w:w="0" w:type="dxa"/>
              <w:left w:w="0" w:type="dxa"/>
              <w:bottom w:w="0" w:type="dxa"/>
              <w:right w:w="0" w:type="dxa"/>
            </w:tcMar>
            <w:vAlign w:val="center"/>
          </w:tcPr>
          <w:p w14:paraId="68A7385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72297DE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3CD0036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Hashimoto's thyroiditis</w:t>
            </w:r>
          </w:p>
        </w:tc>
        <w:tc>
          <w:tcPr>
            <w:tcW w:w="291" w:type="pct"/>
            <w:shd w:val="clear" w:color="auto" w:fill="FFFFFF"/>
            <w:tcMar>
              <w:top w:w="0" w:type="dxa"/>
              <w:left w:w="0" w:type="dxa"/>
              <w:bottom w:w="0" w:type="dxa"/>
              <w:right w:w="0" w:type="dxa"/>
            </w:tcMar>
            <w:vAlign w:val="center"/>
          </w:tcPr>
          <w:p w14:paraId="131E487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82</w:t>
            </w:r>
          </w:p>
        </w:tc>
        <w:tc>
          <w:tcPr>
            <w:tcW w:w="299" w:type="pct"/>
            <w:shd w:val="clear" w:color="auto" w:fill="FFFFFF"/>
            <w:tcMar>
              <w:top w:w="0" w:type="dxa"/>
              <w:left w:w="0" w:type="dxa"/>
              <w:bottom w:w="0" w:type="dxa"/>
              <w:right w:w="0" w:type="dxa"/>
            </w:tcMar>
            <w:vAlign w:val="center"/>
          </w:tcPr>
          <w:p w14:paraId="0BCF388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100%</w:t>
            </w:r>
          </w:p>
        </w:tc>
        <w:tc>
          <w:tcPr>
            <w:tcW w:w="539" w:type="pct"/>
            <w:shd w:val="clear" w:color="auto" w:fill="FFFFFF"/>
            <w:tcMar>
              <w:top w:w="0" w:type="dxa"/>
              <w:left w:w="0" w:type="dxa"/>
              <w:bottom w:w="0" w:type="dxa"/>
              <w:right w:w="0" w:type="dxa"/>
            </w:tcMar>
            <w:vAlign w:val="center"/>
          </w:tcPr>
          <w:p w14:paraId="27B956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0C49D7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shd w:val="clear" w:color="auto" w:fill="FFFFFF"/>
            <w:tcMar>
              <w:top w:w="0" w:type="dxa"/>
              <w:left w:w="0" w:type="dxa"/>
              <w:bottom w:w="0" w:type="dxa"/>
              <w:right w:w="0" w:type="dxa"/>
            </w:tcMar>
            <w:vAlign w:val="center"/>
          </w:tcPr>
          <w:p w14:paraId="07E716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4760A5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Iran</w:t>
            </w:r>
          </w:p>
        </w:tc>
        <w:tc>
          <w:tcPr>
            <w:tcW w:w="370" w:type="pct"/>
            <w:shd w:val="clear" w:color="auto" w:fill="FFFFFF"/>
            <w:tcMar>
              <w:top w:w="0" w:type="dxa"/>
              <w:left w:w="0" w:type="dxa"/>
              <w:bottom w:w="0" w:type="dxa"/>
              <w:right w:w="0" w:type="dxa"/>
            </w:tcMar>
            <w:vAlign w:val="center"/>
          </w:tcPr>
          <w:p w14:paraId="61B84DF2" w14:textId="3E73D4E4"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ExcludeYear="1"&gt;&lt;Author&gt;Riseh&lt;/Author&gt;&lt;Year&gt;2017&lt;/Year&gt;&lt;RecNum&gt;284&lt;/RecNum&gt;&lt;DisplayText&gt;&lt;style face="superscript"&gt;468&lt;/style&gt;&lt;/DisplayText&gt;&lt;record&gt;&lt;rec-number&gt;284&lt;/rec-number&gt;&lt;foreign-keys&gt;&lt;key app="EN" db-id="tdwrx9xd1z9eepeevr355w2k959rv0f5zaax" timestamp="1632756145"&gt;284&lt;/key&gt;&lt;/foreign-keys&gt;&lt;ref-type name="Journal Article"&gt;17&lt;/ref-type&gt;&lt;contributors&gt;&lt;authors&gt;&lt;author&gt;Riseh, S. H.&lt;/author&gt;&lt;author&gt;Farhang, M. A.&lt;/author&gt;&lt;author&gt;Mobasseri, M.&lt;/author&gt;&lt;author&gt;Jafarabadi, M. A.&lt;/author&gt;&lt;/authors&gt;&lt;/contributors&gt;&lt;titles&gt;&lt;title&gt;THE RELATIONSHIP BETWEEN THYROID HORMONES, ANTITHYROID ANTIBODIES, ANTI-TISSUE TRANSGLUTAMINASE AND ANTI-GLIADIN ANTIBODIES IN PATIENTS WITH HASHIMOTO&amp;apos;S THYROIDITIS&lt;/title&gt;&lt;secondary-title&gt;Acta Endocrinologica-Bucharest&lt;/secondary-title&gt;&lt;/titles&gt;&lt;periodical&gt;&lt;full-title&gt;Acta Endocrinologica-Bucharest&lt;/full-title&gt;&lt;/periodical&gt;&lt;pages&gt;174-179&lt;/pages&gt;&lt;volume&gt;13&lt;/volume&gt;&lt;number&gt;2&lt;/number&gt;&lt;dates&gt;&lt;year&gt;2017&lt;/year&gt;&lt;pub-dates&gt;&lt;date&gt;Apr-Jun&lt;/date&gt;&lt;/pub-dates&gt;&lt;/dates&gt;&lt;isbn&gt;1841-0987&lt;/isbn&gt;&lt;accession-num&gt;WOS:000406825700008&lt;/accession-num&gt;&lt;urls&gt;&lt;related-urls&gt;&lt;url&gt;&amp;lt;Go to ISI&amp;gt;://WOS:000406825700008&lt;/url&gt;&lt;/related-urls&gt;&lt;/urls&gt;&lt;electronic-resource-num&gt;10.4183/aeb.2017.174&lt;/electronic-resource-num&gt;&lt;remote-database-name&gt;Web of Science&lt;/remote-database-name&gt;&lt;/record&gt;&lt;/Cite&gt;&lt;/EndNote&gt;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468</w:t>
            </w:r>
            <w:r w:rsidRPr="00734942">
              <w:rPr>
                <w:rFonts w:ascii="Arial" w:eastAsia="Arial" w:hAnsi="Arial" w:cs="Arial"/>
                <w:color w:val="111111"/>
                <w:sz w:val="18"/>
                <w:szCs w:val="18"/>
              </w:rPr>
              <w:fldChar w:fldCharType="end"/>
            </w:r>
          </w:p>
        </w:tc>
      </w:tr>
      <w:tr w:rsidR="007B756D" w:rsidRPr="00734942" w14:paraId="5482A4C7" w14:textId="77777777" w:rsidTr="006658D1">
        <w:trPr>
          <w:cantSplit/>
          <w:jc w:val="center"/>
        </w:trPr>
        <w:tc>
          <w:tcPr>
            <w:tcW w:w="661" w:type="pct"/>
            <w:shd w:val="clear" w:color="auto" w:fill="FFFFFF"/>
            <w:tcMar>
              <w:top w:w="0" w:type="dxa"/>
              <w:left w:w="0" w:type="dxa"/>
              <w:bottom w:w="0" w:type="dxa"/>
              <w:right w:w="0" w:type="dxa"/>
            </w:tcMar>
            <w:vAlign w:val="center"/>
          </w:tcPr>
          <w:p w14:paraId="07F02C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23F50DC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0B1F0E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Graves' disease</w:t>
            </w:r>
          </w:p>
        </w:tc>
        <w:tc>
          <w:tcPr>
            <w:tcW w:w="291" w:type="pct"/>
            <w:shd w:val="clear" w:color="auto" w:fill="FFFFFF"/>
            <w:tcMar>
              <w:top w:w="0" w:type="dxa"/>
              <w:left w:w="0" w:type="dxa"/>
              <w:bottom w:w="0" w:type="dxa"/>
              <w:right w:w="0" w:type="dxa"/>
            </w:tcMar>
            <w:vAlign w:val="center"/>
          </w:tcPr>
          <w:p w14:paraId="4189561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354</w:t>
            </w:r>
          </w:p>
        </w:tc>
        <w:tc>
          <w:tcPr>
            <w:tcW w:w="299" w:type="pct"/>
            <w:shd w:val="clear" w:color="auto" w:fill="FFFFFF"/>
            <w:tcMar>
              <w:top w:w="0" w:type="dxa"/>
              <w:left w:w="0" w:type="dxa"/>
              <w:bottom w:w="0" w:type="dxa"/>
              <w:right w:w="0" w:type="dxa"/>
            </w:tcMar>
            <w:vAlign w:val="center"/>
          </w:tcPr>
          <w:p w14:paraId="4CB8F0E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539" w:type="pct"/>
            <w:shd w:val="clear" w:color="auto" w:fill="FFFFFF"/>
            <w:tcMar>
              <w:top w:w="0" w:type="dxa"/>
              <w:left w:w="0" w:type="dxa"/>
              <w:bottom w:w="0" w:type="dxa"/>
              <w:right w:w="0" w:type="dxa"/>
            </w:tcMar>
            <w:vAlign w:val="center"/>
          </w:tcPr>
          <w:p w14:paraId="6DFF60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7927103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6AA6849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1138A67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Poland</w:t>
            </w:r>
          </w:p>
        </w:tc>
        <w:tc>
          <w:tcPr>
            <w:tcW w:w="370" w:type="pct"/>
            <w:shd w:val="clear" w:color="auto" w:fill="FFFFFF"/>
            <w:tcMar>
              <w:top w:w="0" w:type="dxa"/>
              <w:left w:w="0" w:type="dxa"/>
              <w:bottom w:w="0" w:type="dxa"/>
              <w:right w:w="0" w:type="dxa"/>
            </w:tcMar>
            <w:vAlign w:val="center"/>
          </w:tcPr>
          <w:p w14:paraId="4557CDE5" w14:textId="3DFBBDD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PEVuZE5vdGU+PENpdGUgRXhjbHVkZUF1dGg9IjEiIEV4Y2x1ZGVZZWFyPSIxIj48QXV0aG9yPk1p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PEVuZE5vdGU+PENpdGUgRXhjbHVkZUF1dGg9IjEiIEV4Y2x1ZGVZZWFyPSIxIj48QXV0aG9yPk1p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469</w:t>
            </w:r>
            <w:r w:rsidRPr="00734942">
              <w:rPr>
                <w:rFonts w:ascii="Arial" w:eastAsia="Arial" w:hAnsi="Arial" w:cs="Arial"/>
                <w:color w:val="111111"/>
                <w:sz w:val="18"/>
                <w:szCs w:val="18"/>
              </w:rPr>
              <w:fldChar w:fldCharType="end"/>
            </w:r>
          </w:p>
        </w:tc>
      </w:tr>
      <w:tr w:rsidR="007B756D" w:rsidRPr="00734942" w14:paraId="329FA787" w14:textId="77777777" w:rsidTr="006658D1">
        <w:trPr>
          <w:cantSplit/>
          <w:jc w:val="center"/>
        </w:trPr>
        <w:tc>
          <w:tcPr>
            <w:tcW w:w="661" w:type="pct"/>
            <w:shd w:val="clear" w:color="auto" w:fill="FFFFFF"/>
            <w:tcMar>
              <w:top w:w="0" w:type="dxa"/>
              <w:left w:w="0" w:type="dxa"/>
              <w:bottom w:w="0" w:type="dxa"/>
              <w:right w:w="0" w:type="dxa"/>
            </w:tcMar>
            <w:vAlign w:val="center"/>
          </w:tcPr>
          <w:p w14:paraId="32F857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7C39620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4073D1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Hashimoto's thyroiditis or Graves' disease</w:t>
            </w:r>
          </w:p>
        </w:tc>
        <w:tc>
          <w:tcPr>
            <w:tcW w:w="291" w:type="pct"/>
            <w:shd w:val="clear" w:color="auto" w:fill="FFFFFF"/>
            <w:tcMar>
              <w:top w:w="0" w:type="dxa"/>
              <w:left w:w="0" w:type="dxa"/>
              <w:bottom w:w="0" w:type="dxa"/>
              <w:right w:w="0" w:type="dxa"/>
            </w:tcMar>
            <w:vAlign w:val="center"/>
          </w:tcPr>
          <w:p w14:paraId="3643DB1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4,172</w:t>
            </w:r>
          </w:p>
        </w:tc>
        <w:tc>
          <w:tcPr>
            <w:tcW w:w="299" w:type="pct"/>
            <w:shd w:val="clear" w:color="auto" w:fill="FFFFFF"/>
            <w:tcMar>
              <w:top w:w="0" w:type="dxa"/>
              <w:left w:w="0" w:type="dxa"/>
              <w:bottom w:w="0" w:type="dxa"/>
              <w:right w:w="0" w:type="dxa"/>
            </w:tcMar>
            <w:vAlign w:val="center"/>
          </w:tcPr>
          <w:p w14:paraId="64380D3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539" w:type="pct"/>
            <w:shd w:val="clear" w:color="auto" w:fill="FFFFFF"/>
            <w:tcMar>
              <w:top w:w="0" w:type="dxa"/>
              <w:left w:w="0" w:type="dxa"/>
              <w:bottom w:w="0" w:type="dxa"/>
              <w:right w:w="0" w:type="dxa"/>
            </w:tcMar>
            <w:vAlign w:val="center"/>
          </w:tcPr>
          <w:p w14:paraId="555FE25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5A7B7BB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4E45562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5507AF2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22D7247D" w14:textId="42A36A4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PEVuZE5vdGU+PENpdGUgRXhjbHVkZUF1dGg9IjEiIEV4Y2x1ZGVZZWFyPSIxIj48QXV0aG9yPkJl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PEVuZE5vdGU+PENpdGUgRXhjbHVkZUF1dGg9IjEiIEV4Y2x1ZGVZZWFyPSIxIj48QXV0aG9yPkJl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470</w:t>
            </w:r>
            <w:r w:rsidRPr="00734942">
              <w:rPr>
                <w:rFonts w:ascii="Arial" w:eastAsia="Arial" w:hAnsi="Arial" w:cs="Arial"/>
                <w:color w:val="111111"/>
                <w:sz w:val="18"/>
                <w:szCs w:val="18"/>
              </w:rPr>
              <w:fldChar w:fldCharType="end"/>
            </w:r>
          </w:p>
        </w:tc>
      </w:tr>
      <w:tr w:rsidR="007B756D" w:rsidRPr="00734942" w14:paraId="0621FB75" w14:textId="77777777" w:rsidTr="006658D1">
        <w:trPr>
          <w:cantSplit/>
          <w:jc w:val="center"/>
        </w:trPr>
        <w:tc>
          <w:tcPr>
            <w:tcW w:w="661" w:type="pct"/>
            <w:shd w:val="clear" w:color="auto" w:fill="FFFFFF"/>
            <w:tcMar>
              <w:top w:w="0" w:type="dxa"/>
              <w:left w:w="0" w:type="dxa"/>
              <w:bottom w:w="0" w:type="dxa"/>
              <w:right w:w="0" w:type="dxa"/>
            </w:tcMar>
            <w:vAlign w:val="center"/>
          </w:tcPr>
          <w:p w14:paraId="31EAB0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13912C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436A553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Graves' disease</w:t>
            </w:r>
          </w:p>
        </w:tc>
        <w:tc>
          <w:tcPr>
            <w:tcW w:w="291" w:type="pct"/>
            <w:shd w:val="clear" w:color="auto" w:fill="FFFFFF"/>
            <w:tcMar>
              <w:top w:w="0" w:type="dxa"/>
              <w:left w:w="0" w:type="dxa"/>
              <w:bottom w:w="0" w:type="dxa"/>
              <w:right w:w="0" w:type="dxa"/>
            </w:tcMar>
            <w:vAlign w:val="center"/>
          </w:tcPr>
          <w:p w14:paraId="6152E27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124</w:t>
            </w:r>
          </w:p>
        </w:tc>
        <w:tc>
          <w:tcPr>
            <w:tcW w:w="299" w:type="pct"/>
            <w:shd w:val="clear" w:color="auto" w:fill="FFFFFF"/>
            <w:tcMar>
              <w:top w:w="0" w:type="dxa"/>
              <w:left w:w="0" w:type="dxa"/>
              <w:bottom w:w="0" w:type="dxa"/>
              <w:right w:w="0" w:type="dxa"/>
            </w:tcMar>
            <w:vAlign w:val="center"/>
          </w:tcPr>
          <w:p w14:paraId="43C6A26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36514B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67DB466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407" w:type="pct"/>
            <w:shd w:val="clear" w:color="auto" w:fill="FFFFFF"/>
            <w:tcMar>
              <w:top w:w="0" w:type="dxa"/>
              <w:left w:w="0" w:type="dxa"/>
              <w:bottom w:w="0" w:type="dxa"/>
              <w:right w:w="0" w:type="dxa"/>
            </w:tcMar>
            <w:vAlign w:val="center"/>
          </w:tcPr>
          <w:p w14:paraId="622990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6F9299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Ireland</w:t>
            </w:r>
          </w:p>
        </w:tc>
        <w:tc>
          <w:tcPr>
            <w:tcW w:w="370" w:type="pct"/>
            <w:shd w:val="clear" w:color="auto" w:fill="FFFFFF"/>
            <w:tcMar>
              <w:top w:w="0" w:type="dxa"/>
              <w:left w:w="0" w:type="dxa"/>
              <w:bottom w:w="0" w:type="dxa"/>
              <w:right w:w="0" w:type="dxa"/>
            </w:tcMar>
            <w:vAlign w:val="center"/>
          </w:tcPr>
          <w:p w14:paraId="662A76F1" w14:textId="0F97504F"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PEVuZE5vdGU+PENpdGUgRXhjbHVkZUF1dGg9IjEiIEV4Y2x1ZGVZZWFyPSIxIj48QXV0aG9yPkZl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328</w:t>
            </w:r>
            <w:r w:rsidRPr="00734942">
              <w:rPr>
                <w:rFonts w:ascii="Arial" w:eastAsia="Arial" w:hAnsi="Arial" w:cs="Arial"/>
                <w:color w:val="111111"/>
                <w:sz w:val="18"/>
                <w:szCs w:val="18"/>
              </w:rPr>
              <w:fldChar w:fldCharType="end"/>
            </w:r>
          </w:p>
        </w:tc>
      </w:tr>
      <w:tr w:rsidR="007B756D" w:rsidRPr="00734942" w14:paraId="1A663962" w14:textId="77777777" w:rsidTr="006658D1">
        <w:trPr>
          <w:cantSplit/>
          <w:jc w:val="center"/>
        </w:trPr>
        <w:tc>
          <w:tcPr>
            <w:tcW w:w="661" w:type="pct"/>
            <w:shd w:val="clear" w:color="auto" w:fill="FFFFFF"/>
            <w:tcMar>
              <w:top w:w="0" w:type="dxa"/>
              <w:left w:w="0" w:type="dxa"/>
              <w:bottom w:w="0" w:type="dxa"/>
              <w:right w:w="0" w:type="dxa"/>
            </w:tcMar>
            <w:vAlign w:val="center"/>
          </w:tcPr>
          <w:p w14:paraId="60B86D4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1E460CD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0067AD9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Graves' disease</w:t>
            </w:r>
          </w:p>
        </w:tc>
        <w:tc>
          <w:tcPr>
            <w:tcW w:w="291" w:type="pct"/>
            <w:shd w:val="clear" w:color="auto" w:fill="FFFFFF"/>
            <w:tcMar>
              <w:top w:w="0" w:type="dxa"/>
              <w:left w:w="0" w:type="dxa"/>
              <w:bottom w:w="0" w:type="dxa"/>
              <w:right w:w="0" w:type="dxa"/>
            </w:tcMar>
            <w:vAlign w:val="center"/>
          </w:tcPr>
          <w:p w14:paraId="247A20CA"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226</w:t>
            </w:r>
          </w:p>
        </w:tc>
        <w:tc>
          <w:tcPr>
            <w:tcW w:w="299" w:type="pct"/>
            <w:shd w:val="clear" w:color="auto" w:fill="FFFFFF"/>
            <w:tcMar>
              <w:top w:w="0" w:type="dxa"/>
              <w:left w:w="0" w:type="dxa"/>
              <w:bottom w:w="0" w:type="dxa"/>
              <w:right w:w="0" w:type="dxa"/>
            </w:tcMar>
            <w:vAlign w:val="center"/>
          </w:tcPr>
          <w:p w14:paraId="7C48B70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539" w:type="pct"/>
            <w:shd w:val="clear" w:color="auto" w:fill="FFFFFF"/>
            <w:tcMar>
              <w:top w:w="0" w:type="dxa"/>
              <w:left w:w="0" w:type="dxa"/>
              <w:bottom w:w="0" w:type="dxa"/>
              <w:right w:w="0" w:type="dxa"/>
            </w:tcMar>
            <w:vAlign w:val="center"/>
          </w:tcPr>
          <w:p w14:paraId="0CA37BD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76D396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center"/>
          </w:tcPr>
          <w:p w14:paraId="2E4CA4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4D4F38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70" w:type="pct"/>
            <w:shd w:val="clear" w:color="auto" w:fill="FFFFFF"/>
            <w:tcMar>
              <w:top w:w="0" w:type="dxa"/>
              <w:left w:w="0" w:type="dxa"/>
              <w:bottom w:w="0" w:type="dxa"/>
              <w:right w:w="0" w:type="dxa"/>
            </w:tcMar>
            <w:vAlign w:val="center"/>
          </w:tcPr>
          <w:p w14:paraId="73443305" w14:textId="16B23A5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PEVuZE5vdGU+PENpdGUgRXhjbHVkZUF1dGg9IjEiIEV4Y2x1ZGVZZWFyPSIxIj48QXV0aG9yPkNo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JmFwb3M7bmc8L0F1dGhvcj48WWVhcj4yMDA1PC9ZZWFyPjxSZWNOdW0+Mjg3PC9SZWNOdW0+PERp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471</w:t>
            </w:r>
            <w:r w:rsidRPr="00734942">
              <w:rPr>
                <w:rFonts w:ascii="Arial" w:eastAsia="Arial" w:hAnsi="Arial" w:cs="Arial"/>
                <w:color w:val="111111"/>
                <w:sz w:val="18"/>
                <w:szCs w:val="18"/>
              </w:rPr>
              <w:fldChar w:fldCharType="end"/>
            </w:r>
          </w:p>
        </w:tc>
      </w:tr>
      <w:tr w:rsidR="007B756D" w:rsidRPr="00734942" w14:paraId="5C6825CB" w14:textId="77777777" w:rsidTr="006658D1">
        <w:trPr>
          <w:cantSplit/>
          <w:jc w:val="center"/>
        </w:trPr>
        <w:tc>
          <w:tcPr>
            <w:tcW w:w="661" w:type="pct"/>
            <w:shd w:val="clear" w:color="auto" w:fill="FFFFFF"/>
            <w:tcMar>
              <w:top w:w="0" w:type="dxa"/>
              <w:left w:w="0" w:type="dxa"/>
              <w:bottom w:w="0" w:type="dxa"/>
              <w:right w:w="0" w:type="dxa"/>
            </w:tcMar>
            <w:vAlign w:val="center"/>
          </w:tcPr>
          <w:p w14:paraId="5EB4341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423F989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1CCCEB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7C7A7FD2"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255</w:t>
            </w:r>
          </w:p>
        </w:tc>
        <w:tc>
          <w:tcPr>
            <w:tcW w:w="299" w:type="pct"/>
            <w:shd w:val="clear" w:color="auto" w:fill="FFFFFF"/>
            <w:tcMar>
              <w:top w:w="0" w:type="dxa"/>
              <w:left w:w="0" w:type="dxa"/>
              <w:bottom w:w="0" w:type="dxa"/>
              <w:right w:w="0" w:type="dxa"/>
            </w:tcMar>
            <w:vAlign w:val="center"/>
          </w:tcPr>
          <w:p w14:paraId="0286A70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539" w:type="pct"/>
            <w:shd w:val="clear" w:color="auto" w:fill="FFFFFF"/>
            <w:tcMar>
              <w:top w:w="0" w:type="dxa"/>
              <w:left w:w="0" w:type="dxa"/>
              <w:bottom w:w="0" w:type="dxa"/>
              <w:right w:w="0" w:type="dxa"/>
            </w:tcMar>
            <w:vAlign w:val="center"/>
          </w:tcPr>
          <w:p w14:paraId="02C2AE9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01B13BD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0751752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5B091B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vAlign w:val="center"/>
          </w:tcPr>
          <w:p w14:paraId="0780346E" w14:textId="4AA4F67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PEVuZE5vdGU+PENpdGUgRXhjbHVkZUF1dGg9IjEiIEV4Y2x1ZGVZZWFyPSIxIj48QXV0aG9yPkd1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PEVuZE5vdGU+PENpdGUgRXhjbHVkZUF1dGg9IjEiIEV4Y2x1ZGVZZWFyPSIxIj48QXV0aG9yPkd1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472</w:t>
            </w:r>
            <w:r w:rsidRPr="00734942">
              <w:rPr>
                <w:rFonts w:ascii="Arial" w:eastAsia="Arial" w:hAnsi="Arial" w:cs="Arial"/>
                <w:color w:val="111111"/>
                <w:sz w:val="18"/>
                <w:szCs w:val="18"/>
              </w:rPr>
              <w:fldChar w:fldCharType="end"/>
            </w:r>
          </w:p>
        </w:tc>
      </w:tr>
      <w:tr w:rsidR="007B756D" w:rsidRPr="00734942" w14:paraId="61BBB231" w14:textId="77777777" w:rsidTr="006658D1">
        <w:trPr>
          <w:cantSplit/>
          <w:jc w:val="center"/>
        </w:trPr>
        <w:tc>
          <w:tcPr>
            <w:tcW w:w="661" w:type="pct"/>
            <w:shd w:val="clear" w:color="auto" w:fill="FFFFFF"/>
            <w:tcMar>
              <w:top w:w="0" w:type="dxa"/>
              <w:left w:w="0" w:type="dxa"/>
              <w:bottom w:w="0" w:type="dxa"/>
              <w:right w:w="0" w:type="dxa"/>
            </w:tcMar>
            <w:vAlign w:val="center"/>
          </w:tcPr>
          <w:p w14:paraId="227EC1A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73D8D70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60BDDE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Hashimoto's thyroiditis</w:t>
            </w:r>
          </w:p>
        </w:tc>
        <w:tc>
          <w:tcPr>
            <w:tcW w:w="291" w:type="pct"/>
            <w:shd w:val="clear" w:color="auto" w:fill="FFFFFF"/>
            <w:tcMar>
              <w:top w:w="0" w:type="dxa"/>
              <w:left w:w="0" w:type="dxa"/>
              <w:bottom w:w="0" w:type="dxa"/>
              <w:right w:w="0" w:type="dxa"/>
            </w:tcMar>
            <w:vAlign w:val="center"/>
          </w:tcPr>
          <w:p w14:paraId="6F0C5A9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470</w:t>
            </w:r>
          </w:p>
        </w:tc>
        <w:tc>
          <w:tcPr>
            <w:tcW w:w="299" w:type="pct"/>
            <w:shd w:val="clear" w:color="auto" w:fill="FFFFFF"/>
            <w:tcMar>
              <w:top w:w="0" w:type="dxa"/>
              <w:left w:w="0" w:type="dxa"/>
              <w:bottom w:w="0" w:type="dxa"/>
              <w:right w:w="0" w:type="dxa"/>
            </w:tcMar>
            <w:vAlign w:val="center"/>
          </w:tcPr>
          <w:p w14:paraId="47FD1BA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541A3DE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0DC623F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055E41B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0C0B45C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Italy</w:t>
            </w:r>
          </w:p>
        </w:tc>
        <w:tc>
          <w:tcPr>
            <w:tcW w:w="370" w:type="pct"/>
            <w:shd w:val="clear" w:color="auto" w:fill="FFFFFF"/>
            <w:tcMar>
              <w:top w:w="0" w:type="dxa"/>
              <w:left w:w="0" w:type="dxa"/>
              <w:bottom w:w="0" w:type="dxa"/>
              <w:right w:w="0" w:type="dxa"/>
            </w:tcMar>
            <w:vAlign w:val="center"/>
          </w:tcPr>
          <w:p w14:paraId="277F826F" w14:textId="63E7EE1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PEVuZE5vdGU+PENpdGUgRXhjbHVkZUF1dGg9IjEiIEV4Y2x1ZGVZZWFyPSIxIj48QXV0aG9yPlZv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PEVuZE5vdGU+PENpdGUgRXhjbHVkZUF1dGg9IjEiIEV4Y2x1ZGVZZWFyPSIxIj48QXV0aG9yPlZv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473</w:t>
            </w:r>
            <w:r w:rsidRPr="00734942">
              <w:rPr>
                <w:rFonts w:ascii="Arial" w:eastAsia="Arial" w:hAnsi="Arial" w:cs="Arial"/>
                <w:color w:val="111111"/>
                <w:sz w:val="18"/>
                <w:szCs w:val="18"/>
              </w:rPr>
              <w:fldChar w:fldCharType="end"/>
            </w:r>
          </w:p>
        </w:tc>
      </w:tr>
      <w:tr w:rsidR="007B756D" w:rsidRPr="00734942" w14:paraId="7E138F9A" w14:textId="77777777" w:rsidTr="006658D1">
        <w:trPr>
          <w:cantSplit/>
          <w:jc w:val="center"/>
        </w:trPr>
        <w:tc>
          <w:tcPr>
            <w:tcW w:w="661" w:type="pct"/>
            <w:shd w:val="clear" w:color="auto" w:fill="FFFFFF"/>
            <w:tcMar>
              <w:top w:w="0" w:type="dxa"/>
              <w:left w:w="0" w:type="dxa"/>
              <w:bottom w:w="0" w:type="dxa"/>
              <w:right w:w="0" w:type="dxa"/>
            </w:tcMar>
            <w:vAlign w:val="center"/>
          </w:tcPr>
          <w:p w14:paraId="78AFE1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0E75A9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52F9FF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Autoimmune and non-autoimmune thyroid disease</w:t>
            </w:r>
          </w:p>
        </w:tc>
        <w:tc>
          <w:tcPr>
            <w:tcW w:w="291" w:type="pct"/>
            <w:shd w:val="clear" w:color="auto" w:fill="FFFFFF"/>
            <w:tcMar>
              <w:top w:w="0" w:type="dxa"/>
              <w:left w:w="0" w:type="dxa"/>
              <w:bottom w:w="0" w:type="dxa"/>
              <w:right w:w="0" w:type="dxa"/>
            </w:tcMar>
            <w:vAlign w:val="center"/>
          </w:tcPr>
          <w:p w14:paraId="5BD2566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318</w:t>
            </w:r>
          </w:p>
        </w:tc>
        <w:tc>
          <w:tcPr>
            <w:tcW w:w="299" w:type="pct"/>
            <w:shd w:val="clear" w:color="auto" w:fill="FFFFFF"/>
            <w:tcMar>
              <w:top w:w="0" w:type="dxa"/>
              <w:left w:w="0" w:type="dxa"/>
              <w:bottom w:w="0" w:type="dxa"/>
              <w:right w:w="0" w:type="dxa"/>
            </w:tcMar>
            <w:vAlign w:val="center"/>
          </w:tcPr>
          <w:p w14:paraId="2F4A97D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5BB02A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104E47E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shd w:val="clear" w:color="auto" w:fill="FFFFFF"/>
            <w:tcMar>
              <w:top w:w="0" w:type="dxa"/>
              <w:left w:w="0" w:type="dxa"/>
              <w:bottom w:w="0" w:type="dxa"/>
              <w:right w:w="0" w:type="dxa"/>
            </w:tcMar>
            <w:vAlign w:val="center"/>
          </w:tcPr>
          <w:p w14:paraId="262A318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3BBBE1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China</w:t>
            </w:r>
          </w:p>
        </w:tc>
        <w:tc>
          <w:tcPr>
            <w:tcW w:w="370" w:type="pct"/>
            <w:shd w:val="clear" w:color="auto" w:fill="FFFFFF"/>
            <w:tcMar>
              <w:top w:w="0" w:type="dxa"/>
              <w:left w:w="0" w:type="dxa"/>
              <w:bottom w:w="0" w:type="dxa"/>
              <w:right w:w="0" w:type="dxa"/>
            </w:tcMar>
            <w:vAlign w:val="center"/>
          </w:tcPr>
          <w:p w14:paraId="31D972BD" w14:textId="3266DD53"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PEVuZE5vdGU+PENpdGUgRXhjbHVkZUF1dGg9IjEiIEV4Y2x1ZGVZZWFyPSIxIj48QXV0aG9yPlpo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445</w:t>
            </w:r>
            <w:r w:rsidRPr="00734942">
              <w:rPr>
                <w:rFonts w:ascii="Arial" w:eastAsia="Arial" w:hAnsi="Arial" w:cs="Arial"/>
                <w:color w:val="111111"/>
                <w:sz w:val="18"/>
                <w:szCs w:val="18"/>
              </w:rPr>
              <w:fldChar w:fldCharType="end"/>
            </w:r>
          </w:p>
        </w:tc>
      </w:tr>
      <w:tr w:rsidR="007B756D" w:rsidRPr="00734942" w14:paraId="59C4D085" w14:textId="77777777" w:rsidTr="006658D1">
        <w:trPr>
          <w:cantSplit/>
          <w:jc w:val="center"/>
        </w:trPr>
        <w:tc>
          <w:tcPr>
            <w:tcW w:w="661" w:type="pct"/>
            <w:shd w:val="clear" w:color="auto" w:fill="FFFFFF"/>
            <w:tcMar>
              <w:top w:w="0" w:type="dxa"/>
              <w:left w:w="0" w:type="dxa"/>
              <w:bottom w:w="0" w:type="dxa"/>
              <w:right w:w="0" w:type="dxa"/>
            </w:tcMar>
            <w:vAlign w:val="center"/>
          </w:tcPr>
          <w:p w14:paraId="4F790A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lastRenderedPageBreak/>
              <w:t>Adults</w:t>
            </w:r>
          </w:p>
        </w:tc>
        <w:tc>
          <w:tcPr>
            <w:tcW w:w="599" w:type="pct"/>
            <w:shd w:val="clear" w:color="auto" w:fill="FFFFFF"/>
            <w:tcMar>
              <w:top w:w="0" w:type="dxa"/>
              <w:left w:w="0" w:type="dxa"/>
              <w:bottom w:w="0" w:type="dxa"/>
              <w:right w:w="0" w:type="dxa"/>
            </w:tcMar>
            <w:vAlign w:val="center"/>
          </w:tcPr>
          <w:p w14:paraId="7184299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center"/>
          </w:tcPr>
          <w:p w14:paraId="763C192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disorder</w:t>
            </w:r>
          </w:p>
        </w:tc>
        <w:tc>
          <w:tcPr>
            <w:tcW w:w="291" w:type="pct"/>
            <w:shd w:val="clear" w:color="auto" w:fill="FFFFFF"/>
            <w:tcMar>
              <w:top w:w="0" w:type="dxa"/>
              <w:left w:w="0" w:type="dxa"/>
              <w:bottom w:w="0" w:type="dxa"/>
              <w:right w:w="0" w:type="dxa"/>
            </w:tcMar>
            <w:vAlign w:val="center"/>
          </w:tcPr>
          <w:p w14:paraId="7A9F1B2E"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1,197</w:t>
            </w:r>
          </w:p>
        </w:tc>
        <w:tc>
          <w:tcPr>
            <w:tcW w:w="299" w:type="pct"/>
            <w:shd w:val="clear" w:color="auto" w:fill="FFFFFF"/>
            <w:tcMar>
              <w:top w:w="0" w:type="dxa"/>
              <w:left w:w="0" w:type="dxa"/>
              <w:bottom w:w="0" w:type="dxa"/>
              <w:right w:w="0" w:type="dxa"/>
            </w:tcMar>
            <w:vAlign w:val="center"/>
          </w:tcPr>
          <w:p w14:paraId="44E29E5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39" w:type="pct"/>
            <w:shd w:val="clear" w:color="auto" w:fill="FFFFFF"/>
            <w:tcMar>
              <w:top w:w="0" w:type="dxa"/>
              <w:left w:w="0" w:type="dxa"/>
              <w:bottom w:w="0" w:type="dxa"/>
              <w:right w:w="0" w:type="dxa"/>
            </w:tcMar>
            <w:vAlign w:val="center"/>
          </w:tcPr>
          <w:p w14:paraId="44E10F0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thyroid disorder</w:t>
            </w:r>
          </w:p>
        </w:tc>
        <w:tc>
          <w:tcPr>
            <w:tcW w:w="603" w:type="pct"/>
            <w:shd w:val="clear" w:color="auto" w:fill="FFFFFF"/>
            <w:tcMar>
              <w:top w:w="0" w:type="dxa"/>
              <w:left w:w="0" w:type="dxa"/>
              <w:bottom w:w="0" w:type="dxa"/>
              <w:right w:w="0" w:type="dxa"/>
            </w:tcMar>
            <w:vAlign w:val="center"/>
          </w:tcPr>
          <w:p w14:paraId="090950F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center"/>
          </w:tcPr>
          <w:p w14:paraId="4573BEA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center"/>
          </w:tcPr>
          <w:p w14:paraId="04665CA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United Arab Emirates</w:t>
            </w:r>
          </w:p>
        </w:tc>
        <w:tc>
          <w:tcPr>
            <w:tcW w:w="370" w:type="pct"/>
            <w:shd w:val="clear" w:color="auto" w:fill="FFFFFF"/>
            <w:tcMar>
              <w:top w:w="0" w:type="dxa"/>
              <w:left w:w="0" w:type="dxa"/>
              <w:bottom w:w="0" w:type="dxa"/>
              <w:right w:w="0" w:type="dxa"/>
            </w:tcMar>
            <w:vAlign w:val="center"/>
          </w:tcPr>
          <w:p w14:paraId="65FDEEF3" w14:textId="4B8518BC"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PEVuZE5vdGU+PENpdGUgRXhjbHVkZUF1dGg9IjEiIEV4Y2x1ZGVZZWFyPSIxIj48QXV0aG9yPkFi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288</w:t>
            </w:r>
            <w:r w:rsidRPr="00734942">
              <w:rPr>
                <w:rFonts w:ascii="Arial" w:eastAsia="Arial" w:hAnsi="Arial" w:cs="Arial"/>
                <w:color w:val="111111"/>
                <w:sz w:val="18"/>
                <w:szCs w:val="18"/>
              </w:rPr>
              <w:fldChar w:fldCharType="end"/>
            </w:r>
          </w:p>
        </w:tc>
      </w:tr>
      <w:tr w:rsidR="007B756D" w:rsidRPr="00734942" w14:paraId="594C90C4" w14:textId="77777777" w:rsidTr="006658D1">
        <w:trPr>
          <w:cantSplit/>
          <w:jc w:val="center"/>
        </w:trPr>
        <w:tc>
          <w:tcPr>
            <w:tcW w:w="661" w:type="pct"/>
            <w:shd w:val="clear" w:color="auto" w:fill="FFFFFF"/>
            <w:tcMar>
              <w:top w:w="0" w:type="dxa"/>
              <w:left w:w="0" w:type="dxa"/>
              <w:bottom w:w="0" w:type="dxa"/>
              <w:right w:w="0" w:type="dxa"/>
            </w:tcMar>
            <w:vAlign w:val="center"/>
          </w:tcPr>
          <w:p w14:paraId="6E805BE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4D5281B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center"/>
          </w:tcPr>
          <w:p w14:paraId="7147FA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disorder</w:t>
            </w:r>
          </w:p>
        </w:tc>
        <w:tc>
          <w:tcPr>
            <w:tcW w:w="291" w:type="pct"/>
            <w:shd w:val="clear" w:color="auto" w:fill="FFFFFF"/>
            <w:tcMar>
              <w:top w:w="0" w:type="dxa"/>
              <w:left w:w="0" w:type="dxa"/>
              <w:bottom w:w="0" w:type="dxa"/>
              <w:right w:w="0" w:type="dxa"/>
            </w:tcMar>
            <w:vAlign w:val="center"/>
          </w:tcPr>
          <w:p w14:paraId="716DDE84"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527</w:t>
            </w:r>
          </w:p>
        </w:tc>
        <w:tc>
          <w:tcPr>
            <w:tcW w:w="299" w:type="pct"/>
            <w:shd w:val="clear" w:color="auto" w:fill="FFFFFF"/>
            <w:tcMar>
              <w:top w:w="0" w:type="dxa"/>
              <w:left w:w="0" w:type="dxa"/>
              <w:bottom w:w="0" w:type="dxa"/>
              <w:right w:w="0" w:type="dxa"/>
            </w:tcMar>
            <w:vAlign w:val="center"/>
          </w:tcPr>
          <w:p w14:paraId="1EFE6FF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2219C32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thyroid disorder</w:t>
            </w:r>
          </w:p>
        </w:tc>
        <w:tc>
          <w:tcPr>
            <w:tcW w:w="603" w:type="pct"/>
            <w:shd w:val="clear" w:color="auto" w:fill="FFFFFF"/>
            <w:tcMar>
              <w:top w:w="0" w:type="dxa"/>
              <w:left w:w="0" w:type="dxa"/>
              <w:bottom w:w="0" w:type="dxa"/>
              <w:right w:w="0" w:type="dxa"/>
            </w:tcMar>
            <w:vAlign w:val="center"/>
          </w:tcPr>
          <w:p w14:paraId="51615F8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center"/>
          </w:tcPr>
          <w:p w14:paraId="1F9A912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07BED6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Malaysia</w:t>
            </w:r>
          </w:p>
        </w:tc>
        <w:tc>
          <w:tcPr>
            <w:tcW w:w="370" w:type="pct"/>
            <w:shd w:val="clear" w:color="auto" w:fill="FFFFFF"/>
            <w:tcMar>
              <w:top w:w="0" w:type="dxa"/>
              <w:left w:w="0" w:type="dxa"/>
              <w:bottom w:w="0" w:type="dxa"/>
              <w:right w:w="0" w:type="dxa"/>
            </w:tcMar>
            <w:vAlign w:val="center"/>
          </w:tcPr>
          <w:p w14:paraId="3F346D29" w14:textId="6AE73C4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PEVuZE5vdGU+PENpdGUgRXhjbHVkZUF1dGg9IjEiIEV4Y2x1ZGVZZWFyPSIxIj48QXV0aG9yPllh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Ymxpc2hlcj5QdWJsaWMgTGlicmFyeSBvZiBTY2llbmNlIChFLW1haWw6IHBsb3NAcGxvcy5vcmcp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287</w:t>
            </w:r>
            <w:r w:rsidRPr="00734942">
              <w:rPr>
                <w:rFonts w:ascii="Arial" w:eastAsia="Arial" w:hAnsi="Arial" w:cs="Arial"/>
                <w:color w:val="111111"/>
                <w:sz w:val="18"/>
                <w:szCs w:val="18"/>
              </w:rPr>
              <w:fldChar w:fldCharType="end"/>
            </w:r>
          </w:p>
        </w:tc>
      </w:tr>
      <w:tr w:rsidR="007B756D" w:rsidRPr="00734942" w14:paraId="798E2B03" w14:textId="77777777" w:rsidTr="006658D1">
        <w:trPr>
          <w:cantSplit/>
          <w:jc w:val="center"/>
        </w:trPr>
        <w:tc>
          <w:tcPr>
            <w:tcW w:w="661" w:type="pct"/>
            <w:shd w:val="clear" w:color="auto" w:fill="FFFFFF"/>
            <w:tcMar>
              <w:top w:w="0" w:type="dxa"/>
              <w:left w:w="0" w:type="dxa"/>
              <w:bottom w:w="0" w:type="dxa"/>
              <w:right w:w="0" w:type="dxa"/>
            </w:tcMar>
            <w:vAlign w:val="center"/>
          </w:tcPr>
          <w:p w14:paraId="695A84F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50AD03A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center"/>
          </w:tcPr>
          <w:p w14:paraId="1871EF6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disorder</w:t>
            </w:r>
          </w:p>
        </w:tc>
        <w:tc>
          <w:tcPr>
            <w:tcW w:w="291" w:type="pct"/>
            <w:shd w:val="clear" w:color="auto" w:fill="FFFFFF"/>
            <w:tcMar>
              <w:top w:w="0" w:type="dxa"/>
              <w:left w:w="0" w:type="dxa"/>
              <w:bottom w:w="0" w:type="dxa"/>
              <w:right w:w="0" w:type="dxa"/>
            </w:tcMar>
            <w:vAlign w:val="center"/>
          </w:tcPr>
          <w:p w14:paraId="65FA95D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4,633</w:t>
            </w:r>
          </w:p>
        </w:tc>
        <w:tc>
          <w:tcPr>
            <w:tcW w:w="299" w:type="pct"/>
            <w:shd w:val="clear" w:color="auto" w:fill="FFFFFF"/>
            <w:tcMar>
              <w:top w:w="0" w:type="dxa"/>
              <w:left w:w="0" w:type="dxa"/>
              <w:bottom w:w="0" w:type="dxa"/>
              <w:right w:w="0" w:type="dxa"/>
            </w:tcMar>
            <w:vAlign w:val="center"/>
          </w:tcPr>
          <w:p w14:paraId="59542FC0"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39" w:type="pct"/>
            <w:shd w:val="clear" w:color="auto" w:fill="FFFFFF"/>
            <w:tcMar>
              <w:top w:w="0" w:type="dxa"/>
              <w:left w:w="0" w:type="dxa"/>
              <w:bottom w:w="0" w:type="dxa"/>
              <w:right w:w="0" w:type="dxa"/>
            </w:tcMar>
            <w:vAlign w:val="center"/>
          </w:tcPr>
          <w:p w14:paraId="0DB8CB3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0559D1F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shd w:val="clear" w:color="auto" w:fill="FFFFFF"/>
            <w:tcMar>
              <w:top w:w="0" w:type="dxa"/>
              <w:left w:w="0" w:type="dxa"/>
              <w:bottom w:w="0" w:type="dxa"/>
              <w:right w:w="0" w:type="dxa"/>
            </w:tcMar>
            <w:vAlign w:val="center"/>
          </w:tcPr>
          <w:p w14:paraId="61D9567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center"/>
          </w:tcPr>
          <w:p w14:paraId="69D6C34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Germany</w:t>
            </w:r>
          </w:p>
        </w:tc>
        <w:tc>
          <w:tcPr>
            <w:tcW w:w="370" w:type="pct"/>
            <w:shd w:val="clear" w:color="auto" w:fill="FFFFFF"/>
            <w:tcMar>
              <w:top w:w="0" w:type="dxa"/>
              <w:left w:w="0" w:type="dxa"/>
              <w:bottom w:w="0" w:type="dxa"/>
              <w:right w:w="0" w:type="dxa"/>
            </w:tcMar>
            <w:vAlign w:val="center"/>
          </w:tcPr>
          <w:p w14:paraId="6F0DA55F" w14:textId="2F897B39"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PEVuZE5vdGU+PENpdGUgRXhjbHVkZUF1dGg9IjEiIEV4Y2x1ZGVZZWFyPSIxIj48QXV0aG9yPk1l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PEVuZE5vdGU+PENpdGUgRXhjbHVkZUF1dGg9IjEiIEV4Y2x1ZGVZZWFyPSIxIj48QXV0aG9yPk1l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474</w:t>
            </w:r>
            <w:r w:rsidRPr="00734942">
              <w:rPr>
                <w:rFonts w:ascii="Arial" w:eastAsia="Arial" w:hAnsi="Arial" w:cs="Arial"/>
                <w:color w:val="111111"/>
                <w:sz w:val="18"/>
                <w:szCs w:val="18"/>
              </w:rPr>
              <w:fldChar w:fldCharType="end"/>
            </w:r>
          </w:p>
        </w:tc>
      </w:tr>
      <w:tr w:rsidR="007B756D" w:rsidRPr="00734942" w14:paraId="32AF5E2A" w14:textId="77777777" w:rsidTr="006658D1">
        <w:trPr>
          <w:cantSplit/>
          <w:jc w:val="center"/>
        </w:trPr>
        <w:tc>
          <w:tcPr>
            <w:tcW w:w="661" w:type="pct"/>
            <w:shd w:val="clear" w:color="auto" w:fill="FFFFFF"/>
            <w:tcMar>
              <w:top w:w="0" w:type="dxa"/>
              <w:left w:w="0" w:type="dxa"/>
              <w:bottom w:w="0" w:type="dxa"/>
              <w:right w:w="0" w:type="dxa"/>
            </w:tcMar>
            <w:vAlign w:val="center"/>
          </w:tcPr>
          <w:p w14:paraId="5E151BE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6ADB887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center"/>
          </w:tcPr>
          <w:p w14:paraId="030E1AA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disorder</w:t>
            </w:r>
          </w:p>
        </w:tc>
        <w:tc>
          <w:tcPr>
            <w:tcW w:w="291" w:type="pct"/>
            <w:shd w:val="clear" w:color="auto" w:fill="FFFFFF"/>
            <w:tcMar>
              <w:top w:w="0" w:type="dxa"/>
              <w:left w:w="0" w:type="dxa"/>
              <w:bottom w:w="0" w:type="dxa"/>
              <w:right w:w="0" w:type="dxa"/>
            </w:tcMar>
            <w:vAlign w:val="center"/>
          </w:tcPr>
          <w:p w14:paraId="4F20B30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7,339</w:t>
            </w:r>
          </w:p>
        </w:tc>
        <w:tc>
          <w:tcPr>
            <w:tcW w:w="299" w:type="pct"/>
            <w:shd w:val="clear" w:color="auto" w:fill="FFFFFF"/>
            <w:tcMar>
              <w:top w:w="0" w:type="dxa"/>
              <w:left w:w="0" w:type="dxa"/>
              <w:bottom w:w="0" w:type="dxa"/>
              <w:right w:w="0" w:type="dxa"/>
            </w:tcMar>
            <w:vAlign w:val="center"/>
          </w:tcPr>
          <w:p w14:paraId="34822A1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00962E9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thyroid disease</w:t>
            </w:r>
          </w:p>
        </w:tc>
        <w:tc>
          <w:tcPr>
            <w:tcW w:w="603" w:type="pct"/>
            <w:shd w:val="clear" w:color="auto" w:fill="FFFFFF"/>
            <w:tcMar>
              <w:top w:w="0" w:type="dxa"/>
              <w:left w:w="0" w:type="dxa"/>
              <w:bottom w:w="0" w:type="dxa"/>
              <w:right w:w="0" w:type="dxa"/>
            </w:tcMar>
            <w:vAlign w:val="center"/>
          </w:tcPr>
          <w:p w14:paraId="1C8730F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EMA positive</w:t>
            </w:r>
          </w:p>
        </w:tc>
        <w:tc>
          <w:tcPr>
            <w:tcW w:w="407" w:type="pct"/>
            <w:shd w:val="clear" w:color="auto" w:fill="FFFFFF"/>
            <w:tcMar>
              <w:top w:w="0" w:type="dxa"/>
              <w:left w:w="0" w:type="dxa"/>
              <w:bottom w:w="0" w:type="dxa"/>
              <w:right w:w="0" w:type="dxa"/>
            </w:tcMar>
            <w:vAlign w:val="center"/>
          </w:tcPr>
          <w:p w14:paraId="096DB4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w:t>
            </w:r>
          </w:p>
        </w:tc>
        <w:tc>
          <w:tcPr>
            <w:tcW w:w="392" w:type="pct"/>
            <w:shd w:val="clear" w:color="auto" w:fill="FFFFFF"/>
            <w:tcMar>
              <w:top w:w="0" w:type="dxa"/>
              <w:left w:w="0" w:type="dxa"/>
              <w:bottom w:w="0" w:type="dxa"/>
              <w:right w:w="0" w:type="dxa"/>
            </w:tcMar>
            <w:vAlign w:val="center"/>
          </w:tcPr>
          <w:p w14:paraId="50A0E03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UK</w:t>
            </w:r>
          </w:p>
        </w:tc>
        <w:tc>
          <w:tcPr>
            <w:tcW w:w="370" w:type="pct"/>
            <w:shd w:val="clear" w:color="auto" w:fill="FFFFFF"/>
            <w:tcMar>
              <w:top w:w="0" w:type="dxa"/>
              <w:left w:w="0" w:type="dxa"/>
              <w:bottom w:w="0" w:type="dxa"/>
              <w:right w:w="0" w:type="dxa"/>
            </w:tcMar>
            <w:vAlign w:val="center"/>
          </w:tcPr>
          <w:p w14:paraId="46C5F0B0" w14:textId="08B7CD7E"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PEVuZE5vdGU+PENpdGUgRXhjbHVkZUF1dGg9IjEiIEV4Y2x1ZGVZZWFyPSIxIj48QXV0aG9yPldl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PEVuZE5vdGU+PENpdGUgRXhjbHVkZUF1dGg9IjEiIEV4Y2x1ZGVZZWFyPSIxIj48QXV0aG9yPldl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372</w:t>
            </w:r>
            <w:r w:rsidRPr="00734942">
              <w:rPr>
                <w:rFonts w:ascii="Arial" w:eastAsia="Arial" w:hAnsi="Arial" w:cs="Arial"/>
                <w:color w:val="111111"/>
                <w:sz w:val="18"/>
                <w:szCs w:val="18"/>
              </w:rPr>
              <w:fldChar w:fldCharType="end"/>
            </w:r>
          </w:p>
        </w:tc>
      </w:tr>
      <w:tr w:rsidR="007B756D" w:rsidRPr="00734942" w14:paraId="7D4C55CE" w14:textId="77777777" w:rsidTr="006658D1">
        <w:trPr>
          <w:cantSplit/>
          <w:jc w:val="center"/>
        </w:trPr>
        <w:tc>
          <w:tcPr>
            <w:tcW w:w="661" w:type="pct"/>
            <w:shd w:val="clear" w:color="auto" w:fill="FFFFFF"/>
            <w:tcMar>
              <w:top w:w="0" w:type="dxa"/>
              <w:left w:w="0" w:type="dxa"/>
              <w:bottom w:w="0" w:type="dxa"/>
              <w:right w:w="0" w:type="dxa"/>
            </w:tcMar>
            <w:vAlign w:val="center"/>
          </w:tcPr>
          <w:p w14:paraId="0CBC3D0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2C7D681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(CD)</w:t>
            </w:r>
          </w:p>
        </w:tc>
        <w:tc>
          <w:tcPr>
            <w:tcW w:w="839" w:type="pct"/>
            <w:shd w:val="clear" w:color="auto" w:fill="FFFFFF"/>
            <w:tcMar>
              <w:top w:w="0" w:type="dxa"/>
              <w:left w:w="0" w:type="dxa"/>
              <w:bottom w:w="0" w:type="dxa"/>
              <w:right w:w="0" w:type="dxa"/>
            </w:tcMar>
            <w:vAlign w:val="center"/>
          </w:tcPr>
          <w:p w14:paraId="620E350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Thyroiditis, hypo-, or hyperthyroidism</w:t>
            </w:r>
          </w:p>
        </w:tc>
        <w:tc>
          <w:tcPr>
            <w:tcW w:w="291" w:type="pct"/>
            <w:shd w:val="clear" w:color="auto" w:fill="FFFFFF"/>
            <w:tcMar>
              <w:top w:w="0" w:type="dxa"/>
              <w:left w:w="0" w:type="dxa"/>
              <w:bottom w:w="0" w:type="dxa"/>
              <w:right w:w="0" w:type="dxa"/>
            </w:tcMar>
            <w:vAlign w:val="center"/>
          </w:tcPr>
          <w:p w14:paraId="561654F8"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800</w:t>
            </w:r>
          </w:p>
        </w:tc>
        <w:tc>
          <w:tcPr>
            <w:tcW w:w="299" w:type="pct"/>
            <w:shd w:val="clear" w:color="auto" w:fill="FFFFFF"/>
            <w:tcMar>
              <w:top w:w="0" w:type="dxa"/>
              <w:left w:w="0" w:type="dxa"/>
              <w:bottom w:w="0" w:type="dxa"/>
              <w:right w:w="0" w:type="dxa"/>
            </w:tcMar>
            <w:vAlign w:val="center"/>
          </w:tcPr>
          <w:p w14:paraId="31C683B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27B8B4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People without thyroid disease</w:t>
            </w:r>
          </w:p>
        </w:tc>
        <w:tc>
          <w:tcPr>
            <w:tcW w:w="603" w:type="pct"/>
            <w:shd w:val="clear" w:color="auto" w:fill="FFFFFF"/>
            <w:tcMar>
              <w:top w:w="0" w:type="dxa"/>
              <w:left w:w="0" w:type="dxa"/>
              <w:bottom w:w="0" w:type="dxa"/>
              <w:right w:w="0" w:type="dxa"/>
            </w:tcMar>
            <w:vAlign w:val="center"/>
          </w:tcPr>
          <w:p w14:paraId="73FA90A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center"/>
          </w:tcPr>
          <w:p w14:paraId="6E8C0FE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Primary and secondary</w:t>
            </w:r>
          </w:p>
        </w:tc>
        <w:tc>
          <w:tcPr>
            <w:tcW w:w="392" w:type="pct"/>
            <w:shd w:val="clear" w:color="auto" w:fill="FFFFFF"/>
            <w:tcMar>
              <w:top w:w="0" w:type="dxa"/>
              <w:left w:w="0" w:type="dxa"/>
              <w:bottom w:w="0" w:type="dxa"/>
              <w:right w:w="0" w:type="dxa"/>
            </w:tcMar>
            <w:vAlign w:val="center"/>
          </w:tcPr>
          <w:p w14:paraId="0E4B552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US</w:t>
            </w:r>
          </w:p>
        </w:tc>
        <w:tc>
          <w:tcPr>
            <w:tcW w:w="370" w:type="pct"/>
            <w:shd w:val="clear" w:color="auto" w:fill="FFFFFF"/>
            <w:tcMar>
              <w:top w:w="0" w:type="dxa"/>
              <w:left w:w="0" w:type="dxa"/>
              <w:bottom w:w="0" w:type="dxa"/>
              <w:right w:w="0" w:type="dxa"/>
            </w:tcMar>
            <w:vAlign w:val="center"/>
          </w:tcPr>
          <w:p w14:paraId="7B0EAE94" w14:textId="0CEC14D8"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1D3363CB" w14:textId="77777777" w:rsidTr="006658D1">
        <w:trPr>
          <w:cantSplit/>
          <w:jc w:val="center"/>
        </w:trPr>
        <w:tc>
          <w:tcPr>
            <w:tcW w:w="661" w:type="pct"/>
            <w:shd w:val="clear" w:color="auto" w:fill="FFFFFF"/>
            <w:tcMar>
              <w:top w:w="0" w:type="dxa"/>
              <w:left w:w="0" w:type="dxa"/>
              <w:bottom w:w="0" w:type="dxa"/>
              <w:right w:w="0" w:type="dxa"/>
            </w:tcMar>
            <w:vAlign w:val="center"/>
          </w:tcPr>
          <w:p w14:paraId="7484AB5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center"/>
          </w:tcPr>
          <w:p w14:paraId="20AEB51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839" w:type="pct"/>
            <w:shd w:val="clear" w:color="auto" w:fill="FFFFFF"/>
            <w:tcMar>
              <w:top w:w="0" w:type="dxa"/>
              <w:left w:w="0" w:type="dxa"/>
              <w:bottom w:w="0" w:type="dxa"/>
              <w:right w:w="0" w:type="dxa"/>
            </w:tcMar>
            <w:vAlign w:val="center"/>
          </w:tcPr>
          <w:p w14:paraId="69656CD9" w14:textId="77777777" w:rsidR="007B756D" w:rsidRPr="00734942" w:rsidRDefault="007B756D" w:rsidP="006658D1">
            <w:pPr>
              <w:spacing w:before="40" w:after="40"/>
              <w:ind w:left="100" w:right="100"/>
            </w:pPr>
            <w:bookmarkStart w:id="389" w:name="_Hlk65240764"/>
            <w:r w:rsidRPr="00734942">
              <w:rPr>
                <w:rFonts w:ascii="Arial" w:eastAsia="Arial" w:hAnsi="Arial" w:cs="Arial"/>
                <w:color w:val="111111"/>
                <w:sz w:val="18"/>
                <w:szCs w:val="18"/>
              </w:rPr>
              <w:t>TPOAbs</w:t>
            </w:r>
            <w:bookmarkEnd w:id="389"/>
          </w:p>
        </w:tc>
        <w:tc>
          <w:tcPr>
            <w:tcW w:w="291" w:type="pct"/>
            <w:shd w:val="clear" w:color="auto" w:fill="FFFFFF"/>
            <w:tcMar>
              <w:top w:w="0" w:type="dxa"/>
              <w:left w:w="0" w:type="dxa"/>
              <w:bottom w:w="0" w:type="dxa"/>
              <w:right w:w="0" w:type="dxa"/>
            </w:tcMar>
            <w:vAlign w:val="center"/>
          </w:tcPr>
          <w:p w14:paraId="730D9D97"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682</w:t>
            </w:r>
          </w:p>
        </w:tc>
        <w:tc>
          <w:tcPr>
            <w:tcW w:w="299" w:type="pct"/>
            <w:shd w:val="clear" w:color="auto" w:fill="FFFFFF"/>
            <w:tcMar>
              <w:top w:w="0" w:type="dxa"/>
              <w:left w:w="0" w:type="dxa"/>
              <w:bottom w:w="0" w:type="dxa"/>
              <w:right w:w="0" w:type="dxa"/>
            </w:tcMar>
            <w:vAlign w:val="center"/>
          </w:tcPr>
          <w:p w14:paraId="6C63A51C"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45C21BB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42AEB8D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shd w:val="clear" w:color="auto" w:fill="FFFFFF"/>
            <w:tcMar>
              <w:top w:w="0" w:type="dxa"/>
              <w:left w:w="0" w:type="dxa"/>
              <w:bottom w:w="0" w:type="dxa"/>
              <w:right w:w="0" w:type="dxa"/>
            </w:tcMar>
            <w:vAlign w:val="center"/>
          </w:tcPr>
          <w:p w14:paraId="43F4E24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center"/>
          </w:tcPr>
          <w:p w14:paraId="249961B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70" w:type="pct"/>
            <w:shd w:val="clear" w:color="auto" w:fill="FFFFFF"/>
            <w:tcMar>
              <w:top w:w="0" w:type="dxa"/>
              <w:left w:w="0" w:type="dxa"/>
              <w:bottom w:w="0" w:type="dxa"/>
              <w:right w:w="0" w:type="dxa"/>
            </w:tcMar>
            <w:vAlign w:val="center"/>
          </w:tcPr>
          <w:p w14:paraId="2B4550A4" w14:textId="40E0CFE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cndhaGE8L0F1dGhvcj48WWVhcj4yMDEzPC9ZZWFyPjxSZWNOdW0+MjkxPC9SZWNOdW0+PERpc3Bs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PEVuZE5vdGU+PENpdGUgRXhjbHVkZUF1dGg9IjEiIEV4Y2x1ZGVZZWFyPSIxIj48QXV0aG9yPk1h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475</w:t>
            </w:r>
            <w:r w:rsidRPr="00734942">
              <w:rPr>
                <w:rFonts w:ascii="Arial" w:eastAsia="Arial" w:hAnsi="Arial" w:cs="Arial"/>
                <w:color w:val="111111"/>
                <w:sz w:val="18"/>
                <w:szCs w:val="18"/>
              </w:rPr>
              <w:fldChar w:fldCharType="end"/>
            </w:r>
          </w:p>
        </w:tc>
      </w:tr>
      <w:tr w:rsidR="007B756D" w:rsidRPr="00734942" w14:paraId="18CA1250" w14:textId="77777777" w:rsidTr="006658D1">
        <w:trPr>
          <w:cantSplit/>
          <w:jc w:val="center"/>
        </w:trPr>
        <w:tc>
          <w:tcPr>
            <w:tcW w:w="661" w:type="pct"/>
            <w:shd w:val="clear" w:color="auto" w:fill="FFFFFF"/>
            <w:tcMar>
              <w:top w:w="0" w:type="dxa"/>
              <w:left w:w="0" w:type="dxa"/>
              <w:bottom w:w="0" w:type="dxa"/>
              <w:right w:w="0" w:type="dxa"/>
            </w:tcMar>
            <w:vAlign w:val="center"/>
          </w:tcPr>
          <w:p w14:paraId="57882FC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center"/>
          </w:tcPr>
          <w:p w14:paraId="1E9D8E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1D68215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3ED407DB"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132</w:t>
            </w:r>
          </w:p>
        </w:tc>
        <w:tc>
          <w:tcPr>
            <w:tcW w:w="299" w:type="pct"/>
            <w:shd w:val="clear" w:color="auto" w:fill="FFFFFF"/>
            <w:tcMar>
              <w:top w:w="0" w:type="dxa"/>
              <w:left w:w="0" w:type="dxa"/>
              <w:bottom w:w="0" w:type="dxa"/>
              <w:right w:w="0" w:type="dxa"/>
            </w:tcMar>
            <w:vAlign w:val="center"/>
          </w:tcPr>
          <w:p w14:paraId="673E430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5A9F82D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346C78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4056EDD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Unclear</w:t>
            </w:r>
          </w:p>
        </w:tc>
        <w:tc>
          <w:tcPr>
            <w:tcW w:w="392" w:type="pct"/>
            <w:shd w:val="clear" w:color="auto" w:fill="FFFFFF"/>
            <w:tcMar>
              <w:top w:w="0" w:type="dxa"/>
              <w:left w:w="0" w:type="dxa"/>
              <w:bottom w:w="0" w:type="dxa"/>
              <w:right w:w="0" w:type="dxa"/>
            </w:tcMar>
            <w:vAlign w:val="center"/>
          </w:tcPr>
          <w:p w14:paraId="61EFEF5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vAlign w:val="center"/>
          </w:tcPr>
          <w:p w14:paraId="4CBD649F" w14:textId="128CD6E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aGluPC9BdXRob3I+PFllYXI+MjAxNzwvWWVhcj48UmVjTnVtPjI5MjwvUmVjTnVtPjxEaXNwbGF5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aGluPC9BdXRob3I+PFllYXI+MjAxNzwvWWVhcj48UmVjTnVtPjI5MjwvUmVjTnVtPjxEaXNwbGF5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476</w:t>
            </w:r>
            <w:r w:rsidRPr="00734942">
              <w:rPr>
                <w:rFonts w:ascii="Arial" w:eastAsia="Arial" w:hAnsi="Arial" w:cs="Arial"/>
                <w:color w:val="111111"/>
                <w:sz w:val="18"/>
                <w:szCs w:val="18"/>
              </w:rPr>
              <w:fldChar w:fldCharType="end"/>
            </w:r>
          </w:p>
        </w:tc>
      </w:tr>
      <w:tr w:rsidR="007B756D" w:rsidRPr="00734942" w14:paraId="5413C290" w14:textId="77777777" w:rsidTr="006658D1">
        <w:trPr>
          <w:cantSplit/>
          <w:jc w:val="center"/>
        </w:trPr>
        <w:tc>
          <w:tcPr>
            <w:tcW w:w="661" w:type="pct"/>
            <w:shd w:val="clear" w:color="auto" w:fill="FFFFFF"/>
            <w:tcMar>
              <w:top w:w="0" w:type="dxa"/>
              <w:left w:w="0" w:type="dxa"/>
              <w:bottom w:w="0" w:type="dxa"/>
              <w:right w:w="0" w:type="dxa"/>
            </w:tcMar>
            <w:vAlign w:val="center"/>
          </w:tcPr>
          <w:p w14:paraId="1B2D45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center"/>
          </w:tcPr>
          <w:p w14:paraId="32DABE6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0CC770D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5A402EB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204</w:t>
            </w:r>
          </w:p>
        </w:tc>
        <w:tc>
          <w:tcPr>
            <w:tcW w:w="299" w:type="pct"/>
            <w:shd w:val="clear" w:color="auto" w:fill="FFFFFF"/>
            <w:tcMar>
              <w:top w:w="0" w:type="dxa"/>
              <w:left w:w="0" w:type="dxa"/>
              <w:bottom w:w="0" w:type="dxa"/>
              <w:right w:w="0" w:type="dxa"/>
            </w:tcMar>
            <w:vAlign w:val="center"/>
          </w:tcPr>
          <w:p w14:paraId="6B4CD0B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7CEFB2B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12A876E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63E5E344"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054C8AC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vAlign w:val="center"/>
          </w:tcPr>
          <w:p w14:paraId="64741342" w14:textId="7696377A"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PEVuZE5vdGU+PENpdGUgRXhjbHVkZUF1dGg9IjEiIEV4Y2x1ZGVZZWFyPSIxIj48QXV0aG9yPlNh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PEVuZE5vdGU+PENpdGUgRXhjbHVkZUF1dGg9IjEiIEV4Y2x1ZGVZZWFyPSIxIj48QXV0aG9yPlNh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477</w:t>
            </w:r>
            <w:r w:rsidRPr="00734942">
              <w:rPr>
                <w:rFonts w:ascii="Arial" w:eastAsia="Arial" w:hAnsi="Arial" w:cs="Arial"/>
                <w:color w:val="111111"/>
                <w:sz w:val="18"/>
                <w:szCs w:val="18"/>
              </w:rPr>
              <w:fldChar w:fldCharType="end"/>
            </w:r>
          </w:p>
        </w:tc>
      </w:tr>
      <w:tr w:rsidR="007B756D" w:rsidRPr="00734942" w14:paraId="516E2240" w14:textId="77777777" w:rsidTr="006658D1">
        <w:trPr>
          <w:cantSplit/>
          <w:jc w:val="center"/>
        </w:trPr>
        <w:tc>
          <w:tcPr>
            <w:tcW w:w="661" w:type="pct"/>
            <w:shd w:val="clear" w:color="auto" w:fill="FFFFFF"/>
            <w:tcMar>
              <w:top w:w="0" w:type="dxa"/>
              <w:left w:w="0" w:type="dxa"/>
              <w:bottom w:w="0" w:type="dxa"/>
              <w:right w:w="0" w:type="dxa"/>
            </w:tcMar>
            <w:vAlign w:val="center"/>
          </w:tcPr>
          <w:p w14:paraId="151BE44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center"/>
          </w:tcPr>
          <w:p w14:paraId="6A10789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14EE1C2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Thyroid autoimmunity</w:t>
            </w:r>
          </w:p>
        </w:tc>
        <w:tc>
          <w:tcPr>
            <w:tcW w:w="291" w:type="pct"/>
            <w:shd w:val="clear" w:color="auto" w:fill="FFFFFF"/>
            <w:tcMar>
              <w:top w:w="0" w:type="dxa"/>
              <w:left w:w="0" w:type="dxa"/>
              <w:bottom w:w="0" w:type="dxa"/>
              <w:right w:w="0" w:type="dxa"/>
            </w:tcMar>
            <w:vAlign w:val="center"/>
          </w:tcPr>
          <w:p w14:paraId="0DBBF1D2"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134</w:t>
            </w:r>
          </w:p>
        </w:tc>
        <w:tc>
          <w:tcPr>
            <w:tcW w:w="299" w:type="pct"/>
            <w:shd w:val="clear" w:color="auto" w:fill="FFFFFF"/>
            <w:tcMar>
              <w:top w:w="0" w:type="dxa"/>
              <w:left w:w="0" w:type="dxa"/>
              <w:bottom w:w="0" w:type="dxa"/>
              <w:right w:w="0" w:type="dxa"/>
            </w:tcMar>
            <w:vAlign w:val="center"/>
          </w:tcPr>
          <w:p w14:paraId="7E38C859" w14:textId="77777777" w:rsidR="007B756D" w:rsidRPr="00734942" w:rsidRDefault="007B756D" w:rsidP="006658D1">
            <w:pPr>
              <w:spacing w:before="40" w:after="40"/>
              <w:ind w:left="100" w:right="100"/>
              <w:jc w:val="center"/>
              <w:rPr>
                <w:rFonts w:ascii="Arial" w:eastAsia="Arial" w:hAnsi="Arial" w:cs="Arial"/>
                <w:color w:val="111111"/>
                <w:sz w:val="18"/>
                <w:szCs w:val="18"/>
              </w:rP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636AEDF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18385C2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4534E15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NR</w:t>
            </w:r>
          </w:p>
        </w:tc>
        <w:tc>
          <w:tcPr>
            <w:tcW w:w="392" w:type="pct"/>
            <w:shd w:val="clear" w:color="auto" w:fill="FFFFFF"/>
            <w:tcMar>
              <w:top w:w="0" w:type="dxa"/>
              <w:left w:w="0" w:type="dxa"/>
              <w:bottom w:w="0" w:type="dxa"/>
              <w:right w:w="0" w:type="dxa"/>
            </w:tcMar>
            <w:vAlign w:val="center"/>
          </w:tcPr>
          <w:p w14:paraId="18B5D34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Romania</w:t>
            </w:r>
          </w:p>
        </w:tc>
        <w:tc>
          <w:tcPr>
            <w:tcW w:w="370" w:type="pct"/>
            <w:shd w:val="clear" w:color="auto" w:fill="FFFFFF"/>
            <w:tcMar>
              <w:top w:w="0" w:type="dxa"/>
              <w:left w:w="0" w:type="dxa"/>
              <w:bottom w:w="0" w:type="dxa"/>
              <w:right w:w="0" w:type="dxa"/>
            </w:tcMar>
            <w:vAlign w:val="center"/>
          </w:tcPr>
          <w:p w14:paraId="1275EF68" w14:textId="44274E2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PEVuZE5vdGU+PENpdGUgRXhjbHVkZUF1dGg9IjEiIEV4Y2x1ZGVZZWFyPSIxIj48QXV0aG9yPk9h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PEVuZE5vdGU+PENpdGUgRXhjbHVkZUF1dGg9IjEiIEV4Y2x1ZGVZZWFyPSIxIj48QXV0aG9yPk9h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400</w:t>
            </w:r>
            <w:r w:rsidRPr="00734942">
              <w:rPr>
                <w:rFonts w:ascii="Arial" w:eastAsia="Arial" w:hAnsi="Arial" w:cs="Arial"/>
                <w:color w:val="111111"/>
                <w:sz w:val="18"/>
                <w:szCs w:val="18"/>
              </w:rPr>
              <w:fldChar w:fldCharType="end"/>
            </w:r>
          </w:p>
        </w:tc>
      </w:tr>
      <w:tr w:rsidR="007B756D" w:rsidRPr="00734942" w14:paraId="05E0D804" w14:textId="77777777" w:rsidTr="006658D1">
        <w:trPr>
          <w:cantSplit/>
          <w:jc w:val="center"/>
        </w:trPr>
        <w:tc>
          <w:tcPr>
            <w:tcW w:w="661" w:type="pct"/>
            <w:shd w:val="clear" w:color="auto" w:fill="FFFFFF"/>
            <w:tcMar>
              <w:top w:w="0" w:type="dxa"/>
              <w:left w:w="0" w:type="dxa"/>
              <w:bottom w:w="0" w:type="dxa"/>
              <w:right w:w="0" w:type="dxa"/>
            </w:tcMar>
            <w:vAlign w:val="center"/>
          </w:tcPr>
          <w:p w14:paraId="0924D74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center"/>
          </w:tcPr>
          <w:p w14:paraId="65648DF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 control (based on CD)</w:t>
            </w:r>
          </w:p>
        </w:tc>
        <w:tc>
          <w:tcPr>
            <w:tcW w:w="839" w:type="pct"/>
            <w:shd w:val="clear" w:color="auto" w:fill="FFFFFF"/>
            <w:tcMar>
              <w:top w:w="0" w:type="dxa"/>
              <w:left w:w="0" w:type="dxa"/>
              <w:bottom w:w="0" w:type="dxa"/>
              <w:right w:w="0" w:type="dxa"/>
            </w:tcMar>
            <w:vAlign w:val="center"/>
          </w:tcPr>
          <w:p w14:paraId="5DA6691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TPOAbs</w:t>
            </w:r>
          </w:p>
        </w:tc>
        <w:tc>
          <w:tcPr>
            <w:tcW w:w="291" w:type="pct"/>
            <w:shd w:val="clear" w:color="auto" w:fill="FFFFFF"/>
            <w:tcMar>
              <w:top w:w="0" w:type="dxa"/>
              <w:left w:w="0" w:type="dxa"/>
              <w:bottom w:w="0" w:type="dxa"/>
              <w:right w:w="0" w:type="dxa"/>
            </w:tcMar>
            <w:vAlign w:val="center"/>
          </w:tcPr>
          <w:p w14:paraId="541B3C1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2030</w:t>
            </w:r>
          </w:p>
        </w:tc>
        <w:tc>
          <w:tcPr>
            <w:tcW w:w="299" w:type="pct"/>
            <w:shd w:val="clear" w:color="auto" w:fill="FFFFFF"/>
            <w:tcMar>
              <w:top w:w="0" w:type="dxa"/>
              <w:left w:w="0" w:type="dxa"/>
              <w:bottom w:w="0" w:type="dxa"/>
              <w:right w:w="0" w:type="dxa"/>
            </w:tcMar>
            <w:vAlign w:val="center"/>
          </w:tcPr>
          <w:p w14:paraId="33DD7E9F"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26-50%</w:t>
            </w:r>
          </w:p>
        </w:tc>
        <w:tc>
          <w:tcPr>
            <w:tcW w:w="539" w:type="pct"/>
            <w:shd w:val="clear" w:color="auto" w:fill="FFFFFF"/>
            <w:tcMar>
              <w:top w:w="0" w:type="dxa"/>
              <w:left w:w="0" w:type="dxa"/>
              <w:bottom w:w="0" w:type="dxa"/>
              <w:right w:w="0" w:type="dxa"/>
            </w:tcMar>
            <w:vAlign w:val="center"/>
          </w:tcPr>
          <w:p w14:paraId="534F770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2A96E6A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center"/>
          </w:tcPr>
          <w:p w14:paraId="7A1C09C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center"/>
          </w:tcPr>
          <w:p w14:paraId="20AF36F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Sweden</w:t>
            </w:r>
          </w:p>
        </w:tc>
        <w:tc>
          <w:tcPr>
            <w:tcW w:w="370" w:type="pct"/>
            <w:shd w:val="clear" w:color="auto" w:fill="FFFFFF"/>
            <w:tcMar>
              <w:top w:w="0" w:type="dxa"/>
              <w:left w:w="0" w:type="dxa"/>
              <w:bottom w:w="0" w:type="dxa"/>
              <w:right w:w="0" w:type="dxa"/>
            </w:tcMar>
            <w:vAlign w:val="center"/>
          </w:tcPr>
          <w:p w14:paraId="7CDB588B" w14:textId="0499347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PEVuZE5vdGU+PENpdGUgRXhjbHVkZUF1dGg9IjEiIEV4Y2x1ZGVZZWFyPSIxIj48QXV0aG9yPnZh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PEVuZE5vdGU+PENpdGUgRXhjbHVkZUF1dGg9IjEiIEV4Y2x1ZGVZZWFyPSIxIj48QXV0aG9yPnZh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478</w:t>
            </w:r>
            <w:r w:rsidRPr="00734942">
              <w:rPr>
                <w:rFonts w:ascii="Arial" w:eastAsia="Arial" w:hAnsi="Arial" w:cs="Arial"/>
                <w:color w:val="111111"/>
                <w:sz w:val="18"/>
                <w:szCs w:val="18"/>
              </w:rPr>
              <w:fldChar w:fldCharType="end"/>
            </w:r>
          </w:p>
        </w:tc>
      </w:tr>
      <w:tr w:rsidR="007B756D" w:rsidRPr="00734942" w14:paraId="36EBEB24" w14:textId="77777777" w:rsidTr="006658D1">
        <w:trPr>
          <w:cantSplit/>
          <w:jc w:val="center"/>
        </w:trPr>
        <w:tc>
          <w:tcPr>
            <w:tcW w:w="661" w:type="pct"/>
            <w:shd w:val="clear" w:color="auto" w:fill="FFFFFF"/>
            <w:tcMar>
              <w:top w:w="0" w:type="dxa"/>
              <w:left w:w="0" w:type="dxa"/>
              <w:bottom w:w="0" w:type="dxa"/>
              <w:right w:w="0" w:type="dxa"/>
            </w:tcMar>
            <w:vAlign w:val="center"/>
          </w:tcPr>
          <w:p w14:paraId="1DCBCD5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center"/>
          </w:tcPr>
          <w:p w14:paraId="2E90A1A6"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Nested case-control (DI)</w:t>
            </w:r>
          </w:p>
        </w:tc>
        <w:tc>
          <w:tcPr>
            <w:tcW w:w="839" w:type="pct"/>
            <w:shd w:val="clear" w:color="auto" w:fill="FFFFFF"/>
            <w:tcMar>
              <w:top w:w="0" w:type="dxa"/>
              <w:left w:w="0" w:type="dxa"/>
              <w:bottom w:w="0" w:type="dxa"/>
              <w:right w:w="0" w:type="dxa"/>
            </w:tcMar>
            <w:vAlign w:val="center"/>
          </w:tcPr>
          <w:p w14:paraId="7D96357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TPOAbs</w:t>
            </w:r>
          </w:p>
        </w:tc>
        <w:tc>
          <w:tcPr>
            <w:tcW w:w="291" w:type="pct"/>
            <w:shd w:val="clear" w:color="auto" w:fill="FFFFFF"/>
            <w:tcMar>
              <w:top w:w="0" w:type="dxa"/>
              <w:left w:w="0" w:type="dxa"/>
              <w:bottom w:w="0" w:type="dxa"/>
              <w:right w:w="0" w:type="dxa"/>
            </w:tcMar>
            <w:vAlign w:val="center"/>
          </w:tcPr>
          <w:p w14:paraId="068F1AF6"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472</w:t>
            </w:r>
          </w:p>
        </w:tc>
        <w:tc>
          <w:tcPr>
            <w:tcW w:w="299" w:type="pct"/>
            <w:shd w:val="clear" w:color="auto" w:fill="FFFFFF"/>
            <w:tcMar>
              <w:top w:w="0" w:type="dxa"/>
              <w:left w:w="0" w:type="dxa"/>
              <w:bottom w:w="0" w:type="dxa"/>
              <w:right w:w="0" w:type="dxa"/>
            </w:tcMar>
            <w:vAlign w:val="center"/>
          </w:tcPr>
          <w:p w14:paraId="3B0A1055"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center"/>
          </w:tcPr>
          <w:p w14:paraId="0C2152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7574B4C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shd w:val="clear" w:color="auto" w:fill="FFFFFF"/>
            <w:tcMar>
              <w:top w:w="0" w:type="dxa"/>
              <w:left w:w="0" w:type="dxa"/>
              <w:bottom w:w="0" w:type="dxa"/>
              <w:right w:w="0" w:type="dxa"/>
            </w:tcMar>
            <w:vAlign w:val="center"/>
          </w:tcPr>
          <w:p w14:paraId="19486E5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center"/>
          </w:tcPr>
          <w:p w14:paraId="0ABCF777"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India</w:t>
            </w:r>
          </w:p>
        </w:tc>
        <w:tc>
          <w:tcPr>
            <w:tcW w:w="370" w:type="pct"/>
            <w:shd w:val="clear" w:color="auto" w:fill="FFFFFF"/>
            <w:tcMar>
              <w:top w:w="0" w:type="dxa"/>
              <w:left w:w="0" w:type="dxa"/>
              <w:bottom w:w="0" w:type="dxa"/>
              <w:right w:w="0" w:type="dxa"/>
            </w:tcMar>
            <w:vAlign w:val="center"/>
          </w:tcPr>
          <w:p w14:paraId="0E6E4223" w14:textId="73E65B4D"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PEVuZE5vdGU+PENpdGUgRXhjbHVkZUF1dGg9IjEiIEV4Y2x1ZGVZZWFyPSIxIj48QXV0aG9yPk1h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PEVuZE5vdGU+PENpdGUgRXhjbHVkZUF1dGg9IjEiIEV4Y2x1ZGVZZWFyPSIxIj48QXV0aG9yPk1h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475</w:t>
            </w:r>
            <w:r w:rsidRPr="00734942">
              <w:rPr>
                <w:rFonts w:ascii="Arial" w:eastAsia="Arial" w:hAnsi="Arial" w:cs="Arial"/>
                <w:color w:val="111111"/>
                <w:sz w:val="18"/>
                <w:szCs w:val="18"/>
              </w:rPr>
              <w:fldChar w:fldCharType="end"/>
            </w:r>
          </w:p>
        </w:tc>
      </w:tr>
      <w:tr w:rsidR="007B756D" w:rsidRPr="00734942" w14:paraId="427A4224" w14:textId="77777777" w:rsidTr="006658D1">
        <w:trPr>
          <w:cantSplit/>
          <w:jc w:val="center"/>
        </w:trPr>
        <w:tc>
          <w:tcPr>
            <w:tcW w:w="661" w:type="pct"/>
            <w:shd w:val="clear" w:color="auto" w:fill="FFFFFF"/>
            <w:tcMar>
              <w:top w:w="0" w:type="dxa"/>
              <w:left w:w="0" w:type="dxa"/>
              <w:bottom w:w="0" w:type="dxa"/>
              <w:right w:w="0" w:type="dxa"/>
            </w:tcMar>
            <w:vAlign w:val="center"/>
          </w:tcPr>
          <w:p w14:paraId="13A8A74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99" w:type="pct"/>
            <w:shd w:val="clear" w:color="auto" w:fill="FFFFFF"/>
            <w:tcMar>
              <w:top w:w="0" w:type="dxa"/>
              <w:left w:w="0" w:type="dxa"/>
              <w:bottom w:w="0" w:type="dxa"/>
              <w:right w:w="0" w:type="dxa"/>
            </w:tcMar>
            <w:vAlign w:val="center"/>
          </w:tcPr>
          <w:p w14:paraId="482661E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shd w:val="clear" w:color="auto" w:fill="FFFFFF"/>
            <w:tcMar>
              <w:top w:w="0" w:type="dxa"/>
              <w:left w:w="0" w:type="dxa"/>
              <w:bottom w:w="0" w:type="dxa"/>
              <w:right w:w="0" w:type="dxa"/>
            </w:tcMar>
            <w:vAlign w:val="center"/>
          </w:tcPr>
          <w:p w14:paraId="0385BDB9" w14:textId="77777777" w:rsidR="007B756D" w:rsidRPr="00734942" w:rsidRDefault="007B756D" w:rsidP="006658D1">
            <w:pPr>
              <w:spacing w:before="40" w:after="40"/>
              <w:ind w:left="100" w:right="100"/>
            </w:pPr>
            <w:bookmarkStart w:id="390" w:name="_Hlk65240771"/>
            <w:r w:rsidRPr="00734942">
              <w:rPr>
                <w:rFonts w:ascii="Arial" w:eastAsia="Arial" w:hAnsi="Arial" w:cs="Arial"/>
                <w:color w:val="111111"/>
                <w:sz w:val="18"/>
                <w:szCs w:val="18"/>
              </w:rPr>
              <w:t>Free T4 or TSH</w:t>
            </w:r>
            <w:bookmarkEnd w:id="390"/>
          </w:p>
        </w:tc>
        <w:tc>
          <w:tcPr>
            <w:tcW w:w="291" w:type="pct"/>
            <w:shd w:val="clear" w:color="auto" w:fill="FFFFFF"/>
            <w:tcMar>
              <w:top w:w="0" w:type="dxa"/>
              <w:left w:w="0" w:type="dxa"/>
              <w:bottom w:w="0" w:type="dxa"/>
              <w:right w:w="0" w:type="dxa"/>
            </w:tcMar>
            <w:vAlign w:val="center"/>
          </w:tcPr>
          <w:p w14:paraId="3CCC128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77</w:t>
            </w:r>
          </w:p>
        </w:tc>
        <w:tc>
          <w:tcPr>
            <w:tcW w:w="299" w:type="pct"/>
            <w:shd w:val="clear" w:color="auto" w:fill="FFFFFF"/>
            <w:tcMar>
              <w:top w:w="0" w:type="dxa"/>
              <w:left w:w="0" w:type="dxa"/>
              <w:bottom w:w="0" w:type="dxa"/>
              <w:right w:w="0" w:type="dxa"/>
            </w:tcMar>
            <w:vAlign w:val="center"/>
          </w:tcPr>
          <w:p w14:paraId="7BEFF1AD"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center"/>
          </w:tcPr>
          <w:p w14:paraId="3F1766D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shd w:val="clear" w:color="auto" w:fill="FFFFFF"/>
            <w:tcMar>
              <w:top w:w="0" w:type="dxa"/>
              <w:left w:w="0" w:type="dxa"/>
              <w:bottom w:w="0" w:type="dxa"/>
              <w:right w:w="0" w:type="dxa"/>
            </w:tcMar>
            <w:vAlign w:val="center"/>
          </w:tcPr>
          <w:p w14:paraId="7FD2379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center"/>
          </w:tcPr>
          <w:p w14:paraId="3EAAF5F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center"/>
          </w:tcPr>
          <w:p w14:paraId="3FA9FBF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Iraq</w:t>
            </w:r>
          </w:p>
        </w:tc>
        <w:tc>
          <w:tcPr>
            <w:tcW w:w="370" w:type="pct"/>
            <w:shd w:val="clear" w:color="auto" w:fill="FFFFFF"/>
            <w:tcMar>
              <w:top w:w="0" w:type="dxa"/>
              <w:left w:w="0" w:type="dxa"/>
              <w:bottom w:w="0" w:type="dxa"/>
              <w:right w:w="0" w:type="dxa"/>
            </w:tcMar>
            <w:vAlign w:val="center"/>
          </w:tcPr>
          <w:p w14:paraId="7734DFCA" w14:textId="4852FD36"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PEVuZE5vdGU+PENpdGUgRXhjbHVkZUF1dGg9IjEiIEV4Y2x1ZGVZZWFyPSIxIj48QXV0aG9yPlJp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PEVuZE5vdGU+PENpdGUgRXhjbHVkZUF1dGg9IjEiIEV4Y2x1ZGVZZWFyPSIxIj48QXV0aG9yPlJp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479</w:t>
            </w:r>
            <w:r w:rsidRPr="00734942">
              <w:rPr>
                <w:rFonts w:ascii="Arial" w:eastAsia="Arial" w:hAnsi="Arial" w:cs="Arial"/>
                <w:color w:val="111111"/>
                <w:sz w:val="18"/>
                <w:szCs w:val="18"/>
              </w:rPr>
              <w:fldChar w:fldCharType="end"/>
            </w:r>
          </w:p>
        </w:tc>
      </w:tr>
      <w:tr w:rsidR="007B756D" w:rsidRPr="00734942" w14:paraId="3B147A9F" w14:textId="77777777" w:rsidTr="006658D1">
        <w:trPr>
          <w:cantSplit/>
          <w:jc w:val="center"/>
        </w:trPr>
        <w:tc>
          <w:tcPr>
            <w:tcW w:w="661" w:type="pct"/>
            <w:tcBorders>
              <w:bottom w:val="single" w:sz="16" w:space="0" w:color="000000"/>
            </w:tcBorders>
            <w:shd w:val="clear" w:color="auto" w:fill="FFFFFF"/>
            <w:tcMar>
              <w:top w:w="0" w:type="dxa"/>
              <w:left w:w="0" w:type="dxa"/>
              <w:bottom w:w="0" w:type="dxa"/>
              <w:right w:w="0" w:type="dxa"/>
            </w:tcMar>
            <w:vAlign w:val="center"/>
          </w:tcPr>
          <w:p w14:paraId="67483F5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Mixed</w:t>
            </w:r>
          </w:p>
        </w:tc>
        <w:tc>
          <w:tcPr>
            <w:tcW w:w="599" w:type="pct"/>
            <w:tcBorders>
              <w:bottom w:val="single" w:sz="16" w:space="0" w:color="000000"/>
            </w:tcBorders>
            <w:shd w:val="clear" w:color="auto" w:fill="FFFFFF"/>
            <w:tcMar>
              <w:top w:w="0" w:type="dxa"/>
              <w:left w:w="0" w:type="dxa"/>
              <w:bottom w:w="0" w:type="dxa"/>
              <w:right w:w="0" w:type="dxa"/>
            </w:tcMar>
            <w:vAlign w:val="center"/>
          </w:tcPr>
          <w:p w14:paraId="59B395E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Case-control (DI)</w:t>
            </w:r>
          </w:p>
        </w:tc>
        <w:tc>
          <w:tcPr>
            <w:tcW w:w="839" w:type="pct"/>
            <w:tcBorders>
              <w:bottom w:val="single" w:sz="16" w:space="0" w:color="000000"/>
            </w:tcBorders>
            <w:shd w:val="clear" w:color="auto" w:fill="FFFFFF"/>
            <w:tcMar>
              <w:top w:w="0" w:type="dxa"/>
              <w:left w:w="0" w:type="dxa"/>
              <w:bottom w:w="0" w:type="dxa"/>
              <w:right w:w="0" w:type="dxa"/>
            </w:tcMar>
            <w:vAlign w:val="center"/>
          </w:tcPr>
          <w:p w14:paraId="598B4E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Thyroid autoimmunity</w:t>
            </w:r>
          </w:p>
        </w:tc>
        <w:tc>
          <w:tcPr>
            <w:tcW w:w="291" w:type="pct"/>
            <w:tcBorders>
              <w:bottom w:val="single" w:sz="16" w:space="0" w:color="000000"/>
            </w:tcBorders>
            <w:shd w:val="clear" w:color="auto" w:fill="FFFFFF"/>
            <w:tcMar>
              <w:top w:w="0" w:type="dxa"/>
              <w:left w:w="0" w:type="dxa"/>
              <w:bottom w:w="0" w:type="dxa"/>
              <w:right w:w="0" w:type="dxa"/>
            </w:tcMar>
            <w:vAlign w:val="center"/>
          </w:tcPr>
          <w:p w14:paraId="5061E1A1"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652</w:t>
            </w:r>
          </w:p>
        </w:tc>
        <w:tc>
          <w:tcPr>
            <w:tcW w:w="299" w:type="pct"/>
            <w:tcBorders>
              <w:bottom w:val="single" w:sz="16" w:space="0" w:color="000000"/>
            </w:tcBorders>
            <w:shd w:val="clear" w:color="auto" w:fill="FFFFFF"/>
            <w:tcMar>
              <w:top w:w="0" w:type="dxa"/>
              <w:left w:w="0" w:type="dxa"/>
              <w:bottom w:w="0" w:type="dxa"/>
              <w:right w:w="0" w:type="dxa"/>
            </w:tcMar>
            <w:vAlign w:val="center"/>
          </w:tcPr>
          <w:p w14:paraId="5619AD49" w14:textId="77777777" w:rsidR="007B756D" w:rsidRPr="00734942" w:rsidRDefault="007B756D" w:rsidP="006658D1">
            <w:pPr>
              <w:spacing w:before="40" w:after="40"/>
              <w:ind w:left="100" w:right="100"/>
              <w:jc w:val="center"/>
            </w:pPr>
            <w:r w:rsidRPr="00734942">
              <w:rPr>
                <w:rFonts w:ascii="Arial" w:eastAsia="Arial" w:hAnsi="Arial" w:cs="Arial"/>
                <w:color w:val="111111"/>
                <w:sz w:val="18"/>
                <w:szCs w:val="18"/>
              </w:rPr>
              <w:t>76-100%</w:t>
            </w:r>
          </w:p>
        </w:tc>
        <w:tc>
          <w:tcPr>
            <w:tcW w:w="539" w:type="pct"/>
            <w:tcBorders>
              <w:bottom w:val="single" w:sz="16" w:space="0" w:color="000000"/>
            </w:tcBorders>
            <w:shd w:val="clear" w:color="auto" w:fill="FFFFFF"/>
            <w:tcMar>
              <w:top w:w="0" w:type="dxa"/>
              <w:left w:w="0" w:type="dxa"/>
              <w:bottom w:w="0" w:type="dxa"/>
              <w:right w:w="0" w:type="dxa"/>
            </w:tcMar>
            <w:vAlign w:val="center"/>
          </w:tcPr>
          <w:p w14:paraId="3219B48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Healthy controls</w:t>
            </w:r>
          </w:p>
        </w:tc>
        <w:tc>
          <w:tcPr>
            <w:tcW w:w="603" w:type="pct"/>
            <w:tcBorders>
              <w:bottom w:val="single" w:sz="16" w:space="0" w:color="000000"/>
            </w:tcBorders>
            <w:shd w:val="clear" w:color="auto" w:fill="FFFFFF"/>
            <w:tcMar>
              <w:top w:w="0" w:type="dxa"/>
              <w:left w:w="0" w:type="dxa"/>
              <w:bottom w:w="0" w:type="dxa"/>
              <w:right w:w="0" w:type="dxa"/>
            </w:tcMar>
            <w:vAlign w:val="center"/>
          </w:tcPr>
          <w:p w14:paraId="1F2F147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tTG positive</w:t>
            </w:r>
          </w:p>
        </w:tc>
        <w:tc>
          <w:tcPr>
            <w:tcW w:w="407" w:type="pct"/>
            <w:tcBorders>
              <w:bottom w:val="single" w:sz="16" w:space="0" w:color="000000"/>
            </w:tcBorders>
            <w:shd w:val="clear" w:color="auto" w:fill="FFFFFF"/>
            <w:tcMar>
              <w:top w:w="0" w:type="dxa"/>
              <w:left w:w="0" w:type="dxa"/>
              <w:bottom w:w="0" w:type="dxa"/>
              <w:right w:w="0" w:type="dxa"/>
            </w:tcMar>
            <w:vAlign w:val="center"/>
          </w:tcPr>
          <w:p w14:paraId="6C31751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Community</w:t>
            </w:r>
          </w:p>
        </w:tc>
        <w:tc>
          <w:tcPr>
            <w:tcW w:w="392" w:type="pct"/>
            <w:tcBorders>
              <w:bottom w:val="single" w:sz="16" w:space="0" w:color="000000"/>
            </w:tcBorders>
            <w:shd w:val="clear" w:color="auto" w:fill="FFFFFF"/>
            <w:tcMar>
              <w:top w:w="0" w:type="dxa"/>
              <w:left w:w="0" w:type="dxa"/>
              <w:bottom w:w="0" w:type="dxa"/>
              <w:right w:w="0" w:type="dxa"/>
            </w:tcMar>
            <w:vAlign w:val="center"/>
          </w:tcPr>
          <w:p w14:paraId="40650A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Brazil</w:t>
            </w:r>
          </w:p>
        </w:tc>
        <w:tc>
          <w:tcPr>
            <w:tcW w:w="370" w:type="pct"/>
            <w:tcBorders>
              <w:bottom w:val="single" w:sz="16" w:space="0" w:color="000000"/>
            </w:tcBorders>
            <w:shd w:val="clear" w:color="auto" w:fill="FFFFFF"/>
            <w:tcMar>
              <w:top w:w="0" w:type="dxa"/>
              <w:left w:w="0" w:type="dxa"/>
              <w:bottom w:w="0" w:type="dxa"/>
              <w:right w:w="0" w:type="dxa"/>
            </w:tcMar>
            <w:vAlign w:val="center"/>
          </w:tcPr>
          <w:p w14:paraId="7F5D5861" w14:textId="4BF3D6B2" w:rsidR="007B756D" w:rsidRPr="00734942" w:rsidRDefault="007B756D" w:rsidP="006658D1">
            <w:pPr>
              <w:spacing w:before="40" w:after="40"/>
              <w:ind w:left="100" w:right="100"/>
            </w:pPr>
            <w:r w:rsidRPr="00734942">
              <w:rPr>
                <w:rFonts w:ascii="Arial" w:eastAsia="Arial" w:hAnsi="Arial" w:cs="Arial"/>
                <w:color w:val="111111"/>
                <w:sz w:val="18"/>
                <w:szCs w:val="18"/>
              </w:rPr>
              <w:fldChar w:fldCharType="begin">
                <w:fldData xml:space="preserve">PEVuZE5vdGU+PENpdGUgRXhjbHVkZUF1dGg9IjEiIEV4Y2x1ZGVZZWFyPSIxIj48QXV0aG9yPk1l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PEVuZE5vdGU+PENpdGUgRXhjbHVkZUF1dGg9IjEiIEV4Y2x1ZGVZZWFyPSIxIj48QXV0aG9yPk1l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480</w:t>
            </w:r>
            <w:r w:rsidRPr="00734942">
              <w:rPr>
                <w:rFonts w:ascii="Arial" w:eastAsia="Arial" w:hAnsi="Arial" w:cs="Arial"/>
                <w:color w:val="111111"/>
                <w:sz w:val="18"/>
                <w:szCs w:val="18"/>
              </w:rPr>
              <w:fldChar w:fldCharType="end"/>
            </w:r>
          </w:p>
        </w:tc>
      </w:tr>
    </w:tbl>
    <w:p w14:paraId="1BB1097E" w14:textId="77777777" w:rsidR="007B756D" w:rsidRPr="00734942" w:rsidRDefault="007B756D" w:rsidP="007B756D">
      <w:pPr>
        <w:rPr>
          <w:rFonts w:ascii="Arial" w:eastAsia="Arial" w:hAnsi="Arial" w:cs="Arial"/>
          <w:color w:val="000000"/>
          <w:sz w:val="20"/>
          <w:szCs w:val="20"/>
        </w:rPr>
      </w:pPr>
    </w:p>
    <w:p w14:paraId="5E8C960C" w14:textId="7BAAD828" w:rsidR="00F74B40" w:rsidRDefault="00F74B40" w:rsidP="000526F1">
      <w:pPr>
        <w:pStyle w:val="Caption"/>
      </w:pPr>
      <w:bookmarkStart w:id="391" w:name="_Toc99720760"/>
      <w:r>
        <w:lastRenderedPageBreak/>
        <w:t xml:space="preserve">Table </w:t>
      </w:r>
      <w:r w:rsidR="00C34531">
        <w:fldChar w:fldCharType="begin"/>
      </w:r>
      <w:r w:rsidR="00C34531">
        <w:instrText xml:space="preserve"> SEQ Table \* ARABIC </w:instrText>
      </w:r>
      <w:r w:rsidR="00C34531">
        <w:fldChar w:fldCharType="separate"/>
      </w:r>
      <w:r w:rsidR="008B5583">
        <w:rPr>
          <w:noProof/>
        </w:rPr>
        <w:t>49</w:t>
      </w:r>
      <w:r w:rsidR="00C34531">
        <w:rPr>
          <w:noProof/>
        </w:rPr>
        <w:fldChar w:fldCharType="end"/>
      </w:r>
      <w:r>
        <w:t xml:space="preserve">  </w:t>
      </w:r>
      <w:r w:rsidRPr="008E0B2A">
        <w:t>Study characteristics: Vomiting and nausea</w:t>
      </w:r>
      <w:bookmarkEnd w:id="391"/>
    </w:p>
    <w:tbl>
      <w:tblPr>
        <w:tblW w:w="5000" w:type="pct"/>
        <w:jc w:val="center"/>
        <w:tblLook w:val="0420" w:firstRow="1" w:lastRow="0" w:firstColumn="0" w:lastColumn="0" w:noHBand="0" w:noVBand="1"/>
      </w:tblPr>
      <w:tblGrid>
        <w:gridCol w:w="1833"/>
        <w:gridCol w:w="1661"/>
        <w:gridCol w:w="2331"/>
        <w:gridCol w:w="812"/>
        <w:gridCol w:w="818"/>
        <w:gridCol w:w="1496"/>
        <w:gridCol w:w="1675"/>
        <w:gridCol w:w="1128"/>
        <w:gridCol w:w="1171"/>
        <w:gridCol w:w="1033"/>
      </w:tblGrid>
      <w:tr w:rsidR="00C8418F" w:rsidRPr="00734942" w14:paraId="6E646922" w14:textId="77777777" w:rsidTr="00F74B40">
        <w:trPr>
          <w:cantSplit/>
          <w:tblHeader/>
          <w:jc w:val="center"/>
        </w:trPr>
        <w:tc>
          <w:tcPr>
            <w:tcW w:w="65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F99E473"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9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DDDDE02"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835"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39A981E"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CCA82E1"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9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00BAC41"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36"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ADC348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0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CD6C1C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04"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5D4E0B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41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2BE664A"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D66DE20"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C8418F" w:rsidRPr="00734942" w14:paraId="75660FAB" w14:textId="77777777" w:rsidTr="00F74B40">
        <w:trPr>
          <w:cantSplit/>
          <w:jc w:val="center"/>
        </w:trPr>
        <w:tc>
          <w:tcPr>
            <w:tcW w:w="657" w:type="pct"/>
            <w:shd w:val="clear" w:color="auto" w:fill="FFFFFF"/>
            <w:tcMar>
              <w:top w:w="0" w:type="dxa"/>
              <w:left w:w="0" w:type="dxa"/>
              <w:bottom w:w="0" w:type="dxa"/>
              <w:right w:w="0" w:type="dxa"/>
            </w:tcMar>
          </w:tcPr>
          <w:p w14:paraId="1D2232C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5" w:type="pct"/>
            <w:shd w:val="clear" w:color="auto" w:fill="FFFFFF"/>
            <w:tcMar>
              <w:top w:w="0" w:type="dxa"/>
              <w:left w:w="0" w:type="dxa"/>
              <w:bottom w:w="0" w:type="dxa"/>
              <w:right w:w="0" w:type="dxa"/>
            </w:tcMar>
          </w:tcPr>
          <w:p w14:paraId="440254F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288206F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Vomiting</w:t>
            </w:r>
          </w:p>
        </w:tc>
        <w:tc>
          <w:tcPr>
            <w:tcW w:w="291" w:type="pct"/>
            <w:shd w:val="clear" w:color="auto" w:fill="FFFFFF"/>
            <w:tcMar>
              <w:top w:w="0" w:type="dxa"/>
              <w:left w:w="0" w:type="dxa"/>
              <w:bottom w:w="0" w:type="dxa"/>
              <w:right w:w="0" w:type="dxa"/>
            </w:tcMar>
          </w:tcPr>
          <w:p w14:paraId="1F52AC1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2843</w:t>
            </w:r>
          </w:p>
        </w:tc>
        <w:tc>
          <w:tcPr>
            <w:tcW w:w="293" w:type="pct"/>
            <w:shd w:val="clear" w:color="auto" w:fill="FFFFFF"/>
            <w:tcMar>
              <w:top w:w="0" w:type="dxa"/>
              <w:left w:w="0" w:type="dxa"/>
              <w:bottom w:w="0" w:type="dxa"/>
              <w:right w:w="0" w:type="dxa"/>
            </w:tcMar>
          </w:tcPr>
          <w:p w14:paraId="419FDCB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NR</w:t>
            </w:r>
          </w:p>
        </w:tc>
        <w:tc>
          <w:tcPr>
            <w:tcW w:w="536" w:type="pct"/>
            <w:shd w:val="clear" w:color="auto" w:fill="FFFFFF"/>
            <w:tcMar>
              <w:top w:w="0" w:type="dxa"/>
              <w:left w:w="0" w:type="dxa"/>
              <w:bottom w:w="0" w:type="dxa"/>
              <w:right w:w="0" w:type="dxa"/>
            </w:tcMar>
          </w:tcPr>
          <w:p w14:paraId="2CE26E4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vomiting</w:t>
            </w:r>
          </w:p>
        </w:tc>
        <w:tc>
          <w:tcPr>
            <w:tcW w:w="600" w:type="pct"/>
            <w:shd w:val="clear" w:color="auto" w:fill="FFFFFF"/>
            <w:tcMar>
              <w:top w:w="0" w:type="dxa"/>
              <w:left w:w="0" w:type="dxa"/>
              <w:bottom w:w="0" w:type="dxa"/>
              <w:right w:w="0" w:type="dxa"/>
            </w:tcMar>
          </w:tcPr>
          <w:p w14:paraId="05AE97C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4" w:type="pct"/>
            <w:shd w:val="clear" w:color="auto" w:fill="FFFFFF"/>
            <w:tcMar>
              <w:top w:w="0" w:type="dxa"/>
              <w:left w:w="0" w:type="dxa"/>
              <w:bottom w:w="0" w:type="dxa"/>
              <w:right w:w="0" w:type="dxa"/>
            </w:tcMar>
          </w:tcPr>
          <w:p w14:paraId="1601874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53AFB4C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shd w:val="clear" w:color="auto" w:fill="FFFFFF"/>
            <w:tcMar>
              <w:top w:w="0" w:type="dxa"/>
              <w:left w:w="0" w:type="dxa"/>
              <w:bottom w:w="0" w:type="dxa"/>
              <w:right w:w="0" w:type="dxa"/>
            </w:tcMar>
          </w:tcPr>
          <w:p w14:paraId="16B6945A" w14:textId="226008D2"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C8418F" w:rsidRPr="00734942" w14:paraId="2B712B84" w14:textId="77777777" w:rsidTr="00F74B40">
        <w:trPr>
          <w:cantSplit/>
          <w:jc w:val="center"/>
        </w:trPr>
        <w:tc>
          <w:tcPr>
            <w:tcW w:w="657" w:type="pct"/>
            <w:shd w:val="clear" w:color="auto" w:fill="FFFFFF"/>
            <w:tcMar>
              <w:top w:w="0" w:type="dxa"/>
              <w:left w:w="0" w:type="dxa"/>
              <w:bottom w:w="0" w:type="dxa"/>
              <w:right w:w="0" w:type="dxa"/>
            </w:tcMar>
          </w:tcPr>
          <w:p w14:paraId="6773FE3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5" w:type="pct"/>
            <w:shd w:val="clear" w:color="auto" w:fill="FFFFFF"/>
            <w:tcMar>
              <w:top w:w="0" w:type="dxa"/>
              <w:left w:w="0" w:type="dxa"/>
              <w:bottom w:w="0" w:type="dxa"/>
              <w:right w:w="0" w:type="dxa"/>
            </w:tcMar>
          </w:tcPr>
          <w:p w14:paraId="67EB8D5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529B3AB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Nausea</w:t>
            </w:r>
          </w:p>
        </w:tc>
        <w:tc>
          <w:tcPr>
            <w:tcW w:w="291" w:type="pct"/>
            <w:shd w:val="clear" w:color="auto" w:fill="FFFFFF"/>
            <w:tcMar>
              <w:top w:w="0" w:type="dxa"/>
              <w:left w:w="0" w:type="dxa"/>
              <w:bottom w:w="0" w:type="dxa"/>
              <w:right w:w="0" w:type="dxa"/>
            </w:tcMar>
          </w:tcPr>
          <w:p w14:paraId="282984E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3847</w:t>
            </w:r>
          </w:p>
        </w:tc>
        <w:tc>
          <w:tcPr>
            <w:tcW w:w="293" w:type="pct"/>
            <w:shd w:val="clear" w:color="auto" w:fill="FFFFFF"/>
            <w:tcMar>
              <w:top w:w="0" w:type="dxa"/>
              <w:left w:w="0" w:type="dxa"/>
              <w:bottom w:w="0" w:type="dxa"/>
              <w:right w:w="0" w:type="dxa"/>
            </w:tcMar>
          </w:tcPr>
          <w:p w14:paraId="5BDD8C9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6" w:type="pct"/>
            <w:shd w:val="clear" w:color="auto" w:fill="FFFFFF"/>
            <w:tcMar>
              <w:top w:w="0" w:type="dxa"/>
              <w:left w:w="0" w:type="dxa"/>
              <w:bottom w:w="0" w:type="dxa"/>
              <w:right w:w="0" w:type="dxa"/>
            </w:tcMar>
          </w:tcPr>
          <w:p w14:paraId="5D67F09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nausea</w:t>
            </w:r>
          </w:p>
        </w:tc>
        <w:tc>
          <w:tcPr>
            <w:tcW w:w="600" w:type="pct"/>
            <w:shd w:val="clear" w:color="auto" w:fill="FFFFFF"/>
            <w:tcMar>
              <w:top w:w="0" w:type="dxa"/>
              <w:left w:w="0" w:type="dxa"/>
              <w:bottom w:w="0" w:type="dxa"/>
              <w:right w:w="0" w:type="dxa"/>
            </w:tcMar>
          </w:tcPr>
          <w:p w14:paraId="7785F2B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4" w:type="pct"/>
            <w:shd w:val="clear" w:color="auto" w:fill="FFFFFF"/>
            <w:tcMar>
              <w:top w:w="0" w:type="dxa"/>
              <w:left w:w="0" w:type="dxa"/>
              <w:bottom w:w="0" w:type="dxa"/>
              <w:right w:w="0" w:type="dxa"/>
            </w:tcMar>
          </w:tcPr>
          <w:p w14:paraId="68BCA40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27EE7DA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shd w:val="clear" w:color="auto" w:fill="FFFFFF"/>
            <w:tcMar>
              <w:top w:w="0" w:type="dxa"/>
              <w:left w:w="0" w:type="dxa"/>
              <w:bottom w:w="0" w:type="dxa"/>
              <w:right w:w="0" w:type="dxa"/>
            </w:tcMar>
          </w:tcPr>
          <w:p w14:paraId="035693CF" w14:textId="4BF820C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C8418F" w:rsidRPr="00734942" w14:paraId="5F3D1E7B" w14:textId="77777777" w:rsidTr="00F74B40">
        <w:trPr>
          <w:cantSplit/>
          <w:jc w:val="center"/>
        </w:trPr>
        <w:tc>
          <w:tcPr>
            <w:tcW w:w="657" w:type="pct"/>
            <w:shd w:val="clear" w:color="auto" w:fill="FFFFFF"/>
            <w:tcMar>
              <w:top w:w="0" w:type="dxa"/>
              <w:left w:w="0" w:type="dxa"/>
              <w:bottom w:w="0" w:type="dxa"/>
              <w:right w:w="0" w:type="dxa"/>
            </w:tcMar>
          </w:tcPr>
          <w:p w14:paraId="2F9F2D1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5" w:type="pct"/>
            <w:shd w:val="clear" w:color="auto" w:fill="FFFFFF"/>
            <w:tcMar>
              <w:top w:w="0" w:type="dxa"/>
              <w:left w:w="0" w:type="dxa"/>
              <w:bottom w:w="0" w:type="dxa"/>
              <w:right w:w="0" w:type="dxa"/>
            </w:tcMar>
          </w:tcPr>
          <w:p w14:paraId="08917F6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50D2820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Vomiting</w:t>
            </w:r>
          </w:p>
        </w:tc>
        <w:tc>
          <w:tcPr>
            <w:tcW w:w="291" w:type="pct"/>
            <w:shd w:val="clear" w:color="auto" w:fill="FFFFFF"/>
            <w:tcMar>
              <w:top w:w="0" w:type="dxa"/>
              <w:left w:w="0" w:type="dxa"/>
              <w:bottom w:w="0" w:type="dxa"/>
              <w:right w:w="0" w:type="dxa"/>
            </w:tcMar>
          </w:tcPr>
          <w:p w14:paraId="36D2B23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3847</w:t>
            </w:r>
          </w:p>
        </w:tc>
        <w:tc>
          <w:tcPr>
            <w:tcW w:w="293" w:type="pct"/>
            <w:shd w:val="clear" w:color="auto" w:fill="FFFFFF"/>
            <w:tcMar>
              <w:top w:w="0" w:type="dxa"/>
              <w:left w:w="0" w:type="dxa"/>
              <w:bottom w:w="0" w:type="dxa"/>
              <w:right w:w="0" w:type="dxa"/>
            </w:tcMar>
          </w:tcPr>
          <w:p w14:paraId="4C0C9F6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6" w:type="pct"/>
            <w:shd w:val="clear" w:color="auto" w:fill="FFFFFF"/>
            <w:tcMar>
              <w:top w:w="0" w:type="dxa"/>
              <w:left w:w="0" w:type="dxa"/>
              <w:bottom w:w="0" w:type="dxa"/>
              <w:right w:w="0" w:type="dxa"/>
            </w:tcMar>
          </w:tcPr>
          <w:p w14:paraId="1B4B488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vomiting</w:t>
            </w:r>
          </w:p>
        </w:tc>
        <w:tc>
          <w:tcPr>
            <w:tcW w:w="600" w:type="pct"/>
            <w:shd w:val="clear" w:color="auto" w:fill="FFFFFF"/>
            <w:tcMar>
              <w:top w:w="0" w:type="dxa"/>
              <w:left w:w="0" w:type="dxa"/>
              <w:bottom w:w="0" w:type="dxa"/>
              <w:right w:w="0" w:type="dxa"/>
            </w:tcMar>
          </w:tcPr>
          <w:p w14:paraId="322AE37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4" w:type="pct"/>
            <w:shd w:val="clear" w:color="auto" w:fill="FFFFFF"/>
            <w:tcMar>
              <w:top w:w="0" w:type="dxa"/>
              <w:left w:w="0" w:type="dxa"/>
              <w:bottom w:w="0" w:type="dxa"/>
              <w:right w:w="0" w:type="dxa"/>
            </w:tcMar>
          </w:tcPr>
          <w:p w14:paraId="32647C4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5400B74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shd w:val="clear" w:color="auto" w:fill="FFFFFF"/>
            <w:tcMar>
              <w:top w:w="0" w:type="dxa"/>
              <w:left w:w="0" w:type="dxa"/>
              <w:bottom w:w="0" w:type="dxa"/>
              <w:right w:w="0" w:type="dxa"/>
            </w:tcMar>
          </w:tcPr>
          <w:p w14:paraId="3A836EC4" w14:textId="2012C706"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PEVuZE5vdGU+PENpdGUgRXhjbHVkZUF1dGg9IjEiIEV4Y2x1ZGVZZWFyPSIxIj48QXV0aG9yPkth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308</w:t>
            </w:r>
            <w:r w:rsidRPr="00734942">
              <w:rPr>
                <w:rFonts w:ascii="Arial" w:eastAsia="Arial" w:hAnsi="Arial" w:cs="Arial"/>
                <w:color w:val="111111"/>
                <w:sz w:val="18"/>
                <w:szCs w:val="18"/>
              </w:rPr>
              <w:fldChar w:fldCharType="end"/>
            </w:r>
          </w:p>
        </w:tc>
      </w:tr>
      <w:tr w:rsidR="00C8418F" w:rsidRPr="00734942" w14:paraId="5D68CE22" w14:textId="77777777" w:rsidTr="00F74B40">
        <w:trPr>
          <w:cantSplit/>
          <w:jc w:val="center"/>
        </w:trPr>
        <w:tc>
          <w:tcPr>
            <w:tcW w:w="657" w:type="pct"/>
            <w:shd w:val="clear" w:color="auto" w:fill="FFFFFF"/>
            <w:tcMar>
              <w:top w:w="0" w:type="dxa"/>
              <w:left w:w="0" w:type="dxa"/>
              <w:bottom w:w="0" w:type="dxa"/>
              <w:right w:w="0" w:type="dxa"/>
            </w:tcMar>
          </w:tcPr>
          <w:p w14:paraId="46C7474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5" w:type="pct"/>
            <w:shd w:val="clear" w:color="auto" w:fill="FFFFFF"/>
            <w:tcMar>
              <w:top w:w="0" w:type="dxa"/>
              <w:left w:w="0" w:type="dxa"/>
              <w:bottom w:w="0" w:type="dxa"/>
              <w:right w:w="0" w:type="dxa"/>
            </w:tcMar>
          </w:tcPr>
          <w:p w14:paraId="660531A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704F820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Vomiting</w:t>
            </w:r>
          </w:p>
        </w:tc>
        <w:tc>
          <w:tcPr>
            <w:tcW w:w="291" w:type="pct"/>
            <w:shd w:val="clear" w:color="auto" w:fill="FFFFFF"/>
            <w:tcMar>
              <w:top w:w="0" w:type="dxa"/>
              <w:left w:w="0" w:type="dxa"/>
              <w:bottom w:w="0" w:type="dxa"/>
              <w:right w:w="0" w:type="dxa"/>
            </w:tcMar>
          </w:tcPr>
          <w:p w14:paraId="353B372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4327</w:t>
            </w:r>
          </w:p>
        </w:tc>
        <w:tc>
          <w:tcPr>
            <w:tcW w:w="293" w:type="pct"/>
            <w:shd w:val="clear" w:color="auto" w:fill="FFFFFF"/>
            <w:tcMar>
              <w:top w:w="0" w:type="dxa"/>
              <w:left w:w="0" w:type="dxa"/>
              <w:bottom w:w="0" w:type="dxa"/>
              <w:right w:w="0" w:type="dxa"/>
            </w:tcMar>
          </w:tcPr>
          <w:p w14:paraId="3BBED40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NR</w:t>
            </w:r>
          </w:p>
        </w:tc>
        <w:tc>
          <w:tcPr>
            <w:tcW w:w="536" w:type="pct"/>
            <w:shd w:val="clear" w:color="auto" w:fill="FFFFFF"/>
            <w:tcMar>
              <w:top w:w="0" w:type="dxa"/>
              <w:left w:w="0" w:type="dxa"/>
              <w:bottom w:w="0" w:type="dxa"/>
              <w:right w:w="0" w:type="dxa"/>
            </w:tcMar>
          </w:tcPr>
          <w:p w14:paraId="22D86DE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vomiting</w:t>
            </w:r>
          </w:p>
        </w:tc>
        <w:tc>
          <w:tcPr>
            <w:tcW w:w="600" w:type="pct"/>
            <w:shd w:val="clear" w:color="auto" w:fill="FFFFFF"/>
            <w:tcMar>
              <w:top w:w="0" w:type="dxa"/>
              <w:left w:w="0" w:type="dxa"/>
              <w:bottom w:w="0" w:type="dxa"/>
              <w:right w:w="0" w:type="dxa"/>
            </w:tcMar>
          </w:tcPr>
          <w:p w14:paraId="63FDFA1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4" w:type="pct"/>
            <w:shd w:val="clear" w:color="auto" w:fill="FFFFFF"/>
            <w:tcMar>
              <w:top w:w="0" w:type="dxa"/>
              <w:left w:w="0" w:type="dxa"/>
              <w:bottom w:w="0" w:type="dxa"/>
              <w:right w:w="0" w:type="dxa"/>
            </w:tcMar>
          </w:tcPr>
          <w:p w14:paraId="216FE16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5C27FEB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UK</w:t>
            </w:r>
          </w:p>
        </w:tc>
        <w:tc>
          <w:tcPr>
            <w:tcW w:w="370" w:type="pct"/>
            <w:shd w:val="clear" w:color="auto" w:fill="FFFFFF"/>
            <w:tcMar>
              <w:top w:w="0" w:type="dxa"/>
              <w:left w:w="0" w:type="dxa"/>
              <w:bottom w:w="0" w:type="dxa"/>
              <w:right w:w="0" w:type="dxa"/>
            </w:tcMar>
          </w:tcPr>
          <w:p w14:paraId="0563B6CF" w14:textId="1AA251D3"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PEVuZE5vdGU+PENpdGUgRXhjbHVkZUF1dGg9IjEiIEV4Y2x1ZGVZZWFyPSIxIj48QXV0aG9yPkJp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63</w:t>
            </w:r>
            <w:r w:rsidRPr="00734942">
              <w:rPr>
                <w:rFonts w:ascii="Arial" w:eastAsia="Arial" w:hAnsi="Arial" w:cs="Arial"/>
                <w:color w:val="111111"/>
                <w:sz w:val="18"/>
                <w:szCs w:val="18"/>
              </w:rPr>
              <w:fldChar w:fldCharType="end"/>
            </w:r>
          </w:p>
        </w:tc>
      </w:tr>
      <w:tr w:rsidR="00C8418F" w:rsidRPr="00734942" w14:paraId="04A77179" w14:textId="77777777" w:rsidTr="00F74B40">
        <w:trPr>
          <w:cantSplit/>
          <w:jc w:val="center"/>
        </w:trPr>
        <w:tc>
          <w:tcPr>
            <w:tcW w:w="657" w:type="pct"/>
            <w:shd w:val="clear" w:color="auto" w:fill="FFFFFF"/>
            <w:tcMar>
              <w:top w:w="0" w:type="dxa"/>
              <w:left w:w="0" w:type="dxa"/>
              <w:bottom w:w="0" w:type="dxa"/>
              <w:right w:w="0" w:type="dxa"/>
            </w:tcMar>
          </w:tcPr>
          <w:p w14:paraId="18B8CB4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5" w:type="pct"/>
            <w:shd w:val="clear" w:color="auto" w:fill="FFFFFF"/>
            <w:tcMar>
              <w:top w:w="0" w:type="dxa"/>
              <w:left w:w="0" w:type="dxa"/>
              <w:bottom w:w="0" w:type="dxa"/>
              <w:right w:w="0" w:type="dxa"/>
            </w:tcMar>
          </w:tcPr>
          <w:p w14:paraId="045AAC2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258BDDD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Vomiting</w:t>
            </w:r>
          </w:p>
        </w:tc>
        <w:tc>
          <w:tcPr>
            <w:tcW w:w="291" w:type="pct"/>
            <w:shd w:val="clear" w:color="auto" w:fill="FFFFFF"/>
            <w:tcMar>
              <w:top w:w="0" w:type="dxa"/>
              <w:left w:w="0" w:type="dxa"/>
              <w:bottom w:w="0" w:type="dxa"/>
              <w:right w:w="0" w:type="dxa"/>
            </w:tcMar>
          </w:tcPr>
          <w:p w14:paraId="01CB44E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18593</w:t>
            </w:r>
          </w:p>
        </w:tc>
        <w:tc>
          <w:tcPr>
            <w:tcW w:w="293" w:type="pct"/>
            <w:shd w:val="clear" w:color="auto" w:fill="FFFFFF"/>
            <w:tcMar>
              <w:top w:w="0" w:type="dxa"/>
              <w:left w:w="0" w:type="dxa"/>
              <w:bottom w:w="0" w:type="dxa"/>
              <w:right w:w="0" w:type="dxa"/>
            </w:tcMar>
          </w:tcPr>
          <w:p w14:paraId="6E1DF3D4"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6" w:type="pct"/>
            <w:shd w:val="clear" w:color="auto" w:fill="FFFFFF"/>
            <w:tcMar>
              <w:top w:w="0" w:type="dxa"/>
              <w:left w:w="0" w:type="dxa"/>
              <w:bottom w:w="0" w:type="dxa"/>
              <w:right w:w="0" w:type="dxa"/>
            </w:tcMar>
          </w:tcPr>
          <w:p w14:paraId="0E1FFD8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vomiting</w:t>
            </w:r>
          </w:p>
        </w:tc>
        <w:tc>
          <w:tcPr>
            <w:tcW w:w="600" w:type="pct"/>
            <w:shd w:val="clear" w:color="auto" w:fill="FFFFFF"/>
            <w:tcMar>
              <w:top w:w="0" w:type="dxa"/>
              <w:left w:w="0" w:type="dxa"/>
              <w:bottom w:w="0" w:type="dxa"/>
              <w:right w:w="0" w:type="dxa"/>
            </w:tcMar>
          </w:tcPr>
          <w:p w14:paraId="7C4E425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404" w:type="pct"/>
            <w:shd w:val="clear" w:color="auto" w:fill="FFFFFF"/>
            <w:tcMar>
              <w:top w:w="0" w:type="dxa"/>
              <w:left w:w="0" w:type="dxa"/>
              <w:bottom w:w="0" w:type="dxa"/>
              <w:right w:w="0" w:type="dxa"/>
            </w:tcMar>
          </w:tcPr>
          <w:p w14:paraId="6154E29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1084CD6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tcPr>
          <w:p w14:paraId="51C81A58" w14:textId="34B8A0AA"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C8418F" w:rsidRPr="00734942" w14:paraId="261347C9" w14:textId="77777777" w:rsidTr="00F74B40">
        <w:trPr>
          <w:cantSplit/>
          <w:jc w:val="center"/>
        </w:trPr>
        <w:tc>
          <w:tcPr>
            <w:tcW w:w="657" w:type="pct"/>
            <w:shd w:val="clear" w:color="auto" w:fill="FFFFFF"/>
            <w:tcMar>
              <w:top w:w="0" w:type="dxa"/>
              <w:left w:w="0" w:type="dxa"/>
              <w:bottom w:w="0" w:type="dxa"/>
              <w:right w:w="0" w:type="dxa"/>
            </w:tcMar>
          </w:tcPr>
          <w:p w14:paraId="26B8D7B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5" w:type="pct"/>
            <w:shd w:val="clear" w:color="auto" w:fill="FFFFFF"/>
            <w:tcMar>
              <w:top w:w="0" w:type="dxa"/>
              <w:left w:w="0" w:type="dxa"/>
              <w:bottom w:w="0" w:type="dxa"/>
              <w:right w:w="0" w:type="dxa"/>
            </w:tcMar>
          </w:tcPr>
          <w:p w14:paraId="1C38807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shd w:val="clear" w:color="auto" w:fill="FFFFFF"/>
            <w:tcMar>
              <w:top w:w="0" w:type="dxa"/>
              <w:left w:w="0" w:type="dxa"/>
              <w:bottom w:w="0" w:type="dxa"/>
              <w:right w:w="0" w:type="dxa"/>
            </w:tcMar>
          </w:tcPr>
          <w:p w14:paraId="3EA622A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Nausea</w:t>
            </w:r>
          </w:p>
        </w:tc>
        <w:tc>
          <w:tcPr>
            <w:tcW w:w="291" w:type="pct"/>
            <w:shd w:val="clear" w:color="auto" w:fill="FFFFFF"/>
            <w:tcMar>
              <w:top w:w="0" w:type="dxa"/>
              <w:left w:w="0" w:type="dxa"/>
              <w:bottom w:w="0" w:type="dxa"/>
              <w:right w:w="0" w:type="dxa"/>
            </w:tcMar>
          </w:tcPr>
          <w:p w14:paraId="068C92C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1562</w:t>
            </w:r>
          </w:p>
        </w:tc>
        <w:tc>
          <w:tcPr>
            <w:tcW w:w="293" w:type="pct"/>
            <w:shd w:val="clear" w:color="auto" w:fill="FFFFFF"/>
            <w:tcMar>
              <w:top w:w="0" w:type="dxa"/>
              <w:left w:w="0" w:type="dxa"/>
              <w:bottom w:w="0" w:type="dxa"/>
              <w:right w:w="0" w:type="dxa"/>
            </w:tcMar>
          </w:tcPr>
          <w:p w14:paraId="59E7868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26-50%</w:t>
            </w:r>
          </w:p>
        </w:tc>
        <w:tc>
          <w:tcPr>
            <w:tcW w:w="536" w:type="pct"/>
            <w:shd w:val="clear" w:color="auto" w:fill="FFFFFF"/>
            <w:tcMar>
              <w:top w:w="0" w:type="dxa"/>
              <w:left w:w="0" w:type="dxa"/>
              <w:bottom w:w="0" w:type="dxa"/>
              <w:right w:w="0" w:type="dxa"/>
            </w:tcMar>
          </w:tcPr>
          <w:p w14:paraId="2221BA2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nausea (after eating)</w:t>
            </w:r>
          </w:p>
        </w:tc>
        <w:tc>
          <w:tcPr>
            <w:tcW w:w="600" w:type="pct"/>
            <w:shd w:val="clear" w:color="auto" w:fill="FFFFFF"/>
            <w:tcMar>
              <w:top w:w="0" w:type="dxa"/>
              <w:left w:w="0" w:type="dxa"/>
              <w:bottom w:w="0" w:type="dxa"/>
              <w:right w:w="0" w:type="dxa"/>
            </w:tcMar>
          </w:tcPr>
          <w:p w14:paraId="02EEFF0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404" w:type="pct"/>
            <w:shd w:val="clear" w:color="auto" w:fill="FFFFFF"/>
            <w:tcMar>
              <w:top w:w="0" w:type="dxa"/>
              <w:left w:w="0" w:type="dxa"/>
              <w:bottom w:w="0" w:type="dxa"/>
              <w:right w:w="0" w:type="dxa"/>
            </w:tcMar>
          </w:tcPr>
          <w:p w14:paraId="25B9698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419" w:type="pct"/>
            <w:shd w:val="clear" w:color="auto" w:fill="FFFFFF"/>
            <w:tcMar>
              <w:top w:w="0" w:type="dxa"/>
              <w:left w:w="0" w:type="dxa"/>
              <w:bottom w:w="0" w:type="dxa"/>
              <w:right w:w="0" w:type="dxa"/>
            </w:tcMar>
          </w:tcPr>
          <w:p w14:paraId="5511772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Netherlands</w:t>
            </w:r>
          </w:p>
        </w:tc>
        <w:tc>
          <w:tcPr>
            <w:tcW w:w="370" w:type="pct"/>
            <w:shd w:val="clear" w:color="auto" w:fill="FFFFFF"/>
            <w:tcMar>
              <w:top w:w="0" w:type="dxa"/>
              <w:left w:w="0" w:type="dxa"/>
              <w:bottom w:w="0" w:type="dxa"/>
              <w:right w:w="0" w:type="dxa"/>
            </w:tcMar>
          </w:tcPr>
          <w:p w14:paraId="1A14ABE6" w14:textId="6DF1E54E"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 </w:instrText>
            </w:r>
            <w:r w:rsidR="00735CC0">
              <w:rPr>
                <w:rFonts w:ascii="Arial" w:eastAsia="Arial" w:hAnsi="Arial" w:cs="Arial"/>
                <w:color w:val="111111"/>
                <w:sz w:val="18"/>
                <w:szCs w:val="18"/>
              </w:rPr>
              <w:fldChar w:fldCharType="begin">
                <w:fldData xml:space="preserve">PEVuZE5vdGU+PENpdGUgRXhjbHVkZUF1dGg9IjEiIEV4Y2x1ZGVZZWFyPSIxIj48QXV0aG9yPkph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</w:fldData>
              </w:fldChar>
            </w:r>
            <w:r w:rsidR="00735CC0">
              <w:rPr>
                <w:rFonts w:ascii="Arial" w:eastAsia="Arial" w:hAnsi="Arial" w:cs="Arial"/>
                <w:color w:val="111111"/>
                <w:sz w:val="18"/>
                <w:szCs w:val="18"/>
              </w:rPr>
              <w:instrText xml:space="preserve"> ADDIN EN.CITE.DATA </w:instrText>
            </w:r>
            <w:r w:rsidR="00735CC0">
              <w:rPr>
                <w:rFonts w:ascii="Arial" w:eastAsia="Arial" w:hAnsi="Arial" w:cs="Arial"/>
                <w:color w:val="111111"/>
                <w:sz w:val="18"/>
                <w:szCs w:val="18"/>
              </w:rPr>
            </w:r>
            <w:r w:rsidR="00735CC0">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735CC0" w:rsidRPr="00735CC0">
              <w:rPr>
                <w:rFonts w:ascii="Arial" w:eastAsia="Arial" w:hAnsi="Arial" w:cs="Arial"/>
                <w:noProof/>
                <w:color w:val="111111"/>
                <w:sz w:val="18"/>
                <w:szCs w:val="18"/>
                <w:vertAlign w:val="superscript"/>
              </w:rPr>
              <w:t>185</w:t>
            </w:r>
            <w:r w:rsidRPr="00734942">
              <w:rPr>
                <w:rFonts w:ascii="Arial" w:eastAsia="Arial" w:hAnsi="Arial" w:cs="Arial"/>
                <w:color w:val="111111"/>
                <w:sz w:val="18"/>
                <w:szCs w:val="18"/>
              </w:rPr>
              <w:fldChar w:fldCharType="end"/>
            </w:r>
          </w:p>
        </w:tc>
      </w:tr>
      <w:tr w:rsidR="00C8418F" w:rsidRPr="00734942" w14:paraId="06215ABB" w14:textId="77777777" w:rsidTr="00F74B40">
        <w:trPr>
          <w:cantSplit/>
          <w:jc w:val="center"/>
        </w:trPr>
        <w:tc>
          <w:tcPr>
            <w:tcW w:w="657" w:type="pct"/>
            <w:tcBorders>
              <w:bottom w:val="single" w:sz="12" w:space="0" w:color="auto"/>
            </w:tcBorders>
            <w:shd w:val="clear" w:color="auto" w:fill="FFFFFF"/>
            <w:tcMar>
              <w:top w:w="0" w:type="dxa"/>
              <w:left w:w="0" w:type="dxa"/>
              <w:bottom w:w="0" w:type="dxa"/>
              <w:right w:w="0" w:type="dxa"/>
            </w:tcMar>
          </w:tcPr>
          <w:p w14:paraId="4CB5AA7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5" w:type="pct"/>
            <w:tcBorders>
              <w:bottom w:val="single" w:sz="12" w:space="0" w:color="auto"/>
            </w:tcBorders>
            <w:shd w:val="clear" w:color="auto" w:fill="FFFFFF"/>
            <w:tcMar>
              <w:top w:w="0" w:type="dxa"/>
              <w:left w:w="0" w:type="dxa"/>
              <w:bottom w:w="0" w:type="dxa"/>
              <w:right w:w="0" w:type="dxa"/>
            </w:tcMar>
          </w:tcPr>
          <w:p w14:paraId="70592C6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5" w:type="pct"/>
            <w:tcBorders>
              <w:bottom w:val="single" w:sz="12" w:space="0" w:color="auto"/>
            </w:tcBorders>
            <w:shd w:val="clear" w:color="auto" w:fill="FFFFFF"/>
            <w:tcMar>
              <w:top w:w="0" w:type="dxa"/>
              <w:left w:w="0" w:type="dxa"/>
              <w:bottom w:w="0" w:type="dxa"/>
              <w:right w:w="0" w:type="dxa"/>
            </w:tcMar>
          </w:tcPr>
          <w:p w14:paraId="280A87A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Vomiting</w:t>
            </w:r>
          </w:p>
        </w:tc>
        <w:tc>
          <w:tcPr>
            <w:tcW w:w="291" w:type="pct"/>
            <w:tcBorders>
              <w:bottom w:val="single" w:sz="12" w:space="0" w:color="auto"/>
            </w:tcBorders>
            <w:shd w:val="clear" w:color="auto" w:fill="FFFFFF"/>
            <w:tcMar>
              <w:top w:w="0" w:type="dxa"/>
              <w:left w:w="0" w:type="dxa"/>
              <w:bottom w:w="0" w:type="dxa"/>
              <w:right w:w="0" w:type="dxa"/>
            </w:tcMar>
          </w:tcPr>
          <w:p w14:paraId="3703BA4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9918</w:t>
            </w:r>
          </w:p>
        </w:tc>
        <w:tc>
          <w:tcPr>
            <w:tcW w:w="293" w:type="pct"/>
            <w:tcBorders>
              <w:bottom w:val="single" w:sz="12" w:space="0" w:color="auto"/>
            </w:tcBorders>
            <w:shd w:val="clear" w:color="auto" w:fill="FFFFFF"/>
            <w:tcMar>
              <w:top w:w="0" w:type="dxa"/>
              <w:left w:w="0" w:type="dxa"/>
              <w:bottom w:w="0" w:type="dxa"/>
              <w:right w:w="0" w:type="dxa"/>
            </w:tcMar>
          </w:tcPr>
          <w:p w14:paraId="250F46F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6" w:type="pct"/>
            <w:tcBorders>
              <w:bottom w:val="single" w:sz="12" w:space="0" w:color="auto"/>
            </w:tcBorders>
            <w:shd w:val="clear" w:color="auto" w:fill="FFFFFF"/>
            <w:tcMar>
              <w:top w:w="0" w:type="dxa"/>
              <w:left w:w="0" w:type="dxa"/>
              <w:bottom w:w="0" w:type="dxa"/>
              <w:right w:w="0" w:type="dxa"/>
            </w:tcMar>
          </w:tcPr>
          <w:p w14:paraId="5622122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vomiting</w:t>
            </w:r>
          </w:p>
        </w:tc>
        <w:tc>
          <w:tcPr>
            <w:tcW w:w="600" w:type="pct"/>
            <w:tcBorders>
              <w:bottom w:val="single" w:sz="12" w:space="0" w:color="auto"/>
            </w:tcBorders>
            <w:shd w:val="clear" w:color="auto" w:fill="FFFFFF"/>
            <w:tcMar>
              <w:top w:w="0" w:type="dxa"/>
              <w:left w:w="0" w:type="dxa"/>
              <w:bottom w:w="0" w:type="dxa"/>
              <w:right w:w="0" w:type="dxa"/>
            </w:tcMar>
          </w:tcPr>
          <w:p w14:paraId="742014C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404" w:type="pct"/>
            <w:tcBorders>
              <w:bottom w:val="single" w:sz="12" w:space="0" w:color="auto"/>
            </w:tcBorders>
            <w:shd w:val="clear" w:color="auto" w:fill="FFFFFF"/>
            <w:tcMar>
              <w:top w:w="0" w:type="dxa"/>
              <w:left w:w="0" w:type="dxa"/>
              <w:bottom w:w="0" w:type="dxa"/>
              <w:right w:w="0" w:type="dxa"/>
            </w:tcMar>
          </w:tcPr>
          <w:p w14:paraId="0DC9D44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419" w:type="pct"/>
            <w:tcBorders>
              <w:bottom w:val="single" w:sz="12" w:space="0" w:color="auto"/>
            </w:tcBorders>
            <w:shd w:val="clear" w:color="auto" w:fill="FFFFFF"/>
            <w:tcMar>
              <w:top w:w="0" w:type="dxa"/>
              <w:left w:w="0" w:type="dxa"/>
              <w:bottom w:w="0" w:type="dxa"/>
              <w:right w:w="0" w:type="dxa"/>
            </w:tcMar>
          </w:tcPr>
          <w:p w14:paraId="12E0CA3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tcBorders>
              <w:bottom w:val="single" w:sz="12" w:space="0" w:color="auto"/>
            </w:tcBorders>
            <w:shd w:val="clear" w:color="auto" w:fill="FFFFFF"/>
            <w:tcMar>
              <w:top w:w="0" w:type="dxa"/>
              <w:left w:w="0" w:type="dxa"/>
              <w:bottom w:w="0" w:type="dxa"/>
              <w:right w:w="0" w:type="dxa"/>
            </w:tcMar>
          </w:tcPr>
          <w:p w14:paraId="54BA321D" w14:textId="53C94CD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bl>
    <w:p w14:paraId="48A26364" w14:textId="77777777" w:rsidR="007B756D" w:rsidRPr="00734942" w:rsidRDefault="007B756D" w:rsidP="007B756D">
      <w:pPr>
        <w:rPr>
          <w:rFonts w:ascii="Calibri" w:hAnsi="Calibri" w:cs="Calibri"/>
        </w:rPr>
      </w:pPr>
    </w:p>
    <w:p w14:paraId="733BDE31" w14:textId="244E4458" w:rsidR="003C360F" w:rsidRDefault="003C360F" w:rsidP="000526F1">
      <w:pPr>
        <w:pStyle w:val="Caption"/>
      </w:pPr>
      <w:bookmarkStart w:id="392" w:name="_Ref95315494"/>
      <w:bookmarkStart w:id="393" w:name="_Toc99720761"/>
      <w:r>
        <w:t xml:space="preserve">Table </w:t>
      </w:r>
      <w:r w:rsidR="00C34531">
        <w:fldChar w:fldCharType="begin"/>
      </w:r>
      <w:r w:rsidR="00C34531">
        <w:instrText xml:space="preserve"> SEQ Table \* ARABIC </w:instrText>
      </w:r>
      <w:r w:rsidR="00C34531">
        <w:fldChar w:fldCharType="separate"/>
      </w:r>
      <w:r w:rsidR="008B5583">
        <w:rPr>
          <w:noProof/>
        </w:rPr>
        <w:t>50</w:t>
      </w:r>
      <w:r w:rsidR="00C34531">
        <w:rPr>
          <w:noProof/>
        </w:rPr>
        <w:fldChar w:fldCharType="end"/>
      </w:r>
      <w:bookmarkEnd w:id="392"/>
      <w:r>
        <w:t xml:space="preserve">  </w:t>
      </w:r>
      <w:r w:rsidRPr="00C61374">
        <w:t>Study characteristics: Weight loss</w:t>
      </w:r>
      <w:bookmarkEnd w:id="393"/>
    </w:p>
    <w:tbl>
      <w:tblPr>
        <w:tblW w:w="5000" w:type="pct"/>
        <w:jc w:val="center"/>
        <w:tblLook w:val="0420" w:firstRow="1" w:lastRow="0" w:firstColumn="0" w:lastColumn="0" w:noHBand="0" w:noVBand="1"/>
      </w:tblPr>
      <w:tblGrid>
        <w:gridCol w:w="1846"/>
        <w:gridCol w:w="1672"/>
        <w:gridCol w:w="2342"/>
        <w:gridCol w:w="812"/>
        <w:gridCol w:w="835"/>
        <w:gridCol w:w="1505"/>
        <w:gridCol w:w="1683"/>
        <w:gridCol w:w="1136"/>
        <w:gridCol w:w="1094"/>
        <w:gridCol w:w="1033"/>
      </w:tblGrid>
      <w:tr w:rsidR="007B756D" w:rsidRPr="00734942" w14:paraId="0EBFE86E" w14:textId="77777777" w:rsidTr="006658D1">
        <w:trPr>
          <w:cantSplit/>
          <w:tblHeader/>
          <w:jc w:val="center"/>
        </w:trPr>
        <w:tc>
          <w:tcPr>
            <w:tcW w:w="66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37E8D6F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Age group</w:t>
            </w:r>
          </w:p>
        </w:tc>
        <w:tc>
          <w:tcPr>
            <w:tcW w:w="5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A8B39E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Study Design</w:t>
            </w:r>
          </w:p>
        </w:tc>
        <w:tc>
          <w:tcPr>
            <w:tcW w:w="83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A3A8A39"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Indicator details</w:t>
            </w:r>
          </w:p>
        </w:tc>
        <w:tc>
          <w:tcPr>
            <w:tcW w:w="291"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2D5850C" w14:textId="77777777" w:rsidR="007B756D" w:rsidRPr="00734942" w:rsidRDefault="007B756D" w:rsidP="006658D1">
            <w:pPr>
              <w:spacing w:before="40" w:after="40"/>
              <w:ind w:left="100" w:right="100"/>
              <w:jc w:val="right"/>
            </w:pPr>
            <w:r w:rsidRPr="00734942">
              <w:rPr>
                <w:rFonts w:ascii="Arial" w:eastAsia="Arial" w:hAnsi="Arial" w:cs="Arial"/>
                <w:color w:val="111111"/>
                <w:sz w:val="18"/>
                <w:szCs w:val="18"/>
              </w:rPr>
              <w:t>Sample size</w:t>
            </w:r>
          </w:p>
        </w:tc>
        <w:tc>
          <w:tcPr>
            <w:tcW w:w="29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145DFD1F"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Sex (% female)</w:t>
            </w:r>
          </w:p>
        </w:tc>
        <w:tc>
          <w:tcPr>
            <w:tcW w:w="539"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74C446FB"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Control group</w:t>
            </w:r>
          </w:p>
        </w:tc>
        <w:tc>
          <w:tcPr>
            <w:tcW w:w="603"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28E3F848"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 standard</w:t>
            </w:r>
          </w:p>
        </w:tc>
        <w:tc>
          <w:tcPr>
            <w:tcW w:w="407"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4CB8A79D"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Care setting</w:t>
            </w:r>
          </w:p>
        </w:tc>
        <w:tc>
          <w:tcPr>
            <w:tcW w:w="392"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63031A7C"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Location</w:t>
            </w:r>
          </w:p>
        </w:tc>
        <w:tc>
          <w:tcPr>
            <w:tcW w:w="370" w:type="pct"/>
            <w:tcBorders>
              <w:top w:val="single" w:sz="16" w:space="0" w:color="000000"/>
              <w:bottom w:val="single" w:sz="16" w:space="0" w:color="000000"/>
            </w:tcBorders>
            <w:shd w:val="clear" w:color="auto" w:fill="FFFFFF"/>
            <w:tcMar>
              <w:top w:w="0" w:type="dxa"/>
              <w:left w:w="0" w:type="dxa"/>
              <w:bottom w:w="0" w:type="dxa"/>
              <w:right w:w="0" w:type="dxa"/>
            </w:tcMar>
            <w:vAlign w:val="center"/>
          </w:tcPr>
          <w:p w14:paraId="091BE8D5" w14:textId="77777777" w:rsidR="007B756D" w:rsidRPr="00734942" w:rsidRDefault="007B756D" w:rsidP="006658D1">
            <w:pPr>
              <w:spacing w:before="40" w:after="40"/>
              <w:ind w:left="100" w:right="100"/>
            </w:pPr>
            <w:r w:rsidRPr="00734942">
              <w:rPr>
                <w:rFonts w:ascii="Arial" w:eastAsia="Arial" w:hAnsi="Arial" w:cs="Arial"/>
                <w:color w:val="111111"/>
                <w:sz w:val="18"/>
                <w:szCs w:val="18"/>
              </w:rPr>
              <w:t>Reference</w:t>
            </w:r>
          </w:p>
        </w:tc>
      </w:tr>
      <w:tr w:rsidR="007B756D" w:rsidRPr="00734942" w14:paraId="52A82CEA" w14:textId="77777777" w:rsidTr="006658D1">
        <w:trPr>
          <w:cantSplit/>
          <w:jc w:val="center"/>
        </w:trPr>
        <w:tc>
          <w:tcPr>
            <w:tcW w:w="661" w:type="pct"/>
            <w:shd w:val="clear" w:color="auto" w:fill="FFFFFF"/>
            <w:tcMar>
              <w:top w:w="0" w:type="dxa"/>
              <w:left w:w="0" w:type="dxa"/>
              <w:bottom w:w="0" w:type="dxa"/>
              <w:right w:w="0" w:type="dxa"/>
            </w:tcMar>
            <w:vAlign w:val="bottom"/>
          </w:tcPr>
          <w:p w14:paraId="73448E8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bottom"/>
          </w:tcPr>
          <w:p w14:paraId="281C2D8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bottom"/>
          </w:tcPr>
          <w:p w14:paraId="5C0B6A4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Weight loss</w:t>
            </w:r>
          </w:p>
        </w:tc>
        <w:tc>
          <w:tcPr>
            <w:tcW w:w="291" w:type="pct"/>
            <w:shd w:val="clear" w:color="auto" w:fill="FFFFFF"/>
            <w:tcMar>
              <w:top w:w="0" w:type="dxa"/>
              <w:left w:w="0" w:type="dxa"/>
              <w:bottom w:w="0" w:type="dxa"/>
              <w:right w:w="0" w:type="dxa"/>
            </w:tcMar>
            <w:vAlign w:val="bottom"/>
          </w:tcPr>
          <w:p w14:paraId="3CF94EFB"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1960</w:t>
            </w:r>
          </w:p>
        </w:tc>
        <w:tc>
          <w:tcPr>
            <w:tcW w:w="299" w:type="pct"/>
            <w:shd w:val="clear" w:color="auto" w:fill="FFFFFF"/>
            <w:tcMar>
              <w:top w:w="0" w:type="dxa"/>
              <w:left w:w="0" w:type="dxa"/>
              <w:bottom w:w="0" w:type="dxa"/>
              <w:right w:w="0" w:type="dxa"/>
            </w:tcMar>
            <w:vAlign w:val="bottom"/>
          </w:tcPr>
          <w:p w14:paraId="4357D29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NR</w:t>
            </w:r>
          </w:p>
        </w:tc>
        <w:tc>
          <w:tcPr>
            <w:tcW w:w="539" w:type="pct"/>
            <w:shd w:val="clear" w:color="auto" w:fill="FFFFFF"/>
            <w:tcMar>
              <w:top w:w="0" w:type="dxa"/>
              <w:left w:w="0" w:type="dxa"/>
              <w:bottom w:w="0" w:type="dxa"/>
              <w:right w:w="0" w:type="dxa"/>
            </w:tcMar>
            <w:vAlign w:val="bottom"/>
          </w:tcPr>
          <w:p w14:paraId="1B35E74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weight loss</w:t>
            </w:r>
          </w:p>
        </w:tc>
        <w:tc>
          <w:tcPr>
            <w:tcW w:w="603" w:type="pct"/>
            <w:shd w:val="clear" w:color="auto" w:fill="FFFFFF"/>
            <w:tcMar>
              <w:top w:w="0" w:type="dxa"/>
              <w:left w:w="0" w:type="dxa"/>
              <w:bottom w:w="0" w:type="dxa"/>
              <w:right w:w="0" w:type="dxa"/>
            </w:tcMar>
            <w:vAlign w:val="bottom"/>
          </w:tcPr>
          <w:p w14:paraId="7DF6907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bottom"/>
          </w:tcPr>
          <w:p w14:paraId="77121BB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bottom"/>
          </w:tcPr>
          <w:p w14:paraId="0CBE5C0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shd w:val="clear" w:color="auto" w:fill="FFFFFF"/>
            <w:tcMar>
              <w:top w:w="0" w:type="dxa"/>
              <w:left w:w="0" w:type="dxa"/>
              <w:bottom w:w="0" w:type="dxa"/>
              <w:right w:w="0" w:type="dxa"/>
            </w:tcMar>
            <w:vAlign w:val="bottom"/>
          </w:tcPr>
          <w:p w14:paraId="7DDE4273" w14:textId="21EF47D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PEVuZE5vdGU+PENpdGUgRXhjbHVkZUF1dGg9IjEiIEV4Y2x1ZGVZZWFyPSIxIj48QXV0aG9yPkNo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299</w:t>
            </w:r>
            <w:r w:rsidRPr="00734942">
              <w:rPr>
                <w:rFonts w:ascii="Arial" w:eastAsia="Arial" w:hAnsi="Arial" w:cs="Arial"/>
                <w:color w:val="111111"/>
                <w:sz w:val="18"/>
                <w:szCs w:val="18"/>
              </w:rPr>
              <w:fldChar w:fldCharType="end"/>
            </w:r>
          </w:p>
        </w:tc>
      </w:tr>
      <w:tr w:rsidR="007B756D" w:rsidRPr="00734942" w14:paraId="6D2A443B" w14:textId="77777777" w:rsidTr="006658D1">
        <w:trPr>
          <w:cantSplit/>
          <w:jc w:val="center"/>
        </w:trPr>
        <w:tc>
          <w:tcPr>
            <w:tcW w:w="661" w:type="pct"/>
            <w:shd w:val="clear" w:color="auto" w:fill="FFFFFF"/>
            <w:tcMar>
              <w:top w:w="0" w:type="dxa"/>
              <w:left w:w="0" w:type="dxa"/>
              <w:bottom w:w="0" w:type="dxa"/>
              <w:right w:w="0" w:type="dxa"/>
            </w:tcMar>
            <w:vAlign w:val="bottom"/>
          </w:tcPr>
          <w:p w14:paraId="18CFDFA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bottom"/>
          </w:tcPr>
          <w:p w14:paraId="79C3F0E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Nested case-control (CD)</w:t>
            </w:r>
          </w:p>
        </w:tc>
        <w:tc>
          <w:tcPr>
            <w:tcW w:w="839" w:type="pct"/>
            <w:shd w:val="clear" w:color="auto" w:fill="FFFFFF"/>
            <w:tcMar>
              <w:top w:w="0" w:type="dxa"/>
              <w:left w:w="0" w:type="dxa"/>
              <w:bottom w:w="0" w:type="dxa"/>
              <w:right w:w="0" w:type="dxa"/>
            </w:tcMar>
            <w:vAlign w:val="bottom"/>
          </w:tcPr>
          <w:p w14:paraId="6CFE4CB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Weight loss</w:t>
            </w:r>
          </w:p>
        </w:tc>
        <w:tc>
          <w:tcPr>
            <w:tcW w:w="291" w:type="pct"/>
            <w:shd w:val="clear" w:color="auto" w:fill="FFFFFF"/>
            <w:tcMar>
              <w:top w:w="0" w:type="dxa"/>
              <w:left w:w="0" w:type="dxa"/>
              <w:bottom w:w="0" w:type="dxa"/>
              <w:right w:w="0" w:type="dxa"/>
            </w:tcMar>
            <w:vAlign w:val="bottom"/>
          </w:tcPr>
          <w:p w14:paraId="72D3327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800</w:t>
            </w:r>
          </w:p>
        </w:tc>
        <w:tc>
          <w:tcPr>
            <w:tcW w:w="299" w:type="pct"/>
            <w:shd w:val="clear" w:color="auto" w:fill="FFFFFF"/>
            <w:tcMar>
              <w:top w:w="0" w:type="dxa"/>
              <w:left w:w="0" w:type="dxa"/>
              <w:bottom w:w="0" w:type="dxa"/>
              <w:right w:w="0" w:type="dxa"/>
            </w:tcMar>
            <w:vAlign w:val="bottom"/>
          </w:tcPr>
          <w:p w14:paraId="2B43316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bottom"/>
          </w:tcPr>
          <w:p w14:paraId="4BCA3AB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unexplained weight loss</w:t>
            </w:r>
          </w:p>
        </w:tc>
        <w:tc>
          <w:tcPr>
            <w:tcW w:w="603" w:type="pct"/>
            <w:shd w:val="clear" w:color="auto" w:fill="FFFFFF"/>
            <w:tcMar>
              <w:top w:w="0" w:type="dxa"/>
              <w:left w:w="0" w:type="dxa"/>
              <w:bottom w:w="0" w:type="dxa"/>
              <w:right w:w="0" w:type="dxa"/>
            </w:tcMar>
            <w:vAlign w:val="bottom"/>
          </w:tcPr>
          <w:p w14:paraId="283B6E9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bottom"/>
          </w:tcPr>
          <w:p w14:paraId="0B0DCD0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Primary and seconday</w:t>
            </w:r>
          </w:p>
        </w:tc>
        <w:tc>
          <w:tcPr>
            <w:tcW w:w="392" w:type="pct"/>
            <w:shd w:val="clear" w:color="auto" w:fill="FFFFFF"/>
            <w:tcMar>
              <w:top w:w="0" w:type="dxa"/>
              <w:left w:w="0" w:type="dxa"/>
              <w:bottom w:w="0" w:type="dxa"/>
              <w:right w:w="0" w:type="dxa"/>
            </w:tcMar>
            <w:vAlign w:val="bottom"/>
          </w:tcPr>
          <w:p w14:paraId="2B8048C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USA</w:t>
            </w:r>
          </w:p>
        </w:tc>
        <w:tc>
          <w:tcPr>
            <w:tcW w:w="370" w:type="pct"/>
            <w:shd w:val="clear" w:color="auto" w:fill="FFFFFF"/>
            <w:tcMar>
              <w:top w:w="0" w:type="dxa"/>
              <w:left w:w="0" w:type="dxa"/>
              <w:bottom w:w="0" w:type="dxa"/>
              <w:right w:w="0" w:type="dxa"/>
            </w:tcMar>
            <w:vAlign w:val="bottom"/>
          </w:tcPr>
          <w:p w14:paraId="7375116C" w14:textId="15CC2C19"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PEVuZE5vdGU+PENpdGUgRXhjbHVkZUF1dGg9IjEiIEV4Y2x1ZGVZZWFyPSIxIj48QXV0aG9yPkh1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301</w:t>
            </w:r>
            <w:r w:rsidRPr="00734942">
              <w:rPr>
                <w:rFonts w:ascii="Arial" w:eastAsia="Arial" w:hAnsi="Arial" w:cs="Arial"/>
                <w:color w:val="111111"/>
                <w:sz w:val="18"/>
                <w:szCs w:val="18"/>
              </w:rPr>
              <w:fldChar w:fldCharType="end"/>
            </w:r>
          </w:p>
        </w:tc>
      </w:tr>
      <w:tr w:rsidR="007B756D" w:rsidRPr="00734942" w14:paraId="2A7DC9E8" w14:textId="77777777" w:rsidTr="006658D1">
        <w:trPr>
          <w:cantSplit/>
          <w:jc w:val="center"/>
        </w:trPr>
        <w:tc>
          <w:tcPr>
            <w:tcW w:w="661" w:type="pct"/>
            <w:shd w:val="clear" w:color="auto" w:fill="FFFFFF"/>
            <w:tcMar>
              <w:top w:w="0" w:type="dxa"/>
              <w:left w:w="0" w:type="dxa"/>
              <w:bottom w:w="0" w:type="dxa"/>
              <w:right w:w="0" w:type="dxa"/>
            </w:tcMar>
            <w:vAlign w:val="bottom"/>
          </w:tcPr>
          <w:p w14:paraId="0988902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Adults</w:t>
            </w:r>
          </w:p>
        </w:tc>
        <w:tc>
          <w:tcPr>
            <w:tcW w:w="599" w:type="pct"/>
            <w:shd w:val="clear" w:color="auto" w:fill="FFFFFF"/>
            <w:tcMar>
              <w:top w:w="0" w:type="dxa"/>
              <w:left w:w="0" w:type="dxa"/>
              <w:bottom w:w="0" w:type="dxa"/>
              <w:right w:w="0" w:type="dxa"/>
            </w:tcMar>
            <w:vAlign w:val="bottom"/>
          </w:tcPr>
          <w:p w14:paraId="570E3633"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Nested case-control (CD)</w:t>
            </w:r>
          </w:p>
        </w:tc>
        <w:tc>
          <w:tcPr>
            <w:tcW w:w="839" w:type="pct"/>
            <w:shd w:val="clear" w:color="auto" w:fill="FFFFFF"/>
            <w:tcMar>
              <w:top w:w="0" w:type="dxa"/>
              <w:left w:w="0" w:type="dxa"/>
              <w:bottom w:w="0" w:type="dxa"/>
              <w:right w:w="0" w:type="dxa"/>
            </w:tcMar>
            <w:vAlign w:val="bottom"/>
          </w:tcPr>
          <w:p w14:paraId="5742382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Weight loss</w:t>
            </w:r>
          </w:p>
        </w:tc>
        <w:tc>
          <w:tcPr>
            <w:tcW w:w="291" w:type="pct"/>
            <w:shd w:val="clear" w:color="auto" w:fill="FFFFFF"/>
            <w:tcMar>
              <w:top w:w="0" w:type="dxa"/>
              <w:left w:w="0" w:type="dxa"/>
              <w:bottom w:w="0" w:type="dxa"/>
              <w:right w:w="0" w:type="dxa"/>
            </w:tcMar>
            <w:vAlign w:val="bottom"/>
          </w:tcPr>
          <w:p w14:paraId="227183D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381</w:t>
            </w:r>
          </w:p>
        </w:tc>
        <w:tc>
          <w:tcPr>
            <w:tcW w:w="299" w:type="pct"/>
            <w:shd w:val="clear" w:color="auto" w:fill="FFFFFF"/>
            <w:tcMar>
              <w:top w:w="0" w:type="dxa"/>
              <w:left w:w="0" w:type="dxa"/>
              <w:bottom w:w="0" w:type="dxa"/>
              <w:right w:w="0" w:type="dxa"/>
            </w:tcMar>
            <w:vAlign w:val="bottom"/>
          </w:tcPr>
          <w:p w14:paraId="77DBAE1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bottom"/>
          </w:tcPr>
          <w:p w14:paraId="41B374A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People without weight loss</w:t>
            </w:r>
          </w:p>
        </w:tc>
        <w:tc>
          <w:tcPr>
            <w:tcW w:w="603" w:type="pct"/>
            <w:shd w:val="clear" w:color="auto" w:fill="FFFFFF"/>
            <w:tcMar>
              <w:top w:w="0" w:type="dxa"/>
              <w:left w:w="0" w:type="dxa"/>
              <w:bottom w:w="0" w:type="dxa"/>
              <w:right w:w="0" w:type="dxa"/>
            </w:tcMar>
            <w:vAlign w:val="bottom"/>
          </w:tcPr>
          <w:p w14:paraId="1C8F676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Double +ve for two antibodies</w:t>
            </w:r>
          </w:p>
        </w:tc>
        <w:tc>
          <w:tcPr>
            <w:tcW w:w="407" w:type="pct"/>
            <w:shd w:val="clear" w:color="auto" w:fill="FFFFFF"/>
            <w:tcMar>
              <w:top w:w="0" w:type="dxa"/>
              <w:left w:w="0" w:type="dxa"/>
              <w:bottom w:w="0" w:type="dxa"/>
              <w:right w:w="0" w:type="dxa"/>
            </w:tcMar>
            <w:vAlign w:val="bottom"/>
          </w:tcPr>
          <w:p w14:paraId="447F163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392" w:type="pct"/>
            <w:shd w:val="clear" w:color="auto" w:fill="FFFFFF"/>
            <w:tcMar>
              <w:top w:w="0" w:type="dxa"/>
              <w:left w:w="0" w:type="dxa"/>
              <w:bottom w:w="0" w:type="dxa"/>
              <w:right w:w="0" w:type="dxa"/>
            </w:tcMar>
            <w:vAlign w:val="bottom"/>
          </w:tcPr>
          <w:p w14:paraId="5A83109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USA</w:t>
            </w:r>
          </w:p>
        </w:tc>
        <w:tc>
          <w:tcPr>
            <w:tcW w:w="370" w:type="pct"/>
            <w:shd w:val="clear" w:color="auto" w:fill="FFFFFF"/>
            <w:tcMar>
              <w:top w:w="0" w:type="dxa"/>
              <w:left w:w="0" w:type="dxa"/>
              <w:bottom w:w="0" w:type="dxa"/>
              <w:right w:w="0" w:type="dxa"/>
            </w:tcMar>
            <w:vAlign w:val="bottom"/>
          </w:tcPr>
          <w:p w14:paraId="71216DCA" w14:textId="07387DFB"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PEVuZE5vdGU+PENpdGUgRXhjbHVkZUF1dGg9IjEiIEV4Y2x1ZGVZZWFyPSIxIj48QXV0aG9yPkdv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302</w:t>
            </w:r>
            <w:r w:rsidRPr="00734942">
              <w:rPr>
                <w:rFonts w:ascii="Arial" w:eastAsia="Arial" w:hAnsi="Arial" w:cs="Arial"/>
                <w:color w:val="111111"/>
                <w:sz w:val="18"/>
                <w:szCs w:val="18"/>
              </w:rPr>
              <w:fldChar w:fldCharType="end"/>
            </w:r>
          </w:p>
        </w:tc>
      </w:tr>
      <w:tr w:rsidR="007B756D" w:rsidRPr="00734942" w14:paraId="2AAADD2B" w14:textId="77777777" w:rsidTr="006658D1">
        <w:trPr>
          <w:cantSplit/>
          <w:jc w:val="center"/>
        </w:trPr>
        <w:tc>
          <w:tcPr>
            <w:tcW w:w="661" w:type="pct"/>
            <w:shd w:val="clear" w:color="auto" w:fill="FFFFFF"/>
            <w:tcMar>
              <w:top w:w="0" w:type="dxa"/>
              <w:left w:w="0" w:type="dxa"/>
              <w:bottom w:w="0" w:type="dxa"/>
              <w:right w:w="0" w:type="dxa"/>
            </w:tcMar>
            <w:vAlign w:val="bottom"/>
          </w:tcPr>
          <w:p w14:paraId="36B795E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w:t>
            </w:r>
          </w:p>
        </w:tc>
        <w:tc>
          <w:tcPr>
            <w:tcW w:w="599" w:type="pct"/>
            <w:shd w:val="clear" w:color="auto" w:fill="FFFFFF"/>
            <w:tcMar>
              <w:top w:w="0" w:type="dxa"/>
              <w:left w:w="0" w:type="dxa"/>
              <w:bottom w:w="0" w:type="dxa"/>
              <w:right w:w="0" w:type="dxa"/>
            </w:tcMar>
            <w:vAlign w:val="bottom"/>
          </w:tcPr>
          <w:p w14:paraId="3BFFC4B2"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9" w:type="pct"/>
            <w:shd w:val="clear" w:color="auto" w:fill="FFFFFF"/>
            <w:tcMar>
              <w:top w:w="0" w:type="dxa"/>
              <w:left w:w="0" w:type="dxa"/>
              <w:bottom w:w="0" w:type="dxa"/>
              <w:right w:w="0" w:type="dxa"/>
            </w:tcMar>
            <w:vAlign w:val="bottom"/>
          </w:tcPr>
          <w:p w14:paraId="5E29B67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Weight loss</w:t>
            </w:r>
          </w:p>
        </w:tc>
        <w:tc>
          <w:tcPr>
            <w:tcW w:w="291" w:type="pct"/>
            <w:shd w:val="clear" w:color="auto" w:fill="FFFFFF"/>
            <w:tcMar>
              <w:top w:w="0" w:type="dxa"/>
              <w:left w:w="0" w:type="dxa"/>
              <w:bottom w:w="0" w:type="dxa"/>
              <w:right w:w="0" w:type="dxa"/>
            </w:tcMar>
            <w:vAlign w:val="bottom"/>
          </w:tcPr>
          <w:p w14:paraId="01497F86"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18680</w:t>
            </w:r>
          </w:p>
        </w:tc>
        <w:tc>
          <w:tcPr>
            <w:tcW w:w="299" w:type="pct"/>
            <w:shd w:val="clear" w:color="auto" w:fill="FFFFFF"/>
            <w:tcMar>
              <w:top w:w="0" w:type="dxa"/>
              <w:left w:w="0" w:type="dxa"/>
              <w:bottom w:w="0" w:type="dxa"/>
              <w:right w:w="0" w:type="dxa"/>
            </w:tcMar>
            <w:vAlign w:val="bottom"/>
          </w:tcPr>
          <w:p w14:paraId="7BADE30F"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9" w:type="pct"/>
            <w:shd w:val="clear" w:color="auto" w:fill="FFFFFF"/>
            <w:tcMar>
              <w:top w:w="0" w:type="dxa"/>
              <w:left w:w="0" w:type="dxa"/>
              <w:bottom w:w="0" w:type="dxa"/>
              <w:right w:w="0" w:type="dxa"/>
            </w:tcMar>
            <w:vAlign w:val="bottom"/>
          </w:tcPr>
          <w:p w14:paraId="58ECBD2C"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weight loss</w:t>
            </w:r>
          </w:p>
        </w:tc>
        <w:tc>
          <w:tcPr>
            <w:tcW w:w="603" w:type="pct"/>
            <w:shd w:val="clear" w:color="auto" w:fill="FFFFFF"/>
            <w:tcMar>
              <w:top w:w="0" w:type="dxa"/>
              <w:left w:w="0" w:type="dxa"/>
              <w:bottom w:w="0" w:type="dxa"/>
              <w:right w:w="0" w:type="dxa"/>
            </w:tcMar>
            <w:vAlign w:val="bottom"/>
          </w:tcPr>
          <w:p w14:paraId="0D2216A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Serology and only +ve pts biopsied</w:t>
            </w:r>
          </w:p>
        </w:tc>
        <w:tc>
          <w:tcPr>
            <w:tcW w:w="407" w:type="pct"/>
            <w:shd w:val="clear" w:color="auto" w:fill="FFFFFF"/>
            <w:tcMar>
              <w:top w:w="0" w:type="dxa"/>
              <w:left w:w="0" w:type="dxa"/>
              <w:bottom w:w="0" w:type="dxa"/>
              <w:right w:w="0" w:type="dxa"/>
            </w:tcMar>
            <w:vAlign w:val="bottom"/>
          </w:tcPr>
          <w:p w14:paraId="6FCAE990"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Community</w:t>
            </w:r>
          </w:p>
        </w:tc>
        <w:tc>
          <w:tcPr>
            <w:tcW w:w="392" w:type="pct"/>
            <w:shd w:val="clear" w:color="auto" w:fill="FFFFFF"/>
            <w:tcMar>
              <w:top w:w="0" w:type="dxa"/>
              <w:left w:w="0" w:type="dxa"/>
              <w:bottom w:w="0" w:type="dxa"/>
              <w:right w:w="0" w:type="dxa"/>
            </w:tcMar>
            <w:vAlign w:val="bottom"/>
          </w:tcPr>
          <w:p w14:paraId="566F39A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Turkey</w:t>
            </w:r>
          </w:p>
        </w:tc>
        <w:tc>
          <w:tcPr>
            <w:tcW w:w="370" w:type="pct"/>
            <w:shd w:val="clear" w:color="auto" w:fill="FFFFFF"/>
            <w:tcMar>
              <w:top w:w="0" w:type="dxa"/>
              <w:left w:w="0" w:type="dxa"/>
              <w:bottom w:w="0" w:type="dxa"/>
              <w:right w:w="0" w:type="dxa"/>
            </w:tcMar>
            <w:vAlign w:val="bottom"/>
          </w:tcPr>
          <w:p w14:paraId="04040E72" w14:textId="740DC865"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 </w:instrText>
            </w:r>
            <w:r w:rsidR="00031047">
              <w:rPr>
                <w:rFonts w:ascii="Arial" w:eastAsia="Arial" w:hAnsi="Arial" w:cs="Arial"/>
                <w:color w:val="111111"/>
                <w:sz w:val="18"/>
                <w:szCs w:val="18"/>
              </w:rPr>
              <w:fldChar w:fldCharType="begin">
                <w:fldData xml:space="preserve">PEVuZE5vdGU+PENpdGUgRXhjbHVkZUF1dGg9IjEiIEV4Y2x1ZGVZZWFyPSIxIj48QXV0aG9yPkRh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==
</w:fldData>
              </w:fldChar>
            </w:r>
            <w:r w:rsidR="00031047">
              <w:rPr>
                <w:rFonts w:ascii="Arial" w:eastAsia="Arial" w:hAnsi="Arial" w:cs="Arial"/>
                <w:color w:val="111111"/>
                <w:sz w:val="18"/>
                <w:szCs w:val="18"/>
              </w:rPr>
              <w:instrText xml:space="preserve"> ADDIN EN.CITE.DATA </w:instrText>
            </w:r>
            <w:r w:rsidR="00031047">
              <w:rPr>
                <w:rFonts w:ascii="Arial" w:eastAsia="Arial" w:hAnsi="Arial" w:cs="Arial"/>
                <w:color w:val="111111"/>
                <w:sz w:val="18"/>
                <w:szCs w:val="18"/>
              </w:rPr>
            </w:r>
            <w:r w:rsidR="00031047">
              <w:rPr>
                <w:rFonts w:ascii="Arial" w:eastAsia="Arial" w:hAnsi="Arial" w:cs="Arial"/>
                <w:color w:val="111111"/>
                <w:sz w:val="18"/>
                <w:szCs w:val="18"/>
              </w:rPr>
              <w:fldChar w:fldCharType="end"/>
            </w:r>
            <w:r w:rsidRPr="00734942">
              <w:rPr>
                <w:rFonts w:ascii="Arial" w:eastAsia="Arial" w:hAnsi="Arial" w:cs="Arial"/>
                <w:color w:val="111111"/>
                <w:sz w:val="18"/>
                <w:szCs w:val="18"/>
              </w:rPr>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304</w:t>
            </w:r>
            <w:r w:rsidRPr="00734942">
              <w:rPr>
                <w:rFonts w:ascii="Arial" w:eastAsia="Arial" w:hAnsi="Arial" w:cs="Arial"/>
                <w:color w:val="111111"/>
                <w:sz w:val="18"/>
                <w:szCs w:val="18"/>
              </w:rPr>
              <w:fldChar w:fldCharType="end"/>
            </w:r>
          </w:p>
        </w:tc>
      </w:tr>
      <w:tr w:rsidR="007B756D" w:rsidRPr="00734942" w14:paraId="5623739A" w14:textId="77777777" w:rsidTr="006658D1">
        <w:trPr>
          <w:cantSplit/>
          <w:jc w:val="center"/>
        </w:trPr>
        <w:tc>
          <w:tcPr>
            <w:tcW w:w="661" w:type="pct"/>
            <w:tcBorders>
              <w:bottom w:val="single" w:sz="12" w:space="0" w:color="auto"/>
            </w:tcBorders>
            <w:shd w:val="clear" w:color="auto" w:fill="FFFFFF"/>
            <w:tcMar>
              <w:top w:w="0" w:type="dxa"/>
              <w:left w:w="0" w:type="dxa"/>
              <w:bottom w:w="0" w:type="dxa"/>
              <w:right w:w="0" w:type="dxa"/>
            </w:tcMar>
            <w:vAlign w:val="bottom"/>
          </w:tcPr>
          <w:p w14:paraId="77F38579"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lastRenderedPageBreak/>
              <w:t>Children</w:t>
            </w:r>
          </w:p>
        </w:tc>
        <w:tc>
          <w:tcPr>
            <w:tcW w:w="599" w:type="pct"/>
            <w:tcBorders>
              <w:bottom w:val="single" w:sz="12" w:space="0" w:color="auto"/>
            </w:tcBorders>
            <w:shd w:val="clear" w:color="auto" w:fill="FFFFFF"/>
            <w:tcMar>
              <w:top w:w="0" w:type="dxa"/>
              <w:left w:w="0" w:type="dxa"/>
              <w:bottom w:w="0" w:type="dxa"/>
              <w:right w:w="0" w:type="dxa"/>
            </w:tcMar>
            <w:vAlign w:val="bottom"/>
          </w:tcPr>
          <w:p w14:paraId="54545E6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Cohort</w:t>
            </w:r>
          </w:p>
        </w:tc>
        <w:tc>
          <w:tcPr>
            <w:tcW w:w="839" w:type="pct"/>
            <w:tcBorders>
              <w:bottom w:val="single" w:sz="12" w:space="0" w:color="auto"/>
            </w:tcBorders>
            <w:shd w:val="clear" w:color="auto" w:fill="FFFFFF"/>
            <w:tcMar>
              <w:top w:w="0" w:type="dxa"/>
              <w:left w:w="0" w:type="dxa"/>
              <w:bottom w:w="0" w:type="dxa"/>
              <w:right w:w="0" w:type="dxa"/>
            </w:tcMar>
            <w:vAlign w:val="bottom"/>
          </w:tcPr>
          <w:p w14:paraId="43B6818A"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Weight loss</w:t>
            </w:r>
          </w:p>
        </w:tc>
        <w:tc>
          <w:tcPr>
            <w:tcW w:w="291" w:type="pct"/>
            <w:tcBorders>
              <w:bottom w:val="single" w:sz="12" w:space="0" w:color="auto"/>
            </w:tcBorders>
            <w:shd w:val="clear" w:color="auto" w:fill="FFFFFF"/>
            <w:tcMar>
              <w:top w:w="0" w:type="dxa"/>
              <w:left w:w="0" w:type="dxa"/>
              <w:bottom w:w="0" w:type="dxa"/>
              <w:right w:w="0" w:type="dxa"/>
            </w:tcMar>
            <w:vAlign w:val="bottom"/>
          </w:tcPr>
          <w:p w14:paraId="4B946918"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9918</w:t>
            </w:r>
          </w:p>
        </w:tc>
        <w:tc>
          <w:tcPr>
            <w:tcW w:w="299" w:type="pct"/>
            <w:tcBorders>
              <w:bottom w:val="single" w:sz="12" w:space="0" w:color="auto"/>
            </w:tcBorders>
            <w:shd w:val="clear" w:color="auto" w:fill="FFFFFF"/>
            <w:tcMar>
              <w:top w:w="0" w:type="dxa"/>
              <w:left w:w="0" w:type="dxa"/>
              <w:bottom w:w="0" w:type="dxa"/>
              <w:right w:w="0" w:type="dxa"/>
            </w:tcMar>
            <w:vAlign w:val="bottom"/>
          </w:tcPr>
          <w:p w14:paraId="17908F05"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51-75%</w:t>
            </w:r>
          </w:p>
        </w:tc>
        <w:tc>
          <w:tcPr>
            <w:tcW w:w="539" w:type="pct"/>
            <w:tcBorders>
              <w:bottom w:val="single" w:sz="12" w:space="0" w:color="auto"/>
            </w:tcBorders>
            <w:shd w:val="clear" w:color="auto" w:fill="FFFFFF"/>
            <w:tcMar>
              <w:top w:w="0" w:type="dxa"/>
              <w:left w:w="0" w:type="dxa"/>
              <w:bottom w:w="0" w:type="dxa"/>
              <w:right w:w="0" w:type="dxa"/>
            </w:tcMar>
            <w:vAlign w:val="bottom"/>
          </w:tcPr>
          <w:p w14:paraId="1FCB695E"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Children without weight loss</w:t>
            </w:r>
          </w:p>
        </w:tc>
        <w:tc>
          <w:tcPr>
            <w:tcW w:w="603" w:type="pct"/>
            <w:tcBorders>
              <w:bottom w:val="single" w:sz="12" w:space="0" w:color="auto"/>
            </w:tcBorders>
            <w:shd w:val="clear" w:color="auto" w:fill="FFFFFF"/>
            <w:tcMar>
              <w:top w:w="0" w:type="dxa"/>
              <w:left w:w="0" w:type="dxa"/>
              <w:bottom w:w="0" w:type="dxa"/>
              <w:right w:w="0" w:type="dxa"/>
            </w:tcMar>
            <w:vAlign w:val="bottom"/>
          </w:tcPr>
          <w:p w14:paraId="5995F79D"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tTG positive</w:t>
            </w:r>
          </w:p>
        </w:tc>
        <w:tc>
          <w:tcPr>
            <w:tcW w:w="407" w:type="pct"/>
            <w:tcBorders>
              <w:bottom w:val="single" w:sz="12" w:space="0" w:color="auto"/>
            </w:tcBorders>
            <w:shd w:val="clear" w:color="auto" w:fill="FFFFFF"/>
            <w:tcMar>
              <w:top w:w="0" w:type="dxa"/>
              <w:left w:w="0" w:type="dxa"/>
              <w:bottom w:w="0" w:type="dxa"/>
              <w:right w:w="0" w:type="dxa"/>
            </w:tcMar>
            <w:vAlign w:val="bottom"/>
          </w:tcPr>
          <w:p w14:paraId="69493247"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Secondary</w:t>
            </w:r>
          </w:p>
        </w:tc>
        <w:tc>
          <w:tcPr>
            <w:tcW w:w="392" w:type="pct"/>
            <w:tcBorders>
              <w:bottom w:val="single" w:sz="12" w:space="0" w:color="auto"/>
            </w:tcBorders>
            <w:shd w:val="clear" w:color="auto" w:fill="FFFFFF"/>
            <w:tcMar>
              <w:top w:w="0" w:type="dxa"/>
              <w:left w:w="0" w:type="dxa"/>
              <w:bottom w:w="0" w:type="dxa"/>
              <w:right w:w="0" w:type="dxa"/>
            </w:tcMar>
            <w:vAlign w:val="bottom"/>
          </w:tcPr>
          <w:p w14:paraId="381AAB61" w14:textId="77777777"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t>US</w:t>
            </w:r>
          </w:p>
        </w:tc>
        <w:tc>
          <w:tcPr>
            <w:tcW w:w="370" w:type="pct"/>
            <w:tcBorders>
              <w:bottom w:val="single" w:sz="12" w:space="0" w:color="auto"/>
            </w:tcBorders>
            <w:shd w:val="clear" w:color="auto" w:fill="FFFFFF"/>
            <w:tcMar>
              <w:top w:w="0" w:type="dxa"/>
              <w:left w:w="0" w:type="dxa"/>
              <w:bottom w:w="0" w:type="dxa"/>
              <w:right w:w="0" w:type="dxa"/>
            </w:tcMar>
            <w:vAlign w:val="bottom"/>
          </w:tcPr>
          <w:p w14:paraId="722D7D0E" w14:textId="5B5A0342" w:rsidR="007B756D" w:rsidRPr="00734942" w:rsidRDefault="007B756D" w:rsidP="006658D1">
            <w:pPr>
              <w:spacing w:before="40" w:after="40"/>
              <w:ind w:left="100" w:right="100"/>
              <w:rPr>
                <w:rFonts w:ascii="Arial" w:eastAsia="Arial" w:hAnsi="Arial" w:cs="Arial"/>
                <w:color w:val="111111"/>
                <w:sz w:val="18"/>
                <w:szCs w:val="18"/>
              </w:rPr>
            </w:pPr>
            <w:r w:rsidRPr="00734942">
              <w:rPr>
                <w:rFonts w:ascii="Arial" w:eastAsia="Arial" w:hAnsi="Arial" w:cs="Arial"/>
                <w:color w:val="111111"/>
                <w:sz w:val="18"/>
                <w:szCs w:val="18"/>
              </w:rPr>
              <w:fldChar w:fldCharType="begin"/>
            </w:r>
            <w:r w:rsidR="00031047">
              <w:rPr>
                <w:rFonts w:ascii="Arial" w:eastAsia="Arial" w:hAnsi="Arial" w:cs="Arial"/>
                <w:color w:val="111111"/>
                <w:sz w:val="18"/>
                <w:szCs w:val="18"/>
              </w:rPr>
              <w:instrText xml:space="preserve"> ADDIN EN.CITE &lt;EndNote&gt;&lt;Cite ExcludeAuth="1" ExcludeYear="1"&gt;&lt;Author&gt;Stahl&lt;/Author&gt;&lt;Year&gt;2021&lt;/Year&gt;&lt;RecNum&gt;138&lt;/RecNum&gt;&lt;DisplayText&gt;&lt;style face="superscript"&gt;305&lt;/style&gt;&lt;/DisplayText&gt;&lt;record&gt;&lt;rec-number&gt;138&lt;/rec-number&gt;&lt;foreign-keys&gt;&lt;key app="EN" db-id="tdwrx9xd1z9eepeevr355w2k959rv0f5zaax" timestamp="1632756122"&gt;138&lt;/key&gt;&lt;/foreign-keys&gt;&lt;ref-type name="Journal Article"&gt;17&lt;/ref-type&gt;&lt;contributors&gt;&lt;authors&gt;&lt;author&gt;Stahl, M. G.&lt;/author&gt;&lt;author&gt;Rasmussen, C. G.&lt;/author&gt;&lt;author&gt;Dong, F.&lt;/author&gt;&lt;author&gt;Waugh, K.&lt;/author&gt;&lt;author&gt;Norris, J. M.&lt;/author&gt;&lt;author&gt;Baxter, J.&lt;/author&gt;&lt;author&gt;Yu, L. P.&lt;/author&gt;&lt;author&gt;Steck, A. K.&lt;/author&gt;&lt;author&gt;Frohnert, B. I.&lt;/author&gt;&lt;author&gt;Liu, E.&lt;/author&gt;&lt;author&gt;Rewers, M. J.&lt;/author&gt;&lt;author&gt;Grp, A. S. K. Study&lt;/author&gt;&lt;/authors&gt;&lt;/contributors&gt;&lt;titles&gt;&lt;title&gt;Mass Screening for Celiac Disease: The Autoimmunity Screening for Kids Study&lt;/title&gt;&lt;secondary-title&gt;American Journal of Gastroenterology&lt;/secondary-title&gt;&lt;short-title&gt;Mass Screening for Celiac Disease: The Autoimmunity Screening for Kids Study&lt;/short-title&gt;&lt;/titles&gt;&lt;periodical&gt;&lt;full-title&gt;American Journal of Gastroenterology&lt;/full-title&gt;&lt;/periodical&gt;&lt;pages&gt;180-187&lt;/pages&gt;&lt;volume&gt;116&lt;/volume&gt;&lt;number&gt;1&lt;/number&gt;&lt;dates&gt;&lt;year&gt;2021&lt;/year&gt;&lt;pub-dates&gt;&lt;date&gt;Jan&lt;/date&gt;&lt;/pub-dates&gt;&lt;/dates&gt;&lt;isbn&gt;0002-9270&lt;/isbn&gt;&lt;accession-num&gt;WOS:000607726100027&lt;/accession-num&gt;&lt;urls&gt;&lt;/urls&gt;&lt;electronic-resource-num&gt;10.14309/ajg.0000000000000751&lt;/electronic-resource-num&gt;&lt;remote-database-name&gt;WoS (SCI, CPCI-S )&lt;/remote-database-name&gt;&lt;/record&gt;&lt;/Cite&gt;&lt;/EndNote&gt;</w:instrText>
            </w:r>
            <w:r w:rsidRPr="00734942">
              <w:rPr>
                <w:rFonts w:ascii="Arial" w:eastAsia="Arial" w:hAnsi="Arial" w:cs="Arial"/>
                <w:color w:val="111111"/>
                <w:sz w:val="18"/>
                <w:szCs w:val="18"/>
              </w:rPr>
              <w:fldChar w:fldCharType="separate"/>
            </w:r>
            <w:r w:rsidR="00031047" w:rsidRPr="00031047">
              <w:rPr>
                <w:rFonts w:ascii="Arial" w:eastAsia="Arial" w:hAnsi="Arial" w:cs="Arial"/>
                <w:noProof/>
                <w:color w:val="111111"/>
                <w:sz w:val="18"/>
                <w:szCs w:val="18"/>
                <w:vertAlign w:val="superscript"/>
              </w:rPr>
              <w:t>305</w:t>
            </w:r>
            <w:r w:rsidRPr="00734942">
              <w:rPr>
                <w:rFonts w:ascii="Arial" w:eastAsia="Arial" w:hAnsi="Arial" w:cs="Arial"/>
                <w:color w:val="111111"/>
                <w:sz w:val="18"/>
                <w:szCs w:val="18"/>
              </w:rPr>
              <w:fldChar w:fldCharType="end"/>
            </w:r>
          </w:p>
        </w:tc>
      </w:tr>
    </w:tbl>
    <w:p w14:paraId="2916BBFB" w14:textId="77777777" w:rsidR="007B756D" w:rsidRPr="00734942" w:rsidRDefault="007B756D" w:rsidP="007B756D">
      <w:pPr>
        <w:rPr>
          <w:rFonts w:ascii="Calibri" w:hAnsi="Calibri" w:cs="Calibri"/>
        </w:rPr>
      </w:pPr>
    </w:p>
    <w:p w14:paraId="74950630" w14:textId="77777777" w:rsidR="00837ED2" w:rsidRPr="00734942" w:rsidRDefault="00837ED2" w:rsidP="007B756D">
      <w:pPr>
        <w:rPr>
          <w:rFonts w:ascii="Calibri" w:hAnsi="Calibri" w:cs="Calibri"/>
        </w:rPr>
        <w:sectPr w:rsidR="00837ED2" w:rsidRPr="00734942" w:rsidSect="00837ED2">
          <w:pgSz w:w="16838" w:h="11906" w:orient="landscape"/>
          <w:pgMar w:top="1440" w:right="1440" w:bottom="1440" w:left="1440" w:header="709" w:footer="709" w:gutter="0"/>
          <w:cols w:space="708"/>
          <w:docGrid w:linePitch="360"/>
        </w:sectPr>
      </w:pPr>
    </w:p>
    <w:p w14:paraId="66F84DEA" w14:textId="77777777" w:rsidR="00BC32E9" w:rsidRDefault="00BC32E9" w:rsidP="00BC32E9">
      <w:pPr>
        <w:pStyle w:val="Heading2"/>
      </w:pPr>
      <w:bookmarkStart w:id="394" w:name="_Toc99539926"/>
      <w:bookmarkStart w:id="395" w:name="_Ref83904592"/>
      <w:bookmarkStart w:id="396" w:name="_Ref86164871"/>
      <w:bookmarkStart w:id="397" w:name="_Ref87617948"/>
      <w:bookmarkEnd w:id="346"/>
      <w:r>
        <w:lastRenderedPageBreak/>
        <w:t>Appendix 5</w:t>
      </w:r>
      <w:bookmarkEnd w:id="394"/>
    </w:p>
    <w:p w14:paraId="5ED1E891" w14:textId="77777777" w:rsidR="00BC32E9" w:rsidRPr="00734942" w:rsidRDefault="00BC32E9" w:rsidP="00BC32E9">
      <w:pPr>
        <w:pStyle w:val="ListParagraph"/>
        <w:numPr>
          <w:ilvl w:val="0"/>
          <w:numId w:val="34"/>
        </w:numPr>
      </w:pPr>
      <w:r w:rsidRPr="00734942">
        <w:t>Symptoms</w:t>
      </w:r>
    </w:p>
    <w:p w14:paraId="35D3E55B" w14:textId="77777777" w:rsidR="00BC32E9" w:rsidRDefault="00BC32E9" w:rsidP="00BC32E9">
      <w:r w:rsidRPr="001253C3">
        <w:rPr>
          <w:noProof/>
        </w:rPr>
        <w:drawing>
          <wp:inline distT="0" distB="0" distL="0" distR="0" wp14:anchorId="5D0E9029" wp14:editId="12BD5375">
            <wp:extent cx="5731510" cy="2609850"/>
            <wp:effectExtent l="0" t="0" r="2540" b="0"/>
            <wp:docPr id="97" name="Picture 5" descr="Chart, timeline, bar chart&#10;&#10;Description automatically generated">
              <a:extLst xmlns:a="http://schemas.openxmlformats.org/drawingml/2006/main">
                <a:ext uri="{FF2B5EF4-FFF2-40B4-BE49-F238E27FC236}">
                  <a16:creationId xmlns:a16="http://schemas.microsoft.com/office/drawing/2014/main" id="{DA5E0508-52AE-49DC-9862-2A7FBCFF2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5" descr="Chart, timeline, bar chart&#10;&#10;Description automatically generated">
                      <a:extLst>
                        <a:ext uri="{FF2B5EF4-FFF2-40B4-BE49-F238E27FC236}">
                          <a16:creationId xmlns:a16="http://schemas.microsoft.com/office/drawing/2014/main" id="{DA5E0508-52AE-49DC-9862-2A7FBCFF247A}"/>
                        </a:ext>
                      </a:extLst>
                    </pic:cNvPr>
                    <pic:cNvPicPr>
                      <a:picLocks noChangeAspect="1"/>
                    </pic:cNvPicPr>
                  </pic:nvPicPr>
                  <pic:blipFill rotWithShape="1">
                    <a:blip r:embed="rId409"/>
                    <a:srcRect b="47962"/>
                    <a:stretch/>
                  </pic:blipFill>
                  <pic:spPr bwMode="auto">
                    <a:xfrm>
                      <a:off x="0" y="0"/>
                      <a:ext cx="5731510" cy="2609850"/>
                    </a:xfrm>
                    <a:prstGeom prst="rect">
                      <a:avLst/>
                    </a:prstGeom>
                    <a:ln>
                      <a:noFill/>
                    </a:ln>
                    <a:extLst>
                      <a:ext uri="{53640926-AAD7-44D8-BBD7-CCE9431645EC}">
                        <a14:shadowObscured xmlns:a14="http://schemas.microsoft.com/office/drawing/2010/main"/>
                      </a:ext>
                    </a:extLst>
                  </pic:spPr>
                </pic:pic>
              </a:graphicData>
            </a:graphic>
          </wp:inline>
        </w:drawing>
      </w:r>
    </w:p>
    <w:p w14:paraId="1D12B65E" w14:textId="77777777" w:rsidR="00BC32E9" w:rsidRPr="00734942" w:rsidRDefault="00BC32E9" w:rsidP="00BC32E9">
      <w:r w:rsidRPr="001253C3">
        <w:rPr>
          <w:noProof/>
        </w:rPr>
        <w:drawing>
          <wp:inline distT="0" distB="0" distL="0" distR="0" wp14:anchorId="04376BD3" wp14:editId="5D303998">
            <wp:extent cx="5731510" cy="2348230"/>
            <wp:effectExtent l="0" t="0" r="2540" b="0"/>
            <wp:docPr id="98" name="Picture 5" descr="Chart, timeline, bar chart&#10;&#10;Description automatically generated">
              <a:extLst xmlns:a="http://schemas.openxmlformats.org/drawingml/2006/main">
                <a:ext uri="{FF2B5EF4-FFF2-40B4-BE49-F238E27FC236}">
                  <a16:creationId xmlns:a16="http://schemas.microsoft.com/office/drawing/2014/main" id="{DA5E0508-52AE-49DC-9862-2A7FBCFF2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5" descr="Chart, timeline, bar chart&#10;&#10;Description automatically generated">
                      <a:extLst>
                        <a:ext uri="{FF2B5EF4-FFF2-40B4-BE49-F238E27FC236}">
                          <a16:creationId xmlns:a16="http://schemas.microsoft.com/office/drawing/2014/main" id="{DA5E0508-52AE-49DC-9862-2A7FBCFF247A}"/>
                        </a:ext>
                      </a:extLst>
                    </pic:cNvPr>
                    <pic:cNvPicPr>
                      <a:picLocks noChangeAspect="1"/>
                    </pic:cNvPicPr>
                  </pic:nvPicPr>
                  <pic:blipFill rotWithShape="1">
                    <a:blip r:embed="rId409"/>
                    <a:srcRect t="53178"/>
                    <a:stretch/>
                  </pic:blipFill>
                  <pic:spPr bwMode="auto">
                    <a:xfrm>
                      <a:off x="0" y="0"/>
                      <a:ext cx="5731510" cy="2348230"/>
                    </a:xfrm>
                    <a:prstGeom prst="rect">
                      <a:avLst/>
                    </a:prstGeom>
                    <a:ln>
                      <a:noFill/>
                    </a:ln>
                    <a:extLst>
                      <a:ext uri="{53640926-AAD7-44D8-BBD7-CCE9431645EC}">
                        <a14:shadowObscured xmlns:a14="http://schemas.microsoft.com/office/drawing/2010/main"/>
                      </a:ext>
                    </a:extLst>
                  </pic:spPr>
                </pic:pic>
              </a:graphicData>
            </a:graphic>
          </wp:inline>
        </w:drawing>
      </w:r>
    </w:p>
    <w:p w14:paraId="71EAF39C" w14:textId="77777777" w:rsidR="00BC32E9" w:rsidRPr="00734942" w:rsidRDefault="00BC32E9" w:rsidP="00BC32E9">
      <w:pPr>
        <w:pStyle w:val="ListParagraph"/>
        <w:numPr>
          <w:ilvl w:val="0"/>
          <w:numId w:val="34"/>
        </w:numPr>
      </w:pPr>
      <w:r w:rsidRPr="00734942">
        <w:t>Risk conditions</w:t>
      </w:r>
    </w:p>
    <w:p w14:paraId="5D90A21A" w14:textId="77777777" w:rsidR="00BC32E9" w:rsidRDefault="00BC32E9" w:rsidP="00BC32E9">
      <w:pPr>
        <w:pStyle w:val="ListParagraph"/>
        <w:ind w:left="0"/>
      </w:pPr>
      <w:r w:rsidRPr="00FC1C9B">
        <w:rPr>
          <w:noProof/>
        </w:rPr>
        <w:lastRenderedPageBreak/>
        <w:drawing>
          <wp:inline distT="0" distB="0" distL="0" distR="0" wp14:anchorId="1E1E620C" wp14:editId="0EA43A6F">
            <wp:extent cx="5731510" cy="5015230"/>
            <wp:effectExtent l="0" t="0" r="2540" b="0"/>
            <wp:docPr id="99" name="Picture 4" descr="Chart, timeline&#10;&#10;Description automatically generated">
              <a:extLst xmlns:a="http://schemas.openxmlformats.org/drawingml/2006/main">
                <a:ext uri="{FF2B5EF4-FFF2-40B4-BE49-F238E27FC236}">
                  <a16:creationId xmlns:a16="http://schemas.microsoft.com/office/drawing/2014/main" id="{35277660-8CFC-4A82-B9FC-391B967C3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4" descr="Chart, timeline&#10;&#10;Description automatically generated">
                      <a:extLst>
                        <a:ext uri="{FF2B5EF4-FFF2-40B4-BE49-F238E27FC236}">
                          <a16:creationId xmlns:a16="http://schemas.microsoft.com/office/drawing/2014/main" id="{35277660-8CFC-4A82-B9FC-391B967C38E4}"/>
                        </a:ext>
                      </a:extLst>
                    </pic:cNvPr>
                    <pic:cNvPicPr>
                      <a:picLocks noChangeAspect="1"/>
                    </pic:cNvPicPr>
                  </pic:nvPicPr>
                  <pic:blipFill>
                    <a:blip r:embed="rId410"/>
                    <a:stretch>
                      <a:fillRect/>
                    </a:stretch>
                  </pic:blipFill>
                  <pic:spPr>
                    <a:xfrm>
                      <a:off x="0" y="0"/>
                      <a:ext cx="5731510" cy="5015230"/>
                    </a:xfrm>
                    <a:prstGeom prst="rect">
                      <a:avLst/>
                    </a:prstGeom>
                  </pic:spPr>
                </pic:pic>
              </a:graphicData>
            </a:graphic>
          </wp:inline>
        </w:drawing>
      </w:r>
    </w:p>
    <w:p w14:paraId="10A7B828" w14:textId="77777777" w:rsidR="00BC32E9" w:rsidRDefault="00BC32E9" w:rsidP="00BC32E9">
      <w:pPr>
        <w:pStyle w:val="ListParagraph"/>
        <w:ind w:left="0"/>
      </w:pPr>
      <w:r w:rsidRPr="00FC1C9B">
        <w:rPr>
          <w:noProof/>
        </w:rPr>
        <w:lastRenderedPageBreak/>
        <w:drawing>
          <wp:inline distT="0" distB="0" distL="0" distR="0" wp14:anchorId="4D626028" wp14:editId="520FC256">
            <wp:extent cx="5731510" cy="4714875"/>
            <wp:effectExtent l="0" t="0" r="2540" b="9525"/>
            <wp:docPr id="100" name="Picture 4" descr="Timeline&#10;&#10;Description automatically generated">
              <a:extLst xmlns:a="http://schemas.openxmlformats.org/drawingml/2006/main">
                <a:ext uri="{FF2B5EF4-FFF2-40B4-BE49-F238E27FC236}">
                  <a16:creationId xmlns:a16="http://schemas.microsoft.com/office/drawing/2014/main" id="{A89DA6F6-3543-4979-8EB5-0794B5B56A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4" descr="Timeline&#10;&#10;Description automatically generated">
                      <a:extLst>
                        <a:ext uri="{FF2B5EF4-FFF2-40B4-BE49-F238E27FC236}">
                          <a16:creationId xmlns:a16="http://schemas.microsoft.com/office/drawing/2014/main" id="{A89DA6F6-3543-4979-8EB5-0794B5B56AD2}"/>
                        </a:ext>
                      </a:extLst>
                    </pic:cNvPr>
                    <pic:cNvPicPr>
                      <a:picLocks noChangeAspect="1"/>
                    </pic:cNvPicPr>
                  </pic:nvPicPr>
                  <pic:blipFill rotWithShape="1">
                    <a:blip r:embed="rId411"/>
                    <a:srcRect b="5989"/>
                    <a:stretch/>
                  </pic:blipFill>
                  <pic:spPr bwMode="auto">
                    <a:xfrm>
                      <a:off x="0" y="0"/>
                      <a:ext cx="5731510" cy="4714875"/>
                    </a:xfrm>
                    <a:prstGeom prst="rect">
                      <a:avLst/>
                    </a:prstGeom>
                    <a:ln>
                      <a:noFill/>
                    </a:ln>
                    <a:extLst>
                      <a:ext uri="{53640926-AAD7-44D8-BBD7-CCE9431645EC}">
                        <a14:shadowObscured xmlns:a14="http://schemas.microsoft.com/office/drawing/2010/main"/>
                      </a:ext>
                    </a:extLst>
                  </pic:spPr>
                </pic:pic>
              </a:graphicData>
            </a:graphic>
          </wp:inline>
        </w:drawing>
      </w:r>
    </w:p>
    <w:p w14:paraId="0D50A1EA" w14:textId="77777777" w:rsidR="00BC32E9" w:rsidRPr="00734942" w:rsidRDefault="00BC32E9" w:rsidP="00BC32E9">
      <w:pPr>
        <w:pStyle w:val="ListParagraph"/>
        <w:ind w:left="0"/>
      </w:pPr>
      <w:r>
        <w:rPr>
          <w:noProof/>
        </w:rPr>
        <w:drawing>
          <wp:inline distT="0" distB="0" distL="0" distR="0" wp14:anchorId="419F34FC" wp14:editId="13C075ED">
            <wp:extent cx="2971800" cy="1250115"/>
            <wp:effectExtent l="0" t="0" r="0" b="7620"/>
            <wp:docPr id="101" name="Picture 5"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1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81543494-D16A-43BD-B49C-83EC6685C658}"/>
                        </a:ext>
                      </a:extLst>
                    </a:blip>
                    <a:srcRect t="4926" r="48522" b="70326"/>
                    <a:stretch>
                      <a:fillRect/>
                    </a:stretch>
                  </pic:blipFill>
                  <pic:spPr>
                    <a:xfrm>
                      <a:off x="0" y="0"/>
                      <a:ext cx="2971800" cy="1250115"/>
                    </a:xfrm>
                    <a:prstGeom prst="rect">
                      <a:avLst/>
                    </a:prstGeom>
                  </pic:spPr>
                </pic:pic>
              </a:graphicData>
            </a:graphic>
          </wp:inline>
        </w:drawing>
      </w:r>
    </w:p>
    <w:p w14:paraId="69603724" w14:textId="77777777" w:rsidR="00BC32E9" w:rsidRPr="00734942" w:rsidRDefault="00BC32E9" w:rsidP="00BC32E9">
      <w:pPr>
        <w:pStyle w:val="ListParagraph"/>
        <w:numPr>
          <w:ilvl w:val="0"/>
          <w:numId w:val="34"/>
        </w:numPr>
      </w:pPr>
      <w:r>
        <w:t>Family history</w:t>
      </w:r>
    </w:p>
    <w:p w14:paraId="2B305591" w14:textId="77777777" w:rsidR="00BC32E9" w:rsidRPr="00734942" w:rsidRDefault="00BC32E9" w:rsidP="00BC32E9">
      <w:r>
        <w:rPr>
          <w:noProof/>
        </w:rPr>
        <w:drawing>
          <wp:inline distT="0" distB="0" distL="0" distR="0" wp14:anchorId="5978B86C" wp14:editId="0747F156">
            <wp:extent cx="2914650" cy="1316123"/>
            <wp:effectExtent l="0" t="0" r="0" b="0"/>
            <wp:docPr id="102" name="Picture 4"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4" descr="Bar chart&#10;&#10;Description automatically generated with low confidence"/>
                    <pic:cNvPicPr/>
                  </pic:nvPicPr>
                  <pic:blipFill>
                    <a:blip r:embed="rId41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A45F9AF7-B630-45AE-A79A-CEC31ABCB21F}"/>
                        </a:ext>
                      </a:extLst>
                    </a:blip>
                    <a:srcRect l="52044" t="4677" b="70574"/>
                    <a:stretch>
                      <a:fillRect/>
                    </a:stretch>
                  </pic:blipFill>
                  <pic:spPr>
                    <a:xfrm>
                      <a:off x="0" y="0"/>
                      <a:ext cx="2914650" cy="1316123"/>
                    </a:xfrm>
                    <a:prstGeom prst="rect">
                      <a:avLst/>
                    </a:prstGeom>
                  </pic:spPr>
                </pic:pic>
              </a:graphicData>
            </a:graphic>
          </wp:inline>
        </w:drawing>
      </w:r>
    </w:p>
    <w:p w14:paraId="784F6E52" w14:textId="7F1E8A70" w:rsidR="00BC32E9" w:rsidRPr="00734942" w:rsidRDefault="00BC32E9" w:rsidP="00BC32E9">
      <w:pPr>
        <w:pStyle w:val="Caption"/>
      </w:pPr>
      <w:bookmarkStart w:id="398" w:name="_Ref99542538"/>
      <w:bookmarkStart w:id="399" w:name="_Toc99720808"/>
      <w:r w:rsidRPr="00734942">
        <w:t xml:space="preserve">Figure </w:t>
      </w:r>
      <w:r>
        <w:fldChar w:fldCharType="begin"/>
      </w:r>
      <w:r>
        <w:instrText>SEQ Figure \* ARABIC</w:instrText>
      </w:r>
      <w:r>
        <w:fldChar w:fldCharType="separate"/>
      </w:r>
      <w:r w:rsidR="008B5583">
        <w:rPr>
          <w:noProof/>
        </w:rPr>
        <w:t>27</w:t>
      </w:r>
      <w:r>
        <w:fldChar w:fldCharType="end"/>
      </w:r>
      <w:bookmarkEnd w:id="398"/>
      <w:r w:rsidRPr="00734942">
        <w:t xml:space="preserve"> Summary graphs of risk of bias</w:t>
      </w:r>
      <w:bookmarkEnd w:id="399"/>
    </w:p>
    <w:p w14:paraId="1A48270B" w14:textId="77777777" w:rsidR="00BC32E9" w:rsidRPr="00734942" w:rsidRDefault="00BC32E9" w:rsidP="00BC32E9">
      <w:pPr>
        <w:rPr>
          <w:sz w:val="14"/>
          <w:szCs w:val="14"/>
        </w:rPr>
      </w:pPr>
      <w:r w:rsidRPr="00734942">
        <w:rPr>
          <w:sz w:val="18"/>
          <w:szCs w:val="18"/>
        </w:rPr>
        <w:t xml:space="preserve">Each of the bars represent 100% of the studies per indicator. </w:t>
      </w:r>
    </w:p>
    <w:p w14:paraId="5741BA31" w14:textId="77777777" w:rsidR="00BC32E9" w:rsidRDefault="00BC32E9" w:rsidP="00D5616E">
      <w:pPr>
        <w:pStyle w:val="Heading2"/>
        <w:sectPr w:rsidR="00BC32E9" w:rsidSect="000526F1">
          <w:pgSz w:w="11906" w:h="16838"/>
          <w:pgMar w:top="1440" w:right="1440" w:bottom="1440" w:left="1440" w:header="709" w:footer="709" w:gutter="0"/>
          <w:cols w:space="708"/>
          <w:docGrid w:linePitch="360"/>
        </w:sectPr>
      </w:pPr>
    </w:p>
    <w:p w14:paraId="09904AEC" w14:textId="291E33EA" w:rsidR="005F0099" w:rsidRPr="00734942" w:rsidRDefault="0003670E" w:rsidP="00D5616E">
      <w:pPr>
        <w:pStyle w:val="Heading2"/>
      </w:pPr>
      <w:bookmarkStart w:id="400" w:name="_Toc99539927"/>
      <w:r w:rsidRPr="00734942">
        <w:lastRenderedPageBreak/>
        <w:t xml:space="preserve">Appendix </w:t>
      </w:r>
      <w:bookmarkEnd w:id="395"/>
      <w:bookmarkEnd w:id="396"/>
      <w:bookmarkEnd w:id="397"/>
      <w:r w:rsidR="00B05891">
        <w:t>6</w:t>
      </w:r>
      <w:bookmarkEnd w:id="400"/>
    </w:p>
    <w:p w14:paraId="74623CE7" w14:textId="5CE2F2FA" w:rsidR="0003670E" w:rsidRPr="00734942" w:rsidRDefault="004167FB" w:rsidP="005F0099">
      <w:pPr>
        <w:pStyle w:val="Heading3"/>
      </w:pPr>
      <w:bookmarkStart w:id="401" w:name="_Toc99539928"/>
      <w:r w:rsidRPr="00734942">
        <w:t>Forest plots of sensitivity and specificity per diagnostic indicator</w:t>
      </w:r>
      <w:bookmarkEnd w:id="401"/>
    </w:p>
    <w:p w14:paraId="3FA151F9" w14:textId="02A67C36" w:rsidR="00C51882" w:rsidRPr="00734942" w:rsidRDefault="00357B0B" w:rsidP="00357B0B">
      <w:pPr>
        <w:pStyle w:val="Heading3"/>
        <w:numPr>
          <w:ilvl w:val="0"/>
          <w:numId w:val="39"/>
        </w:numPr>
      </w:pPr>
      <w:bookmarkStart w:id="402" w:name="_Toc65244984"/>
      <w:bookmarkStart w:id="403" w:name="_Toc65245017"/>
      <w:bookmarkStart w:id="404" w:name="_Toc99539929"/>
      <w:r w:rsidRPr="00734942">
        <w:t>Symptoms</w:t>
      </w:r>
      <w:bookmarkEnd w:id="402"/>
      <w:bookmarkEnd w:id="403"/>
      <w:bookmarkEnd w:id="404"/>
    </w:p>
    <w:p w14:paraId="64819810" w14:textId="77777777" w:rsidR="00355533" w:rsidRDefault="00C51882" w:rsidP="000526F1">
      <w:pPr>
        <w:keepNext/>
      </w:pPr>
      <w:r w:rsidRPr="00734942">
        <w:rPr>
          <w:noProof/>
        </w:rPr>
        <w:drawing>
          <wp:inline distT="0" distB="0" distL="0" distR="0" wp14:anchorId="6FFEB8A3" wp14:editId="667A92E6">
            <wp:extent cx="8682681" cy="4685338"/>
            <wp:effectExtent l="0" t="0" r="4445" b="1270"/>
            <wp:docPr id="16" name="Picture 1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ox and whisker chart&#10;&#10;Description automatically generated"/>
                    <pic:cNvPicPr/>
                  </pic:nvPicPr>
                  <pic:blipFill>
                    <a:blip r:embed="rId413"/>
                    <a:stretch>
                      <a:fillRect/>
                    </a:stretch>
                  </pic:blipFill>
                  <pic:spPr>
                    <a:xfrm>
                      <a:off x="0" y="0"/>
                      <a:ext cx="8685541" cy="4686881"/>
                    </a:xfrm>
                    <a:prstGeom prst="rect">
                      <a:avLst/>
                    </a:prstGeom>
                  </pic:spPr>
                </pic:pic>
              </a:graphicData>
            </a:graphic>
          </wp:inline>
        </w:drawing>
      </w:r>
    </w:p>
    <w:p w14:paraId="2AD289A9" w14:textId="65635781" w:rsidR="00C51882" w:rsidRPr="00734942" w:rsidRDefault="00355533" w:rsidP="000526F1">
      <w:pPr>
        <w:pStyle w:val="Caption"/>
      </w:pPr>
      <w:bookmarkStart w:id="405" w:name="_Toc99720809"/>
      <w:r>
        <w:t xml:space="preserve">Figure </w:t>
      </w:r>
      <w:r w:rsidR="00C34531">
        <w:fldChar w:fldCharType="begin"/>
      </w:r>
      <w:r w:rsidR="00C34531">
        <w:instrText xml:space="preserve"> SEQ Figure \* ARABIC </w:instrText>
      </w:r>
      <w:r w:rsidR="00C34531">
        <w:fldChar w:fldCharType="separate"/>
      </w:r>
      <w:r w:rsidR="008B5583">
        <w:rPr>
          <w:noProof/>
        </w:rPr>
        <w:t>28</w:t>
      </w:r>
      <w:r w:rsidR="00C34531">
        <w:rPr>
          <w:noProof/>
        </w:rPr>
        <w:fldChar w:fldCharType="end"/>
      </w:r>
      <w:r>
        <w:t xml:space="preserve"> Forest plot abdominal pain</w:t>
      </w:r>
      <w:bookmarkEnd w:id="405"/>
    </w:p>
    <w:p w14:paraId="25D2813F" w14:textId="77777777" w:rsidR="00355533" w:rsidRDefault="00C51882" w:rsidP="000526F1">
      <w:pPr>
        <w:keepNext/>
      </w:pPr>
      <w:r w:rsidRPr="00734942">
        <w:rPr>
          <w:noProof/>
        </w:rPr>
        <w:lastRenderedPageBreak/>
        <w:drawing>
          <wp:inline distT="0" distB="0" distL="0" distR="0" wp14:anchorId="46F41712" wp14:editId="1D25F17F">
            <wp:extent cx="8700448" cy="3480179"/>
            <wp:effectExtent l="0" t="0" r="5715" b="6350"/>
            <wp:docPr id="22" name="Picture 2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ox and whisker chart&#10;&#10;Description automatically generated"/>
                    <pic:cNvPicPr/>
                  </pic:nvPicPr>
                  <pic:blipFill>
                    <a:blip r:embed="rId414"/>
                    <a:stretch>
                      <a:fillRect/>
                    </a:stretch>
                  </pic:blipFill>
                  <pic:spPr>
                    <a:xfrm>
                      <a:off x="0" y="0"/>
                      <a:ext cx="8715735" cy="3486294"/>
                    </a:xfrm>
                    <a:prstGeom prst="rect">
                      <a:avLst/>
                    </a:prstGeom>
                  </pic:spPr>
                </pic:pic>
              </a:graphicData>
            </a:graphic>
          </wp:inline>
        </w:drawing>
      </w:r>
    </w:p>
    <w:p w14:paraId="69F7E7D1" w14:textId="76176A5F" w:rsidR="00C51882" w:rsidRPr="00734942" w:rsidRDefault="00355533" w:rsidP="000526F1">
      <w:pPr>
        <w:pStyle w:val="Caption"/>
      </w:pPr>
      <w:bookmarkStart w:id="406" w:name="_Toc99720810"/>
      <w:r>
        <w:t xml:space="preserve">Figure </w:t>
      </w:r>
      <w:r w:rsidR="00C34531">
        <w:fldChar w:fldCharType="begin"/>
      </w:r>
      <w:r w:rsidR="00C34531">
        <w:instrText xml:space="preserve"> SEQ Figure \* ARABIC </w:instrText>
      </w:r>
      <w:r w:rsidR="00C34531">
        <w:fldChar w:fldCharType="separate"/>
      </w:r>
      <w:r w:rsidR="008B5583">
        <w:rPr>
          <w:noProof/>
        </w:rPr>
        <w:t>29</w:t>
      </w:r>
      <w:r w:rsidR="00C34531">
        <w:rPr>
          <w:noProof/>
        </w:rPr>
        <w:fldChar w:fldCharType="end"/>
      </w:r>
      <w:r w:rsidRPr="00941E68">
        <w:t xml:space="preserve"> Forest plot </w:t>
      </w:r>
      <w:r>
        <w:t>acid reflux symptoms</w:t>
      </w:r>
      <w:bookmarkEnd w:id="406"/>
    </w:p>
    <w:p w14:paraId="66852B71" w14:textId="77777777" w:rsidR="00C51882" w:rsidRPr="00734942" w:rsidRDefault="00C51882" w:rsidP="00C51882"/>
    <w:p w14:paraId="60695966" w14:textId="77777777" w:rsidR="00355533" w:rsidRDefault="00C51882" w:rsidP="000526F1">
      <w:pPr>
        <w:keepNext/>
      </w:pPr>
      <w:r w:rsidRPr="00734942">
        <w:rPr>
          <w:noProof/>
        </w:rPr>
        <w:lastRenderedPageBreak/>
        <w:drawing>
          <wp:inline distT="0" distB="0" distL="0" distR="0" wp14:anchorId="53AE5473" wp14:editId="61EAAC46">
            <wp:extent cx="8507103" cy="2552131"/>
            <wp:effectExtent l="0" t="0" r="8255" b="635"/>
            <wp:docPr id="25" name="Picture 2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ox and whisker chart&#10;&#10;Description automatically generated"/>
                    <pic:cNvPicPr/>
                  </pic:nvPicPr>
                  <pic:blipFill>
                    <a:blip r:embed="rId415"/>
                    <a:stretch>
                      <a:fillRect/>
                    </a:stretch>
                  </pic:blipFill>
                  <pic:spPr>
                    <a:xfrm>
                      <a:off x="0" y="0"/>
                      <a:ext cx="8534094" cy="2560228"/>
                    </a:xfrm>
                    <a:prstGeom prst="rect">
                      <a:avLst/>
                    </a:prstGeom>
                  </pic:spPr>
                </pic:pic>
              </a:graphicData>
            </a:graphic>
          </wp:inline>
        </w:drawing>
      </w:r>
    </w:p>
    <w:p w14:paraId="1DE08B2F" w14:textId="4E225C35" w:rsidR="00C51882" w:rsidRPr="00734942" w:rsidRDefault="00355533" w:rsidP="000526F1">
      <w:pPr>
        <w:pStyle w:val="Caption"/>
      </w:pPr>
      <w:bookmarkStart w:id="407" w:name="_Toc99720811"/>
      <w:r>
        <w:t xml:space="preserve">Figure </w:t>
      </w:r>
      <w:r w:rsidR="00C34531">
        <w:fldChar w:fldCharType="begin"/>
      </w:r>
      <w:r w:rsidR="00C34531">
        <w:instrText xml:space="preserve"> SEQ Figure \* ARABIC </w:instrText>
      </w:r>
      <w:r w:rsidR="00C34531">
        <w:fldChar w:fldCharType="separate"/>
      </w:r>
      <w:r w:rsidR="008B5583">
        <w:rPr>
          <w:noProof/>
        </w:rPr>
        <w:t>30</w:t>
      </w:r>
      <w:r w:rsidR="00C34531">
        <w:rPr>
          <w:noProof/>
        </w:rPr>
        <w:fldChar w:fldCharType="end"/>
      </w:r>
      <w:r w:rsidRPr="008B51A6">
        <w:t xml:space="preserve"> Forest plot </w:t>
      </w:r>
      <w:r>
        <w:t>bloating or abdominal distension</w:t>
      </w:r>
      <w:bookmarkEnd w:id="407"/>
    </w:p>
    <w:p w14:paraId="639C71BF" w14:textId="77777777" w:rsidR="00355533" w:rsidRDefault="00C51882" w:rsidP="000526F1">
      <w:pPr>
        <w:keepNext/>
      </w:pPr>
      <w:r w:rsidRPr="00734942">
        <w:rPr>
          <w:noProof/>
        </w:rPr>
        <w:lastRenderedPageBreak/>
        <w:drawing>
          <wp:inline distT="0" distB="0" distL="0" distR="0" wp14:anchorId="02DFD3DF" wp14:editId="5FCFCEB4">
            <wp:extent cx="8863330" cy="478282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ox and whisker chart&#10;&#10;Description automatically generated"/>
                    <pic:cNvPicPr/>
                  </pic:nvPicPr>
                  <pic:blipFill>
                    <a:blip r:embed="rId416"/>
                    <a:stretch>
                      <a:fillRect/>
                    </a:stretch>
                  </pic:blipFill>
                  <pic:spPr>
                    <a:xfrm>
                      <a:off x="0" y="0"/>
                      <a:ext cx="8863330" cy="4782820"/>
                    </a:xfrm>
                    <a:prstGeom prst="rect">
                      <a:avLst/>
                    </a:prstGeom>
                  </pic:spPr>
                </pic:pic>
              </a:graphicData>
            </a:graphic>
          </wp:inline>
        </w:drawing>
      </w:r>
    </w:p>
    <w:p w14:paraId="4A484A96" w14:textId="2316558A" w:rsidR="00C51882" w:rsidRPr="00734942" w:rsidRDefault="00355533" w:rsidP="000526F1">
      <w:pPr>
        <w:pStyle w:val="Caption"/>
      </w:pPr>
      <w:bookmarkStart w:id="408" w:name="_Toc99720812"/>
      <w:r>
        <w:t xml:space="preserve">Figure </w:t>
      </w:r>
      <w:r w:rsidR="00C34531">
        <w:fldChar w:fldCharType="begin"/>
      </w:r>
      <w:r w:rsidR="00C34531">
        <w:instrText xml:space="preserve"> SEQ Figure \* ARABIC </w:instrText>
      </w:r>
      <w:r w:rsidR="00C34531">
        <w:fldChar w:fldCharType="separate"/>
      </w:r>
      <w:r w:rsidR="008B5583">
        <w:rPr>
          <w:noProof/>
        </w:rPr>
        <w:t>31</w:t>
      </w:r>
      <w:r w:rsidR="00C34531">
        <w:rPr>
          <w:noProof/>
        </w:rPr>
        <w:fldChar w:fldCharType="end"/>
      </w:r>
      <w:r w:rsidRPr="00A6409D">
        <w:t xml:space="preserve"> Forest plot </w:t>
      </w:r>
      <w:r>
        <w:t>constipation</w:t>
      </w:r>
      <w:bookmarkEnd w:id="408"/>
    </w:p>
    <w:p w14:paraId="1D0481A9" w14:textId="77777777" w:rsidR="00355533" w:rsidRDefault="00C51882" w:rsidP="000526F1">
      <w:pPr>
        <w:keepNext/>
      </w:pPr>
      <w:r w:rsidRPr="00734942">
        <w:rPr>
          <w:noProof/>
        </w:rPr>
        <w:lastRenderedPageBreak/>
        <w:drawing>
          <wp:inline distT="0" distB="0" distL="0" distR="0" wp14:anchorId="4239AE2D" wp14:editId="39DBDC93">
            <wp:extent cx="8863330" cy="4782820"/>
            <wp:effectExtent l="0" t="0" r="0" b="0"/>
            <wp:docPr id="35" name="Picture 3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417"/>
                    <a:stretch>
                      <a:fillRect/>
                    </a:stretch>
                  </pic:blipFill>
                  <pic:spPr>
                    <a:xfrm>
                      <a:off x="0" y="0"/>
                      <a:ext cx="8863330" cy="4782820"/>
                    </a:xfrm>
                    <a:prstGeom prst="rect">
                      <a:avLst/>
                    </a:prstGeom>
                  </pic:spPr>
                </pic:pic>
              </a:graphicData>
            </a:graphic>
          </wp:inline>
        </w:drawing>
      </w:r>
    </w:p>
    <w:p w14:paraId="52624564" w14:textId="36AC5AFD" w:rsidR="00C51882" w:rsidRPr="00734942" w:rsidRDefault="00355533" w:rsidP="000526F1">
      <w:pPr>
        <w:pStyle w:val="Caption"/>
      </w:pPr>
      <w:bookmarkStart w:id="409" w:name="_Toc99720813"/>
      <w:r>
        <w:t xml:space="preserve">Figure </w:t>
      </w:r>
      <w:r w:rsidR="00C34531">
        <w:fldChar w:fldCharType="begin"/>
      </w:r>
      <w:r w:rsidR="00C34531">
        <w:instrText xml:space="preserve"> SEQ Figure \* ARABIC </w:instrText>
      </w:r>
      <w:r w:rsidR="00C34531">
        <w:fldChar w:fldCharType="separate"/>
      </w:r>
      <w:r w:rsidR="008B5583">
        <w:rPr>
          <w:noProof/>
        </w:rPr>
        <w:t>32</w:t>
      </w:r>
      <w:r w:rsidR="00C34531">
        <w:rPr>
          <w:noProof/>
        </w:rPr>
        <w:fldChar w:fldCharType="end"/>
      </w:r>
      <w:r w:rsidRPr="00C368BC">
        <w:t xml:space="preserve"> Forest plot </w:t>
      </w:r>
      <w:r>
        <w:t>diarrhoea</w:t>
      </w:r>
      <w:bookmarkEnd w:id="409"/>
    </w:p>
    <w:p w14:paraId="1B283DD3" w14:textId="77777777" w:rsidR="00355533" w:rsidRDefault="00C51882" w:rsidP="000526F1">
      <w:pPr>
        <w:keepNext/>
      </w:pPr>
      <w:r w:rsidRPr="00734942">
        <w:rPr>
          <w:noProof/>
        </w:rPr>
        <w:lastRenderedPageBreak/>
        <w:drawing>
          <wp:inline distT="0" distB="0" distL="0" distR="0" wp14:anchorId="42A9C047" wp14:editId="05424B93">
            <wp:extent cx="8863330" cy="3472180"/>
            <wp:effectExtent l="0" t="0" r="0" b="0"/>
            <wp:docPr id="40" name="Picture 4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a:blip r:embed="rId418"/>
                    <a:stretch>
                      <a:fillRect/>
                    </a:stretch>
                  </pic:blipFill>
                  <pic:spPr>
                    <a:xfrm>
                      <a:off x="0" y="0"/>
                      <a:ext cx="8863330" cy="3472180"/>
                    </a:xfrm>
                    <a:prstGeom prst="rect">
                      <a:avLst/>
                    </a:prstGeom>
                  </pic:spPr>
                </pic:pic>
              </a:graphicData>
            </a:graphic>
          </wp:inline>
        </w:drawing>
      </w:r>
    </w:p>
    <w:p w14:paraId="1F0CF28F" w14:textId="554263E8" w:rsidR="00C51882" w:rsidRPr="00734942" w:rsidRDefault="00355533" w:rsidP="000526F1">
      <w:pPr>
        <w:pStyle w:val="Caption"/>
      </w:pPr>
      <w:bookmarkStart w:id="410" w:name="_Toc99720814"/>
      <w:r>
        <w:t xml:space="preserve">Figure </w:t>
      </w:r>
      <w:r w:rsidR="00C34531">
        <w:fldChar w:fldCharType="begin"/>
      </w:r>
      <w:r w:rsidR="00C34531">
        <w:instrText xml:space="preserve"> SEQ Figure \* ARABIC </w:instrText>
      </w:r>
      <w:r w:rsidR="00C34531">
        <w:fldChar w:fldCharType="separate"/>
      </w:r>
      <w:r w:rsidR="008B5583">
        <w:rPr>
          <w:noProof/>
        </w:rPr>
        <w:t>33</w:t>
      </w:r>
      <w:r w:rsidR="00C34531">
        <w:rPr>
          <w:noProof/>
        </w:rPr>
        <w:fldChar w:fldCharType="end"/>
      </w:r>
      <w:r w:rsidRPr="00D05A31">
        <w:t xml:space="preserve"> Forest plot </w:t>
      </w:r>
      <w:r>
        <w:t>vomiting and nausea</w:t>
      </w:r>
      <w:bookmarkEnd w:id="410"/>
    </w:p>
    <w:p w14:paraId="4EC21AA3" w14:textId="77777777" w:rsidR="00C51882" w:rsidRPr="00734942" w:rsidRDefault="00C51882" w:rsidP="00C51882">
      <w:r w:rsidRPr="00734942">
        <w:br w:type="page"/>
      </w:r>
    </w:p>
    <w:p w14:paraId="0784AC05" w14:textId="77777777" w:rsidR="00C51882" w:rsidRPr="00734942" w:rsidRDefault="00C51882" w:rsidP="00357B0B">
      <w:pPr>
        <w:pStyle w:val="Heading3"/>
        <w:numPr>
          <w:ilvl w:val="0"/>
          <w:numId w:val="39"/>
        </w:numPr>
      </w:pPr>
      <w:bookmarkStart w:id="411" w:name="_Toc65244985"/>
      <w:bookmarkStart w:id="412" w:name="_Toc65245018"/>
      <w:bookmarkStart w:id="413" w:name="_Toc99539930"/>
      <w:r w:rsidRPr="00734942">
        <w:lastRenderedPageBreak/>
        <w:t>Risk conditions</w:t>
      </w:r>
      <w:bookmarkEnd w:id="411"/>
      <w:bookmarkEnd w:id="412"/>
      <w:bookmarkEnd w:id="413"/>
    </w:p>
    <w:p w14:paraId="0FF16114" w14:textId="77777777" w:rsidR="00355533" w:rsidRDefault="00C51882" w:rsidP="000526F1">
      <w:pPr>
        <w:keepNext/>
      </w:pPr>
      <w:r w:rsidRPr="00734942">
        <w:rPr>
          <w:noProof/>
        </w:rPr>
        <w:drawing>
          <wp:inline distT="0" distB="0" distL="0" distR="0" wp14:anchorId="5B59E978" wp14:editId="235E7ABC">
            <wp:extent cx="8867329" cy="4885899"/>
            <wp:effectExtent l="0" t="0" r="0" b="0"/>
            <wp:docPr id="44" name="Picture 44"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10;&#10;Description automatically generated with low confidence"/>
                    <pic:cNvPicPr/>
                  </pic:nvPicPr>
                  <pic:blipFill>
                    <a:blip r:embed="rId419"/>
                    <a:stretch>
                      <a:fillRect/>
                    </a:stretch>
                  </pic:blipFill>
                  <pic:spPr>
                    <a:xfrm>
                      <a:off x="0" y="0"/>
                      <a:ext cx="8873536" cy="4889319"/>
                    </a:xfrm>
                    <a:prstGeom prst="rect">
                      <a:avLst/>
                    </a:prstGeom>
                  </pic:spPr>
                </pic:pic>
              </a:graphicData>
            </a:graphic>
          </wp:inline>
        </w:drawing>
      </w:r>
    </w:p>
    <w:p w14:paraId="07C7F644" w14:textId="31A0E6FA" w:rsidR="00C51882" w:rsidRPr="00734942" w:rsidRDefault="00355533" w:rsidP="000526F1">
      <w:pPr>
        <w:pStyle w:val="Caption"/>
      </w:pPr>
      <w:bookmarkStart w:id="414" w:name="_Toc99720815"/>
      <w:r>
        <w:t xml:space="preserve">Figure </w:t>
      </w:r>
      <w:r w:rsidR="00C34531">
        <w:fldChar w:fldCharType="begin"/>
      </w:r>
      <w:r w:rsidR="00C34531">
        <w:instrText xml:space="preserve"> SEQ Figure \* ARABIC </w:instrText>
      </w:r>
      <w:r w:rsidR="00C34531">
        <w:fldChar w:fldCharType="separate"/>
      </w:r>
      <w:r w:rsidR="008B5583">
        <w:rPr>
          <w:noProof/>
        </w:rPr>
        <w:t>34</w:t>
      </w:r>
      <w:r w:rsidR="00C34531">
        <w:rPr>
          <w:noProof/>
        </w:rPr>
        <w:fldChar w:fldCharType="end"/>
      </w:r>
      <w:r w:rsidRPr="009776E6">
        <w:t xml:space="preserve"> Forest plot </w:t>
      </w:r>
      <w:r>
        <w:t>anaemia</w:t>
      </w:r>
      <w:bookmarkEnd w:id="414"/>
    </w:p>
    <w:p w14:paraId="36E3DBE2" w14:textId="77777777" w:rsidR="00355533" w:rsidRDefault="00C51882" w:rsidP="000526F1">
      <w:pPr>
        <w:keepNext/>
      </w:pPr>
      <w:r w:rsidRPr="00734942">
        <w:rPr>
          <w:noProof/>
        </w:rPr>
        <w:lastRenderedPageBreak/>
        <w:drawing>
          <wp:inline distT="0" distB="0" distL="0" distR="0" wp14:anchorId="7A97457A" wp14:editId="18514897">
            <wp:extent cx="8693944" cy="4790364"/>
            <wp:effectExtent l="0" t="0" r="0" b="0"/>
            <wp:docPr id="41" name="Picture 4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ox and whisker chart&#10;&#10;Description automatically generated"/>
                    <pic:cNvPicPr/>
                  </pic:nvPicPr>
                  <pic:blipFill>
                    <a:blip r:embed="rId420"/>
                    <a:stretch>
                      <a:fillRect/>
                    </a:stretch>
                  </pic:blipFill>
                  <pic:spPr>
                    <a:xfrm>
                      <a:off x="0" y="0"/>
                      <a:ext cx="8707991" cy="4798104"/>
                    </a:xfrm>
                    <a:prstGeom prst="rect">
                      <a:avLst/>
                    </a:prstGeom>
                  </pic:spPr>
                </pic:pic>
              </a:graphicData>
            </a:graphic>
          </wp:inline>
        </w:drawing>
      </w:r>
    </w:p>
    <w:p w14:paraId="1D3F35E5" w14:textId="4109201C" w:rsidR="00C51882" w:rsidRPr="00734942" w:rsidRDefault="00355533" w:rsidP="000526F1">
      <w:pPr>
        <w:pStyle w:val="Caption"/>
      </w:pPr>
      <w:bookmarkStart w:id="415" w:name="_Toc99720816"/>
      <w:r>
        <w:t xml:space="preserve">Figure </w:t>
      </w:r>
      <w:r w:rsidR="00C34531">
        <w:fldChar w:fldCharType="begin"/>
      </w:r>
      <w:r w:rsidR="00C34531">
        <w:instrText xml:space="preserve"> SEQ Figure \* ARABIC </w:instrText>
      </w:r>
      <w:r w:rsidR="00C34531">
        <w:fldChar w:fldCharType="separate"/>
      </w:r>
      <w:r w:rsidR="008B5583">
        <w:rPr>
          <w:noProof/>
        </w:rPr>
        <w:t>35</w:t>
      </w:r>
      <w:r w:rsidR="00C34531">
        <w:rPr>
          <w:noProof/>
        </w:rPr>
        <w:fldChar w:fldCharType="end"/>
      </w:r>
      <w:r w:rsidRPr="00540E1B">
        <w:t xml:space="preserve"> Forest plot </w:t>
      </w:r>
      <w:r>
        <w:t>arthritis</w:t>
      </w:r>
      <w:bookmarkEnd w:id="415"/>
    </w:p>
    <w:p w14:paraId="1D034598" w14:textId="77777777" w:rsidR="00C51882" w:rsidRPr="00734942" w:rsidRDefault="00C51882" w:rsidP="00C51882"/>
    <w:p w14:paraId="624FDFBC" w14:textId="77777777" w:rsidR="00C51882" w:rsidRPr="00734942" w:rsidRDefault="00C51882" w:rsidP="00C51882"/>
    <w:p w14:paraId="5037FB1A" w14:textId="77777777" w:rsidR="00355533" w:rsidRDefault="00C51882" w:rsidP="000526F1">
      <w:pPr>
        <w:keepNext/>
      </w:pPr>
      <w:r w:rsidRPr="00734942">
        <w:rPr>
          <w:noProof/>
        </w:rPr>
        <w:lastRenderedPageBreak/>
        <w:drawing>
          <wp:inline distT="0" distB="0" distL="0" distR="0" wp14:anchorId="015A98A9" wp14:editId="0B9F29AB">
            <wp:extent cx="8643583" cy="2593075"/>
            <wp:effectExtent l="0" t="0" r="5715" b="0"/>
            <wp:docPr id="55" name="Picture 55" descr="Graphical user interface,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chart, box and whisker chart&#10;&#10;Description automatically generated"/>
                    <pic:cNvPicPr/>
                  </pic:nvPicPr>
                  <pic:blipFill>
                    <a:blip r:embed="rId421"/>
                    <a:stretch>
                      <a:fillRect/>
                    </a:stretch>
                  </pic:blipFill>
                  <pic:spPr>
                    <a:xfrm>
                      <a:off x="0" y="0"/>
                      <a:ext cx="8657298" cy="2597190"/>
                    </a:xfrm>
                    <a:prstGeom prst="rect">
                      <a:avLst/>
                    </a:prstGeom>
                  </pic:spPr>
                </pic:pic>
              </a:graphicData>
            </a:graphic>
          </wp:inline>
        </w:drawing>
      </w:r>
    </w:p>
    <w:p w14:paraId="2D472503" w14:textId="4D03AD30" w:rsidR="00C51882" w:rsidRPr="00734942" w:rsidRDefault="00355533" w:rsidP="000526F1">
      <w:pPr>
        <w:pStyle w:val="Caption"/>
      </w:pPr>
      <w:bookmarkStart w:id="416" w:name="_Toc99720817"/>
      <w:r>
        <w:t xml:space="preserve">Figure </w:t>
      </w:r>
      <w:r w:rsidR="00C34531">
        <w:fldChar w:fldCharType="begin"/>
      </w:r>
      <w:r w:rsidR="00C34531">
        <w:instrText xml:space="preserve"> SEQ Figure \* ARABIC </w:instrText>
      </w:r>
      <w:r w:rsidR="00C34531">
        <w:fldChar w:fldCharType="separate"/>
      </w:r>
      <w:r w:rsidR="008B5583">
        <w:rPr>
          <w:noProof/>
        </w:rPr>
        <w:t>36</w:t>
      </w:r>
      <w:r w:rsidR="00C34531">
        <w:rPr>
          <w:noProof/>
        </w:rPr>
        <w:fldChar w:fldCharType="end"/>
      </w:r>
      <w:r w:rsidRPr="00A917F8">
        <w:t xml:space="preserve"> Forest plot </w:t>
      </w:r>
      <w:r>
        <w:t>dermatitis herpetiformis</w:t>
      </w:r>
      <w:bookmarkEnd w:id="416"/>
    </w:p>
    <w:p w14:paraId="7D1A5926" w14:textId="77777777" w:rsidR="00FA6FA1" w:rsidRDefault="00C51882" w:rsidP="000526F1">
      <w:pPr>
        <w:keepNext/>
      </w:pPr>
      <w:r w:rsidRPr="00734942">
        <w:rPr>
          <w:noProof/>
        </w:rPr>
        <w:lastRenderedPageBreak/>
        <w:drawing>
          <wp:inline distT="0" distB="0" distL="0" distR="0" wp14:anchorId="740E4748" wp14:editId="62D18968">
            <wp:extent cx="8734567" cy="3930555"/>
            <wp:effectExtent l="0" t="0" r="0" b="0"/>
            <wp:docPr id="60" name="Picture 6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box and whisker chart&#10;&#10;Description automatically generated"/>
                    <pic:cNvPicPr/>
                  </pic:nvPicPr>
                  <pic:blipFill>
                    <a:blip r:embed="rId422"/>
                    <a:stretch>
                      <a:fillRect/>
                    </a:stretch>
                  </pic:blipFill>
                  <pic:spPr>
                    <a:xfrm>
                      <a:off x="0" y="0"/>
                      <a:ext cx="8753012" cy="3938855"/>
                    </a:xfrm>
                    <a:prstGeom prst="rect">
                      <a:avLst/>
                    </a:prstGeom>
                  </pic:spPr>
                </pic:pic>
              </a:graphicData>
            </a:graphic>
          </wp:inline>
        </w:drawing>
      </w:r>
    </w:p>
    <w:p w14:paraId="1D63A548" w14:textId="32DF61BA" w:rsidR="00C51882" w:rsidRPr="00734942" w:rsidRDefault="00FA6FA1" w:rsidP="000526F1">
      <w:pPr>
        <w:pStyle w:val="Caption"/>
      </w:pPr>
      <w:bookmarkStart w:id="417" w:name="_Toc99720818"/>
      <w:r>
        <w:t xml:space="preserve">Figure </w:t>
      </w:r>
      <w:r w:rsidR="00C34531">
        <w:fldChar w:fldCharType="begin"/>
      </w:r>
      <w:r w:rsidR="00C34531">
        <w:instrText xml:space="preserve"> SEQ Figure \* ARABIC </w:instrText>
      </w:r>
      <w:r w:rsidR="00C34531">
        <w:fldChar w:fldCharType="separate"/>
      </w:r>
      <w:r w:rsidR="008B5583">
        <w:rPr>
          <w:noProof/>
        </w:rPr>
        <w:t>37</w:t>
      </w:r>
      <w:r w:rsidR="00C34531">
        <w:rPr>
          <w:noProof/>
        </w:rPr>
        <w:fldChar w:fldCharType="end"/>
      </w:r>
      <w:r w:rsidRPr="007A4E22">
        <w:t xml:space="preserve"> Forest plot </w:t>
      </w:r>
      <w:r>
        <w:t>epilepsy</w:t>
      </w:r>
      <w:bookmarkEnd w:id="417"/>
    </w:p>
    <w:p w14:paraId="0C9B0E47" w14:textId="77777777" w:rsidR="00FA6FA1" w:rsidRDefault="00C51882" w:rsidP="000526F1">
      <w:pPr>
        <w:keepNext/>
      </w:pPr>
      <w:r w:rsidRPr="00734942">
        <w:rPr>
          <w:noProof/>
        </w:rPr>
        <w:lastRenderedPageBreak/>
        <w:drawing>
          <wp:inline distT="0" distB="0" distL="0" distR="0" wp14:anchorId="1B9140C3" wp14:editId="2E6E347C">
            <wp:extent cx="8734568" cy="3493827"/>
            <wp:effectExtent l="0" t="0" r="9525" b="0"/>
            <wp:docPr id="48" name="Picture 48"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box and whisker chart&#10;&#10;Description automatically generated"/>
                    <pic:cNvPicPr/>
                  </pic:nvPicPr>
                  <pic:blipFill>
                    <a:blip r:embed="rId423"/>
                    <a:stretch>
                      <a:fillRect/>
                    </a:stretch>
                  </pic:blipFill>
                  <pic:spPr>
                    <a:xfrm>
                      <a:off x="0" y="0"/>
                      <a:ext cx="8748248" cy="3499299"/>
                    </a:xfrm>
                    <a:prstGeom prst="rect">
                      <a:avLst/>
                    </a:prstGeom>
                  </pic:spPr>
                </pic:pic>
              </a:graphicData>
            </a:graphic>
          </wp:inline>
        </w:drawing>
      </w:r>
    </w:p>
    <w:p w14:paraId="12C86FAF" w14:textId="385038D9" w:rsidR="00C51882" w:rsidRPr="00734942" w:rsidRDefault="00FA6FA1" w:rsidP="000526F1">
      <w:pPr>
        <w:pStyle w:val="Caption"/>
      </w:pPr>
      <w:bookmarkStart w:id="418" w:name="_Toc99720819"/>
      <w:r>
        <w:t xml:space="preserve">Figure </w:t>
      </w:r>
      <w:r w:rsidR="00C34531">
        <w:fldChar w:fldCharType="begin"/>
      </w:r>
      <w:r w:rsidR="00C34531">
        <w:instrText xml:space="preserve"> SEQ Figure \* ARABIC </w:instrText>
      </w:r>
      <w:r w:rsidR="00C34531">
        <w:fldChar w:fldCharType="separate"/>
      </w:r>
      <w:r w:rsidR="008B5583">
        <w:rPr>
          <w:noProof/>
        </w:rPr>
        <w:t>38</w:t>
      </w:r>
      <w:r w:rsidR="00C34531">
        <w:rPr>
          <w:noProof/>
        </w:rPr>
        <w:fldChar w:fldCharType="end"/>
      </w:r>
      <w:r w:rsidRPr="004E4AFE">
        <w:t xml:space="preserve"> Forest plot </w:t>
      </w:r>
      <w:r>
        <w:t>fracture</w:t>
      </w:r>
      <w:bookmarkEnd w:id="418"/>
    </w:p>
    <w:p w14:paraId="6C769E76" w14:textId="77777777" w:rsidR="00FA6FA1" w:rsidRDefault="00C51882" w:rsidP="000526F1">
      <w:pPr>
        <w:keepNext/>
      </w:pPr>
      <w:r w:rsidRPr="00734942">
        <w:rPr>
          <w:noProof/>
        </w:rPr>
        <w:lastRenderedPageBreak/>
        <w:drawing>
          <wp:inline distT="0" distB="0" distL="0" distR="0" wp14:anchorId="54E04300" wp14:editId="3A773B8E">
            <wp:extent cx="8825553" cy="2647666"/>
            <wp:effectExtent l="0" t="0" r="0" b="635"/>
            <wp:docPr id="49" name="Picture 4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box and whisker chart&#10;&#10;Description automatically generated"/>
                    <pic:cNvPicPr/>
                  </pic:nvPicPr>
                  <pic:blipFill>
                    <a:blip r:embed="rId424"/>
                    <a:stretch>
                      <a:fillRect/>
                    </a:stretch>
                  </pic:blipFill>
                  <pic:spPr>
                    <a:xfrm>
                      <a:off x="0" y="0"/>
                      <a:ext cx="8838118" cy="2651435"/>
                    </a:xfrm>
                    <a:prstGeom prst="rect">
                      <a:avLst/>
                    </a:prstGeom>
                  </pic:spPr>
                </pic:pic>
              </a:graphicData>
            </a:graphic>
          </wp:inline>
        </w:drawing>
      </w:r>
    </w:p>
    <w:p w14:paraId="2E714CB7" w14:textId="5490E765" w:rsidR="00C51882" w:rsidRPr="00734942" w:rsidRDefault="00FA6FA1" w:rsidP="000526F1">
      <w:pPr>
        <w:pStyle w:val="Caption"/>
      </w:pPr>
      <w:bookmarkStart w:id="419" w:name="_Toc99720820"/>
      <w:r>
        <w:t xml:space="preserve">Figure </w:t>
      </w:r>
      <w:r w:rsidR="00C34531">
        <w:fldChar w:fldCharType="begin"/>
      </w:r>
      <w:r w:rsidR="00C34531">
        <w:instrText xml:space="preserve"> SEQ Figure \* ARABIC </w:instrText>
      </w:r>
      <w:r w:rsidR="00C34531">
        <w:fldChar w:fldCharType="separate"/>
      </w:r>
      <w:r w:rsidR="008B5583">
        <w:rPr>
          <w:noProof/>
        </w:rPr>
        <w:t>39</w:t>
      </w:r>
      <w:r w:rsidR="00C34531">
        <w:rPr>
          <w:noProof/>
        </w:rPr>
        <w:fldChar w:fldCharType="end"/>
      </w:r>
      <w:r w:rsidRPr="00B1364C">
        <w:t xml:space="preserve"> Forest plot </w:t>
      </w:r>
      <w:r>
        <w:t>inflammatory bowel disease</w:t>
      </w:r>
      <w:bookmarkEnd w:id="419"/>
    </w:p>
    <w:p w14:paraId="4B98CE8A" w14:textId="77777777" w:rsidR="00C51882" w:rsidRPr="00734942" w:rsidRDefault="00C51882" w:rsidP="00C51882"/>
    <w:p w14:paraId="4038579A" w14:textId="77777777" w:rsidR="00C51882" w:rsidRPr="00734942" w:rsidRDefault="00C51882" w:rsidP="00C51882"/>
    <w:p w14:paraId="4C85961F" w14:textId="77777777" w:rsidR="00C51882" w:rsidRPr="00734942" w:rsidRDefault="00C51882" w:rsidP="00C51882"/>
    <w:p w14:paraId="3BDD01AC" w14:textId="77777777" w:rsidR="00C51882" w:rsidRPr="00734942" w:rsidRDefault="00C51882" w:rsidP="00C51882"/>
    <w:p w14:paraId="32A8A0F6" w14:textId="77777777" w:rsidR="00FA6FA1" w:rsidRDefault="00C51882" w:rsidP="000526F1">
      <w:pPr>
        <w:keepNext/>
      </w:pPr>
      <w:r w:rsidRPr="00734942">
        <w:rPr>
          <w:noProof/>
        </w:rPr>
        <w:lastRenderedPageBreak/>
        <w:drawing>
          <wp:inline distT="0" distB="0" distL="0" distR="0" wp14:anchorId="0B34874A" wp14:editId="7936C70B">
            <wp:extent cx="8863330" cy="4782820"/>
            <wp:effectExtent l="0" t="0" r="0" b="0"/>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425"/>
                    <a:stretch>
                      <a:fillRect/>
                    </a:stretch>
                  </pic:blipFill>
                  <pic:spPr>
                    <a:xfrm>
                      <a:off x="0" y="0"/>
                      <a:ext cx="8863330" cy="4782820"/>
                    </a:xfrm>
                    <a:prstGeom prst="rect">
                      <a:avLst/>
                    </a:prstGeom>
                  </pic:spPr>
                </pic:pic>
              </a:graphicData>
            </a:graphic>
          </wp:inline>
        </w:drawing>
      </w:r>
    </w:p>
    <w:p w14:paraId="2895F83B" w14:textId="2D29E4E4" w:rsidR="00C51882" w:rsidRPr="000526F1" w:rsidRDefault="00FA6FA1" w:rsidP="000526F1">
      <w:pPr>
        <w:pStyle w:val="Caption"/>
        <w:rPr>
          <w:lang w:val="fr-FR"/>
        </w:rPr>
      </w:pPr>
      <w:bookmarkStart w:id="420" w:name="_Toc99720821"/>
      <w:r w:rsidRPr="000526F1">
        <w:rPr>
          <w:lang w:val="fr-FR"/>
        </w:rPr>
        <w:t xml:space="preserve">Figure </w:t>
      </w:r>
      <w:r>
        <w:fldChar w:fldCharType="begin"/>
      </w:r>
      <w:r w:rsidRPr="000526F1">
        <w:rPr>
          <w:lang w:val="fr-FR"/>
        </w:rPr>
        <w:instrText xml:space="preserve"> SEQ Figure \* ARABIC </w:instrText>
      </w:r>
      <w:r>
        <w:fldChar w:fldCharType="separate"/>
      </w:r>
      <w:r w:rsidR="008B5583">
        <w:rPr>
          <w:noProof/>
          <w:lang w:val="fr-FR"/>
        </w:rPr>
        <w:t>40</w:t>
      </w:r>
      <w:r>
        <w:fldChar w:fldCharType="end"/>
      </w:r>
      <w:r w:rsidRPr="000526F1">
        <w:rPr>
          <w:lang w:val="fr-FR"/>
        </w:rPr>
        <w:t xml:space="preserve"> Forest plot irritable bowel syndrome</w:t>
      </w:r>
      <w:bookmarkEnd w:id="420"/>
    </w:p>
    <w:p w14:paraId="7356C0BA" w14:textId="77777777" w:rsidR="00FA6FA1" w:rsidRDefault="00C51882" w:rsidP="000526F1">
      <w:pPr>
        <w:keepNext/>
      </w:pPr>
      <w:r w:rsidRPr="00734942">
        <w:rPr>
          <w:noProof/>
        </w:rPr>
        <w:lastRenderedPageBreak/>
        <w:drawing>
          <wp:inline distT="0" distB="0" distL="0" distR="0" wp14:anchorId="457EF4CC" wp14:editId="3281FD11">
            <wp:extent cx="8863330" cy="4782820"/>
            <wp:effectExtent l="0" t="0" r="0" b="0"/>
            <wp:docPr id="12" name="Picture 12" descr="A picture containing text, compute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computer, screenshot&#10;&#10;Description automatically generated"/>
                    <pic:cNvPicPr/>
                  </pic:nvPicPr>
                  <pic:blipFill>
                    <a:blip r:embed="rId426"/>
                    <a:stretch>
                      <a:fillRect/>
                    </a:stretch>
                  </pic:blipFill>
                  <pic:spPr>
                    <a:xfrm>
                      <a:off x="0" y="0"/>
                      <a:ext cx="8863330" cy="4782820"/>
                    </a:xfrm>
                    <a:prstGeom prst="rect">
                      <a:avLst/>
                    </a:prstGeom>
                  </pic:spPr>
                </pic:pic>
              </a:graphicData>
            </a:graphic>
          </wp:inline>
        </w:drawing>
      </w:r>
    </w:p>
    <w:p w14:paraId="1C60B39F" w14:textId="2076EF41" w:rsidR="00C51882" w:rsidRPr="00734942" w:rsidRDefault="00FA6FA1" w:rsidP="000526F1">
      <w:pPr>
        <w:pStyle w:val="Caption"/>
      </w:pPr>
      <w:bookmarkStart w:id="421" w:name="_Toc99720822"/>
      <w:r>
        <w:t xml:space="preserve">Figure </w:t>
      </w:r>
      <w:r w:rsidR="00C34531">
        <w:fldChar w:fldCharType="begin"/>
      </w:r>
      <w:r w:rsidR="00C34531">
        <w:instrText xml:space="preserve"> SEQ Figure \* ARABIC </w:instrText>
      </w:r>
      <w:r w:rsidR="00C34531">
        <w:fldChar w:fldCharType="separate"/>
      </w:r>
      <w:r w:rsidR="008B5583">
        <w:rPr>
          <w:noProof/>
        </w:rPr>
        <w:t>41</w:t>
      </w:r>
      <w:r w:rsidR="00C34531">
        <w:rPr>
          <w:noProof/>
        </w:rPr>
        <w:fldChar w:fldCharType="end"/>
      </w:r>
      <w:r w:rsidRPr="00D32C6F">
        <w:t xml:space="preserve"> Forest plot </w:t>
      </w:r>
      <w:r>
        <w:t>chronic liver disease</w:t>
      </w:r>
      <w:bookmarkEnd w:id="421"/>
    </w:p>
    <w:p w14:paraId="619F0CAA" w14:textId="77777777" w:rsidR="00FA6FA1" w:rsidRDefault="00C51882" w:rsidP="000526F1">
      <w:pPr>
        <w:keepNext/>
      </w:pPr>
      <w:r w:rsidRPr="00734942">
        <w:rPr>
          <w:noProof/>
        </w:rPr>
        <w:lastRenderedPageBreak/>
        <w:drawing>
          <wp:inline distT="0" distB="0" distL="0" distR="0" wp14:anchorId="3FD64F8A" wp14:editId="1BB63D39">
            <wp:extent cx="8552597" cy="2565779"/>
            <wp:effectExtent l="0" t="0" r="1270" b="6350"/>
            <wp:docPr id="61" name="Picture 6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box and whisker chart&#10;&#10;Description automatically generated"/>
                    <pic:cNvPicPr/>
                  </pic:nvPicPr>
                  <pic:blipFill>
                    <a:blip r:embed="rId427"/>
                    <a:stretch>
                      <a:fillRect/>
                    </a:stretch>
                  </pic:blipFill>
                  <pic:spPr>
                    <a:xfrm>
                      <a:off x="0" y="0"/>
                      <a:ext cx="8567756" cy="2570327"/>
                    </a:xfrm>
                    <a:prstGeom prst="rect">
                      <a:avLst/>
                    </a:prstGeom>
                  </pic:spPr>
                </pic:pic>
              </a:graphicData>
            </a:graphic>
          </wp:inline>
        </w:drawing>
      </w:r>
    </w:p>
    <w:p w14:paraId="44D7997A" w14:textId="1BB091DC" w:rsidR="00C51882" w:rsidRPr="00734942" w:rsidRDefault="00FA6FA1" w:rsidP="000526F1">
      <w:pPr>
        <w:pStyle w:val="Caption"/>
      </w:pPr>
      <w:bookmarkStart w:id="422" w:name="_Toc99720823"/>
      <w:r>
        <w:t xml:space="preserve">Figure </w:t>
      </w:r>
      <w:r w:rsidR="00C34531">
        <w:fldChar w:fldCharType="begin"/>
      </w:r>
      <w:r w:rsidR="00C34531">
        <w:instrText xml:space="preserve"> SEQ Figure \* ARABIC </w:instrText>
      </w:r>
      <w:r w:rsidR="00C34531">
        <w:fldChar w:fldCharType="separate"/>
      </w:r>
      <w:r w:rsidR="008B5583">
        <w:rPr>
          <w:noProof/>
        </w:rPr>
        <w:t>42</w:t>
      </w:r>
      <w:r w:rsidR="00C34531">
        <w:rPr>
          <w:noProof/>
        </w:rPr>
        <w:fldChar w:fldCharType="end"/>
      </w:r>
      <w:r w:rsidRPr="00464091">
        <w:t xml:space="preserve"> Forest plot </w:t>
      </w:r>
      <w:r>
        <w:t>migraine</w:t>
      </w:r>
      <w:bookmarkEnd w:id="422"/>
    </w:p>
    <w:p w14:paraId="47B3F872" w14:textId="77777777" w:rsidR="00FA6FA1" w:rsidRDefault="00C51882" w:rsidP="000526F1">
      <w:pPr>
        <w:keepNext/>
      </w:pPr>
      <w:r w:rsidRPr="00734942">
        <w:rPr>
          <w:noProof/>
        </w:rPr>
        <w:drawing>
          <wp:inline distT="0" distB="0" distL="0" distR="0" wp14:anchorId="39577040" wp14:editId="6A7A1818">
            <wp:extent cx="8507103" cy="2552131"/>
            <wp:effectExtent l="0" t="0" r="8255" b="635"/>
            <wp:docPr id="53" name="Picture 53"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box and whisker chart&#10;&#10;Description automatically generated"/>
                    <pic:cNvPicPr/>
                  </pic:nvPicPr>
                  <pic:blipFill>
                    <a:blip r:embed="rId428"/>
                    <a:stretch>
                      <a:fillRect/>
                    </a:stretch>
                  </pic:blipFill>
                  <pic:spPr>
                    <a:xfrm>
                      <a:off x="0" y="0"/>
                      <a:ext cx="8526460" cy="2557938"/>
                    </a:xfrm>
                    <a:prstGeom prst="rect">
                      <a:avLst/>
                    </a:prstGeom>
                  </pic:spPr>
                </pic:pic>
              </a:graphicData>
            </a:graphic>
          </wp:inline>
        </w:drawing>
      </w:r>
    </w:p>
    <w:p w14:paraId="74DB4F5D" w14:textId="4FEBBC4D" w:rsidR="00C51882" w:rsidRPr="00734942" w:rsidRDefault="00FA6FA1" w:rsidP="000526F1">
      <w:pPr>
        <w:pStyle w:val="Caption"/>
      </w:pPr>
      <w:bookmarkStart w:id="423" w:name="_Toc99720824"/>
      <w:r>
        <w:t xml:space="preserve">Figure </w:t>
      </w:r>
      <w:r w:rsidR="00C34531">
        <w:fldChar w:fldCharType="begin"/>
      </w:r>
      <w:r w:rsidR="00C34531">
        <w:instrText xml:space="preserve"> SEQ Figure \* ARABIC </w:instrText>
      </w:r>
      <w:r w:rsidR="00C34531">
        <w:fldChar w:fldCharType="separate"/>
      </w:r>
      <w:r w:rsidR="008B5583">
        <w:rPr>
          <w:noProof/>
        </w:rPr>
        <w:t>43</w:t>
      </w:r>
      <w:r w:rsidR="00C34531">
        <w:rPr>
          <w:noProof/>
        </w:rPr>
        <w:fldChar w:fldCharType="end"/>
      </w:r>
      <w:r w:rsidRPr="007347EF">
        <w:t xml:space="preserve"> Forest plot </w:t>
      </w:r>
      <w:r>
        <w:t>multiple sclerosis</w:t>
      </w:r>
      <w:bookmarkEnd w:id="423"/>
    </w:p>
    <w:p w14:paraId="3CCD6040" w14:textId="77777777" w:rsidR="00FA6FA1" w:rsidRDefault="00C51882" w:rsidP="000526F1">
      <w:pPr>
        <w:keepNext/>
      </w:pPr>
      <w:r w:rsidRPr="00734942">
        <w:rPr>
          <w:noProof/>
        </w:rPr>
        <w:lastRenderedPageBreak/>
        <w:drawing>
          <wp:inline distT="0" distB="0" distL="0" distR="0" wp14:anchorId="68FB508B" wp14:editId="0C4DE00E">
            <wp:extent cx="8461613" cy="3384645"/>
            <wp:effectExtent l="0" t="0" r="0" b="6350"/>
            <wp:docPr id="54" name="Picture 5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box and whisker chart&#10;&#10;Description automatically generated"/>
                    <pic:cNvPicPr/>
                  </pic:nvPicPr>
                  <pic:blipFill>
                    <a:blip r:embed="rId429"/>
                    <a:stretch>
                      <a:fillRect/>
                    </a:stretch>
                  </pic:blipFill>
                  <pic:spPr>
                    <a:xfrm>
                      <a:off x="0" y="0"/>
                      <a:ext cx="8470527" cy="3388211"/>
                    </a:xfrm>
                    <a:prstGeom prst="rect">
                      <a:avLst/>
                    </a:prstGeom>
                  </pic:spPr>
                </pic:pic>
              </a:graphicData>
            </a:graphic>
          </wp:inline>
        </w:drawing>
      </w:r>
    </w:p>
    <w:p w14:paraId="1C80A936" w14:textId="41E7D86F" w:rsidR="00C51882" w:rsidRPr="00734942" w:rsidRDefault="00FA6FA1" w:rsidP="000526F1">
      <w:pPr>
        <w:pStyle w:val="Caption"/>
      </w:pPr>
      <w:bookmarkStart w:id="424" w:name="_Toc99720825"/>
      <w:r>
        <w:t xml:space="preserve">Figure </w:t>
      </w:r>
      <w:r w:rsidR="00C34531">
        <w:fldChar w:fldCharType="begin"/>
      </w:r>
      <w:r w:rsidR="00C34531">
        <w:instrText xml:space="preserve"> SEQ Figure \* ARABIC </w:instrText>
      </w:r>
      <w:r w:rsidR="00C34531">
        <w:fldChar w:fldCharType="separate"/>
      </w:r>
      <w:r w:rsidR="008B5583">
        <w:rPr>
          <w:noProof/>
        </w:rPr>
        <w:t>44</w:t>
      </w:r>
      <w:r w:rsidR="00C34531">
        <w:rPr>
          <w:noProof/>
        </w:rPr>
        <w:fldChar w:fldCharType="end"/>
      </w:r>
      <w:r w:rsidRPr="000E58E7">
        <w:t xml:space="preserve"> Forest plot </w:t>
      </w:r>
      <w:r>
        <w:t>osteoporosis</w:t>
      </w:r>
      <w:bookmarkEnd w:id="424"/>
    </w:p>
    <w:p w14:paraId="190814AD" w14:textId="77777777" w:rsidR="00FA6FA1" w:rsidRDefault="00C51882" w:rsidP="000526F1">
      <w:pPr>
        <w:keepNext/>
      </w:pPr>
      <w:r w:rsidRPr="00734942">
        <w:rPr>
          <w:noProof/>
        </w:rPr>
        <w:lastRenderedPageBreak/>
        <w:drawing>
          <wp:inline distT="0" distB="0" distL="0" distR="0" wp14:anchorId="229940B8" wp14:editId="6C549F31">
            <wp:extent cx="8863330" cy="3472180"/>
            <wp:effectExtent l="0" t="0" r="0" b="0"/>
            <wp:docPr id="13" name="Picture 13"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ox and whisker chart&#10;&#10;Description automatically generated"/>
                    <pic:cNvPicPr/>
                  </pic:nvPicPr>
                  <pic:blipFill>
                    <a:blip r:embed="rId430"/>
                    <a:stretch>
                      <a:fillRect/>
                    </a:stretch>
                  </pic:blipFill>
                  <pic:spPr>
                    <a:xfrm>
                      <a:off x="0" y="0"/>
                      <a:ext cx="8863330" cy="3472180"/>
                    </a:xfrm>
                    <a:prstGeom prst="rect">
                      <a:avLst/>
                    </a:prstGeom>
                  </pic:spPr>
                </pic:pic>
              </a:graphicData>
            </a:graphic>
          </wp:inline>
        </w:drawing>
      </w:r>
    </w:p>
    <w:p w14:paraId="0EE82B00" w14:textId="2E0E1722" w:rsidR="00C51882" w:rsidRPr="00734942" w:rsidRDefault="00FA6FA1" w:rsidP="000526F1">
      <w:pPr>
        <w:pStyle w:val="Caption"/>
      </w:pPr>
      <w:bookmarkStart w:id="425" w:name="_Toc99720826"/>
      <w:r>
        <w:t xml:space="preserve">Figure </w:t>
      </w:r>
      <w:r w:rsidR="00C34531">
        <w:fldChar w:fldCharType="begin"/>
      </w:r>
      <w:r w:rsidR="00C34531">
        <w:instrText xml:space="preserve"> SEQ Figure \* ARABIC </w:instrText>
      </w:r>
      <w:r w:rsidR="00C34531">
        <w:fldChar w:fldCharType="separate"/>
      </w:r>
      <w:r w:rsidR="008B5583">
        <w:rPr>
          <w:noProof/>
        </w:rPr>
        <w:t>45</w:t>
      </w:r>
      <w:r w:rsidR="00C34531">
        <w:rPr>
          <w:noProof/>
        </w:rPr>
        <w:fldChar w:fldCharType="end"/>
      </w:r>
      <w:r w:rsidRPr="00CD215E">
        <w:t xml:space="preserve"> Forest plot </w:t>
      </w:r>
      <w:r>
        <w:t>psoriasis</w:t>
      </w:r>
      <w:bookmarkEnd w:id="425"/>
    </w:p>
    <w:p w14:paraId="06B23EBC" w14:textId="77777777" w:rsidR="00FA6FA1" w:rsidRDefault="00C51882" w:rsidP="000526F1">
      <w:pPr>
        <w:keepNext/>
      </w:pPr>
      <w:r w:rsidRPr="00734942">
        <w:rPr>
          <w:noProof/>
        </w:rPr>
        <w:lastRenderedPageBreak/>
        <w:drawing>
          <wp:inline distT="0" distB="0" distL="0" distR="0" wp14:anchorId="056C1E87" wp14:editId="1FDBE11C">
            <wp:extent cx="8643582" cy="2593074"/>
            <wp:effectExtent l="0" t="0" r="5715" b="0"/>
            <wp:docPr id="56" name="Picture 5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ox and whisker chart&#10;&#10;Description automatically generated"/>
                    <pic:cNvPicPr/>
                  </pic:nvPicPr>
                  <pic:blipFill>
                    <a:blip r:embed="rId431"/>
                    <a:stretch>
                      <a:fillRect/>
                    </a:stretch>
                  </pic:blipFill>
                  <pic:spPr>
                    <a:xfrm>
                      <a:off x="0" y="0"/>
                      <a:ext cx="8659811" cy="2597943"/>
                    </a:xfrm>
                    <a:prstGeom prst="rect">
                      <a:avLst/>
                    </a:prstGeom>
                  </pic:spPr>
                </pic:pic>
              </a:graphicData>
            </a:graphic>
          </wp:inline>
        </w:drawing>
      </w:r>
    </w:p>
    <w:p w14:paraId="7BC6632E" w14:textId="67B34E5E" w:rsidR="00C51882" w:rsidRPr="00734942" w:rsidRDefault="00FA6FA1" w:rsidP="000526F1">
      <w:pPr>
        <w:pStyle w:val="Caption"/>
      </w:pPr>
      <w:bookmarkStart w:id="426" w:name="_Toc99720827"/>
      <w:r>
        <w:t xml:space="preserve">Figure </w:t>
      </w:r>
      <w:r w:rsidR="00C34531">
        <w:fldChar w:fldCharType="begin"/>
      </w:r>
      <w:r w:rsidR="00C34531">
        <w:instrText xml:space="preserve"> SEQ Figure \* ARABIC </w:instrText>
      </w:r>
      <w:r w:rsidR="00C34531">
        <w:fldChar w:fldCharType="separate"/>
      </w:r>
      <w:r w:rsidR="008B5583">
        <w:rPr>
          <w:noProof/>
        </w:rPr>
        <w:t>46</w:t>
      </w:r>
      <w:r w:rsidR="00C34531">
        <w:rPr>
          <w:noProof/>
        </w:rPr>
        <w:fldChar w:fldCharType="end"/>
      </w:r>
      <w:r w:rsidRPr="00DE6CFF">
        <w:t xml:space="preserve"> Forest plot </w:t>
      </w:r>
      <w:r>
        <w:t>systemic lupus erythematosus</w:t>
      </w:r>
      <w:bookmarkEnd w:id="426"/>
    </w:p>
    <w:p w14:paraId="04D7E728" w14:textId="77777777" w:rsidR="00C51882" w:rsidRPr="00734942" w:rsidRDefault="00C51882" w:rsidP="00C51882"/>
    <w:p w14:paraId="1FBF4F4F" w14:textId="77777777" w:rsidR="00FA6FA1" w:rsidRDefault="00C51882" w:rsidP="000526F1">
      <w:pPr>
        <w:keepNext/>
      </w:pPr>
      <w:r w:rsidRPr="00734942">
        <w:rPr>
          <w:noProof/>
        </w:rPr>
        <w:lastRenderedPageBreak/>
        <w:drawing>
          <wp:inline distT="0" distB="0" distL="0" distR="0" wp14:anchorId="5157AE43" wp14:editId="2BC517EF">
            <wp:extent cx="8863330" cy="4782820"/>
            <wp:effectExtent l="0" t="0" r="0" b="0"/>
            <wp:docPr id="62" name="Picture 62" descr="A picture containing text, indoor,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indoor, computer&#10;&#10;Description automatically generated"/>
                    <pic:cNvPicPr/>
                  </pic:nvPicPr>
                  <pic:blipFill>
                    <a:blip r:embed="rId432"/>
                    <a:stretch>
                      <a:fillRect/>
                    </a:stretch>
                  </pic:blipFill>
                  <pic:spPr>
                    <a:xfrm>
                      <a:off x="0" y="0"/>
                      <a:ext cx="8863330" cy="4782820"/>
                    </a:xfrm>
                    <a:prstGeom prst="rect">
                      <a:avLst/>
                    </a:prstGeom>
                  </pic:spPr>
                </pic:pic>
              </a:graphicData>
            </a:graphic>
          </wp:inline>
        </w:drawing>
      </w:r>
    </w:p>
    <w:p w14:paraId="69CB9E5A" w14:textId="52962C91" w:rsidR="00C51882" w:rsidRPr="00734942" w:rsidRDefault="00FA6FA1" w:rsidP="000526F1">
      <w:pPr>
        <w:pStyle w:val="Caption"/>
      </w:pPr>
      <w:bookmarkStart w:id="427" w:name="_Toc99720828"/>
      <w:r>
        <w:t xml:space="preserve">Figure </w:t>
      </w:r>
      <w:r w:rsidR="00C34531">
        <w:fldChar w:fldCharType="begin"/>
      </w:r>
      <w:r w:rsidR="00C34531">
        <w:instrText xml:space="preserve"> SEQ Figure \* ARABIC </w:instrText>
      </w:r>
      <w:r w:rsidR="00C34531">
        <w:fldChar w:fldCharType="separate"/>
      </w:r>
      <w:r w:rsidR="008B5583">
        <w:rPr>
          <w:noProof/>
        </w:rPr>
        <w:t>47</w:t>
      </w:r>
      <w:r w:rsidR="00C34531">
        <w:rPr>
          <w:noProof/>
        </w:rPr>
        <w:fldChar w:fldCharType="end"/>
      </w:r>
      <w:r w:rsidRPr="003B1C31">
        <w:t xml:space="preserve"> Forest plot </w:t>
      </w:r>
      <w:r>
        <w:t>subfertility or recurrent pregnancy loss</w:t>
      </w:r>
      <w:bookmarkEnd w:id="427"/>
    </w:p>
    <w:p w14:paraId="7981BAD7" w14:textId="77777777" w:rsidR="00FA6FA1" w:rsidRDefault="00C51882" w:rsidP="000526F1">
      <w:pPr>
        <w:keepNext/>
      </w:pPr>
      <w:r w:rsidRPr="00734942">
        <w:rPr>
          <w:noProof/>
        </w:rPr>
        <w:lastRenderedPageBreak/>
        <w:drawing>
          <wp:inline distT="0" distB="0" distL="0" distR="0" wp14:anchorId="4333EC43" wp14:editId="39FBA846">
            <wp:extent cx="8871045" cy="5322627"/>
            <wp:effectExtent l="0" t="0" r="6350" b="0"/>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433"/>
                    <a:stretch>
                      <a:fillRect/>
                    </a:stretch>
                  </pic:blipFill>
                  <pic:spPr>
                    <a:xfrm>
                      <a:off x="0" y="0"/>
                      <a:ext cx="8890657" cy="5334394"/>
                    </a:xfrm>
                    <a:prstGeom prst="rect">
                      <a:avLst/>
                    </a:prstGeom>
                  </pic:spPr>
                </pic:pic>
              </a:graphicData>
            </a:graphic>
          </wp:inline>
        </w:drawing>
      </w:r>
    </w:p>
    <w:p w14:paraId="4386E512" w14:textId="62384F60" w:rsidR="00C51882" w:rsidRPr="00734942" w:rsidRDefault="00FA6FA1" w:rsidP="000526F1">
      <w:pPr>
        <w:pStyle w:val="Caption"/>
      </w:pPr>
      <w:bookmarkStart w:id="428" w:name="_Toc99720829"/>
      <w:r>
        <w:t xml:space="preserve">Figure </w:t>
      </w:r>
      <w:r w:rsidR="00C34531">
        <w:fldChar w:fldCharType="begin"/>
      </w:r>
      <w:r w:rsidR="00C34531">
        <w:instrText xml:space="preserve"> SEQ Figure \* ARABIC </w:instrText>
      </w:r>
      <w:r w:rsidR="00C34531">
        <w:fldChar w:fldCharType="separate"/>
      </w:r>
      <w:r w:rsidR="008B5583">
        <w:rPr>
          <w:noProof/>
        </w:rPr>
        <w:t>48</w:t>
      </w:r>
      <w:r w:rsidR="00C34531">
        <w:rPr>
          <w:noProof/>
        </w:rPr>
        <w:fldChar w:fldCharType="end"/>
      </w:r>
      <w:r w:rsidRPr="00667D09">
        <w:t xml:space="preserve"> Forest plot </w:t>
      </w:r>
      <w:r>
        <w:t>type 1 diabetes</w:t>
      </w:r>
      <w:bookmarkEnd w:id="428"/>
    </w:p>
    <w:p w14:paraId="5B0F0295" w14:textId="77777777" w:rsidR="00FA6FA1" w:rsidRDefault="00C51882" w:rsidP="000526F1">
      <w:pPr>
        <w:keepNext/>
      </w:pPr>
      <w:r w:rsidRPr="00734942">
        <w:rPr>
          <w:noProof/>
        </w:rPr>
        <w:lastRenderedPageBreak/>
        <w:drawing>
          <wp:inline distT="0" distB="0" distL="0" distR="0" wp14:anchorId="0673486B" wp14:editId="0FADF330">
            <wp:extent cx="8617586" cy="3016155"/>
            <wp:effectExtent l="0" t="0" r="0" b="0"/>
            <wp:docPr id="59" name="Picture 5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 box and whisker chart&#10;&#10;Description automatically generated"/>
                    <pic:cNvPicPr/>
                  </pic:nvPicPr>
                  <pic:blipFill>
                    <a:blip r:embed="rId434"/>
                    <a:stretch>
                      <a:fillRect/>
                    </a:stretch>
                  </pic:blipFill>
                  <pic:spPr>
                    <a:xfrm>
                      <a:off x="0" y="0"/>
                      <a:ext cx="8630714" cy="3020750"/>
                    </a:xfrm>
                    <a:prstGeom prst="rect">
                      <a:avLst/>
                    </a:prstGeom>
                  </pic:spPr>
                </pic:pic>
              </a:graphicData>
            </a:graphic>
          </wp:inline>
        </w:drawing>
      </w:r>
    </w:p>
    <w:p w14:paraId="290EBF7A" w14:textId="2FB474D9" w:rsidR="00C51882" w:rsidRPr="00734942" w:rsidRDefault="00FA6FA1" w:rsidP="000526F1">
      <w:pPr>
        <w:pStyle w:val="Caption"/>
      </w:pPr>
      <w:bookmarkStart w:id="429" w:name="_Toc99720830"/>
      <w:r>
        <w:t xml:space="preserve">Figure </w:t>
      </w:r>
      <w:r w:rsidR="00C34531">
        <w:fldChar w:fldCharType="begin"/>
      </w:r>
      <w:r w:rsidR="00C34531">
        <w:instrText xml:space="preserve"> SEQ Figure \* ARABIC </w:instrText>
      </w:r>
      <w:r w:rsidR="00C34531">
        <w:fldChar w:fldCharType="separate"/>
      </w:r>
      <w:r w:rsidR="008B5583">
        <w:rPr>
          <w:noProof/>
        </w:rPr>
        <w:t>49</w:t>
      </w:r>
      <w:r w:rsidR="00C34531">
        <w:rPr>
          <w:noProof/>
        </w:rPr>
        <w:fldChar w:fldCharType="end"/>
      </w:r>
      <w:r w:rsidRPr="002E2F20">
        <w:t xml:space="preserve"> Forest plot </w:t>
      </w:r>
      <w:r>
        <w:t>type 2 diabetes</w:t>
      </w:r>
      <w:bookmarkEnd w:id="429"/>
    </w:p>
    <w:p w14:paraId="35D4804A" w14:textId="77777777" w:rsidR="00C51882" w:rsidRPr="00734942" w:rsidRDefault="00C51882" w:rsidP="00C51882"/>
    <w:p w14:paraId="344A6FF9" w14:textId="77777777" w:rsidR="00C51882" w:rsidRPr="00734942" w:rsidRDefault="00C51882" w:rsidP="00C51882"/>
    <w:p w14:paraId="7BFBF11D" w14:textId="77777777" w:rsidR="00FA6FA1" w:rsidRDefault="00C51882" w:rsidP="000526F1">
      <w:pPr>
        <w:keepNext/>
      </w:pPr>
      <w:r w:rsidRPr="00734942">
        <w:rPr>
          <w:noProof/>
        </w:rPr>
        <w:lastRenderedPageBreak/>
        <w:drawing>
          <wp:inline distT="0" distB="0" distL="0" distR="0" wp14:anchorId="1F572266" wp14:editId="6CCF721A">
            <wp:extent cx="8863330" cy="4782820"/>
            <wp:effectExtent l="0" t="0" r="0" b="0"/>
            <wp:docPr id="63" name="Picture 6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chart&#10;&#10;Description automatically generated"/>
                    <pic:cNvPicPr/>
                  </pic:nvPicPr>
                  <pic:blipFill>
                    <a:blip r:embed="rId435"/>
                    <a:stretch>
                      <a:fillRect/>
                    </a:stretch>
                  </pic:blipFill>
                  <pic:spPr>
                    <a:xfrm>
                      <a:off x="0" y="0"/>
                      <a:ext cx="8863330" cy="4782820"/>
                    </a:xfrm>
                    <a:prstGeom prst="rect">
                      <a:avLst/>
                    </a:prstGeom>
                  </pic:spPr>
                </pic:pic>
              </a:graphicData>
            </a:graphic>
          </wp:inline>
        </w:drawing>
      </w:r>
    </w:p>
    <w:p w14:paraId="26B67C2D" w14:textId="07F2D246" w:rsidR="00C51882" w:rsidRPr="00734942" w:rsidRDefault="00FA6FA1" w:rsidP="000526F1">
      <w:pPr>
        <w:pStyle w:val="Caption"/>
      </w:pPr>
      <w:bookmarkStart w:id="430" w:name="_Toc99720831"/>
      <w:r>
        <w:t xml:space="preserve">Figure </w:t>
      </w:r>
      <w:r w:rsidR="00C34531">
        <w:fldChar w:fldCharType="begin"/>
      </w:r>
      <w:r w:rsidR="00C34531">
        <w:instrText xml:space="preserve"> SEQ Figure \* ARABIC </w:instrText>
      </w:r>
      <w:r w:rsidR="00C34531">
        <w:fldChar w:fldCharType="separate"/>
      </w:r>
      <w:r w:rsidR="008B5583">
        <w:rPr>
          <w:noProof/>
        </w:rPr>
        <w:t>50</w:t>
      </w:r>
      <w:r w:rsidR="00C34531">
        <w:rPr>
          <w:noProof/>
        </w:rPr>
        <w:fldChar w:fldCharType="end"/>
      </w:r>
      <w:r w:rsidRPr="00770DC2">
        <w:t xml:space="preserve"> Forest plot </w:t>
      </w:r>
      <w:r>
        <w:t>thyroid disease</w:t>
      </w:r>
      <w:bookmarkEnd w:id="430"/>
    </w:p>
    <w:p w14:paraId="4A06779D" w14:textId="77777777" w:rsidR="00C51882" w:rsidRPr="00734942" w:rsidRDefault="00C51882">
      <w:r w:rsidRPr="00734942">
        <w:br w:type="page"/>
      </w:r>
    </w:p>
    <w:p w14:paraId="79CC2C37" w14:textId="77777777" w:rsidR="00C51882" w:rsidRPr="00734942" w:rsidRDefault="00C51882" w:rsidP="00C51882"/>
    <w:p w14:paraId="7731D52F" w14:textId="3710D470" w:rsidR="00C51882" w:rsidRPr="00734942" w:rsidRDefault="00AB61F2" w:rsidP="00357B0B">
      <w:pPr>
        <w:pStyle w:val="Heading3"/>
        <w:numPr>
          <w:ilvl w:val="0"/>
          <w:numId w:val="39"/>
        </w:numPr>
      </w:pPr>
      <w:bookmarkStart w:id="431" w:name="_Toc99539931"/>
      <w:r>
        <w:lastRenderedPageBreak/>
        <w:t>Family history</w:t>
      </w:r>
      <w:bookmarkEnd w:id="431"/>
    </w:p>
    <w:p w14:paraId="726FB939" w14:textId="77777777" w:rsidR="00FA6FA1" w:rsidRDefault="00C51882" w:rsidP="000526F1">
      <w:pPr>
        <w:keepNext/>
      </w:pPr>
      <w:r w:rsidRPr="00734942">
        <w:rPr>
          <w:noProof/>
        </w:rPr>
        <w:drawing>
          <wp:inline distT="0" distB="0" distL="0" distR="0" wp14:anchorId="61A536B0" wp14:editId="1A2FF72D">
            <wp:extent cx="8863330" cy="4782820"/>
            <wp:effectExtent l="0" t="0" r="0" b="0"/>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436"/>
                    <a:stretch>
                      <a:fillRect/>
                    </a:stretch>
                  </pic:blipFill>
                  <pic:spPr>
                    <a:xfrm>
                      <a:off x="0" y="0"/>
                      <a:ext cx="8863330" cy="4782820"/>
                    </a:xfrm>
                    <a:prstGeom prst="rect">
                      <a:avLst/>
                    </a:prstGeom>
                  </pic:spPr>
                </pic:pic>
              </a:graphicData>
            </a:graphic>
          </wp:inline>
        </w:drawing>
      </w:r>
    </w:p>
    <w:p w14:paraId="33CD8F49" w14:textId="6383FF41" w:rsidR="00867E33" w:rsidRDefault="00FA6FA1" w:rsidP="000526F1">
      <w:pPr>
        <w:pStyle w:val="Caption"/>
      </w:pPr>
      <w:bookmarkStart w:id="432" w:name="_Toc99720832"/>
      <w:r>
        <w:t xml:space="preserve">Figure </w:t>
      </w:r>
      <w:r w:rsidR="00C34531">
        <w:fldChar w:fldCharType="begin"/>
      </w:r>
      <w:r w:rsidR="00C34531">
        <w:instrText xml:space="preserve"> SEQ Figure \* ARABIC </w:instrText>
      </w:r>
      <w:r w:rsidR="00C34531">
        <w:fldChar w:fldCharType="separate"/>
      </w:r>
      <w:r w:rsidR="008B5583">
        <w:rPr>
          <w:noProof/>
        </w:rPr>
        <w:t>51</w:t>
      </w:r>
      <w:r w:rsidR="00C34531">
        <w:rPr>
          <w:noProof/>
        </w:rPr>
        <w:fldChar w:fldCharType="end"/>
      </w:r>
      <w:r w:rsidRPr="00316474">
        <w:t xml:space="preserve"> Forest plot </w:t>
      </w:r>
      <w:r>
        <w:t>family history of CD</w:t>
      </w:r>
      <w:bookmarkEnd w:id="432"/>
    </w:p>
    <w:p w14:paraId="10B8312D" w14:textId="5663906C" w:rsidR="00867E33" w:rsidRPr="00734942" w:rsidRDefault="00867E33" w:rsidP="000526F1">
      <w:pPr>
        <w:pStyle w:val="Heading2"/>
        <w:sectPr w:rsidR="00867E33" w:rsidRPr="00734942" w:rsidSect="006658D1">
          <w:pgSz w:w="16838" w:h="11906" w:orient="landscape"/>
          <w:pgMar w:top="1440" w:right="1440" w:bottom="1440" w:left="1440" w:header="709" w:footer="709" w:gutter="0"/>
          <w:cols w:space="708"/>
          <w:docGrid w:linePitch="360"/>
        </w:sectPr>
      </w:pPr>
      <w:r>
        <w:br w:type="page"/>
      </w:r>
    </w:p>
    <w:p w14:paraId="576AE1D9" w14:textId="6A977DE1" w:rsidR="00951CDB" w:rsidRPr="00951CDB" w:rsidRDefault="003D6B99" w:rsidP="000526F1">
      <w:pPr>
        <w:pStyle w:val="Heading2"/>
        <w:rPr>
          <w:rStyle w:val="Heading2Char"/>
        </w:rPr>
      </w:pPr>
      <w:bookmarkStart w:id="433" w:name="_Toc99539932"/>
      <w:bookmarkStart w:id="434" w:name="_Ref86652330"/>
      <w:bookmarkStart w:id="435" w:name="_Ref87523002"/>
      <w:bookmarkStart w:id="436" w:name="_Ref85801584"/>
      <w:r w:rsidRPr="000526F1">
        <w:rPr>
          <w:rStyle w:val="Heading2Char"/>
        </w:rPr>
        <w:lastRenderedPageBreak/>
        <w:t xml:space="preserve">Appendix </w:t>
      </w:r>
      <w:r w:rsidR="00951CDB">
        <w:rPr>
          <w:rStyle w:val="Heading2Char"/>
        </w:rPr>
        <w:t>7</w:t>
      </w:r>
      <w:bookmarkEnd w:id="433"/>
    </w:p>
    <w:p w14:paraId="3B921326" w14:textId="617B6F54" w:rsidR="003D6B99" w:rsidRDefault="003D6B99" w:rsidP="003D6B99">
      <w:pPr>
        <w:keepNext/>
        <w:spacing w:line="240" w:lineRule="auto"/>
      </w:pPr>
      <w:r w:rsidRPr="00734942">
        <w:rPr>
          <w:noProof/>
        </w:rPr>
        <w:drawing>
          <wp:inline distT="0" distB="0" distL="0" distR="0" wp14:anchorId="0125638F" wp14:editId="12691BCD">
            <wp:extent cx="5724525" cy="5353050"/>
            <wp:effectExtent l="0" t="0" r="9525" b="0"/>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5724525" cy="5353050"/>
                    </a:xfrm>
                    <a:prstGeom prst="rect">
                      <a:avLst/>
                    </a:prstGeom>
                    <a:noFill/>
                    <a:ln>
                      <a:noFill/>
                    </a:ln>
                  </pic:spPr>
                </pic:pic>
              </a:graphicData>
            </a:graphic>
          </wp:inline>
        </w:drawing>
      </w:r>
    </w:p>
    <w:p w14:paraId="6DF57471" w14:textId="1DE474CE" w:rsidR="003D6B99" w:rsidRPr="00734942" w:rsidRDefault="003D6B99" w:rsidP="003D6B99">
      <w:pPr>
        <w:pStyle w:val="Caption"/>
      </w:pPr>
      <w:bookmarkStart w:id="437" w:name="_Ref87370002"/>
      <w:bookmarkStart w:id="438" w:name="_Toc99720833"/>
      <w:r>
        <w:t xml:space="preserve">Figure </w:t>
      </w:r>
      <w:r>
        <w:fldChar w:fldCharType="begin"/>
      </w:r>
      <w:r>
        <w:instrText>SEQ Figure \* ARABIC</w:instrText>
      </w:r>
      <w:r>
        <w:fldChar w:fldCharType="separate"/>
      </w:r>
      <w:r w:rsidR="008B5583">
        <w:rPr>
          <w:noProof/>
        </w:rPr>
        <w:t>52</w:t>
      </w:r>
      <w:r>
        <w:fldChar w:fldCharType="end"/>
      </w:r>
      <w:bookmarkEnd w:id="437"/>
      <w:r>
        <w:t xml:space="preserve"> </w:t>
      </w:r>
      <w:r w:rsidRPr="00496A44">
        <w:t>Subgroup analysis stratified by age group and CD diagnosis</w:t>
      </w:r>
      <w:bookmarkEnd w:id="438"/>
    </w:p>
    <w:p w14:paraId="46B5A581" w14:textId="0F207F57" w:rsidR="003D6B99" w:rsidRPr="00734942" w:rsidRDefault="003D6B99" w:rsidP="000526F1">
      <w:pPr>
        <w:spacing w:line="240" w:lineRule="auto"/>
      </w:pPr>
      <w:r w:rsidRPr="00785031">
        <w:rPr>
          <w:sz w:val="20"/>
          <w:szCs w:val="20"/>
        </w:rPr>
        <w:t>Stratified meta-analysis results are shown per diagnostic indicator. Positive predictive values (PPVs) were calculated for a population with a CD prevalence of 1% (red dotted line) using the estimated sensitivities and specificities from the meta-analyses. The area of the box size is proportional to the total number of participants.</w:t>
      </w:r>
    </w:p>
    <w:p w14:paraId="2873BDCA" w14:textId="7D2B120D" w:rsidR="008A3FBF" w:rsidRPr="008A3FBF" w:rsidRDefault="0091037C" w:rsidP="000526F1">
      <w:pPr>
        <w:pStyle w:val="Heading2"/>
        <w:rPr>
          <w:rStyle w:val="Heading2Char"/>
        </w:rPr>
      </w:pPr>
      <w:bookmarkStart w:id="439" w:name="_Toc99539933"/>
      <w:r w:rsidRPr="008A3FBF">
        <w:rPr>
          <w:rStyle w:val="Heading2Char"/>
        </w:rPr>
        <w:lastRenderedPageBreak/>
        <w:t xml:space="preserve">Appendix </w:t>
      </w:r>
      <w:r w:rsidR="008A3FBF">
        <w:rPr>
          <w:rStyle w:val="Heading2Char"/>
        </w:rPr>
        <w:t>8</w:t>
      </w:r>
      <w:bookmarkEnd w:id="439"/>
    </w:p>
    <w:p w14:paraId="419B2EFD" w14:textId="795E0F09" w:rsidR="003D6B99" w:rsidRDefault="003D6B99" w:rsidP="000526F1">
      <w:pPr>
        <w:keepNext/>
        <w:spacing w:after="0" w:line="240" w:lineRule="auto"/>
      </w:pPr>
      <w:r w:rsidRPr="00734942">
        <w:rPr>
          <w:noProof/>
          <w:sz w:val="18"/>
          <w:szCs w:val="18"/>
        </w:rPr>
        <w:drawing>
          <wp:inline distT="0" distB="0" distL="0" distR="0" wp14:anchorId="655C3973" wp14:editId="1E14DC0A">
            <wp:extent cx="5724525" cy="2914650"/>
            <wp:effectExtent l="0" t="0" r="9525" b="0"/>
            <wp:docPr id="42" name="Picture 4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chart&#10;&#10;Description automatically generated"/>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724525" cy="2914650"/>
                    </a:xfrm>
                    <a:prstGeom prst="rect">
                      <a:avLst/>
                    </a:prstGeom>
                    <a:noFill/>
                    <a:ln>
                      <a:noFill/>
                    </a:ln>
                  </pic:spPr>
                </pic:pic>
              </a:graphicData>
            </a:graphic>
          </wp:inline>
        </w:drawing>
      </w:r>
    </w:p>
    <w:p w14:paraId="796673AD" w14:textId="6EF2FD4B" w:rsidR="003D6B99" w:rsidRPr="00734942" w:rsidRDefault="003D6B99" w:rsidP="003D6B99">
      <w:pPr>
        <w:pStyle w:val="Caption"/>
        <w:rPr>
          <w:sz w:val="18"/>
          <w:szCs w:val="18"/>
        </w:rPr>
      </w:pPr>
      <w:bookmarkStart w:id="440" w:name="_Ref87370072"/>
      <w:bookmarkStart w:id="441" w:name="_Toc99720834"/>
      <w:r>
        <w:t xml:space="preserve">Figure </w:t>
      </w:r>
      <w:r>
        <w:fldChar w:fldCharType="begin"/>
      </w:r>
      <w:r>
        <w:instrText>SEQ Figure \* ARABIC</w:instrText>
      </w:r>
      <w:r>
        <w:fldChar w:fldCharType="separate"/>
      </w:r>
      <w:r w:rsidR="008B5583">
        <w:rPr>
          <w:noProof/>
        </w:rPr>
        <w:t>53</w:t>
      </w:r>
      <w:r>
        <w:fldChar w:fldCharType="end"/>
      </w:r>
      <w:bookmarkEnd w:id="440"/>
      <w:r>
        <w:t xml:space="preserve"> </w:t>
      </w:r>
      <w:r w:rsidRPr="00E06792">
        <w:t>Sensitivity analysis restricting to cohort studies</w:t>
      </w:r>
      <w:bookmarkEnd w:id="441"/>
    </w:p>
    <w:p w14:paraId="6A70B6E5" w14:textId="77777777" w:rsidR="003D6B99" w:rsidRPr="00785031" w:rsidRDefault="003D6B99" w:rsidP="003D6B99">
      <w:pPr>
        <w:spacing w:line="240" w:lineRule="auto"/>
        <w:rPr>
          <w:sz w:val="24"/>
          <w:szCs w:val="24"/>
        </w:rPr>
      </w:pPr>
      <w:r w:rsidRPr="00785031">
        <w:rPr>
          <w:sz w:val="20"/>
          <w:szCs w:val="20"/>
        </w:rPr>
        <w:t>Sensitivity meta-analysis on study design. Positive predictive values (PPVs) were calculated for a population with a CD prevalence of 1% (red dotted line) using the estimated sensitivities and specificities from the meta-analyses. The area of the box size is proportional to the total number of participants.</w:t>
      </w:r>
    </w:p>
    <w:p w14:paraId="438BDAA2" w14:textId="77777777" w:rsidR="003D6B99" w:rsidRDefault="003D6B99">
      <w:pPr>
        <w:rPr>
          <w:rFonts w:asciiTheme="majorHAnsi" w:eastAsiaTheme="majorEastAsia" w:hAnsiTheme="majorHAnsi" w:cstheme="majorBidi"/>
          <w:color w:val="2F5496" w:themeColor="accent1" w:themeShade="BF"/>
          <w:sz w:val="26"/>
          <w:szCs w:val="26"/>
        </w:rPr>
      </w:pPr>
      <w:r>
        <w:br w:type="page"/>
      </w:r>
    </w:p>
    <w:p w14:paraId="7121FE6C" w14:textId="77777777" w:rsidR="008C0A20" w:rsidRDefault="008C0A20" w:rsidP="004D2AAC">
      <w:pPr>
        <w:pStyle w:val="Heading2"/>
        <w:sectPr w:rsidR="008C0A20" w:rsidSect="00FC7A72">
          <w:pgSz w:w="11906" w:h="16838"/>
          <w:pgMar w:top="1440" w:right="1440" w:bottom="1440" w:left="1440" w:header="708" w:footer="708" w:gutter="0"/>
          <w:cols w:space="708"/>
          <w:titlePg/>
          <w:docGrid w:linePitch="360"/>
        </w:sectPr>
      </w:pPr>
    </w:p>
    <w:p w14:paraId="51CF8C9E" w14:textId="0ABC70E5" w:rsidR="004E0919" w:rsidRDefault="00547CB5" w:rsidP="004D2AAC">
      <w:pPr>
        <w:pStyle w:val="Heading2"/>
      </w:pPr>
      <w:bookmarkStart w:id="442" w:name="_Toc99539934"/>
      <w:r>
        <w:lastRenderedPageBreak/>
        <w:t>Appendix</w:t>
      </w:r>
      <w:r w:rsidR="004E0919">
        <w:t xml:space="preserve"> </w:t>
      </w:r>
      <w:r w:rsidR="008A3FBF">
        <w:t>9</w:t>
      </w:r>
      <w:bookmarkEnd w:id="442"/>
    </w:p>
    <w:p w14:paraId="56038D45" w14:textId="08CCC1DF" w:rsidR="004E0919" w:rsidRPr="00734942" w:rsidRDefault="004E0919" w:rsidP="004E0919">
      <w:pPr>
        <w:pStyle w:val="Caption"/>
      </w:pPr>
      <w:bookmarkStart w:id="443" w:name="_Ref83907190"/>
      <w:bookmarkStart w:id="444" w:name="_Toc99720762"/>
      <w:r w:rsidRPr="00734942">
        <w:t xml:space="preserve">Table </w:t>
      </w:r>
      <w:r w:rsidRPr="00734942">
        <w:fldChar w:fldCharType="begin"/>
      </w:r>
      <w:r w:rsidRPr="00734942">
        <w:instrText>SEQ Table \* ARABIC</w:instrText>
      </w:r>
      <w:r w:rsidRPr="00734942">
        <w:fldChar w:fldCharType="separate"/>
      </w:r>
      <w:r w:rsidR="008B5583">
        <w:rPr>
          <w:noProof/>
        </w:rPr>
        <w:t>51</w:t>
      </w:r>
      <w:r w:rsidRPr="00734942">
        <w:fldChar w:fldCharType="end"/>
      </w:r>
      <w:bookmarkEnd w:id="443"/>
      <w:r w:rsidRPr="00734942">
        <w:t xml:space="preserve"> Candidate </w:t>
      </w:r>
      <w:r>
        <w:t xml:space="preserve">diagnostic indicator </w:t>
      </w:r>
      <w:r w:rsidRPr="00734942">
        <w:t>definitions and sources</w:t>
      </w:r>
      <w:bookmarkEnd w:id="444"/>
    </w:p>
    <w:p w14:paraId="614F7F68" w14:textId="7E48CD3E" w:rsidR="004E0919" w:rsidRPr="00771042" w:rsidRDefault="004E0919" w:rsidP="004E0919">
      <w:pPr>
        <w:rPr>
          <w:sz w:val="20"/>
          <w:szCs w:val="20"/>
        </w:rPr>
      </w:pPr>
      <w:r w:rsidRPr="00771042">
        <w:rPr>
          <w:sz w:val="20"/>
          <w:szCs w:val="20"/>
        </w:rPr>
        <w:t xml:space="preserve">ICPC2: </w:t>
      </w:r>
      <w:r w:rsidRPr="00734942">
        <w:rPr>
          <w:sz w:val="20"/>
          <w:szCs w:val="20"/>
        </w:rPr>
        <w:t>International Classification of Primary Care</w:t>
      </w:r>
      <w:r>
        <w:rPr>
          <w:sz w:val="20"/>
          <w:szCs w:val="20"/>
        </w:rPr>
        <w:fldChar w:fldCharType="begin"/>
      </w:r>
      <w:r w:rsidR="00735CC0">
        <w:rPr>
          <w:sz w:val="20"/>
          <w:szCs w:val="20"/>
        </w:rPr>
        <w:instrText xml:space="preserve"> ADDIN EN.CITE &lt;EndNote&gt;&lt;Cite&gt;&lt;Author&gt;World Organization of Family Doctors&lt;/Author&gt;&lt;Year&gt;2015&lt;/Year&gt;&lt;RecNum&gt;506&lt;/RecNum&gt;&lt;DisplayText&gt;&lt;style face="superscript"&gt;53&lt;/style&gt;&lt;/DisplayText&gt;&lt;record&gt;&lt;rec-number&gt;506&lt;/rec-number&gt;&lt;foreign-keys&gt;&lt;key app="EN" db-id="tdwrx9xd1z9eepeevr355w2k959rv0f5zaax" timestamp="1636543072"&gt;506&lt;/key&gt;&lt;/foreign-keys&gt;&lt;ref-type name="Journal Article"&gt;17&lt;/ref-type&gt;&lt;contributors&gt;&lt;authors&gt;&lt;author&gt;World Organization of Family Doctors,&lt;/author&gt;&lt;/authors&gt;&lt;/contributors&gt;&lt;titles&gt;&lt;title&gt;International Classification of Primary Care, 2nd edition (ICPC-2)&lt;/title&gt;&lt;/titles&gt;&lt;dates&gt;&lt;year&gt;2015&lt;/year&gt;&lt;/dates&gt;&lt;urls&gt;&lt;related-urls&gt;&lt;url&gt;https://www.globalfamilydoctor.com/groups/WorkingParties/wicc.aspx&lt;/url&gt;&lt;/related-urls&gt;&lt;/urls&gt;&lt;/record&gt;&lt;/Cite&gt;&lt;/EndNote&gt;</w:instrText>
      </w:r>
      <w:r>
        <w:rPr>
          <w:sz w:val="20"/>
          <w:szCs w:val="20"/>
        </w:rPr>
        <w:fldChar w:fldCharType="separate"/>
      </w:r>
      <w:r w:rsidR="00735CC0" w:rsidRPr="00735CC0">
        <w:rPr>
          <w:noProof/>
          <w:sz w:val="20"/>
          <w:szCs w:val="20"/>
          <w:vertAlign w:val="superscript"/>
        </w:rPr>
        <w:t>53</w:t>
      </w:r>
      <w:r>
        <w:rPr>
          <w:sz w:val="20"/>
          <w:szCs w:val="20"/>
        </w:rPr>
        <w:fldChar w:fldCharType="end"/>
      </w:r>
    </w:p>
    <w:tbl>
      <w:tblPr>
        <w:tblStyle w:val="GridTable1Light"/>
        <w:tblW w:w="4984" w:type="pct"/>
        <w:tblLook w:val="04A0" w:firstRow="1" w:lastRow="0" w:firstColumn="1" w:lastColumn="0" w:noHBand="0" w:noVBand="1"/>
      </w:tblPr>
      <w:tblGrid>
        <w:gridCol w:w="1753"/>
        <w:gridCol w:w="7882"/>
        <w:gridCol w:w="1082"/>
        <w:gridCol w:w="1062"/>
        <w:gridCol w:w="1062"/>
        <w:gridCol w:w="1062"/>
      </w:tblGrid>
      <w:tr w:rsidR="004E0919" w:rsidRPr="004771F7" w14:paraId="19B5525F" w14:textId="77777777" w:rsidTr="00F86021">
        <w:trPr>
          <w:cnfStyle w:val="100000000000" w:firstRow="1" w:lastRow="0" w:firstColumn="0" w:lastColumn="0" w:oddVBand="0" w:evenVBand="0" w:oddHBand="0" w:evenHBand="0" w:firstRowFirstColumn="0" w:firstRowLastColumn="0" w:lastRowFirstColumn="0" w:lastRowLastColumn="0"/>
          <w:trHeight w:val="581"/>
          <w:tblHeader/>
        </w:trPr>
        <w:tc>
          <w:tcPr>
            <w:cnfStyle w:val="001000000000" w:firstRow="0" w:lastRow="0" w:firstColumn="1" w:lastColumn="0" w:oddVBand="0" w:evenVBand="0" w:oddHBand="0" w:evenHBand="0" w:firstRowFirstColumn="0" w:firstRowLastColumn="0" w:lastRowFirstColumn="0" w:lastRowLastColumn="0"/>
            <w:tcW w:w="630" w:type="pct"/>
            <w:vAlign w:val="center"/>
            <w:hideMark/>
          </w:tcPr>
          <w:p w14:paraId="41D7B5D6"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Diagnostic indicator</w:t>
            </w:r>
          </w:p>
        </w:tc>
        <w:tc>
          <w:tcPr>
            <w:tcW w:w="2834" w:type="pct"/>
            <w:vAlign w:val="center"/>
            <w:hideMark/>
          </w:tcPr>
          <w:p w14:paraId="0B67B2A7" w14:textId="77777777" w:rsidR="004E0919" w:rsidRPr="004771F7" w:rsidRDefault="004E0919" w:rsidP="00F86021">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Definition (ICPC2 definition where available)</w:t>
            </w:r>
          </w:p>
        </w:tc>
        <w:tc>
          <w:tcPr>
            <w:tcW w:w="389" w:type="pct"/>
            <w:hideMark/>
          </w:tcPr>
          <w:p w14:paraId="243D7754" w14:textId="77777777" w:rsidR="004E0919" w:rsidRPr="004771F7" w:rsidRDefault="004E0919" w:rsidP="00F8602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Diagnostic indicator review</w:t>
            </w:r>
          </w:p>
        </w:tc>
        <w:tc>
          <w:tcPr>
            <w:tcW w:w="382" w:type="pct"/>
            <w:hideMark/>
          </w:tcPr>
          <w:p w14:paraId="65179001" w14:textId="77777777" w:rsidR="004E0919" w:rsidRPr="004771F7" w:rsidRDefault="004E0919" w:rsidP="00F8602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NICE 2015 guidelines</w:t>
            </w:r>
          </w:p>
        </w:tc>
        <w:tc>
          <w:tcPr>
            <w:tcW w:w="382" w:type="pct"/>
            <w:hideMark/>
          </w:tcPr>
          <w:p w14:paraId="53FC62EF" w14:textId="77777777" w:rsidR="004E0919" w:rsidRPr="004771F7" w:rsidRDefault="004E0919" w:rsidP="00F8602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ESPGHAN 2020 guidelines</w:t>
            </w:r>
          </w:p>
        </w:tc>
        <w:tc>
          <w:tcPr>
            <w:tcW w:w="382" w:type="pct"/>
            <w:hideMark/>
          </w:tcPr>
          <w:p w14:paraId="146C4C3C" w14:textId="77777777" w:rsidR="004E0919" w:rsidRPr="004771F7" w:rsidRDefault="004E0919" w:rsidP="00F8602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ESsCD 2019 guidelines</w:t>
            </w:r>
          </w:p>
        </w:tc>
      </w:tr>
      <w:tr w:rsidR="004E0919" w:rsidRPr="004771F7" w14:paraId="31D20CEC" w14:textId="77777777" w:rsidTr="00F86021">
        <w:trPr>
          <w:trHeight w:val="59"/>
        </w:trPr>
        <w:tc>
          <w:tcPr>
            <w:cnfStyle w:val="001000000000" w:firstRow="0" w:lastRow="0" w:firstColumn="1" w:lastColumn="0" w:oddVBand="0" w:evenVBand="0" w:oddHBand="0" w:evenHBand="0" w:firstRowFirstColumn="0" w:firstRowLastColumn="0" w:lastRowFirstColumn="0" w:lastRowLastColumn="0"/>
            <w:tcW w:w="630" w:type="pct"/>
            <w:hideMark/>
          </w:tcPr>
          <w:p w14:paraId="5C25BF4E"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Amenorrhea</w:t>
            </w:r>
          </w:p>
        </w:tc>
        <w:tc>
          <w:tcPr>
            <w:tcW w:w="2834" w:type="pct"/>
            <w:hideMark/>
          </w:tcPr>
          <w:p w14:paraId="2F29076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Primary and secondary amenorrhoea, i.e., the absence or cessation of menstruation</w:t>
            </w:r>
          </w:p>
        </w:tc>
        <w:tc>
          <w:tcPr>
            <w:tcW w:w="389" w:type="pct"/>
            <w:hideMark/>
          </w:tcPr>
          <w:p w14:paraId="540DBBC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2DE8C3F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55B1AC7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C317E9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1D6A825"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624677B3"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Anaemia</w:t>
            </w:r>
          </w:p>
        </w:tc>
        <w:tc>
          <w:tcPr>
            <w:tcW w:w="2834" w:type="pct"/>
            <w:hideMark/>
          </w:tcPr>
          <w:p w14:paraId="446AF02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Any iron deficiency anaemia (B80), including anaemia due to blood loss.</w:t>
            </w:r>
          </w:p>
        </w:tc>
        <w:tc>
          <w:tcPr>
            <w:tcW w:w="389" w:type="pct"/>
            <w:vMerge w:val="restart"/>
            <w:hideMark/>
          </w:tcPr>
          <w:p w14:paraId="558D12F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201D6A0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2379F97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19634EE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63DFC7E"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72FD5E11"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7D0EAF1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iron deficiency without anaemia T91</w:t>
            </w:r>
          </w:p>
        </w:tc>
        <w:tc>
          <w:tcPr>
            <w:tcW w:w="389" w:type="pct"/>
            <w:vMerge/>
            <w:hideMark/>
          </w:tcPr>
          <w:p w14:paraId="375F8AA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6757E4C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31F1005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05A6ACC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40E46571"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730C5732"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Arthritis</w:t>
            </w:r>
          </w:p>
        </w:tc>
        <w:tc>
          <w:tcPr>
            <w:tcW w:w="2834" w:type="pct"/>
            <w:hideMark/>
          </w:tcPr>
          <w:p w14:paraId="3B7A08C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Rheumatoid/seropositive arthritis, allied condition: ankylosing spondylitis; allied condition: juvenile arthritis (L88)</w:t>
            </w:r>
          </w:p>
        </w:tc>
        <w:tc>
          <w:tcPr>
            <w:tcW w:w="389" w:type="pct"/>
            <w:vMerge w:val="restart"/>
            <w:hideMark/>
          </w:tcPr>
          <w:p w14:paraId="53B0B98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3DCB339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3786C16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47B68A4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3F8C486E"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1514861B"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4F697C6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psoriatic arthropathy L99</w:t>
            </w:r>
          </w:p>
        </w:tc>
        <w:tc>
          <w:tcPr>
            <w:tcW w:w="389" w:type="pct"/>
            <w:vMerge/>
            <w:hideMark/>
          </w:tcPr>
          <w:p w14:paraId="1CD70112"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7F50CE1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59FFAEF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40E8D6F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r>
      <w:tr w:rsidR="004E0919" w:rsidRPr="004771F7" w14:paraId="303C0E3A"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03C3775C"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Attention-deficit disorder/cognitive impairment</w:t>
            </w:r>
          </w:p>
        </w:tc>
        <w:tc>
          <w:tcPr>
            <w:tcW w:w="2834" w:type="pct"/>
            <w:hideMark/>
          </w:tcPr>
          <w:p w14:paraId="7CC6BE43"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hyperkinetic disorder, attention deficit disorder (ADD), hyperactivity (P81); cognitive impairment</w:t>
            </w:r>
          </w:p>
        </w:tc>
        <w:tc>
          <w:tcPr>
            <w:tcW w:w="389" w:type="pct"/>
            <w:hideMark/>
          </w:tcPr>
          <w:p w14:paraId="6F7E193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39AE73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78A6044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13FEC79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F1F3092" w14:textId="77777777" w:rsidTr="00F86021">
        <w:trPr>
          <w:trHeight w:val="1199"/>
        </w:trPr>
        <w:tc>
          <w:tcPr>
            <w:cnfStyle w:val="001000000000" w:firstRow="0" w:lastRow="0" w:firstColumn="1" w:lastColumn="0" w:oddVBand="0" w:evenVBand="0" w:oddHBand="0" w:evenHBand="0" w:firstRowFirstColumn="0" w:firstRowLastColumn="0" w:lastRowFirstColumn="0" w:lastRowLastColumn="0"/>
            <w:tcW w:w="630" w:type="pct"/>
            <w:hideMark/>
          </w:tcPr>
          <w:p w14:paraId="0AFA9227"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Cardiovascular disease</w:t>
            </w:r>
          </w:p>
        </w:tc>
        <w:tc>
          <w:tcPr>
            <w:tcW w:w="2834" w:type="pct"/>
            <w:hideMark/>
          </w:tcPr>
          <w:p w14:paraId="49C595C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Atherosclerosis/peripheral vascular disease, arterial embolism/thrombosis/stenosis; arteriosclerosis; atheroma; endarteritis; gangrene; intermittent claudication; limb ischaemia; Raynaud's syndrome; vasospasm (K92); Acute myocardial infarction (K75); Ischaemic heart disease with angina, angina of effort; angina pectoris; angina with spasm; ischaemic chest pain; unstable angina (K74); Ischaemic heart disease without angina, aneurysm of heart; arteriosclerotic/atherosclerotic heart disease; coronary artery disease; ischaemic cardiomyopathy; old myocardial infarction; silent myocardial ischaemia (K76); Stroke/cerebrovascular accident, apoplexy; cerebral embolism/infarction/thrombosis/occlusion/ stenosis/haemorrhage; cerebrovascular accident (CVA); subarachnoid haemorrhage (K90); Transient cerebral ischaemia, basilar insufficiency; drop attacks; transient global amnesia; transient ischaemic attack (TIA) (K89)</w:t>
            </w:r>
          </w:p>
        </w:tc>
        <w:tc>
          <w:tcPr>
            <w:tcW w:w="389" w:type="pct"/>
            <w:hideMark/>
          </w:tcPr>
          <w:p w14:paraId="3C106C5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5D19B03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3D89B03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663A8C2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2E64615E"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1A9735AC"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Chronic liver disease</w:t>
            </w:r>
          </w:p>
        </w:tc>
        <w:tc>
          <w:tcPr>
            <w:tcW w:w="2834" w:type="pct"/>
            <w:hideMark/>
          </w:tcPr>
          <w:p w14:paraId="35F2B8D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Liver disease NOS, alcohol hepatitis; cirrhosis; fatty liver; hepatitis NOS; liver failure; portal hypertension (D97); Viral hepatitis (D72)</w:t>
            </w:r>
          </w:p>
        </w:tc>
        <w:tc>
          <w:tcPr>
            <w:tcW w:w="389" w:type="pct"/>
            <w:hideMark/>
          </w:tcPr>
          <w:p w14:paraId="3BAAC4A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2147611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4A644CB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4E05D3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56F6E70"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5BF825F1"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Delayed puberty</w:t>
            </w:r>
          </w:p>
        </w:tc>
        <w:tc>
          <w:tcPr>
            <w:tcW w:w="2834" w:type="pct"/>
            <w:hideMark/>
          </w:tcPr>
          <w:p w14:paraId="59D483B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Delayed puberty is when boys have no signs of testicular development by 14 years of age, girls have not started to develop breasts by 13 years of age, or they have developed breasts, but their periods have not started by 15 (NHS)</w:t>
            </w:r>
          </w:p>
        </w:tc>
        <w:tc>
          <w:tcPr>
            <w:tcW w:w="389" w:type="pct"/>
            <w:hideMark/>
          </w:tcPr>
          <w:p w14:paraId="48CEC6C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3FAD517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771BBF8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E90D60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625F4DE7" w14:textId="77777777" w:rsidTr="00F86021">
        <w:trPr>
          <w:trHeight w:val="309"/>
        </w:trPr>
        <w:tc>
          <w:tcPr>
            <w:cnfStyle w:val="001000000000" w:firstRow="0" w:lastRow="0" w:firstColumn="1" w:lastColumn="0" w:oddVBand="0" w:evenVBand="0" w:oddHBand="0" w:evenHBand="0" w:firstRowFirstColumn="0" w:firstRowLastColumn="0" w:lastRowFirstColumn="0" w:lastRowLastColumn="0"/>
            <w:tcW w:w="630" w:type="pct"/>
            <w:hideMark/>
          </w:tcPr>
          <w:p w14:paraId="6EEC7276"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Dental enamel defects</w:t>
            </w:r>
          </w:p>
        </w:tc>
        <w:tc>
          <w:tcPr>
            <w:tcW w:w="2834" w:type="pct"/>
            <w:hideMark/>
          </w:tcPr>
          <w:p w14:paraId="7FF0066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Enamel hypoplasia, dental enamel defects</w:t>
            </w:r>
          </w:p>
        </w:tc>
        <w:tc>
          <w:tcPr>
            <w:tcW w:w="389" w:type="pct"/>
            <w:hideMark/>
          </w:tcPr>
          <w:p w14:paraId="3632D99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7D1470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29F7A1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B1C93D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480D9DE4"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7D3C91B9" w14:textId="77777777" w:rsidR="004E0919" w:rsidRPr="004771F7" w:rsidRDefault="004E0919" w:rsidP="00F86021">
            <w:pPr>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Down</w:t>
            </w:r>
            <w:r w:rsidRPr="004771F7">
              <w:rPr>
                <w:rFonts w:ascii="Calibri" w:eastAsia="Times New Roman" w:hAnsi="Calibri" w:cs="Calibri"/>
                <w:color w:val="000000"/>
                <w:sz w:val="20"/>
                <w:szCs w:val="20"/>
                <w:lang w:eastAsia="en-GB"/>
              </w:rPr>
              <w:t xml:space="preserve"> syndrome</w:t>
            </w:r>
          </w:p>
        </w:tc>
        <w:tc>
          <w:tcPr>
            <w:tcW w:w="2834" w:type="pct"/>
            <w:hideMark/>
          </w:tcPr>
          <w:p w14:paraId="17AF5B3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Down</w:t>
            </w:r>
            <w:r w:rsidRPr="004771F7">
              <w:rPr>
                <w:rFonts w:ascii="Calibri" w:eastAsia="Times New Roman" w:hAnsi="Calibri" w:cs="Calibri"/>
                <w:color w:val="000000"/>
                <w:sz w:val="20"/>
                <w:szCs w:val="20"/>
                <w:lang w:eastAsia="en-GB"/>
              </w:rPr>
              <w:t xml:space="preserve"> syndrome</w:t>
            </w:r>
          </w:p>
        </w:tc>
        <w:tc>
          <w:tcPr>
            <w:tcW w:w="389" w:type="pct"/>
            <w:hideMark/>
          </w:tcPr>
          <w:p w14:paraId="3D4C4F3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3388985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A49693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D566FD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76B980D0"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4D6F074C"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lastRenderedPageBreak/>
              <w:t>Epilepsy</w:t>
            </w:r>
          </w:p>
        </w:tc>
        <w:tc>
          <w:tcPr>
            <w:tcW w:w="2834" w:type="pct"/>
            <w:hideMark/>
          </w:tcPr>
          <w:p w14:paraId="3777D5C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All types of epilepsy, focal seizures; generalized seizures; grand mal; petit mal; status epilepticus (N88), convulsion N07</w:t>
            </w:r>
          </w:p>
        </w:tc>
        <w:tc>
          <w:tcPr>
            <w:tcW w:w="389" w:type="pct"/>
            <w:hideMark/>
          </w:tcPr>
          <w:p w14:paraId="0B515E6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4BA076B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65F6C1F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467AF94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0BAB14D"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458FA6F8"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Failure to thrive</w:t>
            </w:r>
            <w:r w:rsidRPr="004771F7">
              <w:rPr>
                <w:rFonts w:ascii="Calibri" w:eastAsia="Times New Roman" w:hAnsi="Calibri" w:cs="Calibri"/>
                <w:color w:val="000000"/>
                <w:sz w:val="16"/>
                <w:szCs w:val="16"/>
                <w:lang w:eastAsia="en-GB"/>
              </w:rPr>
              <w:t> </w:t>
            </w:r>
          </w:p>
        </w:tc>
        <w:tc>
          <w:tcPr>
            <w:tcW w:w="2834" w:type="pct"/>
            <w:hideMark/>
          </w:tcPr>
          <w:p w14:paraId="3305583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failure to thrive, physiological delay growth (T10)</w:t>
            </w:r>
          </w:p>
        </w:tc>
        <w:tc>
          <w:tcPr>
            <w:tcW w:w="389" w:type="pct"/>
            <w:vMerge w:val="restart"/>
            <w:hideMark/>
          </w:tcPr>
          <w:p w14:paraId="6F1684A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4DEB135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X</w:t>
            </w:r>
          </w:p>
        </w:tc>
        <w:tc>
          <w:tcPr>
            <w:tcW w:w="382" w:type="pct"/>
            <w:vMerge w:val="restart"/>
            <w:hideMark/>
          </w:tcPr>
          <w:p w14:paraId="4E51DE6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X </w:t>
            </w:r>
          </w:p>
        </w:tc>
        <w:tc>
          <w:tcPr>
            <w:tcW w:w="382" w:type="pct"/>
            <w:vMerge w:val="restart"/>
            <w:hideMark/>
          </w:tcPr>
          <w:p w14:paraId="35CCE6B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X</w:t>
            </w:r>
          </w:p>
        </w:tc>
      </w:tr>
      <w:tr w:rsidR="004E0919" w:rsidRPr="004771F7" w14:paraId="290A54E0"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653095C3"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13EE3BE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delayed milestones P22; learning disorder P24; mental retardation P85; delayed puberty T99</w:t>
            </w:r>
          </w:p>
        </w:tc>
        <w:tc>
          <w:tcPr>
            <w:tcW w:w="389" w:type="pct"/>
            <w:vMerge/>
            <w:hideMark/>
          </w:tcPr>
          <w:p w14:paraId="357D9DA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2F16167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7D68A44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32740C5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r>
      <w:tr w:rsidR="004E0919" w:rsidRPr="004771F7" w14:paraId="2625380B" w14:textId="77777777" w:rsidTr="00F86021">
        <w:trPr>
          <w:trHeight w:val="300"/>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0C66E51A"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Fatigue</w:t>
            </w:r>
          </w:p>
        </w:tc>
        <w:tc>
          <w:tcPr>
            <w:tcW w:w="2834" w:type="pct"/>
            <w:hideMark/>
          </w:tcPr>
          <w:p w14:paraId="626FD41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Weakness/tiredness general, chronic fatigue syndrome; exhaustion; fatigue; lassitude; lethargy; post viral fatigue (A04)</w:t>
            </w:r>
          </w:p>
        </w:tc>
        <w:tc>
          <w:tcPr>
            <w:tcW w:w="389" w:type="pct"/>
            <w:vMerge w:val="restart"/>
            <w:hideMark/>
          </w:tcPr>
          <w:p w14:paraId="772922D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0029944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562B28D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50CB666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0B2BFC81"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7CE3CCAB"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4A2FB1A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malaise/feeling ill A05; drowsiness A29; heat exhaustion A88; jetlag A88; Systemic lupus erythematosusep disturbance P06</w:t>
            </w:r>
          </w:p>
        </w:tc>
        <w:tc>
          <w:tcPr>
            <w:tcW w:w="389" w:type="pct"/>
            <w:vMerge/>
            <w:hideMark/>
          </w:tcPr>
          <w:p w14:paraId="22C0604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4939D47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4A97AE52"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38074D4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58FB7E71" w14:textId="77777777" w:rsidTr="00F86021">
        <w:trPr>
          <w:trHeight w:val="292"/>
        </w:trPr>
        <w:tc>
          <w:tcPr>
            <w:cnfStyle w:val="001000000000" w:firstRow="0" w:lastRow="0" w:firstColumn="1" w:lastColumn="0" w:oddVBand="0" w:evenVBand="0" w:oddHBand="0" w:evenHBand="0" w:firstRowFirstColumn="0" w:firstRowLastColumn="0" w:lastRowFirstColumn="0" w:lastRowLastColumn="0"/>
            <w:tcW w:w="630" w:type="pct"/>
            <w:hideMark/>
          </w:tcPr>
          <w:p w14:paraId="31828953"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First degree relatives of CD</w:t>
            </w:r>
          </w:p>
        </w:tc>
        <w:tc>
          <w:tcPr>
            <w:tcW w:w="2834" w:type="pct"/>
            <w:hideMark/>
          </w:tcPr>
          <w:p w14:paraId="77DB124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Parent, sibling, or child with coeliac disease</w:t>
            </w:r>
          </w:p>
        </w:tc>
        <w:tc>
          <w:tcPr>
            <w:tcW w:w="389" w:type="pct"/>
            <w:hideMark/>
          </w:tcPr>
          <w:p w14:paraId="2A59724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44810BA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25A87F3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4C25961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09619875"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432E9496"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Fractures</w:t>
            </w:r>
            <w:r w:rsidRPr="004771F7">
              <w:rPr>
                <w:rFonts w:ascii="Calibri" w:eastAsia="Times New Roman" w:hAnsi="Calibri" w:cs="Calibri"/>
                <w:color w:val="000000"/>
                <w:sz w:val="16"/>
                <w:szCs w:val="16"/>
                <w:lang w:eastAsia="en-GB"/>
              </w:rPr>
              <w:t> </w:t>
            </w:r>
          </w:p>
        </w:tc>
        <w:tc>
          <w:tcPr>
            <w:tcW w:w="2834" w:type="pct"/>
            <w:hideMark/>
          </w:tcPr>
          <w:p w14:paraId="6D0708A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radius/ulna fracture (L72), tibia/fibula fracture (L73), hand/foot bone fracture (L74), femur fracture (L75), other fractures (76)</w:t>
            </w:r>
          </w:p>
        </w:tc>
        <w:tc>
          <w:tcPr>
            <w:tcW w:w="389" w:type="pct"/>
            <w:vMerge w:val="restart"/>
            <w:hideMark/>
          </w:tcPr>
          <w:p w14:paraId="41E4819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764BF58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5B1782C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2FFFF4D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095BE9BC"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00226FA3"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44217D5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pathological fracture (osteoporosis) L95; pathological fracture NOS L99; non-union L99</w:t>
            </w:r>
          </w:p>
        </w:tc>
        <w:tc>
          <w:tcPr>
            <w:tcW w:w="389" w:type="pct"/>
            <w:vMerge/>
            <w:hideMark/>
          </w:tcPr>
          <w:p w14:paraId="53D2EE4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5E0C7A2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1FB61763"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27ABEAD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r>
      <w:tr w:rsidR="004E0919" w:rsidRPr="004771F7" w14:paraId="1B06144F"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26227F4E"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Gastrointestinal symptoms</w:t>
            </w:r>
          </w:p>
        </w:tc>
        <w:tc>
          <w:tcPr>
            <w:tcW w:w="2834" w:type="pct"/>
            <w:hideMark/>
          </w:tcPr>
          <w:p w14:paraId="147A9B0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abdominal colic; abdominal cramps/discomfort/pain NOS; infant colic (D01), heartburn, acidity, waterbrash (D03), epigastric pain (D02); dyspepsia/indigestion (D07); oesophagitis/reflux (D84), flatulence/gas/belching D08, bloating; eructation; gas pains; gaseous distension; passing wind; or abdominal distension (abdominal swelling without mass) D25, Constipation, faecal impaction (D12), Diarrhoea, frequent/loose bowel movements; watery stools (D11), Vomiting, emesis; hyperemesis; retching (D10); Nausea (D09).</w:t>
            </w:r>
          </w:p>
        </w:tc>
        <w:tc>
          <w:tcPr>
            <w:tcW w:w="389" w:type="pct"/>
            <w:vMerge w:val="restart"/>
            <w:hideMark/>
          </w:tcPr>
          <w:p w14:paraId="3E9AC85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5303A4A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4DD0F46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643D3423"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1C9B78C" w14:textId="77777777" w:rsidTr="00F86021">
        <w:trPr>
          <w:trHeight w:val="315"/>
        </w:trPr>
        <w:tc>
          <w:tcPr>
            <w:cnfStyle w:val="001000000000" w:firstRow="0" w:lastRow="0" w:firstColumn="1" w:lastColumn="0" w:oddVBand="0" w:evenVBand="0" w:oddHBand="0" w:evenHBand="0" w:firstRowFirstColumn="0" w:firstRowLastColumn="0" w:lastRowFirstColumn="0" w:lastRowLastColumn="0"/>
            <w:tcW w:w="630" w:type="pct"/>
            <w:vMerge/>
            <w:hideMark/>
          </w:tcPr>
          <w:p w14:paraId="5345DC43"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3A1FCDB5"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epigastric ache D02; other localized abdominal pain D06; biliary colic D98; renal colic U14; dysmenorrhoea X02, abdominal mass D24; ascites D29, ileus D99, melaena D15; change in faeces/bowel movements D18, haematemesis D14; vomiting in pregnancy W05, feelings of over-eating D02;alcohol induced nausea P16; loss of appetite T03; nausea in pregnancy W05.</w:t>
            </w:r>
          </w:p>
        </w:tc>
        <w:tc>
          <w:tcPr>
            <w:tcW w:w="389" w:type="pct"/>
            <w:vMerge/>
            <w:hideMark/>
          </w:tcPr>
          <w:p w14:paraId="71236AA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76BF509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2483E5C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7314032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1C6D45AB"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129361AF"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Hyposplenism or functional asplenia</w:t>
            </w:r>
          </w:p>
        </w:tc>
        <w:tc>
          <w:tcPr>
            <w:tcW w:w="2834" w:type="pct"/>
            <w:hideMark/>
          </w:tcPr>
          <w:p w14:paraId="3B1738A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Hyposplenism (reduced splenic functioning) or functional asplenia (absence of normal spleen function), including splenectomy</w:t>
            </w:r>
          </w:p>
        </w:tc>
        <w:tc>
          <w:tcPr>
            <w:tcW w:w="389" w:type="pct"/>
            <w:hideMark/>
          </w:tcPr>
          <w:p w14:paraId="04E58D2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7565D2C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5E534D6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3CCCEB5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7D09DA73"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27167B87"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IgA deficiency</w:t>
            </w:r>
          </w:p>
        </w:tc>
        <w:tc>
          <w:tcPr>
            <w:tcW w:w="2834" w:type="pct"/>
            <w:hideMark/>
          </w:tcPr>
          <w:p w14:paraId="248DABA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IgA deficiency</w:t>
            </w:r>
          </w:p>
        </w:tc>
        <w:tc>
          <w:tcPr>
            <w:tcW w:w="389" w:type="pct"/>
            <w:hideMark/>
          </w:tcPr>
          <w:p w14:paraId="6A00108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1F8798A3"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2FF76D8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42316C0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3C090452"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7E0E576C"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IgA nephropathy</w:t>
            </w:r>
          </w:p>
        </w:tc>
        <w:tc>
          <w:tcPr>
            <w:tcW w:w="2834" w:type="pct"/>
            <w:hideMark/>
          </w:tcPr>
          <w:p w14:paraId="073CCEF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Also known as Berger's disease</w:t>
            </w:r>
          </w:p>
        </w:tc>
        <w:tc>
          <w:tcPr>
            <w:tcW w:w="389" w:type="pct"/>
            <w:hideMark/>
          </w:tcPr>
          <w:p w14:paraId="42DB74A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7817E01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46FDE5D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15676E8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7F18CD28"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40F7833F"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lastRenderedPageBreak/>
              <w:t>Inflammatory bowel disease</w:t>
            </w:r>
          </w:p>
        </w:tc>
        <w:tc>
          <w:tcPr>
            <w:tcW w:w="2834" w:type="pct"/>
            <w:hideMark/>
          </w:tcPr>
          <w:p w14:paraId="7272F05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Inflammatory bowel disease (IBD) is a term for two conditions (Crohn's disease and ulcerative colitis) that are characterized by chronic inflammation of the gastrointestinal (GI) tract.</w:t>
            </w:r>
          </w:p>
        </w:tc>
        <w:tc>
          <w:tcPr>
            <w:tcW w:w="389" w:type="pct"/>
            <w:hideMark/>
          </w:tcPr>
          <w:p w14:paraId="3E7AF50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E16C2A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1A36EBA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47FAE46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898F54D" w14:textId="77777777" w:rsidTr="00F86021">
        <w:trPr>
          <w:trHeight w:val="338"/>
        </w:trPr>
        <w:tc>
          <w:tcPr>
            <w:cnfStyle w:val="001000000000" w:firstRow="0" w:lastRow="0" w:firstColumn="1" w:lastColumn="0" w:oddVBand="0" w:evenVBand="0" w:oddHBand="0" w:evenHBand="0" w:firstRowFirstColumn="0" w:firstRowLastColumn="0" w:lastRowFirstColumn="0" w:lastRowLastColumn="0"/>
            <w:tcW w:w="630" w:type="pct"/>
            <w:hideMark/>
          </w:tcPr>
          <w:p w14:paraId="758368E5"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Iron, vitamin B12, or folate deficiency</w:t>
            </w:r>
          </w:p>
        </w:tc>
        <w:tc>
          <w:tcPr>
            <w:tcW w:w="2834" w:type="pct"/>
            <w:hideMark/>
          </w:tcPr>
          <w:p w14:paraId="4D5C12A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Anaemia vit B12/folate deficiency, macrocytic anaemia, pernicious anaemia (B81); vit B12 deficiency without anaemia T91, iron deficiency without anaemia</w:t>
            </w:r>
          </w:p>
        </w:tc>
        <w:tc>
          <w:tcPr>
            <w:tcW w:w="389" w:type="pct"/>
            <w:hideMark/>
          </w:tcPr>
          <w:p w14:paraId="60445513"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3880B3E3"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C81DA3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C9D462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r>
      <w:tr w:rsidR="004E0919" w:rsidRPr="004771F7" w14:paraId="51796566" w14:textId="77777777" w:rsidTr="00F86021">
        <w:trPr>
          <w:trHeight w:val="300"/>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3F07481D"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 xml:space="preserve">Irritability </w:t>
            </w:r>
          </w:p>
        </w:tc>
        <w:tc>
          <w:tcPr>
            <w:tcW w:w="2834" w:type="pct"/>
            <w:hideMark/>
          </w:tcPr>
          <w:p w14:paraId="156662C5"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Feeling/behaving irritable/angry, agitation NOS; restlessness NOS (P04)</w:t>
            </w:r>
          </w:p>
        </w:tc>
        <w:tc>
          <w:tcPr>
            <w:tcW w:w="389" w:type="pct"/>
            <w:vMerge w:val="restart"/>
            <w:hideMark/>
          </w:tcPr>
          <w:p w14:paraId="13E7D81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4058B60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264B163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299EF06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61A550FA" w14:textId="77777777" w:rsidTr="00F86021">
        <w:trPr>
          <w:trHeight w:val="315"/>
        </w:trPr>
        <w:tc>
          <w:tcPr>
            <w:cnfStyle w:val="001000000000" w:firstRow="0" w:lastRow="0" w:firstColumn="1" w:lastColumn="0" w:oddVBand="0" w:evenVBand="0" w:oddHBand="0" w:evenHBand="0" w:firstRowFirstColumn="0" w:firstRowLastColumn="0" w:lastRowFirstColumn="0" w:lastRowLastColumn="0"/>
            <w:tcW w:w="630" w:type="pct"/>
            <w:vMerge/>
            <w:hideMark/>
          </w:tcPr>
          <w:p w14:paraId="3933ECEC"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1814DEA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overactive child P22; irritability in partner Z13</w:t>
            </w:r>
          </w:p>
        </w:tc>
        <w:tc>
          <w:tcPr>
            <w:tcW w:w="389" w:type="pct"/>
            <w:vMerge/>
            <w:hideMark/>
          </w:tcPr>
          <w:p w14:paraId="73AF242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210AEAC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3ADE6D0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020A5681"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r>
      <w:tr w:rsidR="004E0919" w:rsidRPr="004771F7" w14:paraId="6D07F2E6"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1E2076EB"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Irritable bowel syndrome</w:t>
            </w:r>
          </w:p>
        </w:tc>
        <w:tc>
          <w:tcPr>
            <w:tcW w:w="2834" w:type="pct"/>
            <w:hideMark/>
          </w:tcPr>
          <w:p w14:paraId="5E7ED5A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Irritable bowel syndrome (D93), spastic colon</w:t>
            </w:r>
          </w:p>
        </w:tc>
        <w:tc>
          <w:tcPr>
            <w:tcW w:w="389" w:type="pct"/>
            <w:vMerge w:val="restart"/>
            <w:hideMark/>
          </w:tcPr>
          <w:p w14:paraId="42D7886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61982F8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26654283"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15B572F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3182CF47" w14:textId="77777777" w:rsidTr="00F86021">
        <w:trPr>
          <w:trHeight w:val="315"/>
        </w:trPr>
        <w:tc>
          <w:tcPr>
            <w:cnfStyle w:val="001000000000" w:firstRow="0" w:lastRow="0" w:firstColumn="1" w:lastColumn="0" w:oddVBand="0" w:evenVBand="0" w:oddHBand="0" w:evenHBand="0" w:firstRowFirstColumn="0" w:firstRowLastColumn="0" w:lastRowFirstColumn="0" w:lastRowLastColumn="0"/>
            <w:tcW w:w="630" w:type="pct"/>
            <w:vMerge/>
            <w:hideMark/>
          </w:tcPr>
          <w:p w14:paraId="64FE4FD9"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0B4A201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gastrointestinal infection D70; gastroenteritis presumed infection D73; regional enteritis D94; allergic/dietetic/toxic gastroenteritis/colitis D99; vascular insufficiency of gut D99; psychogenic diarrhoea P75</w:t>
            </w:r>
          </w:p>
        </w:tc>
        <w:tc>
          <w:tcPr>
            <w:tcW w:w="389" w:type="pct"/>
            <w:vMerge/>
            <w:hideMark/>
          </w:tcPr>
          <w:p w14:paraId="35BCAC5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222BD3E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066E1AE5"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490A76F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7E2A7368" w14:textId="77777777" w:rsidTr="00F86021">
        <w:trPr>
          <w:trHeight w:val="300"/>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02569FB4"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Migraine or headaches</w:t>
            </w:r>
          </w:p>
        </w:tc>
        <w:tc>
          <w:tcPr>
            <w:tcW w:w="2834" w:type="pct"/>
            <w:hideMark/>
          </w:tcPr>
          <w:p w14:paraId="503965C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Headache, post-traumatic headache (N01); migraine N89; cluster headache N90; tension headache N95</w:t>
            </w:r>
          </w:p>
        </w:tc>
        <w:tc>
          <w:tcPr>
            <w:tcW w:w="389" w:type="pct"/>
            <w:vMerge w:val="restart"/>
            <w:hideMark/>
          </w:tcPr>
          <w:p w14:paraId="45015AC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600487F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28E007D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vMerge w:val="restart"/>
            <w:hideMark/>
          </w:tcPr>
          <w:p w14:paraId="359A5E8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504A7131" w14:textId="77777777" w:rsidTr="00F86021">
        <w:trPr>
          <w:trHeight w:val="315"/>
        </w:trPr>
        <w:tc>
          <w:tcPr>
            <w:cnfStyle w:val="001000000000" w:firstRow="0" w:lastRow="0" w:firstColumn="1" w:lastColumn="0" w:oddVBand="0" w:evenVBand="0" w:oddHBand="0" w:evenHBand="0" w:firstRowFirstColumn="0" w:firstRowLastColumn="0" w:lastRowFirstColumn="0" w:lastRowLastColumn="0"/>
            <w:tcW w:w="630" w:type="pct"/>
            <w:vMerge/>
            <w:hideMark/>
          </w:tcPr>
          <w:p w14:paraId="3D9A465B"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6289E859"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cervicogenic headache L83; face pain N03; atypical facial neuralgia N99; sinus pain R09; post-herpetic pain S70</w:t>
            </w:r>
          </w:p>
        </w:tc>
        <w:tc>
          <w:tcPr>
            <w:tcW w:w="389" w:type="pct"/>
            <w:vMerge/>
            <w:hideMark/>
          </w:tcPr>
          <w:p w14:paraId="5FA38F9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20C9B92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75D1DB32"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382" w:type="pct"/>
            <w:vMerge/>
            <w:hideMark/>
          </w:tcPr>
          <w:p w14:paraId="0ED303E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29120EF1" w14:textId="77777777" w:rsidTr="00F86021">
        <w:trPr>
          <w:trHeight w:val="525"/>
        </w:trPr>
        <w:tc>
          <w:tcPr>
            <w:cnfStyle w:val="001000000000" w:firstRow="0" w:lastRow="0" w:firstColumn="1" w:lastColumn="0" w:oddVBand="0" w:evenVBand="0" w:oddHBand="0" w:evenHBand="0" w:firstRowFirstColumn="0" w:firstRowLastColumn="0" w:lastRowFirstColumn="0" w:lastRowLastColumn="0"/>
            <w:tcW w:w="630" w:type="pct"/>
            <w:hideMark/>
          </w:tcPr>
          <w:p w14:paraId="52E53353"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 xml:space="preserve">Mood disorders </w:t>
            </w:r>
          </w:p>
        </w:tc>
        <w:tc>
          <w:tcPr>
            <w:tcW w:w="2834" w:type="pct"/>
            <w:hideMark/>
          </w:tcPr>
          <w:p w14:paraId="3DEEDEC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Depressive disorder, depressive neurosis/psychosis; mixed anxiety and depression; puerperal/postnatal depression; reactive depression (P76); affective psychosis, bipolar disorder; hypomania; mania; manic depression (P73)</w:t>
            </w:r>
          </w:p>
        </w:tc>
        <w:tc>
          <w:tcPr>
            <w:tcW w:w="389" w:type="pct"/>
            <w:hideMark/>
          </w:tcPr>
          <w:p w14:paraId="0FE55A2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6CC0462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275165D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78BDEBF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9FF5585"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34D3ED9F"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Multiple sclerosis</w:t>
            </w:r>
          </w:p>
        </w:tc>
        <w:tc>
          <w:tcPr>
            <w:tcW w:w="2834" w:type="pct"/>
            <w:hideMark/>
          </w:tcPr>
          <w:p w14:paraId="414FBDD6"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Multiple sclerosis, disseminated sclerosis (N86)</w:t>
            </w:r>
          </w:p>
        </w:tc>
        <w:tc>
          <w:tcPr>
            <w:tcW w:w="389" w:type="pct"/>
            <w:hideMark/>
          </w:tcPr>
          <w:p w14:paraId="2B3282C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4BCEC894"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56F1C4E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141AFA4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33BD92DC" w14:textId="77777777" w:rsidTr="00F86021">
        <w:trPr>
          <w:trHeight w:val="780"/>
        </w:trPr>
        <w:tc>
          <w:tcPr>
            <w:cnfStyle w:val="001000000000" w:firstRow="0" w:lastRow="0" w:firstColumn="1" w:lastColumn="0" w:oddVBand="0" w:evenVBand="0" w:oddHBand="0" w:evenHBand="0" w:firstRowFirstColumn="0" w:firstRowLastColumn="0" w:lastRowFirstColumn="0" w:lastRowLastColumn="0"/>
            <w:tcW w:w="630" w:type="pct"/>
            <w:hideMark/>
          </w:tcPr>
          <w:p w14:paraId="0380BB38"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Neuropathy or ataxia</w:t>
            </w:r>
          </w:p>
        </w:tc>
        <w:tc>
          <w:tcPr>
            <w:tcW w:w="2834" w:type="pct"/>
            <w:hideMark/>
          </w:tcPr>
          <w:p w14:paraId="7C9AF60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Peripheral neuritis/neuropathy, acute infective polyneuropathy; diabetic neuropathy (double code with T89, T90); Guillain-Barre syndrome; nerve lesion; neuropathy; phantom limb (N94); Neurological symptom/complaint other, ataxia; gait abnormality; limping; meningism (N29)</w:t>
            </w:r>
          </w:p>
        </w:tc>
        <w:tc>
          <w:tcPr>
            <w:tcW w:w="389" w:type="pct"/>
            <w:hideMark/>
          </w:tcPr>
          <w:p w14:paraId="5FDD94E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2A74A6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6DE000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DB3BF4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A467297" w14:textId="77777777" w:rsidTr="00F86021">
        <w:trPr>
          <w:trHeight w:val="525"/>
        </w:trPr>
        <w:tc>
          <w:tcPr>
            <w:cnfStyle w:val="001000000000" w:firstRow="0" w:lastRow="0" w:firstColumn="1" w:lastColumn="0" w:oddVBand="0" w:evenVBand="0" w:oddHBand="0" w:evenHBand="0" w:firstRowFirstColumn="0" w:firstRowLastColumn="0" w:lastRowFirstColumn="0" w:lastRowLastColumn="0"/>
            <w:tcW w:w="630" w:type="pct"/>
            <w:hideMark/>
          </w:tcPr>
          <w:p w14:paraId="0AB7BEC4"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Osteoporosis</w:t>
            </w:r>
          </w:p>
        </w:tc>
        <w:tc>
          <w:tcPr>
            <w:tcW w:w="2834" w:type="pct"/>
            <w:hideMark/>
          </w:tcPr>
          <w:p w14:paraId="461E2B90"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osteoporosis, pathological fracture due to osteoporosis (L95); Osteomalacia, osteopenia, decreased bone mineralization</w:t>
            </w:r>
          </w:p>
        </w:tc>
        <w:tc>
          <w:tcPr>
            <w:tcW w:w="389" w:type="pct"/>
            <w:hideMark/>
          </w:tcPr>
          <w:p w14:paraId="0E79FC4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8D09FE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6949A1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DE877B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0BCE344"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1BA6D809"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Pancreatitis</w:t>
            </w:r>
          </w:p>
        </w:tc>
        <w:tc>
          <w:tcPr>
            <w:tcW w:w="2834" w:type="pct"/>
            <w:hideMark/>
          </w:tcPr>
          <w:p w14:paraId="6ABA8831"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Unexplained acute or chronic pancreatitis</w:t>
            </w:r>
          </w:p>
        </w:tc>
        <w:tc>
          <w:tcPr>
            <w:tcW w:w="389" w:type="pct"/>
            <w:hideMark/>
          </w:tcPr>
          <w:p w14:paraId="11079F1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6C6FD0C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18AA74A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5E4A3AC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4512FCF"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496789C9"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Psoriasis</w:t>
            </w:r>
          </w:p>
        </w:tc>
        <w:tc>
          <w:tcPr>
            <w:tcW w:w="2834" w:type="pct"/>
            <w:hideMark/>
          </w:tcPr>
          <w:p w14:paraId="241DB4F2"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Psoriasis (S91)</w:t>
            </w:r>
          </w:p>
        </w:tc>
        <w:tc>
          <w:tcPr>
            <w:tcW w:w="389" w:type="pct"/>
            <w:hideMark/>
          </w:tcPr>
          <w:p w14:paraId="22B361F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56C2D19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0AF088C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48BBB66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D2B28B9"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19A4005A"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Pulmonary haemosiderosis</w:t>
            </w:r>
          </w:p>
        </w:tc>
        <w:tc>
          <w:tcPr>
            <w:tcW w:w="2834" w:type="pct"/>
            <w:hideMark/>
          </w:tcPr>
          <w:p w14:paraId="43AE429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Pulmonary haemosiderosis</w:t>
            </w:r>
          </w:p>
        </w:tc>
        <w:tc>
          <w:tcPr>
            <w:tcW w:w="389" w:type="pct"/>
            <w:hideMark/>
          </w:tcPr>
          <w:p w14:paraId="0F3DF9D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7A69C86"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2DCF9E5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10FA4B6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56C1C911" w14:textId="77777777" w:rsidTr="00F86021">
        <w:trPr>
          <w:trHeight w:val="401"/>
        </w:trPr>
        <w:tc>
          <w:tcPr>
            <w:cnfStyle w:val="001000000000" w:firstRow="0" w:lastRow="0" w:firstColumn="1" w:lastColumn="0" w:oddVBand="0" w:evenVBand="0" w:oddHBand="0" w:evenHBand="0" w:firstRowFirstColumn="0" w:firstRowLastColumn="0" w:lastRowFirstColumn="0" w:lastRowLastColumn="0"/>
            <w:tcW w:w="630" w:type="pct"/>
            <w:hideMark/>
          </w:tcPr>
          <w:p w14:paraId="2BC6228A"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Raised liver enzymes</w:t>
            </w:r>
          </w:p>
        </w:tc>
        <w:tc>
          <w:tcPr>
            <w:tcW w:w="2834" w:type="pct"/>
            <w:hideMark/>
          </w:tcPr>
          <w:p w14:paraId="6B27E02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Elevated liver enzymes (including Alanine transaminase (ALT), Aspartate transaminase (AST), Alkaline phosphatase (ALP), Gamma-glutamyl transpeptidase (GGT)</w:t>
            </w:r>
          </w:p>
        </w:tc>
        <w:tc>
          <w:tcPr>
            <w:tcW w:w="389" w:type="pct"/>
            <w:hideMark/>
          </w:tcPr>
          <w:p w14:paraId="73CFE23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926E12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398686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8EA7CC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01922EFA"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634B64DE"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lastRenderedPageBreak/>
              <w:t>Severe or persistent mouth ulcers</w:t>
            </w:r>
          </w:p>
        </w:tc>
        <w:tc>
          <w:tcPr>
            <w:tcW w:w="2834" w:type="pct"/>
            <w:hideMark/>
          </w:tcPr>
          <w:p w14:paraId="5E6994BA"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Severe or persistent mouth ulcers including recurrent aphthous stomatitis</w:t>
            </w:r>
          </w:p>
        </w:tc>
        <w:tc>
          <w:tcPr>
            <w:tcW w:w="389" w:type="pct"/>
            <w:hideMark/>
          </w:tcPr>
          <w:p w14:paraId="137B9BFC"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081BC20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2BF04CB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CBB896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430E7F6E" w14:textId="77777777" w:rsidTr="00F86021">
        <w:trPr>
          <w:trHeight w:val="558"/>
        </w:trPr>
        <w:tc>
          <w:tcPr>
            <w:cnfStyle w:val="001000000000" w:firstRow="0" w:lastRow="0" w:firstColumn="1" w:lastColumn="0" w:oddVBand="0" w:evenVBand="0" w:oddHBand="0" w:evenHBand="0" w:firstRowFirstColumn="0" w:firstRowLastColumn="0" w:lastRowFirstColumn="0" w:lastRowLastColumn="0"/>
            <w:tcW w:w="630" w:type="pct"/>
            <w:hideMark/>
          </w:tcPr>
          <w:p w14:paraId="6020CD0A"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Subfertility or recurrent miscarriage</w:t>
            </w:r>
          </w:p>
        </w:tc>
        <w:tc>
          <w:tcPr>
            <w:tcW w:w="2834" w:type="pct"/>
            <w:hideMark/>
          </w:tcPr>
          <w:p w14:paraId="6566D68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Abortion spontaneous, abortion complete/incomplete/missed/habitual, miscarriage (W82); Infertility/subfertility female, primary and secondary sterility (W15)</w:t>
            </w:r>
          </w:p>
        </w:tc>
        <w:tc>
          <w:tcPr>
            <w:tcW w:w="389" w:type="pct"/>
            <w:hideMark/>
          </w:tcPr>
          <w:p w14:paraId="3540821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6CC453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6587142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0A1E2F7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4740801" w14:textId="77777777" w:rsidTr="00F86021">
        <w:trPr>
          <w:trHeight w:val="265"/>
        </w:trPr>
        <w:tc>
          <w:tcPr>
            <w:cnfStyle w:val="001000000000" w:firstRow="0" w:lastRow="0" w:firstColumn="1" w:lastColumn="0" w:oddVBand="0" w:evenVBand="0" w:oddHBand="0" w:evenHBand="0" w:firstRowFirstColumn="0" w:firstRowLastColumn="0" w:lastRowFirstColumn="0" w:lastRowLastColumn="0"/>
            <w:tcW w:w="630" w:type="pct"/>
            <w:hideMark/>
          </w:tcPr>
          <w:p w14:paraId="1E3B6B17"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Systemic lupus erythematosus</w:t>
            </w:r>
          </w:p>
        </w:tc>
        <w:tc>
          <w:tcPr>
            <w:tcW w:w="2834" w:type="pct"/>
            <w:hideMark/>
          </w:tcPr>
          <w:p w14:paraId="688819C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Systemic lupus erythematosus</w:t>
            </w:r>
          </w:p>
        </w:tc>
        <w:tc>
          <w:tcPr>
            <w:tcW w:w="389" w:type="pct"/>
            <w:hideMark/>
          </w:tcPr>
          <w:p w14:paraId="48530CD7"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35206A8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37A2748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6E5D82E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r>
      <w:tr w:rsidR="004E0919" w:rsidRPr="004771F7" w14:paraId="1FEF7AFE" w14:textId="77777777" w:rsidTr="00F86021">
        <w:trPr>
          <w:trHeight w:val="525"/>
        </w:trPr>
        <w:tc>
          <w:tcPr>
            <w:cnfStyle w:val="001000000000" w:firstRow="0" w:lastRow="0" w:firstColumn="1" w:lastColumn="0" w:oddVBand="0" w:evenVBand="0" w:oddHBand="0" w:evenHBand="0" w:firstRowFirstColumn="0" w:firstRowLastColumn="0" w:lastRowFirstColumn="0" w:lastRowLastColumn="0"/>
            <w:tcW w:w="630" w:type="pct"/>
            <w:hideMark/>
          </w:tcPr>
          <w:p w14:paraId="4263BC72"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Thyroid disease</w:t>
            </w:r>
          </w:p>
        </w:tc>
        <w:tc>
          <w:tcPr>
            <w:tcW w:w="2834" w:type="pct"/>
            <w:hideMark/>
          </w:tcPr>
          <w:p w14:paraId="0741301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Thyroiditis, autoimmune Thyroiditis, hypothyroidism, hyperthyroidism, Graves’ disease, goiter, Hashimoto thyroiditis, Painless thyroiditis (silent thyroiditis), Subacute thyroiditis, Graves’ disease, excluding Postpartum thyroiditis</w:t>
            </w:r>
          </w:p>
        </w:tc>
        <w:tc>
          <w:tcPr>
            <w:tcW w:w="389" w:type="pct"/>
            <w:hideMark/>
          </w:tcPr>
          <w:p w14:paraId="6ADEB18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C4E6E32"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67E67DA8"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06F7BD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6D673786"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414E3478"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Turner syndrome</w:t>
            </w:r>
          </w:p>
        </w:tc>
        <w:tc>
          <w:tcPr>
            <w:tcW w:w="2834" w:type="pct"/>
            <w:hideMark/>
          </w:tcPr>
          <w:p w14:paraId="703FC365"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Turner syndrome</w:t>
            </w:r>
          </w:p>
        </w:tc>
        <w:tc>
          <w:tcPr>
            <w:tcW w:w="389" w:type="pct"/>
            <w:hideMark/>
          </w:tcPr>
          <w:p w14:paraId="5937F7CB"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532A1B8F"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1701D9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152CA94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59B5B7A0"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2BCA0000"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Type 1 Diabetes</w:t>
            </w:r>
          </w:p>
        </w:tc>
        <w:tc>
          <w:tcPr>
            <w:tcW w:w="2834" w:type="pct"/>
            <w:hideMark/>
          </w:tcPr>
          <w:p w14:paraId="7F6EBE43"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fr-FR" w:eastAsia="en-GB"/>
              </w:rPr>
            </w:pPr>
            <w:r w:rsidRPr="004771F7">
              <w:rPr>
                <w:rFonts w:ascii="Calibri" w:eastAsia="Times New Roman" w:hAnsi="Calibri" w:cs="Calibri"/>
                <w:color w:val="000000"/>
                <w:sz w:val="20"/>
                <w:szCs w:val="20"/>
                <w:lang w:val="fr-FR" w:eastAsia="en-GB"/>
              </w:rPr>
              <w:t>Type 1 Diabetes, includes juvenile diabetes or insulin-dependent diabetes (T89)</w:t>
            </w:r>
          </w:p>
        </w:tc>
        <w:tc>
          <w:tcPr>
            <w:tcW w:w="389" w:type="pct"/>
            <w:hideMark/>
          </w:tcPr>
          <w:p w14:paraId="56860E5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6FE21A11"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500EE9E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6730E45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r w:rsidR="004E0919" w:rsidRPr="004771F7" w14:paraId="6FBCBFB7"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hideMark/>
          </w:tcPr>
          <w:p w14:paraId="2B5247EC"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Type 2 Diabetes</w:t>
            </w:r>
          </w:p>
        </w:tc>
        <w:tc>
          <w:tcPr>
            <w:tcW w:w="2834" w:type="pct"/>
            <w:hideMark/>
          </w:tcPr>
          <w:p w14:paraId="0E9DF790" w14:textId="77777777" w:rsidR="004E0919" w:rsidRPr="006F38A8"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pt-BR" w:eastAsia="en-GB"/>
              </w:rPr>
            </w:pPr>
            <w:r w:rsidRPr="006F38A8">
              <w:rPr>
                <w:rFonts w:ascii="Calibri" w:eastAsia="Times New Roman" w:hAnsi="Calibri" w:cs="Calibri"/>
                <w:color w:val="000000"/>
                <w:sz w:val="20"/>
                <w:szCs w:val="20"/>
                <w:lang w:val="pt-BR" w:eastAsia="en-GB"/>
              </w:rPr>
              <w:t>Type 2 Diabetes, includes diabetes NOS; late onset diabetes; type 2 diabetes (T90)</w:t>
            </w:r>
          </w:p>
        </w:tc>
        <w:tc>
          <w:tcPr>
            <w:tcW w:w="389" w:type="pct"/>
            <w:hideMark/>
          </w:tcPr>
          <w:p w14:paraId="5D2F061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70094B5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hideMark/>
          </w:tcPr>
          <w:p w14:paraId="2F9D12AA"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382" w:type="pct"/>
            <w:hideMark/>
          </w:tcPr>
          <w:p w14:paraId="37E1E28B"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r>
      <w:tr w:rsidR="004E0919" w:rsidRPr="004771F7" w14:paraId="479ABB49"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val="restart"/>
            <w:hideMark/>
          </w:tcPr>
          <w:p w14:paraId="3713CBCA"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Weight loss</w:t>
            </w:r>
          </w:p>
        </w:tc>
        <w:tc>
          <w:tcPr>
            <w:tcW w:w="2834" w:type="pct"/>
            <w:hideMark/>
          </w:tcPr>
          <w:p w14:paraId="0D7DC50D"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Includes: Weight loss, cachexia (T08)</w:t>
            </w:r>
          </w:p>
        </w:tc>
        <w:tc>
          <w:tcPr>
            <w:tcW w:w="389" w:type="pct"/>
            <w:vMerge w:val="restart"/>
            <w:hideMark/>
          </w:tcPr>
          <w:p w14:paraId="2CFD2DD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07D4215E"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7010D695"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vMerge w:val="restart"/>
            <w:hideMark/>
          </w:tcPr>
          <w:p w14:paraId="5104FE4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r>
      <w:tr w:rsidR="004E0919" w:rsidRPr="004771F7" w14:paraId="1E0F1EFD" w14:textId="77777777" w:rsidTr="00F86021">
        <w:trPr>
          <w:trHeight w:val="79"/>
        </w:trPr>
        <w:tc>
          <w:tcPr>
            <w:cnfStyle w:val="001000000000" w:firstRow="0" w:lastRow="0" w:firstColumn="1" w:lastColumn="0" w:oddVBand="0" w:evenVBand="0" w:oddHBand="0" w:evenHBand="0" w:firstRowFirstColumn="0" w:firstRowLastColumn="0" w:lastRowFirstColumn="0" w:lastRowLastColumn="0"/>
            <w:tcW w:w="630" w:type="pct"/>
            <w:vMerge/>
            <w:hideMark/>
          </w:tcPr>
          <w:p w14:paraId="160FB7CA" w14:textId="77777777" w:rsidR="004E0919" w:rsidRPr="004771F7" w:rsidRDefault="004E0919" w:rsidP="00F86021">
            <w:pPr>
              <w:rPr>
                <w:rFonts w:ascii="Calibri" w:eastAsia="Times New Roman" w:hAnsi="Calibri" w:cs="Calibri"/>
                <w:color w:val="000000"/>
                <w:sz w:val="20"/>
                <w:szCs w:val="20"/>
                <w:lang w:eastAsia="en-GB"/>
              </w:rPr>
            </w:pPr>
          </w:p>
        </w:tc>
        <w:tc>
          <w:tcPr>
            <w:tcW w:w="2834" w:type="pct"/>
            <w:hideMark/>
          </w:tcPr>
          <w:p w14:paraId="740A72CF"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Excludes: anorexia nervosa P86</w:t>
            </w:r>
          </w:p>
        </w:tc>
        <w:tc>
          <w:tcPr>
            <w:tcW w:w="389" w:type="pct"/>
            <w:vMerge/>
            <w:hideMark/>
          </w:tcPr>
          <w:p w14:paraId="4FE35267"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5EDD2623"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650CFC0E"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82" w:type="pct"/>
            <w:vMerge/>
            <w:hideMark/>
          </w:tcPr>
          <w:p w14:paraId="3E2EA224"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4E0919" w:rsidRPr="004771F7" w14:paraId="52565453" w14:textId="77777777" w:rsidTr="00F86021">
        <w:trPr>
          <w:trHeight w:val="255"/>
        </w:trPr>
        <w:tc>
          <w:tcPr>
            <w:cnfStyle w:val="001000000000" w:firstRow="0" w:lastRow="0" w:firstColumn="1" w:lastColumn="0" w:oddVBand="0" w:evenVBand="0" w:oddHBand="0" w:evenHBand="0" w:firstRowFirstColumn="0" w:firstRowLastColumn="0" w:lastRowFirstColumn="0" w:lastRowLastColumn="0"/>
            <w:tcW w:w="630" w:type="pct"/>
            <w:hideMark/>
          </w:tcPr>
          <w:p w14:paraId="45249691" w14:textId="77777777" w:rsidR="004E0919" w:rsidRPr="004771F7" w:rsidRDefault="004E0919" w:rsidP="00F86021">
            <w:pPr>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Williams-Beuren syndrome</w:t>
            </w:r>
          </w:p>
        </w:tc>
        <w:tc>
          <w:tcPr>
            <w:tcW w:w="2834" w:type="pct"/>
            <w:hideMark/>
          </w:tcPr>
          <w:p w14:paraId="27B11D88" w14:textId="77777777" w:rsidR="004E0919" w:rsidRPr="004771F7" w:rsidRDefault="004E0919" w:rsidP="00F8602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Also known as Williams syndrome</w:t>
            </w:r>
          </w:p>
        </w:tc>
        <w:tc>
          <w:tcPr>
            <w:tcW w:w="389" w:type="pct"/>
            <w:hideMark/>
          </w:tcPr>
          <w:p w14:paraId="50C6B09D"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71725870"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c>
          <w:tcPr>
            <w:tcW w:w="382" w:type="pct"/>
            <w:hideMark/>
          </w:tcPr>
          <w:p w14:paraId="4AB7C5FC"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4771F7">
              <w:rPr>
                <w:rFonts w:ascii="Calibri" w:eastAsia="Times New Roman" w:hAnsi="Calibri" w:cs="Calibri"/>
                <w:color w:val="000000"/>
                <w:sz w:val="20"/>
                <w:szCs w:val="20"/>
                <w:lang w:eastAsia="en-GB"/>
              </w:rPr>
              <w:t>X</w:t>
            </w:r>
          </w:p>
        </w:tc>
        <w:tc>
          <w:tcPr>
            <w:tcW w:w="382" w:type="pct"/>
            <w:hideMark/>
          </w:tcPr>
          <w:p w14:paraId="073333C9" w14:textId="77777777" w:rsidR="004E0919" w:rsidRPr="004771F7" w:rsidRDefault="004E0919" w:rsidP="00F8602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771F7">
              <w:rPr>
                <w:rFonts w:ascii="Calibri" w:eastAsia="Times New Roman" w:hAnsi="Calibri" w:cs="Calibri"/>
                <w:color w:val="000000"/>
                <w:lang w:eastAsia="en-GB"/>
              </w:rPr>
              <w:t> </w:t>
            </w:r>
          </w:p>
        </w:tc>
      </w:tr>
    </w:tbl>
    <w:p w14:paraId="54EDD7BB" w14:textId="77777777" w:rsidR="004E0919" w:rsidRDefault="004E0919" w:rsidP="004E0919"/>
    <w:p w14:paraId="437A0A22" w14:textId="77777777" w:rsidR="004E0919" w:rsidRPr="00734942" w:rsidRDefault="004E0919" w:rsidP="004E0919"/>
    <w:p w14:paraId="2091988F" w14:textId="53E2B383" w:rsidR="004E0919" w:rsidRDefault="004E0919" w:rsidP="000526F1">
      <w:pPr>
        <w:pStyle w:val="Heading2"/>
      </w:pPr>
      <w:r>
        <w:br w:type="page"/>
      </w:r>
      <w:bookmarkStart w:id="445" w:name="_Toc99539935"/>
      <w:r w:rsidR="008C0A20">
        <w:lastRenderedPageBreak/>
        <w:t xml:space="preserve">Appendix </w:t>
      </w:r>
      <w:r w:rsidR="008A3FBF">
        <w:t>10</w:t>
      </w:r>
      <w:bookmarkEnd w:id="445"/>
    </w:p>
    <w:p w14:paraId="699820BB" w14:textId="77777777" w:rsidR="008C0A20" w:rsidRDefault="008C0A20" w:rsidP="008C0A20">
      <w:pPr>
        <w:pStyle w:val="Caption"/>
      </w:pPr>
      <w:r>
        <w:rPr>
          <w:noProof/>
        </w:rPr>
        <w:drawing>
          <wp:inline distT="0" distB="0" distL="0" distR="0" wp14:anchorId="0CD1DD8E" wp14:editId="6A2D391F">
            <wp:extent cx="8163560" cy="4523740"/>
            <wp:effectExtent l="0" t="0" r="8890" b="0"/>
            <wp:docPr id="45" name="Picture 4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imeline&#10;&#10;Description automatically generated"/>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8163560" cy="4523740"/>
                    </a:xfrm>
                    <a:prstGeom prst="rect">
                      <a:avLst/>
                    </a:prstGeom>
                    <a:noFill/>
                  </pic:spPr>
                </pic:pic>
              </a:graphicData>
            </a:graphic>
          </wp:inline>
        </w:drawing>
      </w:r>
    </w:p>
    <w:p w14:paraId="0C2C96EE" w14:textId="601DA9B0" w:rsidR="008C0A20" w:rsidRDefault="008C0A20" w:rsidP="008C0A20">
      <w:pPr>
        <w:pStyle w:val="Caption"/>
      </w:pPr>
      <w:bookmarkStart w:id="446" w:name="_Ref87356634"/>
      <w:bookmarkStart w:id="447" w:name="_Toc99720835"/>
      <w:r w:rsidRPr="00734942">
        <w:t xml:space="preserve">Figure </w:t>
      </w:r>
      <w:r>
        <w:fldChar w:fldCharType="begin"/>
      </w:r>
      <w:r>
        <w:instrText>SEQ Figure \* ARABIC</w:instrText>
      </w:r>
      <w:r>
        <w:fldChar w:fldCharType="separate"/>
      </w:r>
      <w:r w:rsidR="008B5583">
        <w:rPr>
          <w:noProof/>
        </w:rPr>
        <w:t>54</w:t>
      </w:r>
      <w:r>
        <w:fldChar w:fldCharType="end"/>
      </w:r>
      <w:bookmarkEnd w:id="446"/>
      <w:r w:rsidRPr="00734942">
        <w:t xml:space="preserve"> Patient flow diagram development </w:t>
      </w:r>
      <w:r>
        <w:t xml:space="preserve">(CPRD Gold) and external validation </w:t>
      </w:r>
      <w:r w:rsidRPr="00734942">
        <w:t>dataset</w:t>
      </w:r>
      <w:r>
        <w:t xml:space="preserve"> (CPRD Aurum)</w:t>
      </w:r>
      <w:bookmarkEnd w:id="447"/>
    </w:p>
    <w:p w14:paraId="25A6D8A4" w14:textId="77777777" w:rsidR="008C0A20" w:rsidRDefault="008C0A20" w:rsidP="008C0A20">
      <w:pPr>
        <w:rPr>
          <w:i/>
          <w:iCs/>
          <w:color w:val="44546A" w:themeColor="text2"/>
        </w:rPr>
      </w:pPr>
      <w:r>
        <w:br w:type="page"/>
      </w:r>
    </w:p>
    <w:p w14:paraId="402A627B" w14:textId="77777777" w:rsidR="008C0A20" w:rsidRDefault="008C0A20">
      <w:pPr>
        <w:rPr>
          <w:rFonts w:asciiTheme="majorHAnsi" w:eastAsiaTheme="majorEastAsia" w:hAnsiTheme="majorHAnsi" w:cstheme="majorBidi"/>
          <w:color w:val="2F5496" w:themeColor="accent1" w:themeShade="BF"/>
          <w:sz w:val="26"/>
          <w:szCs w:val="26"/>
        </w:rPr>
        <w:sectPr w:rsidR="008C0A20" w:rsidSect="000526F1">
          <w:pgSz w:w="16838" w:h="11906" w:orient="landscape"/>
          <w:pgMar w:top="1440" w:right="1440" w:bottom="1440" w:left="1440" w:header="709" w:footer="709" w:gutter="0"/>
          <w:cols w:space="708"/>
          <w:titlePg/>
          <w:docGrid w:linePitch="360"/>
        </w:sectPr>
      </w:pPr>
    </w:p>
    <w:p w14:paraId="2B0A1BEC" w14:textId="59D1282D" w:rsidR="00D21D11" w:rsidRPr="00734942" w:rsidRDefault="004D2AAC" w:rsidP="004D2AAC">
      <w:pPr>
        <w:pStyle w:val="Heading2"/>
      </w:pPr>
      <w:bookmarkStart w:id="448" w:name="_Ref95137073"/>
      <w:bookmarkStart w:id="449" w:name="_Toc99539936"/>
      <w:r w:rsidRPr="00734942">
        <w:lastRenderedPageBreak/>
        <w:t xml:space="preserve">Appendix </w:t>
      </w:r>
      <w:bookmarkEnd w:id="434"/>
      <w:r w:rsidR="008A3FBF">
        <w:t>11</w:t>
      </w:r>
      <w:bookmarkEnd w:id="435"/>
      <w:bookmarkEnd w:id="448"/>
      <w:bookmarkEnd w:id="449"/>
    </w:p>
    <w:p w14:paraId="1C25E107" w14:textId="5C7750A0" w:rsidR="00C41EC1" w:rsidRPr="00734942" w:rsidRDefault="00147AE9" w:rsidP="000526F1">
      <w:pPr>
        <w:pStyle w:val="Caption"/>
      </w:pPr>
      <w:bookmarkStart w:id="450" w:name="_Ref95317207"/>
      <w:bookmarkStart w:id="451" w:name="_Toc99720763"/>
      <w:r>
        <w:t xml:space="preserve">Table </w:t>
      </w:r>
      <w:r w:rsidR="00C34531">
        <w:fldChar w:fldCharType="begin"/>
      </w:r>
      <w:r w:rsidR="00C34531">
        <w:instrText xml:space="preserve"> SEQ Table \* ARABIC </w:instrText>
      </w:r>
      <w:r w:rsidR="00C34531">
        <w:fldChar w:fldCharType="separate"/>
      </w:r>
      <w:r w:rsidR="008B5583">
        <w:rPr>
          <w:noProof/>
        </w:rPr>
        <w:t>52</w:t>
      </w:r>
      <w:r w:rsidR="00C34531">
        <w:rPr>
          <w:noProof/>
        </w:rPr>
        <w:fldChar w:fldCharType="end"/>
      </w:r>
      <w:bookmarkEnd w:id="450"/>
      <w:r>
        <w:t xml:space="preserve">  Children: </w:t>
      </w:r>
      <w:r w:rsidRPr="000F0782">
        <w:t>Model coefficients and ORs with and without shrinkage applied</w:t>
      </w:r>
      <w:bookmarkEnd w:id="436"/>
      <w:bookmarkEnd w:id="451"/>
    </w:p>
    <w:tbl>
      <w:tblPr>
        <w:tblW w:w="0" w:type="auto"/>
        <w:tblCellMar>
          <w:left w:w="0" w:type="dxa"/>
          <w:right w:w="0" w:type="dxa"/>
        </w:tblCellMar>
        <w:tblLook w:val="0600" w:firstRow="0" w:lastRow="0" w:firstColumn="0" w:lastColumn="0" w:noHBand="1" w:noVBand="1"/>
      </w:tblPr>
      <w:tblGrid>
        <w:gridCol w:w="1184"/>
        <w:gridCol w:w="999"/>
        <w:gridCol w:w="1288"/>
        <w:gridCol w:w="1218"/>
        <w:gridCol w:w="1051"/>
        <w:gridCol w:w="1138"/>
        <w:gridCol w:w="1088"/>
        <w:gridCol w:w="1040"/>
      </w:tblGrid>
      <w:tr w:rsidR="00311D14" w:rsidRPr="00734942" w14:paraId="46466753" w14:textId="77777777" w:rsidTr="00BE74BD">
        <w:trPr>
          <w:trHeight w:val="960"/>
          <w:tblHeader/>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6D7975C8" w14:textId="77777777" w:rsidR="000A01FD" w:rsidRPr="00734942" w:rsidRDefault="000A01FD" w:rsidP="000A01FD">
            <w:pPr>
              <w:rPr>
                <w:sz w:val="18"/>
                <w:szCs w:val="18"/>
              </w:rPr>
            </w:pPr>
            <w:r w:rsidRPr="00734942">
              <w:rPr>
                <w:b/>
                <w:bCs/>
                <w:sz w:val="18"/>
                <w:szCs w:val="18"/>
              </w:rPr>
              <w:t>Selected predictors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67A85E0F" w14:textId="11E8A722" w:rsidR="000A01FD" w:rsidRPr="00734942" w:rsidRDefault="000A01FD" w:rsidP="00C25994">
            <w:pPr>
              <w:jc w:val="center"/>
              <w:rPr>
                <w:sz w:val="18"/>
                <w:szCs w:val="18"/>
              </w:rPr>
            </w:pPr>
            <w:r w:rsidRPr="00734942">
              <w:rPr>
                <w:b/>
                <w:bCs/>
                <w:sz w:val="18"/>
                <w:szCs w:val="18"/>
              </w:rPr>
              <w:t>Coefficients</w:t>
            </w:r>
          </w:p>
          <w:p w14:paraId="412D4E93" w14:textId="77777777" w:rsidR="000A01FD" w:rsidRPr="00734942" w:rsidRDefault="000A01FD" w:rsidP="00C25994">
            <w:pPr>
              <w:jc w:val="cente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022C312D" w14:textId="77777777" w:rsidR="000A01FD" w:rsidRPr="00734942" w:rsidRDefault="000A01FD" w:rsidP="00C25994">
            <w:pPr>
              <w:jc w:val="center"/>
              <w:rPr>
                <w:sz w:val="18"/>
                <w:szCs w:val="18"/>
              </w:rPr>
            </w:pPr>
            <w:r w:rsidRPr="00734942">
              <w:rPr>
                <w:b/>
                <w:bCs/>
                <w:sz w:val="18"/>
                <w:szCs w:val="18"/>
              </w:rPr>
              <w:t>200x Bootstrap samples median  (IQR)</w:t>
            </w:r>
          </w:p>
          <w:p w14:paraId="746741AB" w14:textId="77777777" w:rsidR="000A01FD" w:rsidRPr="00734942" w:rsidRDefault="000A01FD" w:rsidP="00C25994">
            <w:pPr>
              <w:jc w:val="center"/>
              <w:rPr>
                <w:sz w:val="18"/>
                <w:szCs w:val="18"/>
              </w:rPr>
            </w:pPr>
            <w:r w:rsidRPr="00734942">
              <w:rPr>
                <w:b/>
                <w:bCs/>
                <w:sz w:val="18"/>
                <w:szCs w:val="18"/>
              </w:rPr>
              <w:t>(internal validation)</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384F316A" w14:textId="77777777" w:rsidR="000A01FD" w:rsidRPr="00734942" w:rsidRDefault="000A01FD" w:rsidP="00C25994">
            <w:pPr>
              <w:jc w:val="center"/>
              <w:rPr>
                <w:sz w:val="18"/>
                <w:szCs w:val="18"/>
              </w:rPr>
            </w:pPr>
            <w:r w:rsidRPr="00734942">
              <w:rPr>
                <w:b/>
                <w:bCs/>
                <w:sz w:val="18"/>
                <w:szCs w:val="18"/>
              </w:rPr>
              <w:t>Coefficients without shrinkage</w:t>
            </w:r>
          </w:p>
          <w:p w14:paraId="51277677" w14:textId="77777777" w:rsidR="000A01FD" w:rsidRPr="00734942" w:rsidRDefault="000A01FD" w:rsidP="00C25994">
            <w:pPr>
              <w:jc w:val="cente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71F88D97" w14:textId="77777777" w:rsidR="000A01FD" w:rsidRPr="00734942" w:rsidRDefault="000A01FD" w:rsidP="00C25994">
            <w:pPr>
              <w:jc w:val="center"/>
              <w:rPr>
                <w:sz w:val="18"/>
                <w:szCs w:val="18"/>
              </w:rPr>
            </w:pPr>
            <w:r w:rsidRPr="00734942">
              <w:rPr>
                <w:b/>
                <w:bCs/>
                <w:sz w:val="18"/>
                <w:szCs w:val="18"/>
              </w:rPr>
              <w:t>Odds ratios after shrinkage</w:t>
            </w:r>
          </w:p>
          <w:p w14:paraId="675CDC4E" w14:textId="77777777" w:rsidR="000A01FD" w:rsidRPr="00734942" w:rsidRDefault="000A01FD" w:rsidP="00C25994">
            <w:pPr>
              <w:jc w:val="cente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707C7F50" w14:textId="77777777" w:rsidR="000A01FD" w:rsidRPr="00734942" w:rsidRDefault="000A01FD" w:rsidP="00C25994">
            <w:pPr>
              <w:jc w:val="center"/>
              <w:rPr>
                <w:sz w:val="18"/>
                <w:szCs w:val="18"/>
              </w:rPr>
            </w:pPr>
            <w:r w:rsidRPr="00734942">
              <w:rPr>
                <w:b/>
                <w:bCs/>
                <w:sz w:val="18"/>
                <w:szCs w:val="18"/>
              </w:rPr>
              <w:t>Odds ratios without shrinkage</w:t>
            </w:r>
          </w:p>
          <w:p w14:paraId="732D1E3D" w14:textId="77777777" w:rsidR="000A01FD" w:rsidRPr="00734942" w:rsidRDefault="000A01FD" w:rsidP="00C25994">
            <w:pPr>
              <w:jc w:val="cente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24EE05DE" w14:textId="77777777" w:rsidR="000A01FD" w:rsidRPr="00734942" w:rsidRDefault="000A01FD" w:rsidP="00C25994">
            <w:pPr>
              <w:jc w:val="center"/>
              <w:rPr>
                <w:sz w:val="18"/>
                <w:szCs w:val="18"/>
              </w:rPr>
            </w:pPr>
            <w:r w:rsidRPr="00734942">
              <w:rPr>
                <w:b/>
                <w:bCs/>
                <w:sz w:val="18"/>
                <w:szCs w:val="18"/>
              </w:rPr>
              <w:t>Unadjusted coefficients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5A63EB4A" w14:textId="77777777" w:rsidR="000A01FD" w:rsidRPr="00734942" w:rsidRDefault="000A01FD" w:rsidP="00C25994">
            <w:pPr>
              <w:jc w:val="center"/>
              <w:rPr>
                <w:sz w:val="18"/>
                <w:szCs w:val="18"/>
              </w:rPr>
            </w:pPr>
            <w:r w:rsidRPr="00734942">
              <w:rPr>
                <w:b/>
                <w:bCs/>
                <w:sz w:val="18"/>
                <w:szCs w:val="18"/>
              </w:rPr>
              <w:t>Unadjusted ORs</w:t>
            </w:r>
          </w:p>
        </w:tc>
      </w:tr>
      <w:tr w:rsidR="00311D14" w:rsidRPr="00734942" w14:paraId="45F393A2"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F6B525" w14:textId="77777777" w:rsidR="000A01FD" w:rsidRPr="00734942" w:rsidRDefault="000A01FD" w:rsidP="000A01FD">
            <w:pPr>
              <w:rPr>
                <w:sz w:val="18"/>
                <w:szCs w:val="18"/>
              </w:rPr>
            </w:pPr>
            <w:r w:rsidRPr="00734942">
              <w:rPr>
                <w:sz w:val="18"/>
                <w:szCs w:val="18"/>
              </w:rPr>
              <w:t>(Intercept)</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9005B0" w14:textId="77777777" w:rsidR="000A01FD" w:rsidRPr="00734942" w:rsidRDefault="000A01FD" w:rsidP="00C25994">
            <w:pPr>
              <w:jc w:val="center"/>
              <w:rPr>
                <w:sz w:val="18"/>
                <w:szCs w:val="18"/>
              </w:rPr>
            </w:pPr>
            <w:r w:rsidRPr="00734942">
              <w:rPr>
                <w:sz w:val="18"/>
                <w:szCs w:val="18"/>
              </w:rPr>
              <w:t>-5.119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370216" w14:textId="77777777" w:rsidR="000A01FD" w:rsidRPr="00734942" w:rsidRDefault="000A01FD" w:rsidP="00C25994">
            <w:pPr>
              <w:jc w:val="center"/>
              <w:rPr>
                <w:sz w:val="18"/>
                <w:szCs w:val="18"/>
              </w:rPr>
            </w:pPr>
            <w:r w:rsidRPr="00734942">
              <w:rPr>
                <w:sz w:val="18"/>
                <w:szCs w:val="18"/>
              </w:rPr>
              <w:t>-5.127 (-5.146; -5.108)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D57D4F8" w14:textId="77777777" w:rsidR="000A01FD" w:rsidRPr="00734942" w:rsidRDefault="000A01FD" w:rsidP="00C25994">
            <w:pPr>
              <w:jc w:val="center"/>
              <w:rPr>
                <w:sz w:val="18"/>
                <w:szCs w:val="18"/>
              </w:rPr>
            </w:pPr>
            <w:r w:rsidRPr="00734942">
              <w:rPr>
                <w:sz w:val="18"/>
                <w:szCs w:val="18"/>
              </w:rPr>
              <w:t>-5.119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91F2CD" w14:textId="77777777" w:rsidR="000A01FD" w:rsidRPr="00734942" w:rsidRDefault="000A01FD" w:rsidP="00C25994">
            <w:pPr>
              <w:jc w:val="cente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31C91F7" w14:textId="77777777" w:rsidR="000A01FD" w:rsidRPr="00734942" w:rsidRDefault="000A01FD" w:rsidP="00C25994">
            <w:pPr>
              <w:jc w:val="cente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A18955C" w14:textId="77777777" w:rsidR="000A01FD" w:rsidRPr="00734942" w:rsidRDefault="000A01FD" w:rsidP="00C25994">
            <w:pPr>
              <w:jc w:val="cente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C26C22B" w14:textId="77777777" w:rsidR="000A01FD" w:rsidRPr="00734942" w:rsidRDefault="000A01FD" w:rsidP="00C25994">
            <w:pPr>
              <w:jc w:val="center"/>
              <w:rPr>
                <w:sz w:val="18"/>
                <w:szCs w:val="18"/>
              </w:rPr>
            </w:pPr>
          </w:p>
        </w:tc>
      </w:tr>
      <w:tr w:rsidR="00311D14" w:rsidRPr="00734942" w14:paraId="48028717"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73878B" w14:textId="77777777" w:rsidR="000A01FD" w:rsidRPr="00734942" w:rsidRDefault="000A01FD" w:rsidP="000A01FD">
            <w:pPr>
              <w:rPr>
                <w:sz w:val="18"/>
                <w:szCs w:val="18"/>
              </w:rPr>
            </w:pPr>
            <w:r w:rsidRPr="00734942">
              <w:rPr>
                <w:sz w:val="18"/>
                <w:szCs w:val="18"/>
              </w:rPr>
              <w:t>Type 1 diabetes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723A33B" w14:textId="77777777" w:rsidR="000A01FD" w:rsidRPr="00734942" w:rsidRDefault="000A01FD" w:rsidP="00C25994">
            <w:pPr>
              <w:jc w:val="center"/>
              <w:rPr>
                <w:sz w:val="18"/>
                <w:szCs w:val="18"/>
              </w:rPr>
            </w:pPr>
            <w:r w:rsidRPr="00734942">
              <w:rPr>
                <w:sz w:val="18"/>
                <w:szCs w:val="18"/>
              </w:rPr>
              <w:t>4.153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D39F010" w14:textId="25606C57" w:rsidR="000A01FD" w:rsidRPr="00734942" w:rsidRDefault="000A01FD" w:rsidP="00C25994">
            <w:pPr>
              <w:jc w:val="center"/>
              <w:rPr>
                <w:sz w:val="18"/>
                <w:szCs w:val="18"/>
              </w:rPr>
            </w:pPr>
            <w:r w:rsidRPr="00734942">
              <w:rPr>
                <w:sz w:val="18"/>
                <w:szCs w:val="18"/>
              </w:rPr>
              <w:t>4.182 ( 4.062;  4.278)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2BB89A8" w14:textId="77777777" w:rsidR="000A01FD" w:rsidRPr="00734942" w:rsidRDefault="000A01FD" w:rsidP="00C25994">
            <w:pPr>
              <w:jc w:val="center"/>
              <w:rPr>
                <w:sz w:val="18"/>
                <w:szCs w:val="18"/>
              </w:rPr>
            </w:pPr>
            <w:r w:rsidRPr="00734942">
              <w:rPr>
                <w:sz w:val="18"/>
                <w:szCs w:val="18"/>
              </w:rPr>
              <w:t>4.794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F9C9E77" w14:textId="77777777" w:rsidR="000A01FD" w:rsidRPr="00734942" w:rsidRDefault="000A01FD" w:rsidP="00C25994">
            <w:pPr>
              <w:jc w:val="center"/>
              <w:rPr>
                <w:sz w:val="18"/>
                <w:szCs w:val="18"/>
              </w:rPr>
            </w:pPr>
            <w:r w:rsidRPr="00734942">
              <w:rPr>
                <w:sz w:val="18"/>
                <w:szCs w:val="18"/>
              </w:rPr>
              <w:t>63.648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780A0D" w14:textId="77777777" w:rsidR="000A01FD" w:rsidRPr="00734942" w:rsidRDefault="000A01FD" w:rsidP="00C25994">
            <w:pPr>
              <w:jc w:val="center"/>
              <w:rPr>
                <w:sz w:val="18"/>
                <w:szCs w:val="18"/>
              </w:rPr>
            </w:pPr>
            <w:r w:rsidRPr="00734942">
              <w:rPr>
                <w:sz w:val="18"/>
                <w:szCs w:val="18"/>
              </w:rPr>
              <w:t>120.796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269838" w14:textId="77777777" w:rsidR="000A01FD" w:rsidRPr="00734942" w:rsidRDefault="000A01FD" w:rsidP="00C25994">
            <w:pPr>
              <w:jc w:val="center"/>
              <w:rPr>
                <w:sz w:val="18"/>
                <w:szCs w:val="18"/>
              </w:rPr>
            </w:pPr>
            <w:r w:rsidRPr="00734942">
              <w:rPr>
                <w:sz w:val="18"/>
                <w:szCs w:val="18"/>
              </w:rPr>
              <w:t>4.318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AA9428" w14:textId="77777777" w:rsidR="000A01FD" w:rsidRPr="00734942" w:rsidRDefault="000A01FD" w:rsidP="00C25994">
            <w:pPr>
              <w:jc w:val="center"/>
              <w:rPr>
                <w:sz w:val="18"/>
                <w:szCs w:val="18"/>
              </w:rPr>
            </w:pPr>
            <w:r w:rsidRPr="00734942">
              <w:rPr>
                <w:sz w:val="18"/>
                <w:szCs w:val="18"/>
              </w:rPr>
              <w:t>75.038</w:t>
            </w:r>
          </w:p>
        </w:tc>
      </w:tr>
      <w:tr w:rsidR="00311D14" w:rsidRPr="00734942" w14:paraId="495C176A"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055EEA" w14:textId="77777777" w:rsidR="000A01FD" w:rsidRPr="00734942" w:rsidRDefault="000A01FD" w:rsidP="000A01FD">
            <w:pPr>
              <w:rPr>
                <w:sz w:val="18"/>
                <w:szCs w:val="18"/>
              </w:rPr>
            </w:pPr>
            <w:r w:rsidRPr="00734942">
              <w:rPr>
                <w:sz w:val="18"/>
                <w:szCs w:val="18"/>
              </w:rPr>
              <w:t>Turner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D16FD83" w14:textId="77777777" w:rsidR="000A01FD" w:rsidRPr="00734942" w:rsidRDefault="000A01FD" w:rsidP="00C25994">
            <w:pPr>
              <w:jc w:val="center"/>
              <w:rPr>
                <w:sz w:val="18"/>
                <w:szCs w:val="18"/>
              </w:rPr>
            </w:pPr>
            <w:r w:rsidRPr="00734942">
              <w:rPr>
                <w:sz w:val="18"/>
                <w:szCs w:val="18"/>
              </w:rPr>
              <w:t>3.949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0887DE" w14:textId="7F2906CA" w:rsidR="000A01FD" w:rsidRPr="00734942" w:rsidRDefault="000A01FD" w:rsidP="00C25994">
            <w:pPr>
              <w:jc w:val="center"/>
              <w:rPr>
                <w:sz w:val="18"/>
                <w:szCs w:val="18"/>
              </w:rPr>
            </w:pPr>
            <w:r w:rsidRPr="00734942">
              <w:rPr>
                <w:sz w:val="18"/>
                <w:szCs w:val="18"/>
              </w:rPr>
              <w:t>3.908 ( 3.715;  4.084)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0514476" w14:textId="77777777" w:rsidR="000A01FD" w:rsidRPr="00734942" w:rsidRDefault="000A01FD" w:rsidP="00C25994">
            <w:pPr>
              <w:jc w:val="center"/>
              <w:rPr>
                <w:sz w:val="18"/>
                <w:szCs w:val="18"/>
              </w:rPr>
            </w:pPr>
            <w:r w:rsidRPr="00734942">
              <w:rPr>
                <w:sz w:val="18"/>
                <w:szCs w:val="18"/>
              </w:rPr>
              <w:t>11.243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8BC439A" w14:textId="77777777" w:rsidR="000A01FD" w:rsidRPr="00734942" w:rsidRDefault="000A01FD" w:rsidP="00C25994">
            <w:pPr>
              <w:jc w:val="center"/>
              <w:rPr>
                <w:sz w:val="18"/>
                <w:szCs w:val="18"/>
              </w:rPr>
            </w:pPr>
            <w:r w:rsidRPr="00734942">
              <w:rPr>
                <w:sz w:val="18"/>
                <w:szCs w:val="18"/>
              </w:rPr>
              <w:t>51.866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7A3187" w14:textId="77777777" w:rsidR="000A01FD" w:rsidRPr="00734942" w:rsidRDefault="000A01FD" w:rsidP="00C25994">
            <w:pPr>
              <w:jc w:val="center"/>
              <w:rPr>
                <w:sz w:val="18"/>
                <w:szCs w:val="18"/>
              </w:rPr>
            </w:pPr>
            <w:r w:rsidRPr="00734942">
              <w:rPr>
                <w:sz w:val="18"/>
                <w:szCs w:val="18"/>
              </w:rPr>
              <w:t>76309.782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CAE5EE" w14:textId="77777777" w:rsidR="000A01FD" w:rsidRPr="00734942" w:rsidRDefault="000A01FD" w:rsidP="00C25994">
            <w:pPr>
              <w:jc w:val="center"/>
              <w:rPr>
                <w:sz w:val="18"/>
                <w:szCs w:val="18"/>
              </w:rPr>
            </w:pPr>
            <w:r w:rsidRPr="00734942">
              <w:rPr>
                <w:sz w:val="18"/>
                <w:szCs w:val="18"/>
              </w:rPr>
              <w:t>13.955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E3A5CA" w14:textId="77777777" w:rsidR="000A01FD" w:rsidRPr="00734942" w:rsidRDefault="000A01FD" w:rsidP="00C25994">
            <w:pPr>
              <w:jc w:val="center"/>
              <w:rPr>
                <w:sz w:val="18"/>
                <w:szCs w:val="18"/>
              </w:rPr>
            </w:pPr>
            <w:r w:rsidRPr="00734942">
              <w:rPr>
                <w:sz w:val="18"/>
                <w:szCs w:val="18"/>
              </w:rPr>
              <w:t>1149686.667</w:t>
            </w:r>
          </w:p>
        </w:tc>
      </w:tr>
      <w:tr w:rsidR="00311D14" w:rsidRPr="00734942" w14:paraId="746FA093"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FB1FF6" w14:textId="77777777" w:rsidR="000A01FD" w:rsidRPr="00734942" w:rsidRDefault="000A01FD" w:rsidP="000A01FD">
            <w:pPr>
              <w:rPr>
                <w:sz w:val="18"/>
                <w:szCs w:val="18"/>
              </w:rPr>
            </w:pPr>
            <w:r w:rsidRPr="00734942">
              <w:rPr>
                <w:sz w:val="18"/>
                <w:szCs w:val="18"/>
              </w:rPr>
              <w:t>IgA deficiency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9061421" w14:textId="77777777" w:rsidR="000A01FD" w:rsidRPr="00734942" w:rsidRDefault="000A01FD" w:rsidP="00C25994">
            <w:pPr>
              <w:jc w:val="center"/>
              <w:rPr>
                <w:sz w:val="18"/>
                <w:szCs w:val="18"/>
              </w:rPr>
            </w:pPr>
            <w:r w:rsidRPr="00734942">
              <w:rPr>
                <w:sz w:val="18"/>
                <w:szCs w:val="18"/>
              </w:rPr>
              <w:t>3.210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93F2840" w14:textId="63F674A2" w:rsidR="000A01FD" w:rsidRPr="00734942" w:rsidRDefault="000A01FD" w:rsidP="00C25994">
            <w:pPr>
              <w:jc w:val="center"/>
              <w:rPr>
                <w:sz w:val="18"/>
                <w:szCs w:val="18"/>
              </w:rPr>
            </w:pPr>
            <w:r w:rsidRPr="00734942">
              <w:rPr>
                <w:sz w:val="18"/>
                <w:szCs w:val="18"/>
              </w:rPr>
              <w:t>3.185 ( 2.287;  3.563)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6F81F9B" w14:textId="77777777" w:rsidR="000A01FD" w:rsidRPr="00734942" w:rsidRDefault="000A01FD" w:rsidP="00C25994">
            <w:pPr>
              <w:jc w:val="center"/>
              <w:rPr>
                <w:sz w:val="18"/>
                <w:szCs w:val="18"/>
              </w:rPr>
            </w:pPr>
            <w:r w:rsidRPr="00734942">
              <w:rPr>
                <w:sz w:val="18"/>
                <w:szCs w:val="18"/>
              </w:rPr>
              <w:t>10.770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7E136A0" w14:textId="77777777" w:rsidR="000A01FD" w:rsidRPr="00734942" w:rsidRDefault="000A01FD" w:rsidP="00C25994">
            <w:pPr>
              <w:jc w:val="center"/>
              <w:rPr>
                <w:sz w:val="18"/>
                <w:szCs w:val="18"/>
              </w:rPr>
            </w:pPr>
            <w:r w:rsidRPr="00734942">
              <w:rPr>
                <w:sz w:val="18"/>
                <w:szCs w:val="18"/>
              </w:rPr>
              <w:t>24.789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F9969B" w14:textId="77777777" w:rsidR="000A01FD" w:rsidRPr="00734942" w:rsidRDefault="000A01FD" w:rsidP="00C25994">
            <w:pPr>
              <w:jc w:val="center"/>
              <w:rPr>
                <w:sz w:val="18"/>
                <w:szCs w:val="18"/>
              </w:rPr>
            </w:pPr>
            <w:r w:rsidRPr="00734942">
              <w:rPr>
                <w:sz w:val="18"/>
                <w:szCs w:val="18"/>
              </w:rPr>
              <w:t>47560.457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13832A" w14:textId="77777777" w:rsidR="000A01FD" w:rsidRPr="00734942" w:rsidRDefault="000A01FD" w:rsidP="00C25994">
            <w:pPr>
              <w:jc w:val="center"/>
              <w:rPr>
                <w:sz w:val="18"/>
                <w:szCs w:val="18"/>
              </w:rPr>
            </w:pPr>
            <w:r w:rsidRPr="00734942">
              <w:rPr>
                <w:sz w:val="18"/>
                <w:szCs w:val="18"/>
              </w:rPr>
              <w:t>12.954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E9BA758" w14:textId="77777777" w:rsidR="000A01FD" w:rsidRPr="00734942" w:rsidRDefault="000A01FD" w:rsidP="00C25994">
            <w:pPr>
              <w:jc w:val="center"/>
              <w:rPr>
                <w:sz w:val="18"/>
                <w:szCs w:val="18"/>
              </w:rPr>
            </w:pPr>
            <w:r w:rsidRPr="00734942">
              <w:rPr>
                <w:sz w:val="18"/>
                <w:szCs w:val="18"/>
              </w:rPr>
              <w:t>422523.354</w:t>
            </w:r>
          </w:p>
        </w:tc>
      </w:tr>
      <w:tr w:rsidR="00311D14" w:rsidRPr="00734942" w14:paraId="7C6C9D8A"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9701DC9" w14:textId="77777777" w:rsidR="000A01FD" w:rsidRPr="00734942" w:rsidRDefault="000A01FD" w:rsidP="000A01FD">
            <w:pPr>
              <w:rPr>
                <w:sz w:val="18"/>
                <w:szCs w:val="18"/>
              </w:rPr>
            </w:pPr>
            <w:r w:rsidRPr="00734942">
              <w:rPr>
                <w:sz w:val="18"/>
                <w:szCs w:val="18"/>
              </w:rPr>
              <w:t>First degree relatives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D33A7EC" w14:textId="77777777" w:rsidR="000A01FD" w:rsidRPr="00734942" w:rsidRDefault="000A01FD" w:rsidP="00C25994">
            <w:pPr>
              <w:jc w:val="center"/>
              <w:rPr>
                <w:sz w:val="18"/>
                <w:szCs w:val="18"/>
              </w:rPr>
            </w:pPr>
            <w:r w:rsidRPr="00734942">
              <w:rPr>
                <w:sz w:val="18"/>
                <w:szCs w:val="18"/>
              </w:rPr>
              <w:t>3.100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1BDE4F9" w14:textId="00E5516F" w:rsidR="000A01FD" w:rsidRPr="00734942" w:rsidRDefault="000A01FD" w:rsidP="00C25994">
            <w:pPr>
              <w:jc w:val="center"/>
              <w:rPr>
                <w:sz w:val="18"/>
                <w:szCs w:val="18"/>
              </w:rPr>
            </w:pPr>
            <w:r w:rsidRPr="00734942">
              <w:rPr>
                <w:sz w:val="18"/>
                <w:szCs w:val="18"/>
              </w:rPr>
              <w:t>3.109 ( 3.037;  3.172)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D05EEF0" w14:textId="77777777" w:rsidR="000A01FD" w:rsidRPr="00734942" w:rsidRDefault="000A01FD" w:rsidP="00C25994">
            <w:pPr>
              <w:jc w:val="center"/>
              <w:rPr>
                <w:sz w:val="18"/>
                <w:szCs w:val="18"/>
              </w:rPr>
            </w:pPr>
            <w:r w:rsidRPr="00734942">
              <w:rPr>
                <w:sz w:val="18"/>
                <w:szCs w:val="18"/>
              </w:rPr>
              <w:t>3.361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AC35CB" w14:textId="77777777" w:rsidR="000A01FD" w:rsidRPr="00734942" w:rsidRDefault="000A01FD" w:rsidP="00C25994">
            <w:pPr>
              <w:jc w:val="center"/>
              <w:rPr>
                <w:sz w:val="18"/>
                <w:szCs w:val="18"/>
              </w:rPr>
            </w:pPr>
            <w:r w:rsidRPr="00734942">
              <w:rPr>
                <w:sz w:val="18"/>
                <w:szCs w:val="18"/>
              </w:rPr>
              <w:t>22.196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49886F5" w14:textId="77777777" w:rsidR="000A01FD" w:rsidRPr="00734942" w:rsidRDefault="000A01FD" w:rsidP="00C25994">
            <w:pPr>
              <w:jc w:val="center"/>
              <w:rPr>
                <w:sz w:val="18"/>
                <w:szCs w:val="18"/>
              </w:rPr>
            </w:pPr>
            <w:r w:rsidRPr="00734942">
              <w:rPr>
                <w:sz w:val="18"/>
                <w:szCs w:val="18"/>
              </w:rPr>
              <w:t>28.808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A7E5984" w14:textId="77777777" w:rsidR="000A01FD" w:rsidRPr="00734942" w:rsidRDefault="000A01FD" w:rsidP="00C25994">
            <w:pPr>
              <w:jc w:val="center"/>
              <w:rPr>
                <w:sz w:val="18"/>
                <w:szCs w:val="18"/>
              </w:rPr>
            </w:pPr>
            <w:r w:rsidRPr="00734942">
              <w:rPr>
                <w:sz w:val="18"/>
                <w:szCs w:val="18"/>
              </w:rPr>
              <w:t>3.167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3D0819" w14:textId="77777777" w:rsidR="000A01FD" w:rsidRPr="00734942" w:rsidRDefault="000A01FD" w:rsidP="00C25994">
            <w:pPr>
              <w:jc w:val="center"/>
              <w:rPr>
                <w:sz w:val="18"/>
                <w:szCs w:val="18"/>
              </w:rPr>
            </w:pPr>
            <w:r w:rsidRPr="00734942">
              <w:rPr>
                <w:sz w:val="18"/>
                <w:szCs w:val="18"/>
              </w:rPr>
              <w:t>23.736</w:t>
            </w:r>
          </w:p>
        </w:tc>
      </w:tr>
      <w:tr w:rsidR="00311D14" w:rsidRPr="00734942" w14:paraId="4BB1DB0A"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DE4BE14" w14:textId="77777777" w:rsidR="000A01FD" w:rsidRPr="00734942" w:rsidRDefault="000A01FD" w:rsidP="000A01FD">
            <w:pPr>
              <w:rPr>
                <w:sz w:val="18"/>
                <w:szCs w:val="18"/>
              </w:rPr>
            </w:pPr>
            <w:r w:rsidRPr="00734942">
              <w:rPr>
                <w:sz w:val="18"/>
                <w:szCs w:val="18"/>
              </w:rPr>
              <w:t>Anaemia</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B5CE459" w14:textId="77777777" w:rsidR="000A01FD" w:rsidRPr="00734942" w:rsidRDefault="000A01FD" w:rsidP="00C25994">
            <w:pPr>
              <w:jc w:val="center"/>
              <w:rPr>
                <w:sz w:val="18"/>
                <w:szCs w:val="18"/>
              </w:rPr>
            </w:pPr>
            <w:r w:rsidRPr="00734942">
              <w:rPr>
                <w:sz w:val="18"/>
                <w:szCs w:val="18"/>
              </w:rPr>
              <w:t>2.645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5B11781" w14:textId="7871B5FC" w:rsidR="000A01FD" w:rsidRPr="00734942" w:rsidRDefault="000A01FD" w:rsidP="00C25994">
            <w:pPr>
              <w:jc w:val="center"/>
              <w:rPr>
                <w:sz w:val="18"/>
                <w:szCs w:val="18"/>
              </w:rPr>
            </w:pPr>
            <w:r w:rsidRPr="00734942">
              <w:rPr>
                <w:sz w:val="18"/>
                <w:szCs w:val="18"/>
              </w:rPr>
              <w:t>2.618 ( 2.522;  2.751)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5DF7C5D" w14:textId="77777777" w:rsidR="000A01FD" w:rsidRPr="00734942" w:rsidRDefault="000A01FD" w:rsidP="00C25994">
            <w:pPr>
              <w:jc w:val="center"/>
              <w:rPr>
                <w:sz w:val="18"/>
                <w:szCs w:val="18"/>
              </w:rPr>
            </w:pPr>
            <w:r w:rsidRPr="00734942">
              <w:rPr>
                <w:sz w:val="18"/>
                <w:szCs w:val="18"/>
              </w:rPr>
              <w:t>2.881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B2E715" w14:textId="77777777" w:rsidR="000A01FD" w:rsidRPr="00734942" w:rsidRDefault="000A01FD" w:rsidP="00C25994">
            <w:pPr>
              <w:jc w:val="center"/>
              <w:rPr>
                <w:sz w:val="18"/>
                <w:szCs w:val="18"/>
              </w:rPr>
            </w:pPr>
            <w:r w:rsidRPr="00734942">
              <w:rPr>
                <w:sz w:val="18"/>
                <w:szCs w:val="18"/>
              </w:rPr>
              <w:t>14.080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57EEA9" w14:textId="77777777" w:rsidR="000A01FD" w:rsidRPr="00734942" w:rsidRDefault="000A01FD" w:rsidP="00C25994">
            <w:pPr>
              <w:jc w:val="center"/>
              <w:rPr>
                <w:sz w:val="18"/>
                <w:szCs w:val="18"/>
              </w:rPr>
            </w:pPr>
            <w:r w:rsidRPr="00734942">
              <w:rPr>
                <w:sz w:val="18"/>
                <w:szCs w:val="18"/>
              </w:rPr>
              <w:t>17.841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B6BC807" w14:textId="77777777" w:rsidR="000A01FD" w:rsidRPr="00734942" w:rsidRDefault="000A01FD" w:rsidP="00C25994">
            <w:pPr>
              <w:jc w:val="center"/>
              <w:rPr>
                <w:sz w:val="18"/>
                <w:szCs w:val="18"/>
              </w:rPr>
            </w:pPr>
            <w:r w:rsidRPr="00734942">
              <w:rPr>
                <w:sz w:val="18"/>
                <w:szCs w:val="18"/>
              </w:rPr>
              <w:t>2.850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0E5671F" w14:textId="77777777" w:rsidR="000A01FD" w:rsidRPr="00734942" w:rsidRDefault="000A01FD" w:rsidP="00C25994">
            <w:pPr>
              <w:jc w:val="center"/>
              <w:rPr>
                <w:sz w:val="18"/>
                <w:szCs w:val="18"/>
              </w:rPr>
            </w:pPr>
            <w:r w:rsidRPr="00734942">
              <w:rPr>
                <w:sz w:val="18"/>
                <w:szCs w:val="18"/>
              </w:rPr>
              <w:t>17.288</w:t>
            </w:r>
          </w:p>
        </w:tc>
      </w:tr>
      <w:tr w:rsidR="00311D14" w:rsidRPr="00734942" w14:paraId="60518407"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12CF31E" w14:textId="23C8F346" w:rsidR="000A01FD" w:rsidRPr="00734942" w:rsidRDefault="00A65A5D" w:rsidP="000A01FD">
            <w:pPr>
              <w:rPr>
                <w:sz w:val="18"/>
                <w:szCs w:val="18"/>
              </w:rPr>
            </w:pPr>
            <w:r>
              <w:rPr>
                <w:sz w:val="18"/>
                <w:szCs w:val="18"/>
              </w:rPr>
              <w:t>Down</w:t>
            </w:r>
            <w:r w:rsidR="00C87375" w:rsidRPr="00734942">
              <w:rPr>
                <w:sz w:val="18"/>
                <w:szCs w:val="18"/>
              </w:rPr>
              <w:t xml:space="preserve">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776944" w14:textId="77777777" w:rsidR="000A01FD" w:rsidRPr="00734942" w:rsidRDefault="000A01FD" w:rsidP="00C25994">
            <w:pPr>
              <w:jc w:val="center"/>
              <w:rPr>
                <w:sz w:val="18"/>
                <w:szCs w:val="18"/>
              </w:rPr>
            </w:pPr>
            <w:r w:rsidRPr="00734942">
              <w:rPr>
                <w:sz w:val="18"/>
                <w:szCs w:val="18"/>
              </w:rPr>
              <w:t>2.429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40E255A" w14:textId="3D5F7A43" w:rsidR="000A01FD" w:rsidRPr="00734942" w:rsidRDefault="000A01FD" w:rsidP="00C25994">
            <w:pPr>
              <w:jc w:val="center"/>
              <w:rPr>
                <w:sz w:val="18"/>
                <w:szCs w:val="18"/>
              </w:rPr>
            </w:pPr>
            <w:r w:rsidRPr="00734942">
              <w:rPr>
                <w:sz w:val="18"/>
                <w:szCs w:val="18"/>
              </w:rPr>
              <w:t>2.428 ( 2.096;  2.763)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DBBD643" w14:textId="77777777" w:rsidR="000A01FD" w:rsidRPr="00734942" w:rsidRDefault="000A01FD" w:rsidP="00C25994">
            <w:pPr>
              <w:jc w:val="center"/>
              <w:rPr>
                <w:sz w:val="18"/>
                <w:szCs w:val="18"/>
              </w:rPr>
            </w:pPr>
            <w:r w:rsidRPr="00734942">
              <w:rPr>
                <w:sz w:val="18"/>
                <w:szCs w:val="18"/>
              </w:rPr>
              <w:t>2.724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A177AFD" w14:textId="77777777" w:rsidR="000A01FD" w:rsidRPr="00734942" w:rsidRDefault="000A01FD" w:rsidP="00C25994">
            <w:pPr>
              <w:jc w:val="center"/>
              <w:rPr>
                <w:sz w:val="18"/>
                <w:szCs w:val="18"/>
              </w:rPr>
            </w:pPr>
            <w:r w:rsidRPr="00734942">
              <w:rPr>
                <w:sz w:val="18"/>
                <w:szCs w:val="18"/>
              </w:rPr>
              <w:t>11.344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1D63404" w14:textId="77777777" w:rsidR="000A01FD" w:rsidRPr="00734942" w:rsidRDefault="000A01FD" w:rsidP="00C25994">
            <w:pPr>
              <w:jc w:val="center"/>
              <w:rPr>
                <w:sz w:val="18"/>
                <w:szCs w:val="18"/>
              </w:rPr>
            </w:pPr>
            <w:r w:rsidRPr="00734942">
              <w:rPr>
                <w:sz w:val="18"/>
                <w:szCs w:val="18"/>
              </w:rPr>
              <w:t>15.240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968440" w14:textId="77777777" w:rsidR="000A01FD" w:rsidRPr="00734942" w:rsidRDefault="000A01FD" w:rsidP="00C25994">
            <w:pPr>
              <w:jc w:val="center"/>
              <w:rPr>
                <w:sz w:val="18"/>
                <w:szCs w:val="18"/>
              </w:rPr>
            </w:pPr>
            <w:r w:rsidRPr="00734942">
              <w:rPr>
                <w:sz w:val="18"/>
                <w:szCs w:val="18"/>
              </w:rPr>
              <w:t>2.490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65C5C66" w14:textId="77777777" w:rsidR="000A01FD" w:rsidRPr="00734942" w:rsidRDefault="000A01FD" w:rsidP="00C25994">
            <w:pPr>
              <w:jc w:val="center"/>
              <w:rPr>
                <w:sz w:val="18"/>
                <w:szCs w:val="18"/>
              </w:rPr>
            </w:pPr>
            <w:r w:rsidRPr="00734942">
              <w:rPr>
                <w:sz w:val="18"/>
                <w:szCs w:val="18"/>
              </w:rPr>
              <w:t>12.061</w:t>
            </w:r>
          </w:p>
        </w:tc>
      </w:tr>
      <w:tr w:rsidR="00311D14" w:rsidRPr="00734942" w14:paraId="1FE1418F"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242EB9E" w14:textId="77777777" w:rsidR="000A01FD" w:rsidRPr="00734942" w:rsidRDefault="000A01FD" w:rsidP="000A01FD">
            <w:pPr>
              <w:rPr>
                <w:sz w:val="18"/>
                <w:szCs w:val="18"/>
              </w:rPr>
            </w:pPr>
            <w:r w:rsidRPr="00734942">
              <w:rPr>
                <w:sz w:val="18"/>
                <w:szCs w:val="18"/>
              </w:rPr>
              <w:t>Weight loss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C55D587" w14:textId="77777777" w:rsidR="000A01FD" w:rsidRPr="00734942" w:rsidRDefault="000A01FD" w:rsidP="00C25994">
            <w:pPr>
              <w:jc w:val="center"/>
              <w:rPr>
                <w:sz w:val="18"/>
                <w:szCs w:val="18"/>
              </w:rPr>
            </w:pPr>
            <w:r w:rsidRPr="00734942">
              <w:rPr>
                <w:sz w:val="18"/>
                <w:szCs w:val="18"/>
              </w:rPr>
              <w:t>2.316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3ED80AD" w14:textId="12E22925" w:rsidR="000A01FD" w:rsidRPr="00734942" w:rsidRDefault="000A01FD" w:rsidP="00C25994">
            <w:pPr>
              <w:jc w:val="center"/>
              <w:rPr>
                <w:sz w:val="18"/>
                <w:szCs w:val="18"/>
              </w:rPr>
            </w:pPr>
            <w:r w:rsidRPr="00734942">
              <w:rPr>
                <w:sz w:val="18"/>
                <w:szCs w:val="18"/>
              </w:rPr>
              <w:t>2.302 ( 2.142;  2.485)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96E1E27" w14:textId="77777777" w:rsidR="000A01FD" w:rsidRPr="00734942" w:rsidRDefault="000A01FD" w:rsidP="00C25994">
            <w:pPr>
              <w:jc w:val="center"/>
              <w:rPr>
                <w:sz w:val="18"/>
                <w:szCs w:val="18"/>
              </w:rPr>
            </w:pPr>
            <w:r w:rsidRPr="00734942">
              <w:rPr>
                <w:sz w:val="18"/>
                <w:szCs w:val="18"/>
              </w:rPr>
              <w:t>2.563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0878593" w14:textId="77777777" w:rsidR="000A01FD" w:rsidRPr="00734942" w:rsidRDefault="000A01FD" w:rsidP="00C25994">
            <w:pPr>
              <w:jc w:val="center"/>
              <w:rPr>
                <w:sz w:val="18"/>
                <w:szCs w:val="18"/>
              </w:rPr>
            </w:pPr>
            <w:r w:rsidRPr="00734942">
              <w:rPr>
                <w:sz w:val="18"/>
                <w:szCs w:val="18"/>
              </w:rPr>
              <w:t>10.135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A1C3636" w14:textId="77777777" w:rsidR="000A01FD" w:rsidRPr="00734942" w:rsidRDefault="000A01FD" w:rsidP="00C25994">
            <w:pPr>
              <w:jc w:val="center"/>
              <w:rPr>
                <w:sz w:val="18"/>
                <w:szCs w:val="18"/>
              </w:rPr>
            </w:pPr>
            <w:r w:rsidRPr="00734942">
              <w:rPr>
                <w:sz w:val="18"/>
                <w:szCs w:val="18"/>
              </w:rPr>
              <w:t>12.972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7589F58" w14:textId="77777777" w:rsidR="000A01FD" w:rsidRPr="00734942" w:rsidRDefault="000A01FD" w:rsidP="00C25994">
            <w:pPr>
              <w:jc w:val="center"/>
              <w:rPr>
                <w:sz w:val="18"/>
                <w:szCs w:val="18"/>
              </w:rPr>
            </w:pPr>
            <w:r w:rsidRPr="00734942">
              <w:rPr>
                <w:sz w:val="18"/>
                <w:szCs w:val="18"/>
              </w:rPr>
              <w:t>2.811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DE5B1C2" w14:textId="77777777" w:rsidR="000A01FD" w:rsidRPr="00734942" w:rsidRDefault="000A01FD" w:rsidP="00C25994">
            <w:pPr>
              <w:jc w:val="center"/>
              <w:rPr>
                <w:sz w:val="18"/>
                <w:szCs w:val="18"/>
              </w:rPr>
            </w:pPr>
            <w:r w:rsidRPr="00734942">
              <w:rPr>
                <w:sz w:val="18"/>
                <w:szCs w:val="18"/>
              </w:rPr>
              <w:t>16.627</w:t>
            </w:r>
          </w:p>
        </w:tc>
      </w:tr>
      <w:tr w:rsidR="00311D14" w:rsidRPr="00734942" w14:paraId="76292B51"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9CDBF3" w14:textId="77777777" w:rsidR="000A01FD" w:rsidRPr="00734942" w:rsidRDefault="000A01FD" w:rsidP="000A01FD">
            <w:pPr>
              <w:rPr>
                <w:sz w:val="18"/>
                <w:szCs w:val="18"/>
              </w:rPr>
            </w:pPr>
            <w:r w:rsidRPr="00734942">
              <w:rPr>
                <w:sz w:val="18"/>
                <w:szCs w:val="18"/>
              </w:rPr>
              <w:t>Thyroid disorders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FAEBA50" w14:textId="77777777" w:rsidR="000A01FD" w:rsidRPr="00734942" w:rsidRDefault="000A01FD" w:rsidP="00C25994">
            <w:pPr>
              <w:jc w:val="center"/>
              <w:rPr>
                <w:sz w:val="18"/>
                <w:szCs w:val="18"/>
              </w:rPr>
            </w:pPr>
            <w:r w:rsidRPr="00734942">
              <w:rPr>
                <w:sz w:val="18"/>
                <w:szCs w:val="18"/>
              </w:rPr>
              <w:t>2.144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2E8260" w14:textId="09512AE4" w:rsidR="000A01FD" w:rsidRPr="00734942" w:rsidRDefault="000A01FD" w:rsidP="00C25994">
            <w:pPr>
              <w:jc w:val="center"/>
              <w:rPr>
                <w:sz w:val="18"/>
                <w:szCs w:val="18"/>
              </w:rPr>
            </w:pPr>
            <w:r w:rsidRPr="00734942">
              <w:rPr>
                <w:sz w:val="18"/>
                <w:szCs w:val="18"/>
              </w:rPr>
              <w:t>2.185 ( 2.000;  2.395)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C4C8B9F" w14:textId="77777777" w:rsidR="000A01FD" w:rsidRPr="00734942" w:rsidRDefault="000A01FD" w:rsidP="00C25994">
            <w:pPr>
              <w:jc w:val="center"/>
              <w:rPr>
                <w:sz w:val="18"/>
                <w:szCs w:val="18"/>
              </w:rPr>
            </w:pPr>
            <w:r w:rsidRPr="00734942">
              <w:rPr>
                <w:sz w:val="18"/>
                <w:szCs w:val="18"/>
              </w:rPr>
              <w:t>2.361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951811" w14:textId="77777777" w:rsidR="000A01FD" w:rsidRPr="00734942" w:rsidRDefault="000A01FD" w:rsidP="00C25994">
            <w:pPr>
              <w:jc w:val="center"/>
              <w:rPr>
                <w:sz w:val="18"/>
                <w:szCs w:val="18"/>
              </w:rPr>
            </w:pPr>
            <w:r w:rsidRPr="00734942">
              <w:rPr>
                <w:sz w:val="18"/>
                <w:szCs w:val="18"/>
              </w:rPr>
              <w:t>8.536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C9450D" w14:textId="77777777" w:rsidR="000A01FD" w:rsidRPr="00734942" w:rsidRDefault="000A01FD" w:rsidP="00C25994">
            <w:pPr>
              <w:jc w:val="center"/>
              <w:rPr>
                <w:sz w:val="18"/>
                <w:szCs w:val="18"/>
              </w:rPr>
            </w:pPr>
            <w:r w:rsidRPr="00734942">
              <w:rPr>
                <w:sz w:val="18"/>
                <w:szCs w:val="18"/>
              </w:rPr>
              <w:t>10.601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56AEDBF" w14:textId="77777777" w:rsidR="000A01FD" w:rsidRPr="00734942" w:rsidRDefault="000A01FD" w:rsidP="00C25994">
            <w:pPr>
              <w:jc w:val="center"/>
              <w:rPr>
                <w:sz w:val="18"/>
                <w:szCs w:val="18"/>
              </w:rPr>
            </w:pPr>
            <w:r w:rsidRPr="00734942">
              <w:rPr>
                <w:sz w:val="18"/>
                <w:szCs w:val="18"/>
              </w:rPr>
              <w:t>2.742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22F930E" w14:textId="77777777" w:rsidR="000A01FD" w:rsidRPr="00734942" w:rsidRDefault="000A01FD" w:rsidP="00C25994">
            <w:pPr>
              <w:jc w:val="center"/>
              <w:rPr>
                <w:sz w:val="18"/>
                <w:szCs w:val="18"/>
              </w:rPr>
            </w:pPr>
            <w:r w:rsidRPr="00734942">
              <w:rPr>
                <w:sz w:val="18"/>
                <w:szCs w:val="18"/>
              </w:rPr>
              <w:t>15.518</w:t>
            </w:r>
          </w:p>
        </w:tc>
      </w:tr>
      <w:tr w:rsidR="00311D14" w:rsidRPr="00734942" w14:paraId="2F8721B7"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6FBB37" w14:textId="77777777" w:rsidR="000A01FD" w:rsidRPr="00734942" w:rsidRDefault="000A01FD" w:rsidP="000A01FD">
            <w:pPr>
              <w:rPr>
                <w:sz w:val="18"/>
                <w:szCs w:val="18"/>
              </w:rPr>
            </w:pPr>
            <w:r w:rsidRPr="00734942">
              <w:rPr>
                <w:sz w:val="18"/>
                <w:szCs w:val="18"/>
              </w:rPr>
              <w:t>Iron, Vit B12, or Folate deficiency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D6DF00A" w14:textId="77777777" w:rsidR="000A01FD" w:rsidRPr="00734942" w:rsidRDefault="000A01FD" w:rsidP="00C25994">
            <w:pPr>
              <w:jc w:val="center"/>
              <w:rPr>
                <w:sz w:val="18"/>
                <w:szCs w:val="18"/>
              </w:rPr>
            </w:pPr>
            <w:r w:rsidRPr="00734942">
              <w:rPr>
                <w:sz w:val="18"/>
                <w:szCs w:val="18"/>
              </w:rPr>
              <w:t>2.016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9E9F47" w14:textId="09E71405" w:rsidR="000A01FD" w:rsidRPr="00734942" w:rsidRDefault="000A01FD" w:rsidP="00C25994">
            <w:pPr>
              <w:jc w:val="center"/>
              <w:rPr>
                <w:sz w:val="18"/>
                <w:szCs w:val="18"/>
              </w:rPr>
            </w:pPr>
            <w:r w:rsidRPr="00734942">
              <w:rPr>
                <w:sz w:val="18"/>
                <w:szCs w:val="18"/>
              </w:rPr>
              <w:t>2.013 ( 1.704;  2.363)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513325" w14:textId="77777777" w:rsidR="000A01FD" w:rsidRPr="00734942" w:rsidRDefault="000A01FD" w:rsidP="00C25994">
            <w:pPr>
              <w:jc w:val="center"/>
              <w:rPr>
                <w:sz w:val="18"/>
                <w:szCs w:val="18"/>
              </w:rPr>
            </w:pPr>
            <w:r w:rsidRPr="00734942">
              <w:rPr>
                <w:sz w:val="18"/>
                <w:szCs w:val="18"/>
              </w:rPr>
              <w:t>2.288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B23EFCC" w14:textId="77777777" w:rsidR="000A01FD" w:rsidRPr="00734942" w:rsidRDefault="000A01FD" w:rsidP="00C25994">
            <w:pPr>
              <w:jc w:val="center"/>
              <w:rPr>
                <w:sz w:val="18"/>
                <w:szCs w:val="18"/>
              </w:rPr>
            </w:pPr>
            <w:r w:rsidRPr="00734942">
              <w:rPr>
                <w:sz w:val="18"/>
                <w:szCs w:val="18"/>
              </w:rPr>
              <w:t>7.508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B371C0" w14:textId="77777777" w:rsidR="000A01FD" w:rsidRPr="00734942" w:rsidRDefault="000A01FD" w:rsidP="00C25994">
            <w:pPr>
              <w:jc w:val="center"/>
              <w:rPr>
                <w:sz w:val="18"/>
                <w:szCs w:val="18"/>
              </w:rPr>
            </w:pPr>
            <w:r w:rsidRPr="00734942">
              <w:rPr>
                <w:sz w:val="18"/>
                <w:szCs w:val="18"/>
              </w:rPr>
              <w:t>9.860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B1FAA57" w14:textId="77777777" w:rsidR="000A01FD" w:rsidRPr="00734942" w:rsidRDefault="000A01FD" w:rsidP="00C25994">
            <w:pPr>
              <w:jc w:val="center"/>
              <w:rPr>
                <w:sz w:val="18"/>
                <w:szCs w:val="18"/>
              </w:rPr>
            </w:pPr>
            <w:r w:rsidRPr="00734942">
              <w:rPr>
                <w:sz w:val="18"/>
                <w:szCs w:val="18"/>
              </w:rPr>
              <w:t>2.872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8D6B269" w14:textId="77777777" w:rsidR="000A01FD" w:rsidRPr="00734942" w:rsidRDefault="000A01FD" w:rsidP="00C25994">
            <w:pPr>
              <w:jc w:val="center"/>
              <w:rPr>
                <w:sz w:val="18"/>
                <w:szCs w:val="18"/>
              </w:rPr>
            </w:pPr>
            <w:r w:rsidRPr="00734942">
              <w:rPr>
                <w:sz w:val="18"/>
                <w:szCs w:val="18"/>
              </w:rPr>
              <w:t>17.672</w:t>
            </w:r>
          </w:p>
        </w:tc>
      </w:tr>
      <w:tr w:rsidR="00311D14" w:rsidRPr="00734942" w14:paraId="22FFADD2"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252C77" w14:textId="77777777" w:rsidR="000A01FD" w:rsidRPr="00734942" w:rsidRDefault="000A01FD" w:rsidP="000A01FD">
            <w:pPr>
              <w:rPr>
                <w:sz w:val="18"/>
                <w:szCs w:val="18"/>
              </w:rPr>
            </w:pPr>
            <w:r w:rsidRPr="00734942">
              <w:rPr>
                <w:sz w:val="18"/>
                <w:szCs w:val="18"/>
              </w:rPr>
              <w:t>Delayed puberty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27B9E8" w14:textId="77777777" w:rsidR="000A01FD" w:rsidRPr="00734942" w:rsidRDefault="000A01FD" w:rsidP="00C25994">
            <w:pPr>
              <w:jc w:val="center"/>
              <w:rPr>
                <w:sz w:val="18"/>
                <w:szCs w:val="18"/>
              </w:rPr>
            </w:pPr>
            <w:r w:rsidRPr="00734942">
              <w:rPr>
                <w:sz w:val="18"/>
                <w:szCs w:val="18"/>
              </w:rPr>
              <w:t>1.995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613C9AE" w14:textId="00F7B739" w:rsidR="000A01FD" w:rsidRPr="00734942" w:rsidRDefault="000A01FD" w:rsidP="00C25994">
            <w:pPr>
              <w:jc w:val="center"/>
              <w:rPr>
                <w:sz w:val="18"/>
                <w:szCs w:val="18"/>
              </w:rPr>
            </w:pPr>
            <w:r w:rsidRPr="00734942">
              <w:rPr>
                <w:sz w:val="18"/>
                <w:szCs w:val="18"/>
              </w:rPr>
              <w:t>1.997 ( 1.537;  2.577)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02CEE3C" w14:textId="77777777" w:rsidR="000A01FD" w:rsidRPr="00734942" w:rsidRDefault="000A01FD" w:rsidP="00C25994">
            <w:pPr>
              <w:jc w:val="center"/>
              <w:rPr>
                <w:sz w:val="18"/>
                <w:szCs w:val="18"/>
              </w:rPr>
            </w:pPr>
            <w:r w:rsidRPr="00734942">
              <w:rPr>
                <w:sz w:val="18"/>
                <w:szCs w:val="18"/>
              </w:rPr>
              <w:t>2.464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6BC14FD" w14:textId="77777777" w:rsidR="000A01FD" w:rsidRPr="00734942" w:rsidRDefault="000A01FD" w:rsidP="00C25994">
            <w:pPr>
              <w:jc w:val="center"/>
              <w:rPr>
                <w:sz w:val="18"/>
                <w:szCs w:val="18"/>
              </w:rPr>
            </w:pPr>
            <w:r w:rsidRPr="00734942">
              <w:rPr>
                <w:sz w:val="18"/>
                <w:szCs w:val="18"/>
              </w:rPr>
              <w:t>7.353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87E19AA" w14:textId="77777777" w:rsidR="000A01FD" w:rsidRPr="00734942" w:rsidRDefault="000A01FD" w:rsidP="00C25994">
            <w:pPr>
              <w:jc w:val="center"/>
              <w:rPr>
                <w:sz w:val="18"/>
                <w:szCs w:val="18"/>
              </w:rPr>
            </w:pPr>
            <w:r w:rsidRPr="00734942">
              <w:rPr>
                <w:sz w:val="18"/>
                <w:szCs w:val="18"/>
              </w:rPr>
              <w:t>11.756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8AB31E6" w14:textId="77777777" w:rsidR="000A01FD" w:rsidRPr="00734942" w:rsidRDefault="000A01FD" w:rsidP="00C25994">
            <w:pPr>
              <w:jc w:val="center"/>
              <w:rPr>
                <w:sz w:val="18"/>
                <w:szCs w:val="18"/>
              </w:rPr>
            </w:pPr>
            <w:r w:rsidRPr="00734942">
              <w:rPr>
                <w:sz w:val="18"/>
                <w:szCs w:val="18"/>
              </w:rPr>
              <w:t>2.997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AA625AA" w14:textId="77777777" w:rsidR="000A01FD" w:rsidRPr="00734942" w:rsidRDefault="000A01FD" w:rsidP="00C25994">
            <w:pPr>
              <w:jc w:val="center"/>
              <w:rPr>
                <w:sz w:val="18"/>
                <w:szCs w:val="18"/>
              </w:rPr>
            </w:pPr>
            <w:r w:rsidRPr="00734942">
              <w:rPr>
                <w:sz w:val="18"/>
                <w:szCs w:val="18"/>
              </w:rPr>
              <w:t>20.025</w:t>
            </w:r>
          </w:p>
        </w:tc>
      </w:tr>
      <w:tr w:rsidR="00311D14" w:rsidRPr="00734942" w14:paraId="09A4FB44"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BC1A92" w14:textId="77777777" w:rsidR="000A01FD" w:rsidRPr="00734942" w:rsidRDefault="000A01FD" w:rsidP="000A01FD">
            <w:pPr>
              <w:rPr>
                <w:sz w:val="18"/>
                <w:szCs w:val="18"/>
              </w:rPr>
            </w:pPr>
            <w:r w:rsidRPr="00734942">
              <w:rPr>
                <w:sz w:val="18"/>
                <w:szCs w:val="18"/>
              </w:rPr>
              <w:t>Failure to thrive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541F3D" w14:textId="77777777" w:rsidR="000A01FD" w:rsidRPr="00734942" w:rsidRDefault="000A01FD" w:rsidP="00C25994">
            <w:pPr>
              <w:jc w:val="center"/>
              <w:rPr>
                <w:sz w:val="18"/>
                <w:szCs w:val="18"/>
              </w:rPr>
            </w:pPr>
            <w:r w:rsidRPr="00734942">
              <w:rPr>
                <w:sz w:val="18"/>
                <w:szCs w:val="18"/>
              </w:rPr>
              <w:t>1.382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3F5CF3" w14:textId="3A3CAA0C" w:rsidR="000A01FD" w:rsidRPr="00734942" w:rsidRDefault="000A01FD" w:rsidP="00C25994">
            <w:pPr>
              <w:jc w:val="center"/>
              <w:rPr>
                <w:sz w:val="18"/>
                <w:szCs w:val="18"/>
              </w:rPr>
            </w:pPr>
            <w:r w:rsidRPr="00734942">
              <w:rPr>
                <w:sz w:val="18"/>
                <w:szCs w:val="18"/>
              </w:rPr>
              <w:t>1.398 ( 1.215;  1.540)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3DD9E6E" w14:textId="77777777" w:rsidR="000A01FD" w:rsidRPr="00734942" w:rsidRDefault="000A01FD" w:rsidP="00C25994">
            <w:pPr>
              <w:jc w:val="center"/>
              <w:rPr>
                <w:sz w:val="18"/>
                <w:szCs w:val="18"/>
              </w:rPr>
            </w:pPr>
            <w:r w:rsidRPr="00734942">
              <w:rPr>
                <w:sz w:val="18"/>
                <w:szCs w:val="18"/>
              </w:rPr>
              <w:t>1.517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813DF18" w14:textId="77777777" w:rsidR="000A01FD" w:rsidRPr="00734942" w:rsidRDefault="000A01FD" w:rsidP="00C25994">
            <w:pPr>
              <w:jc w:val="center"/>
              <w:rPr>
                <w:sz w:val="18"/>
                <w:szCs w:val="18"/>
              </w:rPr>
            </w:pPr>
            <w:r w:rsidRPr="00734942">
              <w:rPr>
                <w:sz w:val="18"/>
                <w:szCs w:val="18"/>
              </w:rPr>
              <w:t>3.981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625C62" w14:textId="77777777" w:rsidR="000A01FD" w:rsidRPr="00734942" w:rsidRDefault="000A01FD" w:rsidP="00C25994">
            <w:pPr>
              <w:jc w:val="center"/>
              <w:rPr>
                <w:sz w:val="18"/>
                <w:szCs w:val="18"/>
              </w:rPr>
            </w:pPr>
            <w:r w:rsidRPr="00734942">
              <w:rPr>
                <w:sz w:val="18"/>
                <w:szCs w:val="18"/>
              </w:rPr>
              <w:t>4.558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7EEC13" w14:textId="77777777" w:rsidR="000A01FD" w:rsidRPr="00734942" w:rsidRDefault="000A01FD" w:rsidP="00C25994">
            <w:pPr>
              <w:jc w:val="center"/>
              <w:rPr>
                <w:sz w:val="18"/>
                <w:szCs w:val="18"/>
              </w:rPr>
            </w:pPr>
            <w:r w:rsidRPr="00734942">
              <w:rPr>
                <w:sz w:val="18"/>
                <w:szCs w:val="18"/>
              </w:rPr>
              <w:t>1.888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D3371E4" w14:textId="77777777" w:rsidR="000A01FD" w:rsidRPr="00734942" w:rsidRDefault="000A01FD" w:rsidP="00C25994">
            <w:pPr>
              <w:jc w:val="center"/>
              <w:rPr>
                <w:sz w:val="18"/>
                <w:szCs w:val="18"/>
              </w:rPr>
            </w:pPr>
            <w:r w:rsidRPr="00734942">
              <w:rPr>
                <w:sz w:val="18"/>
                <w:szCs w:val="18"/>
              </w:rPr>
              <w:t>6.606</w:t>
            </w:r>
          </w:p>
        </w:tc>
      </w:tr>
      <w:tr w:rsidR="00311D14" w:rsidRPr="00734942" w14:paraId="627CEDEE"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9482577" w14:textId="77777777" w:rsidR="000A01FD" w:rsidRPr="00734942" w:rsidRDefault="000A01FD" w:rsidP="000A01FD">
            <w:pPr>
              <w:rPr>
                <w:sz w:val="18"/>
                <w:szCs w:val="18"/>
              </w:rPr>
            </w:pPr>
            <w:r w:rsidRPr="00734942">
              <w:rPr>
                <w:sz w:val="18"/>
                <w:szCs w:val="18"/>
              </w:rPr>
              <w:t>Arthritis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FD1FDD3" w14:textId="77777777" w:rsidR="000A01FD" w:rsidRPr="00734942" w:rsidRDefault="000A01FD" w:rsidP="00C25994">
            <w:pPr>
              <w:jc w:val="center"/>
              <w:rPr>
                <w:sz w:val="18"/>
                <w:szCs w:val="18"/>
              </w:rPr>
            </w:pPr>
            <w:r w:rsidRPr="00734942">
              <w:rPr>
                <w:sz w:val="18"/>
                <w:szCs w:val="18"/>
              </w:rPr>
              <w:t>1.318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6037F50" w14:textId="44546BDF" w:rsidR="000A01FD" w:rsidRPr="00734942" w:rsidRDefault="000A01FD" w:rsidP="00C25994">
            <w:pPr>
              <w:jc w:val="center"/>
              <w:rPr>
                <w:sz w:val="18"/>
                <w:szCs w:val="18"/>
              </w:rPr>
            </w:pPr>
            <w:r w:rsidRPr="00734942">
              <w:rPr>
                <w:sz w:val="18"/>
                <w:szCs w:val="18"/>
              </w:rPr>
              <w:t>1.371 ( 0.949;  1.738)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F37FD0D" w14:textId="77777777" w:rsidR="000A01FD" w:rsidRPr="00734942" w:rsidRDefault="000A01FD" w:rsidP="00C25994">
            <w:pPr>
              <w:jc w:val="center"/>
              <w:rPr>
                <w:sz w:val="18"/>
                <w:szCs w:val="18"/>
              </w:rPr>
            </w:pPr>
            <w:r w:rsidRPr="00734942">
              <w:rPr>
                <w:sz w:val="18"/>
                <w:szCs w:val="18"/>
              </w:rPr>
              <w:t>1.525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1F39F28" w14:textId="77777777" w:rsidR="000A01FD" w:rsidRPr="00734942" w:rsidRDefault="000A01FD" w:rsidP="00C25994">
            <w:pPr>
              <w:jc w:val="center"/>
              <w:rPr>
                <w:sz w:val="18"/>
                <w:szCs w:val="18"/>
              </w:rPr>
            </w:pPr>
            <w:r w:rsidRPr="00734942">
              <w:rPr>
                <w:sz w:val="18"/>
                <w:szCs w:val="18"/>
              </w:rPr>
              <w:t>3.737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A2DADA7" w14:textId="77777777" w:rsidR="000A01FD" w:rsidRPr="00734942" w:rsidRDefault="000A01FD" w:rsidP="00C25994">
            <w:pPr>
              <w:jc w:val="center"/>
              <w:rPr>
                <w:sz w:val="18"/>
                <w:szCs w:val="18"/>
              </w:rPr>
            </w:pPr>
            <w:r w:rsidRPr="00734942">
              <w:rPr>
                <w:sz w:val="18"/>
                <w:szCs w:val="18"/>
              </w:rPr>
              <w:t>4.596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56BBDA1" w14:textId="77777777" w:rsidR="000A01FD" w:rsidRPr="00734942" w:rsidRDefault="000A01FD" w:rsidP="00C25994">
            <w:pPr>
              <w:jc w:val="center"/>
              <w:rPr>
                <w:sz w:val="18"/>
                <w:szCs w:val="18"/>
              </w:rPr>
            </w:pPr>
            <w:r w:rsidRPr="00734942">
              <w:rPr>
                <w:sz w:val="18"/>
                <w:szCs w:val="18"/>
              </w:rPr>
              <w:t>1.725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1569AC9" w14:textId="77777777" w:rsidR="000A01FD" w:rsidRPr="00734942" w:rsidRDefault="000A01FD" w:rsidP="00C25994">
            <w:pPr>
              <w:jc w:val="center"/>
              <w:rPr>
                <w:sz w:val="18"/>
                <w:szCs w:val="18"/>
              </w:rPr>
            </w:pPr>
            <w:r w:rsidRPr="00734942">
              <w:rPr>
                <w:sz w:val="18"/>
                <w:szCs w:val="18"/>
              </w:rPr>
              <w:t>5.613</w:t>
            </w:r>
          </w:p>
        </w:tc>
      </w:tr>
      <w:tr w:rsidR="00311D14" w:rsidRPr="00734942" w14:paraId="5D60E1E6"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DC0A64A" w14:textId="77777777" w:rsidR="000A01FD" w:rsidRPr="00734942" w:rsidRDefault="000A01FD" w:rsidP="000A01FD">
            <w:pPr>
              <w:rPr>
                <w:sz w:val="18"/>
                <w:szCs w:val="18"/>
              </w:rPr>
            </w:pPr>
            <w:r w:rsidRPr="00734942">
              <w:rPr>
                <w:sz w:val="18"/>
                <w:szCs w:val="18"/>
              </w:rPr>
              <w:t>Irritable bowel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2B85521" w14:textId="77777777" w:rsidR="000A01FD" w:rsidRPr="00734942" w:rsidRDefault="000A01FD" w:rsidP="00C25994">
            <w:pPr>
              <w:jc w:val="center"/>
              <w:rPr>
                <w:sz w:val="18"/>
                <w:szCs w:val="18"/>
              </w:rPr>
            </w:pPr>
            <w:r w:rsidRPr="00734942">
              <w:rPr>
                <w:sz w:val="18"/>
                <w:szCs w:val="18"/>
              </w:rPr>
              <w:t>1.127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A68A5C" w14:textId="75BB2353" w:rsidR="000A01FD" w:rsidRPr="00734942" w:rsidRDefault="000A01FD" w:rsidP="00C25994">
            <w:pPr>
              <w:jc w:val="center"/>
              <w:rPr>
                <w:sz w:val="18"/>
                <w:szCs w:val="18"/>
              </w:rPr>
            </w:pPr>
            <w:r w:rsidRPr="00734942">
              <w:rPr>
                <w:sz w:val="18"/>
                <w:szCs w:val="18"/>
              </w:rPr>
              <w:t>1.135 ( 0.934;  1.377)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16CE2D" w14:textId="77777777" w:rsidR="000A01FD" w:rsidRPr="00734942" w:rsidRDefault="000A01FD" w:rsidP="00C25994">
            <w:pPr>
              <w:jc w:val="center"/>
              <w:rPr>
                <w:sz w:val="18"/>
                <w:szCs w:val="18"/>
              </w:rPr>
            </w:pPr>
            <w:r w:rsidRPr="00734942">
              <w:rPr>
                <w:sz w:val="18"/>
                <w:szCs w:val="18"/>
              </w:rPr>
              <w:t>1.246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F07D9F" w14:textId="77777777" w:rsidR="000A01FD" w:rsidRPr="00734942" w:rsidRDefault="000A01FD" w:rsidP="00C25994">
            <w:pPr>
              <w:jc w:val="center"/>
              <w:rPr>
                <w:sz w:val="18"/>
                <w:szCs w:val="18"/>
              </w:rPr>
            </w:pPr>
            <w:r w:rsidRPr="00734942">
              <w:rPr>
                <w:sz w:val="18"/>
                <w:szCs w:val="18"/>
              </w:rPr>
              <w:t>3.087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A101E78" w14:textId="77777777" w:rsidR="000A01FD" w:rsidRPr="00734942" w:rsidRDefault="000A01FD" w:rsidP="00C25994">
            <w:pPr>
              <w:jc w:val="center"/>
              <w:rPr>
                <w:sz w:val="18"/>
                <w:szCs w:val="18"/>
              </w:rPr>
            </w:pPr>
            <w:r w:rsidRPr="00734942">
              <w:rPr>
                <w:sz w:val="18"/>
                <w:szCs w:val="18"/>
              </w:rPr>
              <w:t>3.476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6DB60A" w14:textId="77777777" w:rsidR="000A01FD" w:rsidRPr="00734942" w:rsidRDefault="000A01FD" w:rsidP="00C25994">
            <w:pPr>
              <w:jc w:val="center"/>
              <w:rPr>
                <w:sz w:val="18"/>
                <w:szCs w:val="18"/>
              </w:rPr>
            </w:pPr>
            <w:r w:rsidRPr="00734942">
              <w:rPr>
                <w:sz w:val="18"/>
                <w:szCs w:val="18"/>
              </w:rPr>
              <w:t>1.765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6ED6C50" w14:textId="77777777" w:rsidR="000A01FD" w:rsidRPr="00734942" w:rsidRDefault="000A01FD" w:rsidP="00C25994">
            <w:pPr>
              <w:jc w:val="center"/>
              <w:rPr>
                <w:sz w:val="18"/>
                <w:szCs w:val="18"/>
              </w:rPr>
            </w:pPr>
            <w:r w:rsidRPr="00734942">
              <w:rPr>
                <w:sz w:val="18"/>
                <w:szCs w:val="18"/>
              </w:rPr>
              <w:t>5.842</w:t>
            </w:r>
          </w:p>
        </w:tc>
      </w:tr>
      <w:tr w:rsidR="00311D14" w:rsidRPr="00734942" w14:paraId="4453801F"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8C70E2B" w14:textId="77777777" w:rsidR="000A01FD" w:rsidRPr="00734942" w:rsidRDefault="000A01FD" w:rsidP="000A01FD">
            <w:pPr>
              <w:rPr>
                <w:sz w:val="18"/>
                <w:szCs w:val="18"/>
              </w:rPr>
            </w:pPr>
            <w:r w:rsidRPr="00734942">
              <w:rPr>
                <w:sz w:val="18"/>
                <w:szCs w:val="18"/>
              </w:rPr>
              <w:t>Fatigue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776AC1" w14:textId="77777777" w:rsidR="000A01FD" w:rsidRPr="00734942" w:rsidRDefault="000A01FD" w:rsidP="00C25994">
            <w:pPr>
              <w:jc w:val="center"/>
              <w:rPr>
                <w:sz w:val="18"/>
                <w:szCs w:val="18"/>
              </w:rPr>
            </w:pPr>
            <w:r w:rsidRPr="00734942">
              <w:rPr>
                <w:sz w:val="18"/>
                <w:szCs w:val="18"/>
              </w:rPr>
              <w:t>1.111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B472D80" w14:textId="274714C6" w:rsidR="000A01FD" w:rsidRPr="00734942" w:rsidRDefault="000A01FD" w:rsidP="00C25994">
            <w:pPr>
              <w:jc w:val="center"/>
              <w:rPr>
                <w:sz w:val="18"/>
                <w:szCs w:val="18"/>
              </w:rPr>
            </w:pPr>
            <w:r w:rsidRPr="00734942">
              <w:rPr>
                <w:sz w:val="18"/>
                <w:szCs w:val="18"/>
              </w:rPr>
              <w:t>1.090 ( 0.967;  1.233)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4A97AF6" w14:textId="77777777" w:rsidR="000A01FD" w:rsidRPr="00734942" w:rsidRDefault="000A01FD" w:rsidP="00C25994">
            <w:pPr>
              <w:jc w:val="center"/>
              <w:rPr>
                <w:sz w:val="18"/>
                <w:szCs w:val="18"/>
              </w:rPr>
            </w:pPr>
            <w:r w:rsidRPr="00734942">
              <w:rPr>
                <w:sz w:val="18"/>
                <w:szCs w:val="18"/>
              </w:rPr>
              <w:t>1.249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DF2C20" w14:textId="77777777" w:rsidR="000A01FD" w:rsidRPr="00734942" w:rsidRDefault="000A01FD" w:rsidP="00C25994">
            <w:pPr>
              <w:jc w:val="center"/>
              <w:rPr>
                <w:sz w:val="18"/>
                <w:szCs w:val="18"/>
              </w:rPr>
            </w:pPr>
            <w:r w:rsidRPr="00734942">
              <w:rPr>
                <w:sz w:val="18"/>
                <w:szCs w:val="18"/>
              </w:rPr>
              <w:t>3.036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0AC8BBD" w14:textId="77777777" w:rsidR="000A01FD" w:rsidRPr="00734942" w:rsidRDefault="000A01FD" w:rsidP="00C25994">
            <w:pPr>
              <w:jc w:val="center"/>
              <w:rPr>
                <w:sz w:val="18"/>
                <w:szCs w:val="18"/>
              </w:rPr>
            </w:pPr>
            <w:r w:rsidRPr="00734942">
              <w:rPr>
                <w:sz w:val="18"/>
                <w:szCs w:val="18"/>
              </w:rPr>
              <w:t>3.487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6798969" w14:textId="77777777" w:rsidR="000A01FD" w:rsidRPr="00734942" w:rsidRDefault="000A01FD" w:rsidP="00C25994">
            <w:pPr>
              <w:jc w:val="center"/>
              <w:rPr>
                <w:sz w:val="18"/>
                <w:szCs w:val="18"/>
              </w:rPr>
            </w:pPr>
            <w:r w:rsidRPr="00734942">
              <w:rPr>
                <w:sz w:val="18"/>
                <w:szCs w:val="18"/>
              </w:rPr>
              <w:t>2.139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F993A04" w14:textId="77777777" w:rsidR="000A01FD" w:rsidRPr="00734942" w:rsidRDefault="000A01FD" w:rsidP="00C25994">
            <w:pPr>
              <w:jc w:val="center"/>
              <w:rPr>
                <w:sz w:val="18"/>
                <w:szCs w:val="18"/>
              </w:rPr>
            </w:pPr>
            <w:r w:rsidRPr="00734942">
              <w:rPr>
                <w:sz w:val="18"/>
                <w:szCs w:val="18"/>
              </w:rPr>
              <w:t>8.491</w:t>
            </w:r>
          </w:p>
        </w:tc>
      </w:tr>
      <w:tr w:rsidR="00311D14" w:rsidRPr="00734942" w14:paraId="5D45D57E"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26708D7" w14:textId="77777777" w:rsidR="000A01FD" w:rsidRPr="00734942" w:rsidRDefault="000A01FD" w:rsidP="000A01FD">
            <w:pPr>
              <w:rPr>
                <w:sz w:val="18"/>
                <w:szCs w:val="18"/>
              </w:rPr>
            </w:pPr>
            <w:r w:rsidRPr="00734942">
              <w:rPr>
                <w:sz w:val="18"/>
                <w:szCs w:val="18"/>
              </w:rPr>
              <w:t>GI symptoms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5CB094E" w14:textId="77777777" w:rsidR="000A01FD" w:rsidRPr="00734942" w:rsidRDefault="000A01FD" w:rsidP="00C25994">
            <w:pPr>
              <w:jc w:val="center"/>
              <w:rPr>
                <w:sz w:val="18"/>
                <w:szCs w:val="18"/>
              </w:rPr>
            </w:pPr>
            <w:r w:rsidRPr="00734942">
              <w:rPr>
                <w:sz w:val="18"/>
                <w:szCs w:val="18"/>
              </w:rPr>
              <w:t>0.794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930D012" w14:textId="6CF4BFE0" w:rsidR="000A01FD" w:rsidRPr="00734942" w:rsidRDefault="000A01FD" w:rsidP="00C25994">
            <w:pPr>
              <w:jc w:val="center"/>
              <w:rPr>
                <w:sz w:val="18"/>
                <w:szCs w:val="18"/>
              </w:rPr>
            </w:pPr>
            <w:r w:rsidRPr="00734942">
              <w:rPr>
                <w:sz w:val="18"/>
                <w:szCs w:val="18"/>
              </w:rPr>
              <w:t>0.792 ( 0.775;  0.817)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0AB4179" w14:textId="77777777" w:rsidR="000A01FD" w:rsidRPr="00734942" w:rsidRDefault="000A01FD" w:rsidP="00C25994">
            <w:pPr>
              <w:jc w:val="center"/>
              <w:rPr>
                <w:sz w:val="18"/>
                <w:szCs w:val="18"/>
              </w:rPr>
            </w:pPr>
            <w:r w:rsidRPr="00734942">
              <w:rPr>
                <w:sz w:val="18"/>
                <w:szCs w:val="18"/>
              </w:rPr>
              <w:t>0.854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FB66E6" w14:textId="77777777" w:rsidR="000A01FD" w:rsidRPr="00734942" w:rsidRDefault="000A01FD" w:rsidP="00C25994">
            <w:pPr>
              <w:jc w:val="center"/>
              <w:rPr>
                <w:sz w:val="18"/>
                <w:szCs w:val="18"/>
              </w:rPr>
            </w:pPr>
            <w:r w:rsidRPr="00734942">
              <w:rPr>
                <w:sz w:val="18"/>
                <w:szCs w:val="18"/>
              </w:rPr>
              <w:t>2.213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BA731EA" w14:textId="77777777" w:rsidR="000A01FD" w:rsidRPr="00734942" w:rsidRDefault="000A01FD" w:rsidP="00C25994">
            <w:pPr>
              <w:jc w:val="center"/>
              <w:rPr>
                <w:sz w:val="18"/>
                <w:szCs w:val="18"/>
              </w:rPr>
            </w:pPr>
            <w:r w:rsidRPr="00734942">
              <w:rPr>
                <w:sz w:val="18"/>
                <w:szCs w:val="18"/>
              </w:rPr>
              <w:t>2.348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832A5DE" w14:textId="77777777" w:rsidR="000A01FD" w:rsidRPr="00734942" w:rsidRDefault="000A01FD" w:rsidP="00C25994">
            <w:pPr>
              <w:jc w:val="center"/>
              <w:rPr>
                <w:sz w:val="18"/>
                <w:szCs w:val="18"/>
              </w:rPr>
            </w:pPr>
            <w:r w:rsidRPr="00734942">
              <w:rPr>
                <w:sz w:val="18"/>
                <w:szCs w:val="18"/>
              </w:rPr>
              <w:t>1.023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11F08B" w14:textId="77777777" w:rsidR="000A01FD" w:rsidRPr="00734942" w:rsidRDefault="000A01FD" w:rsidP="00C25994">
            <w:pPr>
              <w:jc w:val="center"/>
              <w:rPr>
                <w:sz w:val="18"/>
                <w:szCs w:val="18"/>
              </w:rPr>
            </w:pPr>
            <w:r w:rsidRPr="00734942">
              <w:rPr>
                <w:sz w:val="18"/>
                <w:szCs w:val="18"/>
              </w:rPr>
              <w:t>2.782</w:t>
            </w:r>
          </w:p>
        </w:tc>
      </w:tr>
      <w:tr w:rsidR="00311D14" w:rsidRPr="00734942" w14:paraId="16A4E2D2"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1C2A2C" w14:textId="77777777" w:rsidR="000A01FD" w:rsidRPr="00734942" w:rsidRDefault="000A01FD" w:rsidP="000A01FD">
            <w:pPr>
              <w:rPr>
                <w:sz w:val="18"/>
                <w:szCs w:val="18"/>
              </w:rPr>
            </w:pPr>
            <w:r w:rsidRPr="00734942">
              <w:rPr>
                <w:sz w:val="18"/>
                <w:szCs w:val="18"/>
              </w:rPr>
              <w:t>Fatigue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28ACD4C" w14:textId="77777777" w:rsidR="000A01FD" w:rsidRPr="00734942" w:rsidRDefault="000A01FD" w:rsidP="00C25994">
            <w:pPr>
              <w:jc w:val="center"/>
              <w:rPr>
                <w:sz w:val="18"/>
                <w:szCs w:val="18"/>
              </w:rPr>
            </w:pPr>
            <w:r w:rsidRPr="00734942">
              <w:rPr>
                <w:sz w:val="18"/>
                <w:szCs w:val="18"/>
              </w:rPr>
              <w:t>0.613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1F2CB5C" w14:textId="0471ED50" w:rsidR="000A01FD" w:rsidRPr="00734942" w:rsidRDefault="000A01FD" w:rsidP="00C25994">
            <w:pPr>
              <w:jc w:val="center"/>
              <w:rPr>
                <w:sz w:val="18"/>
                <w:szCs w:val="18"/>
              </w:rPr>
            </w:pPr>
            <w:r w:rsidRPr="00734942">
              <w:rPr>
                <w:sz w:val="18"/>
                <w:szCs w:val="18"/>
              </w:rPr>
              <w:t>0.605 ( 0.500;  0.698)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A70275E" w14:textId="77777777" w:rsidR="000A01FD" w:rsidRPr="00734942" w:rsidRDefault="000A01FD" w:rsidP="00C25994">
            <w:pPr>
              <w:jc w:val="center"/>
              <w:rPr>
                <w:sz w:val="18"/>
                <w:szCs w:val="18"/>
              </w:rPr>
            </w:pPr>
            <w:r w:rsidRPr="00734942">
              <w:rPr>
                <w:sz w:val="18"/>
                <w:szCs w:val="18"/>
              </w:rPr>
              <w:t>0.603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BA31BAB" w14:textId="77777777" w:rsidR="000A01FD" w:rsidRPr="00734942" w:rsidRDefault="000A01FD" w:rsidP="00C25994">
            <w:pPr>
              <w:jc w:val="center"/>
              <w:rPr>
                <w:sz w:val="18"/>
                <w:szCs w:val="18"/>
              </w:rPr>
            </w:pPr>
            <w:r w:rsidRPr="00734942">
              <w:rPr>
                <w:sz w:val="18"/>
                <w:szCs w:val="18"/>
              </w:rPr>
              <w:t>1.846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69236B" w14:textId="77777777" w:rsidR="000A01FD" w:rsidRPr="00734942" w:rsidRDefault="000A01FD" w:rsidP="00C25994">
            <w:pPr>
              <w:jc w:val="center"/>
              <w:rPr>
                <w:sz w:val="18"/>
                <w:szCs w:val="18"/>
              </w:rPr>
            </w:pPr>
            <w:r w:rsidRPr="00734942">
              <w:rPr>
                <w:sz w:val="18"/>
                <w:szCs w:val="18"/>
              </w:rPr>
              <w:t>1.827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B80B7D4" w14:textId="77777777" w:rsidR="000A01FD" w:rsidRPr="00734942" w:rsidRDefault="000A01FD" w:rsidP="00C25994">
            <w:pPr>
              <w:jc w:val="center"/>
              <w:rPr>
                <w:sz w:val="18"/>
                <w:szCs w:val="18"/>
              </w:rPr>
            </w:pPr>
            <w:r w:rsidRPr="00734942">
              <w:rPr>
                <w:sz w:val="18"/>
                <w:szCs w:val="18"/>
              </w:rPr>
              <w:t>1.638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1938CD" w14:textId="77777777" w:rsidR="000A01FD" w:rsidRPr="00734942" w:rsidRDefault="000A01FD" w:rsidP="00C25994">
            <w:pPr>
              <w:jc w:val="center"/>
              <w:rPr>
                <w:sz w:val="18"/>
                <w:szCs w:val="18"/>
              </w:rPr>
            </w:pPr>
            <w:r w:rsidRPr="00734942">
              <w:rPr>
                <w:sz w:val="18"/>
                <w:szCs w:val="18"/>
              </w:rPr>
              <w:t>5.145</w:t>
            </w:r>
          </w:p>
        </w:tc>
      </w:tr>
      <w:tr w:rsidR="00311D14" w:rsidRPr="00734942" w14:paraId="43585E33" w14:textId="77777777" w:rsidTr="00C25994">
        <w:trPr>
          <w:trHeight w:val="159"/>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E9E5DAB" w14:textId="77777777" w:rsidR="000A01FD" w:rsidRPr="00734942" w:rsidRDefault="000A01FD" w:rsidP="000A01FD">
            <w:pPr>
              <w:rPr>
                <w:sz w:val="18"/>
                <w:szCs w:val="18"/>
              </w:rPr>
            </w:pPr>
            <w:r w:rsidRPr="00734942">
              <w:rPr>
                <w:sz w:val="18"/>
                <w:szCs w:val="18"/>
              </w:rPr>
              <w:lastRenderedPageBreak/>
              <w:t>GI symptoms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7C389F" w14:textId="77777777" w:rsidR="000A01FD" w:rsidRPr="00734942" w:rsidRDefault="000A01FD" w:rsidP="00C25994">
            <w:pPr>
              <w:jc w:val="center"/>
              <w:rPr>
                <w:sz w:val="18"/>
                <w:szCs w:val="18"/>
              </w:rPr>
            </w:pPr>
            <w:r w:rsidRPr="00734942">
              <w:rPr>
                <w:sz w:val="18"/>
                <w:szCs w:val="18"/>
              </w:rPr>
              <w:t>0.582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94FAE3" w14:textId="21A9D022" w:rsidR="000A01FD" w:rsidRPr="00734942" w:rsidRDefault="000A01FD" w:rsidP="00C25994">
            <w:pPr>
              <w:jc w:val="center"/>
              <w:rPr>
                <w:sz w:val="18"/>
                <w:szCs w:val="18"/>
              </w:rPr>
            </w:pPr>
            <w:r w:rsidRPr="00734942">
              <w:rPr>
                <w:sz w:val="18"/>
                <w:szCs w:val="18"/>
              </w:rPr>
              <w:t>0.584 ( 0.550;  0.613)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269A91C" w14:textId="77777777" w:rsidR="000A01FD" w:rsidRPr="00734942" w:rsidRDefault="000A01FD" w:rsidP="00C25994">
            <w:pPr>
              <w:jc w:val="center"/>
              <w:rPr>
                <w:sz w:val="18"/>
                <w:szCs w:val="18"/>
              </w:rPr>
            </w:pPr>
            <w:r w:rsidRPr="00734942">
              <w:rPr>
                <w:sz w:val="18"/>
                <w:szCs w:val="18"/>
              </w:rPr>
              <w:t>0.603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897E6C" w14:textId="77777777" w:rsidR="000A01FD" w:rsidRPr="00734942" w:rsidRDefault="000A01FD" w:rsidP="00C25994">
            <w:pPr>
              <w:jc w:val="center"/>
              <w:rPr>
                <w:sz w:val="18"/>
                <w:szCs w:val="18"/>
              </w:rPr>
            </w:pPr>
            <w:r w:rsidRPr="00734942">
              <w:rPr>
                <w:sz w:val="18"/>
                <w:szCs w:val="18"/>
              </w:rPr>
              <w:t>1.790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7C3DA9D" w14:textId="77777777" w:rsidR="000A01FD" w:rsidRPr="00734942" w:rsidRDefault="000A01FD" w:rsidP="00C25994">
            <w:pPr>
              <w:jc w:val="center"/>
              <w:rPr>
                <w:sz w:val="18"/>
                <w:szCs w:val="18"/>
              </w:rPr>
            </w:pPr>
            <w:r w:rsidRPr="00734942">
              <w:rPr>
                <w:sz w:val="18"/>
                <w:szCs w:val="18"/>
              </w:rPr>
              <w:t>1.828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FA689A9" w14:textId="77777777" w:rsidR="000A01FD" w:rsidRPr="00734942" w:rsidRDefault="000A01FD" w:rsidP="00C25994">
            <w:pPr>
              <w:jc w:val="center"/>
              <w:rPr>
                <w:sz w:val="18"/>
                <w:szCs w:val="18"/>
              </w:rPr>
            </w:pPr>
            <w:r w:rsidRPr="00734942">
              <w:rPr>
                <w:sz w:val="18"/>
                <w:szCs w:val="18"/>
              </w:rPr>
              <w:t>1.304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2FBDCF3" w14:textId="77777777" w:rsidR="000A01FD" w:rsidRPr="00734942" w:rsidRDefault="000A01FD" w:rsidP="00C25994">
            <w:pPr>
              <w:jc w:val="center"/>
              <w:rPr>
                <w:sz w:val="18"/>
                <w:szCs w:val="18"/>
              </w:rPr>
            </w:pPr>
            <w:r w:rsidRPr="00734942">
              <w:rPr>
                <w:sz w:val="18"/>
                <w:szCs w:val="18"/>
              </w:rPr>
              <w:t>3.684</w:t>
            </w:r>
          </w:p>
        </w:tc>
      </w:tr>
      <w:tr w:rsidR="00311D14" w:rsidRPr="00734942" w14:paraId="1B97F781"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0229130" w14:textId="77777777" w:rsidR="000A01FD" w:rsidRPr="00734942" w:rsidRDefault="000A01FD" w:rsidP="000A01FD">
            <w:pPr>
              <w:rPr>
                <w:sz w:val="18"/>
                <w:szCs w:val="18"/>
              </w:rPr>
            </w:pPr>
            <w:r w:rsidRPr="00734942">
              <w:rPr>
                <w:sz w:val="18"/>
                <w:szCs w:val="18"/>
              </w:rPr>
              <w:t>Mood disorders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289CEE" w14:textId="77777777" w:rsidR="000A01FD" w:rsidRPr="00734942" w:rsidRDefault="000A01FD" w:rsidP="00C25994">
            <w:pPr>
              <w:jc w:val="center"/>
              <w:rPr>
                <w:sz w:val="18"/>
                <w:szCs w:val="18"/>
              </w:rPr>
            </w:pPr>
            <w:r w:rsidRPr="00734942">
              <w:rPr>
                <w:sz w:val="18"/>
                <w:szCs w:val="18"/>
              </w:rPr>
              <w:t>0.363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6191CAB" w14:textId="0AA2796D" w:rsidR="000A01FD" w:rsidRPr="00734942" w:rsidRDefault="000A01FD" w:rsidP="00C25994">
            <w:pPr>
              <w:jc w:val="center"/>
              <w:rPr>
                <w:sz w:val="18"/>
                <w:szCs w:val="18"/>
              </w:rPr>
            </w:pPr>
            <w:r w:rsidRPr="00734942">
              <w:rPr>
                <w:sz w:val="18"/>
                <w:szCs w:val="18"/>
              </w:rPr>
              <w:t>0.343 ( 0.250;  0.448)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6DAD87" w14:textId="77777777" w:rsidR="000A01FD" w:rsidRPr="00734942" w:rsidRDefault="000A01FD" w:rsidP="00C25994">
            <w:pPr>
              <w:jc w:val="center"/>
              <w:rPr>
                <w:sz w:val="18"/>
                <w:szCs w:val="18"/>
              </w:rPr>
            </w:pPr>
            <w:r w:rsidRPr="00734942">
              <w:rPr>
                <w:sz w:val="18"/>
                <w:szCs w:val="18"/>
              </w:rPr>
              <w:t>0.389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6A6F2FA" w14:textId="77777777" w:rsidR="000A01FD" w:rsidRPr="00734942" w:rsidRDefault="000A01FD" w:rsidP="00C25994">
            <w:pPr>
              <w:jc w:val="center"/>
              <w:rPr>
                <w:sz w:val="18"/>
                <w:szCs w:val="18"/>
              </w:rPr>
            </w:pPr>
            <w:r w:rsidRPr="00734942">
              <w:rPr>
                <w:sz w:val="18"/>
                <w:szCs w:val="18"/>
              </w:rPr>
              <w:t>1.437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DC4400F" w14:textId="77777777" w:rsidR="000A01FD" w:rsidRPr="00734942" w:rsidRDefault="000A01FD" w:rsidP="00C25994">
            <w:pPr>
              <w:jc w:val="center"/>
              <w:rPr>
                <w:sz w:val="18"/>
                <w:szCs w:val="18"/>
              </w:rPr>
            </w:pPr>
            <w:r w:rsidRPr="00734942">
              <w:rPr>
                <w:sz w:val="18"/>
                <w:szCs w:val="18"/>
              </w:rPr>
              <w:t>1.476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CDA2DC1" w14:textId="77777777" w:rsidR="000A01FD" w:rsidRPr="00734942" w:rsidRDefault="000A01FD" w:rsidP="00C25994">
            <w:pPr>
              <w:jc w:val="center"/>
              <w:rPr>
                <w:sz w:val="18"/>
                <w:szCs w:val="18"/>
              </w:rPr>
            </w:pPr>
            <w:r w:rsidRPr="00734942">
              <w:rPr>
                <w:sz w:val="18"/>
                <w:szCs w:val="18"/>
              </w:rPr>
              <w:t>0.829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91A28B2" w14:textId="77777777" w:rsidR="000A01FD" w:rsidRPr="00734942" w:rsidRDefault="000A01FD" w:rsidP="00C25994">
            <w:pPr>
              <w:jc w:val="center"/>
              <w:rPr>
                <w:sz w:val="18"/>
                <w:szCs w:val="18"/>
              </w:rPr>
            </w:pPr>
            <w:r w:rsidRPr="00734942">
              <w:rPr>
                <w:sz w:val="18"/>
                <w:szCs w:val="18"/>
              </w:rPr>
              <w:t>2.291</w:t>
            </w:r>
          </w:p>
        </w:tc>
      </w:tr>
      <w:tr w:rsidR="00311D14" w:rsidRPr="00734942" w14:paraId="28AECBB7"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FFEC43D" w14:textId="77777777" w:rsidR="000A01FD" w:rsidRPr="00734942" w:rsidRDefault="000A01FD" w:rsidP="000A01FD">
            <w:pPr>
              <w:rPr>
                <w:sz w:val="18"/>
                <w:szCs w:val="18"/>
              </w:rPr>
            </w:pPr>
            <w:r w:rsidRPr="00734942">
              <w:rPr>
                <w:sz w:val="18"/>
                <w:szCs w:val="18"/>
              </w:rPr>
              <w:t>Age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BB30B9" w14:textId="77777777" w:rsidR="000A01FD" w:rsidRPr="00734942" w:rsidRDefault="000A01FD" w:rsidP="00C25994">
            <w:pPr>
              <w:jc w:val="center"/>
              <w:rPr>
                <w:sz w:val="18"/>
                <w:szCs w:val="18"/>
              </w:rPr>
            </w:pPr>
            <w:r w:rsidRPr="00734942">
              <w:rPr>
                <w:sz w:val="18"/>
                <w:szCs w:val="18"/>
              </w:rPr>
              <w:t>0.011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491DDF" w14:textId="1619129B" w:rsidR="000A01FD" w:rsidRPr="00734942" w:rsidRDefault="000A01FD" w:rsidP="00C25994">
            <w:pPr>
              <w:jc w:val="center"/>
              <w:rPr>
                <w:sz w:val="18"/>
                <w:szCs w:val="18"/>
              </w:rPr>
            </w:pPr>
            <w:r w:rsidRPr="00734942">
              <w:rPr>
                <w:sz w:val="18"/>
                <w:szCs w:val="18"/>
              </w:rPr>
              <w:t>0.011 ( 0.007;  0.014)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B0BC6BC" w14:textId="77777777" w:rsidR="000A01FD" w:rsidRPr="00734942" w:rsidRDefault="000A01FD" w:rsidP="00C25994">
            <w:pPr>
              <w:jc w:val="center"/>
              <w:rPr>
                <w:sz w:val="18"/>
                <w:szCs w:val="18"/>
              </w:rPr>
            </w:pPr>
            <w:r w:rsidRPr="00734942">
              <w:rPr>
                <w:sz w:val="18"/>
                <w:szCs w:val="18"/>
              </w:rPr>
              <w:t>0.014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DD3E227" w14:textId="77777777" w:rsidR="000A01FD" w:rsidRPr="00734942" w:rsidRDefault="000A01FD" w:rsidP="00C25994">
            <w:pPr>
              <w:jc w:val="center"/>
              <w:rPr>
                <w:sz w:val="18"/>
                <w:szCs w:val="18"/>
              </w:rPr>
            </w:pPr>
            <w:r w:rsidRPr="00734942">
              <w:rPr>
                <w:sz w:val="18"/>
                <w:szCs w:val="18"/>
              </w:rPr>
              <w:t>1.011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97D36D" w14:textId="77777777" w:rsidR="000A01FD" w:rsidRPr="00734942" w:rsidRDefault="000A01FD" w:rsidP="00C25994">
            <w:pPr>
              <w:jc w:val="center"/>
              <w:rPr>
                <w:sz w:val="18"/>
                <w:szCs w:val="18"/>
              </w:rPr>
            </w:pPr>
            <w:r w:rsidRPr="00734942">
              <w:rPr>
                <w:sz w:val="18"/>
                <w:szCs w:val="18"/>
              </w:rPr>
              <w:t>1.014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96CD98" w14:textId="77777777" w:rsidR="000A01FD" w:rsidRPr="00734942" w:rsidRDefault="000A01FD" w:rsidP="00C25994">
            <w:pPr>
              <w:jc w:val="center"/>
              <w:rPr>
                <w:sz w:val="18"/>
                <w:szCs w:val="18"/>
              </w:rPr>
            </w:pPr>
            <w:r w:rsidRPr="00734942">
              <w:rPr>
                <w:sz w:val="18"/>
                <w:szCs w:val="18"/>
              </w:rPr>
              <w:t>-0.007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75A27A0" w14:textId="77777777" w:rsidR="000A01FD" w:rsidRPr="00734942" w:rsidRDefault="000A01FD" w:rsidP="00C25994">
            <w:pPr>
              <w:jc w:val="center"/>
              <w:rPr>
                <w:sz w:val="18"/>
                <w:szCs w:val="18"/>
              </w:rPr>
            </w:pPr>
            <w:r w:rsidRPr="00734942">
              <w:rPr>
                <w:sz w:val="18"/>
                <w:szCs w:val="18"/>
              </w:rPr>
              <w:t>0.993</w:t>
            </w:r>
          </w:p>
        </w:tc>
      </w:tr>
      <w:tr w:rsidR="00311D14" w:rsidRPr="00734942" w14:paraId="508A261A" w14:textId="77777777" w:rsidTr="00C25994">
        <w:trPr>
          <w:trHeight w:val="287"/>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4C9F3DC" w14:textId="77777777" w:rsidR="000A01FD" w:rsidRPr="00734942" w:rsidRDefault="000A01FD" w:rsidP="000A01FD">
            <w:pPr>
              <w:rPr>
                <w:sz w:val="18"/>
                <w:szCs w:val="18"/>
              </w:rPr>
            </w:pPr>
            <w:r w:rsidRPr="00734942">
              <w:rPr>
                <w:sz w:val="18"/>
                <w:szCs w:val="18"/>
              </w:rPr>
              <w:t>Sex (male)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29D2A98" w14:textId="77777777" w:rsidR="000A01FD" w:rsidRPr="00734942" w:rsidRDefault="000A01FD" w:rsidP="00C25994">
            <w:pPr>
              <w:jc w:val="center"/>
              <w:rPr>
                <w:sz w:val="18"/>
                <w:szCs w:val="18"/>
              </w:rPr>
            </w:pPr>
            <w:r w:rsidRPr="00734942">
              <w:rPr>
                <w:sz w:val="18"/>
                <w:szCs w:val="18"/>
              </w:rPr>
              <w:t>-0.477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277E3BB" w14:textId="77777777" w:rsidR="000A01FD" w:rsidRPr="00734942" w:rsidRDefault="000A01FD" w:rsidP="00C25994">
            <w:pPr>
              <w:jc w:val="center"/>
              <w:rPr>
                <w:sz w:val="18"/>
                <w:szCs w:val="18"/>
              </w:rPr>
            </w:pPr>
            <w:r w:rsidRPr="00734942">
              <w:rPr>
                <w:sz w:val="18"/>
                <w:szCs w:val="18"/>
              </w:rPr>
              <w:t>-0.472 (-0.502; -0.447)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C6866F6" w14:textId="77777777" w:rsidR="000A01FD" w:rsidRPr="00734942" w:rsidRDefault="000A01FD" w:rsidP="00C25994">
            <w:pPr>
              <w:jc w:val="center"/>
              <w:rPr>
                <w:sz w:val="18"/>
                <w:szCs w:val="18"/>
              </w:rPr>
            </w:pPr>
            <w:r w:rsidRPr="00734942">
              <w:rPr>
                <w:sz w:val="18"/>
                <w:szCs w:val="18"/>
              </w:rPr>
              <w:t>-0.537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C429FAB" w14:textId="77777777" w:rsidR="000A01FD" w:rsidRPr="00734942" w:rsidRDefault="000A01FD" w:rsidP="00C25994">
            <w:pPr>
              <w:jc w:val="center"/>
              <w:rPr>
                <w:sz w:val="18"/>
                <w:szCs w:val="18"/>
              </w:rPr>
            </w:pPr>
            <w:r w:rsidRPr="00734942">
              <w:rPr>
                <w:sz w:val="18"/>
                <w:szCs w:val="18"/>
              </w:rPr>
              <w:t>0.621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2F434B8" w14:textId="77777777" w:rsidR="000A01FD" w:rsidRPr="00734942" w:rsidRDefault="000A01FD" w:rsidP="00C25994">
            <w:pPr>
              <w:jc w:val="center"/>
              <w:rPr>
                <w:sz w:val="18"/>
                <w:szCs w:val="18"/>
              </w:rPr>
            </w:pPr>
            <w:r w:rsidRPr="00734942">
              <w:rPr>
                <w:sz w:val="18"/>
                <w:szCs w:val="18"/>
              </w:rPr>
              <w:t>0.584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974944" w14:textId="77777777" w:rsidR="000A01FD" w:rsidRPr="00734942" w:rsidRDefault="000A01FD" w:rsidP="00C25994">
            <w:pPr>
              <w:jc w:val="center"/>
              <w:rPr>
                <w:sz w:val="18"/>
                <w:szCs w:val="18"/>
              </w:rPr>
            </w:pPr>
            <w:r w:rsidRPr="00734942">
              <w:rPr>
                <w:sz w:val="18"/>
                <w:szCs w:val="18"/>
              </w:rPr>
              <w:t>-0.585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E2880D" w14:textId="77777777" w:rsidR="000A01FD" w:rsidRPr="00734942" w:rsidRDefault="000A01FD" w:rsidP="000526F1">
            <w:pPr>
              <w:keepNext/>
              <w:jc w:val="center"/>
              <w:rPr>
                <w:sz w:val="18"/>
                <w:szCs w:val="18"/>
              </w:rPr>
            </w:pPr>
            <w:r w:rsidRPr="00734942">
              <w:rPr>
                <w:sz w:val="18"/>
                <w:szCs w:val="18"/>
              </w:rPr>
              <w:t>0.557</w:t>
            </w:r>
          </w:p>
        </w:tc>
      </w:tr>
    </w:tbl>
    <w:p w14:paraId="79260854" w14:textId="77777777" w:rsidR="00147AE9" w:rsidRDefault="00147AE9" w:rsidP="000526F1"/>
    <w:p w14:paraId="61CBA4BC" w14:textId="4B4CABAA" w:rsidR="00147AE9" w:rsidRDefault="00147AE9" w:rsidP="000526F1">
      <w:pPr>
        <w:pStyle w:val="Caption"/>
      </w:pPr>
      <w:bookmarkStart w:id="452" w:name="_Toc99720764"/>
      <w:r>
        <w:t xml:space="preserve">Table </w:t>
      </w:r>
      <w:r w:rsidR="00C34531">
        <w:fldChar w:fldCharType="begin"/>
      </w:r>
      <w:r w:rsidR="00C34531">
        <w:instrText xml:space="preserve"> SEQ Table \* ARABIC </w:instrText>
      </w:r>
      <w:r w:rsidR="00C34531">
        <w:fldChar w:fldCharType="separate"/>
      </w:r>
      <w:r w:rsidR="008B5583">
        <w:rPr>
          <w:noProof/>
        </w:rPr>
        <w:t>53</w:t>
      </w:r>
      <w:r w:rsidR="00C34531">
        <w:rPr>
          <w:noProof/>
        </w:rPr>
        <w:fldChar w:fldCharType="end"/>
      </w:r>
      <w:r>
        <w:t xml:space="preserve">  Women: </w:t>
      </w:r>
      <w:r w:rsidRPr="00DA4F9A">
        <w:t>Model coefficients and ORs with and without shrinkage applied</w:t>
      </w:r>
      <w:bookmarkEnd w:id="452"/>
    </w:p>
    <w:tbl>
      <w:tblPr>
        <w:tblW w:w="0" w:type="auto"/>
        <w:tblCellMar>
          <w:left w:w="0" w:type="dxa"/>
          <w:right w:w="0" w:type="dxa"/>
        </w:tblCellMar>
        <w:tblLook w:val="0600" w:firstRow="0" w:lastRow="0" w:firstColumn="0" w:lastColumn="0" w:noHBand="1" w:noVBand="1"/>
      </w:tblPr>
      <w:tblGrid>
        <w:gridCol w:w="1390"/>
        <w:gridCol w:w="1174"/>
        <w:gridCol w:w="1183"/>
        <w:gridCol w:w="1177"/>
        <w:gridCol w:w="1013"/>
        <w:gridCol w:w="1058"/>
        <w:gridCol w:w="1061"/>
        <w:gridCol w:w="950"/>
      </w:tblGrid>
      <w:tr w:rsidR="008B1620" w:rsidRPr="00734942" w14:paraId="4B73C919" w14:textId="77777777" w:rsidTr="00BE74BD">
        <w:trPr>
          <w:trHeight w:val="803"/>
          <w:tblHeader/>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center"/>
            <w:hideMark/>
          </w:tcPr>
          <w:p w14:paraId="73BAF548" w14:textId="77777777" w:rsidR="008B1620" w:rsidRPr="00734942" w:rsidRDefault="008B1620" w:rsidP="008B1620">
            <w:pPr>
              <w:rPr>
                <w:sz w:val="18"/>
                <w:szCs w:val="18"/>
              </w:rPr>
            </w:pPr>
            <w:r w:rsidRPr="00734942">
              <w:rPr>
                <w:b/>
                <w:bCs/>
                <w:sz w:val="18"/>
                <w:szCs w:val="18"/>
              </w:rPr>
              <w:t>Selected predictors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center"/>
            <w:hideMark/>
          </w:tcPr>
          <w:p w14:paraId="6660B301" w14:textId="77777777" w:rsidR="008B1620" w:rsidRPr="00734942" w:rsidRDefault="008B1620" w:rsidP="008B1620">
            <w:pPr>
              <w:rPr>
                <w:sz w:val="18"/>
                <w:szCs w:val="18"/>
              </w:rPr>
            </w:pPr>
            <w:r w:rsidRPr="00734942">
              <w:rPr>
                <w:b/>
                <w:bCs/>
                <w:sz w:val="18"/>
                <w:szCs w:val="18"/>
              </w:rPr>
              <w:t>Coefficients (apparent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center"/>
            <w:hideMark/>
          </w:tcPr>
          <w:p w14:paraId="26C02447" w14:textId="77777777" w:rsidR="008B1620" w:rsidRPr="00734942" w:rsidRDefault="008B1620" w:rsidP="008B1620">
            <w:pPr>
              <w:rPr>
                <w:sz w:val="18"/>
                <w:szCs w:val="18"/>
              </w:rPr>
            </w:pPr>
            <w:r w:rsidRPr="00734942">
              <w:rPr>
                <w:b/>
                <w:bCs/>
                <w:sz w:val="18"/>
                <w:szCs w:val="18"/>
              </w:rPr>
              <w:t>200x Bootstrap samples median  (IQR)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343C7563" w14:textId="77777777" w:rsidR="008B1620" w:rsidRPr="00734942" w:rsidRDefault="008B1620" w:rsidP="008B1620">
            <w:pPr>
              <w:rPr>
                <w:sz w:val="18"/>
                <w:szCs w:val="18"/>
              </w:rPr>
            </w:pPr>
            <w:r w:rsidRPr="00734942">
              <w:rPr>
                <w:b/>
                <w:bCs/>
                <w:sz w:val="18"/>
                <w:szCs w:val="18"/>
              </w:rPr>
              <w:t>Coefficients without shrinkage</w:t>
            </w:r>
          </w:p>
          <w:p w14:paraId="0E701648" w14:textId="77777777" w:rsidR="008B1620" w:rsidRPr="00734942" w:rsidRDefault="008B1620" w:rsidP="008B1620">
            <w:pP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7D138E49" w14:textId="77777777" w:rsidR="008B1620" w:rsidRPr="00734942" w:rsidRDefault="008B1620" w:rsidP="008B1620">
            <w:pPr>
              <w:rPr>
                <w:sz w:val="18"/>
                <w:szCs w:val="18"/>
              </w:rPr>
            </w:pPr>
            <w:r w:rsidRPr="00734942">
              <w:rPr>
                <w:b/>
                <w:bCs/>
                <w:sz w:val="18"/>
                <w:szCs w:val="18"/>
              </w:rPr>
              <w:t>Odds ratios after shrinkage</w:t>
            </w:r>
          </w:p>
          <w:p w14:paraId="72468752" w14:textId="77777777" w:rsidR="008B1620" w:rsidRPr="00734942" w:rsidRDefault="008B1620" w:rsidP="008B1620">
            <w:pP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16C237EC" w14:textId="77777777" w:rsidR="008B1620" w:rsidRPr="00734942" w:rsidRDefault="008B1620" w:rsidP="008B1620">
            <w:pPr>
              <w:rPr>
                <w:sz w:val="18"/>
                <w:szCs w:val="18"/>
              </w:rPr>
            </w:pPr>
            <w:r w:rsidRPr="00734942">
              <w:rPr>
                <w:b/>
                <w:bCs/>
                <w:sz w:val="18"/>
                <w:szCs w:val="18"/>
              </w:rPr>
              <w:t>Odds ratios without shrinkage</w:t>
            </w:r>
          </w:p>
          <w:p w14:paraId="33E81833" w14:textId="77777777" w:rsidR="008B1620" w:rsidRPr="00734942" w:rsidRDefault="008B1620" w:rsidP="008B1620">
            <w:pPr>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69F53098" w14:textId="77777777" w:rsidR="008B1620" w:rsidRPr="00734942" w:rsidRDefault="008B1620" w:rsidP="008B1620">
            <w:pPr>
              <w:rPr>
                <w:sz w:val="18"/>
                <w:szCs w:val="18"/>
              </w:rPr>
            </w:pPr>
            <w:r w:rsidRPr="00734942">
              <w:rPr>
                <w:b/>
                <w:bCs/>
                <w:sz w:val="18"/>
                <w:szCs w:val="18"/>
              </w:rPr>
              <w:t>Unadjusted coefficients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7E562FC6" w14:textId="77777777" w:rsidR="008B1620" w:rsidRPr="00734942" w:rsidRDefault="008B1620" w:rsidP="008B1620">
            <w:pPr>
              <w:rPr>
                <w:sz w:val="18"/>
                <w:szCs w:val="18"/>
              </w:rPr>
            </w:pPr>
            <w:r w:rsidRPr="00734942">
              <w:rPr>
                <w:b/>
                <w:bCs/>
                <w:sz w:val="18"/>
                <w:szCs w:val="18"/>
              </w:rPr>
              <w:t>Unadjusted ORs</w:t>
            </w:r>
          </w:p>
        </w:tc>
      </w:tr>
      <w:tr w:rsidR="008B1620" w:rsidRPr="00734942" w14:paraId="0248F362"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3F69BD3" w14:textId="77777777" w:rsidR="008B1620" w:rsidRPr="00734942" w:rsidRDefault="008B1620" w:rsidP="008B1620">
            <w:pPr>
              <w:rPr>
                <w:sz w:val="18"/>
                <w:szCs w:val="18"/>
              </w:rPr>
            </w:pPr>
            <w:r w:rsidRPr="00734942">
              <w:rPr>
                <w:sz w:val="18"/>
                <w:szCs w:val="18"/>
              </w:rPr>
              <w:t>(Intercept)</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6C4BC08" w14:textId="77777777" w:rsidR="008B1620" w:rsidRPr="00734942" w:rsidRDefault="008B1620" w:rsidP="008B1620">
            <w:pPr>
              <w:rPr>
                <w:sz w:val="18"/>
                <w:szCs w:val="18"/>
              </w:rPr>
            </w:pPr>
            <w:r w:rsidRPr="00734942">
              <w:rPr>
                <w:sz w:val="18"/>
                <w:szCs w:val="18"/>
              </w:rPr>
              <w:t>-5.063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6E323C" w14:textId="77777777" w:rsidR="008B1620" w:rsidRPr="00734942" w:rsidRDefault="008B1620" w:rsidP="008B1620">
            <w:pPr>
              <w:rPr>
                <w:sz w:val="18"/>
                <w:szCs w:val="18"/>
              </w:rPr>
            </w:pPr>
            <w:r w:rsidRPr="00734942">
              <w:rPr>
                <w:sz w:val="18"/>
                <w:szCs w:val="18"/>
              </w:rPr>
              <w:t>-5.062 (-5.080; -5.042)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289EB88" w14:textId="77777777" w:rsidR="008B1620" w:rsidRPr="00734942" w:rsidRDefault="008B1620" w:rsidP="008B1620">
            <w:pPr>
              <w:rPr>
                <w:sz w:val="18"/>
                <w:szCs w:val="18"/>
              </w:rPr>
            </w:pPr>
            <w:r w:rsidRPr="00734942">
              <w:rPr>
                <w:sz w:val="18"/>
                <w:szCs w:val="18"/>
              </w:rPr>
              <w:t>-5.057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01DA209" w14:textId="77777777" w:rsidR="008B1620" w:rsidRPr="00734942" w:rsidRDefault="008B1620" w:rsidP="008B1620">
            <w:pP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BDE271B" w14:textId="77777777" w:rsidR="008B1620" w:rsidRPr="00734942" w:rsidRDefault="008B1620" w:rsidP="008B1620">
            <w:pP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8F2FF8" w14:textId="77777777" w:rsidR="008B1620" w:rsidRPr="00734942" w:rsidRDefault="008B1620" w:rsidP="008B1620">
            <w:pPr>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300BFE" w14:textId="77777777" w:rsidR="008B1620" w:rsidRPr="00734942" w:rsidRDefault="008B1620" w:rsidP="008B1620">
            <w:pPr>
              <w:rPr>
                <w:sz w:val="18"/>
                <w:szCs w:val="18"/>
              </w:rPr>
            </w:pPr>
          </w:p>
        </w:tc>
      </w:tr>
      <w:tr w:rsidR="008B1620" w:rsidRPr="00734942" w14:paraId="2FA33C63"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3AD9D7D" w14:textId="77777777" w:rsidR="008B1620" w:rsidRPr="00734942" w:rsidRDefault="008B1620" w:rsidP="008B1620">
            <w:pPr>
              <w:rPr>
                <w:sz w:val="18"/>
                <w:szCs w:val="18"/>
              </w:rPr>
            </w:pPr>
            <w:r w:rsidRPr="00734942">
              <w:rPr>
                <w:sz w:val="18"/>
                <w:szCs w:val="18"/>
              </w:rPr>
              <w:t>First degree relative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7FA8AA" w14:textId="77777777" w:rsidR="008B1620" w:rsidRPr="00734942" w:rsidRDefault="008B1620" w:rsidP="008B1620">
            <w:pPr>
              <w:rPr>
                <w:sz w:val="18"/>
                <w:szCs w:val="18"/>
              </w:rPr>
            </w:pPr>
            <w:r w:rsidRPr="00734942">
              <w:rPr>
                <w:sz w:val="18"/>
                <w:szCs w:val="18"/>
              </w:rPr>
              <w:t>2.459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A7673F3" w14:textId="77777777" w:rsidR="008B1620" w:rsidRPr="00734942" w:rsidRDefault="008B1620" w:rsidP="008B1620">
            <w:pPr>
              <w:rPr>
                <w:sz w:val="18"/>
                <w:szCs w:val="18"/>
              </w:rPr>
            </w:pPr>
            <w:r w:rsidRPr="00734942">
              <w:rPr>
                <w:sz w:val="18"/>
                <w:szCs w:val="18"/>
              </w:rPr>
              <w:t xml:space="preserve"> 2.449 ( 2.378;  2.517)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4B0439" w14:textId="77777777" w:rsidR="008B1620" w:rsidRPr="00734942" w:rsidRDefault="008B1620" w:rsidP="008B1620">
            <w:pPr>
              <w:rPr>
                <w:sz w:val="18"/>
                <w:szCs w:val="18"/>
              </w:rPr>
            </w:pPr>
            <w:r w:rsidRPr="00734942">
              <w:rPr>
                <w:sz w:val="18"/>
                <w:szCs w:val="18"/>
              </w:rPr>
              <w:t>2.519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EDDB78" w14:textId="77777777" w:rsidR="008B1620" w:rsidRPr="00734942" w:rsidRDefault="008B1620" w:rsidP="008B1620">
            <w:pPr>
              <w:rPr>
                <w:sz w:val="18"/>
                <w:szCs w:val="18"/>
              </w:rPr>
            </w:pPr>
            <w:r w:rsidRPr="00734942">
              <w:rPr>
                <w:sz w:val="18"/>
                <w:szCs w:val="18"/>
              </w:rPr>
              <w:t>11.689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095F7D" w14:textId="77777777" w:rsidR="008B1620" w:rsidRPr="00734942" w:rsidRDefault="008B1620" w:rsidP="008B1620">
            <w:pPr>
              <w:rPr>
                <w:sz w:val="18"/>
                <w:szCs w:val="18"/>
              </w:rPr>
            </w:pPr>
            <w:r w:rsidRPr="00734942">
              <w:rPr>
                <w:sz w:val="18"/>
                <w:szCs w:val="18"/>
              </w:rPr>
              <w:t>12.413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A11088" w14:textId="77777777" w:rsidR="008B1620" w:rsidRPr="00734942" w:rsidRDefault="008B1620" w:rsidP="008B1620">
            <w:pPr>
              <w:rPr>
                <w:sz w:val="18"/>
                <w:szCs w:val="18"/>
              </w:rPr>
            </w:pPr>
            <w:r w:rsidRPr="00734942">
              <w:rPr>
                <w:sz w:val="18"/>
                <w:szCs w:val="18"/>
              </w:rPr>
              <w:t>2.505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040E3E" w14:textId="77777777" w:rsidR="008B1620" w:rsidRPr="00734942" w:rsidRDefault="008B1620" w:rsidP="008B1620">
            <w:pPr>
              <w:rPr>
                <w:sz w:val="18"/>
                <w:szCs w:val="18"/>
              </w:rPr>
            </w:pPr>
            <w:r w:rsidRPr="00734942">
              <w:rPr>
                <w:sz w:val="18"/>
                <w:szCs w:val="18"/>
              </w:rPr>
              <w:t>12.244</w:t>
            </w:r>
          </w:p>
        </w:tc>
      </w:tr>
      <w:tr w:rsidR="008B1620" w:rsidRPr="00734942" w14:paraId="20669CED"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506FF8" w14:textId="77777777" w:rsidR="008B1620" w:rsidRPr="00734942" w:rsidRDefault="008B1620" w:rsidP="008B1620">
            <w:pPr>
              <w:rPr>
                <w:sz w:val="18"/>
                <w:szCs w:val="18"/>
              </w:rPr>
            </w:pPr>
            <w:r w:rsidRPr="00734942">
              <w:rPr>
                <w:sz w:val="18"/>
                <w:szCs w:val="18"/>
              </w:rPr>
              <w:t>Anaemia</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CE433F1" w14:textId="77777777" w:rsidR="008B1620" w:rsidRPr="00734942" w:rsidRDefault="008B1620" w:rsidP="008B1620">
            <w:pPr>
              <w:rPr>
                <w:sz w:val="18"/>
                <w:szCs w:val="18"/>
              </w:rPr>
            </w:pPr>
            <w:r w:rsidRPr="00734942">
              <w:rPr>
                <w:sz w:val="18"/>
                <w:szCs w:val="18"/>
              </w:rPr>
              <w:t>1.630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9A97CE5" w14:textId="77777777" w:rsidR="008B1620" w:rsidRPr="00734942" w:rsidRDefault="008B1620" w:rsidP="008B1620">
            <w:pPr>
              <w:rPr>
                <w:sz w:val="18"/>
                <w:szCs w:val="18"/>
              </w:rPr>
            </w:pPr>
            <w:r w:rsidRPr="00734942">
              <w:rPr>
                <w:sz w:val="18"/>
                <w:szCs w:val="18"/>
              </w:rPr>
              <w:t xml:space="preserve"> 1.635 ( 1.605;  1.661)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6291697" w14:textId="77777777" w:rsidR="008B1620" w:rsidRPr="00734942" w:rsidRDefault="008B1620" w:rsidP="008B1620">
            <w:pPr>
              <w:rPr>
                <w:sz w:val="18"/>
                <w:szCs w:val="18"/>
              </w:rPr>
            </w:pPr>
            <w:r w:rsidRPr="00734942">
              <w:rPr>
                <w:sz w:val="18"/>
                <w:szCs w:val="18"/>
              </w:rPr>
              <w:t>1.659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545794" w14:textId="77777777" w:rsidR="008B1620" w:rsidRPr="00734942" w:rsidRDefault="008B1620" w:rsidP="008B1620">
            <w:pPr>
              <w:rPr>
                <w:sz w:val="18"/>
                <w:szCs w:val="18"/>
              </w:rPr>
            </w:pPr>
            <w:r w:rsidRPr="00734942">
              <w:rPr>
                <w:sz w:val="18"/>
                <w:szCs w:val="18"/>
              </w:rPr>
              <w:t>5.102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B08F7F" w14:textId="77777777" w:rsidR="008B1620" w:rsidRPr="00734942" w:rsidRDefault="008B1620" w:rsidP="008B1620">
            <w:pPr>
              <w:rPr>
                <w:sz w:val="18"/>
                <w:szCs w:val="18"/>
              </w:rPr>
            </w:pPr>
            <w:r w:rsidRPr="00734942">
              <w:rPr>
                <w:sz w:val="18"/>
                <w:szCs w:val="18"/>
              </w:rPr>
              <w:t>5.252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7DE6F6" w14:textId="77777777" w:rsidR="008B1620" w:rsidRPr="00734942" w:rsidRDefault="008B1620" w:rsidP="008B1620">
            <w:pPr>
              <w:rPr>
                <w:sz w:val="18"/>
                <w:szCs w:val="18"/>
              </w:rPr>
            </w:pPr>
            <w:r w:rsidRPr="00734942">
              <w:rPr>
                <w:sz w:val="18"/>
                <w:szCs w:val="18"/>
              </w:rPr>
              <w:t>1.914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C122D74" w14:textId="77777777" w:rsidR="008B1620" w:rsidRPr="00734942" w:rsidRDefault="008B1620" w:rsidP="008B1620">
            <w:pPr>
              <w:rPr>
                <w:sz w:val="18"/>
                <w:szCs w:val="18"/>
              </w:rPr>
            </w:pPr>
            <w:r w:rsidRPr="00734942">
              <w:rPr>
                <w:sz w:val="18"/>
                <w:szCs w:val="18"/>
              </w:rPr>
              <w:t>6.780</w:t>
            </w:r>
          </w:p>
        </w:tc>
      </w:tr>
      <w:tr w:rsidR="008B1620" w:rsidRPr="00734942" w14:paraId="47B5C5B4"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B9EE526" w14:textId="77777777" w:rsidR="008B1620" w:rsidRPr="00734942" w:rsidRDefault="008B1620" w:rsidP="008B1620">
            <w:pPr>
              <w:rPr>
                <w:sz w:val="18"/>
                <w:szCs w:val="18"/>
              </w:rPr>
            </w:pPr>
            <w:r w:rsidRPr="00734942">
              <w:rPr>
                <w:sz w:val="18"/>
                <w:szCs w:val="18"/>
              </w:rPr>
              <w:t>Iron, Vit B12, or Folate deficiency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C9AD5C" w14:textId="77777777" w:rsidR="008B1620" w:rsidRPr="00734942" w:rsidRDefault="008B1620" w:rsidP="008B1620">
            <w:pPr>
              <w:rPr>
                <w:sz w:val="18"/>
                <w:szCs w:val="18"/>
              </w:rPr>
            </w:pPr>
            <w:r w:rsidRPr="00734942">
              <w:rPr>
                <w:sz w:val="18"/>
                <w:szCs w:val="18"/>
              </w:rPr>
              <w:t>1.323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90C7200" w14:textId="77777777" w:rsidR="008B1620" w:rsidRPr="00734942" w:rsidRDefault="008B1620" w:rsidP="008B1620">
            <w:pPr>
              <w:rPr>
                <w:sz w:val="18"/>
                <w:szCs w:val="18"/>
              </w:rPr>
            </w:pPr>
            <w:r w:rsidRPr="00734942">
              <w:rPr>
                <w:sz w:val="18"/>
                <w:szCs w:val="18"/>
              </w:rPr>
              <w:t xml:space="preserve"> 1.383 ( 0.554;  2.113)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7E19BB" w14:textId="77777777" w:rsidR="008B1620" w:rsidRPr="00734942" w:rsidRDefault="008B1620" w:rsidP="008B1620">
            <w:pPr>
              <w:rPr>
                <w:sz w:val="18"/>
                <w:szCs w:val="18"/>
              </w:rPr>
            </w:pPr>
            <w:r w:rsidRPr="00734942">
              <w:rPr>
                <w:sz w:val="18"/>
                <w:szCs w:val="18"/>
              </w:rPr>
              <w:t>1.348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9ADE976" w14:textId="77777777" w:rsidR="008B1620" w:rsidRPr="00734942" w:rsidRDefault="008B1620" w:rsidP="008B1620">
            <w:pPr>
              <w:rPr>
                <w:sz w:val="18"/>
                <w:szCs w:val="18"/>
              </w:rPr>
            </w:pPr>
            <w:r w:rsidRPr="00734942">
              <w:rPr>
                <w:sz w:val="18"/>
                <w:szCs w:val="18"/>
              </w:rPr>
              <w:t>3.753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FE21522" w14:textId="77777777" w:rsidR="008B1620" w:rsidRPr="00734942" w:rsidRDefault="008B1620" w:rsidP="008B1620">
            <w:pPr>
              <w:rPr>
                <w:sz w:val="18"/>
                <w:szCs w:val="18"/>
              </w:rPr>
            </w:pPr>
            <w:r w:rsidRPr="00734942">
              <w:rPr>
                <w:sz w:val="18"/>
                <w:szCs w:val="18"/>
              </w:rPr>
              <w:t>3.851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5174D8" w14:textId="77777777" w:rsidR="008B1620" w:rsidRPr="00734942" w:rsidRDefault="008B1620" w:rsidP="008B1620">
            <w:pPr>
              <w:rPr>
                <w:sz w:val="18"/>
                <w:szCs w:val="18"/>
              </w:rPr>
            </w:pPr>
            <w:r w:rsidRPr="00734942">
              <w:rPr>
                <w:sz w:val="18"/>
                <w:szCs w:val="18"/>
              </w:rPr>
              <w:t>1.810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FC64DA" w14:textId="77777777" w:rsidR="008B1620" w:rsidRPr="00734942" w:rsidRDefault="008B1620" w:rsidP="008B1620">
            <w:pPr>
              <w:rPr>
                <w:sz w:val="18"/>
                <w:szCs w:val="18"/>
              </w:rPr>
            </w:pPr>
            <w:r w:rsidRPr="00734942">
              <w:rPr>
                <w:sz w:val="18"/>
                <w:szCs w:val="18"/>
              </w:rPr>
              <w:t>6.110</w:t>
            </w:r>
          </w:p>
        </w:tc>
      </w:tr>
      <w:tr w:rsidR="008B1620" w:rsidRPr="00734942" w14:paraId="2265936B"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6E614F" w14:textId="77777777" w:rsidR="008B1620" w:rsidRPr="00734942" w:rsidRDefault="008B1620" w:rsidP="008B1620">
            <w:pPr>
              <w:rPr>
                <w:sz w:val="18"/>
                <w:szCs w:val="18"/>
              </w:rPr>
            </w:pPr>
            <w:r w:rsidRPr="00734942">
              <w:rPr>
                <w:sz w:val="18"/>
                <w:szCs w:val="18"/>
              </w:rPr>
              <w:t>Type 1 diabetes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97E226" w14:textId="77777777" w:rsidR="008B1620" w:rsidRPr="00734942" w:rsidRDefault="008B1620" w:rsidP="008B1620">
            <w:pPr>
              <w:rPr>
                <w:sz w:val="18"/>
                <w:szCs w:val="18"/>
              </w:rPr>
            </w:pPr>
            <w:r w:rsidRPr="00734942">
              <w:rPr>
                <w:sz w:val="18"/>
                <w:szCs w:val="18"/>
              </w:rPr>
              <w:t>1.277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CBAC76" w14:textId="77777777" w:rsidR="008B1620" w:rsidRPr="00734942" w:rsidRDefault="008B1620" w:rsidP="008B1620">
            <w:pPr>
              <w:rPr>
                <w:sz w:val="18"/>
                <w:szCs w:val="18"/>
              </w:rPr>
            </w:pPr>
            <w:r w:rsidRPr="00734942">
              <w:rPr>
                <w:sz w:val="18"/>
                <w:szCs w:val="18"/>
              </w:rPr>
              <w:t xml:space="preserve"> 1.337 ( 1.293;  1.375)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5A410D9" w14:textId="77777777" w:rsidR="008B1620" w:rsidRPr="00734942" w:rsidRDefault="008B1620" w:rsidP="008B1620">
            <w:pPr>
              <w:rPr>
                <w:sz w:val="18"/>
                <w:szCs w:val="18"/>
              </w:rPr>
            </w:pPr>
            <w:r w:rsidRPr="00734942">
              <w:rPr>
                <w:sz w:val="18"/>
                <w:szCs w:val="18"/>
              </w:rPr>
              <w:t>1.312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27107A" w14:textId="77777777" w:rsidR="008B1620" w:rsidRPr="00734942" w:rsidRDefault="008B1620" w:rsidP="008B1620">
            <w:pPr>
              <w:rPr>
                <w:sz w:val="18"/>
                <w:szCs w:val="18"/>
              </w:rPr>
            </w:pPr>
            <w:r w:rsidRPr="00734942">
              <w:rPr>
                <w:sz w:val="18"/>
                <w:szCs w:val="18"/>
              </w:rPr>
              <w:t>3.584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FAFE246" w14:textId="77777777" w:rsidR="008B1620" w:rsidRPr="00734942" w:rsidRDefault="008B1620" w:rsidP="008B1620">
            <w:pPr>
              <w:rPr>
                <w:sz w:val="18"/>
                <w:szCs w:val="18"/>
              </w:rPr>
            </w:pPr>
            <w:r w:rsidRPr="00734942">
              <w:rPr>
                <w:sz w:val="18"/>
                <w:szCs w:val="18"/>
              </w:rPr>
              <w:t>3.714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9887BFC" w14:textId="77777777" w:rsidR="008B1620" w:rsidRPr="00734942" w:rsidRDefault="008B1620" w:rsidP="008B1620">
            <w:pPr>
              <w:rPr>
                <w:sz w:val="18"/>
                <w:szCs w:val="18"/>
              </w:rPr>
            </w:pPr>
            <w:r w:rsidRPr="00734942">
              <w:rPr>
                <w:sz w:val="18"/>
                <w:szCs w:val="18"/>
              </w:rPr>
              <w:t>1.487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409433E" w14:textId="77777777" w:rsidR="008B1620" w:rsidRPr="00734942" w:rsidRDefault="008B1620" w:rsidP="008B1620">
            <w:pPr>
              <w:rPr>
                <w:sz w:val="18"/>
                <w:szCs w:val="18"/>
              </w:rPr>
            </w:pPr>
            <w:r w:rsidRPr="00734942">
              <w:rPr>
                <w:sz w:val="18"/>
                <w:szCs w:val="18"/>
              </w:rPr>
              <w:t>4.424</w:t>
            </w:r>
          </w:p>
        </w:tc>
      </w:tr>
      <w:tr w:rsidR="008B1620" w:rsidRPr="00734942" w14:paraId="15D2017A"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D526F2" w14:textId="32763D27" w:rsidR="008B1620" w:rsidRPr="00734942" w:rsidRDefault="00A65A5D" w:rsidP="008B1620">
            <w:pPr>
              <w:rPr>
                <w:sz w:val="18"/>
                <w:szCs w:val="18"/>
              </w:rPr>
            </w:pPr>
            <w:r>
              <w:rPr>
                <w:sz w:val="18"/>
                <w:szCs w:val="18"/>
              </w:rPr>
              <w:t>Down</w:t>
            </w:r>
            <w:r w:rsidR="00C87375" w:rsidRPr="00734942">
              <w:rPr>
                <w:sz w:val="18"/>
                <w:szCs w:val="18"/>
              </w:rPr>
              <w:t xml:space="preserve">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543D8CB" w14:textId="77777777" w:rsidR="008B1620" w:rsidRPr="00734942" w:rsidRDefault="008B1620" w:rsidP="008B1620">
            <w:pPr>
              <w:rPr>
                <w:sz w:val="18"/>
                <w:szCs w:val="18"/>
              </w:rPr>
            </w:pPr>
            <w:r w:rsidRPr="00734942">
              <w:rPr>
                <w:sz w:val="18"/>
                <w:szCs w:val="18"/>
              </w:rPr>
              <w:t>1.163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E0DD80" w14:textId="77777777" w:rsidR="008B1620" w:rsidRPr="00734942" w:rsidRDefault="008B1620" w:rsidP="008B1620">
            <w:pPr>
              <w:rPr>
                <w:sz w:val="18"/>
                <w:szCs w:val="18"/>
              </w:rPr>
            </w:pPr>
            <w:r w:rsidRPr="00734942">
              <w:rPr>
                <w:sz w:val="18"/>
                <w:szCs w:val="18"/>
              </w:rPr>
              <w:t xml:space="preserve"> 1.269 ( 1.161;  1.358)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B9E7E13" w14:textId="77777777" w:rsidR="008B1620" w:rsidRPr="00734942" w:rsidRDefault="008B1620" w:rsidP="008B1620">
            <w:pPr>
              <w:rPr>
                <w:sz w:val="18"/>
                <w:szCs w:val="18"/>
              </w:rPr>
            </w:pPr>
            <w:r w:rsidRPr="00734942">
              <w:rPr>
                <w:sz w:val="18"/>
                <w:szCs w:val="18"/>
              </w:rPr>
              <w:t>1.256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A575B11" w14:textId="77777777" w:rsidR="008B1620" w:rsidRPr="00734942" w:rsidRDefault="008B1620" w:rsidP="008B1620">
            <w:pPr>
              <w:rPr>
                <w:sz w:val="18"/>
                <w:szCs w:val="18"/>
              </w:rPr>
            </w:pPr>
            <w:r w:rsidRPr="00734942">
              <w:rPr>
                <w:sz w:val="18"/>
                <w:szCs w:val="18"/>
              </w:rPr>
              <w:t>3.198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44D95EA" w14:textId="77777777" w:rsidR="008B1620" w:rsidRPr="00734942" w:rsidRDefault="008B1620" w:rsidP="008B1620">
            <w:pPr>
              <w:rPr>
                <w:sz w:val="18"/>
                <w:szCs w:val="18"/>
              </w:rPr>
            </w:pPr>
            <w:r w:rsidRPr="00734942">
              <w:rPr>
                <w:sz w:val="18"/>
                <w:szCs w:val="18"/>
              </w:rPr>
              <w:t>3.512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F7CD381" w14:textId="77777777" w:rsidR="008B1620" w:rsidRPr="00734942" w:rsidRDefault="008B1620" w:rsidP="008B1620">
            <w:pPr>
              <w:rPr>
                <w:sz w:val="18"/>
                <w:szCs w:val="18"/>
              </w:rPr>
            </w:pPr>
            <w:r w:rsidRPr="00734942">
              <w:rPr>
                <w:sz w:val="18"/>
                <w:szCs w:val="18"/>
              </w:rPr>
              <w:t>1.124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2CAB6C1" w14:textId="77777777" w:rsidR="008B1620" w:rsidRPr="00734942" w:rsidRDefault="008B1620" w:rsidP="008B1620">
            <w:pPr>
              <w:rPr>
                <w:sz w:val="18"/>
                <w:szCs w:val="18"/>
              </w:rPr>
            </w:pPr>
            <w:r w:rsidRPr="00734942">
              <w:rPr>
                <w:sz w:val="18"/>
                <w:szCs w:val="18"/>
              </w:rPr>
              <w:t>3.077</w:t>
            </w:r>
          </w:p>
        </w:tc>
      </w:tr>
      <w:tr w:rsidR="008B1620" w:rsidRPr="00734942" w14:paraId="53231C16"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8F665C" w14:textId="77777777" w:rsidR="008B1620" w:rsidRPr="00734942" w:rsidRDefault="008B1620" w:rsidP="008B1620">
            <w:pPr>
              <w:rPr>
                <w:sz w:val="18"/>
                <w:szCs w:val="18"/>
              </w:rPr>
            </w:pPr>
            <w:r w:rsidRPr="00734942">
              <w:rPr>
                <w:sz w:val="18"/>
                <w:szCs w:val="18"/>
              </w:rPr>
              <w:t>IgA deficiency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C56A45F" w14:textId="77777777" w:rsidR="008B1620" w:rsidRPr="00734942" w:rsidRDefault="008B1620" w:rsidP="008B1620">
            <w:pPr>
              <w:rPr>
                <w:sz w:val="18"/>
                <w:szCs w:val="18"/>
              </w:rPr>
            </w:pPr>
            <w:r w:rsidRPr="00734942">
              <w:rPr>
                <w:sz w:val="18"/>
                <w:szCs w:val="18"/>
              </w:rPr>
              <w:t>1.127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ECBF42" w14:textId="77777777" w:rsidR="008B1620" w:rsidRPr="00734942" w:rsidRDefault="008B1620" w:rsidP="008B1620">
            <w:pPr>
              <w:rPr>
                <w:sz w:val="18"/>
                <w:szCs w:val="18"/>
              </w:rPr>
            </w:pPr>
            <w:r w:rsidRPr="00734942">
              <w:rPr>
                <w:sz w:val="18"/>
                <w:szCs w:val="18"/>
              </w:rPr>
              <w:t xml:space="preserve"> 1.170 ( 0.765;  1.596)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720C6F" w14:textId="77777777" w:rsidR="008B1620" w:rsidRPr="00734942" w:rsidRDefault="008B1620" w:rsidP="008B1620">
            <w:pPr>
              <w:rPr>
                <w:sz w:val="18"/>
                <w:szCs w:val="18"/>
              </w:rPr>
            </w:pPr>
            <w:r w:rsidRPr="00734942">
              <w:rPr>
                <w:sz w:val="18"/>
                <w:szCs w:val="18"/>
              </w:rPr>
              <w:t>1.266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553E6C7" w14:textId="77777777" w:rsidR="008B1620" w:rsidRPr="00734942" w:rsidRDefault="008B1620" w:rsidP="008B1620">
            <w:pPr>
              <w:rPr>
                <w:sz w:val="18"/>
                <w:szCs w:val="18"/>
              </w:rPr>
            </w:pPr>
            <w:r w:rsidRPr="00734942">
              <w:rPr>
                <w:sz w:val="18"/>
                <w:szCs w:val="18"/>
              </w:rPr>
              <w:t>3.087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C91BDC" w14:textId="77777777" w:rsidR="008B1620" w:rsidRPr="00734942" w:rsidRDefault="008B1620" w:rsidP="008B1620">
            <w:pPr>
              <w:rPr>
                <w:sz w:val="18"/>
                <w:szCs w:val="18"/>
              </w:rPr>
            </w:pPr>
            <w:r w:rsidRPr="00734942">
              <w:rPr>
                <w:sz w:val="18"/>
                <w:szCs w:val="18"/>
              </w:rPr>
              <w:t>3.545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43EB046" w14:textId="77777777" w:rsidR="008B1620" w:rsidRPr="00734942" w:rsidRDefault="008B1620" w:rsidP="008B1620">
            <w:pPr>
              <w:rPr>
                <w:sz w:val="18"/>
                <w:szCs w:val="18"/>
              </w:rPr>
            </w:pPr>
            <w:r w:rsidRPr="00734942">
              <w:rPr>
                <w:sz w:val="18"/>
                <w:szCs w:val="18"/>
              </w:rPr>
              <w:t>2.223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3FD2FE3" w14:textId="77777777" w:rsidR="008B1620" w:rsidRPr="00734942" w:rsidRDefault="008B1620" w:rsidP="008B1620">
            <w:pPr>
              <w:rPr>
                <w:sz w:val="18"/>
                <w:szCs w:val="18"/>
              </w:rPr>
            </w:pPr>
            <w:r w:rsidRPr="00734942">
              <w:rPr>
                <w:sz w:val="18"/>
                <w:szCs w:val="18"/>
              </w:rPr>
              <w:t>9.235</w:t>
            </w:r>
          </w:p>
        </w:tc>
      </w:tr>
      <w:tr w:rsidR="008B1620" w:rsidRPr="00734942" w14:paraId="5BAC0D63"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4F96551" w14:textId="77777777" w:rsidR="008B1620" w:rsidRPr="00734942" w:rsidRDefault="008B1620" w:rsidP="008B1620">
            <w:pPr>
              <w:rPr>
                <w:sz w:val="18"/>
                <w:szCs w:val="18"/>
              </w:rPr>
            </w:pPr>
            <w:r w:rsidRPr="00734942">
              <w:rPr>
                <w:sz w:val="18"/>
                <w:szCs w:val="18"/>
              </w:rPr>
              <w:t>Turner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B0886C" w14:textId="77777777" w:rsidR="008B1620" w:rsidRPr="00734942" w:rsidRDefault="008B1620" w:rsidP="008B1620">
            <w:pPr>
              <w:rPr>
                <w:sz w:val="18"/>
                <w:szCs w:val="18"/>
              </w:rPr>
            </w:pPr>
            <w:r w:rsidRPr="00734942">
              <w:rPr>
                <w:sz w:val="18"/>
                <w:szCs w:val="18"/>
              </w:rPr>
              <w:t>1.080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56E99B0" w14:textId="77777777" w:rsidR="008B1620" w:rsidRPr="00734942" w:rsidRDefault="008B1620" w:rsidP="008B1620">
            <w:pPr>
              <w:rPr>
                <w:sz w:val="18"/>
                <w:szCs w:val="18"/>
              </w:rPr>
            </w:pPr>
            <w:r w:rsidRPr="00734942">
              <w:rPr>
                <w:sz w:val="18"/>
                <w:szCs w:val="18"/>
              </w:rPr>
              <w:t xml:space="preserve"> 1.057 ( 0.422;  1.681)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F0AB18D" w14:textId="77777777" w:rsidR="008B1620" w:rsidRPr="00734942" w:rsidRDefault="008B1620" w:rsidP="008B1620">
            <w:pPr>
              <w:rPr>
                <w:sz w:val="18"/>
                <w:szCs w:val="18"/>
              </w:rPr>
            </w:pPr>
            <w:r w:rsidRPr="00734942">
              <w:rPr>
                <w:sz w:val="18"/>
                <w:szCs w:val="18"/>
              </w:rPr>
              <w:t>1.186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84A6C67" w14:textId="77777777" w:rsidR="008B1620" w:rsidRPr="00734942" w:rsidRDefault="008B1620" w:rsidP="008B1620">
            <w:pPr>
              <w:rPr>
                <w:sz w:val="18"/>
                <w:szCs w:val="18"/>
              </w:rPr>
            </w:pPr>
            <w:r w:rsidRPr="00734942">
              <w:rPr>
                <w:sz w:val="18"/>
                <w:szCs w:val="18"/>
              </w:rPr>
              <w:t>2.944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2D80C3" w14:textId="77777777" w:rsidR="008B1620" w:rsidRPr="00734942" w:rsidRDefault="008B1620" w:rsidP="008B1620">
            <w:pPr>
              <w:rPr>
                <w:sz w:val="18"/>
                <w:szCs w:val="18"/>
              </w:rPr>
            </w:pPr>
            <w:r w:rsidRPr="00734942">
              <w:rPr>
                <w:sz w:val="18"/>
                <w:szCs w:val="18"/>
              </w:rPr>
              <w:t>3.275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B18E68" w14:textId="77777777" w:rsidR="008B1620" w:rsidRPr="00734942" w:rsidRDefault="008B1620" w:rsidP="008B1620">
            <w:pPr>
              <w:rPr>
                <w:sz w:val="18"/>
                <w:szCs w:val="18"/>
              </w:rPr>
            </w:pPr>
            <w:r w:rsidRPr="00734942">
              <w:rPr>
                <w:sz w:val="18"/>
                <w:szCs w:val="18"/>
              </w:rPr>
              <w:t>1.635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CB11640" w14:textId="77777777" w:rsidR="008B1620" w:rsidRPr="00734942" w:rsidRDefault="008B1620" w:rsidP="008B1620">
            <w:pPr>
              <w:rPr>
                <w:sz w:val="18"/>
                <w:szCs w:val="18"/>
              </w:rPr>
            </w:pPr>
            <w:r w:rsidRPr="00734942">
              <w:rPr>
                <w:sz w:val="18"/>
                <w:szCs w:val="18"/>
              </w:rPr>
              <w:t>5.129</w:t>
            </w:r>
          </w:p>
        </w:tc>
      </w:tr>
      <w:tr w:rsidR="008B1620" w:rsidRPr="00734942" w14:paraId="28F76A67"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28A667A" w14:textId="77777777" w:rsidR="008B1620" w:rsidRPr="00734942" w:rsidRDefault="008B1620" w:rsidP="008B1620">
            <w:pPr>
              <w:rPr>
                <w:sz w:val="18"/>
                <w:szCs w:val="18"/>
              </w:rPr>
            </w:pPr>
            <w:r w:rsidRPr="00734942">
              <w:rPr>
                <w:sz w:val="18"/>
                <w:szCs w:val="18"/>
              </w:rPr>
              <w:t>Osteoporosis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28A5C84" w14:textId="77777777" w:rsidR="008B1620" w:rsidRPr="00734942" w:rsidRDefault="008B1620" w:rsidP="008B1620">
            <w:pPr>
              <w:rPr>
                <w:sz w:val="18"/>
                <w:szCs w:val="18"/>
              </w:rPr>
            </w:pPr>
            <w:r w:rsidRPr="00734942">
              <w:rPr>
                <w:sz w:val="18"/>
                <w:szCs w:val="18"/>
              </w:rPr>
              <w:t>1.028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0C1A14" w14:textId="77777777" w:rsidR="008B1620" w:rsidRPr="00734942" w:rsidRDefault="008B1620" w:rsidP="008B1620">
            <w:pPr>
              <w:rPr>
                <w:sz w:val="18"/>
                <w:szCs w:val="18"/>
              </w:rPr>
            </w:pPr>
            <w:r w:rsidRPr="00734942">
              <w:rPr>
                <w:sz w:val="18"/>
                <w:szCs w:val="18"/>
              </w:rPr>
              <w:t xml:space="preserve"> 1.040 ( 1.000;  1.077)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8516135" w14:textId="77777777" w:rsidR="008B1620" w:rsidRPr="00734942" w:rsidRDefault="008B1620" w:rsidP="008B1620">
            <w:pPr>
              <w:rPr>
                <w:sz w:val="18"/>
                <w:szCs w:val="18"/>
              </w:rPr>
            </w:pPr>
            <w:r w:rsidRPr="00734942">
              <w:rPr>
                <w:sz w:val="18"/>
                <w:szCs w:val="18"/>
              </w:rPr>
              <w:t>1.054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0B1654" w14:textId="77777777" w:rsidR="008B1620" w:rsidRPr="00734942" w:rsidRDefault="008B1620" w:rsidP="008B1620">
            <w:pPr>
              <w:rPr>
                <w:sz w:val="18"/>
                <w:szCs w:val="18"/>
              </w:rPr>
            </w:pPr>
            <w:r w:rsidRPr="00734942">
              <w:rPr>
                <w:sz w:val="18"/>
                <w:szCs w:val="18"/>
              </w:rPr>
              <w:t>2.797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56479D1" w14:textId="77777777" w:rsidR="008B1620" w:rsidRPr="00734942" w:rsidRDefault="008B1620" w:rsidP="008B1620">
            <w:pPr>
              <w:rPr>
                <w:sz w:val="18"/>
                <w:szCs w:val="18"/>
              </w:rPr>
            </w:pPr>
            <w:r w:rsidRPr="00734942">
              <w:rPr>
                <w:sz w:val="18"/>
                <w:szCs w:val="18"/>
              </w:rPr>
              <w:t>2.869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AA236F2" w14:textId="77777777" w:rsidR="008B1620" w:rsidRPr="00734942" w:rsidRDefault="008B1620" w:rsidP="008B1620">
            <w:pPr>
              <w:rPr>
                <w:sz w:val="18"/>
                <w:szCs w:val="18"/>
              </w:rPr>
            </w:pPr>
            <w:r w:rsidRPr="00734942">
              <w:rPr>
                <w:sz w:val="18"/>
                <w:szCs w:val="18"/>
              </w:rPr>
              <w:t>1.158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C22AA99" w14:textId="77777777" w:rsidR="008B1620" w:rsidRPr="00734942" w:rsidRDefault="008B1620" w:rsidP="008B1620">
            <w:pPr>
              <w:rPr>
                <w:sz w:val="18"/>
                <w:szCs w:val="18"/>
              </w:rPr>
            </w:pPr>
            <w:r w:rsidRPr="00734942">
              <w:rPr>
                <w:sz w:val="18"/>
                <w:szCs w:val="18"/>
              </w:rPr>
              <w:t>3.184</w:t>
            </w:r>
          </w:p>
        </w:tc>
      </w:tr>
      <w:tr w:rsidR="008B1620" w:rsidRPr="00734942" w14:paraId="2FC3E197"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6B9BB73" w14:textId="77777777" w:rsidR="008B1620" w:rsidRPr="00734942" w:rsidRDefault="008B1620" w:rsidP="008B1620">
            <w:pPr>
              <w:rPr>
                <w:sz w:val="18"/>
                <w:szCs w:val="18"/>
              </w:rPr>
            </w:pPr>
            <w:r w:rsidRPr="00734942">
              <w:rPr>
                <w:sz w:val="18"/>
                <w:szCs w:val="18"/>
              </w:rPr>
              <w:t>Weight loss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E58EFF1" w14:textId="77777777" w:rsidR="008B1620" w:rsidRPr="00734942" w:rsidRDefault="008B1620" w:rsidP="008B1620">
            <w:pPr>
              <w:rPr>
                <w:sz w:val="18"/>
                <w:szCs w:val="18"/>
              </w:rPr>
            </w:pPr>
            <w:r w:rsidRPr="00734942">
              <w:rPr>
                <w:sz w:val="18"/>
                <w:szCs w:val="18"/>
              </w:rPr>
              <w:t>0.910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4F996C5" w14:textId="77777777" w:rsidR="008B1620" w:rsidRPr="00734942" w:rsidRDefault="008B1620" w:rsidP="008B1620">
            <w:pPr>
              <w:rPr>
                <w:sz w:val="18"/>
                <w:szCs w:val="18"/>
              </w:rPr>
            </w:pPr>
            <w:r w:rsidRPr="00734942">
              <w:rPr>
                <w:sz w:val="18"/>
                <w:szCs w:val="18"/>
              </w:rPr>
              <w:t xml:space="preserve"> 0.895 ( 0.848;  0.950)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19A91A" w14:textId="77777777" w:rsidR="008B1620" w:rsidRPr="00734942" w:rsidRDefault="008B1620" w:rsidP="008B1620">
            <w:pPr>
              <w:rPr>
                <w:sz w:val="18"/>
                <w:szCs w:val="18"/>
              </w:rPr>
            </w:pPr>
            <w:r w:rsidRPr="00734942">
              <w:rPr>
                <w:sz w:val="18"/>
                <w:szCs w:val="18"/>
              </w:rPr>
              <w:t>0.929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794AB9" w14:textId="77777777" w:rsidR="008B1620" w:rsidRPr="00734942" w:rsidRDefault="008B1620" w:rsidP="008B1620">
            <w:pPr>
              <w:rPr>
                <w:sz w:val="18"/>
                <w:szCs w:val="18"/>
              </w:rPr>
            </w:pPr>
            <w:r w:rsidRPr="00734942">
              <w:rPr>
                <w:sz w:val="18"/>
                <w:szCs w:val="18"/>
              </w:rPr>
              <w:t>2.485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53473D9" w14:textId="77777777" w:rsidR="008B1620" w:rsidRPr="00734942" w:rsidRDefault="008B1620" w:rsidP="008B1620">
            <w:pPr>
              <w:rPr>
                <w:sz w:val="18"/>
                <w:szCs w:val="18"/>
              </w:rPr>
            </w:pPr>
            <w:r w:rsidRPr="00734942">
              <w:rPr>
                <w:sz w:val="18"/>
                <w:szCs w:val="18"/>
              </w:rPr>
              <w:t>2.533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84D211A" w14:textId="77777777" w:rsidR="008B1620" w:rsidRPr="00734942" w:rsidRDefault="008B1620" w:rsidP="008B1620">
            <w:pPr>
              <w:rPr>
                <w:sz w:val="18"/>
                <w:szCs w:val="18"/>
              </w:rPr>
            </w:pPr>
            <w:r w:rsidRPr="00734942">
              <w:rPr>
                <w:sz w:val="18"/>
                <w:szCs w:val="18"/>
              </w:rPr>
              <w:t>1.463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1FBB10D" w14:textId="77777777" w:rsidR="008B1620" w:rsidRPr="00734942" w:rsidRDefault="008B1620" w:rsidP="008B1620">
            <w:pPr>
              <w:rPr>
                <w:sz w:val="18"/>
                <w:szCs w:val="18"/>
              </w:rPr>
            </w:pPr>
            <w:r w:rsidRPr="00734942">
              <w:rPr>
                <w:sz w:val="18"/>
                <w:szCs w:val="18"/>
              </w:rPr>
              <w:t>4.319</w:t>
            </w:r>
          </w:p>
        </w:tc>
      </w:tr>
      <w:tr w:rsidR="008B1620" w:rsidRPr="00734942" w14:paraId="26AB0854"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8B23B99" w14:textId="77777777" w:rsidR="008B1620" w:rsidRPr="00734942" w:rsidRDefault="008B1620" w:rsidP="008B1620">
            <w:pPr>
              <w:rPr>
                <w:sz w:val="18"/>
                <w:szCs w:val="18"/>
              </w:rPr>
            </w:pPr>
            <w:r w:rsidRPr="00734942">
              <w:rPr>
                <w:sz w:val="18"/>
                <w:szCs w:val="18"/>
              </w:rPr>
              <w:t>Mouth ulcers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8A5099D" w14:textId="77777777" w:rsidR="008B1620" w:rsidRPr="00734942" w:rsidRDefault="008B1620" w:rsidP="008B1620">
            <w:pPr>
              <w:rPr>
                <w:sz w:val="18"/>
                <w:szCs w:val="18"/>
              </w:rPr>
            </w:pPr>
            <w:r w:rsidRPr="00734942">
              <w:rPr>
                <w:sz w:val="18"/>
                <w:szCs w:val="18"/>
              </w:rPr>
              <w:t>0.857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E6EAC3F" w14:textId="77777777" w:rsidR="008B1620" w:rsidRPr="00734942" w:rsidRDefault="008B1620" w:rsidP="008B1620">
            <w:pPr>
              <w:rPr>
                <w:sz w:val="18"/>
                <w:szCs w:val="18"/>
              </w:rPr>
            </w:pPr>
            <w:r w:rsidRPr="00734942">
              <w:rPr>
                <w:sz w:val="18"/>
                <w:szCs w:val="18"/>
              </w:rPr>
              <w:t xml:space="preserve"> 0.841 ( 0.767;  0.907)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6D2A90D" w14:textId="77777777" w:rsidR="008B1620" w:rsidRPr="00734942" w:rsidRDefault="008B1620" w:rsidP="008B1620">
            <w:pPr>
              <w:rPr>
                <w:sz w:val="18"/>
                <w:szCs w:val="18"/>
              </w:rPr>
            </w:pPr>
            <w:r w:rsidRPr="00734942">
              <w:rPr>
                <w:sz w:val="18"/>
                <w:szCs w:val="18"/>
              </w:rPr>
              <w:t>0.886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AC5275" w14:textId="77777777" w:rsidR="008B1620" w:rsidRPr="00734942" w:rsidRDefault="008B1620" w:rsidP="008B1620">
            <w:pPr>
              <w:rPr>
                <w:sz w:val="18"/>
                <w:szCs w:val="18"/>
              </w:rPr>
            </w:pPr>
            <w:r w:rsidRPr="00734942">
              <w:rPr>
                <w:sz w:val="18"/>
                <w:szCs w:val="18"/>
              </w:rPr>
              <w:t>2.357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FE41A35" w14:textId="77777777" w:rsidR="008B1620" w:rsidRPr="00734942" w:rsidRDefault="008B1620" w:rsidP="008B1620">
            <w:pPr>
              <w:rPr>
                <w:sz w:val="18"/>
                <w:szCs w:val="18"/>
              </w:rPr>
            </w:pPr>
            <w:r w:rsidRPr="00734942">
              <w:rPr>
                <w:sz w:val="18"/>
                <w:szCs w:val="18"/>
              </w:rPr>
              <w:t>2.425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CE5CEF" w14:textId="77777777" w:rsidR="008B1620" w:rsidRPr="00734942" w:rsidRDefault="008B1620" w:rsidP="008B1620">
            <w:pPr>
              <w:rPr>
                <w:sz w:val="18"/>
                <w:szCs w:val="18"/>
              </w:rPr>
            </w:pPr>
            <w:r w:rsidRPr="00734942">
              <w:rPr>
                <w:sz w:val="18"/>
                <w:szCs w:val="18"/>
              </w:rPr>
              <w:t>1.196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3D03C6D" w14:textId="77777777" w:rsidR="008B1620" w:rsidRPr="00734942" w:rsidRDefault="008B1620" w:rsidP="008B1620">
            <w:pPr>
              <w:rPr>
                <w:sz w:val="18"/>
                <w:szCs w:val="18"/>
              </w:rPr>
            </w:pPr>
            <w:r w:rsidRPr="00734942">
              <w:rPr>
                <w:sz w:val="18"/>
                <w:szCs w:val="18"/>
              </w:rPr>
              <w:t>3.307</w:t>
            </w:r>
          </w:p>
        </w:tc>
      </w:tr>
      <w:tr w:rsidR="008B1620" w:rsidRPr="00734942" w14:paraId="7E62FC21"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A6B331E" w14:textId="77777777" w:rsidR="008B1620" w:rsidRPr="00734942" w:rsidRDefault="008B1620" w:rsidP="008B1620">
            <w:pPr>
              <w:rPr>
                <w:sz w:val="18"/>
                <w:szCs w:val="18"/>
              </w:rPr>
            </w:pPr>
            <w:r w:rsidRPr="00734942">
              <w:rPr>
                <w:sz w:val="18"/>
                <w:szCs w:val="18"/>
              </w:rPr>
              <w:lastRenderedPageBreak/>
              <w:t>Systemic lupus erythematosus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94CD01" w14:textId="77777777" w:rsidR="008B1620" w:rsidRPr="00734942" w:rsidRDefault="008B1620" w:rsidP="008B1620">
            <w:pPr>
              <w:rPr>
                <w:sz w:val="18"/>
                <w:szCs w:val="18"/>
              </w:rPr>
            </w:pPr>
            <w:r w:rsidRPr="00734942">
              <w:rPr>
                <w:sz w:val="18"/>
                <w:szCs w:val="18"/>
              </w:rPr>
              <w:t>0.699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08987A9" w14:textId="77777777" w:rsidR="008B1620" w:rsidRPr="00734942" w:rsidRDefault="008B1620" w:rsidP="008B1620">
            <w:pPr>
              <w:rPr>
                <w:sz w:val="18"/>
                <w:szCs w:val="18"/>
              </w:rPr>
            </w:pPr>
            <w:r w:rsidRPr="00734942">
              <w:rPr>
                <w:sz w:val="18"/>
                <w:szCs w:val="18"/>
              </w:rPr>
              <w:t xml:space="preserve"> 0.698 ( 0.532;  0.856)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726589B" w14:textId="77777777" w:rsidR="008B1620" w:rsidRPr="00734942" w:rsidRDefault="008B1620" w:rsidP="008B1620">
            <w:pPr>
              <w:rPr>
                <w:sz w:val="18"/>
                <w:szCs w:val="18"/>
              </w:rPr>
            </w:pPr>
            <w:r w:rsidRPr="00734942">
              <w:rPr>
                <w:sz w:val="18"/>
                <w:szCs w:val="18"/>
              </w:rPr>
              <w:t>0.737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521EF9A" w14:textId="77777777" w:rsidR="008B1620" w:rsidRPr="00734942" w:rsidRDefault="008B1620" w:rsidP="008B1620">
            <w:pPr>
              <w:rPr>
                <w:sz w:val="18"/>
                <w:szCs w:val="18"/>
              </w:rPr>
            </w:pPr>
            <w:r w:rsidRPr="00734942">
              <w:rPr>
                <w:sz w:val="18"/>
                <w:szCs w:val="18"/>
              </w:rPr>
              <w:t>2.011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1F1B0BF" w14:textId="77777777" w:rsidR="008B1620" w:rsidRPr="00734942" w:rsidRDefault="008B1620" w:rsidP="008B1620">
            <w:pPr>
              <w:rPr>
                <w:sz w:val="18"/>
                <w:szCs w:val="18"/>
              </w:rPr>
            </w:pPr>
            <w:r w:rsidRPr="00734942">
              <w:rPr>
                <w:sz w:val="18"/>
                <w:szCs w:val="18"/>
              </w:rPr>
              <w:t>2.090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0168C5E" w14:textId="77777777" w:rsidR="008B1620" w:rsidRPr="00734942" w:rsidRDefault="008B1620" w:rsidP="008B1620">
            <w:pPr>
              <w:rPr>
                <w:sz w:val="18"/>
                <w:szCs w:val="18"/>
              </w:rPr>
            </w:pPr>
            <w:r w:rsidRPr="00734942">
              <w:rPr>
                <w:sz w:val="18"/>
                <w:szCs w:val="18"/>
              </w:rPr>
              <w:t>1.077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13CB16" w14:textId="77777777" w:rsidR="008B1620" w:rsidRPr="00734942" w:rsidRDefault="008B1620" w:rsidP="008B1620">
            <w:pPr>
              <w:rPr>
                <w:sz w:val="18"/>
                <w:szCs w:val="18"/>
              </w:rPr>
            </w:pPr>
            <w:r w:rsidRPr="00734942">
              <w:rPr>
                <w:sz w:val="18"/>
                <w:szCs w:val="18"/>
              </w:rPr>
              <w:t>2.936</w:t>
            </w:r>
          </w:p>
        </w:tc>
      </w:tr>
      <w:tr w:rsidR="008B1620" w:rsidRPr="00734942" w14:paraId="59429D74"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66F88D5" w14:textId="77777777" w:rsidR="008B1620" w:rsidRPr="00734942" w:rsidRDefault="008B1620" w:rsidP="008B1620">
            <w:pPr>
              <w:rPr>
                <w:sz w:val="18"/>
                <w:szCs w:val="18"/>
              </w:rPr>
            </w:pPr>
            <w:r w:rsidRPr="00734942">
              <w:rPr>
                <w:sz w:val="18"/>
                <w:szCs w:val="18"/>
              </w:rPr>
              <w:t>GI symptoms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E11D2E" w14:textId="77777777" w:rsidR="008B1620" w:rsidRPr="00734942" w:rsidRDefault="008B1620" w:rsidP="008B1620">
            <w:pPr>
              <w:rPr>
                <w:sz w:val="18"/>
                <w:szCs w:val="18"/>
              </w:rPr>
            </w:pPr>
            <w:r w:rsidRPr="00734942">
              <w:rPr>
                <w:sz w:val="18"/>
                <w:szCs w:val="18"/>
              </w:rPr>
              <w:t>0.604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A296AB1" w14:textId="77777777" w:rsidR="008B1620" w:rsidRPr="00734942" w:rsidRDefault="008B1620" w:rsidP="008B1620">
            <w:pPr>
              <w:rPr>
                <w:sz w:val="18"/>
                <w:szCs w:val="18"/>
              </w:rPr>
            </w:pPr>
            <w:r w:rsidRPr="00734942">
              <w:rPr>
                <w:sz w:val="18"/>
                <w:szCs w:val="18"/>
              </w:rPr>
              <w:t xml:space="preserve"> 0.604 ( 0.594;  0.615)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1EEE13E" w14:textId="77777777" w:rsidR="008B1620" w:rsidRPr="00734942" w:rsidRDefault="008B1620" w:rsidP="008B1620">
            <w:pPr>
              <w:rPr>
                <w:sz w:val="18"/>
                <w:szCs w:val="18"/>
              </w:rPr>
            </w:pPr>
            <w:r w:rsidRPr="00734942">
              <w:rPr>
                <w:sz w:val="18"/>
                <w:szCs w:val="18"/>
              </w:rPr>
              <w:t>0.616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43D24E" w14:textId="77777777" w:rsidR="008B1620" w:rsidRPr="00734942" w:rsidRDefault="008B1620" w:rsidP="008B1620">
            <w:pPr>
              <w:rPr>
                <w:sz w:val="18"/>
                <w:szCs w:val="18"/>
              </w:rPr>
            </w:pPr>
            <w:r w:rsidRPr="00734942">
              <w:rPr>
                <w:sz w:val="18"/>
                <w:szCs w:val="18"/>
              </w:rPr>
              <w:t>1.829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8E7B875" w14:textId="77777777" w:rsidR="008B1620" w:rsidRPr="00734942" w:rsidRDefault="008B1620" w:rsidP="008B1620">
            <w:pPr>
              <w:rPr>
                <w:sz w:val="18"/>
                <w:szCs w:val="18"/>
              </w:rPr>
            </w:pPr>
            <w:r w:rsidRPr="00734942">
              <w:rPr>
                <w:sz w:val="18"/>
                <w:szCs w:val="18"/>
              </w:rPr>
              <w:t>1.852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C9C03DF" w14:textId="77777777" w:rsidR="008B1620" w:rsidRPr="00734942" w:rsidRDefault="008B1620" w:rsidP="008B1620">
            <w:pPr>
              <w:rPr>
                <w:sz w:val="18"/>
                <w:szCs w:val="18"/>
              </w:rPr>
            </w:pPr>
            <w:r w:rsidRPr="00734942">
              <w:rPr>
                <w:sz w:val="18"/>
                <w:szCs w:val="18"/>
              </w:rPr>
              <w:t>0.760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84D51A9" w14:textId="77777777" w:rsidR="008B1620" w:rsidRPr="00734942" w:rsidRDefault="008B1620" w:rsidP="008B1620">
            <w:pPr>
              <w:rPr>
                <w:sz w:val="18"/>
                <w:szCs w:val="18"/>
              </w:rPr>
            </w:pPr>
            <w:r w:rsidRPr="00734942">
              <w:rPr>
                <w:sz w:val="18"/>
                <w:szCs w:val="18"/>
              </w:rPr>
              <w:t>2.138</w:t>
            </w:r>
          </w:p>
        </w:tc>
      </w:tr>
      <w:tr w:rsidR="008B1620" w:rsidRPr="00734942" w14:paraId="0202EC9F"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B9F5BE8" w14:textId="77777777" w:rsidR="008B1620" w:rsidRPr="00734942" w:rsidRDefault="008B1620" w:rsidP="008B1620">
            <w:pPr>
              <w:rPr>
                <w:sz w:val="18"/>
                <w:szCs w:val="18"/>
              </w:rPr>
            </w:pPr>
            <w:r w:rsidRPr="00734942">
              <w:rPr>
                <w:sz w:val="18"/>
                <w:szCs w:val="18"/>
              </w:rPr>
              <w:t>Thyroid disorders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95BB48" w14:textId="77777777" w:rsidR="008B1620" w:rsidRPr="00734942" w:rsidRDefault="008B1620" w:rsidP="008B1620">
            <w:pPr>
              <w:rPr>
                <w:sz w:val="18"/>
                <w:szCs w:val="18"/>
              </w:rPr>
            </w:pPr>
            <w:r w:rsidRPr="00734942">
              <w:rPr>
                <w:sz w:val="18"/>
                <w:szCs w:val="18"/>
              </w:rPr>
              <w:t>0.599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A3E977E" w14:textId="77777777" w:rsidR="008B1620" w:rsidRPr="00734942" w:rsidRDefault="008B1620" w:rsidP="008B1620">
            <w:pPr>
              <w:rPr>
                <w:sz w:val="18"/>
                <w:szCs w:val="18"/>
              </w:rPr>
            </w:pPr>
            <w:r w:rsidRPr="00734942">
              <w:rPr>
                <w:sz w:val="18"/>
                <w:szCs w:val="18"/>
              </w:rPr>
              <w:t xml:space="preserve"> 0.598 ( 0.563;  0.629)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468A8C" w14:textId="77777777" w:rsidR="008B1620" w:rsidRPr="00734942" w:rsidRDefault="008B1620" w:rsidP="008B1620">
            <w:pPr>
              <w:rPr>
                <w:sz w:val="18"/>
                <w:szCs w:val="18"/>
              </w:rPr>
            </w:pPr>
            <w:r w:rsidRPr="00734942">
              <w:rPr>
                <w:sz w:val="18"/>
                <w:szCs w:val="18"/>
              </w:rPr>
              <w:t>0.614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3E0B88" w14:textId="77777777" w:rsidR="008B1620" w:rsidRPr="00734942" w:rsidRDefault="008B1620" w:rsidP="008B1620">
            <w:pPr>
              <w:rPr>
                <w:sz w:val="18"/>
                <w:szCs w:val="18"/>
              </w:rPr>
            </w:pPr>
            <w:r w:rsidRPr="00734942">
              <w:rPr>
                <w:sz w:val="18"/>
                <w:szCs w:val="18"/>
              </w:rPr>
              <w:t>1.821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E4D1ED3" w14:textId="77777777" w:rsidR="008B1620" w:rsidRPr="00734942" w:rsidRDefault="008B1620" w:rsidP="008B1620">
            <w:pPr>
              <w:rPr>
                <w:sz w:val="18"/>
                <w:szCs w:val="18"/>
              </w:rPr>
            </w:pPr>
            <w:r w:rsidRPr="00734942">
              <w:rPr>
                <w:sz w:val="18"/>
                <w:szCs w:val="18"/>
              </w:rPr>
              <w:t>1.848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FA443E5" w14:textId="77777777" w:rsidR="008B1620" w:rsidRPr="00734942" w:rsidRDefault="008B1620" w:rsidP="008B1620">
            <w:pPr>
              <w:rPr>
                <w:sz w:val="18"/>
                <w:szCs w:val="18"/>
              </w:rPr>
            </w:pPr>
            <w:r w:rsidRPr="00734942">
              <w:rPr>
                <w:sz w:val="18"/>
                <w:szCs w:val="18"/>
              </w:rPr>
              <w:t>0.847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BCD675C" w14:textId="77777777" w:rsidR="008B1620" w:rsidRPr="00734942" w:rsidRDefault="008B1620" w:rsidP="008B1620">
            <w:pPr>
              <w:rPr>
                <w:sz w:val="18"/>
                <w:szCs w:val="18"/>
              </w:rPr>
            </w:pPr>
            <w:r w:rsidRPr="00734942">
              <w:rPr>
                <w:sz w:val="18"/>
                <w:szCs w:val="18"/>
              </w:rPr>
              <w:t>2.333</w:t>
            </w:r>
          </w:p>
        </w:tc>
      </w:tr>
      <w:tr w:rsidR="008B1620" w:rsidRPr="00734942" w14:paraId="57DC4B3D"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3C4C14" w14:textId="77777777" w:rsidR="008B1620" w:rsidRPr="00734942" w:rsidRDefault="008B1620" w:rsidP="008B1620">
            <w:pPr>
              <w:rPr>
                <w:sz w:val="18"/>
                <w:szCs w:val="18"/>
              </w:rPr>
            </w:pPr>
            <w:r w:rsidRPr="00734942">
              <w:rPr>
                <w:sz w:val="18"/>
                <w:szCs w:val="18"/>
              </w:rPr>
              <w:t>Fatigue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53F7D93" w14:textId="77777777" w:rsidR="008B1620" w:rsidRPr="00734942" w:rsidRDefault="008B1620" w:rsidP="008B1620">
            <w:pPr>
              <w:rPr>
                <w:sz w:val="18"/>
                <w:szCs w:val="18"/>
              </w:rPr>
            </w:pPr>
            <w:r w:rsidRPr="00734942">
              <w:rPr>
                <w:sz w:val="18"/>
                <w:szCs w:val="18"/>
              </w:rPr>
              <w:t>0.545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FC146DE" w14:textId="77777777" w:rsidR="008B1620" w:rsidRPr="00734942" w:rsidRDefault="008B1620" w:rsidP="008B1620">
            <w:pPr>
              <w:rPr>
                <w:sz w:val="18"/>
                <w:szCs w:val="18"/>
              </w:rPr>
            </w:pPr>
            <w:r w:rsidRPr="00734942">
              <w:rPr>
                <w:sz w:val="18"/>
                <w:szCs w:val="18"/>
              </w:rPr>
              <w:t xml:space="preserve"> 0.544 ( 0.518;  0.571)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C8A405" w14:textId="77777777" w:rsidR="008B1620" w:rsidRPr="00734942" w:rsidRDefault="008B1620" w:rsidP="008B1620">
            <w:pPr>
              <w:rPr>
                <w:sz w:val="18"/>
                <w:szCs w:val="18"/>
              </w:rPr>
            </w:pPr>
            <w:r w:rsidRPr="00734942">
              <w:rPr>
                <w:sz w:val="18"/>
                <w:szCs w:val="18"/>
              </w:rPr>
              <w:t>0.559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0490079" w14:textId="77777777" w:rsidR="008B1620" w:rsidRPr="00734942" w:rsidRDefault="008B1620" w:rsidP="008B1620">
            <w:pPr>
              <w:rPr>
                <w:sz w:val="18"/>
                <w:szCs w:val="18"/>
              </w:rPr>
            </w:pPr>
            <w:r w:rsidRPr="00734942">
              <w:rPr>
                <w:sz w:val="18"/>
                <w:szCs w:val="18"/>
              </w:rPr>
              <w:t>1.725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BA405B0" w14:textId="77777777" w:rsidR="008B1620" w:rsidRPr="00734942" w:rsidRDefault="008B1620" w:rsidP="008B1620">
            <w:pPr>
              <w:rPr>
                <w:sz w:val="18"/>
                <w:szCs w:val="18"/>
              </w:rPr>
            </w:pPr>
            <w:r w:rsidRPr="00734942">
              <w:rPr>
                <w:sz w:val="18"/>
                <w:szCs w:val="18"/>
              </w:rPr>
              <w:t>1.748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E7B01CA" w14:textId="77777777" w:rsidR="008B1620" w:rsidRPr="00734942" w:rsidRDefault="008B1620" w:rsidP="008B1620">
            <w:pPr>
              <w:rPr>
                <w:sz w:val="18"/>
                <w:szCs w:val="18"/>
              </w:rPr>
            </w:pPr>
            <w:r w:rsidRPr="00734942">
              <w:rPr>
                <w:sz w:val="18"/>
                <w:szCs w:val="18"/>
              </w:rPr>
              <w:t>0.923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000557B" w14:textId="77777777" w:rsidR="008B1620" w:rsidRPr="00734942" w:rsidRDefault="008B1620" w:rsidP="008B1620">
            <w:pPr>
              <w:rPr>
                <w:sz w:val="18"/>
                <w:szCs w:val="18"/>
              </w:rPr>
            </w:pPr>
            <w:r w:rsidRPr="00734942">
              <w:rPr>
                <w:sz w:val="18"/>
                <w:szCs w:val="18"/>
              </w:rPr>
              <w:t>2.517</w:t>
            </w:r>
          </w:p>
        </w:tc>
      </w:tr>
      <w:tr w:rsidR="008B1620" w:rsidRPr="00734942" w14:paraId="31427ED7"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93F513B" w14:textId="77777777" w:rsidR="008B1620" w:rsidRPr="00734942" w:rsidRDefault="008B1620" w:rsidP="008B1620">
            <w:pPr>
              <w:rPr>
                <w:sz w:val="18"/>
                <w:szCs w:val="18"/>
              </w:rPr>
            </w:pPr>
            <w:r w:rsidRPr="00734942">
              <w:rPr>
                <w:sz w:val="18"/>
                <w:szCs w:val="18"/>
              </w:rPr>
              <w:t>Irritable bowel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1C17C1" w14:textId="77777777" w:rsidR="008B1620" w:rsidRPr="00734942" w:rsidRDefault="008B1620" w:rsidP="008B1620">
            <w:pPr>
              <w:rPr>
                <w:sz w:val="18"/>
                <w:szCs w:val="18"/>
              </w:rPr>
            </w:pPr>
            <w:r w:rsidRPr="00734942">
              <w:rPr>
                <w:sz w:val="18"/>
                <w:szCs w:val="18"/>
              </w:rPr>
              <w:t>0.478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C8205A" w14:textId="77777777" w:rsidR="008B1620" w:rsidRPr="00734942" w:rsidRDefault="008B1620" w:rsidP="008B1620">
            <w:pPr>
              <w:rPr>
                <w:sz w:val="18"/>
                <w:szCs w:val="18"/>
              </w:rPr>
            </w:pPr>
            <w:r w:rsidRPr="00734942">
              <w:rPr>
                <w:sz w:val="18"/>
                <w:szCs w:val="18"/>
              </w:rPr>
              <w:t xml:space="preserve"> 0.474 ( 0.450;  0.505)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D8E0359" w14:textId="77777777" w:rsidR="008B1620" w:rsidRPr="00734942" w:rsidRDefault="008B1620" w:rsidP="008B1620">
            <w:pPr>
              <w:rPr>
                <w:sz w:val="18"/>
                <w:szCs w:val="18"/>
              </w:rPr>
            </w:pPr>
            <w:r w:rsidRPr="00734942">
              <w:rPr>
                <w:sz w:val="18"/>
                <w:szCs w:val="18"/>
              </w:rPr>
              <w:t>0.488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234153" w14:textId="77777777" w:rsidR="008B1620" w:rsidRPr="00734942" w:rsidRDefault="008B1620" w:rsidP="008B1620">
            <w:pPr>
              <w:rPr>
                <w:sz w:val="18"/>
                <w:szCs w:val="18"/>
              </w:rPr>
            </w:pPr>
            <w:r w:rsidRPr="00734942">
              <w:rPr>
                <w:sz w:val="18"/>
                <w:szCs w:val="18"/>
              </w:rPr>
              <w:t>1.613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8DFEBF" w14:textId="77777777" w:rsidR="008B1620" w:rsidRPr="00734942" w:rsidRDefault="008B1620" w:rsidP="008B1620">
            <w:pPr>
              <w:rPr>
                <w:sz w:val="18"/>
                <w:szCs w:val="18"/>
              </w:rPr>
            </w:pPr>
            <w:r w:rsidRPr="00734942">
              <w:rPr>
                <w:sz w:val="18"/>
                <w:szCs w:val="18"/>
              </w:rPr>
              <w:t>1.629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572A6F3" w14:textId="77777777" w:rsidR="008B1620" w:rsidRPr="00734942" w:rsidRDefault="008B1620" w:rsidP="008B1620">
            <w:pPr>
              <w:rPr>
                <w:sz w:val="18"/>
                <w:szCs w:val="18"/>
              </w:rPr>
            </w:pPr>
            <w:r w:rsidRPr="00734942">
              <w:rPr>
                <w:sz w:val="18"/>
                <w:szCs w:val="18"/>
              </w:rPr>
              <w:t>0.698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7B8FA5" w14:textId="77777777" w:rsidR="008B1620" w:rsidRPr="00734942" w:rsidRDefault="008B1620" w:rsidP="008B1620">
            <w:pPr>
              <w:rPr>
                <w:sz w:val="18"/>
                <w:szCs w:val="18"/>
              </w:rPr>
            </w:pPr>
            <w:r w:rsidRPr="00734942">
              <w:rPr>
                <w:sz w:val="18"/>
                <w:szCs w:val="18"/>
              </w:rPr>
              <w:t>2.010</w:t>
            </w:r>
          </w:p>
        </w:tc>
      </w:tr>
      <w:tr w:rsidR="008B1620" w:rsidRPr="00734942" w14:paraId="5C02BFC0"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F08C609" w14:textId="77777777" w:rsidR="008B1620" w:rsidRPr="00734942" w:rsidRDefault="008B1620" w:rsidP="008B1620">
            <w:pPr>
              <w:rPr>
                <w:sz w:val="18"/>
                <w:szCs w:val="18"/>
              </w:rPr>
            </w:pPr>
            <w:r w:rsidRPr="00734942">
              <w:rPr>
                <w:sz w:val="18"/>
                <w:szCs w:val="18"/>
              </w:rPr>
              <w:t>Chronic liver disease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A22F7E" w14:textId="77777777" w:rsidR="008B1620" w:rsidRPr="00734942" w:rsidRDefault="008B1620" w:rsidP="008B1620">
            <w:pPr>
              <w:rPr>
                <w:sz w:val="18"/>
                <w:szCs w:val="18"/>
              </w:rPr>
            </w:pPr>
            <w:r w:rsidRPr="00734942">
              <w:rPr>
                <w:sz w:val="18"/>
                <w:szCs w:val="18"/>
              </w:rPr>
              <w:t>0.326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F04E803" w14:textId="77777777" w:rsidR="008B1620" w:rsidRPr="00734942" w:rsidRDefault="008B1620" w:rsidP="008B1620">
            <w:pPr>
              <w:rPr>
                <w:sz w:val="18"/>
                <w:szCs w:val="18"/>
              </w:rPr>
            </w:pPr>
            <w:r w:rsidRPr="00734942">
              <w:rPr>
                <w:sz w:val="18"/>
                <w:szCs w:val="18"/>
              </w:rPr>
              <w:t xml:space="preserve"> 0.324 ( 0.245;  0.383)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A45A304" w14:textId="77777777" w:rsidR="008B1620" w:rsidRPr="00734942" w:rsidRDefault="008B1620" w:rsidP="008B1620">
            <w:pPr>
              <w:rPr>
                <w:sz w:val="18"/>
                <w:szCs w:val="18"/>
              </w:rPr>
            </w:pPr>
            <w:r w:rsidRPr="00734942">
              <w:rPr>
                <w:sz w:val="18"/>
                <w:szCs w:val="18"/>
              </w:rPr>
              <w:t>0.341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C8BA7D2" w14:textId="77777777" w:rsidR="008B1620" w:rsidRPr="00734942" w:rsidRDefault="008B1620" w:rsidP="008B1620">
            <w:pPr>
              <w:rPr>
                <w:sz w:val="18"/>
                <w:szCs w:val="18"/>
              </w:rPr>
            </w:pPr>
            <w:r w:rsidRPr="00734942">
              <w:rPr>
                <w:sz w:val="18"/>
                <w:szCs w:val="18"/>
              </w:rPr>
              <w:t>1.386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4B1F52F" w14:textId="77777777" w:rsidR="008B1620" w:rsidRPr="00734942" w:rsidRDefault="008B1620" w:rsidP="008B1620">
            <w:pPr>
              <w:rPr>
                <w:sz w:val="18"/>
                <w:szCs w:val="18"/>
              </w:rPr>
            </w:pPr>
            <w:r w:rsidRPr="00734942">
              <w:rPr>
                <w:sz w:val="18"/>
                <w:szCs w:val="18"/>
              </w:rPr>
              <w:t>1.406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A17FA5E" w14:textId="77777777" w:rsidR="008B1620" w:rsidRPr="00734942" w:rsidRDefault="008B1620" w:rsidP="008B1620">
            <w:pPr>
              <w:rPr>
                <w:sz w:val="18"/>
                <w:szCs w:val="18"/>
              </w:rPr>
            </w:pPr>
            <w:r w:rsidRPr="00734942">
              <w:rPr>
                <w:sz w:val="18"/>
                <w:szCs w:val="18"/>
              </w:rPr>
              <w:t>0.739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ECD060" w14:textId="77777777" w:rsidR="008B1620" w:rsidRPr="00734942" w:rsidRDefault="008B1620" w:rsidP="008B1620">
            <w:pPr>
              <w:rPr>
                <w:sz w:val="18"/>
                <w:szCs w:val="18"/>
              </w:rPr>
            </w:pPr>
            <w:r w:rsidRPr="00734942">
              <w:rPr>
                <w:sz w:val="18"/>
                <w:szCs w:val="18"/>
              </w:rPr>
              <w:t>2.094</w:t>
            </w:r>
          </w:p>
        </w:tc>
      </w:tr>
      <w:tr w:rsidR="008B1620" w:rsidRPr="00734942" w14:paraId="6C9BA718"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0831086" w14:textId="77777777" w:rsidR="008B1620" w:rsidRPr="00734942" w:rsidRDefault="008B1620" w:rsidP="008B1620">
            <w:pPr>
              <w:rPr>
                <w:sz w:val="18"/>
                <w:szCs w:val="18"/>
              </w:rPr>
            </w:pPr>
            <w:r w:rsidRPr="00734942">
              <w:rPr>
                <w:sz w:val="18"/>
                <w:szCs w:val="18"/>
              </w:rPr>
              <w:t>Epilepsy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F1DD478" w14:textId="77777777" w:rsidR="008B1620" w:rsidRPr="00734942" w:rsidRDefault="008B1620" w:rsidP="008B1620">
            <w:pPr>
              <w:rPr>
                <w:sz w:val="18"/>
                <w:szCs w:val="18"/>
              </w:rPr>
            </w:pPr>
            <w:r w:rsidRPr="00734942">
              <w:rPr>
                <w:sz w:val="18"/>
                <w:szCs w:val="18"/>
              </w:rPr>
              <w:t>0.258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66D0018" w14:textId="77777777" w:rsidR="008B1620" w:rsidRPr="00734942" w:rsidRDefault="008B1620" w:rsidP="008B1620">
            <w:pPr>
              <w:rPr>
                <w:sz w:val="18"/>
                <w:szCs w:val="18"/>
              </w:rPr>
            </w:pPr>
            <w:r w:rsidRPr="00734942">
              <w:rPr>
                <w:sz w:val="18"/>
                <w:szCs w:val="18"/>
              </w:rPr>
              <w:t xml:space="preserve"> 0.252 ( 0.232;  0.268)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A98656" w14:textId="77777777" w:rsidR="008B1620" w:rsidRPr="00734942" w:rsidRDefault="008B1620" w:rsidP="008B1620">
            <w:pPr>
              <w:rPr>
                <w:sz w:val="18"/>
                <w:szCs w:val="18"/>
              </w:rPr>
            </w:pPr>
            <w:r w:rsidRPr="00734942">
              <w:rPr>
                <w:sz w:val="18"/>
                <w:szCs w:val="18"/>
              </w:rPr>
              <w:t>0.277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893877B" w14:textId="77777777" w:rsidR="008B1620" w:rsidRPr="00734942" w:rsidRDefault="008B1620" w:rsidP="008B1620">
            <w:pPr>
              <w:rPr>
                <w:sz w:val="18"/>
                <w:szCs w:val="18"/>
              </w:rPr>
            </w:pPr>
            <w:r w:rsidRPr="00734942">
              <w:rPr>
                <w:sz w:val="18"/>
                <w:szCs w:val="18"/>
              </w:rPr>
              <w:t>1.295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EC1456F" w14:textId="77777777" w:rsidR="008B1620" w:rsidRPr="00734942" w:rsidRDefault="008B1620" w:rsidP="008B1620">
            <w:pPr>
              <w:rPr>
                <w:sz w:val="18"/>
                <w:szCs w:val="18"/>
              </w:rPr>
            </w:pPr>
            <w:r w:rsidRPr="00734942">
              <w:rPr>
                <w:sz w:val="18"/>
                <w:szCs w:val="18"/>
              </w:rPr>
              <w:t>1.319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91A5AA" w14:textId="77777777" w:rsidR="008B1620" w:rsidRPr="00734942" w:rsidRDefault="008B1620" w:rsidP="008B1620">
            <w:pPr>
              <w:rPr>
                <w:sz w:val="18"/>
                <w:szCs w:val="18"/>
              </w:rPr>
            </w:pPr>
            <w:r w:rsidRPr="00734942">
              <w:rPr>
                <w:sz w:val="18"/>
                <w:szCs w:val="18"/>
              </w:rPr>
              <w:t>0.614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98D4BA3" w14:textId="77777777" w:rsidR="008B1620" w:rsidRPr="00734942" w:rsidRDefault="008B1620" w:rsidP="008B1620">
            <w:pPr>
              <w:rPr>
                <w:sz w:val="18"/>
                <w:szCs w:val="18"/>
              </w:rPr>
            </w:pPr>
            <w:r w:rsidRPr="00734942">
              <w:rPr>
                <w:sz w:val="18"/>
                <w:szCs w:val="18"/>
              </w:rPr>
              <w:t>1.848</w:t>
            </w:r>
          </w:p>
        </w:tc>
      </w:tr>
      <w:tr w:rsidR="008B1620" w:rsidRPr="00734942" w14:paraId="0979C3D6"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A663FBA" w14:textId="77777777" w:rsidR="008B1620" w:rsidRPr="00734942" w:rsidRDefault="008B1620" w:rsidP="008B1620">
            <w:pPr>
              <w:rPr>
                <w:sz w:val="18"/>
                <w:szCs w:val="18"/>
              </w:rPr>
            </w:pPr>
            <w:r w:rsidRPr="00734942">
              <w:rPr>
                <w:sz w:val="18"/>
                <w:szCs w:val="18"/>
              </w:rPr>
              <w:t>GI symptoms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FA78DBA" w14:textId="77777777" w:rsidR="008B1620" w:rsidRPr="00734942" w:rsidRDefault="008B1620" w:rsidP="008B1620">
            <w:pPr>
              <w:rPr>
                <w:sz w:val="18"/>
                <w:szCs w:val="18"/>
              </w:rPr>
            </w:pPr>
            <w:r w:rsidRPr="00734942">
              <w:rPr>
                <w:sz w:val="18"/>
                <w:szCs w:val="18"/>
              </w:rPr>
              <w:t>0.249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F4D32A" w14:textId="77777777" w:rsidR="008B1620" w:rsidRPr="00734942" w:rsidRDefault="008B1620" w:rsidP="008B1620">
            <w:pPr>
              <w:rPr>
                <w:sz w:val="18"/>
                <w:szCs w:val="18"/>
              </w:rPr>
            </w:pPr>
            <w:r w:rsidRPr="00734942">
              <w:rPr>
                <w:sz w:val="18"/>
                <w:szCs w:val="18"/>
              </w:rPr>
              <w:t xml:space="preserve"> 0.251 ( 0.173;  0.360)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055CDBF" w14:textId="77777777" w:rsidR="008B1620" w:rsidRPr="00734942" w:rsidRDefault="008B1620" w:rsidP="008B1620">
            <w:pPr>
              <w:rPr>
                <w:sz w:val="18"/>
                <w:szCs w:val="18"/>
              </w:rPr>
            </w:pPr>
            <w:r w:rsidRPr="00734942">
              <w:rPr>
                <w:sz w:val="18"/>
                <w:szCs w:val="18"/>
              </w:rPr>
              <w:t>0.243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6C2E9EA" w14:textId="77777777" w:rsidR="008B1620" w:rsidRPr="00734942" w:rsidRDefault="008B1620" w:rsidP="008B1620">
            <w:pPr>
              <w:rPr>
                <w:sz w:val="18"/>
                <w:szCs w:val="18"/>
              </w:rPr>
            </w:pPr>
            <w:r w:rsidRPr="00734942">
              <w:rPr>
                <w:sz w:val="18"/>
                <w:szCs w:val="18"/>
              </w:rPr>
              <w:t>1.283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945B18" w14:textId="77777777" w:rsidR="008B1620" w:rsidRPr="00734942" w:rsidRDefault="008B1620" w:rsidP="008B1620">
            <w:pPr>
              <w:rPr>
                <w:sz w:val="18"/>
                <w:szCs w:val="18"/>
              </w:rPr>
            </w:pPr>
            <w:r w:rsidRPr="00734942">
              <w:rPr>
                <w:sz w:val="18"/>
                <w:szCs w:val="18"/>
              </w:rPr>
              <w:t>1.275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C77A48D" w14:textId="77777777" w:rsidR="008B1620" w:rsidRPr="00734942" w:rsidRDefault="008B1620" w:rsidP="008B1620">
            <w:pPr>
              <w:rPr>
                <w:sz w:val="18"/>
                <w:szCs w:val="18"/>
              </w:rPr>
            </w:pPr>
            <w:r w:rsidRPr="00734942">
              <w:rPr>
                <w:sz w:val="18"/>
                <w:szCs w:val="18"/>
              </w:rPr>
              <w:t>1.017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F08060" w14:textId="77777777" w:rsidR="008B1620" w:rsidRPr="00734942" w:rsidRDefault="008B1620" w:rsidP="008B1620">
            <w:pPr>
              <w:rPr>
                <w:sz w:val="18"/>
                <w:szCs w:val="18"/>
              </w:rPr>
            </w:pPr>
            <w:r w:rsidRPr="00734942">
              <w:rPr>
                <w:sz w:val="18"/>
                <w:szCs w:val="18"/>
              </w:rPr>
              <w:t>2.765</w:t>
            </w:r>
          </w:p>
        </w:tc>
      </w:tr>
      <w:tr w:rsidR="008B1620" w:rsidRPr="00734942" w14:paraId="1853FD58"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5A9DDE" w14:textId="77777777" w:rsidR="008B1620" w:rsidRPr="00734942" w:rsidRDefault="008B1620" w:rsidP="008B1620">
            <w:pPr>
              <w:rPr>
                <w:sz w:val="18"/>
                <w:szCs w:val="18"/>
              </w:rPr>
            </w:pPr>
            <w:r w:rsidRPr="00734942">
              <w:rPr>
                <w:sz w:val="18"/>
                <w:szCs w:val="18"/>
              </w:rPr>
              <w:t>Fractures (count 1 year)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2671F2B" w14:textId="77777777" w:rsidR="008B1620" w:rsidRPr="00734942" w:rsidRDefault="008B1620" w:rsidP="008B1620">
            <w:pPr>
              <w:rPr>
                <w:sz w:val="18"/>
                <w:szCs w:val="18"/>
              </w:rPr>
            </w:pPr>
            <w:r w:rsidRPr="00734942">
              <w:rPr>
                <w:sz w:val="18"/>
                <w:szCs w:val="18"/>
              </w:rPr>
              <w:t>0.196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923A66F" w14:textId="77777777" w:rsidR="008B1620" w:rsidRPr="00734942" w:rsidRDefault="008B1620" w:rsidP="008B1620">
            <w:pPr>
              <w:rPr>
                <w:sz w:val="18"/>
                <w:szCs w:val="18"/>
              </w:rPr>
            </w:pPr>
            <w:r w:rsidRPr="00734942">
              <w:rPr>
                <w:sz w:val="18"/>
                <w:szCs w:val="18"/>
              </w:rPr>
              <w:t xml:space="preserve"> 0.203 ( 0.167;  0.241)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7B4ED3A" w14:textId="77777777" w:rsidR="008B1620" w:rsidRPr="00734942" w:rsidRDefault="008B1620" w:rsidP="008B1620">
            <w:pPr>
              <w:rPr>
                <w:sz w:val="18"/>
                <w:szCs w:val="18"/>
              </w:rPr>
            </w:pPr>
            <w:r w:rsidRPr="00734942">
              <w:rPr>
                <w:sz w:val="18"/>
                <w:szCs w:val="18"/>
              </w:rPr>
              <w:t>0.205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FDC27B" w14:textId="77777777" w:rsidR="008B1620" w:rsidRPr="00734942" w:rsidRDefault="008B1620" w:rsidP="008B1620">
            <w:pPr>
              <w:rPr>
                <w:sz w:val="18"/>
                <w:szCs w:val="18"/>
              </w:rPr>
            </w:pPr>
            <w:r w:rsidRPr="00734942">
              <w:rPr>
                <w:sz w:val="18"/>
                <w:szCs w:val="18"/>
              </w:rPr>
              <w:t>1.217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C1ABE8C" w14:textId="77777777" w:rsidR="008B1620" w:rsidRPr="00734942" w:rsidRDefault="008B1620" w:rsidP="008B1620">
            <w:pPr>
              <w:rPr>
                <w:sz w:val="18"/>
                <w:szCs w:val="18"/>
              </w:rPr>
            </w:pPr>
            <w:r w:rsidRPr="00734942">
              <w:rPr>
                <w:sz w:val="18"/>
                <w:szCs w:val="18"/>
              </w:rPr>
              <w:t>1.228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90D0735" w14:textId="77777777" w:rsidR="008B1620" w:rsidRPr="00734942" w:rsidRDefault="008B1620" w:rsidP="008B1620">
            <w:pPr>
              <w:rPr>
                <w:sz w:val="18"/>
                <w:szCs w:val="18"/>
              </w:rPr>
            </w:pPr>
            <w:r w:rsidRPr="00734942">
              <w:rPr>
                <w:sz w:val="18"/>
                <w:szCs w:val="18"/>
              </w:rPr>
              <w:t>0.561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3DA49F4" w14:textId="77777777" w:rsidR="008B1620" w:rsidRPr="00734942" w:rsidRDefault="008B1620" w:rsidP="008B1620">
            <w:pPr>
              <w:rPr>
                <w:sz w:val="18"/>
                <w:szCs w:val="18"/>
              </w:rPr>
            </w:pPr>
            <w:r w:rsidRPr="00734942">
              <w:rPr>
                <w:sz w:val="18"/>
                <w:szCs w:val="18"/>
              </w:rPr>
              <w:t>1.752</w:t>
            </w:r>
          </w:p>
        </w:tc>
      </w:tr>
      <w:tr w:rsidR="008B1620" w:rsidRPr="00734942" w14:paraId="18AB0FB0"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92ADB6E" w14:textId="77777777" w:rsidR="008B1620" w:rsidRPr="00734942" w:rsidRDefault="008B1620" w:rsidP="008B1620">
            <w:pPr>
              <w:rPr>
                <w:sz w:val="18"/>
                <w:szCs w:val="18"/>
              </w:rPr>
            </w:pPr>
            <w:r w:rsidRPr="00734942">
              <w:rPr>
                <w:sz w:val="18"/>
                <w:szCs w:val="18"/>
              </w:rPr>
              <w:t>Cardiovascular disease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30E939" w14:textId="77777777" w:rsidR="008B1620" w:rsidRPr="00734942" w:rsidRDefault="008B1620" w:rsidP="008B1620">
            <w:pPr>
              <w:rPr>
                <w:sz w:val="18"/>
                <w:szCs w:val="18"/>
              </w:rPr>
            </w:pPr>
            <w:r w:rsidRPr="00734942">
              <w:rPr>
                <w:sz w:val="18"/>
                <w:szCs w:val="18"/>
              </w:rPr>
              <w:t>0.196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B6FF683" w14:textId="77777777" w:rsidR="008B1620" w:rsidRPr="00734942" w:rsidRDefault="008B1620" w:rsidP="008B1620">
            <w:pPr>
              <w:rPr>
                <w:sz w:val="18"/>
                <w:szCs w:val="18"/>
              </w:rPr>
            </w:pPr>
            <w:r w:rsidRPr="00734942">
              <w:rPr>
                <w:sz w:val="18"/>
                <w:szCs w:val="18"/>
              </w:rPr>
              <w:t xml:space="preserve"> 0.190 ( 0.139;  0.222)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50F261" w14:textId="77777777" w:rsidR="008B1620" w:rsidRPr="00734942" w:rsidRDefault="008B1620" w:rsidP="008B1620">
            <w:pPr>
              <w:rPr>
                <w:sz w:val="18"/>
                <w:szCs w:val="18"/>
              </w:rPr>
            </w:pPr>
            <w:r w:rsidRPr="00734942">
              <w:rPr>
                <w:sz w:val="18"/>
                <w:szCs w:val="18"/>
              </w:rPr>
              <w:t>0.206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96F5791" w14:textId="77777777" w:rsidR="008B1620" w:rsidRPr="00734942" w:rsidRDefault="008B1620" w:rsidP="008B1620">
            <w:pPr>
              <w:rPr>
                <w:sz w:val="18"/>
                <w:szCs w:val="18"/>
              </w:rPr>
            </w:pPr>
            <w:r w:rsidRPr="00734942">
              <w:rPr>
                <w:sz w:val="18"/>
                <w:szCs w:val="18"/>
              </w:rPr>
              <w:t>1.216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7F37D6" w14:textId="77777777" w:rsidR="008B1620" w:rsidRPr="00734942" w:rsidRDefault="008B1620" w:rsidP="008B1620">
            <w:pPr>
              <w:rPr>
                <w:sz w:val="18"/>
                <w:szCs w:val="18"/>
              </w:rPr>
            </w:pPr>
            <w:r w:rsidRPr="00734942">
              <w:rPr>
                <w:sz w:val="18"/>
                <w:szCs w:val="18"/>
              </w:rPr>
              <w:t>1.229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8DBE44" w14:textId="77777777" w:rsidR="008B1620" w:rsidRPr="00734942" w:rsidRDefault="008B1620" w:rsidP="008B1620">
            <w:pPr>
              <w:rPr>
                <w:sz w:val="18"/>
                <w:szCs w:val="18"/>
              </w:rPr>
            </w:pPr>
            <w:r w:rsidRPr="00734942">
              <w:rPr>
                <w:sz w:val="18"/>
                <w:szCs w:val="18"/>
              </w:rPr>
              <w:t>0.370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EC93961" w14:textId="77777777" w:rsidR="008B1620" w:rsidRPr="00734942" w:rsidRDefault="008B1620" w:rsidP="008B1620">
            <w:pPr>
              <w:rPr>
                <w:sz w:val="18"/>
                <w:szCs w:val="18"/>
              </w:rPr>
            </w:pPr>
            <w:r w:rsidRPr="00734942">
              <w:rPr>
                <w:sz w:val="18"/>
                <w:szCs w:val="18"/>
              </w:rPr>
              <w:t>1.448</w:t>
            </w:r>
          </w:p>
        </w:tc>
      </w:tr>
      <w:tr w:rsidR="008B1620" w:rsidRPr="00734942" w14:paraId="26BC415A"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585976B" w14:textId="77777777" w:rsidR="008B1620" w:rsidRPr="00734942" w:rsidRDefault="008B1620" w:rsidP="008B1620">
            <w:pPr>
              <w:rPr>
                <w:sz w:val="18"/>
                <w:szCs w:val="18"/>
              </w:rPr>
            </w:pPr>
            <w:r w:rsidRPr="00734942">
              <w:rPr>
                <w:sz w:val="18"/>
                <w:szCs w:val="18"/>
              </w:rPr>
              <w:t>Neuropathy ataxia</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10EE4D3" w14:textId="77777777" w:rsidR="008B1620" w:rsidRPr="00734942" w:rsidRDefault="008B1620" w:rsidP="008B1620">
            <w:pPr>
              <w:rPr>
                <w:sz w:val="18"/>
                <w:szCs w:val="18"/>
              </w:rPr>
            </w:pPr>
            <w:r w:rsidRPr="00734942">
              <w:rPr>
                <w:sz w:val="18"/>
                <w:szCs w:val="18"/>
              </w:rPr>
              <w:t>0.179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36D3D5B" w14:textId="77777777" w:rsidR="008B1620" w:rsidRPr="00734942" w:rsidRDefault="008B1620" w:rsidP="008B1620">
            <w:pPr>
              <w:rPr>
                <w:sz w:val="18"/>
                <w:szCs w:val="18"/>
              </w:rPr>
            </w:pPr>
            <w:r w:rsidRPr="00734942">
              <w:rPr>
                <w:sz w:val="18"/>
                <w:szCs w:val="18"/>
              </w:rPr>
              <w:t xml:space="preserve"> 0.178 ( 0.074;  0.311)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0D7A992" w14:textId="77777777" w:rsidR="008B1620" w:rsidRPr="00734942" w:rsidRDefault="008B1620" w:rsidP="008B1620">
            <w:pPr>
              <w:rPr>
                <w:sz w:val="18"/>
                <w:szCs w:val="18"/>
              </w:rPr>
            </w:pPr>
            <w:r w:rsidRPr="00734942">
              <w:rPr>
                <w:sz w:val="18"/>
                <w:szCs w:val="18"/>
              </w:rPr>
              <w:t>0.203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C9113E5" w14:textId="77777777" w:rsidR="008B1620" w:rsidRPr="00734942" w:rsidRDefault="008B1620" w:rsidP="008B1620">
            <w:pPr>
              <w:rPr>
                <w:sz w:val="18"/>
                <w:szCs w:val="18"/>
              </w:rPr>
            </w:pPr>
            <w:r w:rsidRPr="00734942">
              <w:rPr>
                <w:sz w:val="18"/>
                <w:szCs w:val="18"/>
              </w:rPr>
              <w:t>1.196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B4E11A" w14:textId="77777777" w:rsidR="008B1620" w:rsidRPr="00734942" w:rsidRDefault="008B1620" w:rsidP="008B1620">
            <w:pPr>
              <w:rPr>
                <w:sz w:val="18"/>
                <w:szCs w:val="18"/>
              </w:rPr>
            </w:pPr>
            <w:r w:rsidRPr="00734942">
              <w:rPr>
                <w:sz w:val="18"/>
                <w:szCs w:val="18"/>
              </w:rPr>
              <w:t>1.225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A2C8308" w14:textId="77777777" w:rsidR="008B1620" w:rsidRPr="00734942" w:rsidRDefault="008B1620" w:rsidP="008B1620">
            <w:pPr>
              <w:rPr>
                <w:sz w:val="18"/>
                <w:szCs w:val="18"/>
              </w:rPr>
            </w:pPr>
            <w:r w:rsidRPr="00734942">
              <w:rPr>
                <w:sz w:val="18"/>
                <w:szCs w:val="18"/>
              </w:rPr>
              <w:t>0.703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8AB828E" w14:textId="77777777" w:rsidR="008B1620" w:rsidRPr="00734942" w:rsidRDefault="008B1620" w:rsidP="008B1620">
            <w:pPr>
              <w:rPr>
                <w:sz w:val="18"/>
                <w:szCs w:val="18"/>
              </w:rPr>
            </w:pPr>
            <w:r w:rsidRPr="00734942">
              <w:rPr>
                <w:sz w:val="18"/>
                <w:szCs w:val="18"/>
              </w:rPr>
              <w:t>2.020</w:t>
            </w:r>
          </w:p>
        </w:tc>
      </w:tr>
      <w:tr w:rsidR="008B1620" w:rsidRPr="00734942" w14:paraId="624B2558"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23E347" w14:textId="77777777" w:rsidR="008B1620" w:rsidRPr="00734942" w:rsidRDefault="008B1620" w:rsidP="008B1620">
            <w:pPr>
              <w:rPr>
                <w:sz w:val="18"/>
                <w:szCs w:val="18"/>
              </w:rPr>
            </w:pPr>
            <w:r w:rsidRPr="00734942">
              <w:rPr>
                <w:sz w:val="18"/>
                <w:szCs w:val="18"/>
              </w:rPr>
              <w:t>Fatigue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ED2DC81" w14:textId="77777777" w:rsidR="008B1620" w:rsidRPr="00734942" w:rsidRDefault="008B1620" w:rsidP="008B1620">
            <w:pPr>
              <w:rPr>
                <w:sz w:val="18"/>
                <w:szCs w:val="18"/>
              </w:rPr>
            </w:pPr>
            <w:r w:rsidRPr="00734942">
              <w:rPr>
                <w:sz w:val="18"/>
                <w:szCs w:val="18"/>
              </w:rPr>
              <w:t>0.153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A62262B" w14:textId="77777777" w:rsidR="008B1620" w:rsidRPr="00734942" w:rsidRDefault="008B1620" w:rsidP="008B1620">
            <w:pPr>
              <w:rPr>
                <w:sz w:val="18"/>
                <w:szCs w:val="18"/>
              </w:rPr>
            </w:pPr>
            <w:r w:rsidRPr="00734942">
              <w:rPr>
                <w:sz w:val="18"/>
                <w:szCs w:val="18"/>
              </w:rPr>
              <w:t xml:space="preserve"> 0.151 ( 0.127;  0.178)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25F0946" w14:textId="77777777" w:rsidR="008B1620" w:rsidRPr="00734942" w:rsidRDefault="008B1620" w:rsidP="008B1620">
            <w:pPr>
              <w:rPr>
                <w:sz w:val="18"/>
                <w:szCs w:val="18"/>
              </w:rPr>
            </w:pPr>
            <w:r w:rsidRPr="00734942">
              <w:rPr>
                <w:sz w:val="18"/>
                <w:szCs w:val="18"/>
              </w:rPr>
              <w:t>0.149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2F3B178" w14:textId="77777777" w:rsidR="008B1620" w:rsidRPr="00734942" w:rsidRDefault="008B1620" w:rsidP="008B1620">
            <w:pPr>
              <w:rPr>
                <w:sz w:val="18"/>
                <w:szCs w:val="18"/>
              </w:rPr>
            </w:pPr>
            <w:r w:rsidRPr="00734942">
              <w:rPr>
                <w:sz w:val="18"/>
                <w:szCs w:val="18"/>
              </w:rPr>
              <w:t>1.165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9EC5025" w14:textId="77777777" w:rsidR="008B1620" w:rsidRPr="00734942" w:rsidRDefault="008B1620" w:rsidP="008B1620">
            <w:pPr>
              <w:rPr>
                <w:sz w:val="18"/>
                <w:szCs w:val="18"/>
              </w:rPr>
            </w:pPr>
            <w:r w:rsidRPr="00734942">
              <w:rPr>
                <w:sz w:val="18"/>
                <w:szCs w:val="18"/>
              </w:rPr>
              <w:t>1.160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CB3F2F" w14:textId="77777777" w:rsidR="008B1620" w:rsidRPr="00734942" w:rsidRDefault="008B1620" w:rsidP="008B1620">
            <w:pPr>
              <w:rPr>
                <w:sz w:val="18"/>
                <w:szCs w:val="18"/>
              </w:rPr>
            </w:pPr>
            <w:r w:rsidRPr="00734942">
              <w:rPr>
                <w:sz w:val="18"/>
                <w:szCs w:val="18"/>
              </w:rPr>
              <w:t>0.853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43BA34" w14:textId="77777777" w:rsidR="008B1620" w:rsidRPr="00734942" w:rsidRDefault="008B1620" w:rsidP="008B1620">
            <w:pPr>
              <w:rPr>
                <w:sz w:val="18"/>
                <w:szCs w:val="18"/>
              </w:rPr>
            </w:pPr>
            <w:r w:rsidRPr="00734942">
              <w:rPr>
                <w:sz w:val="18"/>
                <w:szCs w:val="18"/>
              </w:rPr>
              <w:t>2.347</w:t>
            </w:r>
          </w:p>
        </w:tc>
      </w:tr>
      <w:tr w:rsidR="008B1620" w:rsidRPr="00734942" w14:paraId="5A8387D8"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7E4939B" w14:textId="77777777" w:rsidR="008B1620" w:rsidRPr="00734942" w:rsidRDefault="008B1620" w:rsidP="008B1620">
            <w:pPr>
              <w:rPr>
                <w:sz w:val="18"/>
                <w:szCs w:val="18"/>
              </w:rPr>
            </w:pPr>
            <w:r w:rsidRPr="00734942">
              <w:rPr>
                <w:sz w:val="18"/>
                <w:szCs w:val="18"/>
              </w:rPr>
              <w:t>Inflammatory bowel disease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6FF9E11" w14:textId="77777777" w:rsidR="008B1620" w:rsidRPr="00734942" w:rsidRDefault="008B1620" w:rsidP="008B1620">
            <w:pPr>
              <w:rPr>
                <w:sz w:val="18"/>
                <w:szCs w:val="18"/>
              </w:rPr>
            </w:pPr>
            <w:r w:rsidRPr="00734942">
              <w:rPr>
                <w:sz w:val="18"/>
                <w:szCs w:val="18"/>
              </w:rPr>
              <w:t>0.138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75FB649" w14:textId="77777777" w:rsidR="008B1620" w:rsidRPr="00734942" w:rsidRDefault="008B1620" w:rsidP="008B1620">
            <w:pPr>
              <w:rPr>
                <w:sz w:val="18"/>
                <w:szCs w:val="18"/>
              </w:rPr>
            </w:pPr>
            <w:r w:rsidRPr="00734942">
              <w:rPr>
                <w:sz w:val="18"/>
                <w:szCs w:val="18"/>
              </w:rPr>
              <w:t xml:space="preserve"> 0.112 ( 0.000;  0.227)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DE0ECA1" w14:textId="77777777" w:rsidR="008B1620" w:rsidRPr="00734942" w:rsidRDefault="008B1620" w:rsidP="008B1620">
            <w:pPr>
              <w:rPr>
                <w:sz w:val="18"/>
                <w:szCs w:val="18"/>
              </w:rPr>
            </w:pPr>
            <w:r w:rsidRPr="00734942">
              <w:rPr>
                <w:sz w:val="18"/>
                <w:szCs w:val="18"/>
              </w:rPr>
              <w:t>0.153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8E2BBBA" w14:textId="77777777" w:rsidR="008B1620" w:rsidRPr="00734942" w:rsidRDefault="008B1620" w:rsidP="008B1620">
            <w:pPr>
              <w:rPr>
                <w:sz w:val="18"/>
                <w:szCs w:val="18"/>
              </w:rPr>
            </w:pPr>
            <w:r w:rsidRPr="00734942">
              <w:rPr>
                <w:sz w:val="18"/>
                <w:szCs w:val="18"/>
              </w:rPr>
              <w:t>1.148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487CE0" w14:textId="77777777" w:rsidR="008B1620" w:rsidRPr="00734942" w:rsidRDefault="008B1620" w:rsidP="008B1620">
            <w:pPr>
              <w:rPr>
                <w:sz w:val="18"/>
                <w:szCs w:val="18"/>
              </w:rPr>
            </w:pPr>
            <w:r w:rsidRPr="00734942">
              <w:rPr>
                <w:sz w:val="18"/>
                <w:szCs w:val="18"/>
              </w:rPr>
              <w:t>1.165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0EB80F4" w14:textId="77777777" w:rsidR="008B1620" w:rsidRPr="00734942" w:rsidRDefault="008B1620" w:rsidP="008B1620">
            <w:pPr>
              <w:rPr>
                <w:sz w:val="18"/>
                <w:szCs w:val="18"/>
              </w:rPr>
            </w:pPr>
            <w:r w:rsidRPr="00734942">
              <w:rPr>
                <w:sz w:val="18"/>
                <w:szCs w:val="18"/>
              </w:rPr>
              <w:t>0.952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BEF9D8" w14:textId="77777777" w:rsidR="008B1620" w:rsidRPr="00734942" w:rsidRDefault="008B1620" w:rsidP="008B1620">
            <w:pPr>
              <w:rPr>
                <w:sz w:val="18"/>
                <w:szCs w:val="18"/>
              </w:rPr>
            </w:pPr>
            <w:r w:rsidRPr="00734942">
              <w:rPr>
                <w:sz w:val="18"/>
                <w:szCs w:val="18"/>
              </w:rPr>
              <w:t>2.591</w:t>
            </w:r>
          </w:p>
        </w:tc>
      </w:tr>
      <w:tr w:rsidR="008B1620" w:rsidRPr="00734942" w14:paraId="5D4CBAD2"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2FF420A" w14:textId="77777777" w:rsidR="008B1620" w:rsidRPr="00734942" w:rsidRDefault="008B1620" w:rsidP="008B1620">
            <w:pPr>
              <w:rPr>
                <w:sz w:val="18"/>
                <w:szCs w:val="18"/>
              </w:rPr>
            </w:pPr>
            <w:r w:rsidRPr="00734942">
              <w:rPr>
                <w:sz w:val="18"/>
                <w:szCs w:val="18"/>
              </w:rPr>
              <w:t>Psoriasis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952193" w14:textId="77777777" w:rsidR="008B1620" w:rsidRPr="00734942" w:rsidRDefault="008B1620" w:rsidP="008B1620">
            <w:pPr>
              <w:rPr>
                <w:sz w:val="18"/>
                <w:szCs w:val="18"/>
              </w:rPr>
            </w:pPr>
            <w:r w:rsidRPr="00734942">
              <w:rPr>
                <w:sz w:val="18"/>
                <w:szCs w:val="18"/>
              </w:rPr>
              <w:t>0.048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535B0C4" w14:textId="77777777" w:rsidR="008B1620" w:rsidRPr="00734942" w:rsidRDefault="008B1620" w:rsidP="008B1620">
            <w:pPr>
              <w:rPr>
                <w:sz w:val="18"/>
                <w:szCs w:val="18"/>
              </w:rPr>
            </w:pPr>
            <w:r w:rsidRPr="00734942">
              <w:rPr>
                <w:sz w:val="18"/>
                <w:szCs w:val="18"/>
              </w:rPr>
              <w:t xml:space="preserve"> 0.047 ( 0.000;  0.097)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7CB07B3" w14:textId="77777777" w:rsidR="008B1620" w:rsidRPr="00734942" w:rsidRDefault="008B1620" w:rsidP="008B1620">
            <w:pPr>
              <w:rPr>
                <w:sz w:val="18"/>
                <w:szCs w:val="18"/>
              </w:rPr>
            </w:pPr>
            <w:r w:rsidRPr="00734942">
              <w:rPr>
                <w:sz w:val="18"/>
                <w:szCs w:val="18"/>
              </w:rPr>
              <w:t>0.058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2F33638" w14:textId="77777777" w:rsidR="008B1620" w:rsidRPr="00734942" w:rsidRDefault="008B1620" w:rsidP="008B1620">
            <w:pPr>
              <w:rPr>
                <w:sz w:val="18"/>
                <w:szCs w:val="18"/>
              </w:rPr>
            </w:pPr>
            <w:r w:rsidRPr="00734942">
              <w:rPr>
                <w:sz w:val="18"/>
                <w:szCs w:val="18"/>
              </w:rPr>
              <w:t>1.050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773D42A" w14:textId="77777777" w:rsidR="008B1620" w:rsidRPr="00734942" w:rsidRDefault="008B1620" w:rsidP="008B1620">
            <w:pPr>
              <w:rPr>
                <w:sz w:val="18"/>
                <w:szCs w:val="18"/>
              </w:rPr>
            </w:pPr>
            <w:r w:rsidRPr="00734942">
              <w:rPr>
                <w:sz w:val="18"/>
                <w:szCs w:val="18"/>
              </w:rPr>
              <w:t>1.060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19F3696" w14:textId="77777777" w:rsidR="008B1620" w:rsidRPr="00734942" w:rsidRDefault="008B1620" w:rsidP="008B1620">
            <w:pPr>
              <w:rPr>
                <w:sz w:val="18"/>
                <w:szCs w:val="18"/>
              </w:rPr>
            </w:pPr>
            <w:r w:rsidRPr="00734942">
              <w:rPr>
                <w:sz w:val="18"/>
                <w:szCs w:val="18"/>
              </w:rPr>
              <w:t>0.299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FDDE7A" w14:textId="77777777" w:rsidR="008B1620" w:rsidRPr="00734942" w:rsidRDefault="008B1620" w:rsidP="008B1620">
            <w:pPr>
              <w:rPr>
                <w:sz w:val="18"/>
                <w:szCs w:val="18"/>
              </w:rPr>
            </w:pPr>
            <w:r w:rsidRPr="00734942">
              <w:rPr>
                <w:sz w:val="18"/>
                <w:szCs w:val="18"/>
              </w:rPr>
              <w:t>1.349</w:t>
            </w:r>
          </w:p>
        </w:tc>
      </w:tr>
      <w:tr w:rsidR="008B1620" w:rsidRPr="00734942" w14:paraId="3E233C13" w14:textId="77777777" w:rsidTr="00DB3B62">
        <w:trPr>
          <w:trHeight w:val="251"/>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3A7F596" w14:textId="77777777" w:rsidR="008B1620" w:rsidRPr="00734942" w:rsidRDefault="008B1620" w:rsidP="008B1620">
            <w:pPr>
              <w:rPr>
                <w:sz w:val="18"/>
                <w:szCs w:val="18"/>
              </w:rPr>
            </w:pPr>
            <w:r w:rsidRPr="00734942">
              <w:rPr>
                <w:sz w:val="18"/>
                <w:szCs w:val="18"/>
              </w:rPr>
              <w:t>Age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855987" w14:textId="77777777" w:rsidR="008B1620" w:rsidRPr="00734942" w:rsidRDefault="008B1620" w:rsidP="008B1620">
            <w:pPr>
              <w:rPr>
                <w:sz w:val="18"/>
                <w:szCs w:val="18"/>
              </w:rPr>
            </w:pPr>
            <w:r w:rsidRPr="00734942">
              <w:rPr>
                <w:sz w:val="18"/>
                <w:szCs w:val="18"/>
              </w:rPr>
              <w:t>-0.006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FC8684F" w14:textId="77777777" w:rsidR="008B1620" w:rsidRPr="00734942" w:rsidRDefault="008B1620" w:rsidP="008B1620">
            <w:pPr>
              <w:rPr>
                <w:sz w:val="18"/>
                <w:szCs w:val="18"/>
              </w:rPr>
            </w:pPr>
            <w:r w:rsidRPr="00734942">
              <w:rPr>
                <w:sz w:val="18"/>
                <w:szCs w:val="18"/>
              </w:rPr>
              <w:t>-0.006 (-0.006; -0.005)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656777E" w14:textId="77777777" w:rsidR="008B1620" w:rsidRPr="00734942" w:rsidRDefault="008B1620" w:rsidP="008B1620">
            <w:pPr>
              <w:rPr>
                <w:sz w:val="18"/>
                <w:szCs w:val="18"/>
              </w:rPr>
            </w:pPr>
            <w:r w:rsidRPr="00734942">
              <w:rPr>
                <w:sz w:val="18"/>
                <w:szCs w:val="18"/>
              </w:rPr>
              <w:t>-0.006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E32D99E" w14:textId="77777777" w:rsidR="008B1620" w:rsidRPr="00734942" w:rsidRDefault="008B1620" w:rsidP="008B1620">
            <w:pPr>
              <w:rPr>
                <w:sz w:val="18"/>
                <w:szCs w:val="18"/>
              </w:rPr>
            </w:pPr>
            <w:r w:rsidRPr="00734942">
              <w:rPr>
                <w:sz w:val="18"/>
                <w:szCs w:val="18"/>
              </w:rPr>
              <w:t>0.994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FD348C2" w14:textId="77777777" w:rsidR="008B1620" w:rsidRPr="00734942" w:rsidRDefault="008B1620" w:rsidP="008B1620">
            <w:pPr>
              <w:rPr>
                <w:sz w:val="18"/>
                <w:szCs w:val="18"/>
              </w:rPr>
            </w:pPr>
            <w:r w:rsidRPr="00734942">
              <w:rPr>
                <w:sz w:val="18"/>
                <w:szCs w:val="18"/>
              </w:rPr>
              <w:t>0.994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79B0375" w14:textId="77777777" w:rsidR="008B1620" w:rsidRPr="00734942" w:rsidRDefault="008B1620" w:rsidP="008B1620">
            <w:pPr>
              <w:rPr>
                <w:sz w:val="18"/>
                <w:szCs w:val="18"/>
              </w:rPr>
            </w:pPr>
            <w:r w:rsidRPr="00734942">
              <w:rPr>
                <w:sz w:val="18"/>
                <w:szCs w:val="18"/>
              </w:rPr>
              <w:t>0.001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0E07633" w14:textId="77777777" w:rsidR="008B1620" w:rsidRPr="00734942" w:rsidRDefault="008B1620" w:rsidP="008B1620">
            <w:pPr>
              <w:rPr>
                <w:sz w:val="18"/>
                <w:szCs w:val="18"/>
              </w:rPr>
            </w:pPr>
            <w:r w:rsidRPr="00734942">
              <w:rPr>
                <w:sz w:val="18"/>
                <w:szCs w:val="18"/>
              </w:rPr>
              <w:t>1.001</w:t>
            </w:r>
          </w:p>
        </w:tc>
      </w:tr>
    </w:tbl>
    <w:p w14:paraId="09263C8C" w14:textId="7A80E093" w:rsidR="00C41EC1" w:rsidRPr="00734942" w:rsidRDefault="00C41EC1" w:rsidP="000A01FD"/>
    <w:p w14:paraId="21865188" w14:textId="1D17FA50" w:rsidR="00147AE9" w:rsidRDefault="00147AE9" w:rsidP="000526F1">
      <w:pPr>
        <w:pStyle w:val="Caption"/>
      </w:pPr>
      <w:bookmarkStart w:id="453" w:name="_Ref95317209"/>
      <w:bookmarkStart w:id="454" w:name="_Toc99720765"/>
      <w:r>
        <w:lastRenderedPageBreak/>
        <w:t xml:space="preserve">Table </w:t>
      </w:r>
      <w:r w:rsidR="00C34531">
        <w:fldChar w:fldCharType="begin"/>
      </w:r>
      <w:r w:rsidR="00C34531">
        <w:instrText xml:space="preserve"> SEQ Table \* ARABIC </w:instrText>
      </w:r>
      <w:r w:rsidR="00C34531">
        <w:fldChar w:fldCharType="separate"/>
      </w:r>
      <w:r w:rsidR="008B5583">
        <w:rPr>
          <w:noProof/>
        </w:rPr>
        <w:t>54</w:t>
      </w:r>
      <w:r w:rsidR="00C34531">
        <w:rPr>
          <w:noProof/>
        </w:rPr>
        <w:fldChar w:fldCharType="end"/>
      </w:r>
      <w:bookmarkEnd w:id="453"/>
      <w:r>
        <w:t xml:space="preserve">  Men: </w:t>
      </w:r>
      <w:r w:rsidRPr="00B14D6E">
        <w:t>Model coefficients and ORs with and without shrinkage applied</w:t>
      </w:r>
      <w:bookmarkEnd w:id="454"/>
    </w:p>
    <w:tbl>
      <w:tblPr>
        <w:tblW w:w="0" w:type="auto"/>
        <w:tblCellMar>
          <w:left w:w="0" w:type="dxa"/>
          <w:right w:w="0" w:type="dxa"/>
        </w:tblCellMar>
        <w:tblLook w:val="0600" w:firstRow="0" w:lastRow="0" w:firstColumn="0" w:lastColumn="0" w:noHBand="1" w:noVBand="1"/>
      </w:tblPr>
      <w:tblGrid>
        <w:gridCol w:w="1338"/>
        <w:gridCol w:w="1182"/>
        <w:gridCol w:w="1195"/>
        <w:gridCol w:w="1185"/>
        <w:gridCol w:w="1021"/>
        <w:gridCol w:w="1067"/>
        <w:gridCol w:w="1066"/>
        <w:gridCol w:w="952"/>
      </w:tblGrid>
      <w:tr w:rsidR="00E55DF0" w:rsidRPr="00734942" w14:paraId="2C9AFE02" w14:textId="77777777" w:rsidTr="00BE74BD">
        <w:trPr>
          <w:trHeight w:val="538"/>
          <w:tblHeader/>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bottom"/>
            <w:hideMark/>
          </w:tcPr>
          <w:p w14:paraId="1A3B9C0B" w14:textId="77777777" w:rsidR="00E55DF0" w:rsidRPr="00734942" w:rsidRDefault="00E55DF0" w:rsidP="00BE74BD">
            <w:pPr>
              <w:keepNext/>
              <w:rPr>
                <w:sz w:val="18"/>
                <w:szCs w:val="18"/>
              </w:rPr>
            </w:pPr>
            <w:r w:rsidRPr="00734942">
              <w:rPr>
                <w:b/>
                <w:bCs/>
                <w:sz w:val="18"/>
                <w:szCs w:val="18"/>
              </w:rPr>
              <w:t>Selected predictors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bottom"/>
            <w:hideMark/>
          </w:tcPr>
          <w:p w14:paraId="7BDE0911" w14:textId="77777777" w:rsidR="00E55DF0" w:rsidRPr="00734942" w:rsidRDefault="00E55DF0" w:rsidP="00BE74BD">
            <w:pPr>
              <w:keepNext/>
              <w:rPr>
                <w:sz w:val="18"/>
                <w:szCs w:val="18"/>
              </w:rPr>
            </w:pPr>
            <w:r w:rsidRPr="00734942">
              <w:rPr>
                <w:b/>
                <w:bCs/>
                <w:sz w:val="18"/>
                <w:szCs w:val="18"/>
              </w:rPr>
              <w:t>Coefficients (apparent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3" w:type="dxa"/>
              <w:left w:w="13" w:type="dxa"/>
              <w:bottom w:w="0" w:type="dxa"/>
              <w:right w:w="13" w:type="dxa"/>
            </w:tcMar>
            <w:vAlign w:val="bottom"/>
            <w:hideMark/>
          </w:tcPr>
          <w:p w14:paraId="100EBE6D" w14:textId="77777777" w:rsidR="00E55DF0" w:rsidRPr="00734942" w:rsidRDefault="00E55DF0" w:rsidP="00BE74BD">
            <w:pPr>
              <w:keepNext/>
              <w:rPr>
                <w:sz w:val="18"/>
                <w:szCs w:val="18"/>
              </w:rPr>
            </w:pPr>
            <w:r w:rsidRPr="00734942">
              <w:rPr>
                <w:b/>
                <w:bCs/>
                <w:sz w:val="18"/>
                <w:szCs w:val="18"/>
              </w:rPr>
              <w:t>200x Bootstrap samples median  (IQR)</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20AC08C8" w14:textId="77777777" w:rsidR="00E55DF0" w:rsidRPr="00734942" w:rsidRDefault="00E55DF0" w:rsidP="00BE74BD">
            <w:pPr>
              <w:keepNext/>
              <w:rPr>
                <w:sz w:val="18"/>
                <w:szCs w:val="18"/>
              </w:rPr>
            </w:pPr>
            <w:r w:rsidRPr="00734942">
              <w:rPr>
                <w:b/>
                <w:bCs/>
                <w:sz w:val="18"/>
                <w:szCs w:val="18"/>
              </w:rPr>
              <w:t>Coefficients without shrinkage</w:t>
            </w:r>
          </w:p>
          <w:p w14:paraId="02D9A871" w14:textId="77777777" w:rsidR="00E55DF0" w:rsidRPr="00734942" w:rsidRDefault="00E55DF0" w:rsidP="00BE74BD">
            <w:pPr>
              <w:keepNext/>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731FAAF9" w14:textId="77777777" w:rsidR="00E55DF0" w:rsidRPr="00734942" w:rsidRDefault="00E55DF0" w:rsidP="00BE74BD">
            <w:pPr>
              <w:keepNext/>
              <w:rPr>
                <w:sz w:val="18"/>
                <w:szCs w:val="18"/>
              </w:rPr>
            </w:pPr>
            <w:r w:rsidRPr="00734942">
              <w:rPr>
                <w:b/>
                <w:bCs/>
                <w:sz w:val="18"/>
                <w:szCs w:val="18"/>
              </w:rPr>
              <w:t>Odds ratios after shrinkage</w:t>
            </w:r>
          </w:p>
          <w:p w14:paraId="20EF0DF2" w14:textId="77777777" w:rsidR="00E55DF0" w:rsidRPr="00734942" w:rsidRDefault="00E55DF0" w:rsidP="00BE74BD">
            <w:pPr>
              <w:keepNext/>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0DF6AE4C" w14:textId="77777777" w:rsidR="00E55DF0" w:rsidRPr="00734942" w:rsidRDefault="00E55DF0" w:rsidP="00BE74BD">
            <w:pPr>
              <w:keepNext/>
              <w:rPr>
                <w:sz w:val="18"/>
                <w:szCs w:val="18"/>
              </w:rPr>
            </w:pPr>
            <w:r w:rsidRPr="00734942">
              <w:rPr>
                <w:b/>
                <w:bCs/>
                <w:sz w:val="18"/>
                <w:szCs w:val="18"/>
              </w:rPr>
              <w:t>Odds ratios without shrinkage</w:t>
            </w:r>
          </w:p>
          <w:p w14:paraId="4B89419F" w14:textId="77777777" w:rsidR="00E55DF0" w:rsidRPr="00734942" w:rsidRDefault="00E55DF0" w:rsidP="00BE74BD">
            <w:pPr>
              <w:keepNext/>
              <w:rPr>
                <w:sz w:val="18"/>
                <w:szCs w:val="18"/>
              </w:rPr>
            </w:pPr>
            <w:r w:rsidRPr="00734942">
              <w:rPr>
                <w:b/>
                <w:bCs/>
                <w:sz w:val="18"/>
                <w:szCs w:val="18"/>
              </w:rPr>
              <w:t>(apparent model)</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6BA74A73" w14:textId="77777777" w:rsidR="00E55DF0" w:rsidRPr="00734942" w:rsidRDefault="00E55DF0" w:rsidP="00BE74BD">
            <w:pPr>
              <w:keepNext/>
              <w:rPr>
                <w:sz w:val="18"/>
                <w:szCs w:val="18"/>
              </w:rPr>
            </w:pPr>
            <w:r w:rsidRPr="00734942">
              <w:rPr>
                <w:b/>
                <w:bCs/>
                <w:sz w:val="18"/>
                <w:szCs w:val="18"/>
              </w:rPr>
              <w:t>Unadjusted coefficients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8" w:type="dxa"/>
              <w:left w:w="8" w:type="dxa"/>
              <w:bottom w:w="0" w:type="dxa"/>
              <w:right w:w="8" w:type="dxa"/>
            </w:tcMar>
            <w:vAlign w:val="center"/>
            <w:hideMark/>
          </w:tcPr>
          <w:p w14:paraId="0BE007E1" w14:textId="77777777" w:rsidR="00E55DF0" w:rsidRPr="00734942" w:rsidRDefault="00E55DF0" w:rsidP="00BE74BD">
            <w:pPr>
              <w:keepNext/>
              <w:rPr>
                <w:sz w:val="18"/>
                <w:szCs w:val="18"/>
              </w:rPr>
            </w:pPr>
            <w:r w:rsidRPr="00734942">
              <w:rPr>
                <w:b/>
                <w:bCs/>
                <w:sz w:val="18"/>
                <w:szCs w:val="18"/>
              </w:rPr>
              <w:t>Unadjusted ORs</w:t>
            </w:r>
          </w:p>
        </w:tc>
      </w:tr>
      <w:tr w:rsidR="00E55DF0" w:rsidRPr="00734942" w14:paraId="05E146FA"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10F6034" w14:textId="77777777" w:rsidR="00E55DF0" w:rsidRPr="00734942" w:rsidRDefault="00E55DF0" w:rsidP="00BE74BD">
            <w:pPr>
              <w:keepNext/>
              <w:rPr>
                <w:sz w:val="18"/>
                <w:szCs w:val="18"/>
              </w:rPr>
            </w:pPr>
            <w:r w:rsidRPr="00734942">
              <w:rPr>
                <w:sz w:val="18"/>
                <w:szCs w:val="18"/>
              </w:rPr>
              <w:t>(Intercept)</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5EA7DAF" w14:textId="77777777" w:rsidR="00E55DF0" w:rsidRPr="00734942" w:rsidRDefault="00E55DF0" w:rsidP="00BE74BD">
            <w:pPr>
              <w:keepNext/>
              <w:rPr>
                <w:sz w:val="18"/>
                <w:szCs w:val="18"/>
              </w:rPr>
            </w:pPr>
            <w:r w:rsidRPr="00734942">
              <w:rPr>
                <w:sz w:val="18"/>
                <w:szCs w:val="18"/>
              </w:rPr>
              <w:t>-5.478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1FE497C4" w14:textId="77777777" w:rsidR="00E55DF0" w:rsidRPr="00734942" w:rsidRDefault="00E55DF0" w:rsidP="00BE74BD">
            <w:pPr>
              <w:keepNext/>
              <w:rPr>
                <w:sz w:val="18"/>
                <w:szCs w:val="18"/>
              </w:rPr>
            </w:pPr>
            <w:r w:rsidRPr="00734942">
              <w:rPr>
                <w:sz w:val="18"/>
                <w:szCs w:val="18"/>
              </w:rPr>
              <w:t>-5.488 (-5.526; -5.460)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9EF0FA" w14:textId="77777777" w:rsidR="00E55DF0" w:rsidRPr="00734942" w:rsidRDefault="00E55DF0" w:rsidP="00BE74BD">
            <w:pPr>
              <w:keepNext/>
              <w:rPr>
                <w:sz w:val="18"/>
                <w:szCs w:val="18"/>
              </w:rPr>
            </w:pPr>
            <w:r w:rsidRPr="00734942">
              <w:rPr>
                <w:sz w:val="18"/>
                <w:szCs w:val="18"/>
              </w:rPr>
              <w:t>-5.481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F8F7832" w14:textId="77777777" w:rsidR="00E55DF0" w:rsidRPr="00734942" w:rsidRDefault="00E55DF0" w:rsidP="00BE74BD">
            <w:pPr>
              <w:keepNext/>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E02D3AE" w14:textId="77777777" w:rsidR="00E55DF0" w:rsidRPr="00734942" w:rsidRDefault="00E55DF0" w:rsidP="00BE74BD">
            <w:pPr>
              <w:keepNext/>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7F98EC" w14:textId="77777777" w:rsidR="00E55DF0" w:rsidRPr="00734942" w:rsidRDefault="00E55DF0" w:rsidP="00BE74BD">
            <w:pPr>
              <w:keepNext/>
              <w:rPr>
                <w:sz w:val="18"/>
                <w:szCs w:val="18"/>
              </w:rPr>
            </w:pP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31A5FFD" w14:textId="77777777" w:rsidR="00E55DF0" w:rsidRPr="00734942" w:rsidRDefault="00E55DF0" w:rsidP="00BE74BD">
            <w:pPr>
              <w:keepNext/>
              <w:rPr>
                <w:sz w:val="18"/>
                <w:szCs w:val="18"/>
              </w:rPr>
            </w:pPr>
          </w:p>
        </w:tc>
      </w:tr>
      <w:tr w:rsidR="00E55DF0" w:rsidRPr="00734942" w14:paraId="14F625BA"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E6CA509" w14:textId="77777777" w:rsidR="00E55DF0" w:rsidRPr="00734942" w:rsidRDefault="00E55DF0" w:rsidP="00E55DF0">
            <w:pPr>
              <w:rPr>
                <w:sz w:val="18"/>
                <w:szCs w:val="18"/>
              </w:rPr>
            </w:pPr>
            <w:r w:rsidRPr="00734942">
              <w:rPr>
                <w:sz w:val="18"/>
                <w:szCs w:val="18"/>
              </w:rPr>
              <w:t>Anaemia</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1904174C" w14:textId="77777777" w:rsidR="00E55DF0" w:rsidRPr="00734942" w:rsidRDefault="00E55DF0" w:rsidP="00E55DF0">
            <w:pPr>
              <w:rPr>
                <w:sz w:val="18"/>
                <w:szCs w:val="18"/>
              </w:rPr>
            </w:pPr>
            <w:r w:rsidRPr="00734942">
              <w:rPr>
                <w:sz w:val="18"/>
                <w:szCs w:val="18"/>
              </w:rPr>
              <w:t>2.685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CFE8DF5" w14:textId="77777777" w:rsidR="00E55DF0" w:rsidRPr="00734942" w:rsidRDefault="00E55DF0" w:rsidP="00E55DF0">
            <w:pPr>
              <w:rPr>
                <w:sz w:val="18"/>
                <w:szCs w:val="18"/>
              </w:rPr>
            </w:pPr>
            <w:r w:rsidRPr="00734942">
              <w:rPr>
                <w:sz w:val="18"/>
                <w:szCs w:val="18"/>
              </w:rPr>
              <w:t xml:space="preserve"> 2.689 ( 2.632;  2.753)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98D78E" w14:textId="77777777" w:rsidR="00E55DF0" w:rsidRPr="00734942" w:rsidRDefault="00E55DF0" w:rsidP="00E55DF0">
            <w:pPr>
              <w:rPr>
                <w:sz w:val="18"/>
                <w:szCs w:val="18"/>
              </w:rPr>
            </w:pPr>
            <w:r w:rsidRPr="00734942">
              <w:rPr>
                <w:sz w:val="18"/>
                <w:szCs w:val="18"/>
              </w:rPr>
              <w:t>2.727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923D79" w14:textId="77777777" w:rsidR="00E55DF0" w:rsidRPr="00734942" w:rsidRDefault="00E55DF0" w:rsidP="00E55DF0">
            <w:pPr>
              <w:rPr>
                <w:sz w:val="18"/>
                <w:szCs w:val="18"/>
              </w:rPr>
            </w:pPr>
            <w:r w:rsidRPr="00734942">
              <w:rPr>
                <w:sz w:val="18"/>
                <w:szCs w:val="18"/>
              </w:rPr>
              <w:t>14.656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B4D3175" w14:textId="77777777" w:rsidR="00E55DF0" w:rsidRPr="00734942" w:rsidRDefault="00E55DF0" w:rsidP="00E55DF0">
            <w:pPr>
              <w:rPr>
                <w:sz w:val="18"/>
                <w:szCs w:val="18"/>
              </w:rPr>
            </w:pPr>
            <w:r w:rsidRPr="00734942">
              <w:rPr>
                <w:sz w:val="18"/>
                <w:szCs w:val="18"/>
              </w:rPr>
              <w:t>15.293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6F41EC" w14:textId="77777777" w:rsidR="00E55DF0" w:rsidRPr="00734942" w:rsidRDefault="00E55DF0" w:rsidP="00E55DF0">
            <w:pPr>
              <w:rPr>
                <w:sz w:val="18"/>
                <w:szCs w:val="18"/>
              </w:rPr>
            </w:pPr>
            <w:r w:rsidRPr="00734942">
              <w:rPr>
                <w:sz w:val="18"/>
                <w:szCs w:val="18"/>
              </w:rPr>
              <w:t>3.148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640F4A4" w14:textId="77777777" w:rsidR="00E55DF0" w:rsidRPr="00734942" w:rsidRDefault="00E55DF0" w:rsidP="00E55DF0">
            <w:pPr>
              <w:rPr>
                <w:sz w:val="18"/>
                <w:szCs w:val="18"/>
              </w:rPr>
            </w:pPr>
            <w:r w:rsidRPr="00734942">
              <w:rPr>
                <w:sz w:val="18"/>
                <w:szCs w:val="18"/>
              </w:rPr>
              <w:t>23.289</w:t>
            </w:r>
          </w:p>
        </w:tc>
      </w:tr>
      <w:tr w:rsidR="00E55DF0" w:rsidRPr="00734942" w14:paraId="1D22D2C3"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212047F" w14:textId="77777777" w:rsidR="00E55DF0" w:rsidRPr="00734942" w:rsidRDefault="00E55DF0" w:rsidP="00E55DF0">
            <w:pPr>
              <w:rPr>
                <w:sz w:val="18"/>
                <w:szCs w:val="18"/>
              </w:rPr>
            </w:pPr>
            <w:r w:rsidRPr="00734942">
              <w:rPr>
                <w:sz w:val="18"/>
                <w:szCs w:val="18"/>
              </w:rPr>
              <w:t>First degree relatives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8435141" w14:textId="77777777" w:rsidR="00E55DF0" w:rsidRPr="00734942" w:rsidRDefault="00E55DF0" w:rsidP="00E55DF0">
            <w:pPr>
              <w:rPr>
                <w:sz w:val="18"/>
                <w:szCs w:val="18"/>
              </w:rPr>
            </w:pPr>
            <w:r w:rsidRPr="00734942">
              <w:rPr>
                <w:sz w:val="18"/>
                <w:szCs w:val="18"/>
              </w:rPr>
              <w:t>2.347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99111A3" w14:textId="77777777" w:rsidR="00E55DF0" w:rsidRPr="00734942" w:rsidRDefault="00E55DF0" w:rsidP="00E55DF0">
            <w:pPr>
              <w:rPr>
                <w:sz w:val="18"/>
                <w:szCs w:val="18"/>
              </w:rPr>
            </w:pPr>
            <w:r w:rsidRPr="00734942">
              <w:rPr>
                <w:sz w:val="18"/>
                <w:szCs w:val="18"/>
              </w:rPr>
              <w:t xml:space="preserve"> 2.362 ( 2.282;  2.461)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5E910D" w14:textId="77777777" w:rsidR="00E55DF0" w:rsidRPr="00734942" w:rsidRDefault="00E55DF0" w:rsidP="00E55DF0">
            <w:pPr>
              <w:rPr>
                <w:sz w:val="18"/>
                <w:szCs w:val="18"/>
              </w:rPr>
            </w:pPr>
            <w:r w:rsidRPr="00734942">
              <w:rPr>
                <w:sz w:val="18"/>
                <w:szCs w:val="18"/>
              </w:rPr>
              <w:t>2.395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EF7CB6" w14:textId="77777777" w:rsidR="00E55DF0" w:rsidRPr="00734942" w:rsidRDefault="00E55DF0" w:rsidP="00E55DF0">
            <w:pPr>
              <w:rPr>
                <w:sz w:val="18"/>
                <w:szCs w:val="18"/>
              </w:rPr>
            </w:pPr>
            <w:r w:rsidRPr="00734942">
              <w:rPr>
                <w:sz w:val="18"/>
                <w:szCs w:val="18"/>
              </w:rPr>
              <w:t>10.456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90158E" w14:textId="77777777" w:rsidR="00E55DF0" w:rsidRPr="00734942" w:rsidRDefault="00E55DF0" w:rsidP="00E55DF0">
            <w:pPr>
              <w:rPr>
                <w:sz w:val="18"/>
                <w:szCs w:val="18"/>
              </w:rPr>
            </w:pPr>
            <w:r w:rsidRPr="00734942">
              <w:rPr>
                <w:sz w:val="18"/>
                <w:szCs w:val="18"/>
              </w:rPr>
              <w:t>10.969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F97AE58" w14:textId="77777777" w:rsidR="00E55DF0" w:rsidRPr="00734942" w:rsidRDefault="00E55DF0" w:rsidP="00E55DF0">
            <w:pPr>
              <w:rPr>
                <w:sz w:val="18"/>
                <w:szCs w:val="18"/>
              </w:rPr>
            </w:pPr>
            <w:r w:rsidRPr="00734942">
              <w:rPr>
                <w:sz w:val="18"/>
                <w:szCs w:val="18"/>
              </w:rPr>
              <w:t>2.210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90843EF" w14:textId="77777777" w:rsidR="00E55DF0" w:rsidRPr="00734942" w:rsidRDefault="00E55DF0" w:rsidP="00E55DF0">
            <w:pPr>
              <w:rPr>
                <w:sz w:val="18"/>
                <w:szCs w:val="18"/>
              </w:rPr>
            </w:pPr>
            <w:r w:rsidRPr="00734942">
              <w:rPr>
                <w:sz w:val="18"/>
                <w:szCs w:val="18"/>
              </w:rPr>
              <w:t>9.116</w:t>
            </w:r>
          </w:p>
        </w:tc>
      </w:tr>
      <w:tr w:rsidR="00E55DF0" w:rsidRPr="00734942" w14:paraId="3E5398E4"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BFC3963" w14:textId="77777777" w:rsidR="00E55DF0" w:rsidRPr="00734942" w:rsidRDefault="00E55DF0" w:rsidP="00E55DF0">
            <w:pPr>
              <w:rPr>
                <w:sz w:val="18"/>
                <w:szCs w:val="18"/>
              </w:rPr>
            </w:pPr>
            <w:r w:rsidRPr="00734942">
              <w:rPr>
                <w:sz w:val="18"/>
                <w:szCs w:val="18"/>
              </w:rPr>
              <w:t>Iron, Vit B12, Folate deficiency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6326DCB" w14:textId="77777777" w:rsidR="00E55DF0" w:rsidRPr="00734942" w:rsidRDefault="00E55DF0" w:rsidP="00E55DF0">
            <w:pPr>
              <w:rPr>
                <w:sz w:val="18"/>
                <w:szCs w:val="18"/>
              </w:rPr>
            </w:pPr>
            <w:r w:rsidRPr="00734942">
              <w:rPr>
                <w:sz w:val="18"/>
                <w:szCs w:val="18"/>
              </w:rPr>
              <w:t>1.810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7AAF4FE" w14:textId="77777777" w:rsidR="00E55DF0" w:rsidRPr="00734942" w:rsidRDefault="00E55DF0" w:rsidP="00E55DF0">
            <w:pPr>
              <w:rPr>
                <w:sz w:val="18"/>
                <w:szCs w:val="18"/>
              </w:rPr>
            </w:pPr>
            <w:r w:rsidRPr="00734942">
              <w:rPr>
                <w:sz w:val="18"/>
                <w:szCs w:val="18"/>
              </w:rPr>
              <w:t xml:space="preserve"> 1.828 ( 1.754;  1.917)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4856BA5" w14:textId="77777777" w:rsidR="00E55DF0" w:rsidRPr="00734942" w:rsidRDefault="00E55DF0" w:rsidP="00E55DF0">
            <w:pPr>
              <w:rPr>
                <w:sz w:val="18"/>
                <w:szCs w:val="18"/>
              </w:rPr>
            </w:pPr>
            <w:r w:rsidRPr="00734942">
              <w:rPr>
                <w:sz w:val="18"/>
                <w:szCs w:val="18"/>
              </w:rPr>
              <w:t>1.841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D7F7BB2" w14:textId="77777777" w:rsidR="00E55DF0" w:rsidRPr="00734942" w:rsidRDefault="00E55DF0" w:rsidP="00E55DF0">
            <w:pPr>
              <w:rPr>
                <w:sz w:val="18"/>
                <w:szCs w:val="18"/>
              </w:rPr>
            </w:pPr>
            <w:r w:rsidRPr="00734942">
              <w:rPr>
                <w:sz w:val="18"/>
                <w:szCs w:val="18"/>
              </w:rPr>
              <w:t>6.112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EB944F1" w14:textId="77777777" w:rsidR="00E55DF0" w:rsidRPr="00734942" w:rsidRDefault="00E55DF0" w:rsidP="00E55DF0">
            <w:pPr>
              <w:rPr>
                <w:sz w:val="18"/>
                <w:szCs w:val="18"/>
              </w:rPr>
            </w:pPr>
            <w:r w:rsidRPr="00734942">
              <w:rPr>
                <w:sz w:val="18"/>
                <w:szCs w:val="18"/>
              </w:rPr>
              <w:t>6.302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968CE6" w14:textId="77777777" w:rsidR="00E55DF0" w:rsidRPr="00734942" w:rsidRDefault="00E55DF0" w:rsidP="00E55DF0">
            <w:pPr>
              <w:rPr>
                <w:sz w:val="18"/>
                <w:szCs w:val="18"/>
              </w:rPr>
            </w:pPr>
            <w:r w:rsidRPr="00734942">
              <w:rPr>
                <w:sz w:val="18"/>
                <w:szCs w:val="18"/>
              </w:rPr>
              <w:t>2.632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A801A2" w14:textId="77777777" w:rsidR="00E55DF0" w:rsidRPr="00734942" w:rsidRDefault="00E55DF0" w:rsidP="00E55DF0">
            <w:pPr>
              <w:rPr>
                <w:sz w:val="18"/>
                <w:szCs w:val="18"/>
              </w:rPr>
            </w:pPr>
            <w:r w:rsidRPr="00734942">
              <w:rPr>
                <w:sz w:val="18"/>
                <w:szCs w:val="18"/>
              </w:rPr>
              <w:t>13.902</w:t>
            </w:r>
          </w:p>
        </w:tc>
      </w:tr>
      <w:tr w:rsidR="00E55DF0" w:rsidRPr="00734942" w14:paraId="2E6C3872"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81D322E" w14:textId="77777777" w:rsidR="00E55DF0" w:rsidRPr="00734942" w:rsidRDefault="00E55DF0" w:rsidP="00E55DF0">
            <w:pPr>
              <w:rPr>
                <w:sz w:val="18"/>
                <w:szCs w:val="18"/>
              </w:rPr>
            </w:pPr>
            <w:r w:rsidRPr="00734942">
              <w:rPr>
                <w:sz w:val="18"/>
                <w:szCs w:val="18"/>
              </w:rPr>
              <w:t>Type 1 diabetes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31ACFE7" w14:textId="77777777" w:rsidR="00E55DF0" w:rsidRPr="00734942" w:rsidRDefault="00E55DF0" w:rsidP="00E55DF0">
            <w:pPr>
              <w:rPr>
                <w:sz w:val="18"/>
                <w:szCs w:val="18"/>
              </w:rPr>
            </w:pPr>
            <w:r w:rsidRPr="00734942">
              <w:rPr>
                <w:sz w:val="18"/>
                <w:szCs w:val="18"/>
              </w:rPr>
              <w:t>1.746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36A68572" w14:textId="77777777" w:rsidR="00E55DF0" w:rsidRPr="00734942" w:rsidRDefault="00E55DF0" w:rsidP="00E55DF0">
            <w:pPr>
              <w:rPr>
                <w:sz w:val="18"/>
                <w:szCs w:val="18"/>
              </w:rPr>
            </w:pPr>
            <w:r w:rsidRPr="00734942">
              <w:rPr>
                <w:sz w:val="18"/>
                <w:szCs w:val="18"/>
              </w:rPr>
              <w:t xml:space="preserve"> 1.749 ( 1.650;  1.868)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5A268E" w14:textId="77777777" w:rsidR="00E55DF0" w:rsidRPr="00734942" w:rsidRDefault="00E55DF0" w:rsidP="00E55DF0">
            <w:pPr>
              <w:rPr>
                <w:sz w:val="18"/>
                <w:szCs w:val="18"/>
              </w:rPr>
            </w:pPr>
            <w:r w:rsidRPr="00734942">
              <w:rPr>
                <w:sz w:val="18"/>
                <w:szCs w:val="18"/>
              </w:rPr>
              <w:t>1.787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685F2A5" w14:textId="77777777" w:rsidR="00E55DF0" w:rsidRPr="00734942" w:rsidRDefault="00E55DF0" w:rsidP="00E55DF0">
            <w:pPr>
              <w:rPr>
                <w:sz w:val="18"/>
                <w:szCs w:val="18"/>
              </w:rPr>
            </w:pPr>
            <w:r w:rsidRPr="00734942">
              <w:rPr>
                <w:sz w:val="18"/>
                <w:szCs w:val="18"/>
              </w:rPr>
              <w:t>5.730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BBA94B6" w14:textId="77777777" w:rsidR="00E55DF0" w:rsidRPr="00734942" w:rsidRDefault="00E55DF0" w:rsidP="00E55DF0">
            <w:pPr>
              <w:rPr>
                <w:sz w:val="18"/>
                <w:szCs w:val="18"/>
              </w:rPr>
            </w:pPr>
            <w:r w:rsidRPr="00734942">
              <w:rPr>
                <w:sz w:val="18"/>
                <w:szCs w:val="18"/>
              </w:rPr>
              <w:t>5.972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FE7CBD5" w14:textId="77777777" w:rsidR="00E55DF0" w:rsidRPr="00734942" w:rsidRDefault="00E55DF0" w:rsidP="00E55DF0">
            <w:pPr>
              <w:rPr>
                <w:sz w:val="18"/>
                <w:szCs w:val="18"/>
              </w:rPr>
            </w:pPr>
            <w:r w:rsidRPr="00734942">
              <w:rPr>
                <w:sz w:val="18"/>
                <w:szCs w:val="18"/>
              </w:rPr>
              <w:t>1.840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A836951" w14:textId="77777777" w:rsidR="00E55DF0" w:rsidRPr="00734942" w:rsidRDefault="00E55DF0" w:rsidP="00E55DF0">
            <w:pPr>
              <w:rPr>
                <w:sz w:val="18"/>
                <w:szCs w:val="18"/>
              </w:rPr>
            </w:pPr>
            <w:r w:rsidRPr="00734942">
              <w:rPr>
                <w:sz w:val="18"/>
                <w:szCs w:val="18"/>
              </w:rPr>
              <w:t>6.297</w:t>
            </w:r>
          </w:p>
        </w:tc>
      </w:tr>
      <w:tr w:rsidR="00E55DF0" w:rsidRPr="00734942" w14:paraId="5D41042C"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8BE3619" w14:textId="77777777" w:rsidR="00E55DF0" w:rsidRPr="00734942" w:rsidRDefault="00E55DF0" w:rsidP="00E55DF0">
            <w:pPr>
              <w:rPr>
                <w:sz w:val="18"/>
                <w:szCs w:val="18"/>
              </w:rPr>
            </w:pPr>
            <w:r w:rsidRPr="00734942">
              <w:rPr>
                <w:sz w:val="18"/>
                <w:szCs w:val="18"/>
              </w:rPr>
              <w:t>Osteoporosis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42E17E8" w14:textId="77777777" w:rsidR="00E55DF0" w:rsidRPr="00734942" w:rsidRDefault="00E55DF0" w:rsidP="00E55DF0">
            <w:pPr>
              <w:rPr>
                <w:sz w:val="18"/>
                <w:szCs w:val="18"/>
              </w:rPr>
            </w:pPr>
            <w:r w:rsidRPr="00734942">
              <w:rPr>
                <w:sz w:val="18"/>
                <w:szCs w:val="18"/>
              </w:rPr>
              <w:t>1.554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757C2F2" w14:textId="77777777" w:rsidR="00E55DF0" w:rsidRPr="00734942" w:rsidRDefault="00E55DF0" w:rsidP="00E55DF0">
            <w:pPr>
              <w:rPr>
                <w:sz w:val="18"/>
                <w:szCs w:val="18"/>
              </w:rPr>
            </w:pPr>
            <w:r w:rsidRPr="00734942">
              <w:rPr>
                <w:sz w:val="18"/>
                <w:szCs w:val="18"/>
              </w:rPr>
              <w:t xml:space="preserve"> 1.549 ( 1.433;  1.673)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CDEA96F" w14:textId="77777777" w:rsidR="00E55DF0" w:rsidRPr="00734942" w:rsidRDefault="00E55DF0" w:rsidP="00E55DF0">
            <w:pPr>
              <w:rPr>
                <w:sz w:val="18"/>
                <w:szCs w:val="18"/>
              </w:rPr>
            </w:pPr>
            <w:r w:rsidRPr="00734942">
              <w:rPr>
                <w:sz w:val="18"/>
                <w:szCs w:val="18"/>
              </w:rPr>
              <w:t>1.588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516FA58" w14:textId="77777777" w:rsidR="00E55DF0" w:rsidRPr="00734942" w:rsidRDefault="00E55DF0" w:rsidP="00E55DF0">
            <w:pPr>
              <w:rPr>
                <w:sz w:val="18"/>
                <w:szCs w:val="18"/>
              </w:rPr>
            </w:pPr>
            <w:r w:rsidRPr="00734942">
              <w:rPr>
                <w:sz w:val="18"/>
                <w:szCs w:val="18"/>
              </w:rPr>
              <w:t>4.730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D8EAE8D" w14:textId="77777777" w:rsidR="00E55DF0" w:rsidRPr="00734942" w:rsidRDefault="00E55DF0" w:rsidP="00E55DF0">
            <w:pPr>
              <w:rPr>
                <w:sz w:val="18"/>
                <w:szCs w:val="18"/>
              </w:rPr>
            </w:pPr>
            <w:r w:rsidRPr="00734942">
              <w:rPr>
                <w:sz w:val="18"/>
                <w:szCs w:val="18"/>
              </w:rPr>
              <w:t>4.892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5CB33FC" w14:textId="77777777" w:rsidR="00E55DF0" w:rsidRPr="00734942" w:rsidRDefault="00E55DF0" w:rsidP="00E55DF0">
            <w:pPr>
              <w:rPr>
                <w:sz w:val="18"/>
                <w:szCs w:val="18"/>
              </w:rPr>
            </w:pPr>
            <w:r w:rsidRPr="00734942">
              <w:rPr>
                <w:sz w:val="18"/>
                <w:szCs w:val="18"/>
              </w:rPr>
              <w:t>1.992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F961F71" w14:textId="77777777" w:rsidR="00E55DF0" w:rsidRPr="00734942" w:rsidRDefault="00E55DF0" w:rsidP="00E55DF0">
            <w:pPr>
              <w:rPr>
                <w:sz w:val="18"/>
                <w:szCs w:val="18"/>
              </w:rPr>
            </w:pPr>
            <w:r w:rsidRPr="00734942">
              <w:rPr>
                <w:sz w:val="18"/>
                <w:szCs w:val="18"/>
              </w:rPr>
              <w:t>7.330</w:t>
            </w:r>
          </w:p>
        </w:tc>
      </w:tr>
      <w:tr w:rsidR="00E55DF0" w:rsidRPr="00734942" w14:paraId="1A501DE9"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249E8D3" w14:textId="77777777" w:rsidR="00E55DF0" w:rsidRPr="00734942" w:rsidRDefault="00E55DF0" w:rsidP="00E55DF0">
            <w:pPr>
              <w:rPr>
                <w:sz w:val="18"/>
                <w:szCs w:val="18"/>
              </w:rPr>
            </w:pPr>
            <w:r w:rsidRPr="00734942">
              <w:rPr>
                <w:sz w:val="18"/>
                <w:szCs w:val="18"/>
              </w:rPr>
              <w:t>Weight loss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8759C28" w14:textId="77777777" w:rsidR="00E55DF0" w:rsidRPr="00734942" w:rsidRDefault="00E55DF0" w:rsidP="00E55DF0">
            <w:pPr>
              <w:rPr>
                <w:sz w:val="18"/>
                <w:szCs w:val="18"/>
              </w:rPr>
            </w:pPr>
            <w:r w:rsidRPr="00734942">
              <w:rPr>
                <w:sz w:val="18"/>
                <w:szCs w:val="18"/>
              </w:rPr>
              <w:t>1.490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2F4522C" w14:textId="77777777" w:rsidR="00E55DF0" w:rsidRPr="00734942" w:rsidRDefault="00E55DF0" w:rsidP="00E55DF0">
            <w:pPr>
              <w:rPr>
                <w:sz w:val="18"/>
                <w:szCs w:val="18"/>
              </w:rPr>
            </w:pPr>
            <w:r w:rsidRPr="00734942">
              <w:rPr>
                <w:sz w:val="18"/>
                <w:szCs w:val="18"/>
              </w:rPr>
              <w:t xml:space="preserve"> 1.489 ( 1.431;  1.552)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20118D6" w14:textId="77777777" w:rsidR="00E55DF0" w:rsidRPr="00734942" w:rsidRDefault="00E55DF0" w:rsidP="00E55DF0">
            <w:pPr>
              <w:rPr>
                <w:sz w:val="18"/>
                <w:szCs w:val="18"/>
              </w:rPr>
            </w:pPr>
            <w:r w:rsidRPr="00734942">
              <w:rPr>
                <w:sz w:val="18"/>
                <w:szCs w:val="18"/>
              </w:rPr>
              <w:t>1.514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F227BB8" w14:textId="77777777" w:rsidR="00E55DF0" w:rsidRPr="00734942" w:rsidRDefault="00E55DF0" w:rsidP="00E55DF0">
            <w:pPr>
              <w:rPr>
                <w:sz w:val="18"/>
                <w:szCs w:val="18"/>
              </w:rPr>
            </w:pPr>
            <w:r w:rsidRPr="00734942">
              <w:rPr>
                <w:sz w:val="18"/>
                <w:szCs w:val="18"/>
              </w:rPr>
              <w:t>4.438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8F12199" w14:textId="77777777" w:rsidR="00E55DF0" w:rsidRPr="00734942" w:rsidRDefault="00E55DF0" w:rsidP="00E55DF0">
            <w:pPr>
              <w:rPr>
                <w:sz w:val="18"/>
                <w:szCs w:val="18"/>
              </w:rPr>
            </w:pPr>
            <w:r w:rsidRPr="00734942">
              <w:rPr>
                <w:sz w:val="18"/>
                <w:szCs w:val="18"/>
              </w:rPr>
              <w:t>4.545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5A2F007" w14:textId="77777777" w:rsidR="00E55DF0" w:rsidRPr="00734942" w:rsidRDefault="00E55DF0" w:rsidP="00E55DF0">
            <w:pPr>
              <w:rPr>
                <w:sz w:val="18"/>
                <w:szCs w:val="18"/>
              </w:rPr>
            </w:pPr>
            <w:r w:rsidRPr="00734942">
              <w:rPr>
                <w:sz w:val="18"/>
                <w:szCs w:val="18"/>
              </w:rPr>
              <w:t>2.154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6DF29B6" w14:textId="77777777" w:rsidR="00E55DF0" w:rsidRPr="00734942" w:rsidRDefault="00E55DF0" w:rsidP="00E55DF0">
            <w:pPr>
              <w:rPr>
                <w:sz w:val="18"/>
                <w:szCs w:val="18"/>
              </w:rPr>
            </w:pPr>
            <w:r w:rsidRPr="00734942">
              <w:rPr>
                <w:sz w:val="18"/>
                <w:szCs w:val="18"/>
              </w:rPr>
              <w:t>8.619</w:t>
            </w:r>
          </w:p>
        </w:tc>
      </w:tr>
      <w:tr w:rsidR="00E55DF0" w:rsidRPr="00734942" w14:paraId="72B87585"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E98319D" w14:textId="4CFE2427" w:rsidR="00E55DF0" w:rsidRPr="00734942" w:rsidRDefault="00A65A5D" w:rsidP="00E55DF0">
            <w:pPr>
              <w:rPr>
                <w:sz w:val="18"/>
                <w:szCs w:val="18"/>
              </w:rPr>
            </w:pPr>
            <w:r>
              <w:rPr>
                <w:sz w:val="18"/>
                <w:szCs w:val="18"/>
              </w:rPr>
              <w:t>Down</w:t>
            </w:r>
            <w:r w:rsidR="00C87375" w:rsidRPr="00734942">
              <w:rPr>
                <w:sz w:val="18"/>
                <w:szCs w:val="18"/>
              </w:rPr>
              <w:t xml:space="preserve">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FB40FD3" w14:textId="77777777" w:rsidR="00E55DF0" w:rsidRPr="00734942" w:rsidRDefault="00E55DF0" w:rsidP="00E55DF0">
            <w:pPr>
              <w:rPr>
                <w:sz w:val="18"/>
                <w:szCs w:val="18"/>
              </w:rPr>
            </w:pPr>
            <w:r w:rsidRPr="00734942">
              <w:rPr>
                <w:sz w:val="18"/>
                <w:szCs w:val="18"/>
              </w:rPr>
              <w:t>1.293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39D00FE8" w14:textId="77777777" w:rsidR="00E55DF0" w:rsidRPr="00734942" w:rsidRDefault="00E55DF0" w:rsidP="00E55DF0">
            <w:pPr>
              <w:rPr>
                <w:sz w:val="18"/>
                <w:szCs w:val="18"/>
              </w:rPr>
            </w:pPr>
            <w:r w:rsidRPr="00734942">
              <w:rPr>
                <w:sz w:val="18"/>
                <w:szCs w:val="18"/>
              </w:rPr>
              <w:t xml:space="preserve"> 1.344 ( 0.856;  1.813)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DFF13AA" w14:textId="77777777" w:rsidR="00E55DF0" w:rsidRPr="00734942" w:rsidRDefault="00E55DF0" w:rsidP="00E55DF0">
            <w:pPr>
              <w:rPr>
                <w:sz w:val="18"/>
                <w:szCs w:val="18"/>
              </w:rPr>
            </w:pPr>
            <w:r w:rsidRPr="00734942">
              <w:rPr>
                <w:sz w:val="18"/>
                <w:szCs w:val="18"/>
              </w:rPr>
              <w:t>1.405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A25F89" w14:textId="77777777" w:rsidR="00E55DF0" w:rsidRPr="00734942" w:rsidRDefault="00E55DF0" w:rsidP="00E55DF0">
            <w:pPr>
              <w:rPr>
                <w:sz w:val="18"/>
                <w:szCs w:val="18"/>
              </w:rPr>
            </w:pPr>
            <w:r w:rsidRPr="00734942">
              <w:rPr>
                <w:sz w:val="18"/>
                <w:szCs w:val="18"/>
              </w:rPr>
              <w:t>3.643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937F180" w14:textId="77777777" w:rsidR="00E55DF0" w:rsidRPr="00734942" w:rsidRDefault="00E55DF0" w:rsidP="00E55DF0">
            <w:pPr>
              <w:rPr>
                <w:sz w:val="18"/>
                <w:szCs w:val="18"/>
              </w:rPr>
            </w:pPr>
            <w:r w:rsidRPr="00734942">
              <w:rPr>
                <w:sz w:val="18"/>
                <w:szCs w:val="18"/>
              </w:rPr>
              <w:t>4.075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238701A" w14:textId="77777777" w:rsidR="00E55DF0" w:rsidRPr="00734942" w:rsidRDefault="00E55DF0" w:rsidP="00E55DF0">
            <w:pPr>
              <w:rPr>
                <w:sz w:val="18"/>
                <w:szCs w:val="18"/>
              </w:rPr>
            </w:pPr>
            <w:r w:rsidRPr="00734942">
              <w:rPr>
                <w:sz w:val="18"/>
                <w:szCs w:val="18"/>
              </w:rPr>
              <w:t>1.766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A315C8E" w14:textId="77777777" w:rsidR="00E55DF0" w:rsidRPr="00734942" w:rsidRDefault="00E55DF0" w:rsidP="00E55DF0">
            <w:pPr>
              <w:rPr>
                <w:sz w:val="18"/>
                <w:szCs w:val="18"/>
              </w:rPr>
            </w:pPr>
            <w:r w:rsidRPr="00734942">
              <w:rPr>
                <w:sz w:val="18"/>
                <w:szCs w:val="18"/>
              </w:rPr>
              <w:t>5.847</w:t>
            </w:r>
          </w:p>
        </w:tc>
      </w:tr>
      <w:tr w:rsidR="00E55DF0" w:rsidRPr="00734942" w14:paraId="4CCEFC2A"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9816987" w14:textId="77777777" w:rsidR="00E55DF0" w:rsidRPr="00734942" w:rsidRDefault="00E55DF0" w:rsidP="00E55DF0">
            <w:pPr>
              <w:rPr>
                <w:sz w:val="18"/>
                <w:szCs w:val="18"/>
              </w:rPr>
            </w:pPr>
            <w:r w:rsidRPr="00734942">
              <w:rPr>
                <w:sz w:val="18"/>
                <w:szCs w:val="18"/>
              </w:rPr>
              <w:t>Mouth ulcers (count year 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4BA1D68" w14:textId="77777777" w:rsidR="00E55DF0" w:rsidRPr="00734942" w:rsidRDefault="00E55DF0" w:rsidP="00E55DF0">
            <w:pPr>
              <w:rPr>
                <w:sz w:val="18"/>
                <w:szCs w:val="18"/>
              </w:rPr>
            </w:pPr>
            <w:r w:rsidRPr="00734942">
              <w:rPr>
                <w:sz w:val="18"/>
                <w:szCs w:val="18"/>
              </w:rPr>
              <w:t>0.934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30715EB" w14:textId="77777777" w:rsidR="00E55DF0" w:rsidRPr="00734942" w:rsidRDefault="00E55DF0" w:rsidP="00E55DF0">
            <w:pPr>
              <w:rPr>
                <w:sz w:val="18"/>
                <w:szCs w:val="18"/>
              </w:rPr>
            </w:pPr>
            <w:r w:rsidRPr="00734942">
              <w:rPr>
                <w:sz w:val="18"/>
                <w:szCs w:val="18"/>
              </w:rPr>
              <w:t xml:space="preserve"> 0.919 ( 0.849;  0.994)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E0AADE" w14:textId="77777777" w:rsidR="00E55DF0" w:rsidRPr="00734942" w:rsidRDefault="00E55DF0" w:rsidP="00E55DF0">
            <w:pPr>
              <w:rPr>
                <w:sz w:val="18"/>
                <w:szCs w:val="18"/>
              </w:rPr>
            </w:pPr>
            <w:r w:rsidRPr="00734942">
              <w:rPr>
                <w:sz w:val="18"/>
                <w:szCs w:val="18"/>
              </w:rPr>
              <w:t>0.965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307DFF7" w14:textId="77777777" w:rsidR="00E55DF0" w:rsidRPr="00734942" w:rsidRDefault="00E55DF0" w:rsidP="00E55DF0">
            <w:pPr>
              <w:rPr>
                <w:sz w:val="18"/>
                <w:szCs w:val="18"/>
              </w:rPr>
            </w:pPr>
            <w:r w:rsidRPr="00734942">
              <w:rPr>
                <w:sz w:val="18"/>
                <w:szCs w:val="18"/>
              </w:rPr>
              <w:t>2.544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027CDFD" w14:textId="77777777" w:rsidR="00E55DF0" w:rsidRPr="00734942" w:rsidRDefault="00E55DF0" w:rsidP="00E55DF0">
            <w:pPr>
              <w:rPr>
                <w:sz w:val="18"/>
                <w:szCs w:val="18"/>
              </w:rPr>
            </w:pPr>
            <w:r w:rsidRPr="00734942">
              <w:rPr>
                <w:sz w:val="18"/>
                <w:szCs w:val="18"/>
              </w:rPr>
              <w:t>2.624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21632C9" w14:textId="77777777" w:rsidR="00E55DF0" w:rsidRPr="00734942" w:rsidRDefault="00E55DF0" w:rsidP="00E55DF0">
            <w:pPr>
              <w:rPr>
                <w:sz w:val="18"/>
                <w:szCs w:val="18"/>
              </w:rPr>
            </w:pPr>
            <w:r w:rsidRPr="00734942">
              <w:rPr>
                <w:sz w:val="18"/>
                <w:szCs w:val="18"/>
              </w:rPr>
              <w:t>1.503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8A7149F" w14:textId="77777777" w:rsidR="00E55DF0" w:rsidRPr="00734942" w:rsidRDefault="00E55DF0" w:rsidP="00E55DF0">
            <w:pPr>
              <w:rPr>
                <w:sz w:val="18"/>
                <w:szCs w:val="18"/>
              </w:rPr>
            </w:pPr>
            <w:r w:rsidRPr="00734942">
              <w:rPr>
                <w:sz w:val="18"/>
                <w:szCs w:val="18"/>
              </w:rPr>
              <w:t>4.495</w:t>
            </w:r>
          </w:p>
        </w:tc>
      </w:tr>
      <w:tr w:rsidR="00E55DF0" w:rsidRPr="00734942" w14:paraId="76319ECF"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3BACC062" w14:textId="77777777" w:rsidR="00E55DF0" w:rsidRPr="00734942" w:rsidRDefault="00E55DF0" w:rsidP="00E55DF0">
            <w:pPr>
              <w:rPr>
                <w:sz w:val="18"/>
                <w:szCs w:val="18"/>
              </w:rPr>
            </w:pPr>
            <w:r w:rsidRPr="00734942">
              <w:rPr>
                <w:sz w:val="18"/>
                <w:szCs w:val="18"/>
              </w:rPr>
              <w:t>Thyroid disorders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D5D435E" w14:textId="77777777" w:rsidR="00E55DF0" w:rsidRPr="00734942" w:rsidRDefault="00E55DF0" w:rsidP="00E55DF0">
            <w:pPr>
              <w:rPr>
                <w:sz w:val="18"/>
                <w:szCs w:val="18"/>
              </w:rPr>
            </w:pPr>
            <w:r w:rsidRPr="00734942">
              <w:rPr>
                <w:sz w:val="18"/>
                <w:szCs w:val="18"/>
              </w:rPr>
              <w:t>0.910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DEE7033" w14:textId="77777777" w:rsidR="00E55DF0" w:rsidRPr="00734942" w:rsidRDefault="00E55DF0" w:rsidP="00E55DF0">
            <w:pPr>
              <w:rPr>
                <w:sz w:val="18"/>
                <w:szCs w:val="18"/>
              </w:rPr>
            </w:pPr>
            <w:r w:rsidRPr="00734942">
              <w:rPr>
                <w:sz w:val="18"/>
                <w:szCs w:val="18"/>
              </w:rPr>
              <w:t xml:space="preserve"> 0.913 ( 0.753;  1.074)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F532287" w14:textId="77777777" w:rsidR="00E55DF0" w:rsidRPr="00734942" w:rsidRDefault="00E55DF0" w:rsidP="00E55DF0">
            <w:pPr>
              <w:rPr>
                <w:sz w:val="18"/>
                <w:szCs w:val="18"/>
              </w:rPr>
            </w:pPr>
            <w:r w:rsidRPr="00734942">
              <w:rPr>
                <w:sz w:val="18"/>
                <w:szCs w:val="18"/>
              </w:rPr>
              <w:t>0.928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3607241" w14:textId="77777777" w:rsidR="00E55DF0" w:rsidRPr="00734942" w:rsidRDefault="00E55DF0" w:rsidP="00E55DF0">
            <w:pPr>
              <w:rPr>
                <w:sz w:val="18"/>
                <w:szCs w:val="18"/>
              </w:rPr>
            </w:pPr>
            <w:r w:rsidRPr="00734942">
              <w:rPr>
                <w:sz w:val="18"/>
                <w:szCs w:val="18"/>
              </w:rPr>
              <w:t>2.484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60BFFF4" w14:textId="77777777" w:rsidR="00E55DF0" w:rsidRPr="00734942" w:rsidRDefault="00E55DF0" w:rsidP="00E55DF0">
            <w:pPr>
              <w:rPr>
                <w:sz w:val="18"/>
                <w:szCs w:val="18"/>
              </w:rPr>
            </w:pPr>
            <w:r w:rsidRPr="00734942">
              <w:rPr>
                <w:sz w:val="18"/>
                <w:szCs w:val="18"/>
              </w:rPr>
              <w:t>2.530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5671366" w14:textId="77777777" w:rsidR="00E55DF0" w:rsidRPr="00734942" w:rsidRDefault="00E55DF0" w:rsidP="00E55DF0">
            <w:pPr>
              <w:rPr>
                <w:sz w:val="18"/>
                <w:szCs w:val="18"/>
              </w:rPr>
            </w:pPr>
            <w:r w:rsidRPr="00734942">
              <w:rPr>
                <w:sz w:val="18"/>
                <w:szCs w:val="18"/>
              </w:rPr>
              <w:t>1.499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E600F23" w14:textId="77777777" w:rsidR="00E55DF0" w:rsidRPr="00734942" w:rsidRDefault="00E55DF0" w:rsidP="00E55DF0">
            <w:pPr>
              <w:rPr>
                <w:sz w:val="18"/>
                <w:szCs w:val="18"/>
              </w:rPr>
            </w:pPr>
            <w:r w:rsidRPr="00734942">
              <w:rPr>
                <w:sz w:val="18"/>
                <w:szCs w:val="18"/>
              </w:rPr>
              <w:t>4.477</w:t>
            </w:r>
          </w:p>
        </w:tc>
      </w:tr>
      <w:tr w:rsidR="00E55DF0" w:rsidRPr="00734942" w14:paraId="617DBC30"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8A65705" w14:textId="77777777" w:rsidR="00E55DF0" w:rsidRPr="00734942" w:rsidRDefault="00E55DF0" w:rsidP="00E55DF0">
            <w:pPr>
              <w:rPr>
                <w:sz w:val="18"/>
                <w:szCs w:val="18"/>
              </w:rPr>
            </w:pPr>
            <w:r w:rsidRPr="00734942">
              <w:rPr>
                <w:sz w:val="18"/>
                <w:szCs w:val="18"/>
              </w:rPr>
              <w:t>GI symptoms (count year 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0654357" w14:textId="77777777" w:rsidR="00E55DF0" w:rsidRPr="00734942" w:rsidRDefault="00E55DF0" w:rsidP="00E55DF0">
            <w:pPr>
              <w:rPr>
                <w:sz w:val="18"/>
                <w:szCs w:val="18"/>
              </w:rPr>
            </w:pPr>
            <w:r w:rsidRPr="00734942">
              <w:rPr>
                <w:sz w:val="18"/>
                <w:szCs w:val="18"/>
              </w:rPr>
              <w:t>0.787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7D5495B" w14:textId="77777777" w:rsidR="00E55DF0" w:rsidRPr="00734942" w:rsidRDefault="00E55DF0" w:rsidP="00E55DF0">
            <w:pPr>
              <w:rPr>
                <w:sz w:val="18"/>
                <w:szCs w:val="18"/>
              </w:rPr>
            </w:pPr>
            <w:r w:rsidRPr="00734942">
              <w:rPr>
                <w:sz w:val="18"/>
                <w:szCs w:val="18"/>
              </w:rPr>
              <w:t xml:space="preserve"> 0.789 ( 0.772;  0.807)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6BFF5A" w14:textId="77777777" w:rsidR="00E55DF0" w:rsidRPr="00734942" w:rsidRDefault="00E55DF0" w:rsidP="00E55DF0">
            <w:pPr>
              <w:rPr>
                <w:sz w:val="18"/>
                <w:szCs w:val="18"/>
              </w:rPr>
            </w:pPr>
            <w:r w:rsidRPr="00734942">
              <w:rPr>
                <w:sz w:val="18"/>
                <w:szCs w:val="18"/>
              </w:rPr>
              <w:t>0.799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62FEAA0" w14:textId="77777777" w:rsidR="00E55DF0" w:rsidRPr="00734942" w:rsidRDefault="00E55DF0" w:rsidP="00E55DF0">
            <w:pPr>
              <w:rPr>
                <w:sz w:val="18"/>
                <w:szCs w:val="18"/>
              </w:rPr>
            </w:pPr>
            <w:r w:rsidRPr="00734942">
              <w:rPr>
                <w:sz w:val="18"/>
                <w:szCs w:val="18"/>
              </w:rPr>
              <w:t>2.197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48C82E" w14:textId="77777777" w:rsidR="00E55DF0" w:rsidRPr="00734942" w:rsidRDefault="00E55DF0" w:rsidP="00E55DF0">
            <w:pPr>
              <w:rPr>
                <w:sz w:val="18"/>
                <w:szCs w:val="18"/>
              </w:rPr>
            </w:pPr>
            <w:r w:rsidRPr="00734942">
              <w:rPr>
                <w:sz w:val="18"/>
                <w:szCs w:val="18"/>
              </w:rPr>
              <w:t>2.223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344E32" w14:textId="77777777" w:rsidR="00E55DF0" w:rsidRPr="00734942" w:rsidRDefault="00E55DF0" w:rsidP="00E55DF0">
            <w:pPr>
              <w:rPr>
                <w:sz w:val="18"/>
                <w:szCs w:val="18"/>
              </w:rPr>
            </w:pPr>
            <w:r w:rsidRPr="00734942">
              <w:rPr>
                <w:sz w:val="18"/>
                <w:szCs w:val="18"/>
              </w:rPr>
              <w:t>1.037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7A8CAED" w14:textId="77777777" w:rsidR="00E55DF0" w:rsidRPr="00734942" w:rsidRDefault="00E55DF0" w:rsidP="00E55DF0">
            <w:pPr>
              <w:rPr>
                <w:sz w:val="18"/>
                <w:szCs w:val="18"/>
              </w:rPr>
            </w:pPr>
            <w:r w:rsidRPr="00734942">
              <w:rPr>
                <w:sz w:val="18"/>
                <w:szCs w:val="18"/>
              </w:rPr>
              <w:t>2.821</w:t>
            </w:r>
          </w:p>
        </w:tc>
      </w:tr>
      <w:tr w:rsidR="00E55DF0" w:rsidRPr="00734942" w14:paraId="14DD9D19"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FA97254" w14:textId="77777777" w:rsidR="00E55DF0" w:rsidRPr="00734942" w:rsidRDefault="00E55DF0" w:rsidP="00E55DF0">
            <w:pPr>
              <w:rPr>
                <w:sz w:val="18"/>
                <w:szCs w:val="18"/>
              </w:rPr>
            </w:pPr>
            <w:r w:rsidRPr="00734942">
              <w:rPr>
                <w:sz w:val="18"/>
                <w:szCs w:val="18"/>
              </w:rPr>
              <w:t>Irritable bowel syndrome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1293C1C8" w14:textId="77777777" w:rsidR="00E55DF0" w:rsidRPr="00734942" w:rsidRDefault="00E55DF0" w:rsidP="00E55DF0">
            <w:pPr>
              <w:rPr>
                <w:sz w:val="18"/>
                <w:szCs w:val="18"/>
              </w:rPr>
            </w:pPr>
            <w:r w:rsidRPr="00734942">
              <w:rPr>
                <w:sz w:val="18"/>
                <w:szCs w:val="18"/>
              </w:rPr>
              <w:t>0.709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97DD126" w14:textId="77777777" w:rsidR="00E55DF0" w:rsidRPr="00734942" w:rsidRDefault="00E55DF0" w:rsidP="00E55DF0">
            <w:pPr>
              <w:rPr>
                <w:sz w:val="18"/>
                <w:szCs w:val="18"/>
              </w:rPr>
            </w:pPr>
            <w:r w:rsidRPr="00734942">
              <w:rPr>
                <w:sz w:val="18"/>
                <w:szCs w:val="18"/>
              </w:rPr>
              <w:t xml:space="preserve"> 0.714 ( 0.651;  0.776)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ACD812F" w14:textId="77777777" w:rsidR="00E55DF0" w:rsidRPr="00734942" w:rsidRDefault="00E55DF0" w:rsidP="00E55DF0">
            <w:pPr>
              <w:rPr>
                <w:sz w:val="18"/>
                <w:szCs w:val="18"/>
              </w:rPr>
            </w:pPr>
            <w:r w:rsidRPr="00734942">
              <w:rPr>
                <w:sz w:val="18"/>
                <w:szCs w:val="18"/>
              </w:rPr>
              <w:t>0.728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8E1D4DF" w14:textId="77777777" w:rsidR="00E55DF0" w:rsidRPr="00734942" w:rsidRDefault="00E55DF0" w:rsidP="00E55DF0">
            <w:pPr>
              <w:rPr>
                <w:sz w:val="18"/>
                <w:szCs w:val="18"/>
              </w:rPr>
            </w:pPr>
            <w:r w:rsidRPr="00734942">
              <w:rPr>
                <w:sz w:val="18"/>
                <w:szCs w:val="18"/>
              </w:rPr>
              <w:t>2.032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AB03EF6" w14:textId="77777777" w:rsidR="00E55DF0" w:rsidRPr="00734942" w:rsidRDefault="00E55DF0" w:rsidP="00E55DF0">
            <w:pPr>
              <w:rPr>
                <w:sz w:val="18"/>
                <w:szCs w:val="18"/>
              </w:rPr>
            </w:pPr>
            <w:r w:rsidRPr="00734942">
              <w:rPr>
                <w:sz w:val="18"/>
                <w:szCs w:val="18"/>
              </w:rPr>
              <w:t>2.072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66C35F0" w14:textId="77777777" w:rsidR="00E55DF0" w:rsidRPr="00734942" w:rsidRDefault="00E55DF0" w:rsidP="00E55DF0">
            <w:pPr>
              <w:rPr>
                <w:sz w:val="18"/>
                <w:szCs w:val="18"/>
              </w:rPr>
            </w:pPr>
            <w:r w:rsidRPr="00734942">
              <w:rPr>
                <w:sz w:val="18"/>
                <w:szCs w:val="18"/>
              </w:rPr>
              <w:t>1.240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05E1878" w14:textId="77777777" w:rsidR="00E55DF0" w:rsidRPr="00734942" w:rsidRDefault="00E55DF0" w:rsidP="00E55DF0">
            <w:pPr>
              <w:rPr>
                <w:sz w:val="18"/>
                <w:szCs w:val="18"/>
              </w:rPr>
            </w:pPr>
            <w:r w:rsidRPr="00734942">
              <w:rPr>
                <w:sz w:val="18"/>
                <w:szCs w:val="18"/>
              </w:rPr>
              <w:t>3.456</w:t>
            </w:r>
          </w:p>
        </w:tc>
      </w:tr>
      <w:tr w:rsidR="00E55DF0" w:rsidRPr="00734942" w14:paraId="04DDF2B2"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14E071F8" w14:textId="77777777" w:rsidR="00E55DF0" w:rsidRPr="00734942" w:rsidRDefault="00E55DF0" w:rsidP="00E55DF0">
            <w:pPr>
              <w:rPr>
                <w:sz w:val="18"/>
                <w:szCs w:val="18"/>
              </w:rPr>
            </w:pPr>
            <w:r w:rsidRPr="00734942">
              <w:rPr>
                <w:sz w:val="18"/>
                <w:szCs w:val="18"/>
              </w:rPr>
              <w:t>Fatigue (count year 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180FF2E" w14:textId="77777777" w:rsidR="00E55DF0" w:rsidRPr="00734942" w:rsidRDefault="00E55DF0" w:rsidP="00E55DF0">
            <w:pPr>
              <w:rPr>
                <w:sz w:val="18"/>
                <w:szCs w:val="18"/>
              </w:rPr>
            </w:pPr>
            <w:r w:rsidRPr="00734942">
              <w:rPr>
                <w:sz w:val="18"/>
                <w:szCs w:val="18"/>
              </w:rPr>
              <w:t>0.663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CCA3125" w14:textId="77777777" w:rsidR="00E55DF0" w:rsidRPr="00734942" w:rsidRDefault="00E55DF0" w:rsidP="00E55DF0">
            <w:pPr>
              <w:rPr>
                <w:sz w:val="18"/>
                <w:szCs w:val="18"/>
              </w:rPr>
            </w:pPr>
            <w:r w:rsidRPr="00734942">
              <w:rPr>
                <w:sz w:val="18"/>
                <w:szCs w:val="18"/>
              </w:rPr>
              <w:t xml:space="preserve"> 0.652 ( 0.592;  0.714)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3CC4372" w14:textId="77777777" w:rsidR="00E55DF0" w:rsidRPr="00734942" w:rsidRDefault="00E55DF0" w:rsidP="00E55DF0">
            <w:pPr>
              <w:rPr>
                <w:sz w:val="18"/>
                <w:szCs w:val="18"/>
              </w:rPr>
            </w:pPr>
            <w:r w:rsidRPr="00734942">
              <w:rPr>
                <w:sz w:val="18"/>
                <w:szCs w:val="18"/>
              </w:rPr>
              <w:t>0.680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E4413AD" w14:textId="77777777" w:rsidR="00E55DF0" w:rsidRPr="00734942" w:rsidRDefault="00E55DF0" w:rsidP="00E55DF0">
            <w:pPr>
              <w:rPr>
                <w:sz w:val="18"/>
                <w:szCs w:val="18"/>
              </w:rPr>
            </w:pPr>
            <w:r w:rsidRPr="00734942">
              <w:rPr>
                <w:sz w:val="18"/>
                <w:szCs w:val="18"/>
              </w:rPr>
              <w:t>1.941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4B3B495" w14:textId="77777777" w:rsidR="00E55DF0" w:rsidRPr="00734942" w:rsidRDefault="00E55DF0" w:rsidP="00E55DF0">
            <w:pPr>
              <w:rPr>
                <w:sz w:val="18"/>
                <w:szCs w:val="18"/>
              </w:rPr>
            </w:pPr>
            <w:r w:rsidRPr="00734942">
              <w:rPr>
                <w:sz w:val="18"/>
                <w:szCs w:val="18"/>
              </w:rPr>
              <w:t>1.974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D237EB7" w14:textId="77777777" w:rsidR="00E55DF0" w:rsidRPr="00734942" w:rsidRDefault="00E55DF0" w:rsidP="00E55DF0">
            <w:pPr>
              <w:rPr>
                <w:sz w:val="18"/>
                <w:szCs w:val="18"/>
              </w:rPr>
            </w:pPr>
            <w:r w:rsidRPr="00734942">
              <w:rPr>
                <w:sz w:val="18"/>
                <w:szCs w:val="18"/>
              </w:rPr>
              <w:t>1.178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5C0EA00" w14:textId="77777777" w:rsidR="00E55DF0" w:rsidRPr="00734942" w:rsidRDefault="00E55DF0" w:rsidP="00E55DF0">
            <w:pPr>
              <w:rPr>
                <w:sz w:val="18"/>
                <w:szCs w:val="18"/>
              </w:rPr>
            </w:pPr>
            <w:r w:rsidRPr="00734942">
              <w:rPr>
                <w:sz w:val="18"/>
                <w:szCs w:val="18"/>
              </w:rPr>
              <w:t>3.248</w:t>
            </w:r>
          </w:p>
        </w:tc>
      </w:tr>
      <w:tr w:rsidR="00E55DF0" w:rsidRPr="00734942" w14:paraId="3455F1A8"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1B45155" w14:textId="77777777" w:rsidR="00E55DF0" w:rsidRPr="00734942" w:rsidRDefault="00E55DF0" w:rsidP="00E55DF0">
            <w:pPr>
              <w:rPr>
                <w:sz w:val="18"/>
                <w:szCs w:val="18"/>
              </w:rPr>
            </w:pPr>
            <w:r w:rsidRPr="00734942">
              <w:rPr>
                <w:sz w:val="18"/>
                <w:szCs w:val="18"/>
              </w:rPr>
              <w:t>GI symptoms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DA10C57" w14:textId="77777777" w:rsidR="00E55DF0" w:rsidRPr="00734942" w:rsidRDefault="00E55DF0" w:rsidP="00E55DF0">
            <w:pPr>
              <w:rPr>
                <w:sz w:val="18"/>
                <w:szCs w:val="18"/>
              </w:rPr>
            </w:pPr>
            <w:r w:rsidRPr="00734942">
              <w:rPr>
                <w:sz w:val="18"/>
                <w:szCs w:val="18"/>
              </w:rPr>
              <w:t>0.448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6630CA4" w14:textId="77777777" w:rsidR="00E55DF0" w:rsidRPr="00734942" w:rsidRDefault="00E55DF0" w:rsidP="00E55DF0">
            <w:pPr>
              <w:rPr>
                <w:sz w:val="18"/>
                <w:szCs w:val="18"/>
              </w:rPr>
            </w:pPr>
            <w:r w:rsidRPr="00734942">
              <w:rPr>
                <w:sz w:val="18"/>
                <w:szCs w:val="18"/>
              </w:rPr>
              <w:t xml:space="preserve"> 0.442 ( 0.414;  0.472)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0E8E1C5" w14:textId="77777777" w:rsidR="00E55DF0" w:rsidRPr="00734942" w:rsidRDefault="00E55DF0" w:rsidP="00E55DF0">
            <w:pPr>
              <w:rPr>
                <w:sz w:val="18"/>
                <w:szCs w:val="18"/>
              </w:rPr>
            </w:pPr>
            <w:r w:rsidRPr="00734942">
              <w:rPr>
                <w:sz w:val="18"/>
                <w:szCs w:val="18"/>
              </w:rPr>
              <w:t>0.447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12A1584" w14:textId="77777777" w:rsidR="00E55DF0" w:rsidRPr="00734942" w:rsidRDefault="00E55DF0" w:rsidP="00E55DF0">
            <w:pPr>
              <w:rPr>
                <w:sz w:val="18"/>
                <w:szCs w:val="18"/>
              </w:rPr>
            </w:pPr>
            <w:r w:rsidRPr="00734942">
              <w:rPr>
                <w:sz w:val="18"/>
                <w:szCs w:val="18"/>
              </w:rPr>
              <w:t>1.565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6881F5B" w14:textId="77777777" w:rsidR="00E55DF0" w:rsidRPr="00734942" w:rsidRDefault="00E55DF0" w:rsidP="00E55DF0">
            <w:pPr>
              <w:rPr>
                <w:sz w:val="18"/>
                <w:szCs w:val="18"/>
              </w:rPr>
            </w:pPr>
            <w:r w:rsidRPr="00734942">
              <w:rPr>
                <w:sz w:val="18"/>
                <w:szCs w:val="18"/>
              </w:rPr>
              <w:t>1.563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F279496" w14:textId="77777777" w:rsidR="00E55DF0" w:rsidRPr="00734942" w:rsidRDefault="00E55DF0" w:rsidP="00E55DF0">
            <w:pPr>
              <w:rPr>
                <w:sz w:val="18"/>
                <w:szCs w:val="18"/>
              </w:rPr>
            </w:pPr>
            <w:r w:rsidRPr="00734942">
              <w:rPr>
                <w:sz w:val="18"/>
                <w:szCs w:val="18"/>
              </w:rPr>
              <w:t>1.348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C7C36FA" w14:textId="77777777" w:rsidR="00E55DF0" w:rsidRPr="00734942" w:rsidRDefault="00E55DF0" w:rsidP="00E55DF0">
            <w:pPr>
              <w:rPr>
                <w:sz w:val="18"/>
                <w:szCs w:val="18"/>
              </w:rPr>
            </w:pPr>
            <w:r w:rsidRPr="00734942">
              <w:rPr>
                <w:sz w:val="18"/>
                <w:szCs w:val="18"/>
              </w:rPr>
              <w:t>3.850</w:t>
            </w:r>
          </w:p>
        </w:tc>
      </w:tr>
      <w:tr w:rsidR="00E55DF0" w:rsidRPr="00734942" w14:paraId="43C1885C"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02495E4" w14:textId="77777777" w:rsidR="00E55DF0" w:rsidRPr="00734942" w:rsidRDefault="00E55DF0" w:rsidP="00E55DF0">
            <w:pPr>
              <w:rPr>
                <w:sz w:val="18"/>
                <w:szCs w:val="18"/>
              </w:rPr>
            </w:pPr>
            <w:r w:rsidRPr="00734942">
              <w:rPr>
                <w:sz w:val="18"/>
                <w:szCs w:val="18"/>
              </w:rPr>
              <w:t>Mouth ulcers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6974030" w14:textId="77777777" w:rsidR="00E55DF0" w:rsidRPr="00734942" w:rsidRDefault="00E55DF0" w:rsidP="00E55DF0">
            <w:pPr>
              <w:rPr>
                <w:sz w:val="18"/>
                <w:szCs w:val="18"/>
              </w:rPr>
            </w:pPr>
            <w:r w:rsidRPr="00734942">
              <w:rPr>
                <w:sz w:val="18"/>
                <w:szCs w:val="18"/>
              </w:rPr>
              <w:t>0.412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3867503" w14:textId="77777777" w:rsidR="00E55DF0" w:rsidRPr="00734942" w:rsidRDefault="00E55DF0" w:rsidP="00E55DF0">
            <w:pPr>
              <w:rPr>
                <w:sz w:val="18"/>
                <w:szCs w:val="18"/>
              </w:rPr>
            </w:pPr>
            <w:r w:rsidRPr="00734942">
              <w:rPr>
                <w:sz w:val="18"/>
                <w:szCs w:val="18"/>
              </w:rPr>
              <w:t xml:space="preserve"> 0.401 ( 0.305;  0.514)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843CC6D" w14:textId="77777777" w:rsidR="00E55DF0" w:rsidRPr="00734942" w:rsidRDefault="00E55DF0" w:rsidP="00E55DF0">
            <w:pPr>
              <w:rPr>
                <w:sz w:val="18"/>
                <w:szCs w:val="18"/>
              </w:rPr>
            </w:pPr>
            <w:r w:rsidRPr="00734942">
              <w:rPr>
                <w:sz w:val="18"/>
                <w:szCs w:val="18"/>
              </w:rPr>
              <w:t>0.427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0677B8" w14:textId="77777777" w:rsidR="00E55DF0" w:rsidRPr="00734942" w:rsidRDefault="00E55DF0" w:rsidP="00E55DF0">
            <w:pPr>
              <w:rPr>
                <w:sz w:val="18"/>
                <w:szCs w:val="18"/>
              </w:rPr>
            </w:pPr>
            <w:r w:rsidRPr="00734942">
              <w:rPr>
                <w:sz w:val="18"/>
                <w:szCs w:val="18"/>
              </w:rPr>
              <w:t>1.510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F2BAD13" w14:textId="77777777" w:rsidR="00E55DF0" w:rsidRPr="00734942" w:rsidRDefault="00E55DF0" w:rsidP="00E55DF0">
            <w:pPr>
              <w:rPr>
                <w:sz w:val="18"/>
                <w:szCs w:val="18"/>
              </w:rPr>
            </w:pPr>
            <w:r w:rsidRPr="00734942">
              <w:rPr>
                <w:sz w:val="18"/>
                <w:szCs w:val="18"/>
              </w:rPr>
              <w:t>1.533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9BACEF" w14:textId="77777777" w:rsidR="00E55DF0" w:rsidRPr="00734942" w:rsidRDefault="00E55DF0" w:rsidP="00E55DF0">
            <w:pPr>
              <w:rPr>
                <w:sz w:val="18"/>
                <w:szCs w:val="18"/>
              </w:rPr>
            </w:pPr>
            <w:r w:rsidRPr="00734942">
              <w:rPr>
                <w:sz w:val="18"/>
                <w:szCs w:val="18"/>
              </w:rPr>
              <w:t>1.118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446308D" w14:textId="77777777" w:rsidR="00E55DF0" w:rsidRPr="00734942" w:rsidRDefault="00E55DF0" w:rsidP="00E55DF0">
            <w:pPr>
              <w:rPr>
                <w:sz w:val="18"/>
                <w:szCs w:val="18"/>
              </w:rPr>
            </w:pPr>
            <w:r w:rsidRPr="00734942">
              <w:rPr>
                <w:sz w:val="18"/>
                <w:szCs w:val="18"/>
              </w:rPr>
              <w:t>3.059</w:t>
            </w:r>
          </w:p>
        </w:tc>
      </w:tr>
      <w:tr w:rsidR="00E55DF0" w:rsidRPr="00734942" w14:paraId="33166214"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2990411" w14:textId="77777777" w:rsidR="00E55DF0" w:rsidRPr="00734942" w:rsidRDefault="00E55DF0" w:rsidP="00E55DF0">
            <w:pPr>
              <w:rPr>
                <w:sz w:val="18"/>
                <w:szCs w:val="18"/>
              </w:rPr>
            </w:pPr>
            <w:r w:rsidRPr="00734942">
              <w:rPr>
                <w:sz w:val="18"/>
                <w:szCs w:val="18"/>
              </w:rPr>
              <w:t>Psoriasis</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33DE76D" w14:textId="77777777" w:rsidR="00E55DF0" w:rsidRPr="00734942" w:rsidRDefault="00E55DF0" w:rsidP="00E55DF0">
            <w:pPr>
              <w:rPr>
                <w:sz w:val="18"/>
                <w:szCs w:val="18"/>
              </w:rPr>
            </w:pPr>
            <w:r w:rsidRPr="00734942">
              <w:rPr>
                <w:sz w:val="18"/>
                <w:szCs w:val="18"/>
              </w:rPr>
              <w:t>0.335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8E42621" w14:textId="77777777" w:rsidR="00E55DF0" w:rsidRPr="00734942" w:rsidRDefault="00E55DF0" w:rsidP="00E55DF0">
            <w:pPr>
              <w:rPr>
                <w:sz w:val="18"/>
                <w:szCs w:val="18"/>
              </w:rPr>
            </w:pPr>
            <w:r w:rsidRPr="00734942">
              <w:rPr>
                <w:sz w:val="18"/>
                <w:szCs w:val="18"/>
              </w:rPr>
              <w:t xml:space="preserve"> 0.339 ( 0.265;  0.401)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3977842" w14:textId="77777777" w:rsidR="00E55DF0" w:rsidRPr="00734942" w:rsidRDefault="00E55DF0" w:rsidP="00E55DF0">
            <w:pPr>
              <w:rPr>
                <w:sz w:val="18"/>
                <w:szCs w:val="18"/>
              </w:rPr>
            </w:pPr>
            <w:r w:rsidRPr="00734942">
              <w:rPr>
                <w:sz w:val="18"/>
                <w:szCs w:val="18"/>
              </w:rPr>
              <w:t>0.354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4ED659F" w14:textId="77777777" w:rsidR="00E55DF0" w:rsidRPr="00734942" w:rsidRDefault="00E55DF0" w:rsidP="00E55DF0">
            <w:pPr>
              <w:rPr>
                <w:sz w:val="18"/>
                <w:szCs w:val="18"/>
              </w:rPr>
            </w:pPr>
            <w:r w:rsidRPr="00734942">
              <w:rPr>
                <w:sz w:val="18"/>
                <w:szCs w:val="18"/>
              </w:rPr>
              <w:t>1.398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260894F" w14:textId="77777777" w:rsidR="00E55DF0" w:rsidRPr="00734942" w:rsidRDefault="00E55DF0" w:rsidP="00E55DF0">
            <w:pPr>
              <w:rPr>
                <w:sz w:val="18"/>
                <w:szCs w:val="18"/>
              </w:rPr>
            </w:pPr>
            <w:r w:rsidRPr="00734942">
              <w:rPr>
                <w:sz w:val="18"/>
                <w:szCs w:val="18"/>
              </w:rPr>
              <w:t>1.425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C8081FA" w14:textId="77777777" w:rsidR="00E55DF0" w:rsidRPr="00734942" w:rsidRDefault="00E55DF0" w:rsidP="00E55DF0">
            <w:pPr>
              <w:rPr>
                <w:sz w:val="18"/>
                <w:szCs w:val="18"/>
              </w:rPr>
            </w:pPr>
            <w:r w:rsidRPr="00734942">
              <w:rPr>
                <w:sz w:val="18"/>
                <w:szCs w:val="18"/>
              </w:rPr>
              <w:t>0.671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9072B56" w14:textId="77777777" w:rsidR="00E55DF0" w:rsidRPr="00734942" w:rsidRDefault="00E55DF0" w:rsidP="00E55DF0">
            <w:pPr>
              <w:rPr>
                <w:sz w:val="18"/>
                <w:szCs w:val="18"/>
              </w:rPr>
            </w:pPr>
            <w:r w:rsidRPr="00734942">
              <w:rPr>
                <w:sz w:val="18"/>
                <w:szCs w:val="18"/>
              </w:rPr>
              <w:t>1.956</w:t>
            </w:r>
          </w:p>
        </w:tc>
      </w:tr>
      <w:tr w:rsidR="00E55DF0" w:rsidRPr="00734942" w14:paraId="4B6DB952"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7CBD58F4" w14:textId="77777777" w:rsidR="00E55DF0" w:rsidRPr="00734942" w:rsidRDefault="00E55DF0" w:rsidP="00E55DF0">
            <w:pPr>
              <w:rPr>
                <w:sz w:val="18"/>
                <w:szCs w:val="18"/>
              </w:rPr>
            </w:pPr>
            <w:r w:rsidRPr="00734942">
              <w:rPr>
                <w:sz w:val="18"/>
                <w:szCs w:val="18"/>
              </w:rPr>
              <w:t>Chronic liver disease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70A719E" w14:textId="77777777" w:rsidR="00E55DF0" w:rsidRPr="00734942" w:rsidRDefault="00E55DF0" w:rsidP="00E55DF0">
            <w:pPr>
              <w:rPr>
                <w:sz w:val="18"/>
                <w:szCs w:val="18"/>
              </w:rPr>
            </w:pPr>
            <w:r w:rsidRPr="00734942">
              <w:rPr>
                <w:sz w:val="18"/>
                <w:szCs w:val="18"/>
              </w:rPr>
              <w:t>0.321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36B5804F" w14:textId="77777777" w:rsidR="00E55DF0" w:rsidRPr="00734942" w:rsidRDefault="00E55DF0" w:rsidP="00E55DF0">
            <w:pPr>
              <w:rPr>
                <w:sz w:val="18"/>
                <w:szCs w:val="18"/>
              </w:rPr>
            </w:pPr>
            <w:r w:rsidRPr="00734942">
              <w:rPr>
                <w:sz w:val="18"/>
                <w:szCs w:val="18"/>
              </w:rPr>
              <w:t xml:space="preserve"> 0.321 ( 0.236;  0.396)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C081C3B" w14:textId="77777777" w:rsidR="00E55DF0" w:rsidRPr="00734942" w:rsidRDefault="00E55DF0" w:rsidP="00E55DF0">
            <w:pPr>
              <w:rPr>
                <w:sz w:val="18"/>
                <w:szCs w:val="18"/>
              </w:rPr>
            </w:pPr>
            <w:r w:rsidRPr="00734942">
              <w:rPr>
                <w:sz w:val="18"/>
                <w:szCs w:val="18"/>
              </w:rPr>
              <w:t>0.338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E2FF2DB" w14:textId="77777777" w:rsidR="00E55DF0" w:rsidRPr="00734942" w:rsidRDefault="00E55DF0" w:rsidP="00E55DF0">
            <w:pPr>
              <w:rPr>
                <w:sz w:val="18"/>
                <w:szCs w:val="18"/>
              </w:rPr>
            </w:pPr>
            <w:r w:rsidRPr="00734942">
              <w:rPr>
                <w:sz w:val="18"/>
                <w:szCs w:val="18"/>
              </w:rPr>
              <w:t>1.378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608472EE" w14:textId="77777777" w:rsidR="00E55DF0" w:rsidRPr="00734942" w:rsidRDefault="00E55DF0" w:rsidP="00E55DF0">
            <w:pPr>
              <w:rPr>
                <w:sz w:val="18"/>
                <w:szCs w:val="18"/>
              </w:rPr>
            </w:pPr>
            <w:r w:rsidRPr="00734942">
              <w:rPr>
                <w:sz w:val="18"/>
                <w:szCs w:val="18"/>
              </w:rPr>
              <w:t>1.402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439F737" w14:textId="77777777" w:rsidR="00E55DF0" w:rsidRPr="00734942" w:rsidRDefault="00E55DF0" w:rsidP="00E55DF0">
            <w:pPr>
              <w:rPr>
                <w:sz w:val="18"/>
                <w:szCs w:val="18"/>
              </w:rPr>
            </w:pPr>
            <w:r w:rsidRPr="00734942">
              <w:rPr>
                <w:sz w:val="18"/>
                <w:szCs w:val="18"/>
              </w:rPr>
              <w:t>0.957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ECDE241" w14:textId="77777777" w:rsidR="00E55DF0" w:rsidRPr="00734942" w:rsidRDefault="00E55DF0" w:rsidP="00E55DF0">
            <w:pPr>
              <w:rPr>
                <w:sz w:val="18"/>
                <w:szCs w:val="18"/>
              </w:rPr>
            </w:pPr>
            <w:r w:rsidRPr="00734942">
              <w:rPr>
                <w:sz w:val="18"/>
                <w:szCs w:val="18"/>
              </w:rPr>
              <w:t>2.604</w:t>
            </w:r>
          </w:p>
        </w:tc>
      </w:tr>
      <w:tr w:rsidR="00E55DF0" w:rsidRPr="00734942" w14:paraId="30067370"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B6B533C" w14:textId="77777777" w:rsidR="00E55DF0" w:rsidRPr="00734942" w:rsidRDefault="00E55DF0" w:rsidP="00E55DF0">
            <w:pPr>
              <w:rPr>
                <w:sz w:val="18"/>
                <w:szCs w:val="18"/>
              </w:rPr>
            </w:pPr>
            <w:r w:rsidRPr="00734942">
              <w:rPr>
                <w:sz w:val="18"/>
                <w:szCs w:val="18"/>
              </w:rPr>
              <w:t>Epilepsy</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F64F378" w14:textId="77777777" w:rsidR="00E55DF0" w:rsidRPr="00734942" w:rsidRDefault="00E55DF0" w:rsidP="00E55DF0">
            <w:pPr>
              <w:rPr>
                <w:sz w:val="18"/>
                <w:szCs w:val="18"/>
              </w:rPr>
            </w:pPr>
            <w:r w:rsidRPr="00734942">
              <w:rPr>
                <w:sz w:val="18"/>
                <w:szCs w:val="18"/>
              </w:rPr>
              <w:t>0.259</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EDD3829" w14:textId="77777777" w:rsidR="00E55DF0" w:rsidRPr="00734942" w:rsidRDefault="00E55DF0" w:rsidP="00E55DF0">
            <w:pPr>
              <w:rPr>
                <w:sz w:val="18"/>
                <w:szCs w:val="18"/>
              </w:rPr>
            </w:pPr>
            <w:r w:rsidRPr="00734942">
              <w:rPr>
                <w:sz w:val="18"/>
                <w:szCs w:val="18"/>
              </w:rPr>
              <w:t xml:space="preserve"> 0.290 ( 0.147;  0.384)</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7C03038" w14:textId="77777777" w:rsidR="00E55DF0" w:rsidRPr="00734942" w:rsidRDefault="00E55DF0" w:rsidP="00E55DF0">
            <w:pPr>
              <w:rPr>
                <w:sz w:val="18"/>
                <w:szCs w:val="18"/>
              </w:rPr>
            </w:pPr>
            <w:r w:rsidRPr="00734942">
              <w:rPr>
                <w:sz w:val="18"/>
                <w:szCs w:val="18"/>
              </w:rPr>
              <w:t>0.291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306BE72" w14:textId="77777777" w:rsidR="00E55DF0" w:rsidRPr="00734942" w:rsidRDefault="00E55DF0" w:rsidP="00E55DF0">
            <w:pPr>
              <w:rPr>
                <w:sz w:val="18"/>
                <w:szCs w:val="18"/>
              </w:rPr>
            </w:pPr>
            <w:r w:rsidRPr="00734942">
              <w:rPr>
                <w:sz w:val="18"/>
                <w:szCs w:val="18"/>
              </w:rPr>
              <w:t>1.296</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4C4D6AF" w14:textId="77777777" w:rsidR="00E55DF0" w:rsidRPr="00734942" w:rsidRDefault="00E55DF0" w:rsidP="00E55DF0">
            <w:pPr>
              <w:rPr>
                <w:sz w:val="18"/>
                <w:szCs w:val="18"/>
              </w:rPr>
            </w:pPr>
            <w:r w:rsidRPr="00734942">
              <w:rPr>
                <w:sz w:val="18"/>
                <w:szCs w:val="18"/>
              </w:rPr>
              <w:t>1.338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E6CC50D" w14:textId="77777777" w:rsidR="00E55DF0" w:rsidRPr="00734942" w:rsidRDefault="00E55DF0" w:rsidP="00E55DF0">
            <w:pPr>
              <w:rPr>
                <w:sz w:val="18"/>
                <w:szCs w:val="18"/>
              </w:rPr>
            </w:pPr>
            <w:r w:rsidRPr="00734942">
              <w:rPr>
                <w:sz w:val="18"/>
                <w:szCs w:val="18"/>
              </w:rPr>
              <w:t>0.672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2DD06D86" w14:textId="77777777" w:rsidR="00E55DF0" w:rsidRPr="00734942" w:rsidRDefault="00E55DF0" w:rsidP="00E55DF0">
            <w:pPr>
              <w:rPr>
                <w:sz w:val="18"/>
                <w:szCs w:val="18"/>
              </w:rPr>
            </w:pPr>
            <w:r w:rsidRPr="00734942">
              <w:rPr>
                <w:sz w:val="18"/>
                <w:szCs w:val="18"/>
              </w:rPr>
              <w:t>1.958</w:t>
            </w:r>
          </w:p>
        </w:tc>
      </w:tr>
      <w:tr w:rsidR="00E55DF0" w:rsidRPr="00734942" w14:paraId="5DC7855B"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2876DA7" w14:textId="77777777" w:rsidR="00E55DF0" w:rsidRPr="00734942" w:rsidRDefault="00E55DF0" w:rsidP="00E55DF0">
            <w:pPr>
              <w:rPr>
                <w:sz w:val="18"/>
                <w:szCs w:val="18"/>
              </w:rPr>
            </w:pPr>
            <w:r w:rsidRPr="00734942">
              <w:rPr>
                <w:sz w:val="18"/>
                <w:szCs w:val="18"/>
              </w:rPr>
              <w:lastRenderedPageBreak/>
              <w:t>Cardiovascular disease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20864A9B" w14:textId="77777777" w:rsidR="00E55DF0" w:rsidRPr="00734942" w:rsidRDefault="00E55DF0" w:rsidP="00E55DF0">
            <w:pPr>
              <w:rPr>
                <w:sz w:val="18"/>
                <w:szCs w:val="18"/>
              </w:rPr>
            </w:pPr>
            <w:r w:rsidRPr="00734942">
              <w:rPr>
                <w:sz w:val="18"/>
                <w:szCs w:val="18"/>
              </w:rPr>
              <w:t>0.253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5AE8D2DB" w14:textId="77777777" w:rsidR="00E55DF0" w:rsidRPr="00734942" w:rsidRDefault="00E55DF0" w:rsidP="00E55DF0">
            <w:pPr>
              <w:rPr>
                <w:sz w:val="18"/>
                <w:szCs w:val="18"/>
              </w:rPr>
            </w:pPr>
            <w:r w:rsidRPr="00734942">
              <w:rPr>
                <w:sz w:val="18"/>
                <w:szCs w:val="18"/>
              </w:rPr>
              <w:t xml:space="preserve"> 0.243 ( 0.214;  0.282)</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0EE1565" w14:textId="77777777" w:rsidR="00E55DF0" w:rsidRPr="00734942" w:rsidRDefault="00E55DF0" w:rsidP="00E55DF0">
            <w:pPr>
              <w:rPr>
                <w:sz w:val="18"/>
                <w:szCs w:val="18"/>
              </w:rPr>
            </w:pPr>
            <w:r w:rsidRPr="00734942">
              <w:rPr>
                <w:sz w:val="18"/>
                <w:szCs w:val="18"/>
              </w:rPr>
              <w:t>0.257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8B78481" w14:textId="77777777" w:rsidR="00E55DF0" w:rsidRPr="00734942" w:rsidRDefault="00E55DF0" w:rsidP="00E55DF0">
            <w:pPr>
              <w:rPr>
                <w:sz w:val="18"/>
                <w:szCs w:val="18"/>
              </w:rPr>
            </w:pPr>
            <w:r w:rsidRPr="00734942">
              <w:rPr>
                <w:sz w:val="18"/>
                <w:szCs w:val="18"/>
              </w:rPr>
              <w:t>1.288</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3632745" w14:textId="77777777" w:rsidR="00E55DF0" w:rsidRPr="00734942" w:rsidRDefault="00E55DF0" w:rsidP="00E55DF0">
            <w:pPr>
              <w:rPr>
                <w:sz w:val="18"/>
                <w:szCs w:val="18"/>
              </w:rPr>
            </w:pPr>
            <w:r w:rsidRPr="00734942">
              <w:rPr>
                <w:sz w:val="18"/>
                <w:szCs w:val="18"/>
              </w:rPr>
              <w:t>1.293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E67D2D" w14:textId="77777777" w:rsidR="00E55DF0" w:rsidRPr="00734942" w:rsidRDefault="00E55DF0" w:rsidP="00E55DF0">
            <w:pPr>
              <w:rPr>
                <w:sz w:val="18"/>
                <w:szCs w:val="18"/>
              </w:rPr>
            </w:pPr>
            <w:r w:rsidRPr="00734942">
              <w:rPr>
                <w:sz w:val="18"/>
                <w:szCs w:val="18"/>
              </w:rPr>
              <w:t>0.975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E5CEB9B" w14:textId="77777777" w:rsidR="00E55DF0" w:rsidRPr="00734942" w:rsidRDefault="00E55DF0" w:rsidP="00E55DF0">
            <w:pPr>
              <w:rPr>
                <w:sz w:val="18"/>
                <w:szCs w:val="18"/>
              </w:rPr>
            </w:pPr>
            <w:r w:rsidRPr="00734942">
              <w:rPr>
                <w:sz w:val="18"/>
                <w:szCs w:val="18"/>
              </w:rPr>
              <w:t>2.651</w:t>
            </w:r>
          </w:p>
        </w:tc>
      </w:tr>
      <w:tr w:rsidR="00E55DF0" w:rsidRPr="00734942" w14:paraId="33A535C2" w14:textId="77777777" w:rsidTr="00DB3B62">
        <w:trPr>
          <w:trHeight w:val="246"/>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A53CB0D" w14:textId="77777777" w:rsidR="00E55DF0" w:rsidRPr="00734942" w:rsidRDefault="00E55DF0" w:rsidP="00E55DF0">
            <w:pPr>
              <w:rPr>
                <w:sz w:val="18"/>
                <w:szCs w:val="18"/>
              </w:rPr>
            </w:pPr>
            <w:r w:rsidRPr="00734942">
              <w:rPr>
                <w:sz w:val="18"/>
                <w:szCs w:val="18"/>
              </w:rPr>
              <w:t>Fatigue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BA18725" w14:textId="77777777" w:rsidR="00E55DF0" w:rsidRPr="00734942" w:rsidRDefault="00E55DF0" w:rsidP="00E55DF0">
            <w:pPr>
              <w:rPr>
                <w:sz w:val="18"/>
                <w:szCs w:val="18"/>
              </w:rPr>
            </w:pPr>
            <w:r w:rsidRPr="00734942">
              <w:rPr>
                <w:sz w:val="18"/>
                <w:szCs w:val="18"/>
              </w:rPr>
              <w:t>0.185</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ECA4C9D" w14:textId="77777777" w:rsidR="00E55DF0" w:rsidRPr="00734942" w:rsidRDefault="00E55DF0" w:rsidP="00E55DF0">
            <w:pPr>
              <w:rPr>
                <w:sz w:val="18"/>
                <w:szCs w:val="18"/>
              </w:rPr>
            </w:pPr>
            <w:r w:rsidRPr="00734942">
              <w:rPr>
                <w:sz w:val="18"/>
                <w:szCs w:val="18"/>
              </w:rPr>
              <w:t xml:space="preserve"> 0.186 ( 0.136;  0.233)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1EA0963" w14:textId="77777777" w:rsidR="00E55DF0" w:rsidRPr="00734942" w:rsidRDefault="00E55DF0" w:rsidP="00E55DF0">
            <w:pPr>
              <w:rPr>
                <w:sz w:val="18"/>
                <w:szCs w:val="18"/>
              </w:rPr>
            </w:pPr>
            <w:r w:rsidRPr="00734942">
              <w:rPr>
                <w:sz w:val="18"/>
                <w:szCs w:val="18"/>
              </w:rPr>
              <w:t>0.183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A76F973" w14:textId="77777777" w:rsidR="00E55DF0" w:rsidRPr="00734942" w:rsidRDefault="00E55DF0" w:rsidP="00E55DF0">
            <w:pPr>
              <w:rPr>
                <w:sz w:val="18"/>
                <w:szCs w:val="18"/>
              </w:rPr>
            </w:pPr>
            <w:r w:rsidRPr="00734942">
              <w:rPr>
                <w:sz w:val="18"/>
                <w:szCs w:val="18"/>
              </w:rPr>
              <w:t>1.203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14C8C7D" w14:textId="77777777" w:rsidR="00E55DF0" w:rsidRPr="00734942" w:rsidRDefault="00E55DF0" w:rsidP="00E55DF0">
            <w:pPr>
              <w:rPr>
                <w:sz w:val="18"/>
                <w:szCs w:val="18"/>
              </w:rPr>
            </w:pPr>
            <w:r w:rsidRPr="00734942">
              <w:rPr>
                <w:sz w:val="18"/>
                <w:szCs w:val="18"/>
              </w:rPr>
              <w:t>1.201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00B67DD7" w14:textId="77777777" w:rsidR="00E55DF0" w:rsidRPr="00734942" w:rsidRDefault="00E55DF0" w:rsidP="00E55DF0">
            <w:pPr>
              <w:rPr>
                <w:sz w:val="18"/>
                <w:szCs w:val="18"/>
              </w:rPr>
            </w:pPr>
            <w:r w:rsidRPr="00734942">
              <w:rPr>
                <w:sz w:val="18"/>
                <w:szCs w:val="18"/>
              </w:rPr>
              <w:t>1.077</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4066031" w14:textId="77777777" w:rsidR="00E55DF0" w:rsidRPr="00734942" w:rsidRDefault="00E55DF0" w:rsidP="00E55DF0">
            <w:pPr>
              <w:rPr>
                <w:sz w:val="18"/>
                <w:szCs w:val="18"/>
              </w:rPr>
            </w:pPr>
            <w:r w:rsidRPr="00734942">
              <w:rPr>
                <w:sz w:val="18"/>
                <w:szCs w:val="18"/>
              </w:rPr>
              <w:t>2.936</w:t>
            </w:r>
          </w:p>
        </w:tc>
      </w:tr>
      <w:tr w:rsidR="00E55DF0" w:rsidRPr="00734942" w14:paraId="21D79FE4" w14:textId="77777777" w:rsidTr="00DB3B62">
        <w:trPr>
          <w:trHeight w:val="275"/>
        </w:trPr>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640C1F87" w14:textId="77777777" w:rsidR="00E55DF0" w:rsidRPr="00734942" w:rsidRDefault="00E55DF0" w:rsidP="00E55DF0">
            <w:pPr>
              <w:rPr>
                <w:sz w:val="18"/>
                <w:szCs w:val="18"/>
              </w:rPr>
            </w:pPr>
            <w:r w:rsidRPr="00734942">
              <w:rPr>
                <w:sz w:val="18"/>
                <w:szCs w:val="18"/>
              </w:rPr>
              <w:t>Age</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402265E5" w14:textId="77777777" w:rsidR="00E55DF0" w:rsidRPr="00734942" w:rsidRDefault="00E55DF0" w:rsidP="00E55DF0">
            <w:pPr>
              <w:rPr>
                <w:sz w:val="18"/>
                <w:szCs w:val="18"/>
              </w:rPr>
            </w:pPr>
            <w:r w:rsidRPr="00734942">
              <w:rPr>
                <w:sz w:val="18"/>
                <w:szCs w:val="18"/>
              </w:rPr>
              <w:t>0.010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bottom"/>
            <w:hideMark/>
          </w:tcPr>
          <w:p w14:paraId="02ABD298" w14:textId="77777777" w:rsidR="00E55DF0" w:rsidRPr="00734942" w:rsidRDefault="00E55DF0" w:rsidP="00E55DF0">
            <w:pPr>
              <w:rPr>
                <w:sz w:val="18"/>
                <w:szCs w:val="18"/>
              </w:rPr>
            </w:pPr>
            <w:r w:rsidRPr="00734942">
              <w:rPr>
                <w:sz w:val="18"/>
                <w:szCs w:val="18"/>
              </w:rPr>
              <w:t xml:space="preserve"> 0.011 ( 0.010;  0.011)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14BAC0E0" w14:textId="77777777" w:rsidR="00E55DF0" w:rsidRPr="00734942" w:rsidRDefault="00E55DF0" w:rsidP="00E55DF0">
            <w:pPr>
              <w:rPr>
                <w:sz w:val="18"/>
                <w:szCs w:val="18"/>
              </w:rPr>
            </w:pPr>
            <w:r w:rsidRPr="00734942">
              <w:rPr>
                <w:sz w:val="18"/>
                <w:szCs w:val="18"/>
              </w:rPr>
              <w:t>0.011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5B8618EF" w14:textId="77777777" w:rsidR="00E55DF0" w:rsidRPr="00734942" w:rsidRDefault="00E55DF0" w:rsidP="00E55DF0">
            <w:pPr>
              <w:rPr>
                <w:sz w:val="18"/>
                <w:szCs w:val="18"/>
              </w:rPr>
            </w:pPr>
            <w:r w:rsidRPr="00734942">
              <w:rPr>
                <w:sz w:val="18"/>
                <w:szCs w:val="18"/>
              </w:rPr>
              <w:t>1.010</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42776536" w14:textId="77777777" w:rsidR="00E55DF0" w:rsidRPr="00734942" w:rsidRDefault="00E55DF0" w:rsidP="00E55DF0">
            <w:pPr>
              <w:rPr>
                <w:sz w:val="18"/>
                <w:szCs w:val="18"/>
              </w:rPr>
            </w:pPr>
            <w:r w:rsidRPr="00734942">
              <w:rPr>
                <w:sz w:val="18"/>
                <w:szCs w:val="18"/>
              </w:rPr>
              <w:t>1.011</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7972A108" w14:textId="77777777" w:rsidR="00E55DF0" w:rsidRPr="00734942" w:rsidRDefault="00E55DF0" w:rsidP="00E55DF0">
            <w:pPr>
              <w:rPr>
                <w:sz w:val="18"/>
                <w:szCs w:val="18"/>
              </w:rPr>
            </w:pPr>
            <w:r w:rsidRPr="00734942">
              <w:rPr>
                <w:sz w:val="18"/>
                <w:szCs w:val="18"/>
              </w:rPr>
              <w:t>0.023</w:t>
            </w:r>
          </w:p>
        </w:tc>
        <w:tc>
          <w:tcPr>
            <w:tcW w:w="0" w:type="auto"/>
            <w:tcBorders>
              <w:top w:val="single" w:sz="8" w:space="0" w:color="A5A5A5"/>
              <w:left w:val="single" w:sz="8" w:space="0" w:color="A5A5A5"/>
              <w:bottom w:val="single" w:sz="8" w:space="0" w:color="A5A5A5"/>
              <w:right w:val="single" w:sz="8" w:space="0" w:color="A5A5A5"/>
            </w:tcBorders>
            <w:shd w:val="clear" w:color="auto" w:fill="auto"/>
            <w:tcMar>
              <w:top w:w="15" w:type="dxa"/>
              <w:left w:w="15" w:type="dxa"/>
              <w:bottom w:w="0" w:type="dxa"/>
              <w:right w:w="15" w:type="dxa"/>
            </w:tcMar>
            <w:vAlign w:val="center"/>
            <w:hideMark/>
          </w:tcPr>
          <w:p w14:paraId="3D9896A2" w14:textId="77777777" w:rsidR="00E55DF0" w:rsidRPr="00734942" w:rsidRDefault="00E55DF0" w:rsidP="00E55DF0">
            <w:pPr>
              <w:rPr>
                <w:sz w:val="18"/>
                <w:szCs w:val="18"/>
              </w:rPr>
            </w:pPr>
            <w:r w:rsidRPr="00734942">
              <w:rPr>
                <w:sz w:val="18"/>
                <w:szCs w:val="18"/>
              </w:rPr>
              <w:t>1.023</w:t>
            </w:r>
          </w:p>
        </w:tc>
      </w:tr>
    </w:tbl>
    <w:p w14:paraId="7162E69C" w14:textId="77777777" w:rsidR="00BC351A" w:rsidRDefault="00BC351A">
      <w:r w:rsidRPr="00734942">
        <w:br w:type="page"/>
      </w:r>
    </w:p>
    <w:p w14:paraId="17EC0E18" w14:textId="213AD299" w:rsidR="003838C6" w:rsidRDefault="003838C6" w:rsidP="000526F1">
      <w:pPr>
        <w:pStyle w:val="Heading2"/>
      </w:pPr>
      <w:bookmarkStart w:id="455" w:name="_Toc99539937"/>
      <w:r>
        <w:lastRenderedPageBreak/>
        <w:t xml:space="preserve">Appendix </w:t>
      </w:r>
      <w:r w:rsidR="008A3FBF">
        <w:t>12</w:t>
      </w:r>
      <w:bookmarkEnd w:id="455"/>
    </w:p>
    <w:p w14:paraId="48275AA6" w14:textId="77777777" w:rsidR="003838C6" w:rsidRPr="00734942" w:rsidRDefault="003838C6" w:rsidP="003838C6">
      <w:r w:rsidRPr="00734942">
        <w:rPr>
          <w:noProof/>
        </w:rPr>
        <w:drawing>
          <wp:inline distT="0" distB="0" distL="0" distR="0" wp14:anchorId="3B35FC58" wp14:editId="5FAE61A2">
            <wp:extent cx="5576051" cy="2556000"/>
            <wp:effectExtent l="0" t="0" r="5715" b="0"/>
            <wp:docPr id="46" name="Picture 46"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line chart, histogram&#10;&#10;Description automatically generated"/>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576051" cy="2556000"/>
                    </a:xfrm>
                    <a:prstGeom prst="rect">
                      <a:avLst/>
                    </a:prstGeom>
                    <a:noFill/>
                  </pic:spPr>
                </pic:pic>
              </a:graphicData>
            </a:graphic>
          </wp:inline>
        </w:drawing>
      </w:r>
    </w:p>
    <w:p w14:paraId="28CD6AA6" w14:textId="77777777" w:rsidR="003838C6" w:rsidRPr="00734942" w:rsidRDefault="003838C6" w:rsidP="003838C6">
      <w:r w:rsidRPr="00734942">
        <w:rPr>
          <w:noProof/>
        </w:rPr>
        <w:drawing>
          <wp:inline distT="0" distB="0" distL="0" distR="0" wp14:anchorId="2B636F06" wp14:editId="2A4C234C">
            <wp:extent cx="5544594" cy="2556000"/>
            <wp:effectExtent l="0" t="0" r="0" b="0"/>
            <wp:docPr id="50" name="Picture 5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line chart&#10;&#10;Description automatically generated"/>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5544594" cy="2556000"/>
                    </a:xfrm>
                    <a:prstGeom prst="rect">
                      <a:avLst/>
                    </a:prstGeom>
                    <a:noFill/>
                  </pic:spPr>
                </pic:pic>
              </a:graphicData>
            </a:graphic>
          </wp:inline>
        </w:drawing>
      </w:r>
    </w:p>
    <w:p w14:paraId="6B811BB3" w14:textId="77777777" w:rsidR="003838C6" w:rsidRPr="00734942" w:rsidRDefault="003838C6" w:rsidP="003838C6">
      <w:r w:rsidRPr="00734942">
        <w:rPr>
          <w:noProof/>
        </w:rPr>
        <w:drawing>
          <wp:inline distT="0" distB="0" distL="0" distR="0" wp14:anchorId="4010CC59" wp14:editId="59CBA992">
            <wp:extent cx="5608148" cy="2556000"/>
            <wp:effectExtent l="0" t="0" r="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608148" cy="2556000"/>
                    </a:xfrm>
                    <a:prstGeom prst="rect">
                      <a:avLst/>
                    </a:prstGeom>
                    <a:noFill/>
                  </pic:spPr>
                </pic:pic>
              </a:graphicData>
            </a:graphic>
          </wp:inline>
        </w:drawing>
      </w:r>
    </w:p>
    <w:p w14:paraId="5310811C" w14:textId="543E3F46" w:rsidR="003838C6" w:rsidRPr="00734942" w:rsidRDefault="003838C6" w:rsidP="003838C6">
      <w:pPr>
        <w:pStyle w:val="Caption"/>
      </w:pPr>
      <w:bookmarkStart w:id="456" w:name="_Ref85728878"/>
      <w:bookmarkStart w:id="457" w:name="_Toc99720836"/>
      <w:r w:rsidRPr="00734942">
        <w:t xml:space="preserve">Figure </w:t>
      </w:r>
      <w:r>
        <w:fldChar w:fldCharType="begin"/>
      </w:r>
      <w:r>
        <w:instrText>SEQ Figure \* ARABIC</w:instrText>
      </w:r>
      <w:r>
        <w:fldChar w:fldCharType="separate"/>
      </w:r>
      <w:r w:rsidR="008B5583">
        <w:rPr>
          <w:noProof/>
        </w:rPr>
        <w:t>55</w:t>
      </w:r>
      <w:r>
        <w:fldChar w:fldCharType="end"/>
      </w:r>
      <w:bookmarkEnd w:id="456"/>
      <w:r w:rsidRPr="00734942">
        <w:t xml:space="preserve"> Calibration curves model development and external validation</w:t>
      </w:r>
      <w:bookmarkEnd w:id="457"/>
    </w:p>
    <w:p w14:paraId="16DCB8DB" w14:textId="18DF0FF5" w:rsidR="003838C6" w:rsidRDefault="003838C6">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4073D949" w14:textId="76663595" w:rsidR="003838C6" w:rsidRDefault="003838C6" w:rsidP="000526F1">
      <w:pPr>
        <w:pStyle w:val="Heading2"/>
      </w:pPr>
      <w:bookmarkStart w:id="458" w:name="_Toc99539938"/>
      <w:r>
        <w:lastRenderedPageBreak/>
        <w:t>Appendix 1</w:t>
      </w:r>
      <w:r w:rsidR="008A3FBF">
        <w:t>3</w:t>
      </w:r>
      <w:bookmarkEnd w:id="458"/>
    </w:p>
    <w:p w14:paraId="36DDC0EA" w14:textId="06B6AF5D" w:rsidR="005C4C02" w:rsidRPr="00734942" w:rsidRDefault="005C4C02" w:rsidP="005C4C02">
      <w:pPr>
        <w:pStyle w:val="Caption"/>
      </w:pPr>
      <w:bookmarkStart w:id="459" w:name="_Ref83908787"/>
      <w:bookmarkStart w:id="460" w:name="_Ref83908784"/>
      <w:bookmarkStart w:id="461" w:name="_Toc99720766"/>
      <w:r w:rsidRPr="00734942">
        <w:t xml:space="preserve">Table </w:t>
      </w:r>
      <w:r w:rsidRPr="00734942">
        <w:fldChar w:fldCharType="begin"/>
      </w:r>
      <w:r w:rsidRPr="00734942">
        <w:instrText>SEQ Table \* ARABIC</w:instrText>
      </w:r>
      <w:r w:rsidRPr="00734942">
        <w:fldChar w:fldCharType="separate"/>
      </w:r>
      <w:r w:rsidR="008B5583">
        <w:rPr>
          <w:noProof/>
        </w:rPr>
        <w:t>55</w:t>
      </w:r>
      <w:r w:rsidRPr="00734942">
        <w:fldChar w:fldCharType="end"/>
      </w:r>
      <w:bookmarkEnd w:id="459"/>
      <w:r w:rsidRPr="00734942">
        <w:t xml:space="preserve"> Clinical usefulness in external validation data</w:t>
      </w:r>
      <w:bookmarkEnd w:id="460"/>
      <w:bookmarkEnd w:id="461"/>
    </w:p>
    <w:p w14:paraId="743E9D5B" w14:textId="77777777" w:rsidR="005C4C02" w:rsidRDefault="005C4C02" w:rsidP="005C4C02">
      <w:pPr>
        <w:rPr>
          <w:sz w:val="18"/>
          <w:szCs w:val="18"/>
        </w:rPr>
      </w:pPr>
      <w:r w:rsidRPr="00734942">
        <w:rPr>
          <w:sz w:val="18"/>
          <w:szCs w:val="18"/>
        </w:rPr>
        <w:t>In a population of 10,000 people.</w:t>
      </w:r>
    </w:p>
    <w:tbl>
      <w:tblPr>
        <w:tblW w:w="9526" w:type="dxa"/>
        <w:tblLook w:val="04A0" w:firstRow="1" w:lastRow="0" w:firstColumn="1" w:lastColumn="0" w:noHBand="0" w:noVBand="1"/>
      </w:tblPr>
      <w:tblGrid>
        <w:gridCol w:w="1126"/>
        <w:gridCol w:w="1046"/>
        <w:gridCol w:w="669"/>
        <w:gridCol w:w="670"/>
        <w:gridCol w:w="669"/>
        <w:gridCol w:w="670"/>
        <w:gridCol w:w="939"/>
        <w:gridCol w:w="939"/>
        <w:gridCol w:w="924"/>
        <w:gridCol w:w="924"/>
        <w:gridCol w:w="950"/>
      </w:tblGrid>
      <w:tr w:rsidR="005C4C02" w:rsidRPr="000C3A1D" w14:paraId="14E5E1F6" w14:textId="77777777" w:rsidTr="00F86021">
        <w:trPr>
          <w:trHeight w:val="720"/>
        </w:trPr>
        <w:tc>
          <w:tcPr>
            <w:tcW w:w="1126"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2127AFC9" w14:textId="77777777" w:rsidR="005C4C02" w:rsidRPr="000C3A1D" w:rsidRDefault="005C4C02" w:rsidP="00F86021">
            <w:pPr>
              <w:spacing w:after="0" w:line="240" w:lineRule="auto"/>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Population</w:t>
            </w:r>
          </w:p>
        </w:tc>
        <w:tc>
          <w:tcPr>
            <w:tcW w:w="1046" w:type="dxa"/>
            <w:tcBorders>
              <w:top w:val="single" w:sz="4" w:space="0" w:color="808080"/>
              <w:left w:val="nil"/>
              <w:bottom w:val="single" w:sz="4" w:space="0" w:color="808080"/>
              <w:right w:val="single" w:sz="4" w:space="0" w:color="808080"/>
            </w:tcBorders>
            <w:shd w:val="clear" w:color="auto" w:fill="auto"/>
            <w:vAlign w:val="center"/>
            <w:hideMark/>
          </w:tcPr>
          <w:p w14:paraId="0A8F7216" w14:textId="77777777" w:rsidR="005C4C02" w:rsidRPr="000C3A1D" w:rsidRDefault="005C4C02" w:rsidP="00F86021">
            <w:pPr>
              <w:spacing w:after="0" w:line="240" w:lineRule="auto"/>
              <w:jc w:val="center"/>
              <w:rPr>
                <w:rFonts w:eastAsia="Times New Roman" w:cstheme="minorHAnsi"/>
                <w:b/>
                <w:bCs/>
                <w:sz w:val="20"/>
                <w:szCs w:val="20"/>
                <w:lang w:eastAsia="en-GB"/>
              </w:rPr>
            </w:pPr>
            <w:r w:rsidRPr="000C3A1D">
              <w:rPr>
                <w:rFonts w:eastAsia="Times New Roman" w:cstheme="minorHAnsi"/>
                <w:b/>
                <w:bCs/>
                <w:sz w:val="20"/>
                <w:szCs w:val="20"/>
                <w:lang w:eastAsia="en-GB"/>
              </w:rPr>
              <w:t>Threshold</w:t>
            </w:r>
          </w:p>
        </w:tc>
        <w:tc>
          <w:tcPr>
            <w:tcW w:w="669" w:type="dxa"/>
            <w:tcBorders>
              <w:top w:val="single" w:sz="4" w:space="0" w:color="808080"/>
              <w:left w:val="nil"/>
              <w:bottom w:val="single" w:sz="4" w:space="0" w:color="808080"/>
              <w:right w:val="single" w:sz="4" w:space="0" w:color="808080"/>
            </w:tcBorders>
            <w:shd w:val="clear" w:color="auto" w:fill="auto"/>
            <w:vAlign w:val="center"/>
            <w:hideMark/>
          </w:tcPr>
          <w:p w14:paraId="3C187515"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TP</w:t>
            </w:r>
          </w:p>
        </w:tc>
        <w:tc>
          <w:tcPr>
            <w:tcW w:w="670" w:type="dxa"/>
            <w:tcBorders>
              <w:top w:val="single" w:sz="4" w:space="0" w:color="808080"/>
              <w:left w:val="nil"/>
              <w:bottom w:val="single" w:sz="4" w:space="0" w:color="808080"/>
              <w:right w:val="single" w:sz="4" w:space="0" w:color="808080"/>
            </w:tcBorders>
            <w:shd w:val="clear" w:color="auto" w:fill="auto"/>
            <w:vAlign w:val="center"/>
            <w:hideMark/>
          </w:tcPr>
          <w:p w14:paraId="11507E39"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FP</w:t>
            </w:r>
          </w:p>
        </w:tc>
        <w:tc>
          <w:tcPr>
            <w:tcW w:w="669" w:type="dxa"/>
            <w:tcBorders>
              <w:top w:val="single" w:sz="4" w:space="0" w:color="808080"/>
              <w:left w:val="nil"/>
              <w:bottom w:val="single" w:sz="4" w:space="0" w:color="808080"/>
              <w:right w:val="single" w:sz="4" w:space="0" w:color="808080"/>
            </w:tcBorders>
            <w:shd w:val="clear" w:color="auto" w:fill="auto"/>
            <w:vAlign w:val="center"/>
            <w:hideMark/>
          </w:tcPr>
          <w:p w14:paraId="58071125"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FN</w:t>
            </w:r>
          </w:p>
        </w:tc>
        <w:tc>
          <w:tcPr>
            <w:tcW w:w="670" w:type="dxa"/>
            <w:tcBorders>
              <w:top w:val="single" w:sz="4" w:space="0" w:color="808080"/>
              <w:left w:val="nil"/>
              <w:bottom w:val="single" w:sz="4" w:space="0" w:color="808080"/>
              <w:right w:val="single" w:sz="4" w:space="0" w:color="808080"/>
            </w:tcBorders>
            <w:shd w:val="clear" w:color="auto" w:fill="auto"/>
            <w:vAlign w:val="center"/>
            <w:hideMark/>
          </w:tcPr>
          <w:p w14:paraId="22299A60"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TN</w:t>
            </w:r>
          </w:p>
        </w:tc>
        <w:tc>
          <w:tcPr>
            <w:tcW w:w="939" w:type="dxa"/>
            <w:tcBorders>
              <w:top w:val="single" w:sz="4" w:space="0" w:color="808080"/>
              <w:left w:val="nil"/>
              <w:bottom w:val="single" w:sz="4" w:space="0" w:color="808080"/>
              <w:right w:val="single" w:sz="4" w:space="0" w:color="808080"/>
            </w:tcBorders>
            <w:shd w:val="clear" w:color="auto" w:fill="auto"/>
            <w:vAlign w:val="center"/>
            <w:hideMark/>
          </w:tcPr>
          <w:p w14:paraId="311417DD"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Sens</w:t>
            </w:r>
          </w:p>
        </w:tc>
        <w:tc>
          <w:tcPr>
            <w:tcW w:w="939" w:type="dxa"/>
            <w:tcBorders>
              <w:top w:val="single" w:sz="4" w:space="0" w:color="808080"/>
              <w:left w:val="nil"/>
              <w:bottom w:val="single" w:sz="4" w:space="0" w:color="808080"/>
              <w:right w:val="single" w:sz="4" w:space="0" w:color="808080"/>
            </w:tcBorders>
            <w:shd w:val="clear" w:color="auto" w:fill="auto"/>
            <w:vAlign w:val="center"/>
            <w:hideMark/>
          </w:tcPr>
          <w:p w14:paraId="6AE43B98"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Spec</w:t>
            </w:r>
          </w:p>
        </w:tc>
        <w:tc>
          <w:tcPr>
            <w:tcW w:w="924" w:type="dxa"/>
            <w:tcBorders>
              <w:top w:val="single" w:sz="4" w:space="0" w:color="808080"/>
              <w:left w:val="nil"/>
              <w:bottom w:val="single" w:sz="4" w:space="0" w:color="808080"/>
              <w:right w:val="single" w:sz="4" w:space="0" w:color="808080"/>
            </w:tcBorders>
            <w:shd w:val="clear" w:color="auto" w:fill="auto"/>
            <w:vAlign w:val="center"/>
            <w:hideMark/>
          </w:tcPr>
          <w:p w14:paraId="50CF2CE8"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PPV</w:t>
            </w:r>
          </w:p>
        </w:tc>
        <w:tc>
          <w:tcPr>
            <w:tcW w:w="924" w:type="dxa"/>
            <w:tcBorders>
              <w:top w:val="single" w:sz="4" w:space="0" w:color="808080"/>
              <w:left w:val="nil"/>
              <w:bottom w:val="single" w:sz="4" w:space="0" w:color="808080"/>
              <w:right w:val="single" w:sz="4" w:space="0" w:color="808080"/>
            </w:tcBorders>
            <w:shd w:val="clear" w:color="auto" w:fill="auto"/>
            <w:vAlign w:val="center"/>
            <w:hideMark/>
          </w:tcPr>
          <w:p w14:paraId="36FA8F55"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NPV</w:t>
            </w:r>
          </w:p>
        </w:tc>
        <w:tc>
          <w:tcPr>
            <w:tcW w:w="950" w:type="dxa"/>
            <w:tcBorders>
              <w:top w:val="single" w:sz="4" w:space="0" w:color="808080"/>
              <w:left w:val="nil"/>
              <w:bottom w:val="single" w:sz="4" w:space="0" w:color="808080"/>
              <w:right w:val="single" w:sz="4" w:space="0" w:color="808080"/>
            </w:tcBorders>
            <w:shd w:val="clear" w:color="auto" w:fill="auto"/>
            <w:vAlign w:val="center"/>
            <w:hideMark/>
          </w:tcPr>
          <w:p w14:paraId="45597B8E" w14:textId="77777777" w:rsidR="005C4C02" w:rsidRPr="000C3A1D" w:rsidRDefault="005C4C02" w:rsidP="00F86021">
            <w:pPr>
              <w:spacing w:after="0" w:line="240" w:lineRule="auto"/>
              <w:jc w:val="center"/>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 CD patients missed</w:t>
            </w:r>
          </w:p>
        </w:tc>
      </w:tr>
      <w:tr w:rsidR="005C4C02" w:rsidRPr="000C3A1D" w14:paraId="31BD72C0" w14:textId="77777777" w:rsidTr="00F86021">
        <w:trPr>
          <w:trHeight w:val="300"/>
        </w:trPr>
        <w:tc>
          <w:tcPr>
            <w:tcW w:w="1126"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521A5902" w14:textId="77777777" w:rsidR="005C4C02" w:rsidRPr="000C3A1D" w:rsidRDefault="005C4C02" w:rsidP="00F86021">
            <w:pPr>
              <w:spacing w:after="0" w:line="240" w:lineRule="auto"/>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Children</w:t>
            </w:r>
          </w:p>
        </w:tc>
        <w:tc>
          <w:tcPr>
            <w:tcW w:w="1046" w:type="dxa"/>
            <w:tcBorders>
              <w:top w:val="nil"/>
              <w:left w:val="nil"/>
              <w:bottom w:val="single" w:sz="4" w:space="0" w:color="808080"/>
              <w:right w:val="single" w:sz="4" w:space="0" w:color="808080"/>
            </w:tcBorders>
            <w:shd w:val="clear" w:color="auto" w:fill="auto"/>
            <w:vAlign w:val="center"/>
            <w:hideMark/>
          </w:tcPr>
          <w:p w14:paraId="57D575DF"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eastAsia="Times New Roman" w:hAnsi="Calibri" w:cs="Calibri"/>
                <w:sz w:val="20"/>
                <w:szCs w:val="20"/>
                <w:lang w:eastAsia="en-GB"/>
              </w:rPr>
              <w:t>0</w:t>
            </w:r>
          </w:p>
        </w:tc>
        <w:tc>
          <w:tcPr>
            <w:tcW w:w="669" w:type="dxa"/>
            <w:tcBorders>
              <w:top w:val="nil"/>
              <w:left w:val="nil"/>
              <w:bottom w:val="single" w:sz="4" w:space="0" w:color="808080"/>
              <w:right w:val="single" w:sz="4" w:space="0" w:color="808080"/>
            </w:tcBorders>
            <w:shd w:val="clear" w:color="auto" w:fill="auto"/>
            <w:vAlign w:val="center"/>
            <w:hideMark/>
          </w:tcPr>
          <w:p w14:paraId="3317C52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c>
          <w:tcPr>
            <w:tcW w:w="670" w:type="dxa"/>
            <w:tcBorders>
              <w:top w:val="nil"/>
              <w:left w:val="nil"/>
              <w:bottom w:val="single" w:sz="4" w:space="0" w:color="808080"/>
              <w:right w:val="single" w:sz="4" w:space="0" w:color="808080"/>
            </w:tcBorders>
            <w:shd w:val="clear" w:color="auto" w:fill="auto"/>
            <w:vAlign w:val="center"/>
            <w:hideMark/>
          </w:tcPr>
          <w:p w14:paraId="31F42F0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9900</w:t>
            </w:r>
          </w:p>
        </w:tc>
        <w:tc>
          <w:tcPr>
            <w:tcW w:w="669" w:type="dxa"/>
            <w:tcBorders>
              <w:top w:val="nil"/>
              <w:left w:val="nil"/>
              <w:bottom w:val="single" w:sz="4" w:space="0" w:color="808080"/>
              <w:right w:val="single" w:sz="4" w:space="0" w:color="808080"/>
            </w:tcBorders>
            <w:shd w:val="clear" w:color="auto" w:fill="auto"/>
            <w:vAlign w:val="center"/>
            <w:hideMark/>
          </w:tcPr>
          <w:p w14:paraId="7FBD1E0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670" w:type="dxa"/>
            <w:tcBorders>
              <w:top w:val="nil"/>
              <w:left w:val="nil"/>
              <w:bottom w:val="single" w:sz="4" w:space="0" w:color="808080"/>
              <w:right w:val="single" w:sz="4" w:space="0" w:color="808080"/>
            </w:tcBorders>
            <w:shd w:val="clear" w:color="auto" w:fill="auto"/>
            <w:vAlign w:val="center"/>
            <w:hideMark/>
          </w:tcPr>
          <w:p w14:paraId="1535970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39" w:type="dxa"/>
            <w:tcBorders>
              <w:top w:val="nil"/>
              <w:left w:val="nil"/>
              <w:bottom w:val="single" w:sz="4" w:space="0" w:color="808080"/>
              <w:right w:val="single" w:sz="4" w:space="0" w:color="808080"/>
            </w:tcBorders>
            <w:shd w:val="clear" w:color="auto" w:fill="auto"/>
            <w:vAlign w:val="center"/>
            <w:hideMark/>
          </w:tcPr>
          <w:p w14:paraId="43EFF96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100.0%</w:t>
            </w:r>
          </w:p>
        </w:tc>
        <w:tc>
          <w:tcPr>
            <w:tcW w:w="939" w:type="dxa"/>
            <w:tcBorders>
              <w:top w:val="nil"/>
              <w:left w:val="nil"/>
              <w:bottom w:val="single" w:sz="4" w:space="0" w:color="808080"/>
              <w:right w:val="single" w:sz="4" w:space="0" w:color="808080"/>
            </w:tcBorders>
            <w:shd w:val="clear" w:color="auto" w:fill="auto"/>
            <w:vAlign w:val="center"/>
            <w:hideMark/>
          </w:tcPr>
          <w:p w14:paraId="6840BD8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24" w:type="dxa"/>
            <w:tcBorders>
              <w:top w:val="nil"/>
              <w:left w:val="nil"/>
              <w:bottom w:val="single" w:sz="4" w:space="0" w:color="808080"/>
              <w:right w:val="single" w:sz="4" w:space="0" w:color="808080"/>
            </w:tcBorders>
            <w:shd w:val="clear" w:color="auto" w:fill="auto"/>
            <w:vAlign w:val="center"/>
            <w:hideMark/>
          </w:tcPr>
          <w:p w14:paraId="16B4230A"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924" w:type="dxa"/>
            <w:tcBorders>
              <w:top w:val="nil"/>
              <w:left w:val="nil"/>
              <w:bottom w:val="single" w:sz="4" w:space="0" w:color="808080"/>
              <w:right w:val="single" w:sz="4" w:space="0" w:color="808080"/>
            </w:tcBorders>
            <w:shd w:val="clear" w:color="auto" w:fill="auto"/>
            <w:vAlign w:val="center"/>
            <w:hideMark/>
          </w:tcPr>
          <w:p w14:paraId="17B0EA3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NA</w:t>
            </w:r>
          </w:p>
        </w:tc>
        <w:tc>
          <w:tcPr>
            <w:tcW w:w="950" w:type="dxa"/>
            <w:tcBorders>
              <w:top w:val="nil"/>
              <w:left w:val="nil"/>
              <w:bottom w:val="single" w:sz="4" w:space="0" w:color="808080"/>
              <w:right w:val="single" w:sz="4" w:space="0" w:color="808080"/>
            </w:tcBorders>
            <w:shd w:val="clear" w:color="auto" w:fill="auto"/>
            <w:vAlign w:val="center"/>
            <w:hideMark/>
          </w:tcPr>
          <w:p w14:paraId="7914E5B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r>
      <w:tr w:rsidR="005C4C02" w:rsidRPr="000C3A1D" w14:paraId="550CB7F6"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4BE7FE80"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hideMark/>
          </w:tcPr>
          <w:p w14:paraId="1E1B4AAC"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sz w:val="20"/>
                <w:szCs w:val="20"/>
              </w:rPr>
              <w:t>0.0038</w:t>
            </w:r>
          </w:p>
        </w:tc>
        <w:tc>
          <w:tcPr>
            <w:tcW w:w="669" w:type="dxa"/>
            <w:tcBorders>
              <w:top w:val="nil"/>
              <w:left w:val="nil"/>
              <w:bottom w:val="single" w:sz="4" w:space="0" w:color="808080"/>
              <w:right w:val="single" w:sz="4" w:space="0" w:color="808080"/>
            </w:tcBorders>
            <w:shd w:val="clear" w:color="auto" w:fill="auto"/>
            <w:vAlign w:val="center"/>
            <w:hideMark/>
          </w:tcPr>
          <w:p w14:paraId="180C579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94</w:t>
            </w:r>
          </w:p>
        </w:tc>
        <w:tc>
          <w:tcPr>
            <w:tcW w:w="670" w:type="dxa"/>
            <w:tcBorders>
              <w:top w:val="nil"/>
              <w:left w:val="nil"/>
              <w:bottom w:val="single" w:sz="4" w:space="0" w:color="808080"/>
              <w:right w:val="single" w:sz="4" w:space="0" w:color="808080"/>
            </w:tcBorders>
            <w:shd w:val="clear" w:color="auto" w:fill="auto"/>
            <w:vAlign w:val="center"/>
            <w:hideMark/>
          </w:tcPr>
          <w:p w14:paraId="2C8A058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9179</w:t>
            </w:r>
          </w:p>
        </w:tc>
        <w:tc>
          <w:tcPr>
            <w:tcW w:w="669" w:type="dxa"/>
            <w:tcBorders>
              <w:top w:val="nil"/>
              <w:left w:val="nil"/>
              <w:bottom w:val="single" w:sz="4" w:space="0" w:color="808080"/>
              <w:right w:val="single" w:sz="4" w:space="0" w:color="808080"/>
            </w:tcBorders>
            <w:shd w:val="clear" w:color="auto" w:fill="auto"/>
            <w:vAlign w:val="center"/>
            <w:hideMark/>
          </w:tcPr>
          <w:p w14:paraId="4603615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w:t>
            </w:r>
          </w:p>
        </w:tc>
        <w:tc>
          <w:tcPr>
            <w:tcW w:w="670" w:type="dxa"/>
            <w:tcBorders>
              <w:top w:val="nil"/>
              <w:left w:val="nil"/>
              <w:bottom w:val="single" w:sz="4" w:space="0" w:color="808080"/>
              <w:right w:val="single" w:sz="4" w:space="0" w:color="808080"/>
            </w:tcBorders>
            <w:shd w:val="clear" w:color="auto" w:fill="auto"/>
            <w:vAlign w:val="center"/>
            <w:hideMark/>
          </w:tcPr>
          <w:p w14:paraId="0ABB0BA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721</w:t>
            </w:r>
          </w:p>
        </w:tc>
        <w:tc>
          <w:tcPr>
            <w:tcW w:w="939" w:type="dxa"/>
            <w:tcBorders>
              <w:top w:val="nil"/>
              <w:left w:val="nil"/>
              <w:bottom w:val="single" w:sz="4" w:space="0" w:color="808080"/>
              <w:right w:val="single" w:sz="4" w:space="0" w:color="808080"/>
            </w:tcBorders>
            <w:shd w:val="clear" w:color="auto" w:fill="auto"/>
            <w:vAlign w:val="center"/>
            <w:hideMark/>
          </w:tcPr>
          <w:p w14:paraId="44BA912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93.5%</w:t>
            </w:r>
          </w:p>
        </w:tc>
        <w:tc>
          <w:tcPr>
            <w:tcW w:w="939" w:type="dxa"/>
            <w:tcBorders>
              <w:top w:val="nil"/>
              <w:left w:val="nil"/>
              <w:bottom w:val="single" w:sz="4" w:space="0" w:color="808080"/>
              <w:right w:val="single" w:sz="4" w:space="0" w:color="808080"/>
            </w:tcBorders>
            <w:shd w:val="clear" w:color="auto" w:fill="auto"/>
            <w:vAlign w:val="center"/>
            <w:hideMark/>
          </w:tcPr>
          <w:p w14:paraId="445E972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7.3%</w:t>
            </w:r>
          </w:p>
        </w:tc>
        <w:tc>
          <w:tcPr>
            <w:tcW w:w="924" w:type="dxa"/>
            <w:tcBorders>
              <w:top w:val="nil"/>
              <w:left w:val="nil"/>
              <w:bottom w:val="single" w:sz="4" w:space="0" w:color="808080"/>
              <w:right w:val="single" w:sz="4" w:space="0" w:color="808080"/>
            </w:tcBorders>
            <w:shd w:val="clear" w:color="auto" w:fill="auto"/>
            <w:vAlign w:val="center"/>
            <w:hideMark/>
          </w:tcPr>
          <w:p w14:paraId="7BDA5A4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924" w:type="dxa"/>
            <w:tcBorders>
              <w:top w:val="nil"/>
              <w:left w:val="nil"/>
              <w:bottom w:val="single" w:sz="4" w:space="0" w:color="808080"/>
              <w:right w:val="single" w:sz="4" w:space="0" w:color="808080"/>
            </w:tcBorders>
            <w:shd w:val="clear" w:color="auto" w:fill="auto"/>
            <w:vAlign w:val="center"/>
            <w:hideMark/>
          </w:tcPr>
          <w:p w14:paraId="02C7750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38E21A0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6.5</w:t>
            </w:r>
          </w:p>
        </w:tc>
      </w:tr>
      <w:tr w:rsidR="005C4C02" w:rsidRPr="000C3A1D" w14:paraId="2F0D5148"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63FA4529"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hideMark/>
          </w:tcPr>
          <w:p w14:paraId="133C2C36"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sz w:val="20"/>
                <w:szCs w:val="20"/>
              </w:rPr>
              <w:t>0.0042</w:t>
            </w:r>
          </w:p>
        </w:tc>
        <w:tc>
          <w:tcPr>
            <w:tcW w:w="669" w:type="dxa"/>
            <w:tcBorders>
              <w:top w:val="nil"/>
              <w:left w:val="nil"/>
              <w:bottom w:val="single" w:sz="4" w:space="0" w:color="808080"/>
              <w:right w:val="single" w:sz="4" w:space="0" w:color="808080"/>
            </w:tcBorders>
            <w:shd w:val="clear" w:color="auto" w:fill="auto"/>
            <w:vAlign w:val="center"/>
            <w:hideMark/>
          </w:tcPr>
          <w:p w14:paraId="0678BFD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75</w:t>
            </w:r>
          </w:p>
        </w:tc>
        <w:tc>
          <w:tcPr>
            <w:tcW w:w="670" w:type="dxa"/>
            <w:tcBorders>
              <w:top w:val="nil"/>
              <w:left w:val="nil"/>
              <w:bottom w:val="single" w:sz="4" w:space="0" w:color="808080"/>
              <w:right w:val="single" w:sz="4" w:space="0" w:color="808080"/>
            </w:tcBorders>
            <w:shd w:val="clear" w:color="auto" w:fill="auto"/>
            <w:vAlign w:val="center"/>
            <w:hideMark/>
          </w:tcPr>
          <w:p w14:paraId="6163E1E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6297</w:t>
            </w:r>
          </w:p>
        </w:tc>
        <w:tc>
          <w:tcPr>
            <w:tcW w:w="669" w:type="dxa"/>
            <w:tcBorders>
              <w:top w:val="nil"/>
              <w:left w:val="nil"/>
              <w:bottom w:val="single" w:sz="4" w:space="0" w:color="808080"/>
              <w:right w:val="single" w:sz="4" w:space="0" w:color="808080"/>
            </w:tcBorders>
            <w:shd w:val="clear" w:color="auto" w:fill="auto"/>
            <w:vAlign w:val="center"/>
            <w:hideMark/>
          </w:tcPr>
          <w:p w14:paraId="4FDF775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25</w:t>
            </w:r>
          </w:p>
        </w:tc>
        <w:tc>
          <w:tcPr>
            <w:tcW w:w="670" w:type="dxa"/>
            <w:tcBorders>
              <w:top w:val="nil"/>
              <w:left w:val="nil"/>
              <w:bottom w:val="single" w:sz="4" w:space="0" w:color="808080"/>
              <w:right w:val="single" w:sz="4" w:space="0" w:color="808080"/>
            </w:tcBorders>
            <w:shd w:val="clear" w:color="auto" w:fill="auto"/>
            <w:vAlign w:val="center"/>
            <w:hideMark/>
          </w:tcPr>
          <w:p w14:paraId="4AF17B6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3603</w:t>
            </w:r>
          </w:p>
        </w:tc>
        <w:tc>
          <w:tcPr>
            <w:tcW w:w="939" w:type="dxa"/>
            <w:tcBorders>
              <w:top w:val="nil"/>
              <w:left w:val="nil"/>
              <w:bottom w:val="single" w:sz="4" w:space="0" w:color="808080"/>
              <w:right w:val="single" w:sz="4" w:space="0" w:color="808080"/>
            </w:tcBorders>
            <w:shd w:val="clear" w:color="auto" w:fill="auto"/>
            <w:vAlign w:val="center"/>
            <w:hideMark/>
          </w:tcPr>
          <w:p w14:paraId="2D17E68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74.6%</w:t>
            </w:r>
          </w:p>
        </w:tc>
        <w:tc>
          <w:tcPr>
            <w:tcW w:w="939" w:type="dxa"/>
            <w:tcBorders>
              <w:top w:val="nil"/>
              <w:left w:val="nil"/>
              <w:bottom w:val="single" w:sz="4" w:space="0" w:color="808080"/>
              <w:right w:val="single" w:sz="4" w:space="0" w:color="808080"/>
            </w:tcBorders>
            <w:shd w:val="clear" w:color="auto" w:fill="auto"/>
            <w:vAlign w:val="center"/>
            <w:hideMark/>
          </w:tcPr>
          <w:p w14:paraId="08F28C4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36.4%</w:t>
            </w:r>
          </w:p>
        </w:tc>
        <w:tc>
          <w:tcPr>
            <w:tcW w:w="924" w:type="dxa"/>
            <w:tcBorders>
              <w:top w:val="nil"/>
              <w:left w:val="nil"/>
              <w:bottom w:val="single" w:sz="4" w:space="0" w:color="808080"/>
              <w:right w:val="single" w:sz="4" w:space="0" w:color="808080"/>
            </w:tcBorders>
            <w:shd w:val="clear" w:color="auto" w:fill="auto"/>
            <w:vAlign w:val="center"/>
            <w:hideMark/>
          </w:tcPr>
          <w:p w14:paraId="5BFD2A9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1.2%</w:t>
            </w:r>
          </w:p>
        </w:tc>
        <w:tc>
          <w:tcPr>
            <w:tcW w:w="924" w:type="dxa"/>
            <w:tcBorders>
              <w:top w:val="nil"/>
              <w:left w:val="nil"/>
              <w:bottom w:val="single" w:sz="4" w:space="0" w:color="808080"/>
              <w:right w:val="single" w:sz="4" w:space="0" w:color="808080"/>
            </w:tcBorders>
            <w:shd w:val="clear" w:color="auto" w:fill="auto"/>
            <w:vAlign w:val="center"/>
            <w:hideMark/>
          </w:tcPr>
          <w:p w14:paraId="1A5864D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99.3%</w:t>
            </w:r>
          </w:p>
        </w:tc>
        <w:tc>
          <w:tcPr>
            <w:tcW w:w="950" w:type="dxa"/>
            <w:tcBorders>
              <w:top w:val="nil"/>
              <w:left w:val="nil"/>
              <w:bottom w:val="single" w:sz="4" w:space="0" w:color="808080"/>
              <w:right w:val="single" w:sz="4" w:space="0" w:color="808080"/>
            </w:tcBorders>
            <w:shd w:val="clear" w:color="auto" w:fill="auto"/>
            <w:vAlign w:val="center"/>
            <w:hideMark/>
          </w:tcPr>
          <w:p w14:paraId="4C21282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25.4</w:t>
            </w:r>
          </w:p>
        </w:tc>
      </w:tr>
      <w:tr w:rsidR="005C4C02" w:rsidRPr="000C3A1D" w14:paraId="16092F05"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2CF40216"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hideMark/>
          </w:tcPr>
          <w:p w14:paraId="2800D20C"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sz w:val="20"/>
                <w:szCs w:val="20"/>
              </w:rPr>
              <w:t>0.0077</w:t>
            </w:r>
          </w:p>
        </w:tc>
        <w:tc>
          <w:tcPr>
            <w:tcW w:w="669" w:type="dxa"/>
            <w:tcBorders>
              <w:top w:val="nil"/>
              <w:left w:val="nil"/>
              <w:bottom w:val="single" w:sz="4" w:space="0" w:color="808080"/>
              <w:right w:val="single" w:sz="4" w:space="0" w:color="808080"/>
            </w:tcBorders>
            <w:shd w:val="clear" w:color="auto" w:fill="auto"/>
            <w:vAlign w:val="center"/>
            <w:hideMark/>
          </w:tcPr>
          <w:p w14:paraId="4286D7D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13</w:t>
            </w:r>
          </w:p>
        </w:tc>
        <w:tc>
          <w:tcPr>
            <w:tcW w:w="670" w:type="dxa"/>
            <w:tcBorders>
              <w:top w:val="nil"/>
              <w:left w:val="nil"/>
              <w:bottom w:val="single" w:sz="4" w:space="0" w:color="808080"/>
              <w:right w:val="single" w:sz="4" w:space="0" w:color="808080"/>
            </w:tcBorders>
            <w:shd w:val="clear" w:color="auto" w:fill="auto"/>
            <w:vAlign w:val="center"/>
            <w:hideMark/>
          </w:tcPr>
          <w:p w14:paraId="4A13703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402</w:t>
            </w:r>
          </w:p>
        </w:tc>
        <w:tc>
          <w:tcPr>
            <w:tcW w:w="669" w:type="dxa"/>
            <w:tcBorders>
              <w:top w:val="nil"/>
              <w:left w:val="nil"/>
              <w:bottom w:val="single" w:sz="4" w:space="0" w:color="808080"/>
              <w:right w:val="single" w:sz="4" w:space="0" w:color="808080"/>
            </w:tcBorders>
            <w:shd w:val="clear" w:color="auto" w:fill="auto"/>
            <w:vAlign w:val="center"/>
            <w:hideMark/>
          </w:tcPr>
          <w:p w14:paraId="66C55D7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87</w:t>
            </w:r>
          </w:p>
        </w:tc>
        <w:tc>
          <w:tcPr>
            <w:tcW w:w="670" w:type="dxa"/>
            <w:tcBorders>
              <w:top w:val="nil"/>
              <w:left w:val="nil"/>
              <w:bottom w:val="single" w:sz="4" w:space="0" w:color="808080"/>
              <w:right w:val="single" w:sz="4" w:space="0" w:color="808080"/>
            </w:tcBorders>
            <w:shd w:val="clear" w:color="auto" w:fill="auto"/>
            <w:vAlign w:val="center"/>
            <w:hideMark/>
          </w:tcPr>
          <w:p w14:paraId="3C9EF2B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9498</w:t>
            </w:r>
          </w:p>
        </w:tc>
        <w:tc>
          <w:tcPr>
            <w:tcW w:w="939" w:type="dxa"/>
            <w:tcBorders>
              <w:top w:val="nil"/>
              <w:left w:val="nil"/>
              <w:bottom w:val="single" w:sz="4" w:space="0" w:color="808080"/>
              <w:right w:val="single" w:sz="4" w:space="0" w:color="808080"/>
            </w:tcBorders>
            <w:shd w:val="clear" w:color="auto" w:fill="auto"/>
            <w:vAlign w:val="center"/>
            <w:hideMark/>
          </w:tcPr>
          <w:p w14:paraId="38D1826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12.6%</w:t>
            </w:r>
          </w:p>
        </w:tc>
        <w:tc>
          <w:tcPr>
            <w:tcW w:w="939" w:type="dxa"/>
            <w:tcBorders>
              <w:top w:val="nil"/>
              <w:left w:val="nil"/>
              <w:bottom w:val="single" w:sz="4" w:space="0" w:color="808080"/>
              <w:right w:val="single" w:sz="4" w:space="0" w:color="808080"/>
            </w:tcBorders>
            <w:shd w:val="clear" w:color="auto" w:fill="auto"/>
            <w:vAlign w:val="center"/>
            <w:hideMark/>
          </w:tcPr>
          <w:p w14:paraId="5884D7A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95.9%</w:t>
            </w:r>
          </w:p>
        </w:tc>
        <w:tc>
          <w:tcPr>
            <w:tcW w:w="924" w:type="dxa"/>
            <w:tcBorders>
              <w:top w:val="nil"/>
              <w:left w:val="nil"/>
              <w:bottom w:val="single" w:sz="4" w:space="0" w:color="808080"/>
              <w:right w:val="single" w:sz="4" w:space="0" w:color="808080"/>
            </w:tcBorders>
            <w:shd w:val="clear" w:color="auto" w:fill="auto"/>
            <w:vAlign w:val="center"/>
            <w:hideMark/>
          </w:tcPr>
          <w:p w14:paraId="7B50FB0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3.0%</w:t>
            </w:r>
          </w:p>
        </w:tc>
        <w:tc>
          <w:tcPr>
            <w:tcW w:w="924" w:type="dxa"/>
            <w:tcBorders>
              <w:top w:val="nil"/>
              <w:left w:val="nil"/>
              <w:bottom w:val="single" w:sz="4" w:space="0" w:color="808080"/>
              <w:right w:val="single" w:sz="4" w:space="0" w:color="808080"/>
            </w:tcBorders>
            <w:shd w:val="clear" w:color="auto" w:fill="auto"/>
            <w:vAlign w:val="center"/>
            <w:hideMark/>
          </w:tcPr>
          <w:p w14:paraId="6CBB169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605E204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87.4</w:t>
            </w:r>
          </w:p>
        </w:tc>
      </w:tr>
      <w:tr w:rsidR="005C4C02" w:rsidRPr="000C3A1D" w14:paraId="17A2A916"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795D8384"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hideMark/>
          </w:tcPr>
          <w:p w14:paraId="138B61B5"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sz w:val="20"/>
                <w:szCs w:val="20"/>
              </w:rPr>
              <w:t>0.0170</w:t>
            </w:r>
          </w:p>
        </w:tc>
        <w:tc>
          <w:tcPr>
            <w:tcW w:w="669" w:type="dxa"/>
            <w:tcBorders>
              <w:top w:val="nil"/>
              <w:left w:val="nil"/>
              <w:bottom w:val="single" w:sz="4" w:space="0" w:color="808080"/>
              <w:right w:val="single" w:sz="4" w:space="0" w:color="808080"/>
            </w:tcBorders>
            <w:shd w:val="clear" w:color="auto" w:fill="auto"/>
            <w:vAlign w:val="center"/>
            <w:hideMark/>
          </w:tcPr>
          <w:p w14:paraId="65300EE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670" w:type="dxa"/>
            <w:tcBorders>
              <w:top w:val="nil"/>
              <w:left w:val="nil"/>
              <w:bottom w:val="single" w:sz="4" w:space="0" w:color="808080"/>
              <w:right w:val="single" w:sz="4" w:space="0" w:color="808080"/>
            </w:tcBorders>
            <w:shd w:val="clear" w:color="auto" w:fill="auto"/>
            <w:vAlign w:val="center"/>
            <w:hideMark/>
          </w:tcPr>
          <w:p w14:paraId="7FB7BB6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159</w:t>
            </w:r>
          </w:p>
        </w:tc>
        <w:tc>
          <w:tcPr>
            <w:tcW w:w="669" w:type="dxa"/>
            <w:tcBorders>
              <w:top w:val="nil"/>
              <w:left w:val="nil"/>
              <w:bottom w:val="single" w:sz="4" w:space="0" w:color="808080"/>
              <w:right w:val="single" w:sz="4" w:space="0" w:color="808080"/>
            </w:tcBorders>
            <w:shd w:val="clear" w:color="auto" w:fill="auto"/>
            <w:vAlign w:val="center"/>
            <w:hideMark/>
          </w:tcPr>
          <w:p w14:paraId="469E682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90</w:t>
            </w:r>
          </w:p>
        </w:tc>
        <w:tc>
          <w:tcPr>
            <w:tcW w:w="670" w:type="dxa"/>
            <w:tcBorders>
              <w:top w:val="nil"/>
              <w:left w:val="nil"/>
              <w:bottom w:val="single" w:sz="4" w:space="0" w:color="808080"/>
              <w:right w:val="single" w:sz="4" w:space="0" w:color="808080"/>
            </w:tcBorders>
            <w:shd w:val="clear" w:color="auto" w:fill="auto"/>
            <w:vAlign w:val="center"/>
            <w:hideMark/>
          </w:tcPr>
          <w:p w14:paraId="460F012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9741</w:t>
            </w:r>
          </w:p>
        </w:tc>
        <w:tc>
          <w:tcPr>
            <w:tcW w:w="939" w:type="dxa"/>
            <w:tcBorders>
              <w:top w:val="nil"/>
              <w:left w:val="nil"/>
              <w:bottom w:val="single" w:sz="4" w:space="0" w:color="808080"/>
              <w:right w:val="single" w:sz="4" w:space="0" w:color="808080"/>
            </w:tcBorders>
            <w:shd w:val="clear" w:color="auto" w:fill="auto"/>
            <w:vAlign w:val="center"/>
            <w:hideMark/>
          </w:tcPr>
          <w:p w14:paraId="48AD071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c>
          <w:tcPr>
            <w:tcW w:w="939" w:type="dxa"/>
            <w:tcBorders>
              <w:top w:val="nil"/>
              <w:left w:val="nil"/>
              <w:bottom w:val="single" w:sz="4" w:space="0" w:color="808080"/>
              <w:right w:val="single" w:sz="4" w:space="0" w:color="808080"/>
            </w:tcBorders>
            <w:shd w:val="clear" w:color="auto" w:fill="auto"/>
            <w:vAlign w:val="center"/>
            <w:hideMark/>
          </w:tcPr>
          <w:p w14:paraId="30F6053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98.4%</w:t>
            </w:r>
          </w:p>
        </w:tc>
        <w:tc>
          <w:tcPr>
            <w:tcW w:w="924" w:type="dxa"/>
            <w:tcBorders>
              <w:top w:val="nil"/>
              <w:left w:val="nil"/>
              <w:bottom w:val="single" w:sz="4" w:space="0" w:color="808080"/>
              <w:right w:val="single" w:sz="4" w:space="0" w:color="808080"/>
            </w:tcBorders>
            <w:shd w:val="clear" w:color="auto" w:fill="auto"/>
            <w:vAlign w:val="center"/>
            <w:hideMark/>
          </w:tcPr>
          <w:p w14:paraId="69325B6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5.9%</w:t>
            </w:r>
          </w:p>
        </w:tc>
        <w:tc>
          <w:tcPr>
            <w:tcW w:w="924" w:type="dxa"/>
            <w:tcBorders>
              <w:top w:val="nil"/>
              <w:left w:val="nil"/>
              <w:bottom w:val="single" w:sz="4" w:space="0" w:color="808080"/>
              <w:right w:val="single" w:sz="4" w:space="0" w:color="808080"/>
            </w:tcBorders>
            <w:shd w:val="clear" w:color="auto" w:fill="auto"/>
            <w:vAlign w:val="center"/>
            <w:hideMark/>
          </w:tcPr>
          <w:p w14:paraId="4BEA660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7A57DC1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90</w:t>
            </w:r>
          </w:p>
        </w:tc>
      </w:tr>
      <w:tr w:rsidR="005C4C02" w:rsidRPr="000C3A1D" w14:paraId="7D007F5E"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563D5EEC"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hideMark/>
          </w:tcPr>
          <w:p w14:paraId="0B6F6AD7"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sz w:val="20"/>
                <w:szCs w:val="20"/>
              </w:rPr>
              <w:t>0.0800</w:t>
            </w:r>
          </w:p>
        </w:tc>
        <w:tc>
          <w:tcPr>
            <w:tcW w:w="669" w:type="dxa"/>
            <w:tcBorders>
              <w:top w:val="nil"/>
              <w:left w:val="nil"/>
              <w:bottom w:val="single" w:sz="4" w:space="0" w:color="808080"/>
              <w:right w:val="single" w:sz="4" w:space="0" w:color="808080"/>
            </w:tcBorders>
            <w:shd w:val="clear" w:color="auto" w:fill="auto"/>
            <w:vAlign w:val="center"/>
            <w:hideMark/>
          </w:tcPr>
          <w:p w14:paraId="4C626B2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w:t>
            </w:r>
          </w:p>
        </w:tc>
        <w:tc>
          <w:tcPr>
            <w:tcW w:w="670" w:type="dxa"/>
            <w:tcBorders>
              <w:top w:val="nil"/>
              <w:left w:val="nil"/>
              <w:bottom w:val="single" w:sz="4" w:space="0" w:color="808080"/>
              <w:right w:val="single" w:sz="4" w:space="0" w:color="808080"/>
            </w:tcBorders>
            <w:shd w:val="clear" w:color="auto" w:fill="auto"/>
            <w:vAlign w:val="center"/>
            <w:hideMark/>
          </w:tcPr>
          <w:p w14:paraId="76B6C2F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38</w:t>
            </w:r>
          </w:p>
        </w:tc>
        <w:tc>
          <w:tcPr>
            <w:tcW w:w="669" w:type="dxa"/>
            <w:tcBorders>
              <w:top w:val="nil"/>
              <w:left w:val="nil"/>
              <w:bottom w:val="single" w:sz="4" w:space="0" w:color="808080"/>
              <w:right w:val="single" w:sz="4" w:space="0" w:color="808080"/>
            </w:tcBorders>
            <w:shd w:val="clear" w:color="auto" w:fill="auto"/>
            <w:vAlign w:val="center"/>
            <w:hideMark/>
          </w:tcPr>
          <w:p w14:paraId="5C615B5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95</w:t>
            </w:r>
          </w:p>
        </w:tc>
        <w:tc>
          <w:tcPr>
            <w:tcW w:w="670" w:type="dxa"/>
            <w:tcBorders>
              <w:top w:val="nil"/>
              <w:left w:val="nil"/>
              <w:bottom w:val="single" w:sz="4" w:space="0" w:color="808080"/>
              <w:right w:val="single" w:sz="4" w:space="0" w:color="808080"/>
            </w:tcBorders>
            <w:shd w:val="clear" w:color="auto" w:fill="auto"/>
            <w:vAlign w:val="center"/>
            <w:hideMark/>
          </w:tcPr>
          <w:p w14:paraId="1DFAC11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9862</w:t>
            </w:r>
          </w:p>
        </w:tc>
        <w:tc>
          <w:tcPr>
            <w:tcW w:w="939" w:type="dxa"/>
            <w:tcBorders>
              <w:top w:val="nil"/>
              <w:left w:val="nil"/>
              <w:bottom w:val="single" w:sz="4" w:space="0" w:color="808080"/>
              <w:right w:val="single" w:sz="4" w:space="0" w:color="808080"/>
            </w:tcBorders>
            <w:shd w:val="clear" w:color="auto" w:fill="auto"/>
            <w:vAlign w:val="center"/>
            <w:hideMark/>
          </w:tcPr>
          <w:p w14:paraId="37CEAC6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5.2%</w:t>
            </w:r>
          </w:p>
        </w:tc>
        <w:tc>
          <w:tcPr>
            <w:tcW w:w="939" w:type="dxa"/>
            <w:tcBorders>
              <w:top w:val="nil"/>
              <w:left w:val="nil"/>
              <w:bottom w:val="single" w:sz="4" w:space="0" w:color="808080"/>
              <w:right w:val="single" w:sz="4" w:space="0" w:color="808080"/>
            </w:tcBorders>
            <w:shd w:val="clear" w:color="auto" w:fill="auto"/>
            <w:vAlign w:val="center"/>
            <w:hideMark/>
          </w:tcPr>
          <w:p w14:paraId="0EB8E0D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99.6%</w:t>
            </w:r>
          </w:p>
        </w:tc>
        <w:tc>
          <w:tcPr>
            <w:tcW w:w="924" w:type="dxa"/>
            <w:tcBorders>
              <w:top w:val="nil"/>
              <w:left w:val="nil"/>
              <w:bottom w:val="single" w:sz="4" w:space="0" w:color="808080"/>
              <w:right w:val="single" w:sz="4" w:space="0" w:color="808080"/>
            </w:tcBorders>
            <w:shd w:val="clear" w:color="auto" w:fill="auto"/>
            <w:vAlign w:val="center"/>
            <w:hideMark/>
          </w:tcPr>
          <w:p w14:paraId="6596170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12.1%</w:t>
            </w:r>
          </w:p>
        </w:tc>
        <w:tc>
          <w:tcPr>
            <w:tcW w:w="924" w:type="dxa"/>
            <w:tcBorders>
              <w:top w:val="nil"/>
              <w:left w:val="nil"/>
              <w:bottom w:val="single" w:sz="4" w:space="0" w:color="808080"/>
              <w:right w:val="single" w:sz="4" w:space="0" w:color="808080"/>
            </w:tcBorders>
            <w:shd w:val="clear" w:color="auto" w:fill="auto"/>
            <w:vAlign w:val="center"/>
            <w:hideMark/>
          </w:tcPr>
          <w:p w14:paraId="49FF5F7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w:t>
            </w:r>
          </w:p>
        </w:tc>
        <w:tc>
          <w:tcPr>
            <w:tcW w:w="950" w:type="dxa"/>
            <w:tcBorders>
              <w:top w:val="nil"/>
              <w:left w:val="nil"/>
              <w:bottom w:val="single" w:sz="4" w:space="0" w:color="808080"/>
              <w:right w:val="single" w:sz="4" w:space="0" w:color="808080"/>
            </w:tcBorders>
            <w:shd w:val="clear" w:color="auto" w:fill="auto"/>
            <w:vAlign w:val="center"/>
            <w:hideMark/>
          </w:tcPr>
          <w:p w14:paraId="64FDF08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94.8</w:t>
            </w:r>
          </w:p>
        </w:tc>
      </w:tr>
      <w:tr w:rsidR="005C4C02" w:rsidRPr="000C3A1D" w14:paraId="15B07042" w14:textId="77777777" w:rsidTr="00F86021">
        <w:trPr>
          <w:trHeight w:val="300"/>
        </w:trPr>
        <w:tc>
          <w:tcPr>
            <w:tcW w:w="1126"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172338AE" w14:textId="77777777" w:rsidR="005C4C02" w:rsidRPr="000C3A1D" w:rsidRDefault="005C4C02" w:rsidP="00F86021">
            <w:pPr>
              <w:spacing w:after="0" w:line="240" w:lineRule="auto"/>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Women</w:t>
            </w:r>
          </w:p>
        </w:tc>
        <w:tc>
          <w:tcPr>
            <w:tcW w:w="1046" w:type="dxa"/>
            <w:tcBorders>
              <w:top w:val="nil"/>
              <w:left w:val="nil"/>
              <w:bottom w:val="single" w:sz="4" w:space="0" w:color="808080"/>
              <w:right w:val="single" w:sz="4" w:space="0" w:color="808080"/>
            </w:tcBorders>
            <w:shd w:val="clear" w:color="auto" w:fill="auto"/>
            <w:vAlign w:val="center"/>
            <w:hideMark/>
          </w:tcPr>
          <w:p w14:paraId="3D4224AE"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eastAsia="Times New Roman" w:hAnsi="Calibri" w:cs="Calibri"/>
                <w:sz w:val="20"/>
                <w:szCs w:val="20"/>
                <w:lang w:eastAsia="en-GB"/>
              </w:rPr>
              <w:t>0</w:t>
            </w:r>
          </w:p>
        </w:tc>
        <w:tc>
          <w:tcPr>
            <w:tcW w:w="669" w:type="dxa"/>
            <w:tcBorders>
              <w:top w:val="nil"/>
              <w:left w:val="nil"/>
              <w:bottom w:val="single" w:sz="4" w:space="0" w:color="808080"/>
              <w:right w:val="single" w:sz="4" w:space="0" w:color="808080"/>
            </w:tcBorders>
            <w:shd w:val="clear" w:color="auto" w:fill="auto"/>
            <w:vAlign w:val="center"/>
            <w:hideMark/>
          </w:tcPr>
          <w:p w14:paraId="2D860D4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c>
          <w:tcPr>
            <w:tcW w:w="670" w:type="dxa"/>
            <w:tcBorders>
              <w:top w:val="nil"/>
              <w:left w:val="nil"/>
              <w:bottom w:val="single" w:sz="4" w:space="0" w:color="808080"/>
              <w:right w:val="single" w:sz="4" w:space="0" w:color="808080"/>
            </w:tcBorders>
            <w:shd w:val="clear" w:color="auto" w:fill="auto"/>
            <w:vAlign w:val="center"/>
            <w:hideMark/>
          </w:tcPr>
          <w:p w14:paraId="0AB7AC5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9900</w:t>
            </w:r>
          </w:p>
        </w:tc>
        <w:tc>
          <w:tcPr>
            <w:tcW w:w="669" w:type="dxa"/>
            <w:tcBorders>
              <w:top w:val="nil"/>
              <w:left w:val="nil"/>
              <w:bottom w:val="single" w:sz="4" w:space="0" w:color="808080"/>
              <w:right w:val="single" w:sz="4" w:space="0" w:color="808080"/>
            </w:tcBorders>
            <w:shd w:val="clear" w:color="auto" w:fill="auto"/>
            <w:vAlign w:val="center"/>
            <w:hideMark/>
          </w:tcPr>
          <w:p w14:paraId="435A654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670" w:type="dxa"/>
            <w:tcBorders>
              <w:top w:val="nil"/>
              <w:left w:val="nil"/>
              <w:bottom w:val="single" w:sz="4" w:space="0" w:color="808080"/>
              <w:right w:val="single" w:sz="4" w:space="0" w:color="808080"/>
            </w:tcBorders>
            <w:shd w:val="clear" w:color="auto" w:fill="auto"/>
            <w:vAlign w:val="center"/>
            <w:hideMark/>
          </w:tcPr>
          <w:p w14:paraId="7DEB79E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39" w:type="dxa"/>
            <w:tcBorders>
              <w:top w:val="nil"/>
              <w:left w:val="nil"/>
              <w:bottom w:val="single" w:sz="4" w:space="0" w:color="808080"/>
              <w:right w:val="single" w:sz="4" w:space="0" w:color="808080"/>
            </w:tcBorders>
            <w:shd w:val="clear" w:color="auto" w:fill="auto"/>
            <w:vAlign w:val="center"/>
            <w:hideMark/>
          </w:tcPr>
          <w:p w14:paraId="4DB0867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100.0%</w:t>
            </w:r>
          </w:p>
        </w:tc>
        <w:tc>
          <w:tcPr>
            <w:tcW w:w="939" w:type="dxa"/>
            <w:tcBorders>
              <w:top w:val="nil"/>
              <w:left w:val="nil"/>
              <w:bottom w:val="single" w:sz="4" w:space="0" w:color="808080"/>
              <w:right w:val="single" w:sz="4" w:space="0" w:color="808080"/>
            </w:tcBorders>
            <w:shd w:val="clear" w:color="auto" w:fill="auto"/>
            <w:vAlign w:val="center"/>
            <w:hideMark/>
          </w:tcPr>
          <w:p w14:paraId="082313F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24" w:type="dxa"/>
            <w:tcBorders>
              <w:top w:val="nil"/>
              <w:left w:val="nil"/>
              <w:bottom w:val="single" w:sz="4" w:space="0" w:color="808080"/>
              <w:right w:val="single" w:sz="4" w:space="0" w:color="808080"/>
            </w:tcBorders>
            <w:shd w:val="clear" w:color="auto" w:fill="auto"/>
            <w:vAlign w:val="center"/>
            <w:hideMark/>
          </w:tcPr>
          <w:p w14:paraId="44C0CB6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924" w:type="dxa"/>
            <w:tcBorders>
              <w:top w:val="nil"/>
              <w:left w:val="nil"/>
              <w:bottom w:val="single" w:sz="4" w:space="0" w:color="808080"/>
              <w:right w:val="single" w:sz="4" w:space="0" w:color="808080"/>
            </w:tcBorders>
            <w:shd w:val="clear" w:color="auto" w:fill="auto"/>
            <w:vAlign w:val="center"/>
            <w:hideMark/>
          </w:tcPr>
          <w:p w14:paraId="334934B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NA</w:t>
            </w:r>
          </w:p>
        </w:tc>
        <w:tc>
          <w:tcPr>
            <w:tcW w:w="950" w:type="dxa"/>
            <w:tcBorders>
              <w:top w:val="nil"/>
              <w:left w:val="nil"/>
              <w:bottom w:val="single" w:sz="4" w:space="0" w:color="808080"/>
              <w:right w:val="single" w:sz="4" w:space="0" w:color="808080"/>
            </w:tcBorders>
            <w:shd w:val="clear" w:color="auto" w:fill="auto"/>
            <w:vAlign w:val="center"/>
            <w:hideMark/>
          </w:tcPr>
          <w:p w14:paraId="1A78570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r>
      <w:tr w:rsidR="005C4C02" w:rsidRPr="000C3A1D" w14:paraId="561222E6"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2CCF41FC"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26232841"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0.0053</w:t>
            </w:r>
          </w:p>
        </w:tc>
        <w:tc>
          <w:tcPr>
            <w:tcW w:w="669" w:type="dxa"/>
            <w:tcBorders>
              <w:top w:val="nil"/>
              <w:left w:val="nil"/>
              <w:bottom w:val="single" w:sz="4" w:space="0" w:color="808080"/>
              <w:right w:val="single" w:sz="4" w:space="0" w:color="808080"/>
            </w:tcBorders>
            <w:shd w:val="clear" w:color="auto" w:fill="auto"/>
            <w:vAlign w:val="center"/>
            <w:hideMark/>
          </w:tcPr>
          <w:p w14:paraId="2DCC18E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32</w:t>
            </w:r>
          </w:p>
        </w:tc>
        <w:tc>
          <w:tcPr>
            <w:tcW w:w="670" w:type="dxa"/>
            <w:tcBorders>
              <w:top w:val="nil"/>
              <w:left w:val="nil"/>
              <w:bottom w:val="single" w:sz="4" w:space="0" w:color="808080"/>
              <w:right w:val="single" w:sz="4" w:space="0" w:color="808080"/>
            </w:tcBorders>
            <w:shd w:val="clear" w:color="auto" w:fill="auto"/>
            <w:vAlign w:val="center"/>
            <w:hideMark/>
          </w:tcPr>
          <w:p w14:paraId="09E5621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2327</w:t>
            </w:r>
          </w:p>
        </w:tc>
        <w:tc>
          <w:tcPr>
            <w:tcW w:w="669" w:type="dxa"/>
            <w:tcBorders>
              <w:top w:val="nil"/>
              <w:left w:val="nil"/>
              <w:bottom w:val="single" w:sz="4" w:space="0" w:color="808080"/>
              <w:right w:val="single" w:sz="4" w:space="0" w:color="808080"/>
            </w:tcBorders>
            <w:shd w:val="clear" w:color="auto" w:fill="auto"/>
            <w:vAlign w:val="center"/>
            <w:hideMark/>
          </w:tcPr>
          <w:p w14:paraId="3FEFE67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68</w:t>
            </w:r>
          </w:p>
        </w:tc>
        <w:tc>
          <w:tcPr>
            <w:tcW w:w="670" w:type="dxa"/>
            <w:tcBorders>
              <w:top w:val="nil"/>
              <w:left w:val="nil"/>
              <w:bottom w:val="single" w:sz="4" w:space="0" w:color="808080"/>
              <w:right w:val="single" w:sz="4" w:space="0" w:color="808080"/>
            </w:tcBorders>
            <w:shd w:val="clear" w:color="auto" w:fill="auto"/>
            <w:vAlign w:val="center"/>
            <w:hideMark/>
          </w:tcPr>
          <w:p w14:paraId="7169373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7574</w:t>
            </w:r>
          </w:p>
        </w:tc>
        <w:tc>
          <w:tcPr>
            <w:tcW w:w="939" w:type="dxa"/>
            <w:tcBorders>
              <w:top w:val="nil"/>
              <w:left w:val="nil"/>
              <w:bottom w:val="single" w:sz="4" w:space="0" w:color="808080"/>
              <w:right w:val="single" w:sz="4" w:space="0" w:color="808080"/>
            </w:tcBorders>
            <w:shd w:val="clear" w:color="auto" w:fill="auto"/>
            <w:vAlign w:val="center"/>
            <w:hideMark/>
          </w:tcPr>
          <w:p w14:paraId="6C78774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32.2%</w:t>
            </w:r>
          </w:p>
        </w:tc>
        <w:tc>
          <w:tcPr>
            <w:tcW w:w="939" w:type="dxa"/>
            <w:tcBorders>
              <w:top w:val="nil"/>
              <w:left w:val="nil"/>
              <w:bottom w:val="single" w:sz="4" w:space="0" w:color="808080"/>
              <w:right w:val="single" w:sz="4" w:space="0" w:color="808080"/>
            </w:tcBorders>
            <w:shd w:val="clear" w:color="auto" w:fill="auto"/>
            <w:vAlign w:val="center"/>
            <w:hideMark/>
          </w:tcPr>
          <w:p w14:paraId="6485868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76.5%</w:t>
            </w:r>
          </w:p>
        </w:tc>
        <w:tc>
          <w:tcPr>
            <w:tcW w:w="924" w:type="dxa"/>
            <w:tcBorders>
              <w:top w:val="nil"/>
              <w:left w:val="nil"/>
              <w:bottom w:val="single" w:sz="4" w:space="0" w:color="808080"/>
              <w:right w:val="single" w:sz="4" w:space="0" w:color="808080"/>
            </w:tcBorders>
            <w:shd w:val="clear" w:color="auto" w:fill="auto"/>
            <w:vAlign w:val="center"/>
            <w:hideMark/>
          </w:tcPr>
          <w:p w14:paraId="71870D3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1.4%</w:t>
            </w:r>
          </w:p>
        </w:tc>
        <w:tc>
          <w:tcPr>
            <w:tcW w:w="924" w:type="dxa"/>
            <w:tcBorders>
              <w:top w:val="nil"/>
              <w:left w:val="nil"/>
              <w:bottom w:val="single" w:sz="4" w:space="0" w:color="808080"/>
              <w:right w:val="single" w:sz="4" w:space="0" w:color="808080"/>
            </w:tcBorders>
            <w:shd w:val="clear" w:color="auto" w:fill="auto"/>
            <w:vAlign w:val="center"/>
            <w:hideMark/>
          </w:tcPr>
          <w:p w14:paraId="6512A97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17FCBE0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67.8</w:t>
            </w:r>
          </w:p>
        </w:tc>
      </w:tr>
      <w:tr w:rsidR="005C4C02" w:rsidRPr="000C3A1D" w14:paraId="528A17B1"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10D1B909"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58B43BD3"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0.0062</w:t>
            </w:r>
          </w:p>
        </w:tc>
        <w:tc>
          <w:tcPr>
            <w:tcW w:w="669" w:type="dxa"/>
            <w:tcBorders>
              <w:top w:val="nil"/>
              <w:left w:val="nil"/>
              <w:bottom w:val="single" w:sz="4" w:space="0" w:color="808080"/>
              <w:right w:val="single" w:sz="4" w:space="0" w:color="808080"/>
            </w:tcBorders>
            <w:shd w:val="clear" w:color="auto" w:fill="auto"/>
            <w:vAlign w:val="center"/>
            <w:hideMark/>
          </w:tcPr>
          <w:p w14:paraId="1567F84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14</w:t>
            </w:r>
          </w:p>
        </w:tc>
        <w:tc>
          <w:tcPr>
            <w:tcW w:w="670" w:type="dxa"/>
            <w:tcBorders>
              <w:top w:val="nil"/>
              <w:left w:val="nil"/>
              <w:bottom w:val="single" w:sz="4" w:space="0" w:color="808080"/>
              <w:right w:val="single" w:sz="4" w:space="0" w:color="808080"/>
            </w:tcBorders>
            <w:shd w:val="clear" w:color="auto" w:fill="auto"/>
            <w:vAlign w:val="center"/>
            <w:hideMark/>
          </w:tcPr>
          <w:p w14:paraId="50AC817A"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683</w:t>
            </w:r>
          </w:p>
        </w:tc>
        <w:tc>
          <w:tcPr>
            <w:tcW w:w="669" w:type="dxa"/>
            <w:tcBorders>
              <w:top w:val="nil"/>
              <w:left w:val="nil"/>
              <w:bottom w:val="single" w:sz="4" w:space="0" w:color="808080"/>
              <w:right w:val="single" w:sz="4" w:space="0" w:color="808080"/>
            </w:tcBorders>
            <w:shd w:val="clear" w:color="auto" w:fill="auto"/>
            <w:vAlign w:val="center"/>
            <w:hideMark/>
          </w:tcPr>
          <w:p w14:paraId="04EFFC5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86</w:t>
            </w:r>
          </w:p>
        </w:tc>
        <w:tc>
          <w:tcPr>
            <w:tcW w:w="670" w:type="dxa"/>
            <w:tcBorders>
              <w:top w:val="nil"/>
              <w:left w:val="nil"/>
              <w:bottom w:val="single" w:sz="4" w:space="0" w:color="808080"/>
              <w:right w:val="single" w:sz="4" w:space="0" w:color="808080"/>
            </w:tcBorders>
            <w:shd w:val="clear" w:color="auto" w:fill="auto"/>
            <w:vAlign w:val="center"/>
            <w:hideMark/>
          </w:tcPr>
          <w:p w14:paraId="05AF5E7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9217</w:t>
            </w:r>
          </w:p>
        </w:tc>
        <w:tc>
          <w:tcPr>
            <w:tcW w:w="939" w:type="dxa"/>
            <w:tcBorders>
              <w:top w:val="nil"/>
              <w:left w:val="nil"/>
              <w:bottom w:val="single" w:sz="4" w:space="0" w:color="808080"/>
              <w:right w:val="single" w:sz="4" w:space="0" w:color="808080"/>
            </w:tcBorders>
            <w:shd w:val="clear" w:color="auto" w:fill="auto"/>
            <w:vAlign w:val="center"/>
            <w:hideMark/>
          </w:tcPr>
          <w:p w14:paraId="33C8713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14.3%</w:t>
            </w:r>
          </w:p>
        </w:tc>
        <w:tc>
          <w:tcPr>
            <w:tcW w:w="939" w:type="dxa"/>
            <w:tcBorders>
              <w:top w:val="nil"/>
              <w:left w:val="nil"/>
              <w:bottom w:val="single" w:sz="4" w:space="0" w:color="808080"/>
              <w:right w:val="single" w:sz="4" w:space="0" w:color="808080"/>
            </w:tcBorders>
            <w:shd w:val="clear" w:color="auto" w:fill="auto"/>
            <w:vAlign w:val="center"/>
            <w:hideMark/>
          </w:tcPr>
          <w:p w14:paraId="2BAC57B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93.1%</w:t>
            </w:r>
          </w:p>
        </w:tc>
        <w:tc>
          <w:tcPr>
            <w:tcW w:w="924" w:type="dxa"/>
            <w:tcBorders>
              <w:top w:val="nil"/>
              <w:left w:val="nil"/>
              <w:bottom w:val="single" w:sz="4" w:space="0" w:color="808080"/>
              <w:right w:val="single" w:sz="4" w:space="0" w:color="808080"/>
            </w:tcBorders>
            <w:shd w:val="clear" w:color="auto" w:fill="auto"/>
            <w:vAlign w:val="center"/>
            <w:hideMark/>
          </w:tcPr>
          <w:p w14:paraId="0DAD262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2.0%</w:t>
            </w:r>
          </w:p>
        </w:tc>
        <w:tc>
          <w:tcPr>
            <w:tcW w:w="924" w:type="dxa"/>
            <w:tcBorders>
              <w:top w:val="nil"/>
              <w:left w:val="nil"/>
              <w:bottom w:val="single" w:sz="4" w:space="0" w:color="808080"/>
              <w:right w:val="single" w:sz="4" w:space="0" w:color="808080"/>
            </w:tcBorders>
            <w:shd w:val="clear" w:color="auto" w:fill="auto"/>
            <w:vAlign w:val="center"/>
            <w:hideMark/>
          </w:tcPr>
          <w:p w14:paraId="469D5B8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1DCCBD6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85.7</w:t>
            </w:r>
          </w:p>
        </w:tc>
      </w:tr>
      <w:tr w:rsidR="005C4C02" w:rsidRPr="000C3A1D" w14:paraId="0BF40432"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16BBB8E5"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3AB0E9A1"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0.0233</w:t>
            </w:r>
          </w:p>
        </w:tc>
        <w:tc>
          <w:tcPr>
            <w:tcW w:w="669" w:type="dxa"/>
            <w:tcBorders>
              <w:top w:val="nil"/>
              <w:left w:val="nil"/>
              <w:bottom w:val="single" w:sz="4" w:space="0" w:color="808080"/>
              <w:right w:val="single" w:sz="4" w:space="0" w:color="808080"/>
            </w:tcBorders>
            <w:shd w:val="clear" w:color="auto" w:fill="auto"/>
            <w:vAlign w:val="center"/>
            <w:hideMark/>
          </w:tcPr>
          <w:p w14:paraId="2FFFA76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w:t>
            </w:r>
          </w:p>
        </w:tc>
        <w:tc>
          <w:tcPr>
            <w:tcW w:w="670" w:type="dxa"/>
            <w:tcBorders>
              <w:top w:val="nil"/>
              <w:left w:val="nil"/>
              <w:bottom w:val="single" w:sz="4" w:space="0" w:color="808080"/>
              <w:right w:val="single" w:sz="4" w:space="0" w:color="808080"/>
            </w:tcBorders>
            <w:shd w:val="clear" w:color="auto" w:fill="auto"/>
            <w:vAlign w:val="center"/>
            <w:hideMark/>
          </w:tcPr>
          <w:p w14:paraId="7DC69D3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158</w:t>
            </w:r>
          </w:p>
        </w:tc>
        <w:tc>
          <w:tcPr>
            <w:tcW w:w="669" w:type="dxa"/>
            <w:tcBorders>
              <w:top w:val="nil"/>
              <w:left w:val="nil"/>
              <w:bottom w:val="single" w:sz="4" w:space="0" w:color="808080"/>
              <w:right w:val="single" w:sz="4" w:space="0" w:color="808080"/>
            </w:tcBorders>
            <w:shd w:val="clear" w:color="auto" w:fill="auto"/>
            <w:vAlign w:val="center"/>
            <w:hideMark/>
          </w:tcPr>
          <w:p w14:paraId="478A560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93</w:t>
            </w:r>
          </w:p>
        </w:tc>
        <w:tc>
          <w:tcPr>
            <w:tcW w:w="670" w:type="dxa"/>
            <w:tcBorders>
              <w:top w:val="nil"/>
              <w:left w:val="nil"/>
              <w:bottom w:val="single" w:sz="4" w:space="0" w:color="808080"/>
              <w:right w:val="single" w:sz="4" w:space="0" w:color="808080"/>
            </w:tcBorders>
            <w:shd w:val="clear" w:color="auto" w:fill="auto"/>
            <w:vAlign w:val="center"/>
            <w:hideMark/>
          </w:tcPr>
          <w:p w14:paraId="2112CE3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9742</w:t>
            </w:r>
          </w:p>
        </w:tc>
        <w:tc>
          <w:tcPr>
            <w:tcW w:w="939" w:type="dxa"/>
            <w:tcBorders>
              <w:top w:val="nil"/>
              <w:left w:val="nil"/>
              <w:bottom w:val="single" w:sz="4" w:space="0" w:color="808080"/>
              <w:right w:val="single" w:sz="4" w:space="0" w:color="808080"/>
            </w:tcBorders>
            <w:shd w:val="clear" w:color="auto" w:fill="auto"/>
            <w:vAlign w:val="center"/>
            <w:hideMark/>
          </w:tcPr>
          <w:p w14:paraId="697DE9F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7.2%</w:t>
            </w:r>
          </w:p>
        </w:tc>
        <w:tc>
          <w:tcPr>
            <w:tcW w:w="939" w:type="dxa"/>
            <w:tcBorders>
              <w:top w:val="nil"/>
              <w:left w:val="nil"/>
              <w:bottom w:val="single" w:sz="4" w:space="0" w:color="808080"/>
              <w:right w:val="single" w:sz="4" w:space="0" w:color="808080"/>
            </w:tcBorders>
            <w:shd w:val="clear" w:color="auto" w:fill="auto"/>
            <w:vAlign w:val="center"/>
            <w:hideMark/>
          </w:tcPr>
          <w:p w14:paraId="1E86C98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98.4%</w:t>
            </w:r>
          </w:p>
        </w:tc>
        <w:tc>
          <w:tcPr>
            <w:tcW w:w="924" w:type="dxa"/>
            <w:tcBorders>
              <w:top w:val="nil"/>
              <w:left w:val="nil"/>
              <w:bottom w:val="single" w:sz="4" w:space="0" w:color="808080"/>
              <w:right w:val="single" w:sz="4" w:space="0" w:color="808080"/>
            </w:tcBorders>
            <w:shd w:val="clear" w:color="auto" w:fill="auto"/>
            <w:vAlign w:val="center"/>
            <w:hideMark/>
          </w:tcPr>
          <w:p w14:paraId="33EF385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4.5%</w:t>
            </w:r>
          </w:p>
        </w:tc>
        <w:tc>
          <w:tcPr>
            <w:tcW w:w="924" w:type="dxa"/>
            <w:tcBorders>
              <w:top w:val="nil"/>
              <w:left w:val="nil"/>
              <w:bottom w:val="single" w:sz="4" w:space="0" w:color="808080"/>
              <w:right w:val="single" w:sz="4" w:space="0" w:color="808080"/>
            </w:tcBorders>
            <w:shd w:val="clear" w:color="auto" w:fill="auto"/>
            <w:vAlign w:val="center"/>
            <w:hideMark/>
          </w:tcPr>
          <w:p w14:paraId="7B50F65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6C080D5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92.8</w:t>
            </w:r>
          </w:p>
        </w:tc>
      </w:tr>
      <w:tr w:rsidR="005C4C02" w:rsidRPr="000C3A1D" w14:paraId="3B70510F"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2B5199F4"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748BEA6C"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0.1070</w:t>
            </w:r>
          </w:p>
        </w:tc>
        <w:tc>
          <w:tcPr>
            <w:tcW w:w="669" w:type="dxa"/>
            <w:tcBorders>
              <w:top w:val="nil"/>
              <w:left w:val="nil"/>
              <w:bottom w:val="single" w:sz="4" w:space="0" w:color="808080"/>
              <w:right w:val="single" w:sz="4" w:space="0" w:color="808080"/>
            </w:tcBorders>
            <w:shd w:val="clear" w:color="auto" w:fill="auto"/>
            <w:vAlign w:val="center"/>
            <w:hideMark/>
          </w:tcPr>
          <w:p w14:paraId="36AD27B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w:t>
            </w:r>
          </w:p>
        </w:tc>
        <w:tc>
          <w:tcPr>
            <w:tcW w:w="670" w:type="dxa"/>
            <w:tcBorders>
              <w:top w:val="nil"/>
              <w:left w:val="nil"/>
              <w:bottom w:val="single" w:sz="4" w:space="0" w:color="808080"/>
              <w:right w:val="single" w:sz="4" w:space="0" w:color="808080"/>
            </w:tcBorders>
            <w:shd w:val="clear" w:color="auto" w:fill="auto"/>
            <w:vAlign w:val="center"/>
            <w:hideMark/>
          </w:tcPr>
          <w:p w14:paraId="2BD8B84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20</w:t>
            </w:r>
          </w:p>
        </w:tc>
        <w:tc>
          <w:tcPr>
            <w:tcW w:w="669" w:type="dxa"/>
            <w:tcBorders>
              <w:top w:val="nil"/>
              <w:left w:val="nil"/>
              <w:bottom w:val="single" w:sz="4" w:space="0" w:color="808080"/>
              <w:right w:val="single" w:sz="4" w:space="0" w:color="808080"/>
            </w:tcBorders>
            <w:shd w:val="clear" w:color="auto" w:fill="auto"/>
            <w:vAlign w:val="center"/>
            <w:hideMark/>
          </w:tcPr>
          <w:p w14:paraId="342127E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w:t>
            </w:r>
          </w:p>
        </w:tc>
        <w:tc>
          <w:tcPr>
            <w:tcW w:w="670" w:type="dxa"/>
            <w:tcBorders>
              <w:top w:val="nil"/>
              <w:left w:val="nil"/>
              <w:bottom w:val="single" w:sz="4" w:space="0" w:color="808080"/>
              <w:right w:val="single" w:sz="4" w:space="0" w:color="808080"/>
            </w:tcBorders>
            <w:shd w:val="clear" w:color="auto" w:fill="auto"/>
            <w:vAlign w:val="center"/>
            <w:hideMark/>
          </w:tcPr>
          <w:p w14:paraId="7704625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9880</w:t>
            </w:r>
          </w:p>
        </w:tc>
        <w:tc>
          <w:tcPr>
            <w:tcW w:w="939" w:type="dxa"/>
            <w:tcBorders>
              <w:top w:val="nil"/>
              <w:left w:val="nil"/>
              <w:bottom w:val="single" w:sz="4" w:space="0" w:color="808080"/>
              <w:right w:val="single" w:sz="4" w:space="0" w:color="808080"/>
            </w:tcBorders>
            <w:shd w:val="clear" w:color="auto" w:fill="auto"/>
            <w:vAlign w:val="center"/>
            <w:hideMark/>
          </w:tcPr>
          <w:p w14:paraId="7E3CAD5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1.7%</w:t>
            </w:r>
          </w:p>
        </w:tc>
        <w:tc>
          <w:tcPr>
            <w:tcW w:w="939" w:type="dxa"/>
            <w:tcBorders>
              <w:top w:val="nil"/>
              <w:left w:val="nil"/>
              <w:bottom w:val="single" w:sz="4" w:space="0" w:color="808080"/>
              <w:right w:val="single" w:sz="4" w:space="0" w:color="808080"/>
            </w:tcBorders>
            <w:shd w:val="clear" w:color="auto" w:fill="auto"/>
            <w:vAlign w:val="center"/>
            <w:hideMark/>
          </w:tcPr>
          <w:p w14:paraId="78D3D75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99.8%</w:t>
            </w:r>
          </w:p>
        </w:tc>
        <w:tc>
          <w:tcPr>
            <w:tcW w:w="924" w:type="dxa"/>
            <w:tcBorders>
              <w:top w:val="nil"/>
              <w:left w:val="nil"/>
              <w:bottom w:val="single" w:sz="4" w:space="0" w:color="808080"/>
              <w:right w:val="single" w:sz="4" w:space="0" w:color="808080"/>
            </w:tcBorders>
            <w:shd w:val="clear" w:color="auto" w:fill="auto"/>
            <w:vAlign w:val="center"/>
            <w:hideMark/>
          </w:tcPr>
          <w:p w14:paraId="71FA4AD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7.1%</w:t>
            </w:r>
          </w:p>
        </w:tc>
        <w:tc>
          <w:tcPr>
            <w:tcW w:w="924" w:type="dxa"/>
            <w:tcBorders>
              <w:top w:val="nil"/>
              <w:left w:val="nil"/>
              <w:bottom w:val="single" w:sz="4" w:space="0" w:color="808080"/>
              <w:right w:val="single" w:sz="4" w:space="0" w:color="808080"/>
            </w:tcBorders>
            <w:shd w:val="clear" w:color="auto" w:fill="auto"/>
            <w:vAlign w:val="center"/>
            <w:hideMark/>
          </w:tcPr>
          <w:p w14:paraId="2A156F7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w:t>
            </w:r>
          </w:p>
        </w:tc>
        <w:tc>
          <w:tcPr>
            <w:tcW w:w="950" w:type="dxa"/>
            <w:tcBorders>
              <w:top w:val="nil"/>
              <w:left w:val="nil"/>
              <w:bottom w:val="single" w:sz="4" w:space="0" w:color="808080"/>
              <w:right w:val="single" w:sz="4" w:space="0" w:color="808080"/>
            </w:tcBorders>
            <w:shd w:val="clear" w:color="auto" w:fill="auto"/>
            <w:vAlign w:val="center"/>
            <w:hideMark/>
          </w:tcPr>
          <w:p w14:paraId="1362415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98.3</w:t>
            </w:r>
          </w:p>
        </w:tc>
      </w:tr>
      <w:tr w:rsidR="005C4C02" w:rsidRPr="000C3A1D" w14:paraId="6C0014DD"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5EE292BA"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3523C116"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0.7550</w:t>
            </w:r>
          </w:p>
        </w:tc>
        <w:tc>
          <w:tcPr>
            <w:tcW w:w="669" w:type="dxa"/>
            <w:tcBorders>
              <w:top w:val="nil"/>
              <w:left w:val="nil"/>
              <w:bottom w:val="single" w:sz="4" w:space="0" w:color="808080"/>
              <w:right w:val="single" w:sz="4" w:space="0" w:color="808080"/>
            </w:tcBorders>
            <w:shd w:val="clear" w:color="auto" w:fill="auto"/>
            <w:vAlign w:val="center"/>
            <w:hideMark/>
          </w:tcPr>
          <w:p w14:paraId="37B348D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670" w:type="dxa"/>
            <w:tcBorders>
              <w:top w:val="nil"/>
              <w:left w:val="nil"/>
              <w:bottom w:val="single" w:sz="4" w:space="0" w:color="808080"/>
              <w:right w:val="single" w:sz="4" w:space="0" w:color="808080"/>
            </w:tcBorders>
            <w:shd w:val="clear" w:color="auto" w:fill="auto"/>
            <w:vAlign w:val="center"/>
            <w:hideMark/>
          </w:tcPr>
          <w:p w14:paraId="73FDACB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669" w:type="dxa"/>
            <w:tcBorders>
              <w:top w:val="nil"/>
              <w:left w:val="nil"/>
              <w:bottom w:val="single" w:sz="4" w:space="0" w:color="808080"/>
              <w:right w:val="single" w:sz="4" w:space="0" w:color="808080"/>
            </w:tcBorders>
            <w:shd w:val="clear" w:color="auto" w:fill="auto"/>
            <w:vAlign w:val="center"/>
            <w:hideMark/>
          </w:tcPr>
          <w:p w14:paraId="65D75E5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c>
          <w:tcPr>
            <w:tcW w:w="670" w:type="dxa"/>
            <w:tcBorders>
              <w:top w:val="nil"/>
              <w:left w:val="nil"/>
              <w:bottom w:val="single" w:sz="4" w:space="0" w:color="808080"/>
              <w:right w:val="single" w:sz="4" w:space="0" w:color="808080"/>
            </w:tcBorders>
            <w:shd w:val="clear" w:color="auto" w:fill="auto"/>
            <w:vAlign w:val="center"/>
            <w:hideMark/>
          </w:tcPr>
          <w:p w14:paraId="124C020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9900</w:t>
            </w:r>
          </w:p>
        </w:tc>
        <w:tc>
          <w:tcPr>
            <w:tcW w:w="939" w:type="dxa"/>
            <w:tcBorders>
              <w:top w:val="nil"/>
              <w:left w:val="nil"/>
              <w:bottom w:val="single" w:sz="4" w:space="0" w:color="808080"/>
              <w:right w:val="single" w:sz="4" w:space="0" w:color="808080"/>
            </w:tcBorders>
            <w:shd w:val="clear" w:color="auto" w:fill="auto"/>
            <w:vAlign w:val="center"/>
            <w:hideMark/>
          </w:tcPr>
          <w:p w14:paraId="08F7BEFD"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0.0%</w:t>
            </w:r>
          </w:p>
        </w:tc>
        <w:tc>
          <w:tcPr>
            <w:tcW w:w="939" w:type="dxa"/>
            <w:tcBorders>
              <w:top w:val="nil"/>
              <w:left w:val="nil"/>
              <w:bottom w:val="single" w:sz="4" w:space="0" w:color="808080"/>
              <w:right w:val="single" w:sz="4" w:space="0" w:color="808080"/>
            </w:tcBorders>
            <w:shd w:val="clear" w:color="auto" w:fill="auto"/>
            <w:vAlign w:val="center"/>
            <w:hideMark/>
          </w:tcPr>
          <w:p w14:paraId="2366929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100.0%</w:t>
            </w:r>
          </w:p>
        </w:tc>
        <w:tc>
          <w:tcPr>
            <w:tcW w:w="924" w:type="dxa"/>
            <w:tcBorders>
              <w:top w:val="nil"/>
              <w:left w:val="nil"/>
              <w:bottom w:val="single" w:sz="4" w:space="0" w:color="808080"/>
              <w:right w:val="single" w:sz="4" w:space="0" w:color="808080"/>
            </w:tcBorders>
            <w:shd w:val="clear" w:color="auto" w:fill="auto"/>
            <w:vAlign w:val="center"/>
            <w:hideMark/>
          </w:tcPr>
          <w:p w14:paraId="3112FB9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6.2%</w:t>
            </w:r>
          </w:p>
        </w:tc>
        <w:tc>
          <w:tcPr>
            <w:tcW w:w="924" w:type="dxa"/>
            <w:tcBorders>
              <w:top w:val="nil"/>
              <w:left w:val="nil"/>
              <w:bottom w:val="single" w:sz="4" w:space="0" w:color="808080"/>
              <w:right w:val="single" w:sz="4" w:space="0" w:color="808080"/>
            </w:tcBorders>
            <w:shd w:val="clear" w:color="auto" w:fill="auto"/>
            <w:vAlign w:val="center"/>
            <w:hideMark/>
          </w:tcPr>
          <w:p w14:paraId="404B451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w:t>
            </w:r>
          </w:p>
        </w:tc>
        <w:tc>
          <w:tcPr>
            <w:tcW w:w="950" w:type="dxa"/>
            <w:tcBorders>
              <w:top w:val="nil"/>
              <w:left w:val="nil"/>
              <w:bottom w:val="single" w:sz="4" w:space="0" w:color="808080"/>
              <w:right w:val="single" w:sz="4" w:space="0" w:color="808080"/>
            </w:tcBorders>
            <w:shd w:val="clear" w:color="auto" w:fill="auto"/>
            <w:vAlign w:val="center"/>
            <w:hideMark/>
          </w:tcPr>
          <w:p w14:paraId="22A6971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r>
      <w:tr w:rsidR="005C4C02" w:rsidRPr="000C3A1D" w14:paraId="15DF0780" w14:textId="77777777" w:rsidTr="00F86021">
        <w:trPr>
          <w:trHeight w:val="300"/>
        </w:trPr>
        <w:tc>
          <w:tcPr>
            <w:tcW w:w="1126" w:type="dxa"/>
            <w:vMerge w:val="restart"/>
            <w:tcBorders>
              <w:top w:val="nil"/>
              <w:left w:val="single" w:sz="4" w:space="0" w:color="808080"/>
              <w:bottom w:val="single" w:sz="4" w:space="0" w:color="808080"/>
              <w:right w:val="single" w:sz="4" w:space="0" w:color="808080"/>
            </w:tcBorders>
            <w:shd w:val="clear" w:color="auto" w:fill="auto"/>
            <w:vAlign w:val="center"/>
            <w:hideMark/>
          </w:tcPr>
          <w:p w14:paraId="5A2D609D" w14:textId="77777777" w:rsidR="005C4C02" w:rsidRPr="000C3A1D" w:rsidRDefault="005C4C02" w:rsidP="00F86021">
            <w:pPr>
              <w:spacing w:after="0" w:line="240" w:lineRule="auto"/>
              <w:rPr>
                <w:rFonts w:eastAsia="Times New Roman" w:cstheme="minorHAnsi"/>
                <w:b/>
                <w:bCs/>
                <w:color w:val="000000"/>
                <w:sz w:val="20"/>
                <w:szCs w:val="20"/>
                <w:lang w:eastAsia="en-GB"/>
              </w:rPr>
            </w:pPr>
            <w:r w:rsidRPr="000C3A1D">
              <w:rPr>
                <w:rFonts w:eastAsia="Times New Roman" w:cstheme="minorHAnsi"/>
                <w:b/>
                <w:bCs/>
                <w:color w:val="000000"/>
                <w:sz w:val="20"/>
                <w:szCs w:val="20"/>
                <w:lang w:eastAsia="en-GB"/>
              </w:rPr>
              <w:t>Men</w:t>
            </w:r>
          </w:p>
        </w:tc>
        <w:tc>
          <w:tcPr>
            <w:tcW w:w="1046" w:type="dxa"/>
            <w:tcBorders>
              <w:top w:val="nil"/>
              <w:left w:val="nil"/>
              <w:bottom w:val="single" w:sz="4" w:space="0" w:color="808080"/>
              <w:right w:val="single" w:sz="4" w:space="0" w:color="808080"/>
            </w:tcBorders>
            <w:shd w:val="clear" w:color="auto" w:fill="auto"/>
            <w:vAlign w:val="center"/>
            <w:hideMark/>
          </w:tcPr>
          <w:p w14:paraId="19E04A78"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eastAsia="Times New Roman" w:hAnsi="Calibri" w:cs="Calibri"/>
                <w:sz w:val="20"/>
                <w:szCs w:val="20"/>
                <w:lang w:eastAsia="en-GB"/>
              </w:rPr>
              <w:t>0</w:t>
            </w:r>
          </w:p>
        </w:tc>
        <w:tc>
          <w:tcPr>
            <w:tcW w:w="669" w:type="dxa"/>
            <w:tcBorders>
              <w:top w:val="nil"/>
              <w:left w:val="nil"/>
              <w:bottom w:val="single" w:sz="4" w:space="0" w:color="808080"/>
              <w:right w:val="single" w:sz="4" w:space="0" w:color="808080"/>
            </w:tcBorders>
            <w:shd w:val="clear" w:color="auto" w:fill="auto"/>
            <w:vAlign w:val="center"/>
            <w:hideMark/>
          </w:tcPr>
          <w:p w14:paraId="4C95927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w:t>
            </w:r>
          </w:p>
        </w:tc>
        <w:tc>
          <w:tcPr>
            <w:tcW w:w="670" w:type="dxa"/>
            <w:tcBorders>
              <w:top w:val="nil"/>
              <w:left w:val="nil"/>
              <w:bottom w:val="single" w:sz="4" w:space="0" w:color="808080"/>
              <w:right w:val="single" w:sz="4" w:space="0" w:color="808080"/>
            </w:tcBorders>
            <w:shd w:val="clear" w:color="auto" w:fill="auto"/>
            <w:vAlign w:val="center"/>
            <w:hideMark/>
          </w:tcPr>
          <w:p w14:paraId="2121CEC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9900</w:t>
            </w:r>
          </w:p>
        </w:tc>
        <w:tc>
          <w:tcPr>
            <w:tcW w:w="669" w:type="dxa"/>
            <w:tcBorders>
              <w:top w:val="nil"/>
              <w:left w:val="nil"/>
              <w:bottom w:val="single" w:sz="4" w:space="0" w:color="808080"/>
              <w:right w:val="single" w:sz="4" w:space="0" w:color="808080"/>
            </w:tcBorders>
            <w:shd w:val="clear" w:color="auto" w:fill="auto"/>
            <w:vAlign w:val="center"/>
            <w:hideMark/>
          </w:tcPr>
          <w:p w14:paraId="290599E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670" w:type="dxa"/>
            <w:tcBorders>
              <w:top w:val="nil"/>
              <w:left w:val="nil"/>
              <w:bottom w:val="single" w:sz="4" w:space="0" w:color="808080"/>
              <w:right w:val="single" w:sz="4" w:space="0" w:color="808080"/>
            </w:tcBorders>
            <w:shd w:val="clear" w:color="auto" w:fill="auto"/>
            <w:vAlign w:val="center"/>
            <w:hideMark/>
          </w:tcPr>
          <w:p w14:paraId="56EF14C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39" w:type="dxa"/>
            <w:tcBorders>
              <w:top w:val="nil"/>
              <w:left w:val="nil"/>
              <w:bottom w:val="single" w:sz="4" w:space="0" w:color="808080"/>
              <w:right w:val="single" w:sz="4" w:space="0" w:color="808080"/>
            </w:tcBorders>
            <w:shd w:val="clear" w:color="auto" w:fill="auto"/>
            <w:vAlign w:val="center"/>
            <w:hideMark/>
          </w:tcPr>
          <w:p w14:paraId="2CFDF86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100.0%</w:t>
            </w:r>
          </w:p>
        </w:tc>
        <w:tc>
          <w:tcPr>
            <w:tcW w:w="939" w:type="dxa"/>
            <w:tcBorders>
              <w:top w:val="nil"/>
              <w:left w:val="nil"/>
              <w:bottom w:val="single" w:sz="4" w:space="0" w:color="808080"/>
              <w:right w:val="single" w:sz="4" w:space="0" w:color="808080"/>
            </w:tcBorders>
            <w:shd w:val="clear" w:color="auto" w:fill="auto"/>
            <w:vAlign w:val="center"/>
            <w:hideMark/>
          </w:tcPr>
          <w:p w14:paraId="262F71E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c>
          <w:tcPr>
            <w:tcW w:w="924" w:type="dxa"/>
            <w:tcBorders>
              <w:top w:val="nil"/>
              <w:left w:val="nil"/>
              <w:bottom w:val="single" w:sz="4" w:space="0" w:color="808080"/>
              <w:right w:val="single" w:sz="4" w:space="0" w:color="808080"/>
            </w:tcBorders>
            <w:shd w:val="clear" w:color="auto" w:fill="auto"/>
            <w:vAlign w:val="center"/>
            <w:hideMark/>
          </w:tcPr>
          <w:p w14:paraId="053115F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924" w:type="dxa"/>
            <w:tcBorders>
              <w:top w:val="nil"/>
              <w:left w:val="nil"/>
              <w:bottom w:val="single" w:sz="4" w:space="0" w:color="808080"/>
              <w:right w:val="single" w:sz="4" w:space="0" w:color="808080"/>
            </w:tcBorders>
            <w:shd w:val="clear" w:color="auto" w:fill="auto"/>
            <w:vAlign w:val="center"/>
            <w:hideMark/>
          </w:tcPr>
          <w:p w14:paraId="4723776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NA</w:t>
            </w:r>
          </w:p>
        </w:tc>
        <w:tc>
          <w:tcPr>
            <w:tcW w:w="950" w:type="dxa"/>
            <w:tcBorders>
              <w:top w:val="nil"/>
              <w:left w:val="nil"/>
              <w:bottom w:val="single" w:sz="4" w:space="0" w:color="808080"/>
              <w:right w:val="single" w:sz="4" w:space="0" w:color="808080"/>
            </w:tcBorders>
            <w:shd w:val="clear" w:color="auto" w:fill="auto"/>
            <w:vAlign w:val="center"/>
            <w:hideMark/>
          </w:tcPr>
          <w:p w14:paraId="36A93EE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0</w:t>
            </w:r>
          </w:p>
        </w:tc>
      </w:tr>
      <w:tr w:rsidR="005C4C02" w:rsidRPr="000C3A1D" w14:paraId="05AC620C"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282F7C56"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40C1C9FB"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0.007</w:t>
            </w:r>
          </w:p>
        </w:tc>
        <w:tc>
          <w:tcPr>
            <w:tcW w:w="669" w:type="dxa"/>
            <w:tcBorders>
              <w:top w:val="nil"/>
              <w:left w:val="nil"/>
              <w:bottom w:val="single" w:sz="4" w:space="0" w:color="808080"/>
              <w:right w:val="single" w:sz="4" w:space="0" w:color="808080"/>
            </w:tcBorders>
            <w:shd w:val="clear" w:color="auto" w:fill="auto"/>
            <w:vAlign w:val="center"/>
            <w:hideMark/>
          </w:tcPr>
          <w:p w14:paraId="656E7AB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64</w:t>
            </w:r>
          </w:p>
        </w:tc>
        <w:tc>
          <w:tcPr>
            <w:tcW w:w="670" w:type="dxa"/>
            <w:tcBorders>
              <w:top w:val="nil"/>
              <w:left w:val="nil"/>
              <w:bottom w:val="single" w:sz="4" w:space="0" w:color="808080"/>
              <w:right w:val="single" w:sz="4" w:space="0" w:color="808080"/>
            </w:tcBorders>
            <w:shd w:val="clear" w:color="auto" w:fill="auto"/>
            <w:vAlign w:val="center"/>
            <w:hideMark/>
          </w:tcPr>
          <w:p w14:paraId="5A67E60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4623</w:t>
            </w:r>
          </w:p>
        </w:tc>
        <w:tc>
          <w:tcPr>
            <w:tcW w:w="669" w:type="dxa"/>
            <w:tcBorders>
              <w:top w:val="nil"/>
              <w:left w:val="nil"/>
              <w:bottom w:val="single" w:sz="4" w:space="0" w:color="808080"/>
              <w:right w:val="single" w:sz="4" w:space="0" w:color="808080"/>
            </w:tcBorders>
            <w:shd w:val="clear" w:color="auto" w:fill="auto"/>
            <w:vAlign w:val="center"/>
            <w:hideMark/>
          </w:tcPr>
          <w:p w14:paraId="5EF1537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36</w:t>
            </w:r>
          </w:p>
        </w:tc>
        <w:tc>
          <w:tcPr>
            <w:tcW w:w="670" w:type="dxa"/>
            <w:tcBorders>
              <w:top w:val="nil"/>
              <w:left w:val="nil"/>
              <w:bottom w:val="single" w:sz="4" w:space="0" w:color="808080"/>
              <w:right w:val="single" w:sz="4" w:space="0" w:color="808080"/>
            </w:tcBorders>
            <w:shd w:val="clear" w:color="auto" w:fill="auto"/>
            <w:vAlign w:val="center"/>
            <w:hideMark/>
          </w:tcPr>
          <w:p w14:paraId="6B1B044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5277</w:t>
            </w:r>
          </w:p>
        </w:tc>
        <w:tc>
          <w:tcPr>
            <w:tcW w:w="939" w:type="dxa"/>
            <w:tcBorders>
              <w:top w:val="nil"/>
              <w:left w:val="nil"/>
              <w:bottom w:val="single" w:sz="4" w:space="0" w:color="808080"/>
              <w:right w:val="single" w:sz="4" w:space="0" w:color="808080"/>
            </w:tcBorders>
            <w:shd w:val="clear" w:color="auto" w:fill="auto"/>
            <w:vAlign w:val="center"/>
            <w:hideMark/>
          </w:tcPr>
          <w:p w14:paraId="067FAC5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64.3%</w:t>
            </w:r>
          </w:p>
        </w:tc>
        <w:tc>
          <w:tcPr>
            <w:tcW w:w="939" w:type="dxa"/>
            <w:tcBorders>
              <w:top w:val="nil"/>
              <w:left w:val="nil"/>
              <w:bottom w:val="single" w:sz="4" w:space="0" w:color="808080"/>
              <w:right w:val="single" w:sz="4" w:space="0" w:color="808080"/>
            </w:tcBorders>
            <w:shd w:val="clear" w:color="auto" w:fill="auto"/>
            <w:vAlign w:val="center"/>
            <w:hideMark/>
          </w:tcPr>
          <w:p w14:paraId="6B02BD4C"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53.3%</w:t>
            </w:r>
          </w:p>
        </w:tc>
        <w:tc>
          <w:tcPr>
            <w:tcW w:w="924" w:type="dxa"/>
            <w:tcBorders>
              <w:top w:val="nil"/>
              <w:left w:val="nil"/>
              <w:bottom w:val="single" w:sz="4" w:space="0" w:color="808080"/>
              <w:right w:val="single" w:sz="4" w:space="0" w:color="808080"/>
            </w:tcBorders>
            <w:shd w:val="clear" w:color="auto" w:fill="auto"/>
            <w:vAlign w:val="center"/>
            <w:hideMark/>
          </w:tcPr>
          <w:p w14:paraId="632501F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1.4%</w:t>
            </w:r>
          </w:p>
        </w:tc>
        <w:tc>
          <w:tcPr>
            <w:tcW w:w="924" w:type="dxa"/>
            <w:tcBorders>
              <w:top w:val="nil"/>
              <w:left w:val="nil"/>
              <w:bottom w:val="single" w:sz="4" w:space="0" w:color="808080"/>
              <w:right w:val="single" w:sz="4" w:space="0" w:color="808080"/>
            </w:tcBorders>
            <w:shd w:val="clear" w:color="auto" w:fill="auto"/>
            <w:vAlign w:val="center"/>
            <w:hideMark/>
          </w:tcPr>
          <w:p w14:paraId="1DC88C2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99.3%</w:t>
            </w:r>
          </w:p>
        </w:tc>
        <w:tc>
          <w:tcPr>
            <w:tcW w:w="950" w:type="dxa"/>
            <w:tcBorders>
              <w:top w:val="nil"/>
              <w:left w:val="nil"/>
              <w:bottom w:val="single" w:sz="4" w:space="0" w:color="808080"/>
              <w:right w:val="single" w:sz="4" w:space="0" w:color="808080"/>
            </w:tcBorders>
            <w:shd w:val="clear" w:color="auto" w:fill="auto"/>
            <w:vAlign w:val="center"/>
            <w:hideMark/>
          </w:tcPr>
          <w:p w14:paraId="31B4F1C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35.7</w:t>
            </w:r>
          </w:p>
        </w:tc>
      </w:tr>
      <w:tr w:rsidR="005C4C02" w:rsidRPr="000C3A1D" w14:paraId="6AA856D4"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413A1869"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6CC75ADE"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0.008</w:t>
            </w:r>
          </w:p>
        </w:tc>
        <w:tc>
          <w:tcPr>
            <w:tcW w:w="669" w:type="dxa"/>
            <w:tcBorders>
              <w:top w:val="nil"/>
              <w:left w:val="nil"/>
              <w:bottom w:val="single" w:sz="4" w:space="0" w:color="808080"/>
              <w:right w:val="single" w:sz="4" w:space="0" w:color="808080"/>
            </w:tcBorders>
            <w:shd w:val="clear" w:color="auto" w:fill="auto"/>
            <w:vAlign w:val="center"/>
            <w:hideMark/>
          </w:tcPr>
          <w:p w14:paraId="36F5F7FA"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42</w:t>
            </w:r>
          </w:p>
        </w:tc>
        <w:tc>
          <w:tcPr>
            <w:tcW w:w="670" w:type="dxa"/>
            <w:tcBorders>
              <w:top w:val="nil"/>
              <w:left w:val="nil"/>
              <w:bottom w:val="single" w:sz="4" w:space="0" w:color="808080"/>
              <w:right w:val="single" w:sz="4" w:space="0" w:color="808080"/>
            </w:tcBorders>
            <w:shd w:val="clear" w:color="auto" w:fill="auto"/>
            <w:vAlign w:val="center"/>
            <w:hideMark/>
          </w:tcPr>
          <w:p w14:paraId="1536F91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2376</w:t>
            </w:r>
          </w:p>
        </w:tc>
        <w:tc>
          <w:tcPr>
            <w:tcW w:w="669" w:type="dxa"/>
            <w:tcBorders>
              <w:top w:val="nil"/>
              <w:left w:val="nil"/>
              <w:bottom w:val="single" w:sz="4" w:space="0" w:color="808080"/>
              <w:right w:val="single" w:sz="4" w:space="0" w:color="808080"/>
            </w:tcBorders>
            <w:shd w:val="clear" w:color="auto" w:fill="auto"/>
            <w:vAlign w:val="center"/>
            <w:hideMark/>
          </w:tcPr>
          <w:p w14:paraId="78FE442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58</w:t>
            </w:r>
          </w:p>
        </w:tc>
        <w:tc>
          <w:tcPr>
            <w:tcW w:w="670" w:type="dxa"/>
            <w:tcBorders>
              <w:top w:val="nil"/>
              <w:left w:val="nil"/>
              <w:bottom w:val="single" w:sz="4" w:space="0" w:color="808080"/>
              <w:right w:val="single" w:sz="4" w:space="0" w:color="808080"/>
            </w:tcBorders>
            <w:shd w:val="clear" w:color="auto" w:fill="auto"/>
            <w:vAlign w:val="center"/>
            <w:hideMark/>
          </w:tcPr>
          <w:p w14:paraId="4D88E4AE"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7524</w:t>
            </w:r>
          </w:p>
        </w:tc>
        <w:tc>
          <w:tcPr>
            <w:tcW w:w="939" w:type="dxa"/>
            <w:tcBorders>
              <w:top w:val="nil"/>
              <w:left w:val="nil"/>
              <w:bottom w:val="single" w:sz="4" w:space="0" w:color="808080"/>
              <w:right w:val="single" w:sz="4" w:space="0" w:color="808080"/>
            </w:tcBorders>
            <w:shd w:val="clear" w:color="auto" w:fill="auto"/>
            <w:vAlign w:val="center"/>
            <w:hideMark/>
          </w:tcPr>
          <w:p w14:paraId="17B9CBB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41.6%</w:t>
            </w:r>
          </w:p>
        </w:tc>
        <w:tc>
          <w:tcPr>
            <w:tcW w:w="939" w:type="dxa"/>
            <w:tcBorders>
              <w:top w:val="nil"/>
              <w:left w:val="nil"/>
              <w:bottom w:val="single" w:sz="4" w:space="0" w:color="808080"/>
              <w:right w:val="single" w:sz="4" w:space="0" w:color="808080"/>
            </w:tcBorders>
            <w:shd w:val="clear" w:color="auto" w:fill="auto"/>
            <w:vAlign w:val="center"/>
            <w:hideMark/>
          </w:tcPr>
          <w:p w14:paraId="4DC80F0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76.0%</w:t>
            </w:r>
          </w:p>
        </w:tc>
        <w:tc>
          <w:tcPr>
            <w:tcW w:w="924" w:type="dxa"/>
            <w:tcBorders>
              <w:top w:val="nil"/>
              <w:left w:val="nil"/>
              <w:bottom w:val="single" w:sz="4" w:space="0" w:color="808080"/>
              <w:right w:val="single" w:sz="4" w:space="0" w:color="808080"/>
            </w:tcBorders>
            <w:shd w:val="clear" w:color="auto" w:fill="auto"/>
            <w:vAlign w:val="center"/>
            <w:hideMark/>
          </w:tcPr>
          <w:p w14:paraId="0EF5758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1.7%</w:t>
            </w:r>
          </w:p>
        </w:tc>
        <w:tc>
          <w:tcPr>
            <w:tcW w:w="924" w:type="dxa"/>
            <w:tcBorders>
              <w:top w:val="nil"/>
              <w:left w:val="nil"/>
              <w:bottom w:val="single" w:sz="4" w:space="0" w:color="808080"/>
              <w:right w:val="single" w:sz="4" w:space="0" w:color="808080"/>
            </w:tcBorders>
            <w:shd w:val="clear" w:color="auto" w:fill="auto"/>
            <w:vAlign w:val="center"/>
            <w:hideMark/>
          </w:tcPr>
          <w:p w14:paraId="79ABA5A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99.2%</w:t>
            </w:r>
          </w:p>
        </w:tc>
        <w:tc>
          <w:tcPr>
            <w:tcW w:w="950" w:type="dxa"/>
            <w:tcBorders>
              <w:top w:val="nil"/>
              <w:left w:val="nil"/>
              <w:bottom w:val="single" w:sz="4" w:space="0" w:color="808080"/>
              <w:right w:val="single" w:sz="4" w:space="0" w:color="808080"/>
            </w:tcBorders>
            <w:shd w:val="clear" w:color="auto" w:fill="auto"/>
            <w:vAlign w:val="center"/>
            <w:hideMark/>
          </w:tcPr>
          <w:p w14:paraId="48FE9BB5"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58.4</w:t>
            </w:r>
          </w:p>
        </w:tc>
      </w:tr>
      <w:tr w:rsidR="005C4C02" w:rsidRPr="000C3A1D" w14:paraId="28D21892"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5717E851"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4B385B71"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0.0185</w:t>
            </w:r>
          </w:p>
        </w:tc>
        <w:tc>
          <w:tcPr>
            <w:tcW w:w="669" w:type="dxa"/>
            <w:tcBorders>
              <w:top w:val="nil"/>
              <w:left w:val="nil"/>
              <w:bottom w:val="single" w:sz="4" w:space="0" w:color="808080"/>
              <w:right w:val="single" w:sz="4" w:space="0" w:color="808080"/>
            </w:tcBorders>
            <w:shd w:val="clear" w:color="auto" w:fill="auto"/>
            <w:vAlign w:val="center"/>
            <w:hideMark/>
          </w:tcPr>
          <w:p w14:paraId="4C18ED18"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11</w:t>
            </w:r>
          </w:p>
        </w:tc>
        <w:tc>
          <w:tcPr>
            <w:tcW w:w="670" w:type="dxa"/>
            <w:tcBorders>
              <w:top w:val="nil"/>
              <w:left w:val="nil"/>
              <w:bottom w:val="single" w:sz="4" w:space="0" w:color="808080"/>
              <w:right w:val="single" w:sz="4" w:space="0" w:color="808080"/>
            </w:tcBorders>
            <w:shd w:val="clear" w:color="auto" w:fill="auto"/>
            <w:vAlign w:val="center"/>
            <w:hideMark/>
          </w:tcPr>
          <w:p w14:paraId="734C92E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228</w:t>
            </w:r>
          </w:p>
        </w:tc>
        <w:tc>
          <w:tcPr>
            <w:tcW w:w="669" w:type="dxa"/>
            <w:tcBorders>
              <w:top w:val="nil"/>
              <w:left w:val="nil"/>
              <w:bottom w:val="single" w:sz="4" w:space="0" w:color="808080"/>
              <w:right w:val="single" w:sz="4" w:space="0" w:color="808080"/>
            </w:tcBorders>
            <w:shd w:val="clear" w:color="auto" w:fill="auto"/>
            <w:vAlign w:val="center"/>
            <w:hideMark/>
          </w:tcPr>
          <w:p w14:paraId="5BAC71F2"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89</w:t>
            </w:r>
          </w:p>
        </w:tc>
        <w:tc>
          <w:tcPr>
            <w:tcW w:w="670" w:type="dxa"/>
            <w:tcBorders>
              <w:top w:val="nil"/>
              <w:left w:val="nil"/>
              <w:bottom w:val="single" w:sz="4" w:space="0" w:color="808080"/>
              <w:right w:val="single" w:sz="4" w:space="0" w:color="808080"/>
            </w:tcBorders>
            <w:shd w:val="clear" w:color="auto" w:fill="auto"/>
            <w:vAlign w:val="center"/>
            <w:hideMark/>
          </w:tcPr>
          <w:p w14:paraId="019C3C7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9672</w:t>
            </w:r>
          </w:p>
        </w:tc>
        <w:tc>
          <w:tcPr>
            <w:tcW w:w="939" w:type="dxa"/>
            <w:tcBorders>
              <w:top w:val="nil"/>
              <w:left w:val="nil"/>
              <w:bottom w:val="single" w:sz="4" w:space="0" w:color="808080"/>
              <w:right w:val="single" w:sz="4" w:space="0" w:color="808080"/>
            </w:tcBorders>
            <w:shd w:val="clear" w:color="auto" w:fill="auto"/>
            <w:vAlign w:val="center"/>
            <w:hideMark/>
          </w:tcPr>
          <w:p w14:paraId="61C7614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10.8%</w:t>
            </w:r>
          </w:p>
        </w:tc>
        <w:tc>
          <w:tcPr>
            <w:tcW w:w="939" w:type="dxa"/>
            <w:tcBorders>
              <w:top w:val="nil"/>
              <w:left w:val="nil"/>
              <w:bottom w:val="single" w:sz="4" w:space="0" w:color="808080"/>
              <w:right w:val="single" w:sz="4" w:space="0" w:color="808080"/>
            </w:tcBorders>
            <w:shd w:val="clear" w:color="auto" w:fill="auto"/>
            <w:vAlign w:val="center"/>
            <w:hideMark/>
          </w:tcPr>
          <w:p w14:paraId="38EB399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97.7%</w:t>
            </w:r>
          </w:p>
        </w:tc>
        <w:tc>
          <w:tcPr>
            <w:tcW w:w="924" w:type="dxa"/>
            <w:tcBorders>
              <w:top w:val="nil"/>
              <w:left w:val="nil"/>
              <w:bottom w:val="single" w:sz="4" w:space="0" w:color="808080"/>
              <w:right w:val="single" w:sz="4" w:space="0" w:color="808080"/>
            </w:tcBorders>
            <w:shd w:val="clear" w:color="auto" w:fill="auto"/>
            <w:vAlign w:val="center"/>
            <w:hideMark/>
          </w:tcPr>
          <w:p w14:paraId="330DD4B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4.5%</w:t>
            </w:r>
          </w:p>
        </w:tc>
        <w:tc>
          <w:tcPr>
            <w:tcW w:w="924" w:type="dxa"/>
            <w:tcBorders>
              <w:top w:val="nil"/>
              <w:left w:val="nil"/>
              <w:bottom w:val="single" w:sz="4" w:space="0" w:color="808080"/>
              <w:right w:val="single" w:sz="4" w:space="0" w:color="808080"/>
            </w:tcBorders>
            <w:shd w:val="clear" w:color="auto" w:fill="auto"/>
            <w:vAlign w:val="center"/>
            <w:hideMark/>
          </w:tcPr>
          <w:p w14:paraId="34A5349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40DE3CD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89.2</w:t>
            </w:r>
          </w:p>
        </w:tc>
      </w:tr>
      <w:tr w:rsidR="005C4C02" w:rsidRPr="000C3A1D" w14:paraId="7AC29D03"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1F055F8D"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2C2F54C7"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0.0610</w:t>
            </w:r>
          </w:p>
        </w:tc>
        <w:tc>
          <w:tcPr>
            <w:tcW w:w="669" w:type="dxa"/>
            <w:tcBorders>
              <w:top w:val="nil"/>
              <w:left w:val="nil"/>
              <w:bottom w:val="single" w:sz="4" w:space="0" w:color="808080"/>
              <w:right w:val="single" w:sz="4" w:space="0" w:color="808080"/>
            </w:tcBorders>
            <w:shd w:val="clear" w:color="auto" w:fill="auto"/>
            <w:vAlign w:val="center"/>
            <w:hideMark/>
          </w:tcPr>
          <w:p w14:paraId="2ED424B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w:t>
            </w:r>
          </w:p>
        </w:tc>
        <w:tc>
          <w:tcPr>
            <w:tcW w:w="670" w:type="dxa"/>
            <w:tcBorders>
              <w:top w:val="nil"/>
              <w:left w:val="nil"/>
              <w:bottom w:val="single" w:sz="4" w:space="0" w:color="808080"/>
              <w:right w:val="single" w:sz="4" w:space="0" w:color="808080"/>
            </w:tcBorders>
            <w:shd w:val="clear" w:color="auto" w:fill="auto"/>
            <w:vAlign w:val="center"/>
            <w:hideMark/>
          </w:tcPr>
          <w:p w14:paraId="1B926DA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69</w:t>
            </w:r>
          </w:p>
        </w:tc>
        <w:tc>
          <w:tcPr>
            <w:tcW w:w="669" w:type="dxa"/>
            <w:tcBorders>
              <w:top w:val="nil"/>
              <w:left w:val="nil"/>
              <w:bottom w:val="single" w:sz="4" w:space="0" w:color="808080"/>
              <w:right w:val="single" w:sz="4" w:space="0" w:color="808080"/>
            </w:tcBorders>
            <w:shd w:val="clear" w:color="auto" w:fill="auto"/>
            <w:vAlign w:val="center"/>
            <w:hideMark/>
          </w:tcPr>
          <w:p w14:paraId="5B869230"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94</w:t>
            </w:r>
          </w:p>
        </w:tc>
        <w:tc>
          <w:tcPr>
            <w:tcW w:w="670" w:type="dxa"/>
            <w:tcBorders>
              <w:top w:val="nil"/>
              <w:left w:val="nil"/>
              <w:bottom w:val="single" w:sz="4" w:space="0" w:color="808080"/>
              <w:right w:val="single" w:sz="4" w:space="0" w:color="808080"/>
            </w:tcBorders>
            <w:shd w:val="clear" w:color="auto" w:fill="auto"/>
            <w:vAlign w:val="center"/>
            <w:hideMark/>
          </w:tcPr>
          <w:p w14:paraId="54A31D7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9831</w:t>
            </w:r>
          </w:p>
        </w:tc>
        <w:tc>
          <w:tcPr>
            <w:tcW w:w="939" w:type="dxa"/>
            <w:tcBorders>
              <w:top w:val="nil"/>
              <w:left w:val="nil"/>
              <w:bottom w:val="single" w:sz="4" w:space="0" w:color="808080"/>
              <w:right w:val="single" w:sz="4" w:space="0" w:color="808080"/>
            </w:tcBorders>
            <w:shd w:val="clear" w:color="auto" w:fill="auto"/>
            <w:vAlign w:val="center"/>
            <w:hideMark/>
          </w:tcPr>
          <w:p w14:paraId="10AD685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6.3%</w:t>
            </w:r>
          </w:p>
        </w:tc>
        <w:tc>
          <w:tcPr>
            <w:tcW w:w="939" w:type="dxa"/>
            <w:tcBorders>
              <w:top w:val="nil"/>
              <w:left w:val="nil"/>
              <w:bottom w:val="single" w:sz="4" w:space="0" w:color="808080"/>
              <w:right w:val="single" w:sz="4" w:space="0" w:color="808080"/>
            </w:tcBorders>
            <w:shd w:val="clear" w:color="auto" w:fill="auto"/>
            <w:vAlign w:val="center"/>
            <w:hideMark/>
          </w:tcPr>
          <w:p w14:paraId="6789C2B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99.3%</w:t>
            </w:r>
          </w:p>
        </w:tc>
        <w:tc>
          <w:tcPr>
            <w:tcW w:w="924" w:type="dxa"/>
            <w:tcBorders>
              <w:top w:val="nil"/>
              <w:left w:val="nil"/>
              <w:bottom w:val="single" w:sz="4" w:space="0" w:color="808080"/>
              <w:right w:val="single" w:sz="4" w:space="0" w:color="808080"/>
            </w:tcBorders>
            <w:shd w:val="clear" w:color="auto" w:fill="auto"/>
            <w:vAlign w:val="center"/>
            <w:hideMark/>
          </w:tcPr>
          <w:p w14:paraId="2AFF4417"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8.2%</w:t>
            </w:r>
          </w:p>
        </w:tc>
        <w:tc>
          <w:tcPr>
            <w:tcW w:w="924" w:type="dxa"/>
            <w:tcBorders>
              <w:top w:val="nil"/>
              <w:left w:val="nil"/>
              <w:bottom w:val="single" w:sz="4" w:space="0" w:color="808080"/>
              <w:right w:val="single" w:sz="4" w:space="0" w:color="808080"/>
            </w:tcBorders>
            <w:shd w:val="clear" w:color="auto" w:fill="auto"/>
            <w:vAlign w:val="center"/>
            <w:hideMark/>
          </w:tcPr>
          <w:p w14:paraId="1DE3F1E3"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99.1%</w:t>
            </w:r>
          </w:p>
        </w:tc>
        <w:tc>
          <w:tcPr>
            <w:tcW w:w="950" w:type="dxa"/>
            <w:tcBorders>
              <w:top w:val="nil"/>
              <w:left w:val="nil"/>
              <w:bottom w:val="single" w:sz="4" w:space="0" w:color="808080"/>
              <w:right w:val="single" w:sz="4" w:space="0" w:color="808080"/>
            </w:tcBorders>
            <w:shd w:val="clear" w:color="auto" w:fill="auto"/>
            <w:vAlign w:val="center"/>
            <w:hideMark/>
          </w:tcPr>
          <w:p w14:paraId="4CC3488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93.7</w:t>
            </w:r>
          </w:p>
        </w:tc>
      </w:tr>
      <w:tr w:rsidR="005C4C02" w:rsidRPr="000C3A1D" w14:paraId="463E831D" w14:textId="77777777" w:rsidTr="00F86021">
        <w:trPr>
          <w:trHeight w:val="300"/>
        </w:trPr>
        <w:tc>
          <w:tcPr>
            <w:tcW w:w="1126" w:type="dxa"/>
            <w:vMerge/>
            <w:tcBorders>
              <w:top w:val="nil"/>
              <w:left w:val="single" w:sz="4" w:space="0" w:color="808080"/>
              <w:bottom w:val="single" w:sz="4" w:space="0" w:color="808080"/>
              <w:right w:val="single" w:sz="4" w:space="0" w:color="808080"/>
            </w:tcBorders>
            <w:vAlign w:val="center"/>
            <w:hideMark/>
          </w:tcPr>
          <w:p w14:paraId="170E75DA" w14:textId="77777777" w:rsidR="005C4C02" w:rsidRPr="000C3A1D" w:rsidRDefault="005C4C02" w:rsidP="00F86021">
            <w:pPr>
              <w:spacing w:after="0" w:line="240" w:lineRule="auto"/>
              <w:rPr>
                <w:rFonts w:eastAsia="Times New Roman" w:cstheme="minorHAnsi"/>
                <w:b/>
                <w:bCs/>
                <w:color w:val="000000"/>
                <w:sz w:val="20"/>
                <w:szCs w:val="20"/>
                <w:lang w:eastAsia="en-GB"/>
              </w:rPr>
            </w:pPr>
          </w:p>
        </w:tc>
        <w:tc>
          <w:tcPr>
            <w:tcW w:w="1046" w:type="dxa"/>
            <w:tcBorders>
              <w:top w:val="nil"/>
              <w:left w:val="nil"/>
              <w:bottom w:val="single" w:sz="4" w:space="0" w:color="808080"/>
              <w:right w:val="single" w:sz="4" w:space="0" w:color="808080"/>
            </w:tcBorders>
            <w:shd w:val="clear" w:color="auto" w:fill="auto"/>
            <w:vAlign w:val="bottom"/>
            <w:hideMark/>
          </w:tcPr>
          <w:p w14:paraId="20CBE61E" w14:textId="77777777" w:rsidR="005C4C02" w:rsidRPr="000C3A1D" w:rsidRDefault="005C4C02" w:rsidP="00F86021">
            <w:pPr>
              <w:spacing w:after="0" w:line="240" w:lineRule="auto"/>
              <w:jc w:val="center"/>
              <w:rPr>
                <w:rFonts w:eastAsia="Times New Roman" w:cstheme="minorHAnsi"/>
                <w:sz w:val="20"/>
                <w:szCs w:val="20"/>
                <w:lang w:eastAsia="en-GB"/>
              </w:rPr>
            </w:pPr>
            <w:r w:rsidRPr="00AE63E1">
              <w:rPr>
                <w:rFonts w:ascii="Calibri" w:hAnsi="Calibri" w:cs="Calibri"/>
                <w:color w:val="000000"/>
                <w:sz w:val="20"/>
                <w:szCs w:val="20"/>
              </w:rPr>
              <w:t>0.2820</w:t>
            </w:r>
          </w:p>
        </w:tc>
        <w:tc>
          <w:tcPr>
            <w:tcW w:w="669" w:type="dxa"/>
            <w:tcBorders>
              <w:top w:val="nil"/>
              <w:left w:val="nil"/>
              <w:bottom w:val="single" w:sz="4" w:space="0" w:color="808080"/>
              <w:right w:val="single" w:sz="4" w:space="0" w:color="808080"/>
            </w:tcBorders>
            <w:shd w:val="clear" w:color="auto" w:fill="auto"/>
            <w:vAlign w:val="center"/>
            <w:hideMark/>
          </w:tcPr>
          <w:p w14:paraId="4947D009"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w:t>
            </w:r>
          </w:p>
        </w:tc>
        <w:tc>
          <w:tcPr>
            <w:tcW w:w="670" w:type="dxa"/>
            <w:tcBorders>
              <w:top w:val="nil"/>
              <w:left w:val="nil"/>
              <w:bottom w:val="single" w:sz="4" w:space="0" w:color="808080"/>
              <w:right w:val="single" w:sz="4" w:space="0" w:color="808080"/>
            </w:tcBorders>
            <w:shd w:val="clear" w:color="auto" w:fill="auto"/>
            <w:vAlign w:val="center"/>
            <w:hideMark/>
          </w:tcPr>
          <w:p w14:paraId="6304B98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10</w:t>
            </w:r>
          </w:p>
        </w:tc>
        <w:tc>
          <w:tcPr>
            <w:tcW w:w="669" w:type="dxa"/>
            <w:tcBorders>
              <w:top w:val="nil"/>
              <w:left w:val="nil"/>
              <w:bottom w:val="single" w:sz="4" w:space="0" w:color="808080"/>
              <w:right w:val="single" w:sz="4" w:space="0" w:color="808080"/>
            </w:tcBorders>
            <w:shd w:val="clear" w:color="auto" w:fill="auto"/>
            <w:vAlign w:val="center"/>
            <w:hideMark/>
          </w:tcPr>
          <w:p w14:paraId="474DEB66"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w:t>
            </w:r>
          </w:p>
        </w:tc>
        <w:tc>
          <w:tcPr>
            <w:tcW w:w="670" w:type="dxa"/>
            <w:tcBorders>
              <w:top w:val="nil"/>
              <w:left w:val="nil"/>
              <w:bottom w:val="single" w:sz="4" w:space="0" w:color="808080"/>
              <w:right w:val="single" w:sz="4" w:space="0" w:color="808080"/>
            </w:tcBorders>
            <w:shd w:val="clear" w:color="auto" w:fill="auto"/>
            <w:vAlign w:val="center"/>
            <w:hideMark/>
          </w:tcPr>
          <w:p w14:paraId="134C77D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9890</w:t>
            </w:r>
          </w:p>
        </w:tc>
        <w:tc>
          <w:tcPr>
            <w:tcW w:w="939" w:type="dxa"/>
            <w:tcBorders>
              <w:top w:val="nil"/>
              <w:left w:val="nil"/>
              <w:bottom w:val="single" w:sz="4" w:space="0" w:color="808080"/>
              <w:right w:val="single" w:sz="4" w:space="0" w:color="808080"/>
            </w:tcBorders>
            <w:shd w:val="clear" w:color="auto" w:fill="auto"/>
            <w:vAlign w:val="center"/>
            <w:hideMark/>
          </w:tcPr>
          <w:p w14:paraId="779ED131"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2.0%</w:t>
            </w:r>
          </w:p>
        </w:tc>
        <w:tc>
          <w:tcPr>
            <w:tcW w:w="939" w:type="dxa"/>
            <w:tcBorders>
              <w:top w:val="nil"/>
              <w:left w:val="nil"/>
              <w:bottom w:val="single" w:sz="4" w:space="0" w:color="808080"/>
              <w:right w:val="single" w:sz="4" w:space="0" w:color="808080"/>
            </w:tcBorders>
            <w:shd w:val="clear" w:color="auto" w:fill="auto"/>
            <w:vAlign w:val="center"/>
            <w:hideMark/>
          </w:tcPr>
          <w:p w14:paraId="22CC2D5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99.9%</w:t>
            </w:r>
          </w:p>
        </w:tc>
        <w:tc>
          <w:tcPr>
            <w:tcW w:w="924" w:type="dxa"/>
            <w:tcBorders>
              <w:top w:val="nil"/>
              <w:left w:val="nil"/>
              <w:bottom w:val="single" w:sz="4" w:space="0" w:color="808080"/>
              <w:right w:val="single" w:sz="4" w:space="0" w:color="808080"/>
            </w:tcBorders>
            <w:shd w:val="clear" w:color="auto" w:fill="auto"/>
            <w:vAlign w:val="center"/>
            <w:hideMark/>
          </w:tcPr>
          <w:p w14:paraId="0DF3B1FB"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14.2%</w:t>
            </w:r>
          </w:p>
        </w:tc>
        <w:tc>
          <w:tcPr>
            <w:tcW w:w="924" w:type="dxa"/>
            <w:tcBorders>
              <w:top w:val="nil"/>
              <w:left w:val="nil"/>
              <w:bottom w:val="single" w:sz="4" w:space="0" w:color="808080"/>
              <w:right w:val="single" w:sz="4" w:space="0" w:color="808080"/>
            </w:tcBorders>
            <w:shd w:val="clear" w:color="auto" w:fill="auto"/>
            <w:vAlign w:val="center"/>
            <w:hideMark/>
          </w:tcPr>
          <w:p w14:paraId="58FFA214"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99.0%</w:t>
            </w:r>
          </w:p>
        </w:tc>
        <w:tc>
          <w:tcPr>
            <w:tcW w:w="950" w:type="dxa"/>
            <w:tcBorders>
              <w:top w:val="nil"/>
              <w:left w:val="nil"/>
              <w:bottom w:val="single" w:sz="4" w:space="0" w:color="808080"/>
              <w:right w:val="single" w:sz="4" w:space="0" w:color="808080"/>
            </w:tcBorders>
            <w:shd w:val="clear" w:color="auto" w:fill="auto"/>
            <w:vAlign w:val="center"/>
            <w:hideMark/>
          </w:tcPr>
          <w:p w14:paraId="61F9C66F" w14:textId="77777777" w:rsidR="005C4C02" w:rsidRPr="000C3A1D" w:rsidRDefault="005C4C02" w:rsidP="00F86021">
            <w:pPr>
              <w:spacing w:after="0" w:line="240" w:lineRule="auto"/>
              <w:jc w:val="center"/>
              <w:rPr>
                <w:rFonts w:eastAsia="Times New Roman" w:cstheme="minorHAnsi"/>
                <w:color w:val="000000"/>
                <w:sz w:val="20"/>
                <w:szCs w:val="20"/>
                <w:lang w:eastAsia="en-GB"/>
              </w:rPr>
            </w:pPr>
            <w:r w:rsidRPr="000C3A1D">
              <w:rPr>
                <w:rFonts w:eastAsia="Times New Roman" w:cstheme="minorHAnsi"/>
                <w:color w:val="000000"/>
                <w:sz w:val="20"/>
                <w:szCs w:val="20"/>
                <w:lang w:eastAsia="en-GB"/>
              </w:rPr>
              <w:t>98</w:t>
            </w:r>
          </w:p>
        </w:tc>
      </w:tr>
    </w:tbl>
    <w:p w14:paraId="0A1CB12B" w14:textId="77777777" w:rsidR="003838C6" w:rsidRPr="00734942" w:rsidRDefault="003838C6" w:rsidP="003838C6"/>
    <w:p w14:paraId="3843DD7D" w14:textId="77777777" w:rsidR="00FD58C6" w:rsidRDefault="00FD58C6">
      <w:bookmarkStart w:id="462" w:name="_Ref86164321"/>
      <w:bookmarkStart w:id="463" w:name="_Ref87617976"/>
      <w:bookmarkStart w:id="464" w:name="_Ref83999043"/>
      <w:bookmarkStart w:id="465" w:name="_Ref86165359"/>
      <w:bookmarkStart w:id="466" w:name="_Ref83911007"/>
      <w:r>
        <w:br w:type="page"/>
      </w:r>
    </w:p>
    <w:p w14:paraId="53FED794" w14:textId="65F4E773" w:rsidR="00FD58C6" w:rsidRDefault="00FD58C6" w:rsidP="000526F1">
      <w:pPr>
        <w:pStyle w:val="Heading2"/>
      </w:pPr>
      <w:bookmarkStart w:id="467" w:name="_Toc99539939"/>
      <w:r>
        <w:lastRenderedPageBreak/>
        <w:t>Appendix 1</w:t>
      </w:r>
      <w:r w:rsidR="008A3FBF">
        <w:t>4</w:t>
      </w:r>
      <w:bookmarkEnd w:id="467"/>
    </w:p>
    <w:p w14:paraId="519A89A4" w14:textId="27242122" w:rsidR="003824FB" w:rsidRPr="00734942" w:rsidRDefault="003824FB" w:rsidP="003824FB">
      <w:pPr>
        <w:pStyle w:val="Caption"/>
      </w:pPr>
      <w:bookmarkStart w:id="468" w:name="_Ref85790594"/>
      <w:bookmarkStart w:id="469" w:name="_Toc99720767"/>
      <w:r w:rsidRPr="00734942">
        <w:t xml:space="preserve">Table </w:t>
      </w:r>
      <w:r>
        <w:fldChar w:fldCharType="begin"/>
      </w:r>
      <w:r>
        <w:instrText>SEQ Table \* ARABIC</w:instrText>
      </w:r>
      <w:r>
        <w:fldChar w:fldCharType="separate"/>
      </w:r>
      <w:r w:rsidR="008B5583">
        <w:rPr>
          <w:noProof/>
        </w:rPr>
        <w:t>56</w:t>
      </w:r>
      <w:r>
        <w:fldChar w:fldCharType="end"/>
      </w:r>
      <w:bookmarkEnd w:id="468"/>
      <w:r w:rsidRPr="00734942">
        <w:t xml:space="preserve"> Model performance after including ethnicity and deprivation as predictions</w:t>
      </w:r>
      <w:bookmarkEnd w:id="469"/>
    </w:p>
    <w:p w14:paraId="309F27B4" w14:textId="77777777" w:rsidR="003824FB" w:rsidRPr="00785031" w:rsidRDefault="003824FB" w:rsidP="003824FB">
      <w:pPr>
        <w:rPr>
          <w:sz w:val="20"/>
          <w:szCs w:val="20"/>
        </w:rPr>
      </w:pPr>
      <w:r w:rsidRPr="00785031">
        <w:rPr>
          <w:sz w:val="20"/>
          <w:szCs w:val="20"/>
        </w:rPr>
        <w:t>a. Calibration statistics were estimated using an inflated control group to adjust for sampling frequency.</w:t>
      </w:r>
    </w:p>
    <w:tbl>
      <w:tblPr>
        <w:tblStyle w:val="TableGrid"/>
        <w:tblW w:w="8080" w:type="dxa"/>
        <w:tblInd w:w="-5" w:type="dxa"/>
        <w:tblLook w:val="04A0" w:firstRow="1" w:lastRow="0" w:firstColumn="1" w:lastColumn="0" w:noHBand="0" w:noVBand="1"/>
      </w:tblPr>
      <w:tblGrid>
        <w:gridCol w:w="2127"/>
        <w:gridCol w:w="1701"/>
        <w:gridCol w:w="2126"/>
        <w:gridCol w:w="2126"/>
      </w:tblGrid>
      <w:tr w:rsidR="003824FB" w:rsidRPr="00734942" w14:paraId="485ED671" w14:textId="77777777" w:rsidTr="00826FF8">
        <w:tc>
          <w:tcPr>
            <w:tcW w:w="2127" w:type="dxa"/>
            <w:vAlign w:val="center"/>
          </w:tcPr>
          <w:p w14:paraId="64C2F709" w14:textId="77777777" w:rsidR="003824FB" w:rsidRPr="00734942" w:rsidRDefault="003824FB" w:rsidP="00F86021">
            <w:pPr>
              <w:rPr>
                <w:rFonts w:cstheme="minorHAnsi"/>
                <w:b/>
                <w:bCs/>
                <w:sz w:val="20"/>
                <w:szCs w:val="20"/>
              </w:rPr>
            </w:pPr>
          </w:p>
        </w:tc>
        <w:tc>
          <w:tcPr>
            <w:tcW w:w="1701" w:type="dxa"/>
            <w:vAlign w:val="center"/>
          </w:tcPr>
          <w:p w14:paraId="268BFB86" w14:textId="77777777" w:rsidR="003824FB" w:rsidRPr="00734942" w:rsidRDefault="003824FB" w:rsidP="00F86021">
            <w:pPr>
              <w:jc w:val="center"/>
              <w:rPr>
                <w:rFonts w:cstheme="minorHAnsi"/>
                <w:b/>
                <w:bCs/>
                <w:sz w:val="20"/>
                <w:szCs w:val="20"/>
              </w:rPr>
            </w:pPr>
            <w:r w:rsidRPr="00734942">
              <w:rPr>
                <w:rFonts w:cstheme="minorHAnsi"/>
                <w:b/>
                <w:bCs/>
                <w:sz w:val="20"/>
                <w:szCs w:val="20"/>
              </w:rPr>
              <w:t>Apparent model performance</w:t>
            </w:r>
          </w:p>
        </w:tc>
        <w:tc>
          <w:tcPr>
            <w:tcW w:w="2126" w:type="dxa"/>
            <w:vAlign w:val="center"/>
          </w:tcPr>
          <w:p w14:paraId="633D02B1" w14:textId="77777777" w:rsidR="003824FB" w:rsidRPr="00734942" w:rsidRDefault="003824FB" w:rsidP="00F86021">
            <w:pPr>
              <w:jc w:val="center"/>
              <w:rPr>
                <w:rFonts w:cstheme="minorHAnsi"/>
                <w:b/>
                <w:bCs/>
                <w:sz w:val="20"/>
                <w:szCs w:val="20"/>
              </w:rPr>
            </w:pPr>
            <w:r w:rsidRPr="00734942">
              <w:rPr>
                <w:rFonts w:cstheme="minorHAnsi"/>
                <w:b/>
                <w:bCs/>
                <w:sz w:val="20"/>
                <w:szCs w:val="20"/>
              </w:rPr>
              <w:t>Apparent model performance</w:t>
            </w:r>
          </w:p>
        </w:tc>
        <w:tc>
          <w:tcPr>
            <w:tcW w:w="2126" w:type="dxa"/>
            <w:vAlign w:val="center"/>
          </w:tcPr>
          <w:p w14:paraId="369D374A" w14:textId="77777777" w:rsidR="003824FB" w:rsidRPr="00734942" w:rsidRDefault="003824FB" w:rsidP="00F86021">
            <w:pPr>
              <w:jc w:val="center"/>
              <w:rPr>
                <w:rFonts w:cstheme="minorHAnsi"/>
                <w:b/>
                <w:bCs/>
                <w:sz w:val="20"/>
                <w:szCs w:val="20"/>
              </w:rPr>
            </w:pPr>
            <w:r w:rsidRPr="00734942">
              <w:rPr>
                <w:rFonts w:cstheme="minorHAnsi"/>
                <w:b/>
                <w:bCs/>
                <w:sz w:val="20"/>
                <w:szCs w:val="20"/>
              </w:rPr>
              <w:t>Updated model performance</w:t>
            </w:r>
          </w:p>
        </w:tc>
      </w:tr>
      <w:tr w:rsidR="003824FB" w:rsidRPr="00734942" w14:paraId="5FEA3BBC" w14:textId="77777777" w:rsidTr="00826FF8">
        <w:tc>
          <w:tcPr>
            <w:tcW w:w="2127" w:type="dxa"/>
            <w:vAlign w:val="center"/>
          </w:tcPr>
          <w:p w14:paraId="79558E9B" w14:textId="77777777" w:rsidR="003824FB" w:rsidRPr="00734942" w:rsidRDefault="003824FB" w:rsidP="00F86021">
            <w:pPr>
              <w:rPr>
                <w:rFonts w:cstheme="minorHAnsi"/>
                <w:b/>
                <w:bCs/>
                <w:sz w:val="20"/>
                <w:szCs w:val="20"/>
              </w:rPr>
            </w:pPr>
            <w:r w:rsidRPr="00734942">
              <w:rPr>
                <w:rFonts w:cstheme="minorHAnsi"/>
                <w:b/>
                <w:bCs/>
                <w:sz w:val="20"/>
                <w:szCs w:val="20"/>
              </w:rPr>
              <w:t>Data</w:t>
            </w:r>
          </w:p>
        </w:tc>
        <w:tc>
          <w:tcPr>
            <w:tcW w:w="1701" w:type="dxa"/>
            <w:vAlign w:val="center"/>
          </w:tcPr>
          <w:p w14:paraId="624CBD2D" w14:textId="77777777" w:rsidR="003824FB" w:rsidRPr="00734942" w:rsidRDefault="003824FB" w:rsidP="00F86021">
            <w:pPr>
              <w:jc w:val="center"/>
              <w:rPr>
                <w:rFonts w:cstheme="minorHAnsi"/>
                <w:b/>
                <w:bCs/>
                <w:sz w:val="20"/>
                <w:szCs w:val="20"/>
              </w:rPr>
            </w:pPr>
            <w:r w:rsidRPr="00734942">
              <w:rPr>
                <w:rFonts w:cstheme="minorHAnsi"/>
                <w:b/>
                <w:bCs/>
                <w:sz w:val="20"/>
                <w:szCs w:val="20"/>
              </w:rPr>
              <w:t>Original data set (CPRD Gold)</w:t>
            </w:r>
          </w:p>
        </w:tc>
        <w:tc>
          <w:tcPr>
            <w:tcW w:w="2126" w:type="dxa"/>
            <w:vAlign w:val="center"/>
          </w:tcPr>
          <w:p w14:paraId="350264B4" w14:textId="77777777" w:rsidR="003824FB" w:rsidRPr="00734942" w:rsidRDefault="003824FB" w:rsidP="00F86021">
            <w:pPr>
              <w:jc w:val="center"/>
              <w:rPr>
                <w:rFonts w:cstheme="minorHAnsi"/>
                <w:b/>
                <w:bCs/>
                <w:sz w:val="20"/>
                <w:szCs w:val="20"/>
              </w:rPr>
            </w:pPr>
            <w:r w:rsidRPr="00734942">
              <w:rPr>
                <w:rFonts w:cstheme="minorHAnsi"/>
                <w:b/>
                <w:bCs/>
                <w:sz w:val="20"/>
                <w:szCs w:val="20"/>
              </w:rPr>
              <w:t>CPRD Gold linked with HES</w:t>
            </w:r>
          </w:p>
        </w:tc>
        <w:tc>
          <w:tcPr>
            <w:tcW w:w="2126" w:type="dxa"/>
            <w:vAlign w:val="center"/>
          </w:tcPr>
          <w:p w14:paraId="37DE22CF" w14:textId="77777777" w:rsidR="003824FB" w:rsidRPr="00734942" w:rsidRDefault="003824FB" w:rsidP="00F86021">
            <w:pPr>
              <w:jc w:val="center"/>
              <w:rPr>
                <w:rFonts w:cstheme="minorHAnsi"/>
                <w:b/>
                <w:bCs/>
                <w:sz w:val="20"/>
                <w:szCs w:val="20"/>
              </w:rPr>
            </w:pPr>
            <w:r w:rsidRPr="00734942">
              <w:rPr>
                <w:rFonts w:cstheme="minorHAnsi"/>
                <w:b/>
                <w:bCs/>
                <w:sz w:val="20"/>
                <w:szCs w:val="20"/>
              </w:rPr>
              <w:t>CPRD Gold linked with HES</w:t>
            </w:r>
          </w:p>
        </w:tc>
      </w:tr>
      <w:tr w:rsidR="003824FB" w:rsidRPr="00734942" w14:paraId="284383E5" w14:textId="77777777" w:rsidTr="00826FF8">
        <w:tc>
          <w:tcPr>
            <w:tcW w:w="2127" w:type="dxa"/>
            <w:shd w:val="clear" w:color="auto" w:fill="BFBFBF" w:themeFill="background1" w:themeFillShade="BF"/>
            <w:vAlign w:val="center"/>
          </w:tcPr>
          <w:p w14:paraId="380281A6" w14:textId="77777777" w:rsidR="003824FB" w:rsidRPr="00734942" w:rsidRDefault="003824FB" w:rsidP="00F86021">
            <w:pPr>
              <w:rPr>
                <w:rFonts w:cstheme="minorHAnsi"/>
                <w:b/>
                <w:bCs/>
                <w:sz w:val="20"/>
                <w:szCs w:val="20"/>
              </w:rPr>
            </w:pPr>
            <w:r w:rsidRPr="00734942">
              <w:rPr>
                <w:rFonts w:cstheme="minorHAnsi"/>
                <w:b/>
                <w:bCs/>
                <w:sz w:val="20"/>
                <w:szCs w:val="20"/>
              </w:rPr>
              <w:t>Children</w:t>
            </w:r>
          </w:p>
        </w:tc>
        <w:tc>
          <w:tcPr>
            <w:tcW w:w="1701" w:type="dxa"/>
            <w:shd w:val="clear" w:color="auto" w:fill="BFBFBF" w:themeFill="background1" w:themeFillShade="BF"/>
            <w:vAlign w:val="center"/>
          </w:tcPr>
          <w:p w14:paraId="53349BCA"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24497019"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305E2F26" w14:textId="77777777" w:rsidR="003824FB" w:rsidRPr="00734942" w:rsidRDefault="003824FB" w:rsidP="00F86021">
            <w:pPr>
              <w:jc w:val="center"/>
              <w:rPr>
                <w:rFonts w:cstheme="minorHAnsi"/>
                <w:sz w:val="20"/>
                <w:szCs w:val="20"/>
              </w:rPr>
            </w:pPr>
          </w:p>
        </w:tc>
      </w:tr>
      <w:tr w:rsidR="003824FB" w:rsidRPr="00734942" w14:paraId="0F01B22A" w14:textId="77777777" w:rsidTr="00826FF8">
        <w:trPr>
          <w:trHeight w:val="267"/>
        </w:trPr>
        <w:tc>
          <w:tcPr>
            <w:tcW w:w="2127" w:type="dxa"/>
            <w:vAlign w:val="center"/>
          </w:tcPr>
          <w:p w14:paraId="4127BFC8" w14:textId="77777777" w:rsidR="003824FB" w:rsidRPr="00734942" w:rsidRDefault="003824FB" w:rsidP="00F86021">
            <w:pPr>
              <w:rPr>
                <w:rFonts w:cstheme="minorHAnsi"/>
                <w:b/>
                <w:bCs/>
                <w:sz w:val="20"/>
                <w:szCs w:val="20"/>
              </w:rPr>
            </w:pPr>
            <w:r w:rsidRPr="00734942">
              <w:rPr>
                <w:rFonts w:cstheme="minorHAnsi"/>
                <w:b/>
                <w:bCs/>
                <w:sz w:val="20"/>
                <w:szCs w:val="20"/>
              </w:rPr>
              <w:t>R-squared</w:t>
            </w:r>
          </w:p>
        </w:tc>
        <w:tc>
          <w:tcPr>
            <w:tcW w:w="1701" w:type="dxa"/>
            <w:vAlign w:val="center"/>
          </w:tcPr>
          <w:p w14:paraId="2CF54276" w14:textId="77777777" w:rsidR="003824FB" w:rsidRPr="00734942" w:rsidRDefault="003824FB" w:rsidP="00F86021">
            <w:pPr>
              <w:jc w:val="center"/>
              <w:rPr>
                <w:rFonts w:cstheme="minorHAnsi"/>
                <w:sz w:val="20"/>
                <w:szCs w:val="20"/>
              </w:rPr>
            </w:pPr>
            <w:r w:rsidRPr="00734942">
              <w:rPr>
                <w:rFonts w:cstheme="minorHAnsi"/>
                <w:sz w:val="20"/>
                <w:szCs w:val="20"/>
              </w:rPr>
              <w:t>0.407</w:t>
            </w:r>
          </w:p>
        </w:tc>
        <w:tc>
          <w:tcPr>
            <w:tcW w:w="2126" w:type="dxa"/>
            <w:vAlign w:val="center"/>
          </w:tcPr>
          <w:p w14:paraId="5803646F" w14:textId="77777777" w:rsidR="003824FB" w:rsidRPr="00734942" w:rsidRDefault="003824FB" w:rsidP="00F86021">
            <w:pPr>
              <w:jc w:val="center"/>
              <w:rPr>
                <w:rFonts w:cstheme="minorHAnsi"/>
                <w:sz w:val="20"/>
                <w:szCs w:val="20"/>
              </w:rPr>
            </w:pPr>
            <w:r w:rsidRPr="00136D12">
              <w:rPr>
                <w:rFonts w:cstheme="minorHAnsi"/>
                <w:sz w:val="20"/>
                <w:szCs w:val="20"/>
              </w:rPr>
              <w:t>0.422</w:t>
            </w:r>
          </w:p>
        </w:tc>
        <w:tc>
          <w:tcPr>
            <w:tcW w:w="2126" w:type="dxa"/>
            <w:vAlign w:val="center"/>
          </w:tcPr>
          <w:p w14:paraId="1530DFAD" w14:textId="77777777" w:rsidR="003824FB" w:rsidRPr="00734942" w:rsidRDefault="003824FB" w:rsidP="00F86021">
            <w:pPr>
              <w:jc w:val="center"/>
              <w:rPr>
                <w:rFonts w:cstheme="minorHAnsi"/>
                <w:sz w:val="20"/>
                <w:szCs w:val="20"/>
              </w:rPr>
            </w:pPr>
            <w:r w:rsidRPr="00136D12">
              <w:rPr>
                <w:rFonts w:cstheme="minorHAnsi"/>
                <w:sz w:val="20"/>
                <w:szCs w:val="20"/>
              </w:rPr>
              <w:t>0.426</w:t>
            </w:r>
          </w:p>
        </w:tc>
      </w:tr>
      <w:tr w:rsidR="003824FB" w:rsidRPr="00734942" w14:paraId="0A52DC66" w14:textId="77777777" w:rsidTr="00826FF8">
        <w:tc>
          <w:tcPr>
            <w:tcW w:w="2127" w:type="dxa"/>
            <w:vAlign w:val="center"/>
          </w:tcPr>
          <w:p w14:paraId="4F1C9F38" w14:textId="77777777" w:rsidR="003824FB" w:rsidRPr="00734942" w:rsidRDefault="003824FB" w:rsidP="00F86021">
            <w:pPr>
              <w:rPr>
                <w:rFonts w:cstheme="minorHAnsi"/>
                <w:b/>
                <w:bCs/>
                <w:sz w:val="20"/>
                <w:szCs w:val="20"/>
              </w:rPr>
            </w:pPr>
            <w:r w:rsidRPr="00734942">
              <w:rPr>
                <w:rFonts w:cstheme="minorHAnsi"/>
                <w:b/>
                <w:bCs/>
                <w:sz w:val="20"/>
                <w:szCs w:val="20"/>
              </w:rPr>
              <w:t>Brier score</w:t>
            </w:r>
          </w:p>
        </w:tc>
        <w:tc>
          <w:tcPr>
            <w:tcW w:w="1701" w:type="dxa"/>
            <w:vAlign w:val="center"/>
          </w:tcPr>
          <w:p w14:paraId="1814F665" w14:textId="77777777" w:rsidR="003824FB" w:rsidRPr="00734942" w:rsidRDefault="003824FB" w:rsidP="00F86021">
            <w:pPr>
              <w:jc w:val="center"/>
              <w:rPr>
                <w:rFonts w:cstheme="minorHAnsi"/>
                <w:sz w:val="20"/>
                <w:szCs w:val="20"/>
              </w:rPr>
            </w:pPr>
            <w:r w:rsidRPr="00734942">
              <w:rPr>
                <w:rFonts w:cstheme="minorHAnsi"/>
                <w:sz w:val="20"/>
                <w:szCs w:val="20"/>
              </w:rPr>
              <w:t>0.167</w:t>
            </w:r>
          </w:p>
        </w:tc>
        <w:tc>
          <w:tcPr>
            <w:tcW w:w="2126" w:type="dxa"/>
            <w:vAlign w:val="center"/>
          </w:tcPr>
          <w:p w14:paraId="773D4C5E" w14:textId="77777777" w:rsidR="003824FB" w:rsidRPr="00734942" w:rsidRDefault="003824FB" w:rsidP="00F86021">
            <w:pPr>
              <w:jc w:val="center"/>
              <w:rPr>
                <w:rFonts w:cstheme="minorHAnsi"/>
                <w:sz w:val="20"/>
                <w:szCs w:val="20"/>
              </w:rPr>
            </w:pPr>
            <w:r w:rsidRPr="00136D12">
              <w:rPr>
                <w:rFonts w:cstheme="minorHAnsi"/>
                <w:sz w:val="20"/>
                <w:szCs w:val="20"/>
              </w:rPr>
              <w:t>0.181</w:t>
            </w:r>
          </w:p>
        </w:tc>
        <w:tc>
          <w:tcPr>
            <w:tcW w:w="2126" w:type="dxa"/>
            <w:vAlign w:val="center"/>
          </w:tcPr>
          <w:p w14:paraId="05A79D86" w14:textId="77777777" w:rsidR="003824FB" w:rsidRPr="00734942" w:rsidRDefault="003824FB" w:rsidP="00F86021">
            <w:pPr>
              <w:jc w:val="center"/>
              <w:rPr>
                <w:rFonts w:cstheme="minorHAnsi"/>
                <w:sz w:val="20"/>
                <w:szCs w:val="20"/>
              </w:rPr>
            </w:pPr>
            <w:r w:rsidRPr="00136D12">
              <w:rPr>
                <w:rFonts w:cstheme="minorHAnsi"/>
                <w:sz w:val="20"/>
                <w:szCs w:val="20"/>
              </w:rPr>
              <w:t>0.113</w:t>
            </w:r>
          </w:p>
        </w:tc>
      </w:tr>
      <w:tr w:rsidR="003824FB" w:rsidRPr="00734942" w14:paraId="7ABC2B13" w14:textId="77777777" w:rsidTr="00826FF8">
        <w:tc>
          <w:tcPr>
            <w:tcW w:w="2127" w:type="dxa"/>
            <w:vAlign w:val="center"/>
          </w:tcPr>
          <w:p w14:paraId="27DDE9CE" w14:textId="77777777" w:rsidR="003824FB" w:rsidRPr="00734942" w:rsidRDefault="003824FB" w:rsidP="00F86021">
            <w:pPr>
              <w:rPr>
                <w:rFonts w:cstheme="minorHAnsi"/>
                <w:b/>
                <w:bCs/>
                <w:sz w:val="20"/>
                <w:szCs w:val="20"/>
              </w:rPr>
            </w:pPr>
            <w:r w:rsidRPr="00734942">
              <w:rPr>
                <w:rFonts w:cstheme="minorHAnsi"/>
                <w:b/>
                <w:bCs/>
                <w:sz w:val="20"/>
                <w:szCs w:val="20"/>
              </w:rPr>
              <w:t>C statistic</w:t>
            </w:r>
          </w:p>
        </w:tc>
        <w:tc>
          <w:tcPr>
            <w:tcW w:w="1701" w:type="dxa"/>
            <w:vAlign w:val="center"/>
          </w:tcPr>
          <w:p w14:paraId="075F58E2" w14:textId="77777777" w:rsidR="003824FB" w:rsidRPr="00734942" w:rsidRDefault="003824FB" w:rsidP="00F86021">
            <w:pPr>
              <w:jc w:val="center"/>
              <w:rPr>
                <w:rFonts w:cstheme="minorHAnsi"/>
                <w:sz w:val="20"/>
                <w:szCs w:val="20"/>
              </w:rPr>
            </w:pPr>
            <w:r w:rsidRPr="00734942">
              <w:rPr>
                <w:rFonts w:cstheme="minorHAnsi"/>
                <w:sz w:val="20"/>
                <w:szCs w:val="20"/>
              </w:rPr>
              <w:t>0.821</w:t>
            </w:r>
          </w:p>
        </w:tc>
        <w:tc>
          <w:tcPr>
            <w:tcW w:w="2126" w:type="dxa"/>
            <w:vAlign w:val="center"/>
          </w:tcPr>
          <w:p w14:paraId="6FE18FCB" w14:textId="77777777" w:rsidR="003824FB" w:rsidRPr="00734942" w:rsidRDefault="003824FB" w:rsidP="00F86021">
            <w:pPr>
              <w:jc w:val="center"/>
              <w:rPr>
                <w:rFonts w:cstheme="minorHAnsi"/>
                <w:sz w:val="20"/>
                <w:szCs w:val="20"/>
              </w:rPr>
            </w:pPr>
            <w:r w:rsidRPr="00734942">
              <w:rPr>
                <w:rFonts w:cstheme="minorHAnsi"/>
                <w:sz w:val="20"/>
                <w:szCs w:val="20"/>
              </w:rPr>
              <w:t>0.824</w:t>
            </w:r>
          </w:p>
        </w:tc>
        <w:tc>
          <w:tcPr>
            <w:tcW w:w="2126" w:type="dxa"/>
            <w:vAlign w:val="center"/>
          </w:tcPr>
          <w:p w14:paraId="3B5659B4" w14:textId="77777777" w:rsidR="003824FB" w:rsidRPr="00734942" w:rsidRDefault="003824FB" w:rsidP="00F86021">
            <w:pPr>
              <w:jc w:val="center"/>
              <w:rPr>
                <w:rFonts w:cstheme="minorHAnsi"/>
                <w:sz w:val="20"/>
                <w:szCs w:val="20"/>
              </w:rPr>
            </w:pPr>
            <w:r w:rsidRPr="00734942">
              <w:rPr>
                <w:rFonts w:cstheme="minorHAnsi"/>
                <w:sz w:val="20"/>
                <w:szCs w:val="20"/>
              </w:rPr>
              <w:t>0.824</w:t>
            </w:r>
          </w:p>
        </w:tc>
      </w:tr>
      <w:tr w:rsidR="003824FB" w:rsidRPr="00734942" w14:paraId="3D607612" w14:textId="77777777" w:rsidTr="00826FF8">
        <w:tc>
          <w:tcPr>
            <w:tcW w:w="2127" w:type="dxa"/>
            <w:vAlign w:val="center"/>
          </w:tcPr>
          <w:p w14:paraId="1FCD6C31" w14:textId="77777777" w:rsidR="003824FB" w:rsidRPr="00734942" w:rsidRDefault="003824FB" w:rsidP="00F86021">
            <w:pPr>
              <w:rPr>
                <w:rFonts w:cstheme="minorHAnsi"/>
                <w:b/>
                <w:bCs/>
                <w:sz w:val="20"/>
                <w:szCs w:val="20"/>
              </w:rPr>
            </w:pPr>
            <w:r w:rsidRPr="00734942">
              <w:rPr>
                <w:rFonts w:cstheme="minorHAnsi"/>
                <w:b/>
                <w:bCs/>
                <w:sz w:val="20"/>
                <w:szCs w:val="20"/>
              </w:rPr>
              <w:t>Calibration intercept</w:t>
            </w:r>
            <w:r w:rsidRPr="00785031">
              <w:rPr>
                <w:rFonts w:cstheme="minorHAnsi"/>
                <w:b/>
                <w:bCs/>
                <w:sz w:val="20"/>
                <w:szCs w:val="20"/>
                <w:vertAlign w:val="superscript"/>
              </w:rPr>
              <w:t>a</w:t>
            </w:r>
          </w:p>
        </w:tc>
        <w:tc>
          <w:tcPr>
            <w:tcW w:w="1701" w:type="dxa"/>
            <w:vAlign w:val="center"/>
          </w:tcPr>
          <w:p w14:paraId="26BC6A0C" w14:textId="77777777" w:rsidR="003824FB" w:rsidRPr="00734942" w:rsidRDefault="003824FB" w:rsidP="00F86021">
            <w:pPr>
              <w:jc w:val="center"/>
              <w:rPr>
                <w:rFonts w:cstheme="minorHAnsi"/>
                <w:sz w:val="20"/>
                <w:szCs w:val="20"/>
              </w:rPr>
            </w:pPr>
            <w:r w:rsidRPr="00734942">
              <w:rPr>
                <w:rFonts w:cstheme="minorHAnsi"/>
                <w:sz w:val="20"/>
                <w:szCs w:val="20"/>
              </w:rPr>
              <w:t>0.147</w:t>
            </w:r>
          </w:p>
        </w:tc>
        <w:tc>
          <w:tcPr>
            <w:tcW w:w="2126" w:type="dxa"/>
            <w:vAlign w:val="center"/>
          </w:tcPr>
          <w:p w14:paraId="253D0476" w14:textId="77777777" w:rsidR="003824FB" w:rsidRPr="00734942" w:rsidRDefault="003824FB" w:rsidP="00F86021">
            <w:pPr>
              <w:jc w:val="center"/>
              <w:rPr>
                <w:rFonts w:cstheme="minorHAnsi"/>
                <w:sz w:val="20"/>
                <w:szCs w:val="20"/>
              </w:rPr>
            </w:pPr>
            <w:r w:rsidRPr="00136D12">
              <w:rPr>
                <w:rFonts w:cstheme="minorHAnsi"/>
                <w:sz w:val="20"/>
                <w:szCs w:val="20"/>
              </w:rPr>
              <w:t>-0.467</w:t>
            </w:r>
          </w:p>
        </w:tc>
        <w:tc>
          <w:tcPr>
            <w:tcW w:w="2126" w:type="dxa"/>
            <w:vAlign w:val="center"/>
          </w:tcPr>
          <w:p w14:paraId="30E0DBE4" w14:textId="77777777" w:rsidR="003824FB" w:rsidRPr="00734942" w:rsidRDefault="003824FB" w:rsidP="00F86021">
            <w:pPr>
              <w:jc w:val="center"/>
              <w:rPr>
                <w:rFonts w:cstheme="minorHAnsi"/>
                <w:sz w:val="20"/>
                <w:szCs w:val="20"/>
              </w:rPr>
            </w:pPr>
            <w:r w:rsidRPr="00136D12">
              <w:rPr>
                <w:rFonts w:cstheme="minorHAnsi"/>
                <w:sz w:val="20"/>
                <w:szCs w:val="20"/>
              </w:rPr>
              <w:t>-3.483</w:t>
            </w:r>
          </w:p>
        </w:tc>
      </w:tr>
      <w:tr w:rsidR="003824FB" w:rsidRPr="00734942" w14:paraId="2FA70245" w14:textId="77777777" w:rsidTr="00826FF8">
        <w:tc>
          <w:tcPr>
            <w:tcW w:w="2127" w:type="dxa"/>
            <w:vAlign w:val="center"/>
          </w:tcPr>
          <w:p w14:paraId="389E6BE1" w14:textId="77777777" w:rsidR="003824FB" w:rsidRPr="00734942" w:rsidRDefault="003824FB" w:rsidP="00F86021">
            <w:pPr>
              <w:rPr>
                <w:rFonts w:cstheme="minorHAnsi"/>
                <w:b/>
                <w:bCs/>
                <w:sz w:val="20"/>
                <w:szCs w:val="20"/>
              </w:rPr>
            </w:pPr>
            <w:r w:rsidRPr="00734942">
              <w:rPr>
                <w:rFonts w:cstheme="minorHAnsi"/>
                <w:b/>
                <w:bCs/>
                <w:sz w:val="20"/>
                <w:szCs w:val="20"/>
              </w:rPr>
              <w:t>Calibration slope</w:t>
            </w:r>
            <w:r w:rsidRPr="00785031">
              <w:rPr>
                <w:rFonts w:cstheme="minorHAnsi"/>
                <w:b/>
                <w:bCs/>
                <w:sz w:val="20"/>
                <w:szCs w:val="20"/>
                <w:vertAlign w:val="superscript"/>
              </w:rPr>
              <w:t>a</w:t>
            </w:r>
          </w:p>
        </w:tc>
        <w:tc>
          <w:tcPr>
            <w:tcW w:w="1701" w:type="dxa"/>
            <w:vAlign w:val="center"/>
          </w:tcPr>
          <w:p w14:paraId="309D5A53" w14:textId="77777777" w:rsidR="003824FB" w:rsidRPr="00734942" w:rsidRDefault="003824FB" w:rsidP="00F86021">
            <w:pPr>
              <w:jc w:val="center"/>
              <w:rPr>
                <w:rFonts w:cstheme="minorHAnsi"/>
                <w:sz w:val="20"/>
                <w:szCs w:val="20"/>
              </w:rPr>
            </w:pPr>
            <w:r w:rsidRPr="00734942">
              <w:rPr>
                <w:rFonts w:cstheme="minorHAnsi"/>
                <w:sz w:val="20"/>
                <w:szCs w:val="20"/>
              </w:rPr>
              <w:t>0.964</w:t>
            </w:r>
          </w:p>
        </w:tc>
        <w:tc>
          <w:tcPr>
            <w:tcW w:w="2126" w:type="dxa"/>
            <w:vAlign w:val="center"/>
          </w:tcPr>
          <w:p w14:paraId="1F9EF5D9" w14:textId="77777777" w:rsidR="003824FB" w:rsidRPr="00734942" w:rsidRDefault="003824FB" w:rsidP="00F86021">
            <w:pPr>
              <w:jc w:val="center"/>
              <w:rPr>
                <w:rFonts w:cstheme="minorHAnsi"/>
                <w:sz w:val="20"/>
                <w:szCs w:val="20"/>
              </w:rPr>
            </w:pPr>
            <w:r w:rsidRPr="00136D12">
              <w:rPr>
                <w:rFonts w:cstheme="minorHAnsi"/>
                <w:sz w:val="20"/>
                <w:szCs w:val="20"/>
              </w:rPr>
              <w:t>0.978</w:t>
            </w:r>
          </w:p>
        </w:tc>
        <w:tc>
          <w:tcPr>
            <w:tcW w:w="2126" w:type="dxa"/>
            <w:vAlign w:val="center"/>
          </w:tcPr>
          <w:p w14:paraId="304A5B8D" w14:textId="77777777" w:rsidR="003824FB" w:rsidRPr="00734942" w:rsidRDefault="003824FB" w:rsidP="00F86021">
            <w:pPr>
              <w:jc w:val="center"/>
              <w:rPr>
                <w:rFonts w:cstheme="minorHAnsi"/>
                <w:sz w:val="20"/>
                <w:szCs w:val="20"/>
              </w:rPr>
            </w:pPr>
            <w:r w:rsidRPr="00136D12">
              <w:rPr>
                <w:rFonts w:cstheme="minorHAnsi"/>
                <w:sz w:val="20"/>
                <w:szCs w:val="20"/>
              </w:rPr>
              <w:t>0.941</w:t>
            </w:r>
          </w:p>
        </w:tc>
      </w:tr>
      <w:tr w:rsidR="003824FB" w:rsidRPr="00734942" w14:paraId="23B8D7A0" w14:textId="77777777" w:rsidTr="00826FF8">
        <w:tc>
          <w:tcPr>
            <w:tcW w:w="2127" w:type="dxa"/>
            <w:shd w:val="clear" w:color="auto" w:fill="BFBFBF" w:themeFill="background1" w:themeFillShade="BF"/>
            <w:vAlign w:val="center"/>
          </w:tcPr>
          <w:p w14:paraId="350EE6EF" w14:textId="77777777" w:rsidR="003824FB" w:rsidRPr="00734942" w:rsidRDefault="003824FB" w:rsidP="00F86021">
            <w:pPr>
              <w:rPr>
                <w:rFonts w:cstheme="minorHAnsi"/>
                <w:b/>
                <w:bCs/>
                <w:sz w:val="20"/>
                <w:szCs w:val="20"/>
              </w:rPr>
            </w:pPr>
            <w:r w:rsidRPr="00734942">
              <w:rPr>
                <w:rFonts w:cstheme="minorHAnsi"/>
                <w:b/>
                <w:bCs/>
                <w:sz w:val="20"/>
                <w:szCs w:val="20"/>
              </w:rPr>
              <w:t>Women</w:t>
            </w:r>
          </w:p>
        </w:tc>
        <w:tc>
          <w:tcPr>
            <w:tcW w:w="1701" w:type="dxa"/>
            <w:shd w:val="clear" w:color="auto" w:fill="BFBFBF" w:themeFill="background1" w:themeFillShade="BF"/>
            <w:vAlign w:val="center"/>
          </w:tcPr>
          <w:p w14:paraId="17BE3ECF"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787C58D2"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55687762" w14:textId="77777777" w:rsidR="003824FB" w:rsidRPr="00734942" w:rsidRDefault="003824FB" w:rsidP="00F86021">
            <w:pPr>
              <w:jc w:val="center"/>
              <w:rPr>
                <w:rFonts w:cstheme="minorHAnsi"/>
                <w:sz w:val="20"/>
                <w:szCs w:val="20"/>
              </w:rPr>
            </w:pPr>
          </w:p>
        </w:tc>
      </w:tr>
      <w:tr w:rsidR="003824FB" w:rsidRPr="00734942" w14:paraId="3BBDB5AB" w14:textId="77777777" w:rsidTr="00826FF8">
        <w:tc>
          <w:tcPr>
            <w:tcW w:w="2127" w:type="dxa"/>
            <w:vAlign w:val="center"/>
          </w:tcPr>
          <w:p w14:paraId="0534D39E" w14:textId="77777777" w:rsidR="003824FB" w:rsidRPr="00734942" w:rsidRDefault="003824FB" w:rsidP="00F86021">
            <w:pPr>
              <w:rPr>
                <w:rFonts w:cstheme="minorHAnsi"/>
                <w:b/>
                <w:bCs/>
                <w:sz w:val="20"/>
                <w:szCs w:val="20"/>
              </w:rPr>
            </w:pPr>
            <w:r w:rsidRPr="00734942">
              <w:rPr>
                <w:rFonts w:cstheme="minorHAnsi"/>
                <w:b/>
                <w:bCs/>
                <w:sz w:val="20"/>
                <w:szCs w:val="20"/>
              </w:rPr>
              <w:t>R-squared</w:t>
            </w:r>
          </w:p>
        </w:tc>
        <w:tc>
          <w:tcPr>
            <w:tcW w:w="1701" w:type="dxa"/>
            <w:vAlign w:val="center"/>
          </w:tcPr>
          <w:p w14:paraId="56A71A9B" w14:textId="77777777" w:rsidR="003824FB" w:rsidRPr="00734942" w:rsidRDefault="003824FB" w:rsidP="00F86021">
            <w:pPr>
              <w:jc w:val="center"/>
              <w:rPr>
                <w:rFonts w:cstheme="minorHAnsi"/>
                <w:sz w:val="20"/>
                <w:szCs w:val="20"/>
              </w:rPr>
            </w:pPr>
            <w:r w:rsidRPr="00734942">
              <w:rPr>
                <w:rFonts w:cstheme="minorHAnsi"/>
                <w:sz w:val="20"/>
                <w:szCs w:val="20"/>
              </w:rPr>
              <w:t>0.237</w:t>
            </w:r>
          </w:p>
        </w:tc>
        <w:tc>
          <w:tcPr>
            <w:tcW w:w="2126" w:type="dxa"/>
            <w:vAlign w:val="center"/>
          </w:tcPr>
          <w:p w14:paraId="63B48DB7" w14:textId="77777777" w:rsidR="003824FB" w:rsidRPr="00734942" w:rsidRDefault="003824FB" w:rsidP="00F86021">
            <w:pPr>
              <w:jc w:val="center"/>
              <w:rPr>
                <w:rFonts w:cstheme="minorHAnsi"/>
                <w:sz w:val="20"/>
                <w:szCs w:val="20"/>
              </w:rPr>
            </w:pPr>
            <w:r w:rsidRPr="00136D12">
              <w:rPr>
                <w:rFonts w:cstheme="minorHAnsi"/>
                <w:sz w:val="20"/>
                <w:szCs w:val="20"/>
              </w:rPr>
              <w:t>0.272</w:t>
            </w:r>
          </w:p>
        </w:tc>
        <w:tc>
          <w:tcPr>
            <w:tcW w:w="2126" w:type="dxa"/>
            <w:vAlign w:val="center"/>
          </w:tcPr>
          <w:p w14:paraId="20AD846B" w14:textId="77777777" w:rsidR="003824FB" w:rsidRPr="00734942" w:rsidRDefault="003824FB" w:rsidP="00F86021">
            <w:pPr>
              <w:jc w:val="center"/>
              <w:rPr>
                <w:rFonts w:cstheme="minorHAnsi"/>
                <w:sz w:val="20"/>
                <w:szCs w:val="20"/>
              </w:rPr>
            </w:pPr>
            <w:r w:rsidRPr="00136D12">
              <w:rPr>
                <w:rFonts w:cstheme="minorHAnsi"/>
                <w:sz w:val="20"/>
                <w:szCs w:val="20"/>
              </w:rPr>
              <w:t>0.276</w:t>
            </w:r>
          </w:p>
        </w:tc>
      </w:tr>
      <w:tr w:rsidR="003824FB" w:rsidRPr="00734942" w14:paraId="035421C3" w14:textId="77777777" w:rsidTr="00826FF8">
        <w:tc>
          <w:tcPr>
            <w:tcW w:w="2127" w:type="dxa"/>
            <w:vAlign w:val="center"/>
          </w:tcPr>
          <w:p w14:paraId="77EF2ED2" w14:textId="77777777" w:rsidR="003824FB" w:rsidRPr="00734942" w:rsidRDefault="003824FB" w:rsidP="00F86021">
            <w:pPr>
              <w:rPr>
                <w:rFonts w:cstheme="minorHAnsi"/>
                <w:b/>
                <w:bCs/>
                <w:sz w:val="20"/>
                <w:szCs w:val="20"/>
              </w:rPr>
            </w:pPr>
            <w:r w:rsidRPr="00734942">
              <w:rPr>
                <w:rFonts w:cstheme="minorHAnsi"/>
                <w:b/>
                <w:bCs/>
                <w:sz w:val="20"/>
                <w:szCs w:val="20"/>
              </w:rPr>
              <w:t>Brier score</w:t>
            </w:r>
          </w:p>
        </w:tc>
        <w:tc>
          <w:tcPr>
            <w:tcW w:w="1701" w:type="dxa"/>
            <w:vAlign w:val="center"/>
          </w:tcPr>
          <w:p w14:paraId="2DE415FE" w14:textId="77777777" w:rsidR="003824FB" w:rsidRPr="00734942" w:rsidRDefault="003824FB" w:rsidP="00F86021">
            <w:pPr>
              <w:jc w:val="center"/>
              <w:rPr>
                <w:rFonts w:cstheme="minorHAnsi"/>
                <w:sz w:val="20"/>
                <w:szCs w:val="20"/>
              </w:rPr>
            </w:pPr>
            <w:r w:rsidRPr="00734942">
              <w:rPr>
                <w:rFonts w:cstheme="minorHAnsi"/>
                <w:sz w:val="20"/>
                <w:szCs w:val="20"/>
              </w:rPr>
              <w:t>0.227</w:t>
            </w:r>
          </w:p>
        </w:tc>
        <w:tc>
          <w:tcPr>
            <w:tcW w:w="2126" w:type="dxa"/>
            <w:vAlign w:val="center"/>
          </w:tcPr>
          <w:p w14:paraId="222C73BD" w14:textId="77777777" w:rsidR="003824FB" w:rsidRPr="00734942" w:rsidRDefault="003824FB" w:rsidP="00F86021">
            <w:pPr>
              <w:jc w:val="center"/>
              <w:rPr>
                <w:rFonts w:cstheme="minorHAnsi"/>
                <w:sz w:val="20"/>
                <w:szCs w:val="20"/>
              </w:rPr>
            </w:pPr>
            <w:r w:rsidRPr="00136D12">
              <w:rPr>
                <w:rFonts w:cstheme="minorHAnsi"/>
                <w:sz w:val="20"/>
                <w:szCs w:val="20"/>
              </w:rPr>
              <w:t>0.244</w:t>
            </w:r>
          </w:p>
        </w:tc>
        <w:tc>
          <w:tcPr>
            <w:tcW w:w="2126" w:type="dxa"/>
            <w:vAlign w:val="center"/>
          </w:tcPr>
          <w:p w14:paraId="1E60D18F" w14:textId="77777777" w:rsidR="003824FB" w:rsidRPr="00734942" w:rsidRDefault="003824FB" w:rsidP="00F86021">
            <w:pPr>
              <w:jc w:val="center"/>
              <w:rPr>
                <w:rFonts w:cstheme="minorHAnsi"/>
                <w:sz w:val="20"/>
                <w:szCs w:val="20"/>
              </w:rPr>
            </w:pPr>
            <w:r w:rsidRPr="00136D12">
              <w:rPr>
                <w:rFonts w:cstheme="minorHAnsi"/>
                <w:sz w:val="20"/>
                <w:szCs w:val="20"/>
              </w:rPr>
              <w:t>0.153</w:t>
            </w:r>
          </w:p>
        </w:tc>
      </w:tr>
      <w:tr w:rsidR="003824FB" w:rsidRPr="00734942" w14:paraId="5D5BC635" w14:textId="77777777" w:rsidTr="00826FF8">
        <w:tc>
          <w:tcPr>
            <w:tcW w:w="2127" w:type="dxa"/>
            <w:vAlign w:val="center"/>
          </w:tcPr>
          <w:p w14:paraId="4D9FDBE7" w14:textId="77777777" w:rsidR="003824FB" w:rsidRPr="00734942" w:rsidRDefault="003824FB" w:rsidP="00F86021">
            <w:pPr>
              <w:rPr>
                <w:rFonts w:cstheme="minorHAnsi"/>
                <w:b/>
                <w:bCs/>
                <w:sz w:val="20"/>
                <w:szCs w:val="20"/>
              </w:rPr>
            </w:pPr>
            <w:r w:rsidRPr="00734942">
              <w:rPr>
                <w:rFonts w:cstheme="minorHAnsi"/>
                <w:b/>
                <w:bCs/>
                <w:sz w:val="20"/>
                <w:szCs w:val="20"/>
              </w:rPr>
              <w:t>C statistic</w:t>
            </w:r>
          </w:p>
        </w:tc>
        <w:tc>
          <w:tcPr>
            <w:tcW w:w="1701" w:type="dxa"/>
            <w:vAlign w:val="center"/>
          </w:tcPr>
          <w:p w14:paraId="08C41141" w14:textId="77777777" w:rsidR="003824FB" w:rsidRPr="00734942" w:rsidRDefault="003824FB" w:rsidP="00F86021">
            <w:pPr>
              <w:jc w:val="center"/>
              <w:rPr>
                <w:rFonts w:cstheme="minorHAnsi"/>
                <w:sz w:val="20"/>
                <w:szCs w:val="20"/>
              </w:rPr>
            </w:pPr>
            <w:r w:rsidRPr="00734942">
              <w:rPr>
                <w:rFonts w:cstheme="minorHAnsi"/>
                <w:sz w:val="20"/>
                <w:szCs w:val="20"/>
              </w:rPr>
              <w:t>0.756</w:t>
            </w:r>
          </w:p>
        </w:tc>
        <w:tc>
          <w:tcPr>
            <w:tcW w:w="2126" w:type="dxa"/>
            <w:vAlign w:val="center"/>
          </w:tcPr>
          <w:p w14:paraId="64D6970B" w14:textId="77777777" w:rsidR="003824FB" w:rsidRPr="00734942" w:rsidRDefault="003824FB" w:rsidP="00F86021">
            <w:pPr>
              <w:jc w:val="center"/>
              <w:rPr>
                <w:rFonts w:cstheme="minorHAnsi"/>
                <w:sz w:val="20"/>
                <w:szCs w:val="20"/>
              </w:rPr>
            </w:pPr>
            <w:r w:rsidRPr="00734942">
              <w:rPr>
                <w:rFonts w:cstheme="minorHAnsi"/>
                <w:sz w:val="20"/>
                <w:szCs w:val="20"/>
              </w:rPr>
              <w:t>0.778</w:t>
            </w:r>
          </w:p>
        </w:tc>
        <w:tc>
          <w:tcPr>
            <w:tcW w:w="2126" w:type="dxa"/>
            <w:vAlign w:val="center"/>
          </w:tcPr>
          <w:p w14:paraId="176D7630" w14:textId="77777777" w:rsidR="003824FB" w:rsidRPr="00734942" w:rsidRDefault="003824FB" w:rsidP="00F86021">
            <w:pPr>
              <w:jc w:val="center"/>
              <w:rPr>
                <w:rFonts w:cstheme="minorHAnsi"/>
                <w:sz w:val="20"/>
                <w:szCs w:val="20"/>
              </w:rPr>
            </w:pPr>
            <w:r w:rsidRPr="00734942">
              <w:rPr>
                <w:rFonts w:cstheme="minorHAnsi"/>
                <w:sz w:val="20"/>
                <w:szCs w:val="20"/>
              </w:rPr>
              <w:t>0.779</w:t>
            </w:r>
          </w:p>
        </w:tc>
      </w:tr>
      <w:tr w:rsidR="003824FB" w:rsidRPr="00734942" w14:paraId="0512BF86" w14:textId="77777777" w:rsidTr="00826FF8">
        <w:tc>
          <w:tcPr>
            <w:tcW w:w="2127" w:type="dxa"/>
            <w:vAlign w:val="center"/>
          </w:tcPr>
          <w:p w14:paraId="24CFD6FE" w14:textId="77777777" w:rsidR="003824FB" w:rsidRPr="00734942" w:rsidRDefault="003824FB" w:rsidP="00F86021">
            <w:pPr>
              <w:rPr>
                <w:rFonts w:cstheme="minorHAnsi"/>
                <w:b/>
                <w:bCs/>
                <w:sz w:val="20"/>
                <w:szCs w:val="20"/>
              </w:rPr>
            </w:pPr>
            <w:r w:rsidRPr="00734942">
              <w:rPr>
                <w:rFonts w:cstheme="minorHAnsi"/>
                <w:b/>
                <w:bCs/>
                <w:sz w:val="20"/>
                <w:szCs w:val="20"/>
              </w:rPr>
              <w:t>Calibration intercept</w:t>
            </w:r>
            <w:r w:rsidRPr="00785031">
              <w:rPr>
                <w:rFonts w:cstheme="minorHAnsi"/>
                <w:b/>
                <w:bCs/>
                <w:sz w:val="20"/>
                <w:szCs w:val="20"/>
                <w:vertAlign w:val="superscript"/>
              </w:rPr>
              <w:t>a</w:t>
            </w:r>
          </w:p>
        </w:tc>
        <w:tc>
          <w:tcPr>
            <w:tcW w:w="1701" w:type="dxa"/>
            <w:vAlign w:val="center"/>
          </w:tcPr>
          <w:p w14:paraId="54778BCA" w14:textId="77777777" w:rsidR="003824FB" w:rsidRPr="00734942" w:rsidRDefault="003824FB" w:rsidP="00F86021">
            <w:pPr>
              <w:jc w:val="center"/>
              <w:rPr>
                <w:rFonts w:cstheme="minorHAnsi"/>
                <w:sz w:val="20"/>
                <w:szCs w:val="20"/>
              </w:rPr>
            </w:pPr>
            <w:r w:rsidRPr="00734942">
              <w:rPr>
                <w:rFonts w:cstheme="minorHAnsi"/>
                <w:sz w:val="20"/>
                <w:szCs w:val="20"/>
              </w:rPr>
              <w:t>-0.161</w:t>
            </w:r>
          </w:p>
        </w:tc>
        <w:tc>
          <w:tcPr>
            <w:tcW w:w="2126" w:type="dxa"/>
            <w:vAlign w:val="center"/>
          </w:tcPr>
          <w:p w14:paraId="093AA319" w14:textId="77777777" w:rsidR="003824FB" w:rsidRPr="00734942" w:rsidRDefault="003824FB" w:rsidP="00F86021">
            <w:pPr>
              <w:jc w:val="center"/>
              <w:rPr>
                <w:rFonts w:cstheme="minorHAnsi"/>
                <w:sz w:val="20"/>
                <w:szCs w:val="20"/>
              </w:rPr>
            </w:pPr>
            <w:r w:rsidRPr="00136D12">
              <w:rPr>
                <w:rFonts w:cstheme="minorHAnsi"/>
                <w:sz w:val="20"/>
                <w:szCs w:val="20"/>
              </w:rPr>
              <w:t>-0.307</w:t>
            </w:r>
          </w:p>
        </w:tc>
        <w:tc>
          <w:tcPr>
            <w:tcW w:w="2126" w:type="dxa"/>
            <w:vAlign w:val="center"/>
          </w:tcPr>
          <w:p w14:paraId="298F99F9" w14:textId="77777777" w:rsidR="003824FB" w:rsidRPr="00734942" w:rsidRDefault="003824FB" w:rsidP="00F86021">
            <w:pPr>
              <w:jc w:val="center"/>
              <w:rPr>
                <w:rFonts w:cstheme="minorHAnsi"/>
                <w:sz w:val="20"/>
                <w:szCs w:val="20"/>
              </w:rPr>
            </w:pPr>
            <w:r w:rsidRPr="00136D12">
              <w:rPr>
                <w:rFonts w:cstheme="minorHAnsi"/>
                <w:sz w:val="20"/>
                <w:szCs w:val="20"/>
              </w:rPr>
              <w:t>-3.729</w:t>
            </w:r>
          </w:p>
        </w:tc>
      </w:tr>
      <w:tr w:rsidR="003824FB" w:rsidRPr="00734942" w14:paraId="7F0DA714" w14:textId="77777777" w:rsidTr="00826FF8">
        <w:tc>
          <w:tcPr>
            <w:tcW w:w="2127" w:type="dxa"/>
            <w:vAlign w:val="center"/>
          </w:tcPr>
          <w:p w14:paraId="3B4A37E5" w14:textId="77777777" w:rsidR="003824FB" w:rsidRPr="00734942" w:rsidRDefault="003824FB" w:rsidP="00F86021">
            <w:pPr>
              <w:rPr>
                <w:rFonts w:cstheme="minorHAnsi"/>
                <w:b/>
                <w:bCs/>
                <w:sz w:val="20"/>
                <w:szCs w:val="20"/>
              </w:rPr>
            </w:pPr>
            <w:r w:rsidRPr="00734942">
              <w:rPr>
                <w:rFonts w:cstheme="minorHAnsi"/>
                <w:b/>
                <w:bCs/>
                <w:sz w:val="20"/>
                <w:szCs w:val="20"/>
              </w:rPr>
              <w:t>Calibration slope</w:t>
            </w:r>
            <w:r w:rsidRPr="00785031">
              <w:rPr>
                <w:rFonts w:cstheme="minorHAnsi"/>
                <w:b/>
                <w:bCs/>
                <w:sz w:val="20"/>
                <w:szCs w:val="20"/>
                <w:vertAlign w:val="superscript"/>
              </w:rPr>
              <w:t>a</w:t>
            </w:r>
          </w:p>
        </w:tc>
        <w:tc>
          <w:tcPr>
            <w:tcW w:w="1701" w:type="dxa"/>
            <w:vAlign w:val="center"/>
          </w:tcPr>
          <w:p w14:paraId="294F1938" w14:textId="77777777" w:rsidR="003824FB" w:rsidRPr="00734942" w:rsidRDefault="003824FB" w:rsidP="00F86021">
            <w:pPr>
              <w:jc w:val="center"/>
              <w:rPr>
                <w:rFonts w:cstheme="minorHAnsi"/>
                <w:sz w:val="20"/>
                <w:szCs w:val="20"/>
              </w:rPr>
            </w:pPr>
            <w:r w:rsidRPr="00734942">
              <w:rPr>
                <w:rFonts w:cstheme="minorHAnsi"/>
                <w:sz w:val="20"/>
                <w:szCs w:val="20"/>
              </w:rPr>
              <w:t>0.822</w:t>
            </w:r>
          </w:p>
        </w:tc>
        <w:tc>
          <w:tcPr>
            <w:tcW w:w="2126" w:type="dxa"/>
            <w:vAlign w:val="center"/>
          </w:tcPr>
          <w:p w14:paraId="5A8748B1" w14:textId="77777777" w:rsidR="003824FB" w:rsidRPr="00734942" w:rsidRDefault="003824FB" w:rsidP="00F86021">
            <w:pPr>
              <w:jc w:val="center"/>
              <w:rPr>
                <w:rFonts w:cstheme="minorHAnsi"/>
                <w:sz w:val="20"/>
                <w:szCs w:val="20"/>
              </w:rPr>
            </w:pPr>
            <w:r w:rsidRPr="00136D12">
              <w:rPr>
                <w:rFonts w:cstheme="minorHAnsi"/>
                <w:sz w:val="20"/>
                <w:szCs w:val="20"/>
              </w:rPr>
              <w:t>0.816</w:t>
            </w:r>
          </w:p>
        </w:tc>
        <w:tc>
          <w:tcPr>
            <w:tcW w:w="2126" w:type="dxa"/>
            <w:vAlign w:val="center"/>
          </w:tcPr>
          <w:p w14:paraId="12FC95DB" w14:textId="77777777" w:rsidR="003824FB" w:rsidRPr="00734942" w:rsidRDefault="003824FB" w:rsidP="00F86021">
            <w:pPr>
              <w:jc w:val="center"/>
              <w:rPr>
                <w:rFonts w:cstheme="minorHAnsi"/>
                <w:sz w:val="20"/>
                <w:szCs w:val="20"/>
              </w:rPr>
            </w:pPr>
            <w:r w:rsidRPr="00136D12">
              <w:rPr>
                <w:rFonts w:cstheme="minorHAnsi"/>
                <w:sz w:val="20"/>
                <w:szCs w:val="20"/>
              </w:rPr>
              <w:t>0.818</w:t>
            </w:r>
          </w:p>
        </w:tc>
      </w:tr>
      <w:tr w:rsidR="003824FB" w:rsidRPr="00734942" w14:paraId="1BA2F01B" w14:textId="77777777" w:rsidTr="00826FF8">
        <w:tc>
          <w:tcPr>
            <w:tcW w:w="2127" w:type="dxa"/>
            <w:shd w:val="clear" w:color="auto" w:fill="BFBFBF" w:themeFill="background1" w:themeFillShade="BF"/>
            <w:vAlign w:val="center"/>
          </w:tcPr>
          <w:p w14:paraId="49CFB721" w14:textId="77777777" w:rsidR="003824FB" w:rsidRPr="00734942" w:rsidRDefault="003824FB" w:rsidP="00F86021">
            <w:pPr>
              <w:rPr>
                <w:rFonts w:cstheme="minorHAnsi"/>
                <w:b/>
                <w:bCs/>
                <w:sz w:val="20"/>
                <w:szCs w:val="20"/>
              </w:rPr>
            </w:pPr>
            <w:r w:rsidRPr="00734942">
              <w:rPr>
                <w:rFonts w:cstheme="minorHAnsi"/>
                <w:b/>
                <w:bCs/>
                <w:sz w:val="20"/>
                <w:szCs w:val="20"/>
              </w:rPr>
              <w:t>Men</w:t>
            </w:r>
          </w:p>
        </w:tc>
        <w:tc>
          <w:tcPr>
            <w:tcW w:w="1701" w:type="dxa"/>
            <w:shd w:val="clear" w:color="auto" w:fill="BFBFBF" w:themeFill="background1" w:themeFillShade="BF"/>
            <w:vAlign w:val="center"/>
          </w:tcPr>
          <w:p w14:paraId="40B15969"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6EBFE49D" w14:textId="77777777" w:rsidR="003824FB" w:rsidRPr="00734942" w:rsidRDefault="003824FB" w:rsidP="00F86021">
            <w:pPr>
              <w:jc w:val="center"/>
              <w:rPr>
                <w:rFonts w:cstheme="minorHAnsi"/>
                <w:sz w:val="20"/>
                <w:szCs w:val="20"/>
              </w:rPr>
            </w:pPr>
          </w:p>
        </w:tc>
        <w:tc>
          <w:tcPr>
            <w:tcW w:w="2126" w:type="dxa"/>
            <w:shd w:val="clear" w:color="auto" w:fill="BFBFBF" w:themeFill="background1" w:themeFillShade="BF"/>
            <w:vAlign w:val="center"/>
          </w:tcPr>
          <w:p w14:paraId="52B24236" w14:textId="77777777" w:rsidR="003824FB" w:rsidRPr="00734942" w:rsidRDefault="003824FB" w:rsidP="00F86021">
            <w:pPr>
              <w:jc w:val="center"/>
              <w:rPr>
                <w:rFonts w:cstheme="minorHAnsi"/>
                <w:sz w:val="20"/>
                <w:szCs w:val="20"/>
              </w:rPr>
            </w:pPr>
          </w:p>
        </w:tc>
      </w:tr>
      <w:tr w:rsidR="003824FB" w:rsidRPr="00734942" w14:paraId="5F69D043" w14:textId="77777777" w:rsidTr="00826FF8">
        <w:tc>
          <w:tcPr>
            <w:tcW w:w="2127" w:type="dxa"/>
            <w:vAlign w:val="center"/>
          </w:tcPr>
          <w:p w14:paraId="54E1F128" w14:textId="77777777" w:rsidR="003824FB" w:rsidRPr="00734942" w:rsidRDefault="003824FB" w:rsidP="00F86021">
            <w:pPr>
              <w:rPr>
                <w:rFonts w:cstheme="minorHAnsi"/>
                <w:b/>
                <w:bCs/>
                <w:sz w:val="20"/>
                <w:szCs w:val="20"/>
              </w:rPr>
            </w:pPr>
            <w:r w:rsidRPr="00734942">
              <w:rPr>
                <w:rFonts w:cstheme="minorHAnsi"/>
                <w:b/>
                <w:bCs/>
                <w:sz w:val="20"/>
                <w:szCs w:val="20"/>
              </w:rPr>
              <w:t>R-squared</w:t>
            </w:r>
          </w:p>
        </w:tc>
        <w:tc>
          <w:tcPr>
            <w:tcW w:w="1701" w:type="dxa"/>
            <w:vAlign w:val="center"/>
          </w:tcPr>
          <w:p w14:paraId="7AED71F4" w14:textId="77777777" w:rsidR="003824FB" w:rsidRPr="00734942" w:rsidRDefault="003824FB" w:rsidP="00F86021">
            <w:pPr>
              <w:jc w:val="center"/>
              <w:rPr>
                <w:rFonts w:cstheme="minorHAnsi"/>
                <w:sz w:val="20"/>
                <w:szCs w:val="20"/>
              </w:rPr>
            </w:pPr>
            <w:r w:rsidRPr="00734942">
              <w:rPr>
                <w:rFonts w:cstheme="minorHAnsi"/>
                <w:sz w:val="20"/>
                <w:szCs w:val="20"/>
              </w:rPr>
              <w:t>0.286</w:t>
            </w:r>
          </w:p>
        </w:tc>
        <w:tc>
          <w:tcPr>
            <w:tcW w:w="2126" w:type="dxa"/>
            <w:vAlign w:val="center"/>
          </w:tcPr>
          <w:p w14:paraId="0239A976" w14:textId="77777777" w:rsidR="003824FB" w:rsidRPr="00734942" w:rsidRDefault="003824FB" w:rsidP="00F86021">
            <w:pPr>
              <w:jc w:val="center"/>
              <w:rPr>
                <w:rFonts w:cstheme="minorHAnsi"/>
                <w:sz w:val="20"/>
                <w:szCs w:val="20"/>
              </w:rPr>
            </w:pPr>
            <w:r w:rsidRPr="00136D12">
              <w:rPr>
                <w:rFonts w:cstheme="minorHAnsi"/>
                <w:sz w:val="20"/>
                <w:szCs w:val="20"/>
              </w:rPr>
              <w:t>0.300</w:t>
            </w:r>
          </w:p>
        </w:tc>
        <w:tc>
          <w:tcPr>
            <w:tcW w:w="2126" w:type="dxa"/>
            <w:vAlign w:val="center"/>
          </w:tcPr>
          <w:p w14:paraId="7926C53E" w14:textId="77777777" w:rsidR="003824FB" w:rsidRPr="00734942" w:rsidRDefault="003824FB" w:rsidP="00F86021">
            <w:pPr>
              <w:jc w:val="center"/>
              <w:rPr>
                <w:rFonts w:cstheme="minorHAnsi"/>
                <w:sz w:val="20"/>
                <w:szCs w:val="20"/>
              </w:rPr>
            </w:pPr>
            <w:r w:rsidRPr="00136D12">
              <w:rPr>
                <w:rFonts w:cstheme="minorHAnsi"/>
                <w:sz w:val="20"/>
                <w:szCs w:val="20"/>
              </w:rPr>
              <w:t>0.301</w:t>
            </w:r>
          </w:p>
        </w:tc>
      </w:tr>
      <w:tr w:rsidR="003824FB" w:rsidRPr="00734942" w14:paraId="368A1951" w14:textId="77777777" w:rsidTr="00826FF8">
        <w:tc>
          <w:tcPr>
            <w:tcW w:w="2127" w:type="dxa"/>
            <w:vAlign w:val="center"/>
          </w:tcPr>
          <w:p w14:paraId="79678B1B" w14:textId="77777777" w:rsidR="003824FB" w:rsidRPr="00734942" w:rsidRDefault="003824FB" w:rsidP="00F86021">
            <w:pPr>
              <w:rPr>
                <w:rFonts w:cstheme="minorHAnsi"/>
                <w:b/>
                <w:bCs/>
                <w:sz w:val="20"/>
                <w:szCs w:val="20"/>
              </w:rPr>
            </w:pPr>
            <w:r w:rsidRPr="00734942">
              <w:rPr>
                <w:rFonts w:cstheme="minorHAnsi"/>
                <w:b/>
                <w:bCs/>
                <w:sz w:val="20"/>
                <w:szCs w:val="20"/>
              </w:rPr>
              <w:t>Brier score</w:t>
            </w:r>
          </w:p>
        </w:tc>
        <w:tc>
          <w:tcPr>
            <w:tcW w:w="1701" w:type="dxa"/>
            <w:vAlign w:val="center"/>
          </w:tcPr>
          <w:p w14:paraId="145072D0" w14:textId="77777777" w:rsidR="003824FB" w:rsidRPr="00734942" w:rsidRDefault="003824FB" w:rsidP="00F86021">
            <w:pPr>
              <w:jc w:val="center"/>
              <w:rPr>
                <w:rFonts w:cstheme="minorHAnsi"/>
                <w:sz w:val="20"/>
                <w:szCs w:val="20"/>
              </w:rPr>
            </w:pPr>
            <w:r w:rsidRPr="00734942">
              <w:rPr>
                <w:rFonts w:cstheme="minorHAnsi"/>
                <w:sz w:val="20"/>
                <w:szCs w:val="20"/>
              </w:rPr>
              <w:t>0.122</w:t>
            </w:r>
          </w:p>
        </w:tc>
        <w:tc>
          <w:tcPr>
            <w:tcW w:w="2126" w:type="dxa"/>
            <w:vAlign w:val="center"/>
          </w:tcPr>
          <w:p w14:paraId="6D514D88" w14:textId="77777777" w:rsidR="003824FB" w:rsidRPr="00734942" w:rsidRDefault="003824FB" w:rsidP="00F86021">
            <w:pPr>
              <w:jc w:val="center"/>
              <w:rPr>
                <w:rFonts w:cstheme="minorHAnsi"/>
                <w:sz w:val="20"/>
                <w:szCs w:val="20"/>
              </w:rPr>
            </w:pPr>
            <w:r w:rsidRPr="00136D12">
              <w:rPr>
                <w:rFonts w:cstheme="minorHAnsi"/>
                <w:sz w:val="20"/>
                <w:szCs w:val="20"/>
              </w:rPr>
              <w:t>0.153</w:t>
            </w:r>
          </w:p>
        </w:tc>
        <w:tc>
          <w:tcPr>
            <w:tcW w:w="2126" w:type="dxa"/>
            <w:vAlign w:val="center"/>
          </w:tcPr>
          <w:p w14:paraId="63184E8B" w14:textId="77777777" w:rsidR="003824FB" w:rsidRPr="00734942" w:rsidRDefault="003824FB" w:rsidP="00F86021">
            <w:pPr>
              <w:jc w:val="center"/>
              <w:rPr>
                <w:rFonts w:cstheme="minorHAnsi"/>
                <w:sz w:val="20"/>
                <w:szCs w:val="20"/>
              </w:rPr>
            </w:pPr>
            <w:r w:rsidRPr="00136D12">
              <w:rPr>
                <w:rFonts w:cstheme="minorHAnsi"/>
                <w:sz w:val="20"/>
                <w:szCs w:val="20"/>
              </w:rPr>
              <w:t>0.113</w:t>
            </w:r>
          </w:p>
        </w:tc>
      </w:tr>
      <w:tr w:rsidR="003824FB" w:rsidRPr="00734942" w14:paraId="1CE4B851" w14:textId="77777777" w:rsidTr="00826FF8">
        <w:tc>
          <w:tcPr>
            <w:tcW w:w="2127" w:type="dxa"/>
            <w:vAlign w:val="center"/>
          </w:tcPr>
          <w:p w14:paraId="6AFA04B3" w14:textId="77777777" w:rsidR="003824FB" w:rsidRPr="00734942" w:rsidRDefault="003824FB" w:rsidP="00F86021">
            <w:pPr>
              <w:rPr>
                <w:rFonts w:cstheme="minorHAnsi"/>
                <w:b/>
                <w:bCs/>
                <w:sz w:val="20"/>
                <w:szCs w:val="20"/>
              </w:rPr>
            </w:pPr>
            <w:r w:rsidRPr="00734942">
              <w:rPr>
                <w:rFonts w:cstheme="minorHAnsi"/>
                <w:b/>
                <w:bCs/>
                <w:sz w:val="20"/>
                <w:szCs w:val="20"/>
              </w:rPr>
              <w:t>C statistic</w:t>
            </w:r>
          </w:p>
        </w:tc>
        <w:tc>
          <w:tcPr>
            <w:tcW w:w="1701" w:type="dxa"/>
            <w:vAlign w:val="center"/>
          </w:tcPr>
          <w:p w14:paraId="149343C9" w14:textId="77777777" w:rsidR="003824FB" w:rsidRPr="00734942" w:rsidRDefault="003824FB" w:rsidP="00F86021">
            <w:pPr>
              <w:jc w:val="center"/>
              <w:rPr>
                <w:rFonts w:cstheme="minorHAnsi"/>
                <w:sz w:val="20"/>
                <w:szCs w:val="20"/>
              </w:rPr>
            </w:pPr>
            <w:r w:rsidRPr="00734942">
              <w:rPr>
                <w:rFonts w:cstheme="minorHAnsi"/>
                <w:sz w:val="20"/>
                <w:szCs w:val="20"/>
              </w:rPr>
              <w:t>0.798</w:t>
            </w:r>
          </w:p>
        </w:tc>
        <w:tc>
          <w:tcPr>
            <w:tcW w:w="2126" w:type="dxa"/>
            <w:vAlign w:val="center"/>
          </w:tcPr>
          <w:p w14:paraId="709C3A20" w14:textId="77777777" w:rsidR="003824FB" w:rsidRPr="00734942" w:rsidRDefault="003824FB" w:rsidP="00F86021">
            <w:pPr>
              <w:jc w:val="center"/>
              <w:rPr>
                <w:rFonts w:cstheme="minorHAnsi"/>
                <w:sz w:val="20"/>
                <w:szCs w:val="20"/>
              </w:rPr>
            </w:pPr>
            <w:r w:rsidRPr="00734942">
              <w:rPr>
                <w:rFonts w:cstheme="minorHAnsi"/>
                <w:sz w:val="20"/>
                <w:szCs w:val="20"/>
              </w:rPr>
              <w:t>0.792</w:t>
            </w:r>
          </w:p>
        </w:tc>
        <w:tc>
          <w:tcPr>
            <w:tcW w:w="2126" w:type="dxa"/>
            <w:vAlign w:val="center"/>
          </w:tcPr>
          <w:p w14:paraId="346EE219" w14:textId="77777777" w:rsidR="003824FB" w:rsidRPr="00734942" w:rsidRDefault="003824FB" w:rsidP="00F86021">
            <w:pPr>
              <w:jc w:val="center"/>
              <w:rPr>
                <w:rFonts w:cstheme="minorHAnsi"/>
                <w:sz w:val="20"/>
                <w:szCs w:val="20"/>
              </w:rPr>
            </w:pPr>
            <w:r w:rsidRPr="00734942">
              <w:rPr>
                <w:rFonts w:cstheme="minorHAnsi"/>
                <w:sz w:val="20"/>
                <w:szCs w:val="20"/>
              </w:rPr>
              <w:t>0.793</w:t>
            </w:r>
          </w:p>
        </w:tc>
      </w:tr>
      <w:tr w:rsidR="003824FB" w:rsidRPr="00734942" w14:paraId="75A5BAC0" w14:textId="77777777" w:rsidTr="00826FF8">
        <w:tc>
          <w:tcPr>
            <w:tcW w:w="2127" w:type="dxa"/>
            <w:vAlign w:val="center"/>
          </w:tcPr>
          <w:p w14:paraId="0D7FD019" w14:textId="77777777" w:rsidR="003824FB" w:rsidRPr="00734942" w:rsidRDefault="003824FB" w:rsidP="00F86021">
            <w:pPr>
              <w:rPr>
                <w:rFonts w:cstheme="minorHAnsi"/>
                <w:b/>
                <w:bCs/>
                <w:sz w:val="20"/>
                <w:szCs w:val="20"/>
              </w:rPr>
            </w:pPr>
            <w:r w:rsidRPr="00734942">
              <w:rPr>
                <w:rFonts w:cstheme="minorHAnsi"/>
                <w:b/>
                <w:bCs/>
                <w:sz w:val="20"/>
                <w:szCs w:val="20"/>
              </w:rPr>
              <w:t>Calibration intercept</w:t>
            </w:r>
            <w:r w:rsidRPr="00785031">
              <w:rPr>
                <w:rFonts w:cstheme="minorHAnsi"/>
                <w:b/>
                <w:bCs/>
                <w:sz w:val="20"/>
                <w:szCs w:val="20"/>
                <w:vertAlign w:val="superscript"/>
              </w:rPr>
              <w:t>a</w:t>
            </w:r>
          </w:p>
        </w:tc>
        <w:tc>
          <w:tcPr>
            <w:tcW w:w="1701" w:type="dxa"/>
            <w:vAlign w:val="center"/>
          </w:tcPr>
          <w:p w14:paraId="7B5F0C4C" w14:textId="77777777" w:rsidR="003824FB" w:rsidRPr="00734942" w:rsidRDefault="003824FB" w:rsidP="00F86021">
            <w:pPr>
              <w:jc w:val="center"/>
              <w:rPr>
                <w:rFonts w:cstheme="minorHAnsi"/>
                <w:sz w:val="20"/>
                <w:szCs w:val="20"/>
              </w:rPr>
            </w:pPr>
            <w:r w:rsidRPr="00136D12">
              <w:rPr>
                <w:rFonts w:cstheme="minorHAnsi"/>
                <w:sz w:val="20"/>
                <w:szCs w:val="20"/>
              </w:rPr>
              <w:t>-0.505</w:t>
            </w:r>
          </w:p>
        </w:tc>
        <w:tc>
          <w:tcPr>
            <w:tcW w:w="2126" w:type="dxa"/>
            <w:vAlign w:val="center"/>
          </w:tcPr>
          <w:p w14:paraId="0867A8D0" w14:textId="77777777" w:rsidR="003824FB" w:rsidRPr="00734942" w:rsidRDefault="003824FB" w:rsidP="00F86021">
            <w:pPr>
              <w:jc w:val="center"/>
              <w:rPr>
                <w:rFonts w:cstheme="minorHAnsi"/>
                <w:sz w:val="20"/>
                <w:szCs w:val="20"/>
              </w:rPr>
            </w:pPr>
            <w:r w:rsidRPr="00136D12">
              <w:rPr>
                <w:rFonts w:cstheme="minorHAnsi"/>
                <w:sz w:val="20"/>
                <w:szCs w:val="20"/>
              </w:rPr>
              <w:t>-0.768</w:t>
            </w:r>
          </w:p>
        </w:tc>
        <w:tc>
          <w:tcPr>
            <w:tcW w:w="2126" w:type="dxa"/>
            <w:vAlign w:val="center"/>
          </w:tcPr>
          <w:p w14:paraId="0BC3E7F1" w14:textId="77777777" w:rsidR="003824FB" w:rsidRPr="00734942" w:rsidRDefault="003824FB" w:rsidP="00F86021">
            <w:pPr>
              <w:jc w:val="center"/>
              <w:rPr>
                <w:rFonts w:cstheme="minorHAnsi"/>
                <w:sz w:val="20"/>
                <w:szCs w:val="20"/>
              </w:rPr>
            </w:pPr>
            <w:r w:rsidRPr="00136D12">
              <w:rPr>
                <w:rFonts w:cstheme="minorHAnsi"/>
                <w:sz w:val="20"/>
                <w:szCs w:val="20"/>
              </w:rPr>
              <w:t>-3.228</w:t>
            </w:r>
          </w:p>
        </w:tc>
      </w:tr>
      <w:tr w:rsidR="003824FB" w:rsidRPr="00734942" w14:paraId="346A742C" w14:textId="77777777" w:rsidTr="00826FF8">
        <w:tc>
          <w:tcPr>
            <w:tcW w:w="2127" w:type="dxa"/>
            <w:vAlign w:val="center"/>
          </w:tcPr>
          <w:p w14:paraId="71FA4C69" w14:textId="77777777" w:rsidR="003824FB" w:rsidRPr="00734942" w:rsidRDefault="003824FB" w:rsidP="00F86021">
            <w:pPr>
              <w:rPr>
                <w:rFonts w:cstheme="minorHAnsi"/>
                <w:b/>
                <w:bCs/>
                <w:sz w:val="20"/>
                <w:szCs w:val="20"/>
              </w:rPr>
            </w:pPr>
            <w:r w:rsidRPr="00734942">
              <w:rPr>
                <w:rFonts w:cstheme="minorHAnsi"/>
                <w:b/>
                <w:bCs/>
                <w:sz w:val="20"/>
                <w:szCs w:val="20"/>
              </w:rPr>
              <w:t>Calibration slope</w:t>
            </w:r>
            <w:r w:rsidRPr="00785031">
              <w:rPr>
                <w:rFonts w:cstheme="minorHAnsi"/>
                <w:b/>
                <w:bCs/>
                <w:sz w:val="20"/>
                <w:szCs w:val="20"/>
                <w:vertAlign w:val="superscript"/>
              </w:rPr>
              <w:t>a</w:t>
            </w:r>
          </w:p>
        </w:tc>
        <w:tc>
          <w:tcPr>
            <w:tcW w:w="1701" w:type="dxa"/>
            <w:vAlign w:val="center"/>
          </w:tcPr>
          <w:p w14:paraId="2A52514E" w14:textId="77777777" w:rsidR="003824FB" w:rsidRPr="00734942" w:rsidRDefault="003824FB" w:rsidP="00F86021">
            <w:pPr>
              <w:jc w:val="center"/>
              <w:rPr>
                <w:rFonts w:cstheme="minorHAnsi"/>
                <w:sz w:val="20"/>
                <w:szCs w:val="20"/>
              </w:rPr>
            </w:pPr>
            <w:r w:rsidRPr="00136D12">
              <w:rPr>
                <w:rFonts w:cstheme="minorHAnsi"/>
                <w:sz w:val="20"/>
                <w:szCs w:val="20"/>
              </w:rPr>
              <w:t>0.934</w:t>
            </w:r>
          </w:p>
        </w:tc>
        <w:tc>
          <w:tcPr>
            <w:tcW w:w="2126" w:type="dxa"/>
            <w:vAlign w:val="center"/>
          </w:tcPr>
          <w:p w14:paraId="3305EC3D" w14:textId="77777777" w:rsidR="003824FB" w:rsidRPr="00734942" w:rsidRDefault="003824FB" w:rsidP="00F86021">
            <w:pPr>
              <w:jc w:val="center"/>
              <w:rPr>
                <w:rFonts w:cstheme="minorHAnsi"/>
                <w:sz w:val="20"/>
                <w:szCs w:val="20"/>
              </w:rPr>
            </w:pPr>
            <w:r w:rsidRPr="00136D12">
              <w:rPr>
                <w:rFonts w:cstheme="minorHAnsi"/>
                <w:sz w:val="20"/>
                <w:szCs w:val="20"/>
              </w:rPr>
              <w:t>0.802</w:t>
            </w:r>
          </w:p>
        </w:tc>
        <w:tc>
          <w:tcPr>
            <w:tcW w:w="2126" w:type="dxa"/>
            <w:vAlign w:val="center"/>
          </w:tcPr>
          <w:p w14:paraId="05449DE8" w14:textId="77777777" w:rsidR="003824FB" w:rsidRPr="00734942" w:rsidRDefault="003824FB" w:rsidP="00F86021">
            <w:pPr>
              <w:jc w:val="center"/>
              <w:rPr>
                <w:rFonts w:cstheme="minorHAnsi"/>
                <w:sz w:val="20"/>
                <w:szCs w:val="20"/>
              </w:rPr>
            </w:pPr>
            <w:r w:rsidRPr="00136D12">
              <w:rPr>
                <w:rFonts w:cstheme="minorHAnsi"/>
                <w:sz w:val="20"/>
                <w:szCs w:val="20"/>
              </w:rPr>
              <w:t>0.843</w:t>
            </w:r>
          </w:p>
        </w:tc>
      </w:tr>
    </w:tbl>
    <w:p w14:paraId="2361B048" w14:textId="77777777" w:rsidR="00FD58C6" w:rsidRDefault="00FD58C6" w:rsidP="0045631A"/>
    <w:p w14:paraId="21242E86" w14:textId="77777777" w:rsidR="00463351" w:rsidRDefault="00463351">
      <w:pPr>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br w:type="page"/>
      </w:r>
    </w:p>
    <w:p w14:paraId="7EFD63CE" w14:textId="2D2B7897" w:rsidR="0045631A" w:rsidRDefault="0045631A" w:rsidP="000526F1">
      <w:pPr>
        <w:pStyle w:val="Heading2"/>
      </w:pPr>
      <w:bookmarkStart w:id="470" w:name="_Toc99539940"/>
      <w:r>
        <w:lastRenderedPageBreak/>
        <w:t>Appendix 1</w:t>
      </w:r>
      <w:r w:rsidR="008A3FBF">
        <w:t>5</w:t>
      </w:r>
      <w:bookmarkEnd w:id="470"/>
    </w:p>
    <w:p w14:paraId="20075A5F" w14:textId="49FB7458" w:rsidR="00463351" w:rsidRPr="00734942" w:rsidRDefault="00463351" w:rsidP="00463351">
      <w:pPr>
        <w:pStyle w:val="Caption"/>
      </w:pPr>
      <w:bookmarkStart w:id="471" w:name="_Ref85795411"/>
      <w:bookmarkStart w:id="472" w:name="_Toc99720768"/>
      <w:r w:rsidRPr="00734942">
        <w:t xml:space="preserve">Table </w:t>
      </w:r>
      <w:r>
        <w:fldChar w:fldCharType="begin"/>
      </w:r>
      <w:r>
        <w:instrText>SEQ Table \* ARABIC</w:instrText>
      </w:r>
      <w:r>
        <w:fldChar w:fldCharType="separate"/>
      </w:r>
      <w:r w:rsidR="008B5583">
        <w:rPr>
          <w:noProof/>
        </w:rPr>
        <w:t>57</w:t>
      </w:r>
      <w:r>
        <w:fldChar w:fldCharType="end"/>
      </w:r>
      <w:bookmarkEnd w:id="471"/>
      <w:r w:rsidRPr="00734942">
        <w:t xml:space="preserve"> Association of candidate predictors with CD, complete-case univariable analysis</w:t>
      </w:r>
      <w:bookmarkEnd w:id="472"/>
    </w:p>
    <w:tbl>
      <w:tblPr>
        <w:tblpPr w:leftFromText="180" w:rightFromText="180" w:vertAnchor="text" w:tblpY="1"/>
        <w:tblOverlap w:val="never"/>
        <w:tblW w:w="6380" w:type="dxa"/>
        <w:tblLook w:val="04A0" w:firstRow="1" w:lastRow="0" w:firstColumn="1" w:lastColumn="0" w:noHBand="0" w:noVBand="1"/>
      </w:tblPr>
      <w:tblGrid>
        <w:gridCol w:w="1985"/>
        <w:gridCol w:w="2268"/>
        <w:gridCol w:w="1167"/>
        <w:gridCol w:w="960"/>
      </w:tblGrid>
      <w:tr w:rsidR="00463351" w:rsidRPr="00734942" w14:paraId="327F970F" w14:textId="77777777" w:rsidTr="00F86021">
        <w:trPr>
          <w:trHeight w:val="300"/>
        </w:trPr>
        <w:tc>
          <w:tcPr>
            <w:tcW w:w="1985" w:type="dxa"/>
            <w:tcBorders>
              <w:top w:val="single" w:sz="8" w:space="0" w:color="auto"/>
              <w:left w:val="nil"/>
              <w:bottom w:val="single" w:sz="4" w:space="0" w:color="auto"/>
              <w:right w:val="nil"/>
            </w:tcBorders>
            <w:shd w:val="clear" w:color="auto" w:fill="auto"/>
            <w:noWrap/>
            <w:vAlign w:val="bottom"/>
            <w:hideMark/>
          </w:tcPr>
          <w:p w14:paraId="5522B265"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 </w:t>
            </w:r>
          </w:p>
        </w:tc>
        <w:tc>
          <w:tcPr>
            <w:tcW w:w="2268" w:type="dxa"/>
            <w:tcBorders>
              <w:top w:val="single" w:sz="8" w:space="0" w:color="auto"/>
              <w:left w:val="nil"/>
              <w:bottom w:val="single" w:sz="4" w:space="0" w:color="auto"/>
              <w:right w:val="nil"/>
            </w:tcBorders>
            <w:shd w:val="clear" w:color="auto" w:fill="auto"/>
            <w:noWrap/>
            <w:vAlign w:val="bottom"/>
            <w:hideMark/>
          </w:tcPr>
          <w:p w14:paraId="2F22BC43"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Coef. (95% CI)</w:t>
            </w:r>
          </w:p>
        </w:tc>
        <w:tc>
          <w:tcPr>
            <w:tcW w:w="1167" w:type="dxa"/>
            <w:tcBorders>
              <w:top w:val="single" w:sz="8" w:space="0" w:color="auto"/>
              <w:left w:val="nil"/>
              <w:bottom w:val="single" w:sz="4" w:space="0" w:color="auto"/>
              <w:right w:val="nil"/>
            </w:tcBorders>
            <w:shd w:val="clear" w:color="auto" w:fill="auto"/>
            <w:noWrap/>
            <w:vAlign w:val="bottom"/>
            <w:hideMark/>
          </w:tcPr>
          <w:p w14:paraId="629D1B92"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p-value</w:t>
            </w:r>
          </w:p>
        </w:tc>
        <w:tc>
          <w:tcPr>
            <w:tcW w:w="960" w:type="dxa"/>
            <w:tcBorders>
              <w:top w:val="single" w:sz="8" w:space="0" w:color="auto"/>
              <w:left w:val="nil"/>
              <w:bottom w:val="single" w:sz="4" w:space="0" w:color="auto"/>
              <w:right w:val="nil"/>
            </w:tcBorders>
            <w:shd w:val="clear" w:color="auto" w:fill="auto"/>
            <w:noWrap/>
            <w:vAlign w:val="bottom"/>
            <w:hideMark/>
          </w:tcPr>
          <w:p w14:paraId="4037A9F3"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n</w:t>
            </w:r>
          </w:p>
        </w:tc>
      </w:tr>
      <w:tr w:rsidR="00463351" w:rsidRPr="00734942" w14:paraId="45DC9153" w14:textId="77777777" w:rsidTr="00F86021">
        <w:trPr>
          <w:trHeight w:val="300"/>
        </w:trPr>
        <w:tc>
          <w:tcPr>
            <w:tcW w:w="1985" w:type="dxa"/>
            <w:tcBorders>
              <w:top w:val="nil"/>
              <w:left w:val="nil"/>
              <w:bottom w:val="nil"/>
              <w:right w:val="nil"/>
            </w:tcBorders>
            <w:shd w:val="clear" w:color="auto" w:fill="auto"/>
            <w:noWrap/>
            <w:vAlign w:val="bottom"/>
            <w:hideMark/>
          </w:tcPr>
          <w:p w14:paraId="63D2F4BC"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Type 1 diabetes</w:t>
            </w:r>
          </w:p>
        </w:tc>
        <w:tc>
          <w:tcPr>
            <w:tcW w:w="2268" w:type="dxa"/>
            <w:tcBorders>
              <w:top w:val="nil"/>
              <w:left w:val="nil"/>
              <w:bottom w:val="nil"/>
              <w:right w:val="nil"/>
            </w:tcBorders>
            <w:shd w:val="clear" w:color="auto" w:fill="auto"/>
            <w:noWrap/>
            <w:vAlign w:val="bottom"/>
            <w:hideMark/>
          </w:tcPr>
          <w:p w14:paraId="2F03CBC8"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2.86 (-0.20 to 5.92)</w:t>
            </w:r>
          </w:p>
        </w:tc>
        <w:tc>
          <w:tcPr>
            <w:tcW w:w="1167" w:type="dxa"/>
            <w:tcBorders>
              <w:top w:val="nil"/>
              <w:left w:val="nil"/>
              <w:bottom w:val="nil"/>
              <w:right w:val="nil"/>
            </w:tcBorders>
            <w:shd w:val="clear" w:color="auto" w:fill="auto"/>
            <w:noWrap/>
            <w:vAlign w:val="bottom"/>
            <w:hideMark/>
          </w:tcPr>
          <w:p w14:paraId="3FAD7852"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0.067</w:t>
            </w:r>
          </w:p>
        </w:tc>
        <w:tc>
          <w:tcPr>
            <w:tcW w:w="960" w:type="dxa"/>
            <w:tcBorders>
              <w:top w:val="nil"/>
              <w:left w:val="nil"/>
              <w:bottom w:val="nil"/>
              <w:right w:val="nil"/>
            </w:tcBorders>
            <w:shd w:val="clear" w:color="auto" w:fill="auto"/>
            <w:noWrap/>
            <w:vAlign w:val="bottom"/>
            <w:hideMark/>
          </w:tcPr>
          <w:p w14:paraId="7CEDB242"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2,697</w:t>
            </w:r>
          </w:p>
        </w:tc>
      </w:tr>
      <w:tr w:rsidR="00463351" w:rsidRPr="00734942" w14:paraId="3BA12F08" w14:textId="77777777" w:rsidTr="00F86021">
        <w:trPr>
          <w:trHeight w:val="300"/>
        </w:trPr>
        <w:tc>
          <w:tcPr>
            <w:tcW w:w="1985" w:type="dxa"/>
            <w:tcBorders>
              <w:top w:val="nil"/>
              <w:left w:val="nil"/>
              <w:bottom w:val="nil"/>
              <w:right w:val="nil"/>
            </w:tcBorders>
            <w:shd w:val="clear" w:color="auto" w:fill="auto"/>
            <w:noWrap/>
            <w:vAlign w:val="bottom"/>
            <w:hideMark/>
          </w:tcPr>
          <w:p w14:paraId="39C00707"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Anaemia</w:t>
            </w:r>
          </w:p>
        </w:tc>
        <w:tc>
          <w:tcPr>
            <w:tcW w:w="2268" w:type="dxa"/>
            <w:tcBorders>
              <w:top w:val="nil"/>
              <w:left w:val="nil"/>
              <w:bottom w:val="nil"/>
              <w:right w:val="nil"/>
            </w:tcBorders>
            <w:shd w:val="clear" w:color="auto" w:fill="auto"/>
            <w:noWrap/>
            <w:vAlign w:val="bottom"/>
            <w:hideMark/>
          </w:tcPr>
          <w:p w14:paraId="16DA6446"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0.96 (-0.14 to 2.06)</w:t>
            </w:r>
          </w:p>
        </w:tc>
        <w:tc>
          <w:tcPr>
            <w:tcW w:w="1167" w:type="dxa"/>
            <w:tcBorders>
              <w:top w:val="nil"/>
              <w:left w:val="nil"/>
              <w:bottom w:val="nil"/>
              <w:right w:val="nil"/>
            </w:tcBorders>
            <w:shd w:val="clear" w:color="auto" w:fill="auto"/>
            <w:noWrap/>
            <w:vAlign w:val="bottom"/>
            <w:hideMark/>
          </w:tcPr>
          <w:p w14:paraId="534584E8"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0.088</w:t>
            </w:r>
          </w:p>
        </w:tc>
        <w:tc>
          <w:tcPr>
            <w:tcW w:w="960" w:type="dxa"/>
            <w:tcBorders>
              <w:top w:val="nil"/>
              <w:left w:val="nil"/>
              <w:bottom w:val="nil"/>
              <w:right w:val="nil"/>
            </w:tcBorders>
            <w:shd w:val="clear" w:color="auto" w:fill="auto"/>
            <w:noWrap/>
            <w:vAlign w:val="bottom"/>
            <w:hideMark/>
          </w:tcPr>
          <w:p w14:paraId="2D0889F4"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5,077</w:t>
            </w:r>
          </w:p>
        </w:tc>
      </w:tr>
      <w:tr w:rsidR="00463351" w:rsidRPr="00734942" w14:paraId="3EA7AC70" w14:textId="77777777" w:rsidTr="00F86021">
        <w:trPr>
          <w:trHeight w:val="300"/>
        </w:trPr>
        <w:tc>
          <w:tcPr>
            <w:tcW w:w="1985" w:type="dxa"/>
            <w:tcBorders>
              <w:top w:val="nil"/>
              <w:left w:val="nil"/>
              <w:bottom w:val="nil"/>
              <w:right w:val="nil"/>
            </w:tcBorders>
            <w:shd w:val="clear" w:color="auto" w:fill="auto"/>
            <w:noWrap/>
            <w:vAlign w:val="bottom"/>
            <w:hideMark/>
          </w:tcPr>
          <w:p w14:paraId="31961422"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Thyroid disorders</w:t>
            </w:r>
          </w:p>
        </w:tc>
        <w:tc>
          <w:tcPr>
            <w:tcW w:w="2268" w:type="dxa"/>
            <w:tcBorders>
              <w:top w:val="nil"/>
              <w:left w:val="nil"/>
              <w:bottom w:val="nil"/>
              <w:right w:val="nil"/>
            </w:tcBorders>
            <w:shd w:val="clear" w:color="auto" w:fill="auto"/>
            <w:noWrap/>
            <w:vAlign w:val="bottom"/>
            <w:hideMark/>
          </w:tcPr>
          <w:p w14:paraId="658F281A"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0.37 (-2.45 to 3.18)</w:t>
            </w:r>
          </w:p>
        </w:tc>
        <w:tc>
          <w:tcPr>
            <w:tcW w:w="1167" w:type="dxa"/>
            <w:tcBorders>
              <w:top w:val="nil"/>
              <w:left w:val="nil"/>
              <w:bottom w:val="nil"/>
              <w:right w:val="nil"/>
            </w:tcBorders>
            <w:shd w:val="clear" w:color="auto" w:fill="auto"/>
            <w:noWrap/>
            <w:vAlign w:val="bottom"/>
            <w:hideMark/>
          </w:tcPr>
          <w:p w14:paraId="40025FC9"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0.799</w:t>
            </w:r>
          </w:p>
        </w:tc>
        <w:tc>
          <w:tcPr>
            <w:tcW w:w="960" w:type="dxa"/>
            <w:tcBorders>
              <w:top w:val="nil"/>
              <w:left w:val="nil"/>
              <w:bottom w:val="nil"/>
              <w:right w:val="nil"/>
            </w:tcBorders>
            <w:shd w:val="clear" w:color="auto" w:fill="auto"/>
            <w:noWrap/>
            <w:vAlign w:val="bottom"/>
            <w:hideMark/>
          </w:tcPr>
          <w:p w14:paraId="362182E7"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3,364</w:t>
            </w:r>
          </w:p>
        </w:tc>
      </w:tr>
      <w:tr w:rsidR="00463351" w:rsidRPr="00734942" w14:paraId="04A56F41" w14:textId="77777777" w:rsidTr="00F86021">
        <w:trPr>
          <w:trHeight w:val="300"/>
        </w:trPr>
        <w:tc>
          <w:tcPr>
            <w:tcW w:w="1985" w:type="dxa"/>
            <w:tcBorders>
              <w:top w:val="nil"/>
              <w:left w:val="nil"/>
              <w:bottom w:val="nil"/>
              <w:right w:val="nil"/>
            </w:tcBorders>
            <w:shd w:val="clear" w:color="auto" w:fill="auto"/>
            <w:noWrap/>
            <w:vAlign w:val="bottom"/>
            <w:hideMark/>
          </w:tcPr>
          <w:p w14:paraId="418F1A55"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GI symptom count</w:t>
            </w:r>
          </w:p>
        </w:tc>
        <w:tc>
          <w:tcPr>
            <w:tcW w:w="2268" w:type="dxa"/>
            <w:tcBorders>
              <w:top w:val="nil"/>
              <w:left w:val="nil"/>
              <w:bottom w:val="nil"/>
              <w:right w:val="nil"/>
            </w:tcBorders>
            <w:shd w:val="clear" w:color="auto" w:fill="auto"/>
            <w:noWrap/>
            <w:vAlign w:val="bottom"/>
            <w:hideMark/>
          </w:tcPr>
          <w:p w14:paraId="29F1F9F5"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 </w:t>
            </w:r>
          </w:p>
        </w:tc>
        <w:tc>
          <w:tcPr>
            <w:tcW w:w="1167" w:type="dxa"/>
            <w:tcBorders>
              <w:top w:val="nil"/>
              <w:left w:val="nil"/>
              <w:bottom w:val="nil"/>
              <w:right w:val="nil"/>
            </w:tcBorders>
            <w:shd w:val="clear" w:color="auto" w:fill="auto"/>
            <w:noWrap/>
            <w:vAlign w:val="bottom"/>
            <w:hideMark/>
          </w:tcPr>
          <w:p w14:paraId="430F05FE"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 </w:t>
            </w:r>
          </w:p>
        </w:tc>
        <w:tc>
          <w:tcPr>
            <w:tcW w:w="960" w:type="dxa"/>
            <w:tcBorders>
              <w:top w:val="nil"/>
              <w:left w:val="nil"/>
              <w:bottom w:val="nil"/>
              <w:right w:val="nil"/>
            </w:tcBorders>
            <w:shd w:val="clear" w:color="auto" w:fill="auto"/>
            <w:noWrap/>
            <w:vAlign w:val="bottom"/>
            <w:hideMark/>
          </w:tcPr>
          <w:p w14:paraId="3265C0E2"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 </w:t>
            </w:r>
          </w:p>
        </w:tc>
      </w:tr>
      <w:tr w:rsidR="00463351" w:rsidRPr="00734942" w14:paraId="1718A9F9" w14:textId="77777777" w:rsidTr="00F86021">
        <w:trPr>
          <w:trHeight w:val="300"/>
        </w:trPr>
        <w:tc>
          <w:tcPr>
            <w:tcW w:w="1985" w:type="dxa"/>
            <w:tcBorders>
              <w:top w:val="nil"/>
              <w:left w:val="nil"/>
              <w:bottom w:val="nil"/>
              <w:right w:val="nil"/>
            </w:tcBorders>
            <w:shd w:val="clear" w:color="auto" w:fill="auto"/>
            <w:noWrap/>
            <w:vAlign w:val="bottom"/>
            <w:hideMark/>
          </w:tcPr>
          <w:p w14:paraId="59A9B939" w14:textId="77777777" w:rsidR="00463351" w:rsidRPr="00734942" w:rsidRDefault="00463351" w:rsidP="00F86021">
            <w:pPr>
              <w:spacing w:after="0" w:line="240" w:lineRule="auto"/>
              <w:jc w:val="center"/>
              <w:rPr>
                <w:rFonts w:ascii="Calibri" w:eastAsia="Times New Roman" w:hAnsi="Calibri" w:cs="Calibri"/>
                <w:b/>
                <w:bCs/>
                <w:color w:val="000000"/>
              </w:rPr>
            </w:pPr>
            <w:r w:rsidRPr="00734942">
              <w:rPr>
                <w:rFonts w:ascii="Calibri" w:eastAsia="Times New Roman" w:hAnsi="Calibri" w:cs="Calibri"/>
                <w:b/>
                <w:bCs/>
                <w:color w:val="000000"/>
              </w:rPr>
              <w:t>1</w:t>
            </w:r>
          </w:p>
        </w:tc>
        <w:tc>
          <w:tcPr>
            <w:tcW w:w="2268" w:type="dxa"/>
            <w:tcBorders>
              <w:top w:val="nil"/>
              <w:left w:val="nil"/>
              <w:bottom w:val="nil"/>
              <w:right w:val="nil"/>
            </w:tcBorders>
            <w:shd w:val="clear" w:color="auto" w:fill="auto"/>
            <w:noWrap/>
            <w:vAlign w:val="bottom"/>
            <w:hideMark/>
          </w:tcPr>
          <w:p w14:paraId="5F33AAC7"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-0.38 (-2.01 to 1.26)</w:t>
            </w:r>
          </w:p>
        </w:tc>
        <w:tc>
          <w:tcPr>
            <w:tcW w:w="1167" w:type="dxa"/>
            <w:tcBorders>
              <w:top w:val="nil"/>
              <w:left w:val="nil"/>
              <w:bottom w:val="nil"/>
              <w:right w:val="nil"/>
            </w:tcBorders>
            <w:shd w:val="clear" w:color="auto" w:fill="auto"/>
            <w:noWrap/>
            <w:vAlign w:val="bottom"/>
            <w:hideMark/>
          </w:tcPr>
          <w:p w14:paraId="5C2B83C9"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0.651</w:t>
            </w:r>
          </w:p>
        </w:tc>
        <w:tc>
          <w:tcPr>
            <w:tcW w:w="960" w:type="dxa"/>
            <w:tcBorders>
              <w:top w:val="nil"/>
              <w:left w:val="nil"/>
              <w:bottom w:val="nil"/>
              <w:right w:val="nil"/>
            </w:tcBorders>
            <w:shd w:val="clear" w:color="auto" w:fill="auto"/>
            <w:noWrap/>
            <w:vAlign w:val="bottom"/>
            <w:hideMark/>
          </w:tcPr>
          <w:p w14:paraId="0C6B9AA7"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4,168</w:t>
            </w:r>
          </w:p>
        </w:tc>
      </w:tr>
      <w:tr w:rsidR="00463351" w:rsidRPr="00734942" w14:paraId="102EEAFA" w14:textId="77777777" w:rsidTr="00F86021">
        <w:trPr>
          <w:trHeight w:val="300"/>
        </w:trPr>
        <w:tc>
          <w:tcPr>
            <w:tcW w:w="1985" w:type="dxa"/>
            <w:tcBorders>
              <w:top w:val="nil"/>
              <w:left w:val="nil"/>
              <w:bottom w:val="nil"/>
              <w:right w:val="nil"/>
            </w:tcBorders>
            <w:shd w:val="clear" w:color="auto" w:fill="auto"/>
            <w:noWrap/>
            <w:vAlign w:val="bottom"/>
            <w:hideMark/>
          </w:tcPr>
          <w:p w14:paraId="283D7CDE" w14:textId="77777777" w:rsidR="00463351" w:rsidRPr="00734942" w:rsidRDefault="00463351" w:rsidP="00F86021">
            <w:pPr>
              <w:spacing w:after="0" w:line="240" w:lineRule="auto"/>
              <w:jc w:val="center"/>
              <w:rPr>
                <w:rFonts w:ascii="Calibri" w:eastAsia="Times New Roman" w:hAnsi="Calibri" w:cs="Calibri"/>
                <w:b/>
                <w:bCs/>
                <w:color w:val="000000"/>
              </w:rPr>
            </w:pPr>
            <w:r w:rsidRPr="00734942">
              <w:rPr>
                <w:rFonts w:ascii="Calibri" w:eastAsia="Times New Roman" w:hAnsi="Calibri" w:cs="Calibri"/>
                <w:b/>
                <w:bCs/>
                <w:color w:val="000000"/>
              </w:rPr>
              <w:t>2-4</w:t>
            </w:r>
          </w:p>
        </w:tc>
        <w:tc>
          <w:tcPr>
            <w:tcW w:w="2268" w:type="dxa"/>
            <w:tcBorders>
              <w:top w:val="nil"/>
              <w:left w:val="nil"/>
              <w:bottom w:val="nil"/>
              <w:right w:val="nil"/>
            </w:tcBorders>
            <w:shd w:val="clear" w:color="auto" w:fill="auto"/>
            <w:noWrap/>
            <w:vAlign w:val="bottom"/>
            <w:hideMark/>
          </w:tcPr>
          <w:p w14:paraId="59EC0818"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0.58 (-1.06 to 2.23)</w:t>
            </w:r>
          </w:p>
        </w:tc>
        <w:tc>
          <w:tcPr>
            <w:tcW w:w="1167" w:type="dxa"/>
            <w:tcBorders>
              <w:top w:val="nil"/>
              <w:left w:val="nil"/>
              <w:bottom w:val="nil"/>
              <w:right w:val="nil"/>
            </w:tcBorders>
            <w:shd w:val="clear" w:color="auto" w:fill="auto"/>
            <w:noWrap/>
            <w:vAlign w:val="bottom"/>
            <w:hideMark/>
          </w:tcPr>
          <w:p w14:paraId="4EFF6A71"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0.488</w:t>
            </w:r>
          </w:p>
        </w:tc>
        <w:tc>
          <w:tcPr>
            <w:tcW w:w="960" w:type="dxa"/>
            <w:tcBorders>
              <w:top w:val="nil"/>
              <w:left w:val="nil"/>
              <w:bottom w:val="nil"/>
              <w:right w:val="nil"/>
            </w:tcBorders>
            <w:shd w:val="clear" w:color="auto" w:fill="auto"/>
            <w:noWrap/>
            <w:vAlign w:val="bottom"/>
            <w:hideMark/>
          </w:tcPr>
          <w:p w14:paraId="37A35634"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4,168</w:t>
            </w:r>
          </w:p>
        </w:tc>
      </w:tr>
      <w:tr w:rsidR="00463351" w:rsidRPr="00734942" w14:paraId="679659B9" w14:textId="77777777" w:rsidTr="00F86021">
        <w:trPr>
          <w:trHeight w:val="300"/>
        </w:trPr>
        <w:tc>
          <w:tcPr>
            <w:tcW w:w="1985" w:type="dxa"/>
            <w:tcBorders>
              <w:top w:val="nil"/>
              <w:left w:val="nil"/>
              <w:bottom w:val="nil"/>
              <w:right w:val="nil"/>
            </w:tcBorders>
            <w:shd w:val="clear" w:color="auto" w:fill="auto"/>
            <w:noWrap/>
            <w:vAlign w:val="bottom"/>
            <w:hideMark/>
          </w:tcPr>
          <w:p w14:paraId="72F92360"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Male</w:t>
            </w:r>
          </w:p>
        </w:tc>
        <w:tc>
          <w:tcPr>
            <w:tcW w:w="2268" w:type="dxa"/>
            <w:tcBorders>
              <w:top w:val="nil"/>
              <w:left w:val="nil"/>
              <w:bottom w:val="nil"/>
              <w:right w:val="nil"/>
            </w:tcBorders>
            <w:shd w:val="clear" w:color="auto" w:fill="auto"/>
            <w:noWrap/>
            <w:vAlign w:val="bottom"/>
            <w:hideMark/>
          </w:tcPr>
          <w:p w14:paraId="5ACF20AB"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-0.78 (-1.39 to -0.17)</w:t>
            </w:r>
          </w:p>
        </w:tc>
        <w:tc>
          <w:tcPr>
            <w:tcW w:w="1167" w:type="dxa"/>
            <w:tcBorders>
              <w:top w:val="nil"/>
              <w:left w:val="nil"/>
              <w:bottom w:val="nil"/>
              <w:right w:val="nil"/>
            </w:tcBorders>
            <w:shd w:val="clear" w:color="auto" w:fill="auto"/>
            <w:noWrap/>
            <w:vAlign w:val="bottom"/>
            <w:hideMark/>
          </w:tcPr>
          <w:p w14:paraId="572537A1"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0.013</w:t>
            </w:r>
          </w:p>
        </w:tc>
        <w:tc>
          <w:tcPr>
            <w:tcW w:w="960" w:type="dxa"/>
            <w:tcBorders>
              <w:top w:val="nil"/>
              <w:left w:val="nil"/>
              <w:bottom w:val="nil"/>
              <w:right w:val="nil"/>
            </w:tcBorders>
            <w:shd w:val="clear" w:color="auto" w:fill="auto"/>
            <w:noWrap/>
            <w:vAlign w:val="bottom"/>
            <w:hideMark/>
          </w:tcPr>
          <w:p w14:paraId="49D410D3"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5,108</w:t>
            </w:r>
          </w:p>
        </w:tc>
      </w:tr>
      <w:tr w:rsidR="00463351" w:rsidRPr="00734942" w14:paraId="703DB622" w14:textId="77777777" w:rsidTr="00F86021">
        <w:trPr>
          <w:trHeight w:val="300"/>
        </w:trPr>
        <w:tc>
          <w:tcPr>
            <w:tcW w:w="1985" w:type="dxa"/>
            <w:tcBorders>
              <w:top w:val="nil"/>
              <w:left w:val="nil"/>
              <w:bottom w:val="nil"/>
              <w:right w:val="nil"/>
            </w:tcBorders>
            <w:shd w:val="clear" w:color="auto" w:fill="auto"/>
            <w:noWrap/>
            <w:vAlign w:val="bottom"/>
            <w:hideMark/>
          </w:tcPr>
          <w:p w14:paraId="0DFCFDB4"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Fatigue</w:t>
            </w:r>
          </w:p>
        </w:tc>
        <w:tc>
          <w:tcPr>
            <w:tcW w:w="2268" w:type="dxa"/>
            <w:tcBorders>
              <w:top w:val="nil"/>
              <w:left w:val="nil"/>
              <w:bottom w:val="nil"/>
              <w:right w:val="nil"/>
            </w:tcBorders>
            <w:shd w:val="clear" w:color="auto" w:fill="auto"/>
            <w:noWrap/>
            <w:vAlign w:val="bottom"/>
            <w:hideMark/>
          </w:tcPr>
          <w:p w14:paraId="3D9DA0A8"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-0.02 (-0.74 to 0.70)</w:t>
            </w:r>
          </w:p>
        </w:tc>
        <w:tc>
          <w:tcPr>
            <w:tcW w:w="1167" w:type="dxa"/>
            <w:tcBorders>
              <w:top w:val="nil"/>
              <w:left w:val="nil"/>
              <w:bottom w:val="nil"/>
              <w:right w:val="nil"/>
            </w:tcBorders>
            <w:shd w:val="clear" w:color="auto" w:fill="auto"/>
            <w:noWrap/>
            <w:vAlign w:val="bottom"/>
            <w:hideMark/>
          </w:tcPr>
          <w:p w14:paraId="632924B2"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0.951</w:t>
            </w:r>
          </w:p>
        </w:tc>
        <w:tc>
          <w:tcPr>
            <w:tcW w:w="960" w:type="dxa"/>
            <w:tcBorders>
              <w:top w:val="nil"/>
              <w:left w:val="nil"/>
              <w:bottom w:val="nil"/>
              <w:right w:val="nil"/>
            </w:tcBorders>
            <w:shd w:val="clear" w:color="auto" w:fill="auto"/>
            <w:noWrap/>
            <w:vAlign w:val="bottom"/>
            <w:hideMark/>
          </w:tcPr>
          <w:p w14:paraId="3C71AE6F"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3,967</w:t>
            </w:r>
          </w:p>
        </w:tc>
      </w:tr>
      <w:tr w:rsidR="00463351" w:rsidRPr="00734942" w14:paraId="5854E821" w14:textId="77777777" w:rsidTr="00F86021">
        <w:trPr>
          <w:trHeight w:val="300"/>
        </w:trPr>
        <w:tc>
          <w:tcPr>
            <w:tcW w:w="1985" w:type="dxa"/>
            <w:tcBorders>
              <w:top w:val="nil"/>
              <w:left w:val="nil"/>
              <w:bottom w:val="nil"/>
              <w:right w:val="nil"/>
            </w:tcBorders>
            <w:shd w:val="clear" w:color="auto" w:fill="auto"/>
            <w:noWrap/>
            <w:vAlign w:val="bottom"/>
            <w:hideMark/>
          </w:tcPr>
          <w:p w14:paraId="0A812014"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Mouth ulcers</w:t>
            </w:r>
          </w:p>
        </w:tc>
        <w:tc>
          <w:tcPr>
            <w:tcW w:w="2268" w:type="dxa"/>
            <w:tcBorders>
              <w:top w:val="nil"/>
              <w:left w:val="nil"/>
              <w:bottom w:val="nil"/>
              <w:right w:val="nil"/>
            </w:tcBorders>
            <w:shd w:val="clear" w:color="auto" w:fill="auto"/>
            <w:noWrap/>
            <w:vAlign w:val="bottom"/>
            <w:hideMark/>
          </w:tcPr>
          <w:p w14:paraId="16B85E22"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-0.16 (-1.21 to 0.89)</w:t>
            </w:r>
          </w:p>
        </w:tc>
        <w:tc>
          <w:tcPr>
            <w:tcW w:w="1167" w:type="dxa"/>
            <w:tcBorders>
              <w:top w:val="nil"/>
              <w:left w:val="nil"/>
              <w:bottom w:val="nil"/>
              <w:right w:val="nil"/>
            </w:tcBorders>
            <w:shd w:val="clear" w:color="auto" w:fill="auto"/>
            <w:noWrap/>
            <w:vAlign w:val="bottom"/>
            <w:hideMark/>
          </w:tcPr>
          <w:p w14:paraId="3A00010A"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0.765</w:t>
            </w:r>
          </w:p>
        </w:tc>
        <w:tc>
          <w:tcPr>
            <w:tcW w:w="960" w:type="dxa"/>
            <w:tcBorders>
              <w:top w:val="nil"/>
              <w:left w:val="nil"/>
              <w:bottom w:val="nil"/>
              <w:right w:val="nil"/>
            </w:tcBorders>
            <w:shd w:val="clear" w:color="auto" w:fill="auto"/>
            <w:noWrap/>
            <w:vAlign w:val="bottom"/>
            <w:hideMark/>
          </w:tcPr>
          <w:p w14:paraId="2D34A970"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2,071</w:t>
            </w:r>
          </w:p>
        </w:tc>
      </w:tr>
      <w:tr w:rsidR="00463351" w:rsidRPr="00734942" w14:paraId="7AFD8F2F" w14:textId="77777777" w:rsidTr="00F86021">
        <w:trPr>
          <w:trHeight w:val="300"/>
        </w:trPr>
        <w:tc>
          <w:tcPr>
            <w:tcW w:w="1985" w:type="dxa"/>
            <w:tcBorders>
              <w:top w:val="nil"/>
              <w:left w:val="nil"/>
              <w:bottom w:val="nil"/>
              <w:right w:val="nil"/>
            </w:tcBorders>
            <w:shd w:val="clear" w:color="auto" w:fill="auto"/>
            <w:noWrap/>
            <w:vAlign w:val="bottom"/>
            <w:hideMark/>
          </w:tcPr>
          <w:p w14:paraId="4C5A2DE7"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GI symptoms</w:t>
            </w:r>
          </w:p>
        </w:tc>
        <w:tc>
          <w:tcPr>
            <w:tcW w:w="2268" w:type="dxa"/>
            <w:tcBorders>
              <w:top w:val="nil"/>
              <w:left w:val="nil"/>
              <w:bottom w:val="nil"/>
              <w:right w:val="nil"/>
            </w:tcBorders>
            <w:shd w:val="clear" w:color="auto" w:fill="auto"/>
            <w:noWrap/>
            <w:vAlign w:val="bottom"/>
            <w:hideMark/>
          </w:tcPr>
          <w:p w14:paraId="3A9FD0AF"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-0.26 (-1.54 to 1.03)</w:t>
            </w:r>
          </w:p>
        </w:tc>
        <w:tc>
          <w:tcPr>
            <w:tcW w:w="1167" w:type="dxa"/>
            <w:tcBorders>
              <w:top w:val="nil"/>
              <w:left w:val="nil"/>
              <w:bottom w:val="nil"/>
              <w:right w:val="nil"/>
            </w:tcBorders>
            <w:shd w:val="clear" w:color="auto" w:fill="auto"/>
            <w:noWrap/>
            <w:vAlign w:val="bottom"/>
            <w:hideMark/>
          </w:tcPr>
          <w:p w14:paraId="20159448"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0.695</w:t>
            </w:r>
          </w:p>
        </w:tc>
        <w:tc>
          <w:tcPr>
            <w:tcW w:w="960" w:type="dxa"/>
            <w:tcBorders>
              <w:top w:val="nil"/>
              <w:left w:val="nil"/>
              <w:bottom w:val="nil"/>
              <w:right w:val="nil"/>
            </w:tcBorders>
            <w:shd w:val="clear" w:color="auto" w:fill="auto"/>
            <w:noWrap/>
            <w:vAlign w:val="bottom"/>
            <w:hideMark/>
          </w:tcPr>
          <w:p w14:paraId="76E6454D"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4,188</w:t>
            </w:r>
          </w:p>
        </w:tc>
      </w:tr>
      <w:tr w:rsidR="00463351" w:rsidRPr="00734942" w14:paraId="15F96A19" w14:textId="77777777" w:rsidTr="00F86021">
        <w:trPr>
          <w:trHeight w:val="300"/>
        </w:trPr>
        <w:tc>
          <w:tcPr>
            <w:tcW w:w="1985" w:type="dxa"/>
            <w:tcBorders>
              <w:top w:val="nil"/>
              <w:left w:val="nil"/>
              <w:bottom w:val="nil"/>
              <w:right w:val="nil"/>
            </w:tcBorders>
            <w:shd w:val="clear" w:color="auto" w:fill="auto"/>
            <w:noWrap/>
            <w:vAlign w:val="bottom"/>
            <w:hideMark/>
          </w:tcPr>
          <w:p w14:paraId="6C6AF3C9"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Mood disorders</w:t>
            </w:r>
          </w:p>
        </w:tc>
        <w:tc>
          <w:tcPr>
            <w:tcW w:w="2268" w:type="dxa"/>
            <w:tcBorders>
              <w:top w:val="nil"/>
              <w:left w:val="nil"/>
              <w:bottom w:val="nil"/>
              <w:right w:val="nil"/>
            </w:tcBorders>
            <w:shd w:val="clear" w:color="auto" w:fill="auto"/>
            <w:noWrap/>
            <w:vAlign w:val="bottom"/>
            <w:hideMark/>
          </w:tcPr>
          <w:p w14:paraId="5E174DA5"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-0.63 (-1.73 to 0.47)</w:t>
            </w:r>
          </w:p>
        </w:tc>
        <w:tc>
          <w:tcPr>
            <w:tcW w:w="1167" w:type="dxa"/>
            <w:tcBorders>
              <w:top w:val="nil"/>
              <w:left w:val="nil"/>
              <w:bottom w:val="nil"/>
              <w:right w:val="nil"/>
            </w:tcBorders>
            <w:shd w:val="clear" w:color="auto" w:fill="auto"/>
            <w:noWrap/>
            <w:vAlign w:val="bottom"/>
            <w:hideMark/>
          </w:tcPr>
          <w:p w14:paraId="3F0A94E0"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0.262</w:t>
            </w:r>
          </w:p>
        </w:tc>
        <w:tc>
          <w:tcPr>
            <w:tcW w:w="960" w:type="dxa"/>
            <w:tcBorders>
              <w:top w:val="nil"/>
              <w:left w:val="nil"/>
              <w:bottom w:val="nil"/>
              <w:right w:val="nil"/>
            </w:tcBorders>
            <w:shd w:val="clear" w:color="auto" w:fill="auto"/>
            <w:noWrap/>
            <w:vAlign w:val="bottom"/>
            <w:hideMark/>
          </w:tcPr>
          <w:p w14:paraId="13FE185D"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4,222</w:t>
            </w:r>
          </w:p>
        </w:tc>
      </w:tr>
      <w:tr w:rsidR="00463351" w:rsidRPr="00734942" w14:paraId="5DDC6595" w14:textId="77777777" w:rsidTr="00F86021">
        <w:trPr>
          <w:trHeight w:val="315"/>
        </w:trPr>
        <w:tc>
          <w:tcPr>
            <w:tcW w:w="1985" w:type="dxa"/>
            <w:tcBorders>
              <w:top w:val="nil"/>
              <w:left w:val="nil"/>
              <w:bottom w:val="single" w:sz="8" w:space="0" w:color="auto"/>
              <w:right w:val="nil"/>
            </w:tcBorders>
            <w:shd w:val="clear" w:color="auto" w:fill="auto"/>
            <w:noWrap/>
            <w:vAlign w:val="bottom"/>
            <w:hideMark/>
          </w:tcPr>
          <w:p w14:paraId="1C681168" w14:textId="77777777" w:rsidR="00463351" w:rsidRPr="00734942" w:rsidRDefault="00463351" w:rsidP="00F86021">
            <w:pPr>
              <w:spacing w:after="0" w:line="240" w:lineRule="auto"/>
              <w:rPr>
                <w:rFonts w:ascii="Calibri" w:eastAsia="Times New Roman" w:hAnsi="Calibri" w:cs="Calibri"/>
                <w:b/>
                <w:bCs/>
                <w:color w:val="000000"/>
              </w:rPr>
            </w:pPr>
            <w:r w:rsidRPr="00734942">
              <w:rPr>
                <w:rFonts w:ascii="Calibri" w:eastAsia="Times New Roman" w:hAnsi="Calibri" w:cs="Calibri"/>
                <w:b/>
                <w:bCs/>
                <w:color w:val="000000"/>
              </w:rPr>
              <w:t>Age</w:t>
            </w:r>
          </w:p>
        </w:tc>
        <w:tc>
          <w:tcPr>
            <w:tcW w:w="2268" w:type="dxa"/>
            <w:tcBorders>
              <w:top w:val="nil"/>
              <w:left w:val="nil"/>
              <w:bottom w:val="single" w:sz="8" w:space="0" w:color="auto"/>
              <w:right w:val="nil"/>
            </w:tcBorders>
            <w:shd w:val="clear" w:color="auto" w:fill="auto"/>
            <w:noWrap/>
            <w:vAlign w:val="bottom"/>
            <w:hideMark/>
          </w:tcPr>
          <w:p w14:paraId="5F7091D4"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-1.41 (-3.45 to 0.63)</w:t>
            </w:r>
          </w:p>
        </w:tc>
        <w:tc>
          <w:tcPr>
            <w:tcW w:w="1167" w:type="dxa"/>
            <w:tcBorders>
              <w:top w:val="nil"/>
              <w:left w:val="nil"/>
              <w:bottom w:val="single" w:sz="8" w:space="0" w:color="auto"/>
              <w:right w:val="nil"/>
            </w:tcBorders>
            <w:shd w:val="clear" w:color="auto" w:fill="auto"/>
            <w:noWrap/>
            <w:vAlign w:val="bottom"/>
            <w:hideMark/>
          </w:tcPr>
          <w:p w14:paraId="7C97640E"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0.176</w:t>
            </w:r>
          </w:p>
        </w:tc>
        <w:tc>
          <w:tcPr>
            <w:tcW w:w="960" w:type="dxa"/>
            <w:tcBorders>
              <w:top w:val="nil"/>
              <w:left w:val="nil"/>
              <w:bottom w:val="single" w:sz="8" w:space="0" w:color="auto"/>
              <w:right w:val="nil"/>
            </w:tcBorders>
            <w:shd w:val="clear" w:color="auto" w:fill="auto"/>
            <w:noWrap/>
            <w:vAlign w:val="bottom"/>
            <w:hideMark/>
          </w:tcPr>
          <w:p w14:paraId="56E65875" w14:textId="77777777" w:rsidR="00463351" w:rsidRPr="00734942" w:rsidRDefault="00463351" w:rsidP="00F86021">
            <w:pPr>
              <w:spacing w:after="0" w:line="240" w:lineRule="auto"/>
              <w:rPr>
                <w:rFonts w:ascii="Calibri" w:eastAsia="Times New Roman" w:hAnsi="Calibri" w:cs="Calibri"/>
                <w:color w:val="000000"/>
              </w:rPr>
            </w:pPr>
            <w:r w:rsidRPr="00734942">
              <w:rPr>
                <w:rFonts w:ascii="Calibri" w:eastAsia="Times New Roman" w:hAnsi="Calibri" w:cs="Calibri"/>
                <w:color w:val="000000"/>
              </w:rPr>
              <w:t>5,117</w:t>
            </w:r>
          </w:p>
        </w:tc>
      </w:tr>
    </w:tbl>
    <w:p w14:paraId="1E6BAE48" w14:textId="77777777" w:rsidR="0045631A" w:rsidRDefault="0045631A" w:rsidP="0045631A"/>
    <w:p w14:paraId="28D7839B" w14:textId="77777777" w:rsidR="00463351" w:rsidRDefault="00463351" w:rsidP="0045631A"/>
    <w:p w14:paraId="51C40DE0" w14:textId="77777777" w:rsidR="00463351" w:rsidRDefault="00463351" w:rsidP="0045631A"/>
    <w:p w14:paraId="44F33E18" w14:textId="77777777" w:rsidR="00463351" w:rsidRDefault="00463351" w:rsidP="0045631A"/>
    <w:p w14:paraId="365DA0BE" w14:textId="77777777" w:rsidR="00463351" w:rsidRDefault="00463351" w:rsidP="0045631A"/>
    <w:p w14:paraId="6D6BA33A" w14:textId="77777777" w:rsidR="00463351" w:rsidRDefault="00463351" w:rsidP="0045631A"/>
    <w:p w14:paraId="0CC120EF" w14:textId="77777777" w:rsidR="00463351" w:rsidRDefault="00463351" w:rsidP="0045631A"/>
    <w:p w14:paraId="2D01ED74" w14:textId="77777777" w:rsidR="00463351" w:rsidRDefault="00463351" w:rsidP="0045631A"/>
    <w:p w14:paraId="31C7C22E" w14:textId="77777777" w:rsidR="00463351" w:rsidRDefault="00463351" w:rsidP="0045631A"/>
    <w:p w14:paraId="23A9A354" w14:textId="77777777" w:rsidR="00463351" w:rsidRDefault="00463351">
      <w:pPr>
        <w:rPr>
          <w:rFonts w:asciiTheme="majorHAnsi" w:eastAsiaTheme="majorEastAsia" w:hAnsiTheme="majorHAnsi" w:cstheme="majorBidi"/>
          <w:color w:val="2F5496" w:themeColor="accent1" w:themeShade="BF"/>
          <w:sz w:val="26"/>
          <w:szCs w:val="26"/>
        </w:rPr>
      </w:pPr>
      <w:r>
        <w:br w:type="page"/>
      </w:r>
    </w:p>
    <w:p w14:paraId="3FA4155B" w14:textId="68B708A9" w:rsidR="003B0237" w:rsidRPr="00734942" w:rsidRDefault="003B0237" w:rsidP="003B0237">
      <w:pPr>
        <w:pStyle w:val="Heading2"/>
      </w:pPr>
      <w:bookmarkStart w:id="473" w:name="_Ref95137279"/>
      <w:bookmarkStart w:id="474" w:name="_Toc99539941"/>
      <w:r w:rsidRPr="00734942">
        <w:lastRenderedPageBreak/>
        <w:t xml:space="preserve">Appendix </w:t>
      </w:r>
      <w:bookmarkEnd w:id="462"/>
      <w:r w:rsidR="00CC1622">
        <w:t>1</w:t>
      </w:r>
      <w:r w:rsidR="008A3FBF">
        <w:t>6</w:t>
      </w:r>
      <w:bookmarkEnd w:id="463"/>
      <w:bookmarkEnd w:id="473"/>
      <w:bookmarkEnd w:id="474"/>
    </w:p>
    <w:p w14:paraId="14D40E9D" w14:textId="77777777" w:rsidR="003B0237" w:rsidRPr="00734942" w:rsidRDefault="003B0237" w:rsidP="003B0237">
      <w:pPr>
        <w:pStyle w:val="Heading3"/>
      </w:pPr>
      <w:bookmarkStart w:id="475" w:name="_Toc99539942"/>
      <w:r w:rsidRPr="00734942">
        <w:t>Search strategy – diagnostic accuracy review on serological tests</w:t>
      </w:r>
      <w:bookmarkEnd w:id="464"/>
      <w:r>
        <w:t xml:space="preserve"> (Chapter 5)</w:t>
      </w:r>
      <w:bookmarkEnd w:id="475"/>
    </w:p>
    <w:p w14:paraId="26416C9C" w14:textId="77777777" w:rsidR="003B0237" w:rsidRPr="00734942" w:rsidRDefault="003B0237" w:rsidP="003B0237">
      <w:r w:rsidRPr="00734942">
        <w:t>MEDLINE search strategy. This strategy was adapted to run on Embase. Cochrane, KSR Evidence and Web of Science were also searched.</w:t>
      </w:r>
    </w:p>
    <w:p w14:paraId="36F072C4" w14:textId="77777777" w:rsidR="003B0237" w:rsidRPr="00734942" w:rsidRDefault="003B0237" w:rsidP="003B0237">
      <w:pPr>
        <w:pStyle w:val="ListParagraph"/>
        <w:numPr>
          <w:ilvl w:val="0"/>
          <w:numId w:val="21"/>
        </w:numPr>
        <w:ind w:left="426"/>
      </w:pPr>
      <w:r w:rsidRPr="00734942">
        <w:t>Celiac Disease/</w:t>
      </w:r>
    </w:p>
    <w:p w14:paraId="416F97BA" w14:textId="77777777" w:rsidR="003B0237" w:rsidRPr="00734942" w:rsidRDefault="003B0237" w:rsidP="003B0237">
      <w:pPr>
        <w:pStyle w:val="ListParagraph"/>
        <w:numPr>
          <w:ilvl w:val="0"/>
          <w:numId w:val="21"/>
        </w:numPr>
        <w:ind w:left="426"/>
      </w:pPr>
      <w:r w:rsidRPr="00734942">
        <w:t>((coeliac or celiac) adj4 (disease or sprue or syndrome)).tw.</w:t>
      </w:r>
    </w:p>
    <w:p w14:paraId="711CA232" w14:textId="77777777" w:rsidR="003B0237" w:rsidRPr="00734942" w:rsidRDefault="003B0237" w:rsidP="003B0237">
      <w:pPr>
        <w:pStyle w:val="ListParagraph"/>
        <w:numPr>
          <w:ilvl w:val="0"/>
          <w:numId w:val="21"/>
        </w:numPr>
        <w:ind w:left="426"/>
      </w:pPr>
      <w:r w:rsidRPr="00734942">
        <w:t>((nontropical or non tropical) adj4 sprue).tw.</w:t>
      </w:r>
    </w:p>
    <w:p w14:paraId="72873A05" w14:textId="77777777" w:rsidR="003B0237" w:rsidRPr="00734942" w:rsidRDefault="003B0237" w:rsidP="003B0237">
      <w:pPr>
        <w:pStyle w:val="ListParagraph"/>
        <w:numPr>
          <w:ilvl w:val="0"/>
          <w:numId w:val="21"/>
        </w:numPr>
        <w:ind w:left="426"/>
      </w:pPr>
      <w:r w:rsidRPr="00734942">
        <w:t>((gluten or glutenin or gliadin) adj4 (sensitiv* or hypersensitiv* or intoleran*)).tw.</w:t>
      </w:r>
    </w:p>
    <w:p w14:paraId="48C9B459" w14:textId="77777777" w:rsidR="003B0237" w:rsidRPr="00734942" w:rsidRDefault="003B0237" w:rsidP="003B0237">
      <w:pPr>
        <w:pStyle w:val="ListParagraph"/>
        <w:numPr>
          <w:ilvl w:val="0"/>
          <w:numId w:val="21"/>
        </w:numPr>
        <w:ind w:left="426"/>
      </w:pPr>
      <w:r w:rsidRPr="00734942">
        <w:t>(gluten adj4 enteropath*).tw.</w:t>
      </w:r>
    </w:p>
    <w:p w14:paraId="7D188EC6" w14:textId="77777777" w:rsidR="003B0237" w:rsidRPr="00734942" w:rsidRDefault="003B0237" w:rsidP="003B0237">
      <w:pPr>
        <w:pStyle w:val="ListParagraph"/>
        <w:numPr>
          <w:ilvl w:val="0"/>
          <w:numId w:val="21"/>
        </w:numPr>
        <w:ind w:left="426"/>
      </w:pPr>
      <w:r w:rsidRPr="00734942">
        <w:t>or/1-5</w:t>
      </w:r>
    </w:p>
    <w:p w14:paraId="322A36F8" w14:textId="77777777" w:rsidR="003B0237" w:rsidRPr="00734942" w:rsidRDefault="003B0237" w:rsidP="003B0237">
      <w:pPr>
        <w:pStyle w:val="ListParagraph"/>
        <w:numPr>
          <w:ilvl w:val="0"/>
          <w:numId w:val="21"/>
        </w:numPr>
        <w:ind w:left="426"/>
      </w:pPr>
      <w:r w:rsidRPr="00734942">
        <w:t>Serologic Tests/</w:t>
      </w:r>
    </w:p>
    <w:p w14:paraId="188B9772" w14:textId="77777777" w:rsidR="003B0237" w:rsidRPr="00734942" w:rsidRDefault="003B0237" w:rsidP="003B0237">
      <w:pPr>
        <w:pStyle w:val="ListParagraph"/>
        <w:numPr>
          <w:ilvl w:val="0"/>
          <w:numId w:val="21"/>
        </w:numPr>
        <w:ind w:left="426"/>
      </w:pPr>
      <w:r w:rsidRPr="00734942">
        <w:t>((serologic or serological) adj4 test*).tw.</w:t>
      </w:r>
    </w:p>
    <w:p w14:paraId="3E3DB19A" w14:textId="77777777" w:rsidR="003B0237" w:rsidRPr="00734942" w:rsidRDefault="003B0237" w:rsidP="003B0237">
      <w:pPr>
        <w:pStyle w:val="ListParagraph"/>
        <w:numPr>
          <w:ilvl w:val="0"/>
          <w:numId w:val="21"/>
        </w:numPr>
        <w:ind w:left="426"/>
      </w:pPr>
      <w:r w:rsidRPr="00734942">
        <w:t>7 or 8</w:t>
      </w:r>
    </w:p>
    <w:p w14:paraId="5FD33BD5" w14:textId="77777777" w:rsidR="003B0237" w:rsidRPr="00734942" w:rsidRDefault="003B0237" w:rsidP="003B0237">
      <w:pPr>
        <w:pStyle w:val="ListParagraph"/>
        <w:numPr>
          <w:ilvl w:val="0"/>
          <w:numId w:val="21"/>
        </w:numPr>
        <w:ind w:left="426"/>
      </w:pPr>
      <w:r w:rsidRPr="00734942">
        <w:t>(endomysi* adj4 antibod*).tw.</w:t>
      </w:r>
    </w:p>
    <w:p w14:paraId="45AB40E1" w14:textId="77777777" w:rsidR="003B0237" w:rsidRPr="00734942" w:rsidRDefault="003B0237" w:rsidP="003B0237">
      <w:pPr>
        <w:pStyle w:val="ListParagraph"/>
        <w:numPr>
          <w:ilvl w:val="0"/>
          <w:numId w:val="21"/>
        </w:numPr>
        <w:ind w:left="426"/>
      </w:pPr>
      <w:r w:rsidRPr="00734942">
        <w:t>(immunoglobulin adj4 (endomysi* or anti-endomysi* or antiendomysi* or anti endomysi*)).tw.</w:t>
      </w:r>
    </w:p>
    <w:p w14:paraId="55E4E429" w14:textId="77777777" w:rsidR="003B0237" w:rsidRPr="00734942" w:rsidRDefault="003B0237" w:rsidP="003B0237">
      <w:pPr>
        <w:pStyle w:val="ListParagraph"/>
        <w:numPr>
          <w:ilvl w:val="0"/>
          <w:numId w:val="21"/>
        </w:numPr>
        <w:ind w:left="426"/>
      </w:pPr>
      <w:r w:rsidRPr="00734942">
        <w:t>((anti-endomysi* or antiendomysi* or anti endomysi*) adj antibod*).tw.</w:t>
      </w:r>
    </w:p>
    <w:p w14:paraId="4911CC5D" w14:textId="77777777" w:rsidR="003B0237" w:rsidRPr="00734942" w:rsidRDefault="003B0237" w:rsidP="003B0237">
      <w:pPr>
        <w:pStyle w:val="ListParagraph"/>
        <w:numPr>
          <w:ilvl w:val="0"/>
          <w:numId w:val="21"/>
        </w:numPr>
        <w:ind w:left="426"/>
      </w:pPr>
      <w:r w:rsidRPr="00734942">
        <w:t>((iga or igg) adj4 (endomysi* or anti-endomysi* or antiendomysi* or anti endomysi*)).tw.</w:t>
      </w:r>
    </w:p>
    <w:p w14:paraId="4AD9F2F6" w14:textId="77777777" w:rsidR="003B0237" w:rsidRPr="00541948" w:rsidRDefault="003B0237" w:rsidP="003B0237">
      <w:pPr>
        <w:pStyle w:val="ListParagraph"/>
        <w:numPr>
          <w:ilvl w:val="0"/>
          <w:numId w:val="21"/>
        </w:numPr>
        <w:ind w:left="426"/>
        <w:rPr>
          <w:lang w:val="pt-BR"/>
        </w:rPr>
      </w:pPr>
      <w:r w:rsidRPr="00541948">
        <w:rPr>
          <w:lang w:val="pt-BR"/>
        </w:rPr>
        <w:t>(iga-ema or igg-ema).tw.</w:t>
      </w:r>
    </w:p>
    <w:p w14:paraId="264AA5C7" w14:textId="77777777" w:rsidR="003B0237" w:rsidRPr="00734942" w:rsidRDefault="003B0237" w:rsidP="003B0237">
      <w:pPr>
        <w:pStyle w:val="ListParagraph"/>
        <w:numPr>
          <w:ilvl w:val="0"/>
          <w:numId w:val="21"/>
        </w:numPr>
        <w:ind w:left="426"/>
      </w:pPr>
      <w:r w:rsidRPr="00734942">
        <w:t>((EMA or AGA) and antibod*).tw.</w:t>
      </w:r>
    </w:p>
    <w:p w14:paraId="18C6980A" w14:textId="77777777" w:rsidR="003B0237" w:rsidRPr="00734942" w:rsidRDefault="003B0237" w:rsidP="003B0237">
      <w:pPr>
        <w:pStyle w:val="ListParagraph"/>
        <w:numPr>
          <w:ilvl w:val="0"/>
          <w:numId w:val="21"/>
        </w:numPr>
        <w:ind w:left="426"/>
      </w:pPr>
      <w:r w:rsidRPr="00734942">
        <w:t>or/10-15</w:t>
      </w:r>
    </w:p>
    <w:p w14:paraId="15C37BD2" w14:textId="77777777" w:rsidR="003B0237" w:rsidRPr="00734942" w:rsidRDefault="003B0237" w:rsidP="003B0237">
      <w:pPr>
        <w:pStyle w:val="ListParagraph"/>
        <w:numPr>
          <w:ilvl w:val="0"/>
          <w:numId w:val="21"/>
        </w:numPr>
        <w:ind w:left="426"/>
      </w:pPr>
      <w:r w:rsidRPr="00734942">
        <w:t>transglutaminases/</w:t>
      </w:r>
    </w:p>
    <w:p w14:paraId="0771E602" w14:textId="77777777" w:rsidR="003B0237" w:rsidRPr="00734942" w:rsidRDefault="003B0237" w:rsidP="003B0237">
      <w:pPr>
        <w:pStyle w:val="ListParagraph"/>
        <w:numPr>
          <w:ilvl w:val="0"/>
          <w:numId w:val="21"/>
        </w:numPr>
        <w:ind w:left="426"/>
      </w:pPr>
      <w:r w:rsidRPr="00734942">
        <w:t>(((anti-tissue or antitissue or anti tissue) adj4 transglutaminase) and antibod*).tw.</w:t>
      </w:r>
    </w:p>
    <w:p w14:paraId="37918F7A" w14:textId="77777777" w:rsidR="003B0237" w:rsidRPr="00734942" w:rsidRDefault="003B0237" w:rsidP="003B0237">
      <w:pPr>
        <w:pStyle w:val="ListParagraph"/>
        <w:numPr>
          <w:ilvl w:val="0"/>
          <w:numId w:val="21"/>
        </w:numPr>
        <w:ind w:left="426"/>
      </w:pPr>
      <w:r w:rsidRPr="00734942">
        <w:t>((iga or igg or immunoglobulin) adj4 transglutaminase).tw.</w:t>
      </w:r>
    </w:p>
    <w:p w14:paraId="663A105D" w14:textId="77777777" w:rsidR="003B0237" w:rsidRPr="00734942" w:rsidRDefault="003B0237" w:rsidP="003B0237">
      <w:pPr>
        <w:pStyle w:val="ListParagraph"/>
        <w:numPr>
          <w:ilvl w:val="0"/>
          <w:numId w:val="21"/>
        </w:numPr>
        <w:ind w:left="426"/>
      </w:pPr>
      <w:r w:rsidRPr="00734942">
        <w:t>((anti-human or antihuman or anti human or tissue) adj4 transglutaminase adj4 antibod*).tw.</w:t>
      </w:r>
    </w:p>
    <w:p w14:paraId="5C929FD8" w14:textId="77777777" w:rsidR="003B0237" w:rsidRPr="00734942" w:rsidRDefault="003B0237" w:rsidP="003B0237">
      <w:pPr>
        <w:pStyle w:val="ListParagraph"/>
        <w:numPr>
          <w:ilvl w:val="0"/>
          <w:numId w:val="21"/>
        </w:numPr>
        <w:ind w:left="426"/>
      </w:pPr>
      <w:r w:rsidRPr="00734942">
        <w:t>(anti-httg or anti-htg or tTg).tw.</w:t>
      </w:r>
    </w:p>
    <w:p w14:paraId="000AF611" w14:textId="77777777" w:rsidR="003B0237" w:rsidRPr="00734942" w:rsidRDefault="003B0237" w:rsidP="003B0237">
      <w:pPr>
        <w:pStyle w:val="ListParagraph"/>
        <w:numPr>
          <w:ilvl w:val="0"/>
          <w:numId w:val="21"/>
        </w:numPr>
        <w:ind w:left="426"/>
      </w:pPr>
      <w:r w:rsidRPr="00734942">
        <w:t>or/17-21</w:t>
      </w:r>
    </w:p>
    <w:p w14:paraId="3F8EA06D" w14:textId="77777777" w:rsidR="003B0237" w:rsidRPr="00734942" w:rsidRDefault="003B0237" w:rsidP="003B0237">
      <w:pPr>
        <w:pStyle w:val="ListParagraph"/>
        <w:numPr>
          <w:ilvl w:val="0"/>
          <w:numId w:val="21"/>
        </w:numPr>
        <w:ind w:left="426"/>
      </w:pPr>
      <w:r w:rsidRPr="00734942">
        <w:t>((gliadin or antigliadin or anti-gliadin or anti gliadin) adj4 antibod*).tw.</w:t>
      </w:r>
    </w:p>
    <w:p w14:paraId="5DAD3C8E" w14:textId="77777777" w:rsidR="003B0237" w:rsidRPr="00734942" w:rsidRDefault="003B0237" w:rsidP="003B0237">
      <w:pPr>
        <w:pStyle w:val="ListParagraph"/>
        <w:numPr>
          <w:ilvl w:val="0"/>
          <w:numId w:val="21"/>
        </w:numPr>
        <w:ind w:left="426"/>
      </w:pPr>
      <w:r w:rsidRPr="00734942">
        <w:t>((igg or iga or immunoglobulin) adj4 gliadin).tw.</w:t>
      </w:r>
    </w:p>
    <w:p w14:paraId="59F8FB96" w14:textId="77777777" w:rsidR="003B0237" w:rsidRPr="00734942" w:rsidRDefault="003B0237" w:rsidP="003B0237">
      <w:pPr>
        <w:pStyle w:val="ListParagraph"/>
        <w:numPr>
          <w:ilvl w:val="0"/>
          <w:numId w:val="21"/>
        </w:numPr>
        <w:ind w:left="426"/>
      </w:pPr>
      <w:r w:rsidRPr="00734942">
        <w:t>((igg or iga or immunoglobulin) adj4 (antigliadin or anti-gliadin or anti gliadin)).tw.</w:t>
      </w:r>
    </w:p>
    <w:p w14:paraId="3FD887D4" w14:textId="77777777" w:rsidR="003B0237" w:rsidRPr="00734942" w:rsidRDefault="003B0237" w:rsidP="003B0237">
      <w:pPr>
        <w:pStyle w:val="ListParagraph"/>
        <w:numPr>
          <w:ilvl w:val="0"/>
          <w:numId w:val="21"/>
        </w:numPr>
        <w:ind w:left="426"/>
      </w:pPr>
      <w:r w:rsidRPr="00734942">
        <w:t>(elisa adj4 test*).tw.</w:t>
      </w:r>
    </w:p>
    <w:p w14:paraId="70DF9DCA" w14:textId="77777777" w:rsidR="003B0237" w:rsidRPr="00734942" w:rsidRDefault="003B0237" w:rsidP="003B0237">
      <w:pPr>
        <w:pStyle w:val="ListParagraph"/>
        <w:numPr>
          <w:ilvl w:val="0"/>
          <w:numId w:val="21"/>
        </w:numPr>
        <w:ind w:left="426"/>
      </w:pPr>
      <w:r w:rsidRPr="00734942">
        <w:t>Gliadin/ and Immunoglobulins/</w:t>
      </w:r>
    </w:p>
    <w:p w14:paraId="4DB53D0D" w14:textId="77777777" w:rsidR="003B0237" w:rsidRPr="00734942" w:rsidRDefault="003B0237" w:rsidP="003B0237">
      <w:pPr>
        <w:pStyle w:val="ListParagraph"/>
        <w:numPr>
          <w:ilvl w:val="0"/>
          <w:numId w:val="21"/>
        </w:numPr>
        <w:ind w:left="426"/>
      </w:pPr>
      <w:r w:rsidRPr="00734942">
        <w:t>or/23-27</w:t>
      </w:r>
    </w:p>
    <w:p w14:paraId="3CF40080" w14:textId="77777777" w:rsidR="003B0237" w:rsidRPr="00541948" w:rsidRDefault="003B0237" w:rsidP="003B0237">
      <w:pPr>
        <w:pStyle w:val="ListParagraph"/>
        <w:numPr>
          <w:ilvl w:val="0"/>
          <w:numId w:val="21"/>
        </w:numPr>
        <w:ind w:left="426"/>
        <w:rPr>
          <w:lang w:val="fr-FR"/>
        </w:rPr>
      </w:pPr>
      <w:r w:rsidRPr="00541948">
        <w:rPr>
          <w:lang w:val="fr-FR"/>
        </w:rPr>
        <w:t>HLA-DQ Antigens/ or HLA-DR3 Antigen/</w:t>
      </w:r>
    </w:p>
    <w:p w14:paraId="77C4141A" w14:textId="77777777" w:rsidR="003B0237" w:rsidRPr="00C34531" w:rsidRDefault="003B0237" w:rsidP="003B0237">
      <w:pPr>
        <w:pStyle w:val="ListParagraph"/>
        <w:numPr>
          <w:ilvl w:val="0"/>
          <w:numId w:val="21"/>
        </w:numPr>
        <w:ind w:left="426"/>
      </w:pPr>
      <w:r w:rsidRPr="00C34531">
        <w:t>(human adj3 (leukocyte* or leucocyte*) adj3 antigen*).tw.</w:t>
      </w:r>
    </w:p>
    <w:p w14:paraId="38440EF9" w14:textId="77777777" w:rsidR="003B0237" w:rsidRPr="00734942" w:rsidRDefault="003B0237" w:rsidP="003B0237">
      <w:pPr>
        <w:pStyle w:val="ListParagraph"/>
        <w:numPr>
          <w:ilvl w:val="0"/>
          <w:numId w:val="21"/>
        </w:numPr>
        <w:ind w:left="426"/>
      </w:pPr>
      <w:r w:rsidRPr="00734942">
        <w:t>(hla adj3 typing).tw.</w:t>
      </w:r>
    </w:p>
    <w:p w14:paraId="25FF4518" w14:textId="77777777" w:rsidR="003B0237" w:rsidRPr="00734942" w:rsidRDefault="003B0237" w:rsidP="003B0237">
      <w:pPr>
        <w:pStyle w:val="ListParagraph"/>
        <w:numPr>
          <w:ilvl w:val="0"/>
          <w:numId w:val="21"/>
        </w:numPr>
        <w:ind w:left="426"/>
      </w:pPr>
      <w:r w:rsidRPr="00734942">
        <w:t>((dr3 or hla) adj4 dq2).tw.</w:t>
      </w:r>
    </w:p>
    <w:p w14:paraId="4D0A6D01" w14:textId="77777777" w:rsidR="003B0237" w:rsidRPr="00734942" w:rsidRDefault="003B0237" w:rsidP="003B0237">
      <w:pPr>
        <w:pStyle w:val="ListParagraph"/>
        <w:numPr>
          <w:ilvl w:val="0"/>
          <w:numId w:val="21"/>
        </w:numPr>
        <w:ind w:left="426"/>
      </w:pPr>
      <w:r w:rsidRPr="00734942">
        <w:t>((dr4 or hla) adj4 dq8).tw.</w:t>
      </w:r>
    </w:p>
    <w:p w14:paraId="24049D8D" w14:textId="77777777" w:rsidR="003B0237" w:rsidRPr="00734942" w:rsidRDefault="003B0237" w:rsidP="003B0237">
      <w:pPr>
        <w:pStyle w:val="ListParagraph"/>
        <w:numPr>
          <w:ilvl w:val="0"/>
          <w:numId w:val="21"/>
        </w:numPr>
        <w:ind w:left="426"/>
      </w:pPr>
      <w:r w:rsidRPr="00734942">
        <w:t>or/29-33</w:t>
      </w:r>
    </w:p>
    <w:p w14:paraId="601CEA0F" w14:textId="77777777" w:rsidR="003B0237" w:rsidRPr="00734942" w:rsidRDefault="003B0237" w:rsidP="003B0237">
      <w:pPr>
        <w:pStyle w:val="ListParagraph"/>
        <w:numPr>
          <w:ilvl w:val="0"/>
          <w:numId w:val="21"/>
        </w:numPr>
        <w:ind w:left="426"/>
      </w:pPr>
      <w:r w:rsidRPr="00734942">
        <w:t>9 or 16 or 22 or 28 or 34</w:t>
      </w:r>
    </w:p>
    <w:p w14:paraId="504C385C" w14:textId="77777777" w:rsidR="003B0237" w:rsidRPr="00734942" w:rsidRDefault="003B0237" w:rsidP="003B0237">
      <w:pPr>
        <w:pStyle w:val="ListParagraph"/>
        <w:numPr>
          <w:ilvl w:val="0"/>
          <w:numId w:val="21"/>
        </w:numPr>
        <w:ind w:left="426"/>
      </w:pPr>
      <w:r w:rsidRPr="00734942">
        <w:t>6 and 35</w:t>
      </w:r>
    </w:p>
    <w:p w14:paraId="171B0561" w14:textId="77777777" w:rsidR="003B0237" w:rsidRPr="00734942" w:rsidRDefault="003B0237" w:rsidP="003B0237">
      <w:pPr>
        <w:pStyle w:val="ListParagraph"/>
        <w:numPr>
          <w:ilvl w:val="0"/>
          <w:numId w:val="21"/>
        </w:numPr>
        <w:ind w:left="426"/>
      </w:pPr>
      <w:r w:rsidRPr="00734942">
        <w:t>letter/</w:t>
      </w:r>
    </w:p>
    <w:p w14:paraId="02AA198F" w14:textId="77777777" w:rsidR="003B0237" w:rsidRPr="00734942" w:rsidRDefault="003B0237" w:rsidP="003B0237">
      <w:pPr>
        <w:pStyle w:val="ListParagraph"/>
        <w:numPr>
          <w:ilvl w:val="0"/>
          <w:numId w:val="21"/>
        </w:numPr>
        <w:ind w:left="426"/>
      </w:pPr>
      <w:r w:rsidRPr="00734942">
        <w:t>editorial/</w:t>
      </w:r>
    </w:p>
    <w:p w14:paraId="52A322B8" w14:textId="77777777" w:rsidR="003B0237" w:rsidRPr="00734942" w:rsidRDefault="003B0237" w:rsidP="003B0237">
      <w:pPr>
        <w:pStyle w:val="ListParagraph"/>
        <w:numPr>
          <w:ilvl w:val="0"/>
          <w:numId w:val="21"/>
        </w:numPr>
        <w:ind w:left="426"/>
      </w:pPr>
      <w:r w:rsidRPr="00734942">
        <w:t>news/</w:t>
      </w:r>
    </w:p>
    <w:p w14:paraId="5777C749" w14:textId="77777777" w:rsidR="003B0237" w:rsidRPr="00734942" w:rsidRDefault="003B0237" w:rsidP="003B0237">
      <w:pPr>
        <w:pStyle w:val="ListParagraph"/>
        <w:numPr>
          <w:ilvl w:val="0"/>
          <w:numId w:val="21"/>
        </w:numPr>
        <w:ind w:left="426"/>
      </w:pPr>
      <w:r w:rsidRPr="00734942">
        <w:t>exp historical article/</w:t>
      </w:r>
    </w:p>
    <w:p w14:paraId="29250F37" w14:textId="77777777" w:rsidR="003B0237" w:rsidRPr="00734942" w:rsidRDefault="003B0237" w:rsidP="003B0237">
      <w:pPr>
        <w:pStyle w:val="ListParagraph"/>
        <w:numPr>
          <w:ilvl w:val="0"/>
          <w:numId w:val="21"/>
        </w:numPr>
        <w:ind w:left="426"/>
      </w:pPr>
      <w:r w:rsidRPr="00734942">
        <w:t>Anecdotes as topic/</w:t>
      </w:r>
    </w:p>
    <w:p w14:paraId="0DC586B4" w14:textId="77777777" w:rsidR="003B0237" w:rsidRPr="00734942" w:rsidRDefault="003B0237" w:rsidP="003B0237">
      <w:pPr>
        <w:pStyle w:val="ListParagraph"/>
        <w:numPr>
          <w:ilvl w:val="0"/>
          <w:numId w:val="21"/>
        </w:numPr>
        <w:ind w:left="426"/>
      </w:pPr>
      <w:r w:rsidRPr="00734942">
        <w:t>comment/</w:t>
      </w:r>
    </w:p>
    <w:p w14:paraId="6DCD5312" w14:textId="77777777" w:rsidR="003B0237" w:rsidRPr="00734942" w:rsidRDefault="003B0237" w:rsidP="003B0237">
      <w:pPr>
        <w:pStyle w:val="ListParagraph"/>
        <w:numPr>
          <w:ilvl w:val="0"/>
          <w:numId w:val="21"/>
        </w:numPr>
        <w:ind w:left="426"/>
      </w:pPr>
      <w:r w:rsidRPr="00734942">
        <w:t>case report/</w:t>
      </w:r>
    </w:p>
    <w:p w14:paraId="78F8D5C4" w14:textId="77777777" w:rsidR="003B0237" w:rsidRPr="00734942" w:rsidRDefault="003B0237" w:rsidP="003B0237">
      <w:pPr>
        <w:pStyle w:val="ListParagraph"/>
        <w:numPr>
          <w:ilvl w:val="0"/>
          <w:numId w:val="21"/>
        </w:numPr>
        <w:ind w:left="426"/>
      </w:pPr>
      <w:r w:rsidRPr="00734942">
        <w:lastRenderedPageBreak/>
        <w:t>(letter or comment* or editorial or case report).ti.</w:t>
      </w:r>
    </w:p>
    <w:p w14:paraId="7D2DC6B2" w14:textId="77777777" w:rsidR="003B0237" w:rsidRPr="00734942" w:rsidRDefault="003B0237" w:rsidP="003B0237">
      <w:pPr>
        <w:pStyle w:val="ListParagraph"/>
        <w:numPr>
          <w:ilvl w:val="0"/>
          <w:numId w:val="21"/>
        </w:numPr>
        <w:ind w:left="426"/>
      </w:pPr>
      <w:r w:rsidRPr="00734942">
        <w:t>or/37-44</w:t>
      </w:r>
    </w:p>
    <w:p w14:paraId="602C9CAA" w14:textId="77777777" w:rsidR="003B0237" w:rsidRPr="00734942" w:rsidRDefault="003B0237" w:rsidP="003B0237">
      <w:pPr>
        <w:pStyle w:val="ListParagraph"/>
        <w:numPr>
          <w:ilvl w:val="0"/>
          <w:numId w:val="21"/>
        </w:numPr>
        <w:ind w:left="426"/>
      </w:pPr>
      <w:r w:rsidRPr="00734942">
        <w:t>exp animals/ not humans/</w:t>
      </w:r>
    </w:p>
    <w:p w14:paraId="2A83054B" w14:textId="77777777" w:rsidR="003B0237" w:rsidRPr="00734942" w:rsidRDefault="003B0237" w:rsidP="003B0237">
      <w:pPr>
        <w:pStyle w:val="ListParagraph"/>
        <w:numPr>
          <w:ilvl w:val="0"/>
          <w:numId w:val="21"/>
        </w:numPr>
        <w:ind w:left="426"/>
      </w:pPr>
      <w:r w:rsidRPr="00734942">
        <w:t>exp Animals, Laboratory/</w:t>
      </w:r>
    </w:p>
    <w:p w14:paraId="7F6ED86C" w14:textId="77777777" w:rsidR="003B0237" w:rsidRPr="00734942" w:rsidRDefault="003B0237" w:rsidP="003B0237">
      <w:pPr>
        <w:pStyle w:val="ListParagraph"/>
        <w:numPr>
          <w:ilvl w:val="0"/>
          <w:numId w:val="21"/>
        </w:numPr>
        <w:ind w:left="426"/>
      </w:pPr>
      <w:r w:rsidRPr="00734942">
        <w:t>exp Animal Experimentation/</w:t>
      </w:r>
    </w:p>
    <w:p w14:paraId="5A71A0B1" w14:textId="77777777" w:rsidR="003B0237" w:rsidRPr="00734942" w:rsidRDefault="003B0237" w:rsidP="003B0237">
      <w:pPr>
        <w:pStyle w:val="ListParagraph"/>
        <w:numPr>
          <w:ilvl w:val="0"/>
          <w:numId w:val="21"/>
        </w:numPr>
        <w:ind w:left="426"/>
      </w:pPr>
      <w:r w:rsidRPr="00734942">
        <w:t>exp Models, Animal/</w:t>
      </w:r>
    </w:p>
    <w:p w14:paraId="542E9113" w14:textId="77777777" w:rsidR="003B0237" w:rsidRPr="00734942" w:rsidRDefault="003B0237" w:rsidP="003B0237">
      <w:pPr>
        <w:pStyle w:val="ListParagraph"/>
        <w:numPr>
          <w:ilvl w:val="0"/>
          <w:numId w:val="21"/>
        </w:numPr>
        <w:ind w:left="426"/>
      </w:pPr>
      <w:r w:rsidRPr="00734942">
        <w:t>exp rodentia/</w:t>
      </w:r>
    </w:p>
    <w:p w14:paraId="19805986" w14:textId="77777777" w:rsidR="003B0237" w:rsidRPr="00734942" w:rsidRDefault="003B0237" w:rsidP="003B0237">
      <w:pPr>
        <w:pStyle w:val="ListParagraph"/>
        <w:numPr>
          <w:ilvl w:val="0"/>
          <w:numId w:val="21"/>
        </w:numPr>
        <w:ind w:left="426"/>
      </w:pPr>
      <w:r w:rsidRPr="00734942">
        <w:t>((rat or rats or mouse or mice or rodent* or animal* or murine or porcine or feline or canine or dog or dogs or cat or cats or pig or pigs or monkey* or macaque*) not human*).ti.</w:t>
      </w:r>
    </w:p>
    <w:p w14:paraId="6BF7386D" w14:textId="77777777" w:rsidR="003B0237" w:rsidRPr="00734942" w:rsidRDefault="003B0237" w:rsidP="003B0237">
      <w:pPr>
        <w:pStyle w:val="ListParagraph"/>
        <w:numPr>
          <w:ilvl w:val="0"/>
          <w:numId w:val="21"/>
        </w:numPr>
        <w:ind w:left="426"/>
      </w:pPr>
      <w:r w:rsidRPr="00734942">
        <w:t>or/46-51</w:t>
      </w:r>
    </w:p>
    <w:p w14:paraId="063CAA22" w14:textId="77777777" w:rsidR="003B0237" w:rsidRPr="00734942" w:rsidRDefault="003B0237" w:rsidP="003B0237">
      <w:pPr>
        <w:pStyle w:val="ListParagraph"/>
        <w:numPr>
          <w:ilvl w:val="0"/>
          <w:numId w:val="21"/>
        </w:numPr>
        <w:ind w:left="426"/>
      </w:pPr>
      <w:r w:rsidRPr="00734942">
        <w:t>45 or 52</w:t>
      </w:r>
    </w:p>
    <w:p w14:paraId="605789A1" w14:textId="77777777" w:rsidR="003B0237" w:rsidRPr="00734942" w:rsidRDefault="003B0237" w:rsidP="003B0237">
      <w:pPr>
        <w:pStyle w:val="ListParagraph"/>
        <w:numPr>
          <w:ilvl w:val="0"/>
          <w:numId w:val="21"/>
        </w:numPr>
        <w:ind w:left="426"/>
      </w:pPr>
      <w:r w:rsidRPr="00734942">
        <w:t>36 not 53</w:t>
      </w:r>
    </w:p>
    <w:p w14:paraId="1947D6EF" w14:textId="77777777" w:rsidR="003B0237" w:rsidRDefault="003B0237" w:rsidP="003B0237">
      <w:pPr>
        <w:rPr>
          <w:rFonts w:asciiTheme="majorHAnsi" w:eastAsiaTheme="majorEastAsia" w:hAnsiTheme="majorHAnsi" w:cstheme="majorBidi"/>
          <w:color w:val="2F5496" w:themeColor="accent1" w:themeShade="BF"/>
          <w:sz w:val="26"/>
          <w:szCs w:val="26"/>
        </w:rPr>
      </w:pPr>
      <w:bookmarkStart w:id="476" w:name="_Ref84002997"/>
      <w:r>
        <w:br w:type="page"/>
      </w:r>
    </w:p>
    <w:p w14:paraId="5E106386" w14:textId="140E18AB" w:rsidR="00B505F7" w:rsidRDefault="00B505F7" w:rsidP="003B0237">
      <w:pPr>
        <w:pStyle w:val="Heading2"/>
      </w:pPr>
      <w:bookmarkStart w:id="477" w:name="_Toc99539943"/>
      <w:bookmarkStart w:id="478" w:name="_Ref87551228"/>
      <w:r>
        <w:lastRenderedPageBreak/>
        <w:t>Appendix 1</w:t>
      </w:r>
      <w:r w:rsidR="008A3FBF">
        <w:t>7</w:t>
      </w:r>
      <w:bookmarkEnd w:id="477"/>
    </w:p>
    <w:p w14:paraId="337F099B" w14:textId="77777777" w:rsidR="004C50C4" w:rsidRPr="004C50C4" w:rsidRDefault="004C50C4" w:rsidP="000526F1">
      <w:pPr>
        <w:spacing w:after="0"/>
      </w:pPr>
    </w:p>
    <w:p w14:paraId="3E78C44E" w14:textId="4F042B33" w:rsidR="00B505F7" w:rsidRPr="00734942" w:rsidRDefault="00B505F7" w:rsidP="00B505F7">
      <w:pPr>
        <w:pStyle w:val="Caption"/>
      </w:pPr>
      <w:bookmarkStart w:id="479" w:name="_Ref84000285"/>
      <w:bookmarkStart w:id="480" w:name="_Toc99720837"/>
      <w:r w:rsidRPr="00734942">
        <w:t xml:space="preserve">Figure </w:t>
      </w:r>
      <w:r>
        <w:fldChar w:fldCharType="begin"/>
      </w:r>
      <w:r>
        <w:instrText>SEQ Figure \* ARABIC</w:instrText>
      </w:r>
      <w:r>
        <w:fldChar w:fldCharType="separate"/>
      </w:r>
      <w:r w:rsidR="008B5583">
        <w:rPr>
          <w:noProof/>
        </w:rPr>
        <w:t>56</w:t>
      </w:r>
      <w:r>
        <w:fldChar w:fldCharType="end"/>
      </w:r>
      <w:bookmarkEnd w:id="479"/>
      <w:r w:rsidRPr="00734942">
        <w:t xml:space="preserve"> PRIMSA flow diagram</w:t>
      </w:r>
      <w:bookmarkEnd w:id="480"/>
    </w:p>
    <w:p w14:paraId="3A0FBA5B" w14:textId="77777777" w:rsidR="00B505F7" w:rsidRPr="00734942" w:rsidRDefault="00B505F7" w:rsidP="00B505F7">
      <w:pPr>
        <w:rPr>
          <w:sz w:val="18"/>
          <w:szCs w:val="18"/>
        </w:rPr>
      </w:pPr>
      <w:r w:rsidRPr="00734942">
        <w:rPr>
          <w:sz w:val="18"/>
          <w:szCs w:val="18"/>
        </w:rPr>
        <w:t>Abbreviations: IgA, immunoglobulin A; IgG, immunoglobulin G; tTG, anti-tissue transglutaminase; EMA, endomysial antibodies; DGP, deamidated gliadin peptide; AAA, anti-actin antibodies.</w:t>
      </w:r>
    </w:p>
    <w:p w14:paraId="086CFC9E" w14:textId="77777777" w:rsidR="00B505F7" w:rsidRPr="00734942" w:rsidRDefault="00B505F7" w:rsidP="00B505F7">
      <w:pPr>
        <w:rPr>
          <w:sz w:val="18"/>
          <w:szCs w:val="18"/>
        </w:rPr>
      </w:pPr>
      <w:r w:rsidRPr="00734942">
        <w:rPr>
          <w:noProof/>
          <w:sz w:val="18"/>
          <w:szCs w:val="18"/>
        </w:rPr>
        <w:drawing>
          <wp:inline distT="0" distB="0" distL="0" distR="0" wp14:anchorId="5823FEC8" wp14:editId="7B05454F">
            <wp:extent cx="5132981" cy="7857460"/>
            <wp:effectExtent l="0" t="0" r="0" b="0"/>
            <wp:docPr id="52" name="Picture 5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5137688" cy="7864666"/>
                    </a:xfrm>
                    <a:prstGeom prst="rect">
                      <a:avLst/>
                    </a:prstGeom>
                    <a:noFill/>
                    <a:ln>
                      <a:noFill/>
                    </a:ln>
                  </pic:spPr>
                </pic:pic>
              </a:graphicData>
            </a:graphic>
          </wp:inline>
        </w:drawing>
      </w:r>
    </w:p>
    <w:p w14:paraId="11305CED" w14:textId="647DA5F0" w:rsidR="00B505F7" w:rsidRDefault="00B505F7" w:rsidP="003B0237">
      <w:pPr>
        <w:pStyle w:val="Heading2"/>
      </w:pPr>
      <w:bookmarkStart w:id="481" w:name="_Toc99539944"/>
      <w:r>
        <w:lastRenderedPageBreak/>
        <w:t>Appendix 1</w:t>
      </w:r>
      <w:r w:rsidR="008A3FBF">
        <w:t>8</w:t>
      </w:r>
      <w:bookmarkEnd w:id="481"/>
    </w:p>
    <w:p w14:paraId="6AF0245A" w14:textId="77777777" w:rsidR="004C50C4" w:rsidRPr="004C50C4" w:rsidRDefault="004C50C4" w:rsidP="000526F1"/>
    <w:p w14:paraId="23380E9C" w14:textId="77777777" w:rsidR="00C37443" w:rsidRPr="00734942" w:rsidRDefault="00C37443" w:rsidP="00C37443">
      <w:r>
        <w:rPr>
          <w:noProof/>
        </w:rPr>
        <w:drawing>
          <wp:inline distT="0" distB="0" distL="0" distR="0" wp14:anchorId="51C5F434" wp14:editId="32364B0E">
            <wp:extent cx="5400000" cy="367875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444">
                      <a:extLst>
                        <a:ext uri="{28A0092B-C50C-407E-A947-70E740481C1C}">
                          <a14:useLocalDpi xmlns:a14="http://schemas.microsoft.com/office/drawing/2010/main" val="0"/>
                        </a:ext>
                      </a:extLst>
                    </a:blip>
                    <a:stretch>
                      <a:fillRect/>
                    </a:stretch>
                  </pic:blipFill>
                  <pic:spPr>
                    <a:xfrm>
                      <a:off x="0" y="0"/>
                      <a:ext cx="5400000" cy="3678750"/>
                    </a:xfrm>
                    <a:prstGeom prst="rect">
                      <a:avLst/>
                    </a:prstGeom>
                  </pic:spPr>
                </pic:pic>
              </a:graphicData>
            </a:graphic>
          </wp:inline>
        </w:drawing>
      </w:r>
    </w:p>
    <w:p w14:paraId="389546B2" w14:textId="35367DA5" w:rsidR="00C37443" w:rsidRPr="00734942" w:rsidRDefault="00C37443" w:rsidP="00C37443">
      <w:pPr>
        <w:pStyle w:val="Caption"/>
      </w:pPr>
      <w:bookmarkStart w:id="482" w:name="_Ref84000129"/>
      <w:bookmarkStart w:id="483" w:name="_Toc99720838"/>
      <w:r w:rsidRPr="00734942">
        <w:t xml:space="preserve">Figure </w:t>
      </w:r>
      <w:r>
        <w:fldChar w:fldCharType="begin"/>
      </w:r>
      <w:r>
        <w:instrText>SEQ Figure \* ARABIC</w:instrText>
      </w:r>
      <w:r>
        <w:fldChar w:fldCharType="separate"/>
      </w:r>
      <w:r w:rsidR="008B5583">
        <w:rPr>
          <w:noProof/>
        </w:rPr>
        <w:t>57</w:t>
      </w:r>
      <w:r>
        <w:fldChar w:fldCharType="end"/>
      </w:r>
      <w:bookmarkEnd w:id="482"/>
      <w:r w:rsidRPr="00734942">
        <w:t xml:space="preserve"> Summary risk of bias plots for all studies combined; stratified according to age; and stratified according to test type</w:t>
      </w:r>
      <w:bookmarkEnd w:id="483"/>
    </w:p>
    <w:p w14:paraId="022DED41" w14:textId="77777777" w:rsidR="00F67DC0" w:rsidRDefault="00F67DC0">
      <w:pPr>
        <w:rPr>
          <w:rFonts w:asciiTheme="majorHAnsi" w:eastAsiaTheme="majorEastAsia" w:hAnsiTheme="majorHAnsi" w:cstheme="majorBidi"/>
          <w:color w:val="2F5496" w:themeColor="accent1" w:themeShade="BF"/>
          <w:sz w:val="26"/>
          <w:szCs w:val="26"/>
        </w:rPr>
      </w:pPr>
      <w:r>
        <w:br w:type="page"/>
      </w:r>
    </w:p>
    <w:p w14:paraId="740D4272" w14:textId="02B53A70" w:rsidR="003B0237" w:rsidRDefault="003B0237" w:rsidP="003B0237">
      <w:pPr>
        <w:pStyle w:val="Heading2"/>
      </w:pPr>
      <w:bookmarkStart w:id="484" w:name="_Ref95137736"/>
      <w:bookmarkStart w:id="485" w:name="_Toc99539945"/>
      <w:r w:rsidRPr="00734942">
        <w:lastRenderedPageBreak/>
        <w:t xml:space="preserve">Appendix </w:t>
      </w:r>
      <w:r w:rsidR="00F67DC0">
        <w:t>1</w:t>
      </w:r>
      <w:r w:rsidR="008A3FBF">
        <w:t>9</w:t>
      </w:r>
      <w:bookmarkEnd w:id="478"/>
      <w:bookmarkEnd w:id="484"/>
      <w:bookmarkEnd w:id="485"/>
    </w:p>
    <w:p w14:paraId="7159B485" w14:textId="69125A7F" w:rsidR="00C555CD" w:rsidRPr="00C555CD" w:rsidRDefault="00C555CD" w:rsidP="000526F1">
      <w:pPr>
        <w:spacing w:after="0"/>
      </w:pPr>
    </w:p>
    <w:bookmarkEnd w:id="476"/>
    <w:p w14:paraId="20B6CDE4" w14:textId="77777777" w:rsidR="002E1678" w:rsidRDefault="003B0237" w:rsidP="002E1678">
      <w:pPr>
        <w:keepNext/>
      </w:pPr>
      <w:r w:rsidRPr="00734942">
        <w:rPr>
          <w:noProof/>
          <w:lang w:eastAsia="en-GB"/>
        </w:rPr>
        <w:drawing>
          <wp:inline distT="0" distB="0" distL="0" distR="0" wp14:anchorId="3875681A" wp14:editId="34828782">
            <wp:extent cx="5103585" cy="4680000"/>
            <wp:effectExtent l="0" t="0" r="1905" b="635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rotWithShape="1">
                    <a:blip r:embed="rId445" cstate="print">
                      <a:extLst>
                        <a:ext uri="{28A0092B-C50C-407E-A947-70E740481C1C}">
                          <a14:useLocalDpi xmlns:a14="http://schemas.microsoft.com/office/drawing/2010/main" val="0"/>
                        </a:ext>
                      </a:extLst>
                    </a:blip>
                    <a:srcRect t="3140" r="47893" b="50607"/>
                    <a:stretch/>
                  </pic:blipFill>
                  <pic:spPr bwMode="auto">
                    <a:xfrm>
                      <a:off x="0" y="0"/>
                      <a:ext cx="5103585" cy="4680000"/>
                    </a:xfrm>
                    <a:prstGeom prst="rect">
                      <a:avLst/>
                    </a:prstGeom>
                    <a:ln>
                      <a:noFill/>
                    </a:ln>
                    <a:extLst>
                      <a:ext uri="{53640926-AAD7-44D8-BBD7-CCE9431645EC}">
                        <a14:shadowObscured xmlns:a14="http://schemas.microsoft.com/office/drawing/2010/main"/>
                      </a:ext>
                    </a:extLst>
                  </pic:spPr>
                </pic:pic>
              </a:graphicData>
            </a:graphic>
          </wp:inline>
        </w:drawing>
      </w:r>
    </w:p>
    <w:p w14:paraId="4B852E7E" w14:textId="66841D9C" w:rsidR="00D13CAC" w:rsidRDefault="002E1678" w:rsidP="002E1678">
      <w:pPr>
        <w:pStyle w:val="Caption"/>
      </w:pPr>
      <w:bookmarkStart w:id="486" w:name="_Ref95380294"/>
      <w:bookmarkStart w:id="487" w:name="_Toc99720839"/>
      <w:r>
        <w:t xml:space="preserve">Figure </w:t>
      </w:r>
      <w:r w:rsidR="00C34531">
        <w:fldChar w:fldCharType="begin"/>
      </w:r>
      <w:r w:rsidR="00C34531">
        <w:instrText xml:space="preserve"> SEQ Figure \* ARABIC </w:instrText>
      </w:r>
      <w:r w:rsidR="00C34531">
        <w:fldChar w:fldCharType="separate"/>
      </w:r>
      <w:r w:rsidR="008B5583">
        <w:rPr>
          <w:noProof/>
        </w:rPr>
        <w:t>58</w:t>
      </w:r>
      <w:r w:rsidR="00C34531">
        <w:rPr>
          <w:noProof/>
        </w:rPr>
        <w:fldChar w:fldCharType="end"/>
      </w:r>
      <w:bookmarkEnd w:id="486"/>
      <w:r>
        <w:t xml:space="preserve">  </w:t>
      </w:r>
      <w:r w:rsidRPr="00441562">
        <w:t>Study estimates of</w:t>
      </w:r>
      <w:r w:rsidR="006A758D">
        <w:t xml:space="preserve"> </w:t>
      </w:r>
      <w:r w:rsidR="006A758D" w:rsidRPr="00734942">
        <w:t>IgA tTG</w:t>
      </w:r>
      <w:r w:rsidRPr="00441562">
        <w:t xml:space="preserve"> sensitivity and specificity in adults plotted in receiver operating characteristic (ROC) space, stratified by reason for biopsy. Summary ROC curves are estimated from a meta-analysis of all data, across thresholds.</w:t>
      </w:r>
      <w:bookmarkEnd w:id="487"/>
    </w:p>
    <w:p w14:paraId="55AFEDF8" w14:textId="77777777" w:rsidR="002E6D2D" w:rsidRPr="002E6D2D" w:rsidRDefault="002E6D2D" w:rsidP="000526F1"/>
    <w:p w14:paraId="2570A161" w14:textId="77777777" w:rsidR="006A758D" w:rsidRDefault="00A37228" w:rsidP="006A758D">
      <w:pPr>
        <w:keepNext/>
      </w:pPr>
      <w:r w:rsidRPr="00734942">
        <w:rPr>
          <w:noProof/>
          <w:lang w:eastAsia="en-GB"/>
        </w:rPr>
        <w:lastRenderedPageBreak/>
        <w:drawing>
          <wp:inline distT="0" distB="0" distL="0" distR="0" wp14:anchorId="2740B8E9" wp14:editId="54604780">
            <wp:extent cx="4737784" cy="4680000"/>
            <wp:effectExtent l="0" t="0" r="5715" b="6350"/>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rotWithShape="1">
                    <a:blip r:embed="rId445" cstate="print">
                      <a:extLst>
                        <a:ext uri="{28A0092B-C50C-407E-A947-70E740481C1C}">
                          <a14:useLocalDpi xmlns:a14="http://schemas.microsoft.com/office/drawing/2010/main" val="0"/>
                        </a:ext>
                      </a:extLst>
                    </a:blip>
                    <a:srcRect l="50964" t="2889" b="50223"/>
                    <a:stretch/>
                  </pic:blipFill>
                  <pic:spPr bwMode="auto">
                    <a:xfrm>
                      <a:off x="0" y="0"/>
                      <a:ext cx="4737784" cy="4680000"/>
                    </a:xfrm>
                    <a:prstGeom prst="rect">
                      <a:avLst/>
                    </a:prstGeom>
                    <a:ln>
                      <a:noFill/>
                    </a:ln>
                    <a:extLst>
                      <a:ext uri="{53640926-AAD7-44D8-BBD7-CCE9431645EC}">
                        <a14:shadowObscured xmlns:a14="http://schemas.microsoft.com/office/drawing/2010/main"/>
                      </a:ext>
                    </a:extLst>
                  </pic:spPr>
                </pic:pic>
              </a:graphicData>
            </a:graphic>
          </wp:inline>
        </w:drawing>
      </w:r>
    </w:p>
    <w:p w14:paraId="544EA2F7" w14:textId="4AECAC63" w:rsidR="00A37228" w:rsidRDefault="006A758D" w:rsidP="000526F1">
      <w:pPr>
        <w:pStyle w:val="Caption"/>
      </w:pPr>
      <w:bookmarkStart w:id="488" w:name="_Toc99720840"/>
      <w:r>
        <w:t xml:space="preserve">Figure </w:t>
      </w:r>
      <w:r w:rsidR="00C34531">
        <w:fldChar w:fldCharType="begin"/>
      </w:r>
      <w:r w:rsidR="00C34531">
        <w:instrText xml:space="preserve"> SEQ Figure \* ARABIC </w:instrText>
      </w:r>
      <w:r w:rsidR="00C34531">
        <w:fldChar w:fldCharType="separate"/>
      </w:r>
      <w:r w:rsidR="008B5583">
        <w:rPr>
          <w:noProof/>
        </w:rPr>
        <w:t>59</w:t>
      </w:r>
      <w:r w:rsidR="00C34531">
        <w:rPr>
          <w:noProof/>
        </w:rPr>
        <w:fldChar w:fldCharType="end"/>
      </w:r>
      <w:r>
        <w:t xml:space="preserve">  </w:t>
      </w:r>
      <w:r w:rsidRPr="00312D7C">
        <w:t xml:space="preserve">Study estimates of </w:t>
      </w:r>
      <w:r w:rsidR="002E6D2D" w:rsidRPr="00734942">
        <w:t>IgA EMA</w:t>
      </w:r>
      <w:r w:rsidR="002E6D2D" w:rsidRPr="00312D7C">
        <w:t xml:space="preserve"> </w:t>
      </w:r>
      <w:r w:rsidRPr="00312D7C">
        <w:t>sensitivity and specificity in adults plotted in receiver operating characteristic (ROC) space, stratified by reason for biopsy. Summary ROC curves are estimated from a meta-analysis of all data, across thresholds.</w:t>
      </w:r>
      <w:bookmarkEnd w:id="488"/>
    </w:p>
    <w:p w14:paraId="166E7B2D" w14:textId="77777777" w:rsidR="00D13CAC" w:rsidRDefault="00D13CAC">
      <w:pPr>
        <w:keepNext/>
      </w:pPr>
    </w:p>
    <w:p w14:paraId="4D834FDB" w14:textId="77777777" w:rsidR="006A758D" w:rsidRDefault="005D5FAA" w:rsidP="006A758D">
      <w:pPr>
        <w:keepNext/>
      </w:pPr>
      <w:r w:rsidRPr="00734942">
        <w:rPr>
          <w:noProof/>
          <w:lang w:eastAsia="en-GB"/>
        </w:rPr>
        <w:lastRenderedPageBreak/>
        <w:drawing>
          <wp:inline distT="0" distB="0" distL="0" distR="0" wp14:anchorId="78594DBF" wp14:editId="3A7BE617">
            <wp:extent cx="4788433" cy="4680000"/>
            <wp:effectExtent l="0" t="0" r="0" b="6350"/>
            <wp:docPr id="95"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rotWithShape="1">
                    <a:blip r:embed="rId445" cstate="print">
                      <a:extLst>
                        <a:ext uri="{28A0092B-C50C-407E-A947-70E740481C1C}">
                          <a14:useLocalDpi xmlns:a14="http://schemas.microsoft.com/office/drawing/2010/main" val="0"/>
                        </a:ext>
                      </a:extLst>
                    </a:blip>
                    <a:srcRect t="51888" r="49145" b="-1"/>
                    <a:stretch/>
                  </pic:blipFill>
                  <pic:spPr bwMode="auto">
                    <a:xfrm>
                      <a:off x="0" y="0"/>
                      <a:ext cx="4788433" cy="4680000"/>
                    </a:xfrm>
                    <a:prstGeom prst="rect">
                      <a:avLst/>
                    </a:prstGeom>
                    <a:ln>
                      <a:noFill/>
                    </a:ln>
                    <a:extLst>
                      <a:ext uri="{53640926-AAD7-44D8-BBD7-CCE9431645EC}">
                        <a14:shadowObscured xmlns:a14="http://schemas.microsoft.com/office/drawing/2010/main"/>
                      </a:ext>
                    </a:extLst>
                  </pic:spPr>
                </pic:pic>
              </a:graphicData>
            </a:graphic>
          </wp:inline>
        </w:drawing>
      </w:r>
    </w:p>
    <w:p w14:paraId="0E844391" w14:textId="6864F5F5" w:rsidR="005D5FAA" w:rsidRDefault="006A758D" w:rsidP="000526F1">
      <w:pPr>
        <w:pStyle w:val="Caption"/>
      </w:pPr>
      <w:bookmarkStart w:id="489" w:name="_Toc99720841"/>
      <w:r>
        <w:t xml:space="preserve">Figure </w:t>
      </w:r>
      <w:r w:rsidR="00C34531">
        <w:fldChar w:fldCharType="begin"/>
      </w:r>
      <w:r w:rsidR="00C34531">
        <w:instrText xml:space="preserve"> SEQ Figure \* ARABIC </w:instrText>
      </w:r>
      <w:r w:rsidR="00C34531">
        <w:fldChar w:fldCharType="separate"/>
      </w:r>
      <w:r w:rsidR="008B5583">
        <w:rPr>
          <w:noProof/>
        </w:rPr>
        <w:t>60</w:t>
      </w:r>
      <w:r w:rsidR="00C34531">
        <w:rPr>
          <w:noProof/>
        </w:rPr>
        <w:fldChar w:fldCharType="end"/>
      </w:r>
      <w:r>
        <w:t xml:space="preserve">  </w:t>
      </w:r>
      <w:r w:rsidRPr="00022430">
        <w:t xml:space="preserve">Study estimates of </w:t>
      </w:r>
      <w:r w:rsidR="002E6D2D" w:rsidRPr="00734942">
        <w:t>IgA tTG</w:t>
      </w:r>
      <w:r w:rsidR="002E6D2D" w:rsidRPr="00022430">
        <w:t xml:space="preserve"> </w:t>
      </w:r>
      <w:r w:rsidRPr="00022430">
        <w:t>sensitivity and specificity in children plotted in receiver operating characteristic (ROC) space, stratified by reason for biopsy. Summary ROC curves are estimated from a meta-analysis of all data, across thresholds.</w:t>
      </w:r>
      <w:bookmarkEnd w:id="489"/>
    </w:p>
    <w:p w14:paraId="1DC19299" w14:textId="77777777" w:rsidR="00D13CAC" w:rsidRDefault="00D13CAC">
      <w:pPr>
        <w:keepNext/>
      </w:pPr>
    </w:p>
    <w:p w14:paraId="76F1713C" w14:textId="77777777" w:rsidR="006A758D" w:rsidRDefault="005D5FAA" w:rsidP="006A758D">
      <w:pPr>
        <w:keepNext/>
      </w:pPr>
      <w:r w:rsidRPr="00734942">
        <w:rPr>
          <w:noProof/>
          <w:lang w:eastAsia="en-GB"/>
        </w:rPr>
        <w:lastRenderedPageBreak/>
        <w:drawing>
          <wp:inline distT="0" distB="0" distL="0" distR="0" wp14:anchorId="72F3A8EE" wp14:editId="064736EE">
            <wp:extent cx="4595360" cy="4680000"/>
            <wp:effectExtent l="0" t="0" r="0" b="6350"/>
            <wp:docPr id="96" name="Picture 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rotWithShape="1">
                    <a:blip r:embed="rId445" cstate="print">
                      <a:extLst>
                        <a:ext uri="{28A0092B-C50C-407E-A947-70E740481C1C}">
                          <a14:useLocalDpi xmlns:a14="http://schemas.microsoft.com/office/drawing/2010/main" val="0"/>
                        </a:ext>
                      </a:extLst>
                    </a:blip>
                    <a:srcRect l="50970" t="51665"/>
                    <a:stretch/>
                  </pic:blipFill>
                  <pic:spPr bwMode="auto">
                    <a:xfrm>
                      <a:off x="0" y="0"/>
                      <a:ext cx="4595360" cy="4680000"/>
                    </a:xfrm>
                    <a:prstGeom prst="rect">
                      <a:avLst/>
                    </a:prstGeom>
                    <a:ln>
                      <a:noFill/>
                    </a:ln>
                    <a:extLst>
                      <a:ext uri="{53640926-AAD7-44D8-BBD7-CCE9431645EC}">
                        <a14:shadowObscured xmlns:a14="http://schemas.microsoft.com/office/drawing/2010/main"/>
                      </a:ext>
                    </a:extLst>
                  </pic:spPr>
                </pic:pic>
              </a:graphicData>
            </a:graphic>
          </wp:inline>
        </w:drawing>
      </w:r>
    </w:p>
    <w:p w14:paraId="3983C630" w14:textId="1B89F668" w:rsidR="005D5FAA" w:rsidRDefault="006A758D" w:rsidP="000526F1">
      <w:pPr>
        <w:pStyle w:val="Caption"/>
      </w:pPr>
      <w:bookmarkStart w:id="490" w:name="_Ref95380305"/>
      <w:bookmarkStart w:id="491" w:name="_Toc99720842"/>
      <w:r>
        <w:t xml:space="preserve">Figure </w:t>
      </w:r>
      <w:r w:rsidR="00C34531">
        <w:fldChar w:fldCharType="begin"/>
      </w:r>
      <w:r w:rsidR="00C34531">
        <w:instrText xml:space="preserve"> SEQ Figure \* ARABIC </w:instrText>
      </w:r>
      <w:r w:rsidR="00C34531">
        <w:fldChar w:fldCharType="separate"/>
      </w:r>
      <w:r w:rsidR="008B5583">
        <w:rPr>
          <w:noProof/>
        </w:rPr>
        <w:t>61</w:t>
      </w:r>
      <w:r w:rsidR="00C34531">
        <w:rPr>
          <w:noProof/>
        </w:rPr>
        <w:fldChar w:fldCharType="end"/>
      </w:r>
      <w:bookmarkEnd w:id="490"/>
      <w:r>
        <w:t xml:space="preserve">  </w:t>
      </w:r>
      <w:r w:rsidRPr="0017043F">
        <w:t xml:space="preserve">Study estimates of </w:t>
      </w:r>
      <w:r w:rsidR="002E6D2D" w:rsidRPr="00734942">
        <w:t>IgA EMA</w:t>
      </w:r>
      <w:r w:rsidR="002E6D2D" w:rsidRPr="0017043F">
        <w:t xml:space="preserve"> </w:t>
      </w:r>
      <w:r w:rsidRPr="0017043F">
        <w:t>sensitivity and specificity in children plotted in receiver operating characteristic (ROC) space, stratified by reason for biopsy. Summary ROC curves are estimated from a meta-analysis of all data, across thresholds.</w:t>
      </w:r>
      <w:bookmarkEnd w:id="491"/>
    </w:p>
    <w:p w14:paraId="3E4B4F83" w14:textId="3E368DC2" w:rsidR="002E6D2D" w:rsidRDefault="002E6D2D">
      <w:pPr>
        <w:rPr>
          <w:rFonts w:asciiTheme="majorHAnsi" w:eastAsiaTheme="majorEastAsia" w:hAnsiTheme="majorHAnsi" w:cstheme="majorBidi"/>
          <w:color w:val="2F5496" w:themeColor="accent1" w:themeShade="BF"/>
          <w:sz w:val="26"/>
          <w:szCs w:val="26"/>
        </w:rPr>
      </w:pPr>
      <w:r>
        <w:br w:type="page"/>
      </w:r>
    </w:p>
    <w:p w14:paraId="5ADF1DFB" w14:textId="15BC554B" w:rsidR="00D21D11" w:rsidRDefault="00455D88" w:rsidP="00D5616E">
      <w:pPr>
        <w:pStyle w:val="Heading2"/>
      </w:pPr>
      <w:bookmarkStart w:id="492" w:name="_Ref87449436"/>
      <w:bookmarkStart w:id="493" w:name="_Toc99539946"/>
      <w:r w:rsidRPr="00734942">
        <w:lastRenderedPageBreak/>
        <w:t xml:space="preserve">Appendix </w:t>
      </w:r>
      <w:bookmarkEnd w:id="465"/>
      <w:r w:rsidR="008A3FBF">
        <w:t>20</w:t>
      </w:r>
      <w:bookmarkEnd w:id="492"/>
      <w:bookmarkEnd w:id="493"/>
    </w:p>
    <w:p w14:paraId="3C3A37B7" w14:textId="77777777" w:rsidR="00C555CD" w:rsidRPr="00C555CD" w:rsidRDefault="00C555CD" w:rsidP="000526F1"/>
    <w:p w14:paraId="346BA1FD" w14:textId="77777777" w:rsidR="0008733F" w:rsidRDefault="0008733F" w:rsidP="0008733F">
      <w:pPr>
        <w:pStyle w:val="Caption"/>
      </w:pPr>
      <w:r w:rsidRPr="00AA7085">
        <w:rPr>
          <w:noProof/>
        </w:rPr>
        <w:drawing>
          <wp:inline distT="0" distB="0" distL="0" distR="0" wp14:anchorId="406CB422" wp14:editId="25474FE6">
            <wp:extent cx="4761905" cy="1428571"/>
            <wp:effectExtent l="0" t="0" r="635" b="635"/>
            <wp:docPr id="94" name="Picture 4" descr="Chart&#10;&#10;Description automatically generated with low confidence">
              <a:extLst xmlns:a="http://schemas.openxmlformats.org/drawingml/2006/main">
                <a:ext uri="{FF2B5EF4-FFF2-40B4-BE49-F238E27FC236}">
                  <a16:creationId xmlns:a16="http://schemas.microsoft.com/office/drawing/2014/main" id="{FFE7D07C-E3C1-4D67-B344-486F12C00F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4" descr="Chart&#10;&#10;Description automatically generated with low confidence">
                      <a:extLst>
                        <a:ext uri="{FF2B5EF4-FFF2-40B4-BE49-F238E27FC236}">
                          <a16:creationId xmlns:a16="http://schemas.microsoft.com/office/drawing/2014/main" id="{FFE7D07C-E3C1-4D67-B344-486F12C00F54}"/>
                        </a:ext>
                      </a:extLst>
                    </pic:cNvPr>
                    <pic:cNvPicPr>
                      <a:picLocks noChangeAspect="1"/>
                    </pic:cNvPicPr>
                  </pic:nvPicPr>
                  <pic:blipFill>
                    <a:blip r:embed="rId446"/>
                    <a:stretch>
                      <a:fillRect/>
                    </a:stretch>
                  </pic:blipFill>
                  <pic:spPr>
                    <a:xfrm>
                      <a:off x="0" y="0"/>
                      <a:ext cx="4761905" cy="1428571"/>
                    </a:xfrm>
                    <a:prstGeom prst="rect">
                      <a:avLst/>
                    </a:prstGeom>
                  </pic:spPr>
                </pic:pic>
              </a:graphicData>
            </a:graphic>
          </wp:inline>
        </w:drawing>
      </w:r>
      <w:r w:rsidRPr="001F54EF">
        <w:t xml:space="preserve"> </w:t>
      </w:r>
    </w:p>
    <w:p w14:paraId="2032301E" w14:textId="74765FE6" w:rsidR="0008733F" w:rsidRDefault="0008733F" w:rsidP="0008733F">
      <w:pPr>
        <w:pStyle w:val="Caption"/>
      </w:pPr>
      <w:bookmarkStart w:id="494" w:name="_Ref95380469"/>
      <w:bookmarkStart w:id="495" w:name="_Toc99720843"/>
      <w:r>
        <w:t xml:space="preserve">Figure </w:t>
      </w:r>
      <w:r>
        <w:fldChar w:fldCharType="begin"/>
      </w:r>
      <w:r>
        <w:instrText>SEQ Figure \* ARABIC</w:instrText>
      </w:r>
      <w:r>
        <w:fldChar w:fldCharType="separate"/>
      </w:r>
      <w:r w:rsidR="008B5583">
        <w:rPr>
          <w:noProof/>
        </w:rPr>
        <w:t>62</w:t>
      </w:r>
      <w:r>
        <w:fldChar w:fldCharType="end"/>
      </w:r>
      <w:bookmarkEnd w:id="494"/>
      <w:r>
        <w:t xml:space="preserve"> </w:t>
      </w:r>
      <w:r w:rsidRPr="009C1ECC">
        <w:t>Summary graph of risk of bias</w:t>
      </w:r>
      <w:bookmarkEnd w:id="495"/>
    </w:p>
    <w:p w14:paraId="0E5F95A5" w14:textId="77777777" w:rsidR="0008733F" w:rsidRPr="0008733F" w:rsidRDefault="0008733F" w:rsidP="000526F1"/>
    <w:bookmarkEnd w:id="466"/>
    <w:p w14:paraId="7165418C" w14:textId="54909A9C" w:rsidR="009D4405" w:rsidRDefault="009D4405">
      <w:r w:rsidRPr="00734942">
        <w:br w:type="page"/>
      </w:r>
    </w:p>
    <w:p w14:paraId="38DB675A" w14:textId="1FF6961E" w:rsidR="00E63CBE" w:rsidRDefault="00E63CBE" w:rsidP="000526F1">
      <w:pPr>
        <w:pStyle w:val="Heading2"/>
      </w:pPr>
      <w:bookmarkStart w:id="496" w:name="_Toc99539947"/>
      <w:r>
        <w:lastRenderedPageBreak/>
        <w:t>Appendix 21</w:t>
      </w:r>
      <w:bookmarkEnd w:id="496"/>
    </w:p>
    <w:p w14:paraId="25C431BD" w14:textId="77777777" w:rsidR="00E63CBE" w:rsidRPr="00734942" w:rsidRDefault="00E63CBE" w:rsidP="00E63CBE">
      <w:pPr>
        <w:pStyle w:val="NoSpacing"/>
      </w:pPr>
    </w:p>
    <w:p w14:paraId="72B4D65B" w14:textId="6CE67557" w:rsidR="00E63CBE" w:rsidRPr="00734942" w:rsidRDefault="00E63CBE" w:rsidP="00E63CBE">
      <w:pPr>
        <w:pStyle w:val="Caption"/>
      </w:pPr>
      <w:bookmarkStart w:id="497" w:name="_Ref95380770"/>
      <w:bookmarkStart w:id="498" w:name="_Ref95380767"/>
      <w:bookmarkStart w:id="499" w:name="_Toc99720769"/>
      <w:r w:rsidRPr="00734942">
        <w:t xml:space="preserve">Table </w:t>
      </w:r>
      <w:r w:rsidRPr="00734942">
        <w:fldChar w:fldCharType="begin"/>
      </w:r>
      <w:r w:rsidRPr="00734942">
        <w:instrText>SEQ Table \* ARABIC</w:instrText>
      </w:r>
      <w:r w:rsidRPr="00734942">
        <w:fldChar w:fldCharType="separate"/>
      </w:r>
      <w:r w:rsidR="008B5583">
        <w:rPr>
          <w:noProof/>
        </w:rPr>
        <w:t>58</w:t>
      </w:r>
      <w:r w:rsidRPr="00734942">
        <w:fldChar w:fldCharType="end"/>
      </w:r>
      <w:bookmarkEnd w:id="497"/>
      <w:r w:rsidRPr="00734942">
        <w:t xml:space="preserve"> </w:t>
      </w:r>
      <w:r>
        <w:t>Hypothetical scenarios and associated risks for having CD</w:t>
      </w:r>
      <w:bookmarkEnd w:id="498"/>
      <w:bookmarkEnd w:id="499"/>
    </w:p>
    <w:tbl>
      <w:tblPr>
        <w:tblStyle w:val="TableGrid"/>
        <w:tblW w:w="0" w:type="auto"/>
        <w:tblLook w:val="04A0" w:firstRow="1" w:lastRow="0" w:firstColumn="1" w:lastColumn="0" w:noHBand="0" w:noVBand="1"/>
      </w:tblPr>
      <w:tblGrid>
        <w:gridCol w:w="4638"/>
        <w:gridCol w:w="4378"/>
      </w:tblGrid>
      <w:tr w:rsidR="00E63CBE" w:rsidRPr="00734942" w14:paraId="10AE5B78" w14:textId="77777777" w:rsidTr="00F86021">
        <w:trPr>
          <w:trHeight w:val="321"/>
        </w:trPr>
        <w:tc>
          <w:tcPr>
            <w:tcW w:w="4638" w:type="dxa"/>
          </w:tcPr>
          <w:p w14:paraId="1E9051D4" w14:textId="77777777" w:rsidR="00E63CBE" w:rsidRPr="00734942" w:rsidRDefault="00E63CBE" w:rsidP="00F86021">
            <w:pPr>
              <w:rPr>
                <w:b/>
                <w:bCs/>
                <w:i/>
                <w:iCs/>
              </w:rPr>
            </w:pPr>
            <w:r w:rsidRPr="00734942">
              <w:rPr>
                <w:b/>
                <w:bCs/>
                <w:i/>
                <w:iCs/>
              </w:rPr>
              <w:t>Scenarios for adults</w:t>
            </w:r>
          </w:p>
          <w:p w14:paraId="219FF3BB" w14:textId="77777777" w:rsidR="00E63CBE" w:rsidRDefault="00E63CBE" w:rsidP="00F86021">
            <w:pPr>
              <w:rPr>
                <w:i/>
                <w:iCs/>
              </w:rPr>
            </w:pPr>
            <w:r w:rsidRPr="00734942">
              <w:rPr>
                <w:b/>
                <w:bCs/>
                <w:i/>
                <w:iCs/>
              </w:rPr>
              <w:t>Scenario 1:</w:t>
            </w:r>
            <w:r w:rsidRPr="00734942">
              <w:rPr>
                <w:i/>
                <w:iCs/>
              </w:rPr>
              <w:t xml:space="preserve"> You are suffering from episodes of stomach cramps, bloating, diarrhoea and fatigue several times a week over the last 5 years and you have been losing weight unintentionally over the past months. Your symptoms are interfering with your daily life.</w:t>
            </w:r>
          </w:p>
          <w:p w14:paraId="10560BE0" w14:textId="77777777" w:rsidR="00E63CBE" w:rsidRPr="008928DE" w:rsidRDefault="00E63CBE" w:rsidP="00F86021">
            <w:pPr>
              <w:pStyle w:val="ListParagraph"/>
              <w:numPr>
                <w:ilvl w:val="0"/>
                <w:numId w:val="48"/>
              </w:numPr>
              <w:rPr>
                <w:i/>
                <w:iCs/>
                <w:sz w:val="20"/>
                <w:szCs w:val="20"/>
              </w:rPr>
            </w:pPr>
            <w:r w:rsidRPr="008928DE">
              <w:rPr>
                <w:i/>
                <w:iCs/>
                <w:sz w:val="20"/>
                <w:szCs w:val="20"/>
              </w:rPr>
              <w:t>Pre-test probability: 5%</w:t>
            </w:r>
          </w:p>
          <w:p w14:paraId="50125A07"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6B14AD96" w14:textId="77777777" w:rsidR="00E63CBE" w:rsidRPr="008928DE" w:rsidRDefault="00E63CBE" w:rsidP="00F86021">
            <w:pPr>
              <w:pStyle w:val="ListParagraph"/>
              <w:numPr>
                <w:ilvl w:val="1"/>
                <w:numId w:val="48"/>
              </w:numPr>
              <w:rPr>
                <w:i/>
                <w:iCs/>
                <w:sz w:val="20"/>
                <w:szCs w:val="20"/>
              </w:rPr>
            </w:pPr>
            <w:r w:rsidRPr="008928DE">
              <w:rPr>
                <w:i/>
                <w:iCs/>
                <w:sz w:val="20"/>
                <w:szCs w:val="20"/>
              </w:rPr>
              <w:t>Positive: 33%</w:t>
            </w:r>
          </w:p>
          <w:p w14:paraId="135434AD" w14:textId="77777777" w:rsidR="00E63CBE" w:rsidRPr="008928DE" w:rsidRDefault="00E63CBE" w:rsidP="00F86021">
            <w:pPr>
              <w:pStyle w:val="ListParagraph"/>
              <w:numPr>
                <w:ilvl w:val="1"/>
                <w:numId w:val="48"/>
              </w:numPr>
              <w:rPr>
                <w:i/>
                <w:iCs/>
                <w:sz w:val="20"/>
                <w:szCs w:val="20"/>
              </w:rPr>
            </w:pPr>
            <w:r w:rsidRPr="008928DE">
              <w:rPr>
                <w:i/>
                <w:iCs/>
                <w:sz w:val="20"/>
                <w:szCs w:val="20"/>
              </w:rPr>
              <w:t>Strong positive (high levels of anti-gluten antibodies): 75%</w:t>
            </w:r>
          </w:p>
          <w:p w14:paraId="20759AF4" w14:textId="77777777" w:rsidR="00E63CBE" w:rsidRPr="008928DE" w:rsidRDefault="00E63CBE" w:rsidP="00F86021">
            <w:pPr>
              <w:pStyle w:val="ListParagraph"/>
              <w:numPr>
                <w:ilvl w:val="1"/>
                <w:numId w:val="48"/>
              </w:numPr>
              <w:rPr>
                <w:i/>
                <w:iCs/>
                <w:sz w:val="20"/>
                <w:szCs w:val="20"/>
              </w:rPr>
            </w:pPr>
            <w:r w:rsidRPr="008928DE">
              <w:rPr>
                <w:i/>
                <w:iCs/>
                <w:sz w:val="20"/>
                <w:szCs w:val="20"/>
              </w:rPr>
              <w:t>Negative: 1%</w:t>
            </w:r>
          </w:p>
          <w:p w14:paraId="5AC64EC4" w14:textId="77777777" w:rsidR="00E63CBE" w:rsidRPr="00734942" w:rsidRDefault="00E63CBE" w:rsidP="00F86021">
            <w:pPr>
              <w:rPr>
                <w:i/>
                <w:iCs/>
              </w:rPr>
            </w:pPr>
          </w:p>
          <w:p w14:paraId="04C8A407" w14:textId="77777777" w:rsidR="00E63CBE" w:rsidRPr="00734942" w:rsidRDefault="00E63CBE" w:rsidP="00F86021">
            <w:pPr>
              <w:rPr>
                <w:i/>
                <w:iCs/>
              </w:rPr>
            </w:pPr>
            <w:r w:rsidRPr="00734942">
              <w:rPr>
                <w:b/>
                <w:bCs/>
                <w:i/>
                <w:iCs/>
              </w:rPr>
              <w:t>Scenario 2:</w:t>
            </w:r>
            <w:r w:rsidRPr="00734942">
              <w:rPr>
                <w:i/>
                <w:iCs/>
              </w:rPr>
              <w:t xml:space="preserve"> Your 5-year-old son has been diagnosed with coeliac disease. You have no symptoms.</w:t>
            </w:r>
          </w:p>
          <w:p w14:paraId="20494675" w14:textId="77777777" w:rsidR="00E63CBE" w:rsidRPr="008928DE" w:rsidRDefault="00E63CBE" w:rsidP="00F86021">
            <w:pPr>
              <w:pStyle w:val="ListParagraph"/>
              <w:numPr>
                <w:ilvl w:val="0"/>
                <w:numId w:val="48"/>
              </w:numPr>
              <w:rPr>
                <w:i/>
                <w:iCs/>
                <w:sz w:val="20"/>
                <w:szCs w:val="20"/>
              </w:rPr>
            </w:pPr>
            <w:r w:rsidRPr="008928DE">
              <w:rPr>
                <w:i/>
                <w:iCs/>
                <w:sz w:val="20"/>
                <w:szCs w:val="20"/>
              </w:rPr>
              <w:t xml:space="preserve">Pre-test probability: </w:t>
            </w:r>
            <w:r>
              <w:rPr>
                <w:i/>
                <w:iCs/>
                <w:sz w:val="20"/>
                <w:szCs w:val="20"/>
              </w:rPr>
              <w:t>10</w:t>
            </w:r>
            <w:r w:rsidRPr="008928DE">
              <w:rPr>
                <w:i/>
                <w:iCs/>
                <w:sz w:val="20"/>
                <w:szCs w:val="20"/>
              </w:rPr>
              <w:t>%</w:t>
            </w:r>
          </w:p>
          <w:p w14:paraId="3620CCE6"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23615797" w14:textId="77777777" w:rsidR="00E63CBE" w:rsidRPr="008928DE" w:rsidRDefault="00E63CBE" w:rsidP="00F86021">
            <w:pPr>
              <w:pStyle w:val="ListParagraph"/>
              <w:numPr>
                <w:ilvl w:val="1"/>
                <w:numId w:val="48"/>
              </w:numPr>
              <w:rPr>
                <w:i/>
                <w:iCs/>
                <w:sz w:val="20"/>
                <w:szCs w:val="20"/>
              </w:rPr>
            </w:pPr>
            <w:r w:rsidRPr="008928DE">
              <w:rPr>
                <w:i/>
                <w:iCs/>
                <w:sz w:val="20"/>
                <w:szCs w:val="20"/>
              </w:rPr>
              <w:t xml:space="preserve">Positive: </w:t>
            </w:r>
            <w:r>
              <w:rPr>
                <w:i/>
                <w:iCs/>
                <w:sz w:val="20"/>
                <w:szCs w:val="20"/>
              </w:rPr>
              <w:t>50</w:t>
            </w:r>
            <w:r w:rsidRPr="008928DE">
              <w:rPr>
                <w:i/>
                <w:iCs/>
                <w:sz w:val="20"/>
                <w:szCs w:val="20"/>
              </w:rPr>
              <w:t>%</w:t>
            </w:r>
          </w:p>
          <w:p w14:paraId="686A12FF" w14:textId="77777777" w:rsidR="00E63CBE" w:rsidRPr="00734942" w:rsidRDefault="00E63CBE" w:rsidP="00F86021">
            <w:pPr>
              <w:rPr>
                <w:i/>
                <w:iCs/>
              </w:rPr>
            </w:pPr>
            <w:r w:rsidRPr="008928DE">
              <w:rPr>
                <w:i/>
                <w:iCs/>
                <w:sz w:val="20"/>
                <w:szCs w:val="20"/>
              </w:rPr>
              <w:t xml:space="preserve">Strong positive: </w:t>
            </w:r>
            <w:r>
              <w:rPr>
                <w:i/>
                <w:iCs/>
                <w:sz w:val="20"/>
                <w:szCs w:val="20"/>
              </w:rPr>
              <w:t>90</w:t>
            </w:r>
            <w:r w:rsidRPr="008928DE">
              <w:rPr>
                <w:i/>
                <w:iCs/>
                <w:sz w:val="20"/>
                <w:szCs w:val="20"/>
              </w:rPr>
              <w:t>%</w:t>
            </w:r>
          </w:p>
          <w:p w14:paraId="4867A3FE" w14:textId="77777777" w:rsidR="00E63CBE" w:rsidRDefault="00E63CBE" w:rsidP="00F86021">
            <w:pPr>
              <w:rPr>
                <w:i/>
                <w:iCs/>
              </w:rPr>
            </w:pPr>
            <w:r w:rsidRPr="00734942">
              <w:rPr>
                <w:b/>
                <w:bCs/>
              </w:rPr>
              <w:t>S</w:t>
            </w:r>
            <w:r w:rsidRPr="00734942">
              <w:rPr>
                <w:b/>
                <w:bCs/>
                <w:i/>
                <w:iCs/>
              </w:rPr>
              <w:t>cenario 3:</w:t>
            </w:r>
            <w:r w:rsidRPr="00734942">
              <w:rPr>
                <w:i/>
                <w:iCs/>
              </w:rPr>
              <w:t xml:space="preserve"> After a recent bone fracture and follow up testing, you are diagnosed with osteoporosis. Osteoporosis is a health condition that weakens the bones, making them fragile and more likely to break and is a risk condition for coeliac disease.</w:t>
            </w:r>
          </w:p>
          <w:p w14:paraId="4B0B1B91" w14:textId="77777777" w:rsidR="00E63CBE" w:rsidRPr="008928DE" w:rsidRDefault="00E63CBE" w:rsidP="00F86021">
            <w:pPr>
              <w:pStyle w:val="ListParagraph"/>
              <w:numPr>
                <w:ilvl w:val="0"/>
                <w:numId w:val="48"/>
              </w:numPr>
              <w:rPr>
                <w:i/>
                <w:iCs/>
                <w:sz w:val="20"/>
                <w:szCs w:val="20"/>
              </w:rPr>
            </w:pPr>
            <w:r w:rsidRPr="008928DE">
              <w:rPr>
                <w:i/>
                <w:iCs/>
                <w:sz w:val="20"/>
                <w:szCs w:val="20"/>
              </w:rPr>
              <w:t xml:space="preserve">Pre-test probability: </w:t>
            </w:r>
            <w:r>
              <w:rPr>
                <w:i/>
                <w:iCs/>
                <w:sz w:val="20"/>
                <w:szCs w:val="20"/>
              </w:rPr>
              <w:t>2</w:t>
            </w:r>
            <w:r w:rsidRPr="008928DE">
              <w:rPr>
                <w:i/>
                <w:iCs/>
                <w:sz w:val="20"/>
                <w:szCs w:val="20"/>
              </w:rPr>
              <w:t>%</w:t>
            </w:r>
          </w:p>
          <w:p w14:paraId="042D70C8"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5E4C59BC" w14:textId="77777777" w:rsidR="00E63CBE" w:rsidRPr="00077DBA" w:rsidRDefault="00E63CBE" w:rsidP="00F86021">
            <w:pPr>
              <w:pStyle w:val="ListParagraph"/>
              <w:numPr>
                <w:ilvl w:val="1"/>
                <w:numId w:val="48"/>
              </w:numPr>
            </w:pPr>
            <w:r w:rsidRPr="008928DE">
              <w:rPr>
                <w:i/>
                <w:iCs/>
                <w:sz w:val="20"/>
                <w:szCs w:val="20"/>
              </w:rPr>
              <w:t xml:space="preserve">Positive: </w:t>
            </w:r>
            <w:r>
              <w:rPr>
                <w:i/>
                <w:iCs/>
                <w:sz w:val="20"/>
                <w:szCs w:val="20"/>
              </w:rPr>
              <w:t>15</w:t>
            </w:r>
            <w:r w:rsidRPr="008928DE">
              <w:rPr>
                <w:i/>
                <w:iCs/>
                <w:sz w:val="20"/>
                <w:szCs w:val="20"/>
              </w:rPr>
              <w:t>%</w:t>
            </w:r>
          </w:p>
          <w:p w14:paraId="321B5A2A" w14:textId="77777777" w:rsidR="00E63CBE" w:rsidRPr="00734942" w:rsidRDefault="00E63CBE" w:rsidP="00F86021">
            <w:pPr>
              <w:pStyle w:val="ListParagraph"/>
              <w:numPr>
                <w:ilvl w:val="1"/>
                <w:numId w:val="48"/>
              </w:numPr>
            </w:pPr>
            <w:r w:rsidRPr="008928DE">
              <w:rPr>
                <w:i/>
                <w:iCs/>
                <w:sz w:val="20"/>
                <w:szCs w:val="20"/>
              </w:rPr>
              <w:t>Strong positiv</w:t>
            </w:r>
            <w:r>
              <w:rPr>
                <w:i/>
                <w:iCs/>
                <w:sz w:val="20"/>
                <w:szCs w:val="20"/>
              </w:rPr>
              <w:t>e</w:t>
            </w:r>
            <w:r w:rsidRPr="008928DE">
              <w:rPr>
                <w:i/>
                <w:iCs/>
                <w:sz w:val="20"/>
                <w:szCs w:val="20"/>
              </w:rPr>
              <w:t xml:space="preserve">: </w:t>
            </w:r>
            <w:r>
              <w:rPr>
                <w:i/>
                <w:iCs/>
                <w:sz w:val="20"/>
                <w:szCs w:val="20"/>
              </w:rPr>
              <w:t>55</w:t>
            </w:r>
            <w:r w:rsidRPr="008928DE">
              <w:rPr>
                <w:i/>
                <w:iCs/>
                <w:sz w:val="20"/>
                <w:szCs w:val="20"/>
              </w:rPr>
              <w:t>%</w:t>
            </w:r>
          </w:p>
        </w:tc>
        <w:tc>
          <w:tcPr>
            <w:tcW w:w="4378" w:type="dxa"/>
          </w:tcPr>
          <w:p w14:paraId="5E5EC111" w14:textId="77777777" w:rsidR="00E63CBE" w:rsidRPr="00734942" w:rsidRDefault="00E63CBE" w:rsidP="00F86021">
            <w:pPr>
              <w:rPr>
                <w:b/>
                <w:bCs/>
                <w:i/>
                <w:iCs/>
              </w:rPr>
            </w:pPr>
            <w:r w:rsidRPr="00734942">
              <w:rPr>
                <w:b/>
                <w:bCs/>
                <w:i/>
                <w:iCs/>
              </w:rPr>
              <w:t>Scenarios for children</w:t>
            </w:r>
          </w:p>
          <w:p w14:paraId="742191C6" w14:textId="77777777" w:rsidR="00E63CBE" w:rsidRDefault="00E63CBE" w:rsidP="00F86021">
            <w:pPr>
              <w:rPr>
                <w:i/>
                <w:iCs/>
              </w:rPr>
            </w:pPr>
            <w:r w:rsidRPr="00734942">
              <w:rPr>
                <w:b/>
                <w:bCs/>
                <w:i/>
                <w:iCs/>
              </w:rPr>
              <w:t>Scenario 1:</w:t>
            </w:r>
            <w:r w:rsidRPr="00734942">
              <w:rPr>
                <w:i/>
                <w:iCs/>
              </w:rPr>
              <w:t xml:space="preserve"> You are suffering from episodes of stomach cramps, bloating, diarrhoea and fatigue several times a week over the last 5 months. These symptoms make it difficult to pay attention in school and to enjoy after school activities.</w:t>
            </w:r>
          </w:p>
          <w:p w14:paraId="46E248A6" w14:textId="77777777" w:rsidR="00E63CBE" w:rsidRPr="008928DE" w:rsidRDefault="00E63CBE" w:rsidP="00F86021">
            <w:pPr>
              <w:pStyle w:val="ListParagraph"/>
              <w:numPr>
                <w:ilvl w:val="0"/>
                <w:numId w:val="48"/>
              </w:numPr>
              <w:rPr>
                <w:i/>
                <w:iCs/>
                <w:sz w:val="20"/>
                <w:szCs w:val="20"/>
              </w:rPr>
            </w:pPr>
            <w:r w:rsidRPr="008928DE">
              <w:rPr>
                <w:i/>
                <w:iCs/>
                <w:sz w:val="20"/>
                <w:szCs w:val="20"/>
              </w:rPr>
              <w:t>Pre-test probability: 5%</w:t>
            </w:r>
          </w:p>
          <w:p w14:paraId="7209DB8C"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7F38827E" w14:textId="77777777" w:rsidR="00E63CBE" w:rsidRPr="008928DE" w:rsidRDefault="00E63CBE" w:rsidP="00F86021">
            <w:pPr>
              <w:pStyle w:val="ListParagraph"/>
              <w:numPr>
                <w:ilvl w:val="1"/>
                <w:numId w:val="48"/>
              </w:numPr>
              <w:rPr>
                <w:i/>
                <w:iCs/>
                <w:sz w:val="20"/>
                <w:szCs w:val="20"/>
              </w:rPr>
            </w:pPr>
            <w:r w:rsidRPr="008928DE">
              <w:rPr>
                <w:i/>
                <w:iCs/>
                <w:sz w:val="20"/>
                <w:szCs w:val="20"/>
              </w:rPr>
              <w:t>Positive: 33%</w:t>
            </w:r>
          </w:p>
          <w:p w14:paraId="35F306B2" w14:textId="77777777" w:rsidR="00E63CBE" w:rsidRPr="008928DE" w:rsidRDefault="00E63CBE" w:rsidP="00F86021">
            <w:pPr>
              <w:pStyle w:val="ListParagraph"/>
              <w:numPr>
                <w:ilvl w:val="1"/>
                <w:numId w:val="48"/>
              </w:numPr>
              <w:rPr>
                <w:i/>
                <w:iCs/>
                <w:sz w:val="20"/>
                <w:szCs w:val="20"/>
              </w:rPr>
            </w:pPr>
            <w:r w:rsidRPr="008928DE">
              <w:rPr>
                <w:i/>
                <w:iCs/>
                <w:sz w:val="20"/>
                <w:szCs w:val="20"/>
              </w:rPr>
              <w:t>Strong positive: 75%</w:t>
            </w:r>
          </w:p>
          <w:p w14:paraId="4754BC4C" w14:textId="77777777" w:rsidR="00E63CBE" w:rsidRPr="008928DE" w:rsidRDefault="00E63CBE" w:rsidP="00F86021">
            <w:pPr>
              <w:pStyle w:val="ListParagraph"/>
              <w:numPr>
                <w:ilvl w:val="1"/>
                <w:numId w:val="48"/>
              </w:numPr>
              <w:rPr>
                <w:i/>
                <w:iCs/>
                <w:sz w:val="20"/>
                <w:szCs w:val="20"/>
              </w:rPr>
            </w:pPr>
            <w:r w:rsidRPr="008928DE">
              <w:rPr>
                <w:i/>
                <w:iCs/>
                <w:sz w:val="20"/>
                <w:szCs w:val="20"/>
              </w:rPr>
              <w:t>Negative: 1%</w:t>
            </w:r>
          </w:p>
          <w:p w14:paraId="18C87D17" w14:textId="77777777" w:rsidR="00E63CBE" w:rsidRPr="00734942" w:rsidRDefault="00E63CBE" w:rsidP="00F86021">
            <w:pPr>
              <w:rPr>
                <w:i/>
                <w:iCs/>
              </w:rPr>
            </w:pPr>
          </w:p>
          <w:p w14:paraId="5E7387C9" w14:textId="77777777" w:rsidR="00E63CBE" w:rsidRPr="00734942" w:rsidRDefault="00E63CBE" w:rsidP="00F86021">
            <w:pPr>
              <w:rPr>
                <w:i/>
                <w:iCs/>
              </w:rPr>
            </w:pPr>
            <w:r w:rsidRPr="00734942">
              <w:rPr>
                <w:b/>
                <w:bCs/>
                <w:i/>
                <w:iCs/>
              </w:rPr>
              <w:t>Scenario 2:</w:t>
            </w:r>
            <w:r w:rsidRPr="00734942">
              <w:rPr>
                <w:i/>
                <w:iCs/>
              </w:rPr>
              <w:t xml:space="preserve"> You have just found out that one of your parents has coeliac disease and needs to follow a lifelong </w:t>
            </w:r>
            <w:r>
              <w:rPr>
                <w:i/>
                <w:iCs/>
              </w:rPr>
              <w:t>gluten-free diet</w:t>
            </w:r>
            <w:r w:rsidRPr="00734942">
              <w:rPr>
                <w:i/>
                <w:iCs/>
              </w:rPr>
              <w:t>. You don't have any symptoms yourself.</w:t>
            </w:r>
          </w:p>
          <w:p w14:paraId="112D1F36" w14:textId="77777777" w:rsidR="00E63CBE" w:rsidRPr="008928DE" w:rsidRDefault="00E63CBE" w:rsidP="00F86021">
            <w:pPr>
              <w:pStyle w:val="ListParagraph"/>
              <w:numPr>
                <w:ilvl w:val="0"/>
                <w:numId w:val="48"/>
              </w:numPr>
              <w:rPr>
                <w:i/>
                <w:iCs/>
                <w:sz w:val="20"/>
                <w:szCs w:val="20"/>
              </w:rPr>
            </w:pPr>
            <w:r w:rsidRPr="008928DE">
              <w:rPr>
                <w:i/>
                <w:iCs/>
                <w:sz w:val="20"/>
                <w:szCs w:val="20"/>
              </w:rPr>
              <w:t xml:space="preserve">Pre-test probability: </w:t>
            </w:r>
            <w:r>
              <w:rPr>
                <w:i/>
                <w:iCs/>
                <w:sz w:val="20"/>
                <w:szCs w:val="20"/>
              </w:rPr>
              <w:t>10</w:t>
            </w:r>
            <w:r w:rsidRPr="008928DE">
              <w:rPr>
                <w:i/>
                <w:iCs/>
                <w:sz w:val="20"/>
                <w:szCs w:val="20"/>
              </w:rPr>
              <w:t>%</w:t>
            </w:r>
          </w:p>
          <w:p w14:paraId="0B131165"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758EFAB3" w14:textId="77777777" w:rsidR="00E63CBE" w:rsidRPr="00515FDC" w:rsidRDefault="00E63CBE" w:rsidP="00F86021">
            <w:pPr>
              <w:pStyle w:val="ListParagraph"/>
              <w:numPr>
                <w:ilvl w:val="1"/>
                <w:numId w:val="48"/>
              </w:numPr>
              <w:rPr>
                <w:i/>
                <w:iCs/>
              </w:rPr>
            </w:pPr>
            <w:r w:rsidRPr="00515FDC">
              <w:rPr>
                <w:i/>
                <w:iCs/>
                <w:sz w:val="20"/>
                <w:szCs w:val="20"/>
              </w:rPr>
              <w:t>Positive: 50%</w:t>
            </w:r>
          </w:p>
          <w:p w14:paraId="093488E9" w14:textId="77777777" w:rsidR="00E63CBE" w:rsidRPr="00515FDC" w:rsidRDefault="00E63CBE" w:rsidP="00F86021">
            <w:pPr>
              <w:pStyle w:val="ListParagraph"/>
              <w:numPr>
                <w:ilvl w:val="1"/>
                <w:numId w:val="48"/>
              </w:numPr>
              <w:rPr>
                <w:i/>
                <w:iCs/>
              </w:rPr>
            </w:pPr>
            <w:r w:rsidRPr="00515FDC">
              <w:rPr>
                <w:i/>
                <w:iCs/>
                <w:sz w:val="20"/>
                <w:szCs w:val="20"/>
              </w:rPr>
              <w:t>Strong positive: 90%</w:t>
            </w:r>
          </w:p>
          <w:p w14:paraId="3F750B11" w14:textId="77777777" w:rsidR="00E63CBE" w:rsidRPr="00515FDC" w:rsidRDefault="00E63CBE" w:rsidP="00F86021">
            <w:pPr>
              <w:rPr>
                <w:i/>
                <w:iCs/>
              </w:rPr>
            </w:pPr>
          </w:p>
          <w:p w14:paraId="08365C67" w14:textId="77777777" w:rsidR="00E63CBE" w:rsidRPr="00734942" w:rsidRDefault="00E63CBE" w:rsidP="00F86021">
            <w:pPr>
              <w:rPr>
                <w:i/>
                <w:iCs/>
              </w:rPr>
            </w:pPr>
            <w:r w:rsidRPr="00734942">
              <w:rPr>
                <w:b/>
                <w:bCs/>
              </w:rPr>
              <w:t>S</w:t>
            </w:r>
            <w:r w:rsidRPr="00734942">
              <w:rPr>
                <w:b/>
                <w:bCs/>
                <w:i/>
                <w:iCs/>
              </w:rPr>
              <w:t>cenario 3:</w:t>
            </w:r>
            <w:r w:rsidRPr="00734942">
              <w:rPr>
                <w:i/>
                <w:iCs/>
              </w:rPr>
              <w:t xml:space="preserve"> After a recent bone fracture and follow up testing, you are diagnosed with osteoporosis. Osteoporosis is a health condition that weakens the bones, making them fragile and more likely to break.</w:t>
            </w:r>
          </w:p>
          <w:p w14:paraId="28838B00" w14:textId="77777777" w:rsidR="00E63CBE" w:rsidRPr="008928DE" w:rsidRDefault="00E63CBE" w:rsidP="00F86021">
            <w:pPr>
              <w:pStyle w:val="ListParagraph"/>
              <w:numPr>
                <w:ilvl w:val="0"/>
                <w:numId w:val="48"/>
              </w:numPr>
              <w:rPr>
                <w:i/>
                <w:iCs/>
                <w:sz w:val="20"/>
                <w:szCs w:val="20"/>
              </w:rPr>
            </w:pPr>
            <w:r w:rsidRPr="008928DE">
              <w:rPr>
                <w:i/>
                <w:iCs/>
                <w:sz w:val="20"/>
                <w:szCs w:val="20"/>
              </w:rPr>
              <w:t xml:space="preserve">Pre-test probability: </w:t>
            </w:r>
            <w:r>
              <w:rPr>
                <w:i/>
                <w:iCs/>
                <w:sz w:val="20"/>
                <w:szCs w:val="20"/>
              </w:rPr>
              <w:t>2</w:t>
            </w:r>
            <w:r w:rsidRPr="008928DE">
              <w:rPr>
                <w:i/>
                <w:iCs/>
                <w:sz w:val="20"/>
                <w:szCs w:val="20"/>
              </w:rPr>
              <w:t>%</w:t>
            </w:r>
          </w:p>
          <w:p w14:paraId="59783F96" w14:textId="77777777" w:rsidR="00E63CBE" w:rsidRPr="008928DE" w:rsidRDefault="00E63CBE" w:rsidP="00F86021">
            <w:pPr>
              <w:pStyle w:val="ListParagraph"/>
              <w:numPr>
                <w:ilvl w:val="0"/>
                <w:numId w:val="48"/>
              </w:numPr>
              <w:rPr>
                <w:i/>
                <w:iCs/>
                <w:sz w:val="20"/>
                <w:szCs w:val="20"/>
              </w:rPr>
            </w:pPr>
            <w:r w:rsidRPr="008928DE">
              <w:rPr>
                <w:i/>
                <w:iCs/>
                <w:sz w:val="20"/>
                <w:szCs w:val="20"/>
              </w:rPr>
              <w:t>Risk of CD if blood test is</w:t>
            </w:r>
          </w:p>
          <w:p w14:paraId="752C4D5B" w14:textId="77777777" w:rsidR="00E63CBE" w:rsidRPr="00077DBA" w:rsidRDefault="00E63CBE" w:rsidP="00F86021">
            <w:pPr>
              <w:pStyle w:val="ListParagraph"/>
              <w:numPr>
                <w:ilvl w:val="1"/>
                <w:numId w:val="48"/>
              </w:numPr>
            </w:pPr>
            <w:r w:rsidRPr="008928DE">
              <w:rPr>
                <w:i/>
                <w:iCs/>
                <w:sz w:val="20"/>
                <w:szCs w:val="20"/>
              </w:rPr>
              <w:t xml:space="preserve">Positive: </w:t>
            </w:r>
            <w:r>
              <w:rPr>
                <w:i/>
                <w:iCs/>
                <w:sz w:val="20"/>
                <w:szCs w:val="20"/>
              </w:rPr>
              <w:t>15</w:t>
            </w:r>
            <w:r w:rsidRPr="008928DE">
              <w:rPr>
                <w:i/>
                <w:iCs/>
                <w:sz w:val="20"/>
                <w:szCs w:val="20"/>
              </w:rPr>
              <w:t>%</w:t>
            </w:r>
          </w:p>
          <w:p w14:paraId="3FA0A387" w14:textId="77777777" w:rsidR="00E63CBE" w:rsidRPr="00515FDC" w:rsidRDefault="00E63CBE" w:rsidP="00F86021">
            <w:pPr>
              <w:pStyle w:val="ListParagraph"/>
              <w:numPr>
                <w:ilvl w:val="1"/>
                <w:numId w:val="48"/>
              </w:numPr>
            </w:pPr>
            <w:r w:rsidRPr="00077DBA">
              <w:rPr>
                <w:i/>
                <w:iCs/>
                <w:sz w:val="20"/>
                <w:szCs w:val="20"/>
              </w:rPr>
              <w:t>Strong positive: 55%</w:t>
            </w:r>
          </w:p>
        </w:tc>
      </w:tr>
    </w:tbl>
    <w:p w14:paraId="4343A23B" w14:textId="77777777" w:rsidR="00E63CBE" w:rsidRPr="00734942" w:rsidRDefault="00E63CBE"/>
    <w:p w14:paraId="1A262E84" w14:textId="77777777" w:rsidR="005867BD" w:rsidRDefault="005867BD">
      <w:pPr>
        <w:rPr>
          <w:rFonts w:asciiTheme="majorHAnsi" w:eastAsiaTheme="majorEastAsia" w:hAnsiTheme="majorHAnsi" w:cstheme="majorBidi"/>
          <w:color w:val="2F5496" w:themeColor="accent1" w:themeShade="BF"/>
          <w:sz w:val="26"/>
          <w:szCs w:val="26"/>
        </w:rPr>
      </w:pPr>
      <w:bookmarkStart w:id="500" w:name="_Ref87536626"/>
      <w:bookmarkStart w:id="501" w:name="_Ref87536739"/>
      <w:r>
        <w:br w:type="page"/>
      </w:r>
    </w:p>
    <w:p w14:paraId="5DBDEAEE" w14:textId="361D3926" w:rsidR="00E63CBE" w:rsidRDefault="00E63CBE" w:rsidP="003B0237">
      <w:pPr>
        <w:pStyle w:val="Heading2"/>
      </w:pPr>
      <w:bookmarkStart w:id="502" w:name="_Toc99539948"/>
      <w:r>
        <w:lastRenderedPageBreak/>
        <w:t>Appendix 22</w:t>
      </w:r>
      <w:bookmarkEnd w:id="502"/>
    </w:p>
    <w:p w14:paraId="3B1FBA25" w14:textId="05B2A7F1" w:rsidR="00BF0033" w:rsidRPr="00BF0033" w:rsidRDefault="00BF0033" w:rsidP="000526F1">
      <w:pPr>
        <w:pStyle w:val="Heading3"/>
      </w:pPr>
      <w:bookmarkStart w:id="503" w:name="_Toc99539949"/>
      <w:r>
        <w:t>Characteristics survey respondents</w:t>
      </w:r>
      <w:bookmarkEnd w:id="503"/>
    </w:p>
    <w:p w14:paraId="48CECC88" w14:textId="1A704DC9" w:rsidR="00BF0033" w:rsidRPr="00734942" w:rsidRDefault="00BF0033" w:rsidP="00BF0033">
      <w:pPr>
        <w:pStyle w:val="Caption"/>
      </w:pPr>
      <w:bookmarkStart w:id="504" w:name="_Ref95380697"/>
      <w:bookmarkStart w:id="505" w:name="_Toc99720770"/>
      <w:r w:rsidRPr="00734942">
        <w:t xml:space="preserve">Table </w:t>
      </w:r>
      <w:r w:rsidRPr="00734942">
        <w:fldChar w:fldCharType="begin"/>
      </w:r>
      <w:r w:rsidRPr="00734942">
        <w:instrText>SEQ Table \* ARABIC</w:instrText>
      </w:r>
      <w:r w:rsidRPr="00734942">
        <w:fldChar w:fldCharType="separate"/>
      </w:r>
      <w:r w:rsidR="008B5583">
        <w:rPr>
          <w:noProof/>
        </w:rPr>
        <w:t>59</w:t>
      </w:r>
      <w:r w:rsidRPr="00734942">
        <w:fldChar w:fldCharType="end"/>
      </w:r>
      <w:bookmarkEnd w:id="504"/>
      <w:r w:rsidRPr="00734942">
        <w:t xml:space="preserve"> Respondent characteristics</w:t>
      </w:r>
      <w:bookmarkEnd w:id="505"/>
    </w:p>
    <w:tbl>
      <w:tblPr>
        <w:tblStyle w:val="PlainTable2"/>
        <w:tblW w:w="0" w:type="auto"/>
        <w:tblLook w:val="04A0" w:firstRow="1" w:lastRow="0" w:firstColumn="1" w:lastColumn="0" w:noHBand="0" w:noVBand="1"/>
      </w:tblPr>
      <w:tblGrid>
        <w:gridCol w:w="3931"/>
        <w:gridCol w:w="1453"/>
        <w:gridCol w:w="1620"/>
        <w:gridCol w:w="1411"/>
      </w:tblGrid>
      <w:tr w:rsidR="00BF0033" w:rsidRPr="00734942" w14:paraId="14CFAFAF" w14:textId="77777777" w:rsidTr="00F8602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hideMark/>
          </w:tcPr>
          <w:p w14:paraId="40894EDB" w14:textId="77777777" w:rsidR="00BF0033" w:rsidRPr="00734942" w:rsidRDefault="00BF0033" w:rsidP="00F86021">
            <w:pPr>
              <w:rPr>
                <w:rFonts w:eastAsia="Times New Roman" w:cstheme="minorHAnsi"/>
                <w:sz w:val="18"/>
                <w:szCs w:val="18"/>
                <w:lang w:eastAsia="en-GB"/>
              </w:rPr>
            </w:pPr>
          </w:p>
        </w:tc>
        <w:tc>
          <w:tcPr>
            <w:tcW w:w="0" w:type="dxa"/>
            <w:hideMark/>
          </w:tcPr>
          <w:p w14:paraId="6EA2FA6D" w14:textId="77777777" w:rsidR="00BF0033" w:rsidRPr="00734942" w:rsidRDefault="00BF0033"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Coeliac Disease</w:t>
            </w:r>
            <w:r w:rsidRPr="00785031">
              <w:rPr>
                <w:rFonts w:eastAsia="Times New Roman" w:cstheme="minorHAnsi"/>
                <w:sz w:val="18"/>
                <w:szCs w:val="18"/>
                <w:vertAlign w:val="superscript"/>
                <w:lang w:eastAsia="en-GB"/>
              </w:rPr>
              <w:t>a</w:t>
            </w:r>
            <w:r w:rsidRPr="00734942">
              <w:rPr>
                <w:rFonts w:eastAsia="Times New Roman" w:cstheme="minorHAnsi"/>
                <w:sz w:val="18"/>
                <w:szCs w:val="18"/>
                <w:lang w:eastAsia="en-GB"/>
              </w:rPr>
              <w:br/>
              <w:t>(N=244)</w:t>
            </w:r>
          </w:p>
        </w:tc>
        <w:tc>
          <w:tcPr>
            <w:tcW w:w="0" w:type="dxa"/>
            <w:hideMark/>
          </w:tcPr>
          <w:p w14:paraId="7D6E23C0" w14:textId="77777777" w:rsidR="00BF0033" w:rsidRPr="00734942" w:rsidRDefault="00BF0033"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No Coeliac Disease</w:t>
            </w:r>
            <w:r w:rsidRPr="00734942">
              <w:rPr>
                <w:rFonts w:eastAsia="Times New Roman" w:cstheme="minorHAnsi"/>
                <w:sz w:val="18"/>
                <w:szCs w:val="18"/>
                <w:lang w:eastAsia="en-GB"/>
              </w:rPr>
              <w:br/>
              <w:t>(N=223)</w:t>
            </w:r>
          </w:p>
        </w:tc>
        <w:tc>
          <w:tcPr>
            <w:tcW w:w="0" w:type="auto"/>
            <w:hideMark/>
          </w:tcPr>
          <w:p w14:paraId="055E7C35" w14:textId="77777777" w:rsidR="00BF0033" w:rsidRPr="00734942" w:rsidRDefault="00BF0033"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Total</w:t>
            </w:r>
            <w:r w:rsidRPr="00734942">
              <w:rPr>
                <w:rFonts w:eastAsia="Times New Roman" w:cstheme="minorHAnsi"/>
                <w:sz w:val="18"/>
                <w:szCs w:val="18"/>
                <w:lang w:eastAsia="en-GB"/>
              </w:rPr>
              <w:br/>
              <w:t>(N=468)</w:t>
            </w:r>
          </w:p>
        </w:tc>
      </w:tr>
      <w:tr w:rsidR="00BF0033" w:rsidRPr="00734942" w14:paraId="3A378733"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E93896A"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Age (years)</w:t>
            </w:r>
          </w:p>
        </w:tc>
        <w:tc>
          <w:tcPr>
            <w:tcW w:w="1453" w:type="dxa"/>
            <w:noWrap/>
            <w:hideMark/>
          </w:tcPr>
          <w:p w14:paraId="7D0B943A" w14:textId="77777777" w:rsidR="00BF0033" w:rsidRPr="00734942" w:rsidRDefault="00BF0033"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4042647D"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4E15ED25"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BF0033" w:rsidRPr="00734942" w14:paraId="47F1D78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7F4A726F"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0-5</w:t>
            </w:r>
          </w:p>
        </w:tc>
        <w:tc>
          <w:tcPr>
            <w:tcW w:w="1453" w:type="dxa"/>
            <w:noWrap/>
            <w:hideMark/>
          </w:tcPr>
          <w:p w14:paraId="6615146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(1.6%)</w:t>
            </w:r>
          </w:p>
        </w:tc>
        <w:tc>
          <w:tcPr>
            <w:tcW w:w="1620" w:type="dxa"/>
            <w:noWrap/>
            <w:hideMark/>
          </w:tcPr>
          <w:p w14:paraId="51BC3B2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 (4.0%)</w:t>
            </w:r>
          </w:p>
        </w:tc>
        <w:tc>
          <w:tcPr>
            <w:tcW w:w="0" w:type="auto"/>
            <w:noWrap/>
            <w:hideMark/>
          </w:tcPr>
          <w:p w14:paraId="3D357C6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13 (2.8%)</w:t>
            </w:r>
          </w:p>
        </w:tc>
      </w:tr>
      <w:tr w:rsidR="00BF0033" w:rsidRPr="00734942" w14:paraId="15E2CE1A"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tcPr>
          <w:p w14:paraId="23E62FA9" w14:textId="77777777" w:rsidR="00BF0033" w:rsidRPr="00734942" w:rsidRDefault="00BF0033" w:rsidP="00F86021">
            <w:pPr>
              <w:pStyle w:val="ListParagraph"/>
              <w:numPr>
                <w:ilvl w:val="0"/>
                <w:numId w:val="18"/>
              </w:numPr>
              <w:rPr>
                <w:rFonts w:eastAsia="Times New Roman"/>
                <w:sz w:val="18"/>
                <w:szCs w:val="18"/>
                <w:lang w:eastAsia="en-GB"/>
              </w:rPr>
            </w:pPr>
            <w:r w:rsidRPr="00734942">
              <w:rPr>
                <w:rFonts w:eastAsia="Times New Roman"/>
                <w:b w:val="0"/>
                <w:bCs w:val="0"/>
                <w:sz w:val="18"/>
                <w:szCs w:val="18"/>
                <w:lang w:eastAsia="en-GB"/>
              </w:rPr>
              <w:t>6-11</w:t>
            </w:r>
          </w:p>
        </w:tc>
        <w:tc>
          <w:tcPr>
            <w:tcW w:w="1453" w:type="dxa"/>
            <w:noWrap/>
          </w:tcPr>
          <w:p w14:paraId="50BF2329"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10 (4.1%)</w:t>
            </w:r>
          </w:p>
        </w:tc>
        <w:tc>
          <w:tcPr>
            <w:tcW w:w="1620" w:type="dxa"/>
            <w:noWrap/>
          </w:tcPr>
          <w:p w14:paraId="4FB4C1A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 (2.2%)</w:t>
            </w:r>
          </w:p>
        </w:tc>
        <w:tc>
          <w:tcPr>
            <w:tcW w:w="0" w:type="auto"/>
            <w:noWrap/>
          </w:tcPr>
          <w:p w14:paraId="6475CA6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15 (3.2%)</w:t>
            </w:r>
          </w:p>
        </w:tc>
      </w:tr>
      <w:tr w:rsidR="00BF0033" w:rsidRPr="00734942" w14:paraId="4094809A"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39097883"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12-17</w:t>
            </w:r>
          </w:p>
        </w:tc>
        <w:tc>
          <w:tcPr>
            <w:tcW w:w="1453" w:type="dxa"/>
            <w:noWrap/>
            <w:hideMark/>
          </w:tcPr>
          <w:p w14:paraId="3B6114DA"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15 (6.1%)</w:t>
            </w:r>
          </w:p>
        </w:tc>
        <w:tc>
          <w:tcPr>
            <w:tcW w:w="1620" w:type="dxa"/>
            <w:noWrap/>
            <w:hideMark/>
          </w:tcPr>
          <w:p w14:paraId="1669D22E"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(1.8%)</w:t>
            </w:r>
          </w:p>
        </w:tc>
        <w:tc>
          <w:tcPr>
            <w:tcW w:w="0" w:type="auto"/>
            <w:noWrap/>
            <w:hideMark/>
          </w:tcPr>
          <w:p w14:paraId="74B0E029"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19 (4.1%)</w:t>
            </w:r>
          </w:p>
        </w:tc>
      </w:tr>
      <w:tr w:rsidR="00BF0033" w:rsidRPr="00734942" w14:paraId="1740B222"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C166997"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18-25</w:t>
            </w:r>
          </w:p>
        </w:tc>
        <w:tc>
          <w:tcPr>
            <w:tcW w:w="1453" w:type="dxa"/>
            <w:noWrap/>
            <w:hideMark/>
          </w:tcPr>
          <w:p w14:paraId="22DD90F0"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30 (12.3%)</w:t>
            </w:r>
          </w:p>
        </w:tc>
        <w:tc>
          <w:tcPr>
            <w:tcW w:w="1620" w:type="dxa"/>
            <w:noWrap/>
            <w:hideMark/>
          </w:tcPr>
          <w:p w14:paraId="290DFAD1"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22 (9.9%)</w:t>
            </w:r>
          </w:p>
        </w:tc>
        <w:tc>
          <w:tcPr>
            <w:tcW w:w="0" w:type="auto"/>
            <w:noWrap/>
            <w:hideMark/>
          </w:tcPr>
          <w:p w14:paraId="185BDD2C"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52 (11.1%)</w:t>
            </w:r>
          </w:p>
        </w:tc>
      </w:tr>
      <w:tr w:rsidR="00BF0033" w:rsidRPr="00734942" w14:paraId="2D8F8D33"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7FE9154"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26-40</w:t>
            </w:r>
          </w:p>
        </w:tc>
        <w:tc>
          <w:tcPr>
            <w:tcW w:w="1453" w:type="dxa"/>
            <w:noWrap/>
            <w:hideMark/>
          </w:tcPr>
          <w:p w14:paraId="6C1A0839"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66 (27.0%)</w:t>
            </w:r>
          </w:p>
        </w:tc>
        <w:tc>
          <w:tcPr>
            <w:tcW w:w="1620" w:type="dxa"/>
            <w:noWrap/>
            <w:hideMark/>
          </w:tcPr>
          <w:p w14:paraId="3DBA623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61 (27.4%)</w:t>
            </w:r>
          </w:p>
        </w:tc>
        <w:tc>
          <w:tcPr>
            <w:tcW w:w="0" w:type="auto"/>
            <w:noWrap/>
            <w:hideMark/>
          </w:tcPr>
          <w:p w14:paraId="32562328"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127 (27.1%)</w:t>
            </w:r>
          </w:p>
        </w:tc>
      </w:tr>
      <w:tr w:rsidR="00BF0033" w:rsidRPr="00734942" w14:paraId="568CBF89"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728A4EE"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41-64</w:t>
            </w:r>
          </w:p>
        </w:tc>
        <w:tc>
          <w:tcPr>
            <w:tcW w:w="1453" w:type="dxa"/>
            <w:noWrap/>
            <w:hideMark/>
          </w:tcPr>
          <w:p w14:paraId="6D4C42A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93 (38.1%)</w:t>
            </w:r>
          </w:p>
        </w:tc>
        <w:tc>
          <w:tcPr>
            <w:tcW w:w="1620" w:type="dxa"/>
            <w:noWrap/>
            <w:hideMark/>
          </w:tcPr>
          <w:p w14:paraId="21A52A94"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90 (40.4%)</w:t>
            </w:r>
          </w:p>
        </w:tc>
        <w:tc>
          <w:tcPr>
            <w:tcW w:w="0" w:type="auto"/>
            <w:noWrap/>
            <w:hideMark/>
          </w:tcPr>
          <w:p w14:paraId="585F2EA1"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183 (39.1%)</w:t>
            </w:r>
          </w:p>
        </w:tc>
      </w:tr>
      <w:tr w:rsidR="00BF0033" w:rsidRPr="00734942" w14:paraId="6547F0C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709CDDEF"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65+</w:t>
            </w:r>
          </w:p>
        </w:tc>
        <w:tc>
          <w:tcPr>
            <w:tcW w:w="1453" w:type="dxa"/>
            <w:noWrap/>
            <w:hideMark/>
          </w:tcPr>
          <w:p w14:paraId="4CFAFAA2"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26 (10.7%)</w:t>
            </w:r>
          </w:p>
        </w:tc>
        <w:tc>
          <w:tcPr>
            <w:tcW w:w="1620" w:type="dxa"/>
            <w:noWrap/>
            <w:hideMark/>
          </w:tcPr>
          <w:p w14:paraId="536DE66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32 (14.3%)</w:t>
            </w:r>
          </w:p>
        </w:tc>
        <w:tc>
          <w:tcPr>
            <w:tcW w:w="0" w:type="auto"/>
            <w:noWrap/>
            <w:hideMark/>
          </w:tcPr>
          <w:p w14:paraId="3A2CD72F"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59 (12.6%)</w:t>
            </w:r>
          </w:p>
        </w:tc>
      </w:tr>
      <w:tr w:rsidR="00BF0033" w:rsidRPr="00734942" w14:paraId="3B4EF900"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3ECDFCE"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Sex</w:t>
            </w:r>
          </w:p>
        </w:tc>
        <w:tc>
          <w:tcPr>
            <w:tcW w:w="1453" w:type="dxa"/>
            <w:noWrap/>
            <w:hideMark/>
          </w:tcPr>
          <w:p w14:paraId="0152AFB1" w14:textId="77777777" w:rsidR="00BF0033" w:rsidRPr="00734942" w:rsidRDefault="00BF0033"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5C2AC23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6F697233"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BF0033" w:rsidRPr="00734942" w14:paraId="5543D87F"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5FB3532F" w14:textId="77777777" w:rsidR="00BF0033" w:rsidRPr="00734942" w:rsidRDefault="00BF0033" w:rsidP="00F86021">
            <w:pPr>
              <w:pStyle w:val="ListParagraph"/>
              <w:numPr>
                <w:ilvl w:val="0"/>
                <w:numId w:val="17"/>
              </w:numPr>
              <w:rPr>
                <w:rFonts w:eastAsia="Times New Roman"/>
                <w:b w:val="0"/>
                <w:bCs w:val="0"/>
                <w:sz w:val="18"/>
                <w:szCs w:val="18"/>
                <w:lang w:eastAsia="en-GB"/>
              </w:rPr>
            </w:pPr>
            <w:r w:rsidRPr="00734942">
              <w:rPr>
                <w:rFonts w:eastAsia="Times New Roman"/>
                <w:b w:val="0"/>
                <w:bCs w:val="0"/>
                <w:sz w:val="18"/>
                <w:szCs w:val="18"/>
                <w:lang w:eastAsia="en-GB"/>
              </w:rPr>
              <w:t>Man</w:t>
            </w:r>
          </w:p>
        </w:tc>
        <w:tc>
          <w:tcPr>
            <w:tcW w:w="1453" w:type="dxa"/>
            <w:noWrap/>
            <w:hideMark/>
          </w:tcPr>
          <w:p w14:paraId="7D8B1846"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29 (11.9%)</w:t>
            </w:r>
          </w:p>
        </w:tc>
        <w:tc>
          <w:tcPr>
            <w:tcW w:w="1620" w:type="dxa"/>
            <w:noWrap/>
            <w:hideMark/>
          </w:tcPr>
          <w:p w14:paraId="5C2F2C5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 (3.1%)</w:t>
            </w:r>
          </w:p>
        </w:tc>
        <w:tc>
          <w:tcPr>
            <w:tcW w:w="0" w:type="auto"/>
            <w:noWrap/>
            <w:hideMark/>
          </w:tcPr>
          <w:p w14:paraId="18C4E9A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37 (7.9%)</w:t>
            </w:r>
          </w:p>
        </w:tc>
      </w:tr>
      <w:tr w:rsidR="00BF0033" w:rsidRPr="00734942" w14:paraId="5DD98F88"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6D56884" w14:textId="77777777" w:rsidR="00BF0033" w:rsidRPr="00734942" w:rsidRDefault="00BF0033" w:rsidP="00F86021">
            <w:pPr>
              <w:pStyle w:val="ListParagraph"/>
              <w:numPr>
                <w:ilvl w:val="0"/>
                <w:numId w:val="17"/>
              </w:numPr>
              <w:rPr>
                <w:rFonts w:eastAsia="Times New Roman"/>
                <w:b w:val="0"/>
                <w:bCs w:val="0"/>
                <w:sz w:val="18"/>
                <w:szCs w:val="18"/>
                <w:lang w:eastAsia="en-GB"/>
              </w:rPr>
            </w:pPr>
            <w:r w:rsidRPr="00734942">
              <w:rPr>
                <w:rFonts w:eastAsia="Times New Roman"/>
                <w:b w:val="0"/>
                <w:bCs w:val="0"/>
                <w:sz w:val="18"/>
                <w:szCs w:val="18"/>
                <w:lang w:eastAsia="en-GB"/>
              </w:rPr>
              <w:t>Other</w:t>
            </w:r>
          </w:p>
        </w:tc>
        <w:tc>
          <w:tcPr>
            <w:tcW w:w="1453" w:type="dxa"/>
            <w:noWrap/>
            <w:hideMark/>
          </w:tcPr>
          <w:p w14:paraId="6417446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1620" w:type="dxa"/>
            <w:noWrap/>
            <w:hideMark/>
          </w:tcPr>
          <w:p w14:paraId="6BA802F3"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278614D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(0.2%)</w:t>
            </w:r>
          </w:p>
        </w:tc>
      </w:tr>
      <w:tr w:rsidR="00BF0033" w:rsidRPr="00734942" w14:paraId="009997AF"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7E644D0A" w14:textId="77777777" w:rsidR="00BF0033" w:rsidRPr="00734942" w:rsidRDefault="00BF0033" w:rsidP="00F86021">
            <w:pPr>
              <w:pStyle w:val="ListParagraph"/>
              <w:numPr>
                <w:ilvl w:val="0"/>
                <w:numId w:val="17"/>
              </w:numPr>
              <w:rPr>
                <w:rFonts w:eastAsia="Times New Roman"/>
                <w:b w:val="0"/>
                <w:bCs w:val="0"/>
                <w:sz w:val="18"/>
                <w:szCs w:val="18"/>
                <w:lang w:eastAsia="en-GB"/>
              </w:rPr>
            </w:pPr>
            <w:r w:rsidRPr="00734942">
              <w:rPr>
                <w:rFonts w:eastAsia="Times New Roman"/>
                <w:b w:val="0"/>
                <w:bCs w:val="0"/>
                <w:sz w:val="18"/>
                <w:szCs w:val="18"/>
                <w:lang w:eastAsia="en-GB"/>
              </w:rPr>
              <w:t>Prefer not to say</w:t>
            </w:r>
          </w:p>
        </w:tc>
        <w:tc>
          <w:tcPr>
            <w:tcW w:w="1453" w:type="dxa"/>
            <w:noWrap/>
            <w:hideMark/>
          </w:tcPr>
          <w:p w14:paraId="68EC636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(0.8%)</w:t>
            </w:r>
          </w:p>
        </w:tc>
        <w:tc>
          <w:tcPr>
            <w:tcW w:w="1620" w:type="dxa"/>
            <w:noWrap/>
            <w:hideMark/>
          </w:tcPr>
          <w:p w14:paraId="4FAE607A"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6FB7FE09"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(0.4%)</w:t>
            </w:r>
          </w:p>
        </w:tc>
      </w:tr>
      <w:tr w:rsidR="00BF0033" w:rsidRPr="00734942" w14:paraId="163F0B47"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F5CC428" w14:textId="77777777" w:rsidR="00BF0033" w:rsidRPr="00734942" w:rsidRDefault="00BF0033" w:rsidP="00F86021">
            <w:pPr>
              <w:pStyle w:val="ListParagraph"/>
              <w:numPr>
                <w:ilvl w:val="0"/>
                <w:numId w:val="17"/>
              </w:numPr>
              <w:rPr>
                <w:rFonts w:eastAsia="Times New Roman"/>
                <w:b w:val="0"/>
                <w:bCs w:val="0"/>
                <w:sz w:val="18"/>
                <w:szCs w:val="18"/>
                <w:lang w:eastAsia="en-GB"/>
              </w:rPr>
            </w:pPr>
            <w:r w:rsidRPr="00734942">
              <w:rPr>
                <w:rFonts w:eastAsia="Times New Roman"/>
                <w:b w:val="0"/>
                <w:bCs w:val="0"/>
                <w:sz w:val="18"/>
                <w:szCs w:val="18"/>
                <w:lang w:eastAsia="en-GB"/>
              </w:rPr>
              <w:t>Women</w:t>
            </w:r>
          </w:p>
        </w:tc>
        <w:tc>
          <w:tcPr>
            <w:tcW w:w="1453" w:type="dxa"/>
            <w:noWrap/>
            <w:hideMark/>
          </w:tcPr>
          <w:p w14:paraId="44DDF31F"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211 (86.5%)</w:t>
            </w:r>
          </w:p>
        </w:tc>
        <w:tc>
          <w:tcPr>
            <w:tcW w:w="1620" w:type="dxa"/>
            <w:noWrap/>
            <w:hideMark/>
          </w:tcPr>
          <w:p w14:paraId="11C4C145"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28 (12.6%)</w:t>
            </w:r>
          </w:p>
        </w:tc>
        <w:tc>
          <w:tcPr>
            <w:tcW w:w="0" w:type="auto"/>
            <w:noWrap/>
            <w:hideMark/>
          </w:tcPr>
          <w:p w14:paraId="44373D7F"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239 (51.1%)</w:t>
            </w:r>
          </w:p>
        </w:tc>
      </w:tr>
      <w:tr w:rsidR="00BF0033" w:rsidRPr="00734942" w14:paraId="534DC213"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0BA069FA" w14:textId="77777777" w:rsidR="00BF0033" w:rsidRPr="00734942" w:rsidRDefault="00BF0033" w:rsidP="00F86021">
            <w:pPr>
              <w:pStyle w:val="ListParagraph"/>
              <w:numPr>
                <w:ilvl w:val="0"/>
                <w:numId w:val="17"/>
              </w:numPr>
              <w:rPr>
                <w:rFonts w:eastAsia="Times New Roman"/>
                <w:b w:val="0"/>
                <w:bCs w:val="0"/>
                <w:i/>
                <w:iCs/>
                <w:sz w:val="18"/>
                <w:szCs w:val="18"/>
                <w:lang w:eastAsia="en-GB"/>
              </w:rPr>
            </w:pPr>
            <w:r w:rsidRPr="00734942">
              <w:rPr>
                <w:rFonts w:eastAsia="Times New Roman"/>
                <w:b w:val="0"/>
                <w:bCs w:val="0"/>
                <w:i/>
                <w:iCs/>
                <w:sz w:val="18"/>
                <w:szCs w:val="18"/>
                <w:lang w:eastAsia="en-GB"/>
              </w:rPr>
              <w:t>Missing</w:t>
            </w:r>
          </w:p>
        </w:tc>
        <w:tc>
          <w:tcPr>
            <w:tcW w:w="1453" w:type="dxa"/>
            <w:noWrap/>
            <w:hideMark/>
          </w:tcPr>
          <w:p w14:paraId="240E64BA"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 (0.4%)</w:t>
            </w:r>
          </w:p>
        </w:tc>
        <w:tc>
          <w:tcPr>
            <w:tcW w:w="1620" w:type="dxa"/>
            <w:noWrap/>
            <w:hideMark/>
          </w:tcPr>
          <w:p w14:paraId="573B034B"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188 (84.3%)</w:t>
            </w:r>
          </w:p>
        </w:tc>
        <w:tc>
          <w:tcPr>
            <w:tcW w:w="0" w:type="auto"/>
            <w:noWrap/>
            <w:hideMark/>
          </w:tcPr>
          <w:p w14:paraId="0DFA384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189 (40.4%)</w:t>
            </w:r>
          </w:p>
        </w:tc>
      </w:tr>
      <w:tr w:rsidR="00BF0033" w:rsidRPr="00734942" w14:paraId="2B277D67"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91B3B46"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Ethnicity</w:t>
            </w:r>
          </w:p>
        </w:tc>
        <w:tc>
          <w:tcPr>
            <w:tcW w:w="1453" w:type="dxa"/>
            <w:noWrap/>
            <w:hideMark/>
          </w:tcPr>
          <w:p w14:paraId="54BDED9B" w14:textId="77777777" w:rsidR="00BF0033" w:rsidRPr="00734942" w:rsidRDefault="00BF0033"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155132D8"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671852A5"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BF0033" w:rsidRPr="00734942" w14:paraId="1834B16C"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5029CC1"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Asian / Asian British</w:t>
            </w:r>
          </w:p>
        </w:tc>
        <w:tc>
          <w:tcPr>
            <w:tcW w:w="1453" w:type="dxa"/>
            <w:noWrap/>
            <w:hideMark/>
          </w:tcPr>
          <w:p w14:paraId="704464C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1620" w:type="dxa"/>
            <w:noWrap/>
            <w:hideMark/>
          </w:tcPr>
          <w:p w14:paraId="0ADA861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7C565CD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(0.2%)</w:t>
            </w:r>
          </w:p>
        </w:tc>
      </w:tr>
      <w:tr w:rsidR="00BF0033" w:rsidRPr="00734942" w14:paraId="369D8182"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88745E4"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Black / African / Caribbean / Black British</w:t>
            </w:r>
          </w:p>
        </w:tc>
        <w:tc>
          <w:tcPr>
            <w:tcW w:w="1453" w:type="dxa"/>
            <w:noWrap/>
            <w:hideMark/>
          </w:tcPr>
          <w:p w14:paraId="3891048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1620" w:type="dxa"/>
            <w:noWrap/>
            <w:hideMark/>
          </w:tcPr>
          <w:p w14:paraId="2E66D069"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3956162D"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(0.4%)</w:t>
            </w:r>
          </w:p>
        </w:tc>
      </w:tr>
      <w:tr w:rsidR="00BF0033" w:rsidRPr="00734942" w14:paraId="5DEB1D5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537E24CD"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Mixed / Multiple ethnic groups</w:t>
            </w:r>
          </w:p>
        </w:tc>
        <w:tc>
          <w:tcPr>
            <w:tcW w:w="1453" w:type="dxa"/>
            <w:noWrap/>
            <w:hideMark/>
          </w:tcPr>
          <w:p w14:paraId="2956BEBD"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 (2.5%)</w:t>
            </w:r>
          </w:p>
        </w:tc>
        <w:tc>
          <w:tcPr>
            <w:tcW w:w="1620" w:type="dxa"/>
            <w:noWrap/>
            <w:hideMark/>
          </w:tcPr>
          <w:p w14:paraId="7FE03292"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(0.9%)</w:t>
            </w:r>
          </w:p>
        </w:tc>
        <w:tc>
          <w:tcPr>
            <w:tcW w:w="0" w:type="auto"/>
            <w:noWrap/>
            <w:hideMark/>
          </w:tcPr>
          <w:p w14:paraId="57010A0B"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8 (1.7%)</w:t>
            </w:r>
          </w:p>
        </w:tc>
      </w:tr>
      <w:tr w:rsidR="00BF0033" w:rsidRPr="00734942" w14:paraId="5A5FC1BC"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FD1682D"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Other</w:t>
            </w:r>
          </w:p>
        </w:tc>
        <w:tc>
          <w:tcPr>
            <w:tcW w:w="1453" w:type="dxa"/>
            <w:noWrap/>
            <w:hideMark/>
          </w:tcPr>
          <w:p w14:paraId="3F964A75"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 (1.2%)</w:t>
            </w:r>
          </w:p>
        </w:tc>
        <w:tc>
          <w:tcPr>
            <w:tcW w:w="1620" w:type="dxa"/>
            <w:noWrap/>
            <w:hideMark/>
          </w:tcPr>
          <w:p w14:paraId="03B3489E"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0FF58E4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(0.9%)</w:t>
            </w:r>
          </w:p>
        </w:tc>
      </w:tr>
      <w:tr w:rsidR="00BF0033" w:rsidRPr="00734942" w14:paraId="7439713D"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6982CE1"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White</w:t>
            </w:r>
          </w:p>
        </w:tc>
        <w:tc>
          <w:tcPr>
            <w:tcW w:w="1453" w:type="dxa"/>
            <w:noWrap/>
            <w:hideMark/>
          </w:tcPr>
          <w:p w14:paraId="36FE769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232 (95.1%)</w:t>
            </w:r>
          </w:p>
        </w:tc>
        <w:tc>
          <w:tcPr>
            <w:tcW w:w="1620" w:type="dxa"/>
            <w:noWrap/>
            <w:hideMark/>
          </w:tcPr>
          <w:p w14:paraId="5B17C02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32 (14.3%)</w:t>
            </w:r>
          </w:p>
        </w:tc>
        <w:tc>
          <w:tcPr>
            <w:tcW w:w="0" w:type="auto"/>
            <w:noWrap/>
            <w:hideMark/>
          </w:tcPr>
          <w:p w14:paraId="3932FDA5"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264 (56.4%)</w:t>
            </w:r>
          </w:p>
        </w:tc>
      </w:tr>
      <w:tr w:rsidR="00BF0033" w:rsidRPr="00734942" w14:paraId="38A31A92"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ABA2A3E" w14:textId="77777777" w:rsidR="00BF0033" w:rsidRPr="00734942" w:rsidRDefault="00BF0033" w:rsidP="00F86021">
            <w:pPr>
              <w:pStyle w:val="ListParagraph"/>
              <w:numPr>
                <w:ilvl w:val="0"/>
                <w:numId w:val="18"/>
              </w:numPr>
              <w:rPr>
                <w:rFonts w:eastAsia="Times New Roman"/>
                <w:b w:val="0"/>
                <w:bCs w:val="0"/>
                <w:i/>
                <w:iCs/>
                <w:sz w:val="18"/>
                <w:szCs w:val="18"/>
                <w:lang w:eastAsia="en-GB"/>
              </w:rPr>
            </w:pPr>
            <w:r w:rsidRPr="00734942">
              <w:rPr>
                <w:rFonts w:eastAsia="Times New Roman"/>
                <w:b w:val="0"/>
                <w:bCs w:val="0"/>
                <w:i/>
                <w:iCs/>
                <w:sz w:val="18"/>
                <w:szCs w:val="18"/>
                <w:lang w:eastAsia="en-GB"/>
              </w:rPr>
              <w:t>Missing</w:t>
            </w:r>
          </w:p>
        </w:tc>
        <w:tc>
          <w:tcPr>
            <w:tcW w:w="1453" w:type="dxa"/>
            <w:noWrap/>
            <w:hideMark/>
          </w:tcPr>
          <w:p w14:paraId="32F37ABE"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 (0.4%)</w:t>
            </w:r>
          </w:p>
        </w:tc>
        <w:tc>
          <w:tcPr>
            <w:tcW w:w="1620" w:type="dxa"/>
            <w:noWrap/>
            <w:hideMark/>
          </w:tcPr>
          <w:p w14:paraId="41B8AC48"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188 (84.3%)</w:t>
            </w:r>
          </w:p>
        </w:tc>
        <w:tc>
          <w:tcPr>
            <w:tcW w:w="0" w:type="auto"/>
            <w:noWrap/>
            <w:hideMark/>
          </w:tcPr>
          <w:p w14:paraId="64B6172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189 (40.4%)</w:t>
            </w:r>
          </w:p>
        </w:tc>
      </w:tr>
      <w:tr w:rsidR="00BF0033" w:rsidRPr="00734942" w14:paraId="1385C5ED"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643F1FFD"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Highest education</w:t>
            </w:r>
          </w:p>
        </w:tc>
        <w:tc>
          <w:tcPr>
            <w:tcW w:w="1453" w:type="dxa"/>
            <w:noWrap/>
            <w:hideMark/>
          </w:tcPr>
          <w:p w14:paraId="64BB1BA7" w14:textId="77777777" w:rsidR="00BF0033" w:rsidRPr="00734942" w:rsidRDefault="00BF0033" w:rsidP="00F86021">
            <w:pP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7920C156"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78A6011E"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p>
        </w:tc>
      </w:tr>
      <w:tr w:rsidR="00BF0033" w:rsidRPr="00734942" w14:paraId="41FB4C23"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E06C97A"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College or university degree</w:t>
            </w:r>
          </w:p>
        </w:tc>
        <w:tc>
          <w:tcPr>
            <w:tcW w:w="1453" w:type="dxa"/>
            <w:noWrap/>
            <w:hideMark/>
          </w:tcPr>
          <w:p w14:paraId="356BFF8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133 (54.5%)</w:t>
            </w:r>
          </w:p>
        </w:tc>
        <w:tc>
          <w:tcPr>
            <w:tcW w:w="1620" w:type="dxa"/>
            <w:noWrap/>
            <w:hideMark/>
          </w:tcPr>
          <w:p w14:paraId="0B3685FC"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26 (11.7%)</w:t>
            </w:r>
          </w:p>
        </w:tc>
        <w:tc>
          <w:tcPr>
            <w:tcW w:w="0" w:type="auto"/>
            <w:noWrap/>
            <w:hideMark/>
          </w:tcPr>
          <w:p w14:paraId="45BEC0E8"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159 (34.0%)</w:t>
            </w:r>
          </w:p>
        </w:tc>
      </w:tr>
      <w:tr w:rsidR="00BF0033" w:rsidRPr="00734942" w14:paraId="0464223D"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60A4BBF8"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A levels or equivalent</w:t>
            </w:r>
          </w:p>
        </w:tc>
        <w:tc>
          <w:tcPr>
            <w:tcW w:w="1453" w:type="dxa"/>
            <w:noWrap/>
            <w:hideMark/>
          </w:tcPr>
          <w:p w14:paraId="2ACC1075"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38 (15.6%)</w:t>
            </w:r>
          </w:p>
        </w:tc>
        <w:tc>
          <w:tcPr>
            <w:tcW w:w="1620" w:type="dxa"/>
            <w:noWrap/>
            <w:hideMark/>
          </w:tcPr>
          <w:p w14:paraId="71A0198A"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(1.8%)</w:t>
            </w:r>
          </w:p>
        </w:tc>
        <w:tc>
          <w:tcPr>
            <w:tcW w:w="0" w:type="auto"/>
            <w:noWrap/>
            <w:hideMark/>
          </w:tcPr>
          <w:p w14:paraId="2600B67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42 (9.0%)</w:t>
            </w:r>
          </w:p>
        </w:tc>
      </w:tr>
      <w:tr w:rsidR="00BF0033" w:rsidRPr="00734942" w14:paraId="1ABF23FD"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0822414"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O levels or GCSEs or equivalent</w:t>
            </w:r>
          </w:p>
        </w:tc>
        <w:tc>
          <w:tcPr>
            <w:tcW w:w="1453" w:type="dxa"/>
            <w:noWrap/>
            <w:hideMark/>
          </w:tcPr>
          <w:p w14:paraId="6BAEC34B"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33 (13.5%)</w:t>
            </w:r>
          </w:p>
        </w:tc>
        <w:tc>
          <w:tcPr>
            <w:tcW w:w="1620" w:type="dxa"/>
            <w:noWrap/>
            <w:hideMark/>
          </w:tcPr>
          <w:p w14:paraId="2A86FEA5"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 (1.3%)</w:t>
            </w:r>
          </w:p>
        </w:tc>
        <w:tc>
          <w:tcPr>
            <w:tcW w:w="0" w:type="auto"/>
            <w:noWrap/>
            <w:hideMark/>
          </w:tcPr>
          <w:p w14:paraId="17E3D71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37 (7.9%)</w:t>
            </w:r>
          </w:p>
        </w:tc>
      </w:tr>
      <w:tr w:rsidR="00BF0033" w:rsidRPr="00734942" w14:paraId="5802C73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31D44ED8"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Prefer not to say</w:t>
            </w:r>
          </w:p>
        </w:tc>
        <w:tc>
          <w:tcPr>
            <w:tcW w:w="1453" w:type="dxa"/>
            <w:noWrap/>
            <w:hideMark/>
          </w:tcPr>
          <w:p w14:paraId="38E17535"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14 (5.7%)</w:t>
            </w:r>
          </w:p>
        </w:tc>
        <w:tc>
          <w:tcPr>
            <w:tcW w:w="1620" w:type="dxa"/>
            <w:noWrap/>
            <w:hideMark/>
          </w:tcPr>
          <w:p w14:paraId="3C5A49B2"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6ECA0A8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14 (3.0%)</w:t>
            </w:r>
          </w:p>
        </w:tc>
      </w:tr>
      <w:tr w:rsidR="00BF0033" w:rsidRPr="00734942" w14:paraId="337F0D35"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DA171A7"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Other</w:t>
            </w:r>
          </w:p>
        </w:tc>
        <w:tc>
          <w:tcPr>
            <w:tcW w:w="1453" w:type="dxa"/>
            <w:noWrap/>
            <w:hideMark/>
          </w:tcPr>
          <w:p w14:paraId="35920A5B"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18 (7.4%)</w:t>
            </w:r>
          </w:p>
        </w:tc>
        <w:tc>
          <w:tcPr>
            <w:tcW w:w="1620" w:type="dxa"/>
            <w:noWrap/>
            <w:hideMark/>
          </w:tcPr>
          <w:p w14:paraId="3EA4141C"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(0.9%)</w:t>
            </w:r>
          </w:p>
        </w:tc>
        <w:tc>
          <w:tcPr>
            <w:tcW w:w="0" w:type="auto"/>
            <w:noWrap/>
            <w:hideMark/>
          </w:tcPr>
          <w:p w14:paraId="37A441DA"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20 (4.3%)</w:t>
            </w:r>
          </w:p>
        </w:tc>
      </w:tr>
      <w:tr w:rsidR="00BF0033" w:rsidRPr="00734942" w14:paraId="33242B1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C2A68E5" w14:textId="77777777" w:rsidR="00BF0033" w:rsidRPr="00734942" w:rsidRDefault="00BF0033" w:rsidP="00F86021">
            <w:pPr>
              <w:pStyle w:val="ListParagraph"/>
              <w:numPr>
                <w:ilvl w:val="0"/>
                <w:numId w:val="18"/>
              </w:numPr>
              <w:rPr>
                <w:rFonts w:eastAsia="Times New Roman"/>
                <w:b w:val="0"/>
                <w:bCs w:val="0"/>
                <w:i/>
                <w:iCs/>
                <w:sz w:val="18"/>
                <w:szCs w:val="18"/>
                <w:lang w:eastAsia="en-GB"/>
              </w:rPr>
            </w:pPr>
            <w:r w:rsidRPr="00734942">
              <w:rPr>
                <w:rFonts w:eastAsia="Times New Roman"/>
                <w:b w:val="0"/>
                <w:bCs w:val="0"/>
                <w:i/>
                <w:iCs/>
                <w:sz w:val="18"/>
                <w:szCs w:val="18"/>
                <w:lang w:eastAsia="en-GB"/>
              </w:rPr>
              <w:t>Missing</w:t>
            </w:r>
          </w:p>
        </w:tc>
        <w:tc>
          <w:tcPr>
            <w:tcW w:w="1453" w:type="dxa"/>
            <w:noWrap/>
            <w:hideMark/>
          </w:tcPr>
          <w:p w14:paraId="7206ED55"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8 (3.3%)</w:t>
            </w:r>
          </w:p>
        </w:tc>
        <w:tc>
          <w:tcPr>
            <w:tcW w:w="1620" w:type="dxa"/>
            <w:noWrap/>
            <w:hideMark/>
          </w:tcPr>
          <w:p w14:paraId="0ECBD569"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188 (84.3%)</w:t>
            </w:r>
          </w:p>
        </w:tc>
        <w:tc>
          <w:tcPr>
            <w:tcW w:w="0" w:type="auto"/>
            <w:noWrap/>
            <w:hideMark/>
          </w:tcPr>
          <w:p w14:paraId="3CC6D69D"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196 (41.9%)</w:t>
            </w:r>
          </w:p>
        </w:tc>
      </w:tr>
      <w:tr w:rsidR="00BF0033" w:rsidRPr="00734942" w14:paraId="31D5A421"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D95D3F8"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Deprivation score</w:t>
            </w:r>
          </w:p>
        </w:tc>
        <w:tc>
          <w:tcPr>
            <w:tcW w:w="1453" w:type="dxa"/>
            <w:noWrap/>
            <w:hideMark/>
          </w:tcPr>
          <w:p w14:paraId="47F196ED" w14:textId="77777777" w:rsidR="00BF0033" w:rsidRPr="00734942" w:rsidRDefault="00BF0033"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1A37E70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6DA6C4B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BF0033" w:rsidRPr="00734942" w14:paraId="11151816"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6C06655F"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Mean (SD)</w:t>
            </w:r>
          </w:p>
        </w:tc>
        <w:tc>
          <w:tcPr>
            <w:tcW w:w="1453" w:type="dxa"/>
            <w:noWrap/>
            <w:hideMark/>
          </w:tcPr>
          <w:p w14:paraId="4C6BD01E"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6.51 (2.50)</w:t>
            </w:r>
          </w:p>
        </w:tc>
        <w:tc>
          <w:tcPr>
            <w:tcW w:w="1620" w:type="dxa"/>
            <w:noWrap/>
            <w:hideMark/>
          </w:tcPr>
          <w:p w14:paraId="5F1BEA3C"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6.77 (2.53)</w:t>
            </w:r>
          </w:p>
        </w:tc>
        <w:tc>
          <w:tcPr>
            <w:tcW w:w="0" w:type="auto"/>
            <w:noWrap/>
            <w:hideMark/>
          </w:tcPr>
          <w:p w14:paraId="4CF5E9BF"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6.52 (2.52)</w:t>
            </w:r>
          </w:p>
        </w:tc>
      </w:tr>
      <w:tr w:rsidR="00BF0033" w:rsidRPr="00734942" w14:paraId="330C8443"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149B358"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Median [Min, Max]</w:t>
            </w:r>
          </w:p>
        </w:tc>
        <w:tc>
          <w:tcPr>
            <w:tcW w:w="1453" w:type="dxa"/>
            <w:noWrap/>
            <w:hideMark/>
          </w:tcPr>
          <w:p w14:paraId="33722F61"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7.00 [1.00, 10.0]</w:t>
            </w:r>
          </w:p>
        </w:tc>
        <w:tc>
          <w:tcPr>
            <w:tcW w:w="1620" w:type="dxa"/>
            <w:noWrap/>
            <w:hideMark/>
          </w:tcPr>
          <w:p w14:paraId="3E90722E"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7.00 [1.00, 10.0]</w:t>
            </w:r>
          </w:p>
        </w:tc>
        <w:tc>
          <w:tcPr>
            <w:tcW w:w="0" w:type="auto"/>
            <w:noWrap/>
            <w:hideMark/>
          </w:tcPr>
          <w:p w14:paraId="467935AA"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7.00 [1.00, 10.0]</w:t>
            </w:r>
          </w:p>
        </w:tc>
      </w:tr>
      <w:tr w:rsidR="00BF0033" w:rsidRPr="00734942" w14:paraId="127D6159"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023ADF73" w14:textId="77777777" w:rsidR="00BF0033" w:rsidRPr="00734942" w:rsidRDefault="00BF0033" w:rsidP="00F86021">
            <w:pPr>
              <w:pStyle w:val="ListParagraph"/>
              <w:numPr>
                <w:ilvl w:val="0"/>
                <w:numId w:val="18"/>
              </w:numPr>
              <w:rPr>
                <w:rFonts w:eastAsia="Times New Roman"/>
                <w:b w:val="0"/>
                <w:bCs w:val="0"/>
                <w:i/>
                <w:iCs/>
                <w:sz w:val="18"/>
                <w:szCs w:val="18"/>
                <w:lang w:eastAsia="en-GB"/>
              </w:rPr>
            </w:pPr>
            <w:r w:rsidRPr="00734942">
              <w:rPr>
                <w:rFonts w:eastAsia="Times New Roman"/>
                <w:b w:val="0"/>
                <w:bCs w:val="0"/>
                <w:i/>
                <w:iCs/>
                <w:sz w:val="18"/>
                <w:szCs w:val="18"/>
                <w:lang w:eastAsia="en-GB"/>
              </w:rPr>
              <w:t>Missing</w:t>
            </w:r>
          </w:p>
        </w:tc>
        <w:tc>
          <w:tcPr>
            <w:tcW w:w="1453" w:type="dxa"/>
            <w:noWrap/>
            <w:hideMark/>
          </w:tcPr>
          <w:p w14:paraId="279B01D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42 (17.2%)</w:t>
            </w:r>
          </w:p>
        </w:tc>
        <w:tc>
          <w:tcPr>
            <w:tcW w:w="1620" w:type="dxa"/>
            <w:noWrap/>
            <w:hideMark/>
          </w:tcPr>
          <w:p w14:paraId="00A25E6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197 (88.3%)</w:t>
            </w:r>
          </w:p>
        </w:tc>
        <w:tc>
          <w:tcPr>
            <w:tcW w:w="0" w:type="auto"/>
            <w:noWrap/>
            <w:hideMark/>
          </w:tcPr>
          <w:p w14:paraId="700BDF2B"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239 (51.1%)</w:t>
            </w:r>
          </w:p>
        </w:tc>
      </w:tr>
      <w:tr w:rsidR="00BF0033" w:rsidRPr="00734942" w14:paraId="133C82DE"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F0C418F" w14:textId="77777777" w:rsidR="00BF0033" w:rsidRPr="00734942" w:rsidRDefault="00BF0033" w:rsidP="00F86021">
            <w:pPr>
              <w:rPr>
                <w:rFonts w:eastAsia="Times New Roman" w:cstheme="minorHAnsi"/>
                <w:sz w:val="18"/>
                <w:szCs w:val="18"/>
                <w:lang w:eastAsia="en-GB"/>
              </w:rPr>
            </w:pPr>
            <w:r w:rsidRPr="00734942">
              <w:rPr>
                <w:rFonts w:eastAsia="Times New Roman" w:cstheme="minorHAnsi"/>
                <w:sz w:val="18"/>
                <w:szCs w:val="18"/>
                <w:lang w:eastAsia="en-GB"/>
              </w:rPr>
              <w:t>Region</w:t>
            </w:r>
          </w:p>
        </w:tc>
        <w:tc>
          <w:tcPr>
            <w:tcW w:w="1453" w:type="dxa"/>
            <w:noWrap/>
            <w:hideMark/>
          </w:tcPr>
          <w:p w14:paraId="443C0DED" w14:textId="77777777" w:rsidR="00BF0033" w:rsidRPr="00734942" w:rsidRDefault="00BF0033"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620" w:type="dxa"/>
            <w:noWrap/>
            <w:hideMark/>
          </w:tcPr>
          <w:p w14:paraId="4EEF040E"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0" w:type="auto"/>
            <w:noWrap/>
            <w:hideMark/>
          </w:tcPr>
          <w:p w14:paraId="427B6773"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BF0033" w:rsidRPr="00734942" w14:paraId="2032E679"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13753B32"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East England</w:t>
            </w:r>
          </w:p>
        </w:tc>
        <w:tc>
          <w:tcPr>
            <w:tcW w:w="1453" w:type="dxa"/>
            <w:noWrap/>
            <w:hideMark/>
          </w:tcPr>
          <w:p w14:paraId="136C97A7"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(0.8%)</w:t>
            </w:r>
          </w:p>
        </w:tc>
        <w:tc>
          <w:tcPr>
            <w:tcW w:w="1620" w:type="dxa"/>
            <w:noWrap/>
            <w:hideMark/>
          </w:tcPr>
          <w:p w14:paraId="480294C5"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26121EC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(0.4%)</w:t>
            </w:r>
          </w:p>
        </w:tc>
      </w:tr>
      <w:tr w:rsidR="00BF0033" w:rsidRPr="00734942" w14:paraId="165E8AD5"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BC07C4F"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East Midlands</w:t>
            </w:r>
          </w:p>
        </w:tc>
        <w:tc>
          <w:tcPr>
            <w:tcW w:w="1453" w:type="dxa"/>
            <w:noWrap/>
            <w:hideMark/>
          </w:tcPr>
          <w:p w14:paraId="026DC010"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14 (5.7%)</w:t>
            </w:r>
          </w:p>
        </w:tc>
        <w:tc>
          <w:tcPr>
            <w:tcW w:w="1620" w:type="dxa"/>
            <w:noWrap/>
            <w:hideMark/>
          </w:tcPr>
          <w:p w14:paraId="476DE5BA"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(0.9%)</w:t>
            </w:r>
          </w:p>
        </w:tc>
        <w:tc>
          <w:tcPr>
            <w:tcW w:w="0" w:type="auto"/>
            <w:noWrap/>
            <w:hideMark/>
          </w:tcPr>
          <w:p w14:paraId="5E12E81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16 (3.4%)</w:t>
            </w:r>
          </w:p>
        </w:tc>
      </w:tr>
      <w:tr w:rsidR="00BF0033" w:rsidRPr="00734942" w14:paraId="19D013DD"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4400C400"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East of England</w:t>
            </w:r>
          </w:p>
        </w:tc>
        <w:tc>
          <w:tcPr>
            <w:tcW w:w="1453" w:type="dxa"/>
            <w:noWrap/>
            <w:hideMark/>
          </w:tcPr>
          <w:p w14:paraId="6C6C1DCC"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19 (7.8%)</w:t>
            </w:r>
          </w:p>
        </w:tc>
        <w:tc>
          <w:tcPr>
            <w:tcW w:w="1620" w:type="dxa"/>
            <w:noWrap/>
            <w:hideMark/>
          </w:tcPr>
          <w:p w14:paraId="0AC0073C"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(1.8%)</w:t>
            </w:r>
          </w:p>
        </w:tc>
        <w:tc>
          <w:tcPr>
            <w:tcW w:w="0" w:type="auto"/>
            <w:noWrap/>
            <w:hideMark/>
          </w:tcPr>
          <w:p w14:paraId="03E24079"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23 (4.9%)</w:t>
            </w:r>
          </w:p>
        </w:tc>
      </w:tr>
      <w:tr w:rsidR="00BF0033" w:rsidRPr="00734942" w14:paraId="62CBD3BB"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E96B7B6"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Greater London</w:t>
            </w:r>
          </w:p>
        </w:tc>
        <w:tc>
          <w:tcPr>
            <w:tcW w:w="1453" w:type="dxa"/>
            <w:noWrap/>
            <w:hideMark/>
          </w:tcPr>
          <w:p w14:paraId="5712A45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11 (4.5%)</w:t>
            </w:r>
          </w:p>
        </w:tc>
        <w:tc>
          <w:tcPr>
            <w:tcW w:w="1620" w:type="dxa"/>
            <w:noWrap/>
            <w:hideMark/>
          </w:tcPr>
          <w:p w14:paraId="0136CA84"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2E03CC9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12 (2.6%)</w:t>
            </w:r>
          </w:p>
        </w:tc>
      </w:tr>
      <w:tr w:rsidR="00BF0033" w:rsidRPr="00734942" w14:paraId="0AD12047"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40869858"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North East</w:t>
            </w:r>
          </w:p>
        </w:tc>
        <w:tc>
          <w:tcPr>
            <w:tcW w:w="1453" w:type="dxa"/>
            <w:noWrap/>
            <w:hideMark/>
          </w:tcPr>
          <w:p w14:paraId="068F3D3E"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16 (6.6%)</w:t>
            </w:r>
          </w:p>
        </w:tc>
        <w:tc>
          <w:tcPr>
            <w:tcW w:w="1620" w:type="dxa"/>
            <w:noWrap/>
            <w:hideMark/>
          </w:tcPr>
          <w:p w14:paraId="402D1BC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1D8ED01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17 (3.6%)</w:t>
            </w:r>
          </w:p>
        </w:tc>
      </w:tr>
      <w:tr w:rsidR="00BF0033" w:rsidRPr="00734942" w14:paraId="117E0DF2"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3D00030"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North West</w:t>
            </w:r>
          </w:p>
        </w:tc>
        <w:tc>
          <w:tcPr>
            <w:tcW w:w="1453" w:type="dxa"/>
            <w:noWrap/>
            <w:hideMark/>
          </w:tcPr>
          <w:p w14:paraId="2DA3F45A"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20 (8.2%)</w:t>
            </w:r>
          </w:p>
        </w:tc>
        <w:tc>
          <w:tcPr>
            <w:tcW w:w="1620" w:type="dxa"/>
            <w:noWrap/>
            <w:hideMark/>
          </w:tcPr>
          <w:p w14:paraId="05E1DC0B"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44C34014"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20 (4.3%)</w:t>
            </w:r>
          </w:p>
        </w:tc>
      </w:tr>
      <w:tr w:rsidR="00BF0033" w:rsidRPr="00734942" w14:paraId="715E15F0"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BE9A5C0"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Northern Ireland</w:t>
            </w:r>
          </w:p>
        </w:tc>
        <w:tc>
          <w:tcPr>
            <w:tcW w:w="1453" w:type="dxa"/>
            <w:noWrap/>
            <w:hideMark/>
          </w:tcPr>
          <w:p w14:paraId="3D88905D"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(1.6%)</w:t>
            </w:r>
          </w:p>
        </w:tc>
        <w:tc>
          <w:tcPr>
            <w:tcW w:w="1620" w:type="dxa"/>
            <w:noWrap/>
            <w:hideMark/>
          </w:tcPr>
          <w:p w14:paraId="3B1722EA"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01A350C4"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 (1.1%)</w:t>
            </w:r>
          </w:p>
        </w:tc>
      </w:tr>
      <w:tr w:rsidR="00BF0033" w:rsidRPr="00734942" w14:paraId="1B3DA939"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417C94DF"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Scotland</w:t>
            </w:r>
          </w:p>
        </w:tc>
        <w:tc>
          <w:tcPr>
            <w:tcW w:w="1453" w:type="dxa"/>
            <w:noWrap/>
            <w:hideMark/>
          </w:tcPr>
          <w:p w14:paraId="6367F79E"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14 (5.7%)</w:t>
            </w:r>
          </w:p>
        </w:tc>
        <w:tc>
          <w:tcPr>
            <w:tcW w:w="1620" w:type="dxa"/>
            <w:noWrap/>
            <w:hideMark/>
          </w:tcPr>
          <w:p w14:paraId="2693429D"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7A6F4F2F"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15 (3.2%)</w:t>
            </w:r>
          </w:p>
        </w:tc>
      </w:tr>
      <w:tr w:rsidR="00BF0033" w:rsidRPr="00734942" w14:paraId="5D857EC3"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2791BFF5"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South East</w:t>
            </w:r>
          </w:p>
        </w:tc>
        <w:tc>
          <w:tcPr>
            <w:tcW w:w="1453" w:type="dxa"/>
            <w:noWrap/>
            <w:hideMark/>
          </w:tcPr>
          <w:p w14:paraId="1D7DE216"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28 (11.5%)</w:t>
            </w:r>
          </w:p>
        </w:tc>
        <w:tc>
          <w:tcPr>
            <w:tcW w:w="1620" w:type="dxa"/>
            <w:noWrap/>
            <w:hideMark/>
          </w:tcPr>
          <w:p w14:paraId="015735CC"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 (2.2%)</w:t>
            </w:r>
          </w:p>
        </w:tc>
        <w:tc>
          <w:tcPr>
            <w:tcW w:w="0" w:type="auto"/>
            <w:noWrap/>
            <w:hideMark/>
          </w:tcPr>
          <w:p w14:paraId="09B77162"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33 (7.1%)</w:t>
            </w:r>
          </w:p>
        </w:tc>
      </w:tr>
      <w:tr w:rsidR="00BF0033" w:rsidRPr="00734942" w14:paraId="57E19C39"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55CF317"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South West</w:t>
            </w:r>
          </w:p>
        </w:tc>
        <w:tc>
          <w:tcPr>
            <w:tcW w:w="1453" w:type="dxa"/>
            <w:noWrap/>
            <w:hideMark/>
          </w:tcPr>
          <w:p w14:paraId="39E69F42"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80 (32.8%)</w:t>
            </w:r>
          </w:p>
        </w:tc>
        <w:tc>
          <w:tcPr>
            <w:tcW w:w="1620" w:type="dxa"/>
            <w:noWrap/>
            <w:hideMark/>
          </w:tcPr>
          <w:p w14:paraId="5F788203"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17 (7.6%)</w:t>
            </w:r>
          </w:p>
        </w:tc>
        <w:tc>
          <w:tcPr>
            <w:tcW w:w="0" w:type="auto"/>
            <w:noWrap/>
            <w:hideMark/>
          </w:tcPr>
          <w:p w14:paraId="2D20A188"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98 (20.9%)</w:t>
            </w:r>
          </w:p>
        </w:tc>
      </w:tr>
      <w:tr w:rsidR="00BF0033" w:rsidRPr="00734942" w14:paraId="710E0C51"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05330AEE"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Wales</w:t>
            </w:r>
          </w:p>
        </w:tc>
        <w:tc>
          <w:tcPr>
            <w:tcW w:w="1453" w:type="dxa"/>
            <w:noWrap/>
            <w:hideMark/>
          </w:tcPr>
          <w:p w14:paraId="1237063C"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11 (4.5%)</w:t>
            </w:r>
          </w:p>
        </w:tc>
        <w:tc>
          <w:tcPr>
            <w:tcW w:w="1620" w:type="dxa"/>
            <w:noWrap/>
            <w:hideMark/>
          </w:tcPr>
          <w:p w14:paraId="63F6E0FE"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(0.4%)</w:t>
            </w:r>
          </w:p>
        </w:tc>
        <w:tc>
          <w:tcPr>
            <w:tcW w:w="0" w:type="auto"/>
            <w:noWrap/>
            <w:hideMark/>
          </w:tcPr>
          <w:p w14:paraId="11226F21"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12 (2.6%)</w:t>
            </w:r>
          </w:p>
        </w:tc>
      </w:tr>
      <w:tr w:rsidR="00BF0033" w:rsidRPr="00734942" w14:paraId="56CBF195"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42FB7CA2" w14:textId="77777777" w:rsidR="00BF0033" w:rsidRPr="00734942" w:rsidRDefault="00BF0033" w:rsidP="00F86021">
            <w:pPr>
              <w:pStyle w:val="ListParagraph"/>
              <w:numPr>
                <w:ilvl w:val="0"/>
                <w:numId w:val="18"/>
              </w:numPr>
              <w:rPr>
                <w:rFonts w:eastAsia="Times New Roman"/>
                <w:b w:val="0"/>
                <w:bCs w:val="0"/>
                <w:sz w:val="18"/>
                <w:szCs w:val="18"/>
                <w:lang w:eastAsia="en-GB"/>
              </w:rPr>
            </w:pPr>
            <w:r w:rsidRPr="00734942">
              <w:rPr>
                <w:rFonts w:eastAsia="Times New Roman"/>
                <w:b w:val="0"/>
                <w:bCs w:val="0"/>
                <w:sz w:val="18"/>
                <w:szCs w:val="18"/>
                <w:lang w:eastAsia="en-GB"/>
              </w:rPr>
              <w:t>West Midlands</w:t>
            </w:r>
          </w:p>
        </w:tc>
        <w:tc>
          <w:tcPr>
            <w:tcW w:w="1453" w:type="dxa"/>
            <w:noWrap/>
            <w:hideMark/>
          </w:tcPr>
          <w:p w14:paraId="44E91A68"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17 (7.0%)</w:t>
            </w:r>
          </w:p>
        </w:tc>
        <w:tc>
          <w:tcPr>
            <w:tcW w:w="1620" w:type="dxa"/>
            <w:noWrap/>
            <w:hideMark/>
          </w:tcPr>
          <w:p w14:paraId="3DA6F387"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0 (0%)</w:t>
            </w:r>
          </w:p>
        </w:tc>
        <w:tc>
          <w:tcPr>
            <w:tcW w:w="0" w:type="auto"/>
            <w:noWrap/>
            <w:hideMark/>
          </w:tcPr>
          <w:p w14:paraId="48D96386" w14:textId="77777777" w:rsidR="00BF0033" w:rsidRPr="00734942" w:rsidRDefault="00BF0033"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17 (3.6%)</w:t>
            </w:r>
          </w:p>
        </w:tc>
      </w:tr>
      <w:tr w:rsidR="00BF0033" w:rsidRPr="00734942" w14:paraId="42633112" w14:textId="77777777" w:rsidTr="00F86021">
        <w:tc>
          <w:tcPr>
            <w:cnfStyle w:val="001000000000" w:firstRow="0" w:lastRow="0" w:firstColumn="1" w:lastColumn="0" w:oddVBand="0" w:evenVBand="0" w:oddHBand="0" w:evenHBand="0" w:firstRowFirstColumn="0" w:firstRowLastColumn="0" w:lastRowFirstColumn="0" w:lastRowLastColumn="0"/>
            <w:tcW w:w="0" w:type="auto"/>
            <w:noWrap/>
            <w:hideMark/>
          </w:tcPr>
          <w:p w14:paraId="68FFBC2A" w14:textId="77777777" w:rsidR="00BF0033" w:rsidRPr="00734942" w:rsidRDefault="00BF0033" w:rsidP="00F86021">
            <w:pPr>
              <w:pStyle w:val="ListParagraph"/>
              <w:numPr>
                <w:ilvl w:val="0"/>
                <w:numId w:val="18"/>
              </w:numPr>
              <w:rPr>
                <w:rFonts w:eastAsia="Times New Roman"/>
                <w:b w:val="0"/>
                <w:bCs w:val="0"/>
                <w:i/>
                <w:iCs/>
                <w:sz w:val="18"/>
                <w:szCs w:val="18"/>
                <w:lang w:eastAsia="en-GB"/>
              </w:rPr>
            </w:pPr>
            <w:r w:rsidRPr="00734942">
              <w:rPr>
                <w:rFonts w:eastAsia="Times New Roman"/>
                <w:b w:val="0"/>
                <w:bCs w:val="0"/>
                <w:i/>
                <w:iCs/>
                <w:sz w:val="18"/>
                <w:szCs w:val="18"/>
                <w:lang w:eastAsia="en-GB"/>
              </w:rPr>
              <w:t>Missing</w:t>
            </w:r>
          </w:p>
        </w:tc>
        <w:tc>
          <w:tcPr>
            <w:tcW w:w="1453" w:type="dxa"/>
            <w:noWrap/>
            <w:hideMark/>
          </w:tcPr>
          <w:p w14:paraId="35E28BB3"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8 (3.3%)</w:t>
            </w:r>
          </w:p>
        </w:tc>
        <w:tc>
          <w:tcPr>
            <w:tcW w:w="1620" w:type="dxa"/>
            <w:noWrap/>
            <w:hideMark/>
          </w:tcPr>
          <w:p w14:paraId="4F160FD8"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190 (85.2%)</w:t>
            </w:r>
          </w:p>
        </w:tc>
        <w:tc>
          <w:tcPr>
            <w:tcW w:w="0" w:type="auto"/>
            <w:noWrap/>
            <w:hideMark/>
          </w:tcPr>
          <w:p w14:paraId="1C6AA5B1" w14:textId="77777777" w:rsidR="00BF0033" w:rsidRPr="00734942" w:rsidRDefault="00BF0033"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sz w:val="18"/>
                <w:szCs w:val="18"/>
                <w:lang w:eastAsia="en-GB"/>
              </w:rPr>
            </w:pPr>
            <w:r w:rsidRPr="00734942">
              <w:rPr>
                <w:rFonts w:eastAsia="Times New Roman" w:cstheme="minorHAnsi"/>
                <w:i/>
                <w:iCs/>
                <w:sz w:val="18"/>
                <w:szCs w:val="18"/>
                <w:lang w:eastAsia="en-GB"/>
              </w:rPr>
              <w:t>198 (42.3%)</w:t>
            </w:r>
          </w:p>
        </w:tc>
      </w:tr>
    </w:tbl>
    <w:p w14:paraId="725E5B19" w14:textId="77777777" w:rsidR="00BF0033" w:rsidRPr="00734942" w:rsidRDefault="00BF0033" w:rsidP="00BF0033">
      <w:pPr>
        <w:rPr>
          <w:sz w:val="18"/>
          <w:szCs w:val="18"/>
        </w:rPr>
      </w:pPr>
      <w:r w:rsidRPr="00785031">
        <w:rPr>
          <w:sz w:val="18"/>
          <w:szCs w:val="18"/>
          <w:vertAlign w:val="superscript"/>
        </w:rPr>
        <w:t>a</w:t>
      </w:r>
      <w:r w:rsidRPr="00734942">
        <w:rPr>
          <w:sz w:val="18"/>
          <w:szCs w:val="18"/>
        </w:rPr>
        <w:t xml:space="preserve"> Confirmed diagnosis with serology test, endoscopy, or biopsy.</w:t>
      </w:r>
    </w:p>
    <w:p w14:paraId="48E8039E" w14:textId="77777777" w:rsidR="005867BD" w:rsidRPr="005867BD" w:rsidRDefault="005867BD" w:rsidP="000526F1"/>
    <w:p w14:paraId="0A71DAEF" w14:textId="56CDF27E" w:rsidR="005867BD" w:rsidRPr="00734942" w:rsidRDefault="005867BD" w:rsidP="005867BD">
      <w:pPr>
        <w:pStyle w:val="Caption"/>
      </w:pPr>
      <w:bookmarkStart w:id="506" w:name="_Ref95380698"/>
      <w:bookmarkStart w:id="507" w:name="_Toc99720771"/>
      <w:r w:rsidRPr="00734942">
        <w:t xml:space="preserve">Table </w:t>
      </w:r>
      <w:r w:rsidRPr="00734942">
        <w:fldChar w:fldCharType="begin"/>
      </w:r>
      <w:r w:rsidRPr="00734942">
        <w:instrText>SEQ Table \* ARABIC</w:instrText>
      </w:r>
      <w:r w:rsidRPr="00734942">
        <w:fldChar w:fldCharType="separate"/>
      </w:r>
      <w:r w:rsidR="008B5583">
        <w:rPr>
          <w:noProof/>
        </w:rPr>
        <w:t>60</w:t>
      </w:r>
      <w:r w:rsidRPr="00734942">
        <w:fldChar w:fldCharType="end"/>
      </w:r>
      <w:bookmarkEnd w:id="506"/>
      <w:r w:rsidRPr="00734942">
        <w:t xml:space="preserve"> Respondent characteristics who used free text boxes</w:t>
      </w:r>
      <w:bookmarkEnd w:id="507"/>
    </w:p>
    <w:tbl>
      <w:tblPr>
        <w:tblStyle w:val="PlainTable2"/>
        <w:tblW w:w="0" w:type="auto"/>
        <w:tblLook w:val="04A0" w:firstRow="1" w:lastRow="0" w:firstColumn="1" w:lastColumn="0" w:noHBand="0" w:noVBand="1"/>
      </w:tblPr>
      <w:tblGrid>
        <w:gridCol w:w="3544"/>
        <w:gridCol w:w="1843"/>
        <w:gridCol w:w="1843"/>
        <w:gridCol w:w="1417"/>
      </w:tblGrid>
      <w:tr w:rsidR="005867BD" w:rsidRPr="00734942" w14:paraId="3A6452F2" w14:textId="77777777" w:rsidTr="00F860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hideMark/>
          </w:tcPr>
          <w:p w14:paraId="4CE8C390" w14:textId="77777777" w:rsidR="005867BD" w:rsidRPr="00734942" w:rsidRDefault="005867BD" w:rsidP="00F86021">
            <w:pPr>
              <w:rPr>
                <w:rFonts w:eastAsia="Times New Roman" w:cstheme="minorHAnsi"/>
                <w:sz w:val="18"/>
                <w:szCs w:val="18"/>
                <w:lang w:eastAsia="en-GB"/>
              </w:rPr>
            </w:pPr>
          </w:p>
        </w:tc>
        <w:tc>
          <w:tcPr>
            <w:tcW w:w="1843" w:type="dxa"/>
            <w:hideMark/>
          </w:tcPr>
          <w:p w14:paraId="18A34E42" w14:textId="77777777" w:rsidR="005867BD" w:rsidRPr="00734942" w:rsidRDefault="005867BD"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Coeliac Disease</w:t>
            </w:r>
            <w:r w:rsidRPr="00785031">
              <w:rPr>
                <w:rFonts w:eastAsia="Times New Roman" w:cstheme="minorHAnsi"/>
                <w:sz w:val="18"/>
                <w:szCs w:val="18"/>
                <w:vertAlign w:val="superscript"/>
                <w:lang w:eastAsia="en-GB"/>
              </w:rPr>
              <w:t>a</w:t>
            </w:r>
            <w:r w:rsidRPr="00734942">
              <w:rPr>
                <w:rFonts w:eastAsia="Times New Roman" w:cstheme="minorHAnsi"/>
                <w:sz w:val="18"/>
                <w:szCs w:val="18"/>
                <w:lang w:eastAsia="en-GB"/>
              </w:rPr>
              <w:br/>
              <w:t>(N=185)</w:t>
            </w:r>
          </w:p>
        </w:tc>
        <w:tc>
          <w:tcPr>
            <w:tcW w:w="1843" w:type="dxa"/>
            <w:hideMark/>
          </w:tcPr>
          <w:p w14:paraId="4BFDFB2A" w14:textId="77777777" w:rsidR="005867BD" w:rsidRPr="00734942" w:rsidRDefault="005867BD"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No Coeliac Disease</w:t>
            </w:r>
            <w:r w:rsidRPr="00734942">
              <w:rPr>
                <w:rFonts w:eastAsia="Times New Roman" w:cstheme="minorHAnsi"/>
                <w:sz w:val="18"/>
                <w:szCs w:val="18"/>
                <w:lang w:eastAsia="en-GB"/>
              </w:rPr>
              <w:br/>
              <w:t>(N=167)</w:t>
            </w:r>
          </w:p>
        </w:tc>
        <w:tc>
          <w:tcPr>
            <w:tcW w:w="1417" w:type="dxa"/>
            <w:hideMark/>
          </w:tcPr>
          <w:p w14:paraId="69995525" w14:textId="77777777" w:rsidR="005867BD" w:rsidRPr="00734942" w:rsidRDefault="005867BD" w:rsidP="00F86021">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Total</w:t>
            </w:r>
            <w:r w:rsidRPr="00734942">
              <w:rPr>
                <w:rFonts w:eastAsia="Times New Roman" w:cstheme="minorHAnsi"/>
                <w:sz w:val="18"/>
                <w:szCs w:val="18"/>
                <w:lang w:eastAsia="en-GB"/>
              </w:rPr>
              <w:br/>
              <w:t>(N=353)</w:t>
            </w:r>
          </w:p>
        </w:tc>
      </w:tr>
      <w:tr w:rsidR="005867BD" w:rsidRPr="00734942" w14:paraId="684010D9"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noWrap/>
            <w:hideMark/>
          </w:tcPr>
          <w:p w14:paraId="35CED3F9" w14:textId="77777777" w:rsidR="005867BD" w:rsidRPr="00734942" w:rsidRDefault="005867BD" w:rsidP="00F86021">
            <w:pPr>
              <w:rPr>
                <w:rFonts w:eastAsia="Times New Roman" w:cstheme="minorHAnsi"/>
                <w:sz w:val="18"/>
                <w:szCs w:val="18"/>
                <w:lang w:eastAsia="en-GB"/>
              </w:rPr>
            </w:pPr>
            <w:r w:rsidRPr="00734942">
              <w:rPr>
                <w:rFonts w:eastAsia="Times New Roman" w:cstheme="minorHAnsi"/>
                <w:sz w:val="18"/>
                <w:szCs w:val="18"/>
                <w:lang w:eastAsia="en-GB"/>
              </w:rPr>
              <w:t>Age (years)</w:t>
            </w:r>
          </w:p>
        </w:tc>
        <w:tc>
          <w:tcPr>
            <w:tcW w:w="1843" w:type="dxa"/>
            <w:noWrap/>
            <w:hideMark/>
          </w:tcPr>
          <w:p w14:paraId="5AA6CAED" w14:textId="77777777" w:rsidR="005867BD" w:rsidRPr="00734942" w:rsidRDefault="005867BD" w:rsidP="00F86021">
            <w:pP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843" w:type="dxa"/>
            <w:noWrap/>
            <w:hideMark/>
          </w:tcPr>
          <w:p w14:paraId="4BC3CD46"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c>
          <w:tcPr>
            <w:tcW w:w="1417" w:type="dxa"/>
            <w:noWrap/>
            <w:hideMark/>
          </w:tcPr>
          <w:p w14:paraId="31A6D4D7"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p>
        </w:tc>
      </w:tr>
      <w:tr w:rsidR="005867BD" w:rsidRPr="00734942" w14:paraId="0066A24D" w14:textId="77777777" w:rsidTr="00F86021">
        <w:tc>
          <w:tcPr>
            <w:cnfStyle w:val="001000000000" w:firstRow="0" w:lastRow="0" w:firstColumn="1" w:lastColumn="0" w:oddVBand="0" w:evenVBand="0" w:oddHBand="0" w:evenHBand="0" w:firstRowFirstColumn="0" w:firstRowLastColumn="0" w:lastRowFirstColumn="0" w:lastRowLastColumn="0"/>
            <w:tcW w:w="3544" w:type="dxa"/>
            <w:noWrap/>
            <w:hideMark/>
          </w:tcPr>
          <w:p w14:paraId="7CD33F60"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lastRenderedPageBreak/>
              <w:t>0-5</w:t>
            </w:r>
          </w:p>
        </w:tc>
        <w:tc>
          <w:tcPr>
            <w:tcW w:w="1843" w:type="dxa"/>
            <w:noWrap/>
            <w:hideMark/>
          </w:tcPr>
          <w:p w14:paraId="4F335151"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 (2.2%)</w:t>
            </w:r>
          </w:p>
        </w:tc>
        <w:tc>
          <w:tcPr>
            <w:tcW w:w="1843" w:type="dxa"/>
            <w:noWrap/>
            <w:hideMark/>
          </w:tcPr>
          <w:p w14:paraId="7EC36B9C"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6 (3.6%)</w:t>
            </w:r>
          </w:p>
        </w:tc>
        <w:tc>
          <w:tcPr>
            <w:tcW w:w="1417" w:type="dxa"/>
            <w:noWrap/>
            <w:hideMark/>
          </w:tcPr>
          <w:p w14:paraId="2A04420C"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10 (2.8%)</w:t>
            </w:r>
          </w:p>
        </w:tc>
      </w:tr>
      <w:tr w:rsidR="005867BD" w:rsidRPr="00734942" w14:paraId="7DF5BE5D"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noWrap/>
            <w:hideMark/>
          </w:tcPr>
          <w:p w14:paraId="7C6D1293"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6-11</w:t>
            </w:r>
          </w:p>
        </w:tc>
        <w:tc>
          <w:tcPr>
            <w:tcW w:w="1843" w:type="dxa"/>
            <w:noWrap/>
            <w:hideMark/>
          </w:tcPr>
          <w:p w14:paraId="7F6E90DA"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 (2.7%)</w:t>
            </w:r>
          </w:p>
        </w:tc>
        <w:tc>
          <w:tcPr>
            <w:tcW w:w="1843" w:type="dxa"/>
            <w:noWrap/>
            <w:hideMark/>
          </w:tcPr>
          <w:p w14:paraId="4FB808BC"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 (1.2%)</w:t>
            </w:r>
          </w:p>
        </w:tc>
        <w:tc>
          <w:tcPr>
            <w:tcW w:w="1417" w:type="dxa"/>
            <w:noWrap/>
            <w:hideMark/>
          </w:tcPr>
          <w:p w14:paraId="6233F2C8"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 (2.0%)</w:t>
            </w:r>
          </w:p>
        </w:tc>
      </w:tr>
      <w:tr w:rsidR="005867BD" w:rsidRPr="00734942" w14:paraId="62E39371" w14:textId="77777777" w:rsidTr="00F86021">
        <w:tc>
          <w:tcPr>
            <w:cnfStyle w:val="001000000000" w:firstRow="0" w:lastRow="0" w:firstColumn="1" w:lastColumn="0" w:oddVBand="0" w:evenVBand="0" w:oddHBand="0" w:evenHBand="0" w:firstRowFirstColumn="0" w:firstRowLastColumn="0" w:lastRowFirstColumn="0" w:lastRowLastColumn="0"/>
            <w:tcW w:w="3544" w:type="dxa"/>
            <w:noWrap/>
            <w:hideMark/>
          </w:tcPr>
          <w:p w14:paraId="57950293"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12-17</w:t>
            </w:r>
          </w:p>
        </w:tc>
        <w:tc>
          <w:tcPr>
            <w:tcW w:w="1843" w:type="dxa"/>
            <w:noWrap/>
            <w:hideMark/>
          </w:tcPr>
          <w:p w14:paraId="0A90A6EF"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8 (4.3%)</w:t>
            </w:r>
          </w:p>
        </w:tc>
        <w:tc>
          <w:tcPr>
            <w:tcW w:w="1843" w:type="dxa"/>
            <w:noWrap/>
            <w:hideMark/>
          </w:tcPr>
          <w:p w14:paraId="6A60D705"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 (0.6%)</w:t>
            </w:r>
          </w:p>
        </w:tc>
        <w:tc>
          <w:tcPr>
            <w:tcW w:w="1417" w:type="dxa"/>
            <w:noWrap/>
            <w:hideMark/>
          </w:tcPr>
          <w:p w14:paraId="2025BD80"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 (2.6%)</w:t>
            </w:r>
          </w:p>
        </w:tc>
      </w:tr>
      <w:tr w:rsidR="005867BD" w:rsidRPr="00734942" w14:paraId="6922BEE0"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noWrap/>
            <w:hideMark/>
          </w:tcPr>
          <w:p w14:paraId="4F9C3BE1"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18-25</w:t>
            </w:r>
          </w:p>
        </w:tc>
        <w:tc>
          <w:tcPr>
            <w:tcW w:w="1843" w:type="dxa"/>
            <w:noWrap/>
            <w:hideMark/>
          </w:tcPr>
          <w:p w14:paraId="37B1FACF"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19 (10.3%)</w:t>
            </w:r>
          </w:p>
        </w:tc>
        <w:tc>
          <w:tcPr>
            <w:tcW w:w="1843" w:type="dxa"/>
            <w:noWrap/>
            <w:hideMark/>
          </w:tcPr>
          <w:p w14:paraId="41EFA965"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15 (9.0%)</w:t>
            </w:r>
          </w:p>
        </w:tc>
        <w:tc>
          <w:tcPr>
            <w:tcW w:w="1417" w:type="dxa"/>
            <w:noWrap/>
            <w:hideMark/>
          </w:tcPr>
          <w:p w14:paraId="22426B7F"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34 (9.6%)</w:t>
            </w:r>
          </w:p>
        </w:tc>
      </w:tr>
      <w:tr w:rsidR="005867BD" w:rsidRPr="00734942" w14:paraId="5F434CF5" w14:textId="77777777" w:rsidTr="00F86021">
        <w:tc>
          <w:tcPr>
            <w:cnfStyle w:val="001000000000" w:firstRow="0" w:lastRow="0" w:firstColumn="1" w:lastColumn="0" w:oddVBand="0" w:evenVBand="0" w:oddHBand="0" w:evenHBand="0" w:firstRowFirstColumn="0" w:firstRowLastColumn="0" w:lastRowFirstColumn="0" w:lastRowLastColumn="0"/>
            <w:tcW w:w="3544" w:type="dxa"/>
            <w:noWrap/>
            <w:hideMark/>
          </w:tcPr>
          <w:p w14:paraId="75018C1C"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26-40</w:t>
            </w:r>
          </w:p>
        </w:tc>
        <w:tc>
          <w:tcPr>
            <w:tcW w:w="1843" w:type="dxa"/>
            <w:noWrap/>
            <w:hideMark/>
          </w:tcPr>
          <w:p w14:paraId="57690E39"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52 (28.1%)</w:t>
            </w:r>
          </w:p>
        </w:tc>
        <w:tc>
          <w:tcPr>
            <w:tcW w:w="1843" w:type="dxa"/>
            <w:noWrap/>
            <w:hideMark/>
          </w:tcPr>
          <w:p w14:paraId="74538AE1"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47 (28.1%)</w:t>
            </w:r>
          </w:p>
        </w:tc>
        <w:tc>
          <w:tcPr>
            <w:tcW w:w="1417" w:type="dxa"/>
            <w:noWrap/>
            <w:hideMark/>
          </w:tcPr>
          <w:p w14:paraId="4403C257"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99 (28.0%)</w:t>
            </w:r>
          </w:p>
        </w:tc>
      </w:tr>
      <w:tr w:rsidR="005867BD" w:rsidRPr="00734942" w14:paraId="44F3B020" w14:textId="77777777" w:rsidTr="00F86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noWrap/>
            <w:hideMark/>
          </w:tcPr>
          <w:p w14:paraId="33EC4C8A"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41-64</w:t>
            </w:r>
          </w:p>
        </w:tc>
        <w:tc>
          <w:tcPr>
            <w:tcW w:w="1843" w:type="dxa"/>
            <w:noWrap/>
            <w:hideMark/>
          </w:tcPr>
          <w:p w14:paraId="0B411570"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77 (41.6%)</w:t>
            </w:r>
          </w:p>
        </w:tc>
        <w:tc>
          <w:tcPr>
            <w:tcW w:w="1843" w:type="dxa"/>
            <w:noWrap/>
            <w:hideMark/>
          </w:tcPr>
          <w:p w14:paraId="5AE03237"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72 (43.1%)</w:t>
            </w:r>
          </w:p>
        </w:tc>
        <w:tc>
          <w:tcPr>
            <w:tcW w:w="1417" w:type="dxa"/>
            <w:noWrap/>
            <w:hideMark/>
          </w:tcPr>
          <w:p w14:paraId="65F36196" w14:textId="77777777" w:rsidR="005867BD" w:rsidRPr="00734942" w:rsidRDefault="005867BD" w:rsidP="00F86021">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149 (42.2%)</w:t>
            </w:r>
          </w:p>
        </w:tc>
      </w:tr>
      <w:tr w:rsidR="005867BD" w:rsidRPr="00734942" w14:paraId="2A8A371E" w14:textId="77777777" w:rsidTr="00F86021">
        <w:tc>
          <w:tcPr>
            <w:cnfStyle w:val="001000000000" w:firstRow="0" w:lastRow="0" w:firstColumn="1" w:lastColumn="0" w:oddVBand="0" w:evenVBand="0" w:oddHBand="0" w:evenHBand="0" w:firstRowFirstColumn="0" w:firstRowLastColumn="0" w:lastRowFirstColumn="0" w:lastRowLastColumn="0"/>
            <w:tcW w:w="3544" w:type="dxa"/>
            <w:noWrap/>
            <w:hideMark/>
          </w:tcPr>
          <w:p w14:paraId="53B8A666" w14:textId="77777777" w:rsidR="005867BD" w:rsidRPr="00A067C2" w:rsidRDefault="005867BD" w:rsidP="00F86021">
            <w:pPr>
              <w:ind w:left="360"/>
              <w:rPr>
                <w:rFonts w:eastAsia="Times New Roman"/>
                <w:sz w:val="18"/>
                <w:szCs w:val="18"/>
                <w:lang w:eastAsia="en-GB"/>
              </w:rPr>
            </w:pPr>
            <w:r w:rsidRPr="00A067C2">
              <w:rPr>
                <w:rFonts w:eastAsia="Times New Roman"/>
                <w:sz w:val="18"/>
                <w:szCs w:val="18"/>
                <w:lang w:eastAsia="en-GB"/>
              </w:rPr>
              <w:t>65+</w:t>
            </w:r>
          </w:p>
        </w:tc>
        <w:tc>
          <w:tcPr>
            <w:tcW w:w="1843" w:type="dxa"/>
            <w:noWrap/>
            <w:hideMark/>
          </w:tcPr>
          <w:p w14:paraId="6DD46AAC"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20 (10.8%)</w:t>
            </w:r>
          </w:p>
        </w:tc>
        <w:tc>
          <w:tcPr>
            <w:tcW w:w="1843" w:type="dxa"/>
            <w:noWrap/>
            <w:hideMark/>
          </w:tcPr>
          <w:p w14:paraId="090D3D9A"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24 (14.4%)</w:t>
            </w:r>
          </w:p>
        </w:tc>
        <w:tc>
          <w:tcPr>
            <w:tcW w:w="1417" w:type="dxa"/>
            <w:noWrap/>
            <w:hideMark/>
          </w:tcPr>
          <w:p w14:paraId="5C00ECD3" w14:textId="77777777" w:rsidR="005867BD" w:rsidRPr="00734942" w:rsidRDefault="005867BD" w:rsidP="00F86021">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en-GB"/>
              </w:rPr>
            </w:pPr>
            <w:r w:rsidRPr="00734942">
              <w:rPr>
                <w:rFonts w:eastAsia="Times New Roman" w:cstheme="minorHAnsi"/>
                <w:sz w:val="18"/>
                <w:szCs w:val="18"/>
                <w:lang w:eastAsia="en-GB"/>
              </w:rPr>
              <w:t>45 (12.8%)</w:t>
            </w:r>
          </w:p>
        </w:tc>
      </w:tr>
    </w:tbl>
    <w:p w14:paraId="137132EC" w14:textId="77777777" w:rsidR="005867BD" w:rsidRPr="00734942" w:rsidRDefault="005867BD" w:rsidP="005867BD">
      <w:pPr>
        <w:rPr>
          <w:sz w:val="18"/>
          <w:szCs w:val="18"/>
        </w:rPr>
      </w:pPr>
      <w:r w:rsidRPr="00785031">
        <w:rPr>
          <w:sz w:val="18"/>
          <w:szCs w:val="18"/>
          <w:vertAlign w:val="superscript"/>
        </w:rPr>
        <w:t>a</w:t>
      </w:r>
      <w:r w:rsidRPr="00734942">
        <w:rPr>
          <w:sz w:val="18"/>
          <w:szCs w:val="18"/>
        </w:rPr>
        <w:t xml:space="preserve"> Confirmed diagnosis with serology test, endoscopy, or biopsy.</w:t>
      </w:r>
    </w:p>
    <w:p w14:paraId="550C45A4" w14:textId="77777777" w:rsidR="00E63CBE" w:rsidRDefault="00E63CBE">
      <w:r>
        <w:br w:type="page"/>
      </w:r>
    </w:p>
    <w:p w14:paraId="0315AC62" w14:textId="4E02F7CC" w:rsidR="00B21280" w:rsidRDefault="00B21280" w:rsidP="00B21280">
      <w:pPr>
        <w:pStyle w:val="Heading2"/>
      </w:pPr>
      <w:bookmarkStart w:id="508" w:name="_Toc99539950"/>
      <w:r>
        <w:lastRenderedPageBreak/>
        <w:t>Appendix 23</w:t>
      </w:r>
      <w:bookmarkEnd w:id="508"/>
    </w:p>
    <w:p w14:paraId="69861017" w14:textId="77777777" w:rsidR="00B21280" w:rsidRPr="00B21280" w:rsidRDefault="00B21280" w:rsidP="000526F1">
      <w:pPr>
        <w:spacing w:after="0"/>
      </w:pPr>
    </w:p>
    <w:p w14:paraId="01AB8ECD" w14:textId="6090089A" w:rsidR="00B21280" w:rsidRDefault="00B21280" w:rsidP="00B21280">
      <w:pPr>
        <w:pStyle w:val="Caption"/>
      </w:pPr>
      <w:bookmarkStart w:id="509" w:name="_Ref95380979"/>
      <w:bookmarkStart w:id="510" w:name="_Toc99720772"/>
      <w:r w:rsidRPr="00734942">
        <w:t xml:space="preserve">Table </w:t>
      </w:r>
      <w:r w:rsidRPr="00734942">
        <w:fldChar w:fldCharType="begin"/>
      </w:r>
      <w:r w:rsidRPr="00734942">
        <w:instrText>SEQ Table \* ARABIC</w:instrText>
      </w:r>
      <w:r w:rsidRPr="00734942">
        <w:fldChar w:fldCharType="separate"/>
      </w:r>
      <w:r w:rsidR="008B5583">
        <w:rPr>
          <w:noProof/>
        </w:rPr>
        <w:t>61</w:t>
      </w:r>
      <w:r w:rsidRPr="00734942">
        <w:fldChar w:fldCharType="end"/>
      </w:r>
      <w:bookmarkEnd w:id="509"/>
      <w:r w:rsidRPr="00734942">
        <w:t xml:space="preserve"> Themes and sub-themes within the open text answers</w:t>
      </w:r>
      <w:bookmarkEnd w:id="510"/>
    </w:p>
    <w:p w14:paraId="2D920698" w14:textId="77777777" w:rsidR="00B21280" w:rsidRPr="00345E39" w:rsidRDefault="00B21280" w:rsidP="00B21280">
      <w:pPr>
        <w:rPr>
          <w:sz w:val="18"/>
          <w:szCs w:val="18"/>
        </w:rPr>
      </w:pPr>
      <w:r w:rsidRPr="00345E39">
        <w:rPr>
          <w:sz w:val="18"/>
          <w:szCs w:val="18"/>
        </w:rPr>
        <w:t>GFD: gluten-free die</w:t>
      </w:r>
      <w:r>
        <w:rPr>
          <w:sz w:val="18"/>
          <w:szCs w:val="18"/>
        </w:rPr>
        <w:t>t, CD: coeliac disease</w:t>
      </w:r>
    </w:p>
    <w:tbl>
      <w:tblPr>
        <w:tblW w:w="99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0"/>
        <w:gridCol w:w="988"/>
        <w:gridCol w:w="1066"/>
        <w:gridCol w:w="991"/>
        <w:gridCol w:w="1270"/>
      </w:tblGrid>
      <w:tr w:rsidR="00B21280" w:rsidRPr="00950AD5" w14:paraId="51A68706" w14:textId="77777777" w:rsidTr="00F86021">
        <w:trPr>
          <w:trHeight w:val="315"/>
          <w:tblHeader/>
        </w:trPr>
        <w:tc>
          <w:tcPr>
            <w:tcW w:w="5600" w:type="dxa"/>
            <w:vMerge w:val="restart"/>
            <w:tcBorders>
              <w:top w:val="single" w:sz="6" w:space="0" w:color="auto"/>
              <w:left w:val="single" w:sz="6" w:space="0" w:color="auto"/>
              <w:right w:val="nil"/>
            </w:tcBorders>
            <w:shd w:val="clear" w:color="auto" w:fill="FFFFFF"/>
            <w:hideMark/>
          </w:tcPr>
          <w:p w14:paraId="5613D0E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p>
          <w:p w14:paraId="514337E4" w14:textId="77777777" w:rsidR="00B21280" w:rsidRPr="00460B0B"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460B0B">
              <w:rPr>
                <w:rStyle w:val="normaltextrun"/>
                <w:rFonts w:asciiTheme="minorHAnsi" w:eastAsiaTheme="majorEastAsia" w:hAnsiTheme="minorHAnsi" w:cstheme="minorHAnsi"/>
                <w:b/>
                <w:bCs/>
                <w:color w:val="000000"/>
                <w:sz w:val="18"/>
                <w:szCs w:val="18"/>
              </w:rPr>
              <w:t>Themes and subthemes</w:t>
            </w:r>
          </w:p>
        </w:tc>
        <w:tc>
          <w:tcPr>
            <w:tcW w:w="988" w:type="dxa"/>
            <w:tcBorders>
              <w:top w:val="single" w:sz="6" w:space="0" w:color="auto"/>
              <w:left w:val="nil"/>
              <w:bottom w:val="single" w:sz="6" w:space="0" w:color="7F7F7F"/>
              <w:right w:val="nil"/>
            </w:tcBorders>
            <w:shd w:val="clear" w:color="auto" w:fill="FFFFFF"/>
            <w:hideMark/>
          </w:tcPr>
          <w:p w14:paraId="1AC40238"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CD (%)</w:t>
            </w:r>
          </w:p>
        </w:tc>
        <w:tc>
          <w:tcPr>
            <w:tcW w:w="1066" w:type="dxa"/>
            <w:tcBorders>
              <w:top w:val="single" w:sz="6" w:space="0" w:color="auto"/>
              <w:left w:val="nil"/>
              <w:bottom w:val="single" w:sz="6" w:space="0" w:color="7F7F7F"/>
              <w:right w:val="nil"/>
            </w:tcBorders>
            <w:shd w:val="clear" w:color="auto" w:fill="FFFFFF"/>
            <w:hideMark/>
          </w:tcPr>
          <w:p w14:paraId="6C95D06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N</w:t>
            </w:r>
            <w:r>
              <w:rPr>
                <w:rStyle w:val="normaltextrun"/>
                <w:rFonts w:asciiTheme="minorHAnsi" w:eastAsiaTheme="majorEastAsia" w:hAnsiTheme="minorHAnsi" w:cstheme="minorHAnsi"/>
                <w:color w:val="000000"/>
                <w:sz w:val="18"/>
                <w:szCs w:val="18"/>
              </w:rPr>
              <w:t>o</w:t>
            </w:r>
            <w:r>
              <w:rPr>
                <w:rStyle w:val="normaltextrun"/>
                <w:rFonts w:eastAsiaTheme="majorEastAsia" w:cstheme="minorHAnsi"/>
                <w:color w:val="000000"/>
                <w:sz w:val="18"/>
                <w:szCs w:val="18"/>
              </w:rPr>
              <w:t xml:space="preserve"> </w:t>
            </w:r>
            <w:r w:rsidRPr="00950AD5">
              <w:rPr>
                <w:rStyle w:val="normaltextrun"/>
                <w:rFonts w:asciiTheme="minorHAnsi" w:eastAsiaTheme="majorEastAsia" w:hAnsiTheme="minorHAnsi" w:cstheme="minorHAnsi"/>
                <w:color w:val="000000"/>
                <w:sz w:val="18"/>
                <w:szCs w:val="18"/>
              </w:rPr>
              <w:t>CD (%)</w:t>
            </w:r>
          </w:p>
        </w:tc>
        <w:tc>
          <w:tcPr>
            <w:tcW w:w="991" w:type="dxa"/>
            <w:tcBorders>
              <w:top w:val="single" w:sz="6" w:space="0" w:color="auto"/>
              <w:left w:val="nil"/>
              <w:bottom w:val="single" w:sz="6" w:space="0" w:color="7F7F7F"/>
              <w:right w:val="nil"/>
            </w:tcBorders>
            <w:shd w:val="clear" w:color="auto" w:fill="FFFFFF"/>
            <w:hideMark/>
          </w:tcPr>
          <w:p w14:paraId="4A68996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Free text respondents</w:t>
            </w:r>
            <w:r w:rsidRPr="00950AD5">
              <w:rPr>
                <w:rStyle w:val="eop"/>
                <w:rFonts w:asciiTheme="minorHAnsi" w:hAnsiTheme="minorHAnsi" w:cstheme="minorHAnsi"/>
                <w:color w:val="000000"/>
                <w:sz w:val="18"/>
                <w:szCs w:val="18"/>
              </w:rPr>
              <w:t> </w:t>
            </w:r>
          </w:p>
          <w:p w14:paraId="29D278E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w:t>
            </w:r>
          </w:p>
        </w:tc>
        <w:tc>
          <w:tcPr>
            <w:tcW w:w="1270" w:type="dxa"/>
            <w:tcBorders>
              <w:top w:val="single" w:sz="6" w:space="0" w:color="auto"/>
              <w:left w:val="nil"/>
              <w:bottom w:val="single" w:sz="6" w:space="0" w:color="7F7F7F"/>
              <w:right w:val="single" w:sz="6" w:space="0" w:color="auto"/>
            </w:tcBorders>
            <w:shd w:val="clear" w:color="auto" w:fill="FFFFFF"/>
            <w:hideMark/>
          </w:tcPr>
          <w:p w14:paraId="0A7550B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Total survey respondents (%)</w:t>
            </w:r>
            <w:r w:rsidRPr="00950AD5">
              <w:rPr>
                <w:rStyle w:val="eop"/>
                <w:rFonts w:asciiTheme="minorHAnsi" w:hAnsiTheme="minorHAnsi" w:cstheme="minorHAnsi"/>
                <w:color w:val="000000"/>
                <w:sz w:val="18"/>
                <w:szCs w:val="18"/>
              </w:rPr>
              <w:t> </w:t>
            </w:r>
          </w:p>
        </w:tc>
      </w:tr>
      <w:tr w:rsidR="00B21280" w:rsidRPr="00950AD5" w14:paraId="01CA4ADB" w14:textId="77777777" w:rsidTr="00F86021">
        <w:trPr>
          <w:trHeight w:val="315"/>
        </w:trPr>
        <w:tc>
          <w:tcPr>
            <w:tcW w:w="5600" w:type="dxa"/>
            <w:vMerge/>
            <w:tcBorders>
              <w:left w:val="single" w:sz="6" w:space="0" w:color="auto"/>
              <w:bottom w:val="single" w:sz="4" w:space="0" w:color="auto"/>
              <w:right w:val="single" w:sz="6" w:space="0" w:color="7F7F7F"/>
            </w:tcBorders>
            <w:shd w:val="clear" w:color="auto" w:fill="FFFFFF"/>
            <w:hideMark/>
          </w:tcPr>
          <w:p w14:paraId="7C96C56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p>
        </w:tc>
        <w:tc>
          <w:tcPr>
            <w:tcW w:w="988" w:type="dxa"/>
            <w:tcBorders>
              <w:top w:val="nil"/>
              <w:left w:val="nil"/>
              <w:bottom w:val="single" w:sz="4" w:space="0" w:color="auto"/>
              <w:right w:val="nil"/>
            </w:tcBorders>
            <w:shd w:val="clear" w:color="auto" w:fill="F2F2F2"/>
            <w:hideMark/>
          </w:tcPr>
          <w:p w14:paraId="3F1FBA3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(n=244)</w:t>
            </w:r>
          </w:p>
        </w:tc>
        <w:tc>
          <w:tcPr>
            <w:tcW w:w="1066" w:type="dxa"/>
            <w:tcBorders>
              <w:top w:val="nil"/>
              <w:left w:val="nil"/>
              <w:bottom w:val="single" w:sz="4" w:space="0" w:color="auto"/>
              <w:right w:val="nil"/>
            </w:tcBorders>
            <w:shd w:val="clear" w:color="auto" w:fill="F2F2F2"/>
            <w:hideMark/>
          </w:tcPr>
          <w:p w14:paraId="3F369F13"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(n=223) </w:t>
            </w:r>
            <w:r w:rsidRPr="00950AD5">
              <w:rPr>
                <w:rStyle w:val="eop"/>
                <w:rFonts w:asciiTheme="minorHAnsi" w:hAnsiTheme="minorHAnsi" w:cstheme="minorHAnsi"/>
                <w:color w:val="000000"/>
                <w:sz w:val="18"/>
                <w:szCs w:val="18"/>
              </w:rPr>
              <w:t> </w:t>
            </w:r>
          </w:p>
        </w:tc>
        <w:tc>
          <w:tcPr>
            <w:tcW w:w="991" w:type="dxa"/>
            <w:tcBorders>
              <w:top w:val="nil"/>
              <w:left w:val="nil"/>
              <w:bottom w:val="single" w:sz="4" w:space="0" w:color="auto"/>
              <w:right w:val="nil"/>
            </w:tcBorders>
            <w:shd w:val="clear" w:color="auto" w:fill="F2F2F2"/>
            <w:hideMark/>
          </w:tcPr>
          <w:p w14:paraId="2D817B5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(n=353)</w:t>
            </w:r>
          </w:p>
        </w:tc>
        <w:tc>
          <w:tcPr>
            <w:tcW w:w="1270" w:type="dxa"/>
            <w:tcBorders>
              <w:top w:val="single" w:sz="6" w:space="0" w:color="7F7F7F"/>
              <w:left w:val="nil"/>
              <w:bottom w:val="single" w:sz="4" w:space="0" w:color="auto"/>
              <w:right w:val="single" w:sz="6" w:space="0" w:color="auto"/>
            </w:tcBorders>
            <w:shd w:val="clear" w:color="auto" w:fill="F2F2F2"/>
            <w:hideMark/>
          </w:tcPr>
          <w:p w14:paraId="5B6661F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(n=468)</w:t>
            </w:r>
          </w:p>
        </w:tc>
      </w:tr>
      <w:tr w:rsidR="00B21280" w:rsidRPr="00950AD5" w14:paraId="3543F97E" w14:textId="77777777" w:rsidTr="00F86021">
        <w:trPr>
          <w:trHeight w:val="300"/>
        </w:trPr>
        <w:tc>
          <w:tcPr>
            <w:tcW w:w="99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8A6778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Pr>
                <w:rStyle w:val="normaltextrun"/>
                <w:rFonts w:asciiTheme="minorHAnsi" w:eastAsiaTheme="majorEastAsia" w:hAnsiTheme="minorHAnsi" w:cstheme="minorHAnsi"/>
                <w:b/>
                <w:bCs/>
                <w:color w:val="000000"/>
                <w:sz w:val="18"/>
                <w:szCs w:val="18"/>
              </w:rPr>
              <w:t xml:space="preserve">  </w:t>
            </w:r>
            <w:r w:rsidRPr="00834034">
              <w:rPr>
                <w:rStyle w:val="normaltextrun"/>
                <w:rFonts w:asciiTheme="minorHAnsi" w:eastAsiaTheme="majorEastAsia" w:hAnsiTheme="minorHAnsi" w:cstheme="minorHAnsi"/>
                <w:b/>
                <w:bCs/>
                <w:color w:val="000000"/>
                <w:sz w:val="18"/>
                <w:szCs w:val="18"/>
              </w:rPr>
              <w:t>Factors p</w:t>
            </w:r>
            <w:r w:rsidRPr="00950AD5">
              <w:rPr>
                <w:rStyle w:val="normaltextrun"/>
                <w:rFonts w:asciiTheme="minorHAnsi" w:eastAsiaTheme="majorEastAsia" w:hAnsiTheme="minorHAnsi" w:cstheme="minorHAnsi"/>
                <w:b/>
                <w:bCs/>
                <w:color w:val="000000"/>
                <w:sz w:val="18"/>
                <w:szCs w:val="18"/>
              </w:rPr>
              <w:t>rompting</w:t>
            </w:r>
            <w:r w:rsidRPr="00950AD5">
              <w:rPr>
                <w:rStyle w:val="normaltextrun"/>
                <w:rFonts w:asciiTheme="minorHAnsi" w:eastAsiaTheme="majorEastAsia" w:hAnsiTheme="minorHAnsi" w:cstheme="minorHAnsi"/>
                <w:b/>
                <w:color w:val="000000"/>
                <w:sz w:val="18"/>
                <w:szCs w:val="18"/>
              </w:rPr>
              <w:t xml:space="preserve"> CD diagnosis</w:t>
            </w:r>
          </w:p>
        </w:tc>
      </w:tr>
      <w:tr w:rsidR="00B21280" w:rsidRPr="00950AD5" w14:paraId="4F8A1349" w14:textId="77777777" w:rsidTr="00F86021">
        <w:trPr>
          <w:trHeight w:val="315"/>
        </w:trPr>
        <w:tc>
          <w:tcPr>
            <w:tcW w:w="5600" w:type="dxa"/>
            <w:tcBorders>
              <w:top w:val="single" w:sz="4" w:space="0" w:color="auto"/>
              <w:left w:val="single" w:sz="6" w:space="0" w:color="auto"/>
              <w:bottom w:val="nil"/>
              <w:right w:val="single" w:sz="6" w:space="0" w:color="7F7F7F"/>
            </w:tcBorders>
            <w:shd w:val="clear" w:color="auto" w:fill="FFFFFF"/>
            <w:hideMark/>
          </w:tcPr>
          <w:p w14:paraId="0BC72EE5"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Osteoporosis would prompt a desire for testing</w:t>
            </w:r>
          </w:p>
        </w:tc>
        <w:tc>
          <w:tcPr>
            <w:tcW w:w="988" w:type="dxa"/>
            <w:tcBorders>
              <w:top w:val="single" w:sz="4" w:space="0" w:color="auto"/>
              <w:left w:val="nil"/>
              <w:bottom w:val="nil"/>
              <w:right w:val="nil"/>
            </w:tcBorders>
            <w:shd w:val="clear" w:color="auto" w:fill="F2F2F2"/>
            <w:hideMark/>
          </w:tcPr>
          <w:p w14:paraId="735EABAE"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21 (8.6)</w:t>
            </w:r>
            <w:r w:rsidRPr="00950AD5">
              <w:rPr>
                <w:rStyle w:val="eop"/>
                <w:rFonts w:asciiTheme="minorHAnsi" w:hAnsiTheme="minorHAnsi" w:cstheme="minorHAnsi"/>
                <w:color w:val="000000"/>
                <w:sz w:val="18"/>
                <w:szCs w:val="18"/>
              </w:rPr>
              <w:t> </w:t>
            </w:r>
          </w:p>
        </w:tc>
        <w:tc>
          <w:tcPr>
            <w:tcW w:w="1066" w:type="dxa"/>
            <w:tcBorders>
              <w:top w:val="single" w:sz="4" w:space="0" w:color="auto"/>
              <w:left w:val="nil"/>
              <w:bottom w:val="nil"/>
              <w:right w:val="nil"/>
            </w:tcBorders>
            <w:shd w:val="clear" w:color="auto" w:fill="F2F2F2"/>
            <w:hideMark/>
          </w:tcPr>
          <w:p w14:paraId="11ED1DA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23 (10.3)</w:t>
            </w:r>
            <w:r w:rsidRPr="00950AD5">
              <w:rPr>
                <w:rStyle w:val="eop"/>
                <w:rFonts w:asciiTheme="minorHAnsi" w:hAnsiTheme="minorHAnsi" w:cstheme="minorHAnsi"/>
                <w:color w:val="000000"/>
                <w:sz w:val="18"/>
                <w:szCs w:val="18"/>
              </w:rPr>
              <w:t> </w:t>
            </w:r>
          </w:p>
        </w:tc>
        <w:tc>
          <w:tcPr>
            <w:tcW w:w="991" w:type="dxa"/>
            <w:tcBorders>
              <w:top w:val="single" w:sz="4" w:space="0" w:color="auto"/>
              <w:left w:val="nil"/>
              <w:bottom w:val="nil"/>
              <w:right w:val="nil"/>
            </w:tcBorders>
            <w:shd w:val="clear" w:color="auto" w:fill="F2F2F2"/>
            <w:hideMark/>
          </w:tcPr>
          <w:p w14:paraId="5097A22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44 (12.5)</w:t>
            </w:r>
            <w:r w:rsidRPr="00950AD5">
              <w:rPr>
                <w:rStyle w:val="eop"/>
                <w:rFonts w:asciiTheme="minorHAnsi" w:hAnsiTheme="minorHAnsi" w:cstheme="minorHAnsi"/>
                <w:color w:val="000000"/>
                <w:sz w:val="18"/>
                <w:szCs w:val="18"/>
              </w:rPr>
              <w:t> </w:t>
            </w:r>
          </w:p>
        </w:tc>
        <w:tc>
          <w:tcPr>
            <w:tcW w:w="1270" w:type="dxa"/>
            <w:tcBorders>
              <w:top w:val="single" w:sz="4" w:space="0" w:color="auto"/>
              <w:left w:val="nil"/>
              <w:bottom w:val="nil"/>
              <w:right w:val="single" w:sz="6" w:space="0" w:color="auto"/>
            </w:tcBorders>
            <w:shd w:val="clear" w:color="auto" w:fill="F2F2F2"/>
            <w:hideMark/>
          </w:tcPr>
          <w:p w14:paraId="6434902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44 (9.4)</w:t>
            </w:r>
            <w:r w:rsidRPr="00950AD5">
              <w:rPr>
                <w:rStyle w:val="eop"/>
                <w:rFonts w:asciiTheme="minorHAnsi" w:hAnsiTheme="minorHAnsi" w:cstheme="minorHAnsi"/>
                <w:color w:val="000000"/>
                <w:sz w:val="18"/>
                <w:szCs w:val="18"/>
              </w:rPr>
              <w:t> </w:t>
            </w:r>
          </w:p>
        </w:tc>
      </w:tr>
      <w:tr w:rsidR="00B21280" w:rsidRPr="00950AD5" w14:paraId="401EBE9E" w14:textId="77777777" w:rsidTr="00F86021">
        <w:trPr>
          <w:trHeight w:val="345"/>
        </w:trPr>
        <w:tc>
          <w:tcPr>
            <w:tcW w:w="5600" w:type="dxa"/>
            <w:tcBorders>
              <w:top w:val="nil"/>
              <w:left w:val="single" w:sz="6" w:space="0" w:color="auto"/>
              <w:bottom w:val="nil"/>
              <w:right w:val="single" w:sz="6" w:space="0" w:color="7F7F7F"/>
            </w:tcBorders>
            <w:shd w:val="clear" w:color="auto" w:fill="FFFFFF"/>
            <w:hideMark/>
          </w:tcPr>
          <w:p w14:paraId="7F12B46D"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Would look into CD diagnosis immediately and rule it out early if it was suggested  </w:t>
            </w:r>
            <w:r w:rsidRPr="00950AD5">
              <w:rPr>
                <w:rStyle w:val="eop"/>
                <w:rFonts w:asciiTheme="minorHAnsi" w:hAnsiTheme="minorHAnsi" w:cstheme="minorHAnsi"/>
                <w:color w:val="000000"/>
                <w:sz w:val="18"/>
                <w:szCs w:val="18"/>
              </w:rPr>
              <w:t> </w:t>
            </w:r>
          </w:p>
        </w:tc>
        <w:tc>
          <w:tcPr>
            <w:tcW w:w="988" w:type="dxa"/>
            <w:tcBorders>
              <w:top w:val="nil"/>
              <w:left w:val="nil"/>
              <w:bottom w:val="nil"/>
              <w:right w:val="nil"/>
            </w:tcBorders>
            <w:shd w:val="clear" w:color="auto" w:fill="auto"/>
            <w:hideMark/>
          </w:tcPr>
          <w:p w14:paraId="0BA0C2C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28 (11.5)</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315DAFB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31 (13.9)</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722A4A9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59 (16.7)</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5B7C06D3"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59 (12.6)</w:t>
            </w:r>
            <w:r w:rsidRPr="00950AD5">
              <w:rPr>
                <w:rStyle w:val="eop"/>
                <w:rFonts w:asciiTheme="minorHAnsi" w:hAnsiTheme="minorHAnsi" w:cstheme="minorHAnsi"/>
                <w:color w:val="000000"/>
                <w:sz w:val="18"/>
                <w:szCs w:val="18"/>
              </w:rPr>
              <w:t> </w:t>
            </w:r>
          </w:p>
        </w:tc>
      </w:tr>
      <w:tr w:rsidR="00B21280" w:rsidRPr="00950AD5" w14:paraId="10F3AC7E" w14:textId="77777777" w:rsidTr="00F86021">
        <w:trPr>
          <w:trHeight w:val="345"/>
        </w:trPr>
        <w:tc>
          <w:tcPr>
            <w:tcW w:w="5600" w:type="dxa"/>
            <w:tcBorders>
              <w:top w:val="nil"/>
              <w:left w:val="single" w:sz="6" w:space="0" w:color="auto"/>
              <w:bottom w:val="nil"/>
              <w:right w:val="single" w:sz="6" w:space="0" w:color="7F7F7F"/>
            </w:tcBorders>
            <w:shd w:val="clear" w:color="auto" w:fill="FFFFFF"/>
            <w:hideMark/>
          </w:tcPr>
          <w:p w14:paraId="768397CD"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Having an official diagnosis is important </w:t>
            </w:r>
            <w:r w:rsidRPr="00950AD5">
              <w:rPr>
                <w:rStyle w:val="eop"/>
                <w:rFonts w:asciiTheme="minorHAnsi" w:hAnsiTheme="minorHAnsi" w:cstheme="minorHAnsi"/>
                <w:color w:val="000000"/>
                <w:sz w:val="18"/>
                <w:szCs w:val="18"/>
              </w:rPr>
              <w:t> </w:t>
            </w:r>
          </w:p>
        </w:tc>
        <w:tc>
          <w:tcPr>
            <w:tcW w:w="988" w:type="dxa"/>
            <w:tcBorders>
              <w:top w:val="nil"/>
              <w:left w:val="nil"/>
              <w:bottom w:val="nil"/>
              <w:right w:val="nil"/>
            </w:tcBorders>
            <w:shd w:val="clear" w:color="auto" w:fill="F2F2F2"/>
            <w:hideMark/>
          </w:tcPr>
          <w:p w14:paraId="31637C9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38 (15.6)</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50AFCD6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11 (4.9)</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0368B242"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49 (13.9)</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628B316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49 (10.5)</w:t>
            </w:r>
            <w:r w:rsidRPr="00950AD5">
              <w:rPr>
                <w:rStyle w:val="eop"/>
                <w:rFonts w:asciiTheme="minorHAnsi" w:hAnsiTheme="minorHAnsi" w:cstheme="minorHAnsi"/>
                <w:color w:val="000000"/>
                <w:sz w:val="18"/>
                <w:szCs w:val="18"/>
              </w:rPr>
              <w:t> </w:t>
            </w:r>
          </w:p>
        </w:tc>
      </w:tr>
      <w:tr w:rsidR="00B21280" w:rsidRPr="00950AD5" w14:paraId="7E0D6AC8" w14:textId="77777777" w:rsidTr="00F86021">
        <w:trPr>
          <w:trHeight w:val="315"/>
        </w:trPr>
        <w:tc>
          <w:tcPr>
            <w:tcW w:w="5600" w:type="dxa"/>
            <w:tcBorders>
              <w:top w:val="nil"/>
              <w:left w:val="single" w:sz="6" w:space="0" w:color="auto"/>
              <w:bottom w:val="nil"/>
              <w:right w:val="single" w:sz="6" w:space="0" w:color="7F7F7F"/>
            </w:tcBorders>
            <w:shd w:val="clear" w:color="auto" w:fill="FFFFFF"/>
            <w:hideMark/>
          </w:tcPr>
          <w:p w14:paraId="6F2D1059"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Future risks prompt seeking or continuing testing for diagnosis </w:t>
            </w:r>
            <w:r w:rsidRPr="00950AD5">
              <w:rPr>
                <w:rStyle w:val="eop"/>
                <w:rFonts w:asciiTheme="minorHAnsi" w:hAnsiTheme="minorHAnsi" w:cstheme="minorHAnsi"/>
                <w:color w:val="000000"/>
                <w:sz w:val="18"/>
                <w:szCs w:val="18"/>
              </w:rPr>
              <w:t> </w:t>
            </w:r>
          </w:p>
        </w:tc>
        <w:tc>
          <w:tcPr>
            <w:tcW w:w="988" w:type="dxa"/>
            <w:tcBorders>
              <w:top w:val="nil"/>
              <w:left w:val="nil"/>
              <w:bottom w:val="nil"/>
              <w:right w:val="nil"/>
            </w:tcBorders>
            <w:shd w:val="clear" w:color="auto" w:fill="auto"/>
            <w:hideMark/>
          </w:tcPr>
          <w:p w14:paraId="2ED9177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20 (8.2)</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5966619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17 (7.6)</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47BA8F28"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37 (10.5)</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5B12DF4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37 (7.9)</w:t>
            </w:r>
            <w:r w:rsidRPr="00950AD5">
              <w:rPr>
                <w:rStyle w:val="eop"/>
                <w:rFonts w:asciiTheme="minorHAnsi" w:hAnsiTheme="minorHAnsi" w:cstheme="minorHAnsi"/>
                <w:color w:val="000000"/>
                <w:sz w:val="18"/>
                <w:szCs w:val="18"/>
              </w:rPr>
              <w:t> </w:t>
            </w:r>
          </w:p>
        </w:tc>
      </w:tr>
      <w:tr w:rsidR="00B21280" w:rsidRPr="00950AD5" w14:paraId="0AAA9210" w14:textId="77777777" w:rsidTr="00F86021">
        <w:trPr>
          <w:trHeight w:val="315"/>
        </w:trPr>
        <w:tc>
          <w:tcPr>
            <w:tcW w:w="5600" w:type="dxa"/>
            <w:tcBorders>
              <w:top w:val="nil"/>
              <w:left w:val="single" w:sz="6" w:space="0" w:color="auto"/>
              <w:bottom w:val="nil"/>
              <w:right w:val="single" w:sz="6" w:space="0" w:color="7F7F7F"/>
            </w:tcBorders>
            <w:shd w:val="clear" w:color="auto" w:fill="FFFFFF"/>
            <w:hideMark/>
          </w:tcPr>
          <w:p w14:paraId="63C66461"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Symptoms decide or prompted getting or continuing seeking diagnosis </w:t>
            </w:r>
            <w:r w:rsidRPr="00950AD5">
              <w:rPr>
                <w:rStyle w:val="eop"/>
                <w:rFonts w:asciiTheme="minorHAnsi" w:hAnsiTheme="minorHAnsi" w:cstheme="minorHAnsi"/>
                <w:color w:val="000000"/>
                <w:sz w:val="18"/>
                <w:szCs w:val="18"/>
              </w:rPr>
              <w:t> </w:t>
            </w:r>
          </w:p>
        </w:tc>
        <w:tc>
          <w:tcPr>
            <w:tcW w:w="988" w:type="dxa"/>
            <w:tcBorders>
              <w:top w:val="nil"/>
              <w:left w:val="nil"/>
              <w:bottom w:val="nil"/>
              <w:right w:val="nil"/>
            </w:tcBorders>
            <w:shd w:val="clear" w:color="auto" w:fill="F2F2F2"/>
            <w:hideMark/>
          </w:tcPr>
          <w:p w14:paraId="4D05C27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16 (6.6)</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7102384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13 (5.8)</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7D35EEF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29 (8.2)</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191D0DE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29 (6.2)</w:t>
            </w:r>
            <w:r w:rsidRPr="00950AD5">
              <w:rPr>
                <w:rStyle w:val="eop"/>
                <w:rFonts w:asciiTheme="minorHAnsi" w:hAnsiTheme="minorHAnsi" w:cstheme="minorHAnsi"/>
                <w:color w:val="000000"/>
                <w:sz w:val="18"/>
                <w:szCs w:val="18"/>
              </w:rPr>
              <w:t> </w:t>
            </w:r>
          </w:p>
        </w:tc>
      </w:tr>
      <w:tr w:rsidR="00B21280" w:rsidRPr="00950AD5" w14:paraId="6D44A40C"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4CB2260F"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Family impacts looking into CD diagnosis </w:t>
            </w:r>
            <w:r w:rsidRPr="00950AD5">
              <w:rPr>
                <w:rStyle w:val="eop"/>
                <w:rFonts w:asciiTheme="minorHAnsi" w:hAnsiTheme="minorHAnsi" w:cstheme="minorHAnsi"/>
                <w:color w:val="000000"/>
                <w:sz w:val="18"/>
                <w:szCs w:val="18"/>
              </w:rPr>
              <w:t> </w:t>
            </w:r>
          </w:p>
        </w:tc>
        <w:tc>
          <w:tcPr>
            <w:tcW w:w="988" w:type="dxa"/>
            <w:tcBorders>
              <w:top w:val="nil"/>
              <w:left w:val="nil"/>
              <w:bottom w:val="nil"/>
              <w:right w:val="nil"/>
            </w:tcBorders>
            <w:shd w:val="clear" w:color="auto" w:fill="auto"/>
            <w:hideMark/>
          </w:tcPr>
          <w:p w14:paraId="696AFAC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13 (5.3)</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482331EE"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11 (4.9)</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093F538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24 (6.8)</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5D7504C3"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24 (5.1)</w:t>
            </w:r>
            <w:r w:rsidRPr="00950AD5">
              <w:rPr>
                <w:rStyle w:val="eop"/>
                <w:rFonts w:asciiTheme="minorHAnsi" w:hAnsiTheme="minorHAnsi" w:cstheme="minorHAnsi"/>
                <w:color w:val="000000"/>
                <w:sz w:val="18"/>
                <w:szCs w:val="18"/>
              </w:rPr>
              <w:t> </w:t>
            </w:r>
          </w:p>
        </w:tc>
      </w:tr>
      <w:tr w:rsidR="00B21280" w:rsidRPr="00950AD5" w14:paraId="1BF2349E" w14:textId="77777777" w:rsidTr="00F86021">
        <w:trPr>
          <w:trHeight w:val="315"/>
        </w:trPr>
        <w:tc>
          <w:tcPr>
            <w:tcW w:w="5600" w:type="dxa"/>
            <w:tcBorders>
              <w:top w:val="nil"/>
              <w:left w:val="single" w:sz="6" w:space="0" w:color="auto"/>
              <w:bottom w:val="single" w:sz="4" w:space="0" w:color="auto"/>
              <w:right w:val="single" w:sz="6" w:space="0" w:color="7F7F7F"/>
            </w:tcBorders>
            <w:shd w:val="clear" w:color="auto" w:fill="FFFFFF"/>
            <w:hideMark/>
          </w:tcPr>
          <w:p w14:paraId="7D56602F" w14:textId="77777777" w:rsidR="00B21280" w:rsidRPr="00950AD5" w:rsidRDefault="00B21280" w:rsidP="00F86021">
            <w:pPr>
              <w:pStyle w:val="paragraph"/>
              <w:spacing w:before="0" w:beforeAutospacing="0" w:after="0" w:afterAutospacing="0"/>
              <w:ind w:left="413"/>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Doesn’t feel an official diagnosis as important </w:t>
            </w:r>
            <w:r w:rsidRPr="00950AD5">
              <w:rPr>
                <w:rStyle w:val="eop"/>
                <w:rFonts w:asciiTheme="minorHAnsi" w:hAnsiTheme="minorHAnsi" w:cstheme="minorHAnsi"/>
                <w:color w:val="000000"/>
                <w:sz w:val="18"/>
                <w:szCs w:val="18"/>
              </w:rPr>
              <w:t> </w:t>
            </w:r>
          </w:p>
        </w:tc>
        <w:tc>
          <w:tcPr>
            <w:tcW w:w="988" w:type="dxa"/>
            <w:tcBorders>
              <w:top w:val="nil"/>
              <w:left w:val="nil"/>
              <w:bottom w:val="single" w:sz="4" w:space="0" w:color="auto"/>
              <w:right w:val="nil"/>
            </w:tcBorders>
            <w:shd w:val="clear" w:color="auto" w:fill="F2F2F2"/>
            <w:hideMark/>
          </w:tcPr>
          <w:p w14:paraId="75B4E6C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 (0.4)</w:t>
            </w:r>
            <w:r w:rsidRPr="00950AD5">
              <w:rPr>
                <w:rStyle w:val="eop"/>
                <w:rFonts w:asciiTheme="minorHAnsi" w:hAnsiTheme="minorHAnsi" w:cstheme="minorHAnsi"/>
                <w:color w:val="000000"/>
                <w:sz w:val="18"/>
                <w:szCs w:val="18"/>
              </w:rPr>
              <w:t> </w:t>
            </w:r>
          </w:p>
        </w:tc>
        <w:tc>
          <w:tcPr>
            <w:tcW w:w="1066" w:type="dxa"/>
            <w:tcBorders>
              <w:top w:val="nil"/>
              <w:left w:val="nil"/>
              <w:bottom w:val="single" w:sz="4" w:space="0" w:color="auto"/>
              <w:right w:val="nil"/>
            </w:tcBorders>
            <w:shd w:val="clear" w:color="auto" w:fill="F2F2F2"/>
            <w:hideMark/>
          </w:tcPr>
          <w:p w14:paraId="38065C4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 (1.3)</w:t>
            </w:r>
            <w:r w:rsidRPr="00950AD5">
              <w:rPr>
                <w:rStyle w:val="eop"/>
                <w:rFonts w:asciiTheme="minorHAnsi" w:hAnsiTheme="minorHAnsi" w:cstheme="minorHAnsi"/>
                <w:color w:val="000000"/>
                <w:sz w:val="18"/>
                <w:szCs w:val="18"/>
              </w:rPr>
              <w:t> </w:t>
            </w:r>
          </w:p>
        </w:tc>
        <w:tc>
          <w:tcPr>
            <w:tcW w:w="991" w:type="dxa"/>
            <w:tcBorders>
              <w:top w:val="nil"/>
              <w:left w:val="nil"/>
              <w:bottom w:val="single" w:sz="4" w:space="0" w:color="auto"/>
              <w:right w:val="nil"/>
            </w:tcBorders>
            <w:shd w:val="clear" w:color="auto" w:fill="F2F2F2"/>
            <w:hideMark/>
          </w:tcPr>
          <w:p w14:paraId="670FC12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 (1.1)</w:t>
            </w:r>
            <w:r w:rsidRPr="00950AD5">
              <w:rPr>
                <w:rStyle w:val="eop"/>
                <w:rFonts w:asciiTheme="minorHAnsi" w:hAnsiTheme="minorHAnsi" w:cstheme="minorHAnsi"/>
                <w:color w:val="000000"/>
                <w:sz w:val="18"/>
                <w:szCs w:val="18"/>
              </w:rPr>
              <w:t> </w:t>
            </w:r>
          </w:p>
        </w:tc>
        <w:tc>
          <w:tcPr>
            <w:tcW w:w="1270" w:type="dxa"/>
            <w:tcBorders>
              <w:top w:val="nil"/>
              <w:left w:val="nil"/>
              <w:bottom w:val="single" w:sz="4" w:space="0" w:color="auto"/>
              <w:right w:val="single" w:sz="6" w:space="0" w:color="auto"/>
            </w:tcBorders>
            <w:shd w:val="clear" w:color="auto" w:fill="F2F2F2"/>
            <w:hideMark/>
          </w:tcPr>
          <w:p w14:paraId="6270C99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 (0.9)</w:t>
            </w:r>
            <w:r w:rsidRPr="00950AD5">
              <w:rPr>
                <w:rStyle w:val="eop"/>
                <w:rFonts w:asciiTheme="minorHAnsi" w:hAnsiTheme="minorHAnsi" w:cstheme="minorHAnsi"/>
                <w:color w:val="000000"/>
                <w:sz w:val="18"/>
                <w:szCs w:val="18"/>
              </w:rPr>
              <w:t> </w:t>
            </w:r>
          </w:p>
        </w:tc>
      </w:tr>
      <w:tr w:rsidR="00B21280" w:rsidRPr="00950AD5" w14:paraId="6FB4C32F" w14:textId="77777777" w:rsidTr="00F86021">
        <w:trPr>
          <w:trHeight w:val="300"/>
        </w:trPr>
        <w:tc>
          <w:tcPr>
            <w:tcW w:w="99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35D962E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b/>
                <w:bCs/>
                <w:color w:val="000000"/>
                <w:sz w:val="18"/>
                <w:szCs w:val="18"/>
              </w:rPr>
              <w:t> </w:t>
            </w:r>
            <w:r w:rsidRPr="00950AD5">
              <w:rPr>
                <w:rStyle w:val="eop"/>
                <w:rFonts w:asciiTheme="minorHAnsi" w:hAnsiTheme="minorHAnsi" w:cstheme="minorHAnsi"/>
                <w:color w:val="000000"/>
                <w:sz w:val="18"/>
                <w:szCs w:val="18"/>
              </w:rPr>
              <w:t> </w:t>
            </w:r>
            <w:r w:rsidRPr="00950AD5">
              <w:rPr>
                <w:rStyle w:val="normaltextrun"/>
                <w:rFonts w:asciiTheme="minorHAnsi" w:eastAsiaTheme="majorEastAsia" w:hAnsiTheme="minorHAnsi" w:cstheme="minorHAnsi"/>
                <w:b/>
                <w:color w:val="000000"/>
                <w:sz w:val="18"/>
                <w:szCs w:val="18"/>
              </w:rPr>
              <w:t>The Diagnostic Process</w:t>
            </w:r>
          </w:p>
        </w:tc>
      </w:tr>
      <w:tr w:rsidR="00B21280" w:rsidRPr="00950AD5" w14:paraId="41D6608E" w14:textId="77777777" w:rsidTr="00F86021">
        <w:trPr>
          <w:trHeight w:val="300"/>
        </w:trPr>
        <w:tc>
          <w:tcPr>
            <w:tcW w:w="5600" w:type="dxa"/>
            <w:tcBorders>
              <w:top w:val="single" w:sz="4" w:space="0" w:color="auto"/>
              <w:left w:val="single" w:sz="6" w:space="0" w:color="auto"/>
              <w:bottom w:val="nil"/>
              <w:right w:val="single" w:sz="6" w:space="0" w:color="7F7F7F"/>
            </w:tcBorders>
            <w:shd w:val="clear" w:color="auto" w:fill="FFFFFF"/>
            <w:hideMark/>
          </w:tcPr>
          <w:p w14:paraId="04B0DEE9"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See blood tests as non-invasive or easy to have </w:t>
            </w:r>
            <w:r w:rsidRPr="00834034">
              <w:rPr>
                <w:rStyle w:val="normaltextrun"/>
                <w:rFonts w:eastAsiaTheme="majorEastAsia"/>
              </w:rPr>
              <w:t> </w:t>
            </w:r>
          </w:p>
        </w:tc>
        <w:tc>
          <w:tcPr>
            <w:tcW w:w="988" w:type="dxa"/>
            <w:tcBorders>
              <w:top w:val="single" w:sz="4" w:space="0" w:color="auto"/>
              <w:left w:val="nil"/>
              <w:bottom w:val="nil"/>
              <w:right w:val="nil"/>
            </w:tcBorders>
            <w:shd w:val="clear" w:color="auto" w:fill="auto"/>
            <w:hideMark/>
          </w:tcPr>
          <w:p w14:paraId="1064357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94 (38.5)</w:t>
            </w:r>
            <w:r w:rsidRPr="00950AD5">
              <w:rPr>
                <w:rStyle w:val="eop"/>
                <w:rFonts w:asciiTheme="minorHAnsi" w:hAnsiTheme="minorHAnsi" w:cstheme="minorHAnsi"/>
                <w:color w:val="000000"/>
                <w:sz w:val="18"/>
                <w:szCs w:val="18"/>
              </w:rPr>
              <w:t> </w:t>
            </w:r>
          </w:p>
        </w:tc>
        <w:tc>
          <w:tcPr>
            <w:tcW w:w="1066" w:type="dxa"/>
            <w:tcBorders>
              <w:top w:val="single" w:sz="4" w:space="0" w:color="auto"/>
              <w:left w:val="nil"/>
              <w:bottom w:val="nil"/>
              <w:right w:val="nil"/>
            </w:tcBorders>
            <w:shd w:val="clear" w:color="auto" w:fill="auto"/>
            <w:hideMark/>
          </w:tcPr>
          <w:p w14:paraId="6F62C44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90 (40.4)</w:t>
            </w:r>
            <w:r w:rsidRPr="00950AD5">
              <w:rPr>
                <w:rStyle w:val="eop"/>
                <w:rFonts w:asciiTheme="minorHAnsi" w:hAnsiTheme="minorHAnsi" w:cstheme="minorHAnsi"/>
                <w:color w:val="000000"/>
                <w:sz w:val="18"/>
                <w:szCs w:val="18"/>
              </w:rPr>
              <w:t> </w:t>
            </w:r>
          </w:p>
        </w:tc>
        <w:tc>
          <w:tcPr>
            <w:tcW w:w="991" w:type="dxa"/>
            <w:tcBorders>
              <w:top w:val="single" w:sz="4" w:space="0" w:color="auto"/>
              <w:left w:val="nil"/>
              <w:bottom w:val="nil"/>
              <w:right w:val="nil"/>
            </w:tcBorders>
            <w:shd w:val="clear" w:color="auto" w:fill="auto"/>
            <w:hideMark/>
          </w:tcPr>
          <w:p w14:paraId="3B10D9A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184 (52.1)</w:t>
            </w:r>
            <w:r w:rsidRPr="00950AD5">
              <w:rPr>
                <w:rStyle w:val="eop"/>
                <w:rFonts w:asciiTheme="minorHAnsi" w:hAnsiTheme="minorHAnsi" w:cstheme="minorHAnsi"/>
                <w:sz w:val="18"/>
                <w:szCs w:val="18"/>
              </w:rPr>
              <w:t> </w:t>
            </w:r>
          </w:p>
        </w:tc>
        <w:tc>
          <w:tcPr>
            <w:tcW w:w="1270" w:type="dxa"/>
            <w:tcBorders>
              <w:top w:val="single" w:sz="4" w:space="0" w:color="auto"/>
              <w:left w:val="nil"/>
              <w:bottom w:val="nil"/>
              <w:right w:val="single" w:sz="6" w:space="0" w:color="auto"/>
            </w:tcBorders>
            <w:shd w:val="clear" w:color="auto" w:fill="auto"/>
            <w:hideMark/>
          </w:tcPr>
          <w:p w14:paraId="107A608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184 (39.3)</w:t>
            </w:r>
            <w:r w:rsidRPr="00950AD5">
              <w:rPr>
                <w:rStyle w:val="eop"/>
                <w:rFonts w:asciiTheme="minorHAnsi" w:hAnsiTheme="minorHAnsi" w:cstheme="minorHAnsi"/>
                <w:color w:val="000000"/>
                <w:sz w:val="18"/>
                <w:szCs w:val="18"/>
              </w:rPr>
              <w:t> </w:t>
            </w:r>
          </w:p>
        </w:tc>
      </w:tr>
      <w:tr w:rsidR="00B21280" w:rsidRPr="00950AD5" w14:paraId="25943046"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5842F9EE"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Feels like a biopsy is necessary for certainty in their diagnosis </w:t>
            </w:r>
          </w:p>
        </w:tc>
        <w:tc>
          <w:tcPr>
            <w:tcW w:w="988" w:type="dxa"/>
            <w:tcBorders>
              <w:top w:val="nil"/>
              <w:left w:val="nil"/>
              <w:bottom w:val="nil"/>
              <w:right w:val="nil"/>
            </w:tcBorders>
            <w:shd w:val="clear" w:color="auto" w:fill="F2F2F2"/>
            <w:hideMark/>
          </w:tcPr>
          <w:p w14:paraId="1C7B113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77 (31.6)</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384FC76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39 (17.5)</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67A11673"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116 (32.9)</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29E732C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116 (24.8)</w:t>
            </w:r>
            <w:r w:rsidRPr="00950AD5">
              <w:rPr>
                <w:rStyle w:val="eop"/>
                <w:rFonts w:asciiTheme="minorHAnsi" w:hAnsiTheme="minorHAnsi" w:cstheme="minorHAnsi"/>
                <w:color w:val="000000"/>
                <w:sz w:val="18"/>
                <w:szCs w:val="18"/>
              </w:rPr>
              <w:t> </w:t>
            </w:r>
          </w:p>
        </w:tc>
      </w:tr>
      <w:tr w:rsidR="00B21280" w:rsidRPr="00950AD5" w14:paraId="2F6B8B74"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410CAC72"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No symptoms means a biopsy is more necessary for certainty in diagnosis, or easier to have due to continuing the diet with no symptoms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1E40620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38 (15.6)</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26FDDE32"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38 (17.0)</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7441DF5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76 (21.5)</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1E2292E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76 (16.2)</w:t>
            </w:r>
            <w:r w:rsidRPr="00950AD5">
              <w:rPr>
                <w:rStyle w:val="eop"/>
                <w:rFonts w:asciiTheme="minorHAnsi" w:hAnsiTheme="minorHAnsi" w:cstheme="minorHAnsi"/>
                <w:color w:val="000000"/>
                <w:sz w:val="18"/>
                <w:szCs w:val="18"/>
              </w:rPr>
              <w:t> </w:t>
            </w:r>
          </w:p>
        </w:tc>
      </w:tr>
      <w:tr w:rsidR="00B21280" w:rsidRPr="00950AD5" w14:paraId="35DEF7E6"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4BD1B68F"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If the blood test shows more than a 50% chance of having CD, would start GFD without biopsy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4755687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31 (12.7)</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3296436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45 (20.2)</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49A47E8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76 (21.5)</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46974FD8"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76 (16.2)</w:t>
            </w:r>
            <w:r w:rsidRPr="00950AD5">
              <w:rPr>
                <w:rStyle w:val="eop"/>
                <w:rFonts w:asciiTheme="minorHAnsi" w:hAnsiTheme="minorHAnsi" w:cstheme="minorHAnsi"/>
                <w:color w:val="000000"/>
                <w:sz w:val="18"/>
                <w:szCs w:val="18"/>
              </w:rPr>
              <w:t> </w:t>
            </w:r>
          </w:p>
        </w:tc>
      </w:tr>
      <w:tr w:rsidR="00B21280" w:rsidRPr="00950AD5" w14:paraId="07714CEA" w14:textId="77777777" w:rsidTr="00F86021">
        <w:trPr>
          <w:trHeight w:val="315"/>
        </w:trPr>
        <w:tc>
          <w:tcPr>
            <w:tcW w:w="5600" w:type="dxa"/>
            <w:tcBorders>
              <w:top w:val="nil"/>
              <w:left w:val="single" w:sz="6" w:space="0" w:color="auto"/>
              <w:bottom w:val="nil"/>
              <w:right w:val="single" w:sz="6" w:space="0" w:color="7F7F7F"/>
            </w:tcBorders>
            <w:shd w:val="clear" w:color="auto" w:fill="FFFFFF"/>
            <w:hideMark/>
          </w:tcPr>
          <w:p w14:paraId="45D8F1A5"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continue a gluten diet for biopsy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2EBB1E8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27 (11.1)</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5B8F2E3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14 (6.3)</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1EEC893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41 (11.6)</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7357B96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41 (8.8)</w:t>
            </w:r>
            <w:r w:rsidRPr="00950AD5">
              <w:rPr>
                <w:rStyle w:val="eop"/>
                <w:rFonts w:asciiTheme="minorHAnsi" w:hAnsiTheme="minorHAnsi" w:cstheme="minorHAnsi"/>
                <w:color w:val="000000"/>
                <w:sz w:val="18"/>
                <w:szCs w:val="18"/>
              </w:rPr>
              <w:t> </w:t>
            </w:r>
          </w:p>
        </w:tc>
      </w:tr>
      <w:tr w:rsidR="00B21280" w:rsidRPr="00950AD5" w14:paraId="46A92968"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20A0570B"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6-8 weeks is an acceptable wait time for a biopsy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4238170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9 (3.7)</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7CD7BC02"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19 (8.5)</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7B548478"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28 (7.9)</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746AF79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28 (6.0)</w:t>
            </w:r>
            <w:r w:rsidRPr="00950AD5">
              <w:rPr>
                <w:rStyle w:val="eop"/>
                <w:rFonts w:asciiTheme="minorHAnsi" w:hAnsiTheme="minorHAnsi" w:cstheme="minorHAnsi"/>
                <w:color w:val="000000"/>
                <w:sz w:val="18"/>
                <w:szCs w:val="18"/>
              </w:rPr>
              <w:t> </w:t>
            </w:r>
          </w:p>
        </w:tc>
      </w:tr>
      <w:tr w:rsidR="00B21280" w:rsidRPr="00950AD5" w14:paraId="3A8F1034"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62A6549E"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Feels like a biopsy is invasive or unpleasant and would want to avoid it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2209297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11 (4.5)</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548760B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16 (7.2)</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68961AB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27 (7.6)</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618B5D81"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27 (5.8)</w:t>
            </w:r>
            <w:r w:rsidRPr="00950AD5">
              <w:rPr>
                <w:rStyle w:val="eop"/>
                <w:rFonts w:asciiTheme="minorHAnsi" w:hAnsiTheme="minorHAnsi" w:cstheme="minorHAnsi"/>
                <w:color w:val="000000"/>
                <w:sz w:val="18"/>
                <w:szCs w:val="18"/>
              </w:rPr>
              <w:t> </w:t>
            </w:r>
          </w:p>
        </w:tc>
      </w:tr>
      <w:tr w:rsidR="00B21280" w:rsidRPr="00950AD5" w14:paraId="6516AB12" w14:textId="77777777" w:rsidTr="00F86021">
        <w:trPr>
          <w:trHeight w:val="300"/>
        </w:trPr>
        <w:tc>
          <w:tcPr>
            <w:tcW w:w="5600" w:type="dxa"/>
            <w:tcBorders>
              <w:top w:val="nil"/>
              <w:left w:val="single" w:sz="6" w:space="0" w:color="auto"/>
              <w:bottom w:val="single" w:sz="4" w:space="0" w:color="auto"/>
              <w:right w:val="single" w:sz="6" w:space="0" w:color="7F7F7F"/>
            </w:tcBorders>
            <w:shd w:val="clear" w:color="auto" w:fill="FFFFFF"/>
            <w:hideMark/>
          </w:tcPr>
          <w:p w14:paraId="1D6D7BC6"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6-8 weeks is unacceptable time to wait for a biopsy </w:t>
            </w:r>
            <w:r w:rsidRPr="00834034">
              <w:rPr>
                <w:rStyle w:val="normaltextrun"/>
                <w:rFonts w:eastAsiaTheme="majorEastAsia"/>
              </w:rPr>
              <w:t> </w:t>
            </w:r>
          </w:p>
        </w:tc>
        <w:tc>
          <w:tcPr>
            <w:tcW w:w="988" w:type="dxa"/>
            <w:tcBorders>
              <w:top w:val="nil"/>
              <w:left w:val="nil"/>
              <w:bottom w:val="single" w:sz="4" w:space="0" w:color="auto"/>
              <w:right w:val="nil"/>
            </w:tcBorders>
            <w:shd w:val="clear" w:color="auto" w:fill="F2F2F2"/>
            <w:hideMark/>
          </w:tcPr>
          <w:p w14:paraId="0C322F7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 (1.6)</w:t>
            </w:r>
            <w:r w:rsidRPr="00950AD5">
              <w:rPr>
                <w:rStyle w:val="eop"/>
                <w:rFonts w:asciiTheme="minorHAnsi" w:hAnsiTheme="minorHAnsi" w:cstheme="minorHAnsi"/>
                <w:color w:val="000000"/>
                <w:sz w:val="18"/>
                <w:szCs w:val="18"/>
              </w:rPr>
              <w:t> </w:t>
            </w:r>
          </w:p>
        </w:tc>
        <w:tc>
          <w:tcPr>
            <w:tcW w:w="1066" w:type="dxa"/>
            <w:tcBorders>
              <w:top w:val="nil"/>
              <w:left w:val="nil"/>
              <w:bottom w:val="single" w:sz="4" w:space="0" w:color="auto"/>
              <w:right w:val="nil"/>
            </w:tcBorders>
            <w:shd w:val="clear" w:color="auto" w:fill="F2F2F2"/>
            <w:hideMark/>
          </w:tcPr>
          <w:p w14:paraId="7C53246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9 (4.0</w:t>
            </w:r>
            <w:r w:rsidRPr="00950AD5">
              <w:rPr>
                <w:rStyle w:val="eop"/>
                <w:rFonts w:asciiTheme="minorHAnsi" w:hAnsiTheme="minorHAnsi" w:cstheme="minorHAnsi"/>
                <w:color w:val="000000"/>
                <w:sz w:val="18"/>
                <w:szCs w:val="18"/>
              </w:rPr>
              <w:t> </w:t>
            </w:r>
          </w:p>
        </w:tc>
        <w:tc>
          <w:tcPr>
            <w:tcW w:w="991" w:type="dxa"/>
            <w:tcBorders>
              <w:top w:val="nil"/>
              <w:left w:val="nil"/>
              <w:bottom w:val="single" w:sz="4" w:space="0" w:color="auto"/>
              <w:right w:val="nil"/>
            </w:tcBorders>
            <w:shd w:val="clear" w:color="auto" w:fill="F2F2F2"/>
            <w:hideMark/>
          </w:tcPr>
          <w:p w14:paraId="1CA90E51"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13 (3.7)</w:t>
            </w:r>
            <w:r w:rsidRPr="00950AD5">
              <w:rPr>
                <w:rStyle w:val="eop"/>
                <w:rFonts w:asciiTheme="minorHAnsi" w:hAnsiTheme="minorHAnsi" w:cstheme="minorHAnsi"/>
                <w:color w:val="000000"/>
                <w:sz w:val="18"/>
                <w:szCs w:val="18"/>
              </w:rPr>
              <w:t> </w:t>
            </w:r>
          </w:p>
        </w:tc>
        <w:tc>
          <w:tcPr>
            <w:tcW w:w="1270" w:type="dxa"/>
            <w:tcBorders>
              <w:top w:val="nil"/>
              <w:left w:val="nil"/>
              <w:bottom w:val="single" w:sz="4" w:space="0" w:color="auto"/>
              <w:right w:val="single" w:sz="6" w:space="0" w:color="auto"/>
            </w:tcBorders>
            <w:shd w:val="clear" w:color="auto" w:fill="F2F2F2"/>
            <w:hideMark/>
          </w:tcPr>
          <w:p w14:paraId="1C96ED3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13 (2.8)</w:t>
            </w:r>
            <w:r w:rsidRPr="00950AD5">
              <w:rPr>
                <w:rStyle w:val="eop"/>
                <w:rFonts w:asciiTheme="minorHAnsi" w:hAnsiTheme="minorHAnsi" w:cstheme="minorHAnsi"/>
                <w:color w:val="000000"/>
                <w:sz w:val="18"/>
                <w:szCs w:val="18"/>
              </w:rPr>
              <w:t> </w:t>
            </w:r>
          </w:p>
        </w:tc>
      </w:tr>
      <w:tr w:rsidR="00B21280" w:rsidRPr="00950AD5" w14:paraId="71CA94EC" w14:textId="77777777" w:rsidTr="00F86021">
        <w:trPr>
          <w:trHeight w:val="300"/>
        </w:trPr>
        <w:tc>
          <w:tcPr>
            <w:tcW w:w="99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31ADC0C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b/>
                <w:bCs/>
                <w:color w:val="000000"/>
                <w:sz w:val="18"/>
                <w:szCs w:val="18"/>
              </w:rPr>
              <w:t> </w:t>
            </w:r>
            <w:r w:rsidRPr="00950AD5">
              <w:rPr>
                <w:rStyle w:val="eop"/>
                <w:rFonts w:asciiTheme="minorHAnsi" w:hAnsiTheme="minorHAnsi" w:cstheme="minorHAnsi"/>
                <w:color w:val="000000"/>
                <w:sz w:val="18"/>
                <w:szCs w:val="18"/>
              </w:rPr>
              <w:t> </w:t>
            </w:r>
            <w:r w:rsidRPr="00950AD5">
              <w:rPr>
                <w:rStyle w:val="normaltextrun"/>
                <w:rFonts w:asciiTheme="minorHAnsi" w:eastAsiaTheme="majorEastAsia" w:hAnsiTheme="minorHAnsi" w:cstheme="minorHAnsi"/>
                <w:b/>
                <w:color w:val="000000"/>
                <w:sz w:val="18"/>
                <w:szCs w:val="18"/>
              </w:rPr>
              <w:t>How to respond to a negative test result</w:t>
            </w:r>
          </w:p>
        </w:tc>
      </w:tr>
      <w:tr w:rsidR="00B21280" w:rsidRPr="00950AD5" w14:paraId="7D430684" w14:textId="77777777" w:rsidTr="00F86021">
        <w:trPr>
          <w:trHeight w:val="300"/>
        </w:trPr>
        <w:tc>
          <w:tcPr>
            <w:tcW w:w="5600" w:type="dxa"/>
            <w:tcBorders>
              <w:top w:val="single" w:sz="4" w:space="0" w:color="auto"/>
              <w:left w:val="single" w:sz="6" w:space="0" w:color="auto"/>
              <w:bottom w:val="nil"/>
              <w:right w:val="single" w:sz="6" w:space="0" w:color="7F7F7F"/>
            </w:tcBorders>
            <w:shd w:val="clear" w:color="auto" w:fill="FFFFFF"/>
            <w:hideMark/>
          </w:tcPr>
          <w:p w14:paraId="03C005C5"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try gluten-free diet regardless of diagnosis </w:t>
            </w:r>
            <w:r w:rsidRPr="00834034">
              <w:rPr>
                <w:rStyle w:val="normaltextrun"/>
                <w:rFonts w:eastAsiaTheme="majorEastAsia"/>
              </w:rPr>
              <w:t> </w:t>
            </w:r>
          </w:p>
        </w:tc>
        <w:tc>
          <w:tcPr>
            <w:tcW w:w="988" w:type="dxa"/>
            <w:tcBorders>
              <w:top w:val="single" w:sz="4" w:space="0" w:color="auto"/>
              <w:left w:val="nil"/>
              <w:bottom w:val="nil"/>
              <w:right w:val="nil"/>
            </w:tcBorders>
            <w:shd w:val="clear" w:color="auto" w:fill="auto"/>
            <w:hideMark/>
          </w:tcPr>
          <w:p w14:paraId="78A9F68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12 (4.9)</w:t>
            </w:r>
            <w:r w:rsidRPr="00950AD5">
              <w:rPr>
                <w:rStyle w:val="eop"/>
                <w:rFonts w:asciiTheme="minorHAnsi" w:hAnsiTheme="minorHAnsi" w:cstheme="minorHAnsi"/>
                <w:color w:val="000000"/>
                <w:sz w:val="18"/>
                <w:szCs w:val="18"/>
              </w:rPr>
              <w:t> </w:t>
            </w:r>
          </w:p>
        </w:tc>
        <w:tc>
          <w:tcPr>
            <w:tcW w:w="1066" w:type="dxa"/>
            <w:tcBorders>
              <w:top w:val="single" w:sz="4" w:space="0" w:color="auto"/>
              <w:left w:val="nil"/>
              <w:bottom w:val="nil"/>
              <w:right w:val="nil"/>
            </w:tcBorders>
            <w:shd w:val="clear" w:color="auto" w:fill="auto"/>
            <w:hideMark/>
          </w:tcPr>
          <w:p w14:paraId="2B64BB4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25 (11.2)</w:t>
            </w:r>
            <w:r w:rsidRPr="00950AD5">
              <w:rPr>
                <w:rStyle w:val="eop"/>
                <w:rFonts w:asciiTheme="minorHAnsi" w:hAnsiTheme="minorHAnsi" w:cstheme="minorHAnsi"/>
                <w:color w:val="000000"/>
                <w:sz w:val="18"/>
                <w:szCs w:val="18"/>
              </w:rPr>
              <w:t> </w:t>
            </w:r>
          </w:p>
        </w:tc>
        <w:tc>
          <w:tcPr>
            <w:tcW w:w="991" w:type="dxa"/>
            <w:tcBorders>
              <w:top w:val="single" w:sz="4" w:space="0" w:color="auto"/>
              <w:left w:val="nil"/>
              <w:bottom w:val="nil"/>
              <w:right w:val="nil"/>
            </w:tcBorders>
            <w:shd w:val="clear" w:color="auto" w:fill="auto"/>
            <w:hideMark/>
          </w:tcPr>
          <w:p w14:paraId="5272031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37 (10.5)</w:t>
            </w:r>
            <w:r w:rsidRPr="00950AD5">
              <w:rPr>
                <w:rStyle w:val="eop"/>
                <w:rFonts w:asciiTheme="minorHAnsi" w:hAnsiTheme="minorHAnsi" w:cstheme="minorHAnsi"/>
                <w:sz w:val="18"/>
                <w:szCs w:val="18"/>
              </w:rPr>
              <w:t> </w:t>
            </w:r>
          </w:p>
        </w:tc>
        <w:tc>
          <w:tcPr>
            <w:tcW w:w="1270" w:type="dxa"/>
            <w:tcBorders>
              <w:top w:val="single" w:sz="4" w:space="0" w:color="auto"/>
              <w:left w:val="nil"/>
              <w:bottom w:val="nil"/>
              <w:right w:val="single" w:sz="6" w:space="0" w:color="auto"/>
            </w:tcBorders>
            <w:shd w:val="clear" w:color="auto" w:fill="auto"/>
            <w:hideMark/>
          </w:tcPr>
          <w:p w14:paraId="7AED50D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37 (7.9)</w:t>
            </w:r>
            <w:r w:rsidRPr="00950AD5">
              <w:rPr>
                <w:rStyle w:val="eop"/>
                <w:rFonts w:asciiTheme="minorHAnsi" w:hAnsiTheme="minorHAnsi" w:cstheme="minorHAnsi"/>
                <w:color w:val="000000"/>
                <w:sz w:val="18"/>
                <w:szCs w:val="18"/>
              </w:rPr>
              <w:t> </w:t>
            </w:r>
          </w:p>
        </w:tc>
      </w:tr>
      <w:tr w:rsidR="00B21280" w:rsidRPr="00950AD5" w14:paraId="450C5A9F"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0F5E01FF"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ask for further testing or retesting if negative result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247F59D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16 (6.6)</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44A694E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16 (7.2)</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45AA344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32 (9.1)</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2DA599D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32 (6.8)</w:t>
            </w:r>
            <w:r w:rsidRPr="00950AD5">
              <w:rPr>
                <w:rStyle w:val="eop"/>
                <w:rFonts w:asciiTheme="minorHAnsi" w:hAnsiTheme="minorHAnsi" w:cstheme="minorHAnsi"/>
                <w:color w:val="000000"/>
                <w:sz w:val="18"/>
                <w:szCs w:val="18"/>
              </w:rPr>
              <w:t> </w:t>
            </w:r>
          </w:p>
        </w:tc>
      </w:tr>
      <w:tr w:rsidR="00B21280" w:rsidRPr="00950AD5" w14:paraId="61B4E844"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05FD6D77"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Dr's guidance and opinion is important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665D30B1"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12 (4.9)</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2021D49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14 (6.3)</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4CE45F1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26 (7.4)</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7021F4B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26 (5.6)</w:t>
            </w:r>
            <w:r w:rsidRPr="00950AD5">
              <w:rPr>
                <w:rStyle w:val="eop"/>
                <w:rFonts w:asciiTheme="minorHAnsi" w:hAnsiTheme="minorHAnsi" w:cstheme="minorHAnsi"/>
                <w:color w:val="000000"/>
                <w:sz w:val="18"/>
                <w:szCs w:val="18"/>
              </w:rPr>
              <w:t> </w:t>
            </w:r>
          </w:p>
        </w:tc>
      </w:tr>
      <w:tr w:rsidR="00B21280" w:rsidRPr="00950AD5" w14:paraId="1569599E" w14:textId="77777777" w:rsidTr="00F86021">
        <w:trPr>
          <w:trHeight w:val="300"/>
        </w:trPr>
        <w:tc>
          <w:tcPr>
            <w:tcW w:w="5600" w:type="dxa"/>
            <w:tcBorders>
              <w:top w:val="nil"/>
              <w:left w:val="single" w:sz="6" w:space="0" w:color="auto"/>
              <w:bottom w:val="single" w:sz="4" w:space="0" w:color="auto"/>
              <w:right w:val="single" w:sz="6" w:space="0" w:color="7F7F7F"/>
            </w:tcBorders>
            <w:shd w:val="clear" w:color="auto" w:fill="FFFFFF"/>
            <w:hideMark/>
          </w:tcPr>
          <w:p w14:paraId="743F5AEE"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accept not having CD </w:t>
            </w:r>
            <w:r w:rsidRPr="00834034">
              <w:rPr>
                <w:rStyle w:val="normaltextrun"/>
                <w:rFonts w:eastAsiaTheme="majorEastAsia"/>
              </w:rPr>
              <w:t> </w:t>
            </w:r>
          </w:p>
        </w:tc>
        <w:tc>
          <w:tcPr>
            <w:tcW w:w="988" w:type="dxa"/>
            <w:tcBorders>
              <w:top w:val="nil"/>
              <w:left w:val="nil"/>
              <w:bottom w:val="single" w:sz="4" w:space="0" w:color="auto"/>
              <w:right w:val="nil"/>
            </w:tcBorders>
            <w:shd w:val="clear" w:color="auto" w:fill="F2F2F2"/>
            <w:hideMark/>
          </w:tcPr>
          <w:p w14:paraId="3D9061A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10 (4.1)</w:t>
            </w:r>
            <w:r w:rsidRPr="00950AD5">
              <w:rPr>
                <w:rStyle w:val="eop"/>
                <w:rFonts w:asciiTheme="minorHAnsi" w:hAnsiTheme="minorHAnsi" w:cstheme="minorHAnsi"/>
                <w:color w:val="000000"/>
                <w:sz w:val="18"/>
                <w:szCs w:val="18"/>
              </w:rPr>
              <w:t> </w:t>
            </w:r>
          </w:p>
        </w:tc>
        <w:tc>
          <w:tcPr>
            <w:tcW w:w="1066" w:type="dxa"/>
            <w:tcBorders>
              <w:top w:val="nil"/>
              <w:left w:val="nil"/>
              <w:bottom w:val="single" w:sz="4" w:space="0" w:color="auto"/>
              <w:right w:val="nil"/>
            </w:tcBorders>
            <w:shd w:val="clear" w:color="auto" w:fill="F2F2F2"/>
            <w:hideMark/>
          </w:tcPr>
          <w:p w14:paraId="67004EE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16 (7.2)</w:t>
            </w:r>
            <w:r w:rsidRPr="00950AD5">
              <w:rPr>
                <w:rStyle w:val="eop"/>
                <w:rFonts w:asciiTheme="minorHAnsi" w:hAnsiTheme="minorHAnsi" w:cstheme="minorHAnsi"/>
                <w:color w:val="000000"/>
                <w:sz w:val="18"/>
                <w:szCs w:val="18"/>
              </w:rPr>
              <w:t> </w:t>
            </w:r>
          </w:p>
        </w:tc>
        <w:tc>
          <w:tcPr>
            <w:tcW w:w="991" w:type="dxa"/>
            <w:tcBorders>
              <w:top w:val="nil"/>
              <w:left w:val="nil"/>
              <w:bottom w:val="single" w:sz="4" w:space="0" w:color="auto"/>
              <w:right w:val="nil"/>
            </w:tcBorders>
            <w:shd w:val="clear" w:color="auto" w:fill="F2F2F2"/>
            <w:hideMark/>
          </w:tcPr>
          <w:p w14:paraId="11E046C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26 (7.4)</w:t>
            </w:r>
            <w:r w:rsidRPr="00950AD5">
              <w:rPr>
                <w:rStyle w:val="eop"/>
                <w:rFonts w:asciiTheme="minorHAnsi" w:hAnsiTheme="minorHAnsi" w:cstheme="minorHAnsi"/>
                <w:color w:val="000000"/>
                <w:sz w:val="18"/>
                <w:szCs w:val="18"/>
              </w:rPr>
              <w:t> </w:t>
            </w:r>
          </w:p>
        </w:tc>
        <w:tc>
          <w:tcPr>
            <w:tcW w:w="1270" w:type="dxa"/>
            <w:tcBorders>
              <w:top w:val="nil"/>
              <w:left w:val="nil"/>
              <w:bottom w:val="single" w:sz="4" w:space="0" w:color="auto"/>
              <w:right w:val="single" w:sz="6" w:space="0" w:color="auto"/>
            </w:tcBorders>
            <w:shd w:val="clear" w:color="auto" w:fill="F2F2F2"/>
            <w:hideMark/>
          </w:tcPr>
          <w:p w14:paraId="6407AC4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26 (5.6)</w:t>
            </w:r>
            <w:r w:rsidRPr="00950AD5">
              <w:rPr>
                <w:rStyle w:val="eop"/>
                <w:rFonts w:asciiTheme="minorHAnsi" w:hAnsiTheme="minorHAnsi" w:cstheme="minorHAnsi"/>
                <w:color w:val="000000"/>
                <w:sz w:val="18"/>
                <w:szCs w:val="18"/>
              </w:rPr>
              <w:t> </w:t>
            </w:r>
          </w:p>
        </w:tc>
      </w:tr>
      <w:tr w:rsidR="00B21280" w:rsidRPr="00950AD5" w14:paraId="5DC30502" w14:textId="77777777" w:rsidTr="00F86021">
        <w:trPr>
          <w:trHeight w:val="300"/>
        </w:trPr>
        <w:tc>
          <w:tcPr>
            <w:tcW w:w="99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59FC7D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b/>
                <w:bCs/>
                <w:color w:val="000000"/>
                <w:sz w:val="18"/>
                <w:szCs w:val="18"/>
              </w:rPr>
              <w:t> </w:t>
            </w:r>
            <w:r w:rsidRPr="00950AD5">
              <w:rPr>
                <w:rStyle w:val="eop"/>
                <w:rFonts w:asciiTheme="minorHAnsi" w:hAnsiTheme="minorHAnsi" w:cstheme="minorHAnsi"/>
                <w:color w:val="000000"/>
                <w:sz w:val="18"/>
                <w:szCs w:val="18"/>
              </w:rPr>
              <w:t> </w:t>
            </w:r>
            <w:r w:rsidRPr="00950AD5">
              <w:rPr>
                <w:rStyle w:val="normaltextrun"/>
                <w:rFonts w:asciiTheme="minorHAnsi" w:eastAsiaTheme="majorEastAsia" w:hAnsiTheme="minorHAnsi" w:cstheme="minorHAnsi"/>
                <w:b/>
                <w:color w:val="000000"/>
                <w:sz w:val="18"/>
                <w:szCs w:val="18"/>
              </w:rPr>
              <w:t>Opinions on gluten-free diet</w:t>
            </w:r>
            <w:r w:rsidRPr="00950AD5">
              <w:rPr>
                <w:rStyle w:val="normaltextrun"/>
                <w:rFonts w:asciiTheme="minorHAnsi" w:eastAsiaTheme="majorEastAsia" w:hAnsiTheme="minorHAnsi" w:cstheme="minorHAnsi"/>
                <w:color w:val="000000"/>
                <w:sz w:val="18"/>
                <w:szCs w:val="18"/>
              </w:rPr>
              <w:t> </w:t>
            </w:r>
            <w:r w:rsidRPr="00950AD5">
              <w:rPr>
                <w:rStyle w:val="eop"/>
                <w:rFonts w:asciiTheme="minorHAnsi" w:hAnsiTheme="minorHAnsi" w:cstheme="minorHAnsi"/>
                <w:color w:val="000000"/>
                <w:sz w:val="18"/>
                <w:szCs w:val="18"/>
              </w:rPr>
              <w:t> </w:t>
            </w:r>
          </w:p>
        </w:tc>
      </w:tr>
      <w:tr w:rsidR="00B21280" w:rsidRPr="00950AD5" w14:paraId="47DC5653" w14:textId="77777777" w:rsidTr="00F86021">
        <w:trPr>
          <w:trHeight w:val="300"/>
        </w:trPr>
        <w:tc>
          <w:tcPr>
            <w:tcW w:w="5600" w:type="dxa"/>
            <w:tcBorders>
              <w:top w:val="single" w:sz="4" w:space="0" w:color="auto"/>
              <w:left w:val="single" w:sz="6" w:space="0" w:color="auto"/>
              <w:bottom w:val="nil"/>
              <w:right w:val="single" w:sz="6" w:space="0" w:color="7F7F7F"/>
            </w:tcBorders>
            <w:shd w:val="clear" w:color="auto" w:fill="FFFFFF"/>
            <w:hideMark/>
          </w:tcPr>
          <w:p w14:paraId="1DA3FF83"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Want definitive diagnosis (biopsy) before starting GFD </w:t>
            </w:r>
            <w:r w:rsidRPr="00834034">
              <w:rPr>
                <w:rStyle w:val="normaltextrun"/>
                <w:rFonts w:eastAsiaTheme="majorEastAsia"/>
              </w:rPr>
              <w:t> </w:t>
            </w:r>
          </w:p>
        </w:tc>
        <w:tc>
          <w:tcPr>
            <w:tcW w:w="988" w:type="dxa"/>
            <w:tcBorders>
              <w:top w:val="single" w:sz="4" w:space="0" w:color="auto"/>
              <w:left w:val="nil"/>
              <w:bottom w:val="nil"/>
              <w:right w:val="nil"/>
            </w:tcBorders>
            <w:shd w:val="clear" w:color="auto" w:fill="auto"/>
            <w:hideMark/>
          </w:tcPr>
          <w:p w14:paraId="378DF9A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63 (25.8)</w:t>
            </w:r>
            <w:r w:rsidRPr="00950AD5">
              <w:rPr>
                <w:rStyle w:val="eop"/>
                <w:rFonts w:asciiTheme="minorHAnsi" w:hAnsiTheme="minorHAnsi" w:cstheme="minorHAnsi"/>
                <w:color w:val="000000"/>
                <w:sz w:val="18"/>
                <w:szCs w:val="18"/>
              </w:rPr>
              <w:t> </w:t>
            </w:r>
          </w:p>
        </w:tc>
        <w:tc>
          <w:tcPr>
            <w:tcW w:w="1066" w:type="dxa"/>
            <w:tcBorders>
              <w:top w:val="single" w:sz="4" w:space="0" w:color="auto"/>
              <w:left w:val="nil"/>
              <w:bottom w:val="nil"/>
              <w:right w:val="nil"/>
            </w:tcBorders>
            <w:shd w:val="clear" w:color="auto" w:fill="auto"/>
            <w:hideMark/>
          </w:tcPr>
          <w:p w14:paraId="5CAED321"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65 (29.1)</w:t>
            </w:r>
            <w:r w:rsidRPr="00950AD5">
              <w:rPr>
                <w:rStyle w:val="eop"/>
                <w:rFonts w:asciiTheme="minorHAnsi" w:hAnsiTheme="minorHAnsi" w:cstheme="minorHAnsi"/>
                <w:color w:val="000000"/>
                <w:sz w:val="18"/>
                <w:szCs w:val="18"/>
              </w:rPr>
              <w:t> </w:t>
            </w:r>
          </w:p>
        </w:tc>
        <w:tc>
          <w:tcPr>
            <w:tcW w:w="991" w:type="dxa"/>
            <w:tcBorders>
              <w:top w:val="single" w:sz="4" w:space="0" w:color="auto"/>
              <w:left w:val="nil"/>
              <w:bottom w:val="nil"/>
              <w:right w:val="nil"/>
            </w:tcBorders>
            <w:shd w:val="clear" w:color="auto" w:fill="auto"/>
            <w:hideMark/>
          </w:tcPr>
          <w:p w14:paraId="39E68EED"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128 (36.3)</w:t>
            </w:r>
            <w:r w:rsidRPr="00950AD5">
              <w:rPr>
                <w:rStyle w:val="eop"/>
                <w:rFonts w:asciiTheme="minorHAnsi" w:hAnsiTheme="minorHAnsi" w:cstheme="minorHAnsi"/>
                <w:sz w:val="18"/>
                <w:szCs w:val="18"/>
              </w:rPr>
              <w:t> </w:t>
            </w:r>
          </w:p>
        </w:tc>
        <w:tc>
          <w:tcPr>
            <w:tcW w:w="1270" w:type="dxa"/>
            <w:tcBorders>
              <w:top w:val="single" w:sz="4" w:space="0" w:color="auto"/>
              <w:left w:val="nil"/>
              <w:bottom w:val="nil"/>
              <w:right w:val="single" w:sz="6" w:space="0" w:color="auto"/>
            </w:tcBorders>
            <w:shd w:val="clear" w:color="auto" w:fill="auto"/>
            <w:hideMark/>
          </w:tcPr>
          <w:p w14:paraId="5D05F030"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128 (27.4)</w:t>
            </w:r>
            <w:r w:rsidRPr="00950AD5">
              <w:rPr>
                <w:rStyle w:val="eop"/>
                <w:rFonts w:asciiTheme="minorHAnsi" w:hAnsiTheme="minorHAnsi" w:cstheme="minorHAnsi"/>
                <w:color w:val="000000"/>
                <w:sz w:val="18"/>
                <w:szCs w:val="18"/>
              </w:rPr>
              <w:t> </w:t>
            </w:r>
          </w:p>
        </w:tc>
      </w:tr>
      <w:tr w:rsidR="00B21280" w:rsidRPr="00950AD5" w14:paraId="05838463"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6AE895C7"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See if CD symptoms improve with GFD (even if they do not have CD)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77C6D52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23 (9.4)</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21EBF55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54 (24.2)</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742FB8A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77 (21.8)</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65CD069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77 (16.5)</w:t>
            </w:r>
            <w:r w:rsidRPr="00950AD5">
              <w:rPr>
                <w:rStyle w:val="eop"/>
                <w:rFonts w:asciiTheme="minorHAnsi" w:hAnsiTheme="minorHAnsi" w:cstheme="minorHAnsi"/>
                <w:color w:val="000000"/>
                <w:sz w:val="18"/>
                <w:szCs w:val="18"/>
              </w:rPr>
              <w:t> </w:t>
            </w:r>
          </w:p>
        </w:tc>
      </w:tr>
      <w:tr w:rsidR="00B21280" w:rsidRPr="00950AD5" w14:paraId="04C8E680"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217A8B28"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Have a negative opinion on GFD or see GFD is a big commitment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7539320E"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33 (13.5)</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2E42299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15 (6.7)</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3B424BE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48 (13.6)</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7967237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48 (10.3)</w:t>
            </w:r>
            <w:r w:rsidRPr="00950AD5">
              <w:rPr>
                <w:rStyle w:val="eop"/>
                <w:rFonts w:asciiTheme="minorHAnsi" w:hAnsiTheme="minorHAnsi" w:cstheme="minorHAnsi"/>
                <w:color w:val="000000"/>
                <w:sz w:val="18"/>
                <w:szCs w:val="18"/>
              </w:rPr>
              <w:t> </w:t>
            </w:r>
          </w:p>
        </w:tc>
      </w:tr>
      <w:tr w:rsidR="00B21280" w:rsidRPr="00950AD5" w14:paraId="2F082B64"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2A3F749F"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start a GFD without a definitive diagnosis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5F69D37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19 (7.8)</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79E2AF61"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17 (7.6)</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086F280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36 (10.2)</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2B6078D4"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36 (7.7)</w:t>
            </w:r>
            <w:r w:rsidRPr="00950AD5">
              <w:rPr>
                <w:rStyle w:val="eop"/>
                <w:rFonts w:asciiTheme="minorHAnsi" w:hAnsiTheme="minorHAnsi" w:cstheme="minorHAnsi"/>
                <w:color w:val="000000"/>
                <w:sz w:val="18"/>
                <w:szCs w:val="18"/>
              </w:rPr>
              <w:t> </w:t>
            </w:r>
          </w:p>
        </w:tc>
      </w:tr>
      <w:tr w:rsidR="00B21280" w:rsidRPr="00950AD5" w14:paraId="64927C00"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67757504"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Whether or not they live with another who had CD would affect GFD adherence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2017048E"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 (2.9)</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2E1676D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28 (12.</w:t>
            </w:r>
            <w:r>
              <w:rPr>
                <w:rStyle w:val="normaltextrun"/>
                <w:rFonts w:asciiTheme="minorHAnsi" w:eastAsiaTheme="majorEastAsia" w:hAnsiTheme="minorHAnsi" w:cstheme="minorHAnsi"/>
                <w:color w:val="000000"/>
                <w:sz w:val="18"/>
                <w:szCs w:val="18"/>
              </w:rPr>
              <w:t>6</w:t>
            </w:r>
            <w:r w:rsidRPr="00950AD5">
              <w:rPr>
                <w:rStyle w:val="normaltextrun"/>
                <w:rFonts w:asciiTheme="minorHAnsi" w:eastAsiaTheme="majorEastAsia" w:hAnsiTheme="minorHAnsi" w:cstheme="minorHAnsi"/>
                <w:color w:val="000000"/>
                <w:sz w:val="18"/>
                <w:szCs w:val="18"/>
              </w:rPr>
              <w:t>)</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2EDA7D0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35 (9.9)</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0EFB9512"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35 (7.5)</w:t>
            </w:r>
            <w:r w:rsidRPr="00950AD5">
              <w:rPr>
                <w:rStyle w:val="eop"/>
                <w:rFonts w:asciiTheme="minorHAnsi" w:hAnsiTheme="minorHAnsi" w:cstheme="minorHAnsi"/>
                <w:color w:val="000000"/>
                <w:sz w:val="18"/>
                <w:szCs w:val="18"/>
              </w:rPr>
              <w:t> </w:t>
            </w:r>
          </w:p>
        </w:tc>
      </w:tr>
      <w:tr w:rsidR="00B21280" w:rsidRPr="00950AD5" w14:paraId="22458AD3"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62ABE922"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Lowest likelihood (10% chance or less) not enough to start a GFD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781BB51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10 (4.1)</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59FEF0D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17 (7.6)</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246B79C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27 (7.6)</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4A2C585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27 (5.8)</w:t>
            </w:r>
            <w:r w:rsidRPr="00950AD5">
              <w:rPr>
                <w:rStyle w:val="eop"/>
                <w:rFonts w:asciiTheme="minorHAnsi" w:hAnsiTheme="minorHAnsi" w:cstheme="minorHAnsi"/>
                <w:color w:val="000000"/>
                <w:sz w:val="18"/>
                <w:szCs w:val="18"/>
              </w:rPr>
              <w:t> </w:t>
            </w:r>
          </w:p>
        </w:tc>
      </w:tr>
      <w:tr w:rsidR="00B21280" w:rsidRPr="00950AD5" w14:paraId="4DF7500D"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60EB813D"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A 50/50 likelihood not enough to start a GFD </w:t>
            </w:r>
            <w:r w:rsidRPr="00834034">
              <w:rPr>
                <w:rStyle w:val="normaltextrun"/>
                <w:rFonts w:eastAsiaTheme="majorEastAsia"/>
              </w:rPr>
              <w:t> </w:t>
            </w:r>
          </w:p>
        </w:tc>
        <w:tc>
          <w:tcPr>
            <w:tcW w:w="988" w:type="dxa"/>
            <w:tcBorders>
              <w:top w:val="nil"/>
              <w:left w:val="nil"/>
              <w:bottom w:val="nil"/>
              <w:right w:val="nil"/>
            </w:tcBorders>
            <w:shd w:val="clear" w:color="auto" w:fill="auto"/>
            <w:hideMark/>
          </w:tcPr>
          <w:p w14:paraId="45C9F10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7 (2.9)</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auto"/>
            <w:hideMark/>
          </w:tcPr>
          <w:p w14:paraId="6F307AA6"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18 (8.1)</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auto"/>
            <w:hideMark/>
          </w:tcPr>
          <w:p w14:paraId="31DE1BBB"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25 (7.1)</w:t>
            </w:r>
            <w:r w:rsidRPr="00950AD5">
              <w:rPr>
                <w:rStyle w:val="eop"/>
                <w:rFonts w:asciiTheme="minorHAnsi" w:hAnsiTheme="minorHAnsi" w:cstheme="minorHAnsi"/>
                <w:sz w:val="18"/>
                <w:szCs w:val="18"/>
              </w:rPr>
              <w:t> </w:t>
            </w:r>
          </w:p>
        </w:tc>
        <w:tc>
          <w:tcPr>
            <w:tcW w:w="1270" w:type="dxa"/>
            <w:tcBorders>
              <w:top w:val="nil"/>
              <w:left w:val="nil"/>
              <w:bottom w:val="nil"/>
              <w:right w:val="single" w:sz="6" w:space="0" w:color="auto"/>
            </w:tcBorders>
            <w:shd w:val="clear" w:color="auto" w:fill="auto"/>
            <w:hideMark/>
          </w:tcPr>
          <w:p w14:paraId="30DA9E4A"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25 (5.3)</w:t>
            </w:r>
            <w:r w:rsidRPr="00950AD5">
              <w:rPr>
                <w:rStyle w:val="eop"/>
                <w:rFonts w:asciiTheme="minorHAnsi" w:hAnsiTheme="minorHAnsi" w:cstheme="minorHAnsi"/>
                <w:color w:val="000000"/>
                <w:sz w:val="18"/>
                <w:szCs w:val="18"/>
              </w:rPr>
              <w:t> </w:t>
            </w:r>
          </w:p>
        </w:tc>
      </w:tr>
      <w:tr w:rsidR="00B21280" w:rsidRPr="00950AD5" w14:paraId="6F570290" w14:textId="77777777" w:rsidTr="00F86021">
        <w:trPr>
          <w:trHeight w:val="300"/>
        </w:trPr>
        <w:tc>
          <w:tcPr>
            <w:tcW w:w="5600" w:type="dxa"/>
            <w:tcBorders>
              <w:top w:val="nil"/>
              <w:left w:val="single" w:sz="6" w:space="0" w:color="auto"/>
              <w:bottom w:val="nil"/>
              <w:right w:val="single" w:sz="6" w:space="0" w:color="7F7F7F"/>
            </w:tcBorders>
            <w:shd w:val="clear" w:color="auto" w:fill="FFFFFF"/>
            <w:hideMark/>
          </w:tcPr>
          <w:p w14:paraId="23C6F464"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May consider restarting gluten diet and biopsy if GFD does not work </w:t>
            </w:r>
            <w:r w:rsidRPr="00834034">
              <w:rPr>
                <w:rStyle w:val="normaltextrun"/>
                <w:rFonts w:eastAsiaTheme="majorEastAsia"/>
              </w:rPr>
              <w:t> </w:t>
            </w:r>
          </w:p>
        </w:tc>
        <w:tc>
          <w:tcPr>
            <w:tcW w:w="988" w:type="dxa"/>
            <w:tcBorders>
              <w:top w:val="nil"/>
              <w:left w:val="nil"/>
              <w:bottom w:val="nil"/>
              <w:right w:val="nil"/>
            </w:tcBorders>
            <w:shd w:val="clear" w:color="auto" w:fill="F2F2F2"/>
            <w:hideMark/>
          </w:tcPr>
          <w:p w14:paraId="229A68D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8 (3.3)</w:t>
            </w:r>
            <w:r w:rsidRPr="00950AD5">
              <w:rPr>
                <w:rStyle w:val="eop"/>
                <w:rFonts w:asciiTheme="minorHAnsi" w:hAnsiTheme="minorHAnsi" w:cstheme="minorHAnsi"/>
                <w:color w:val="000000"/>
                <w:sz w:val="18"/>
                <w:szCs w:val="18"/>
              </w:rPr>
              <w:t> </w:t>
            </w:r>
          </w:p>
        </w:tc>
        <w:tc>
          <w:tcPr>
            <w:tcW w:w="1066" w:type="dxa"/>
            <w:tcBorders>
              <w:top w:val="nil"/>
              <w:left w:val="nil"/>
              <w:bottom w:val="nil"/>
              <w:right w:val="nil"/>
            </w:tcBorders>
            <w:shd w:val="clear" w:color="auto" w:fill="F2F2F2"/>
            <w:hideMark/>
          </w:tcPr>
          <w:p w14:paraId="18B5932C"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14 (6.3)</w:t>
            </w:r>
            <w:r w:rsidRPr="00950AD5">
              <w:rPr>
                <w:rStyle w:val="eop"/>
                <w:rFonts w:asciiTheme="minorHAnsi" w:hAnsiTheme="minorHAnsi" w:cstheme="minorHAnsi"/>
                <w:color w:val="000000"/>
                <w:sz w:val="18"/>
                <w:szCs w:val="18"/>
              </w:rPr>
              <w:t> </w:t>
            </w:r>
          </w:p>
        </w:tc>
        <w:tc>
          <w:tcPr>
            <w:tcW w:w="991" w:type="dxa"/>
            <w:tcBorders>
              <w:top w:val="nil"/>
              <w:left w:val="nil"/>
              <w:bottom w:val="nil"/>
              <w:right w:val="nil"/>
            </w:tcBorders>
            <w:shd w:val="clear" w:color="auto" w:fill="F2F2F2"/>
            <w:hideMark/>
          </w:tcPr>
          <w:p w14:paraId="08DBAAE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22 (6.2)</w:t>
            </w:r>
            <w:r w:rsidRPr="00950AD5">
              <w:rPr>
                <w:rStyle w:val="eop"/>
                <w:rFonts w:asciiTheme="minorHAnsi" w:hAnsiTheme="minorHAnsi" w:cstheme="minorHAnsi"/>
                <w:color w:val="000000"/>
                <w:sz w:val="18"/>
                <w:szCs w:val="18"/>
              </w:rPr>
              <w:t> </w:t>
            </w:r>
          </w:p>
        </w:tc>
        <w:tc>
          <w:tcPr>
            <w:tcW w:w="1270" w:type="dxa"/>
            <w:tcBorders>
              <w:top w:val="nil"/>
              <w:left w:val="nil"/>
              <w:bottom w:val="nil"/>
              <w:right w:val="single" w:sz="6" w:space="0" w:color="auto"/>
            </w:tcBorders>
            <w:shd w:val="clear" w:color="auto" w:fill="F2F2F2"/>
            <w:hideMark/>
          </w:tcPr>
          <w:p w14:paraId="6E37D799"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22 (4.7)</w:t>
            </w:r>
            <w:r w:rsidRPr="00950AD5">
              <w:rPr>
                <w:rStyle w:val="eop"/>
                <w:rFonts w:asciiTheme="minorHAnsi" w:hAnsiTheme="minorHAnsi" w:cstheme="minorHAnsi"/>
                <w:color w:val="000000"/>
                <w:sz w:val="18"/>
                <w:szCs w:val="18"/>
              </w:rPr>
              <w:t> </w:t>
            </w:r>
          </w:p>
        </w:tc>
      </w:tr>
      <w:tr w:rsidR="00B21280" w:rsidRPr="00950AD5" w14:paraId="21160EA1" w14:textId="77777777" w:rsidTr="00F86021">
        <w:trPr>
          <w:trHeight w:val="300"/>
        </w:trPr>
        <w:tc>
          <w:tcPr>
            <w:tcW w:w="5600" w:type="dxa"/>
            <w:tcBorders>
              <w:top w:val="nil"/>
              <w:left w:val="single" w:sz="6" w:space="0" w:color="auto"/>
              <w:bottom w:val="single" w:sz="6" w:space="0" w:color="auto"/>
              <w:right w:val="single" w:sz="6" w:space="0" w:color="7F7F7F"/>
            </w:tcBorders>
            <w:shd w:val="clear" w:color="auto" w:fill="FFFFFF"/>
            <w:hideMark/>
          </w:tcPr>
          <w:p w14:paraId="780A436C" w14:textId="77777777" w:rsidR="00B21280" w:rsidRPr="00834034" w:rsidRDefault="00B21280" w:rsidP="00F86021">
            <w:pPr>
              <w:pStyle w:val="paragraph"/>
              <w:spacing w:before="0" w:beforeAutospacing="0" w:after="0" w:afterAutospacing="0"/>
              <w:ind w:left="413"/>
              <w:textAlignment w:val="baseline"/>
              <w:rPr>
                <w:rStyle w:val="normaltextrun"/>
                <w:rFonts w:eastAsiaTheme="majorEastAsia"/>
                <w:color w:val="000000"/>
              </w:rPr>
            </w:pPr>
            <w:r w:rsidRPr="00950AD5">
              <w:rPr>
                <w:rStyle w:val="normaltextrun"/>
                <w:rFonts w:asciiTheme="minorHAnsi" w:eastAsiaTheme="majorEastAsia" w:hAnsiTheme="minorHAnsi" w:cstheme="minorHAnsi"/>
                <w:color w:val="000000"/>
                <w:sz w:val="18"/>
                <w:szCs w:val="18"/>
              </w:rPr>
              <w:t>Would start GFD at the lowest likelihood (10% chance or less)</w:t>
            </w:r>
            <w:r w:rsidRPr="00834034">
              <w:rPr>
                <w:rStyle w:val="normaltextrun"/>
                <w:rFonts w:eastAsiaTheme="majorEastAsia"/>
              </w:rPr>
              <w:t> </w:t>
            </w:r>
          </w:p>
        </w:tc>
        <w:tc>
          <w:tcPr>
            <w:tcW w:w="988" w:type="dxa"/>
            <w:tcBorders>
              <w:top w:val="nil"/>
              <w:left w:val="nil"/>
              <w:bottom w:val="single" w:sz="6" w:space="0" w:color="auto"/>
              <w:right w:val="nil"/>
            </w:tcBorders>
            <w:shd w:val="clear" w:color="auto" w:fill="auto"/>
            <w:hideMark/>
          </w:tcPr>
          <w:p w14:paraId="3CC982D7"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 (0.4)</w:t>
            </w:r>
            <w:r w:rsidRPr="00950AD5">
              <w:rPr>
                <w:rStyle w:val="eop"/>
                <w:rFonts w:asciiTheme="minorHAnsi" w:hAnsiTheme="minorHAnsi" w:cstheme="minorHAnsi"/>
                <w:color w:val="000000"/>
                <w:sz w:val="18"/>
                <w:szCs w:val="18"/>
              </w:rPr>
              <w:t> </w:t>
            </w:r>
          </w:p>
        </w:tc>
        <w:tc>
          <w:tcPr>
            <w:tcW w:w="1066" w:type="dxa"/>
            <w:tcBorders>
              <w:top w:val="nil"/>
              <w:left w:val="nil"/>
              <w:bottom w:val="single" w:sz="6" w:space="0" w:color="auto"/>
              <w:right w:val="nil"/>
            </w:tcBorders>
            <w:shd w:val="clear" w:color="auto" w:fill="auto"/>
            <w:hideMark/>
          </w:tcPr>
          <w:p w14:paraId="19AD4EA5"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19 (8.5)</w:t>
            </w:r>
            <w:r w:rsidRPr="00950AD5">
              <w:rPr>
                <w:rStyle w:val="eop"/>
                <w:rFonts w:asciiTheme="minorHAnsi" w:hAnsiTheme="minorHAnsi" w:cstheme="minorHAnsi"/>
                <w:color w:val="000000"/>
                <w:sz w:val="18"/>
                <w:szCs w:val="18"/>
              </w:rPr>
              <w:t> </w:t>
            </w:r>
          </w:p>
        </w:tc>
        <w:tc>
          <w:tcPr>
            <w:tcW w:w="991" w:type="dxa"/>
            <w:tcBorders>
              <w:top w:val="nil"/>
              <w:left w:val="nil"/>
              <w:bottom w:val="single" w:sz="6" w:space="0" w:color="auto"/>
              <w:right w:val="nil"/>
            </w:tcBorders>
            <w:shd w:val="clear" w:color="auto" w:fill="auto"/>
            <w:hideMark/>
          </w:tcPr>
          <w:p w14:paraId="28AECFEF"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sz w:val="18"/>
                <w:szCs w:val="18"/>
              </w:rPr>
              <w:t>20 (5.7)</w:t>
            </w:r>
            <w:r w:rsidRPr="00950AD5">
              <w:rPr>
                <w:rStyle w:val="eop"/>
                <w:rFonts w:asciiTheme="minorHAnsi" w:hAnsiTheme="minorHAnsi" w:cstheme="minorHAnsi"/>
                <w:sz w:val="18"/>
                <w:szCs w:val="18"/>
              </w:rPr>
              <w:t> </w:t>
            </w:r>
          </w:p>
        </w:tc>
        <w:tc>
          <w:tcPr>
            <w:tcW w:w="1270" w:type="dxa"/>
            <w:tcBorders>
              <w:top w:val="nil"/>
              <w:left w:val="nil"/>
              <w:bottom w:val="single" w:sz="6" w:space="0" w:color="auto"/>
              <w:right w:val="single" w:sz="6" w:space="0" w:color="auto"/>
            </w:tcBorders>
            <w:shd w:val="clear" w:color="auto" w:fill="auto"/>
            <w:hideMark/>
          </w:tcPr>
          <w:p w14:paraId="556BBBF2" w14:textId="77777777" w:rsidR="00B21280" w:rsidRPr="00950AD5" w:rsidRDefault="00B21280" w:rsidP="00F86021">
            <w:pPr>
              <w:pStyle w:val="paragraph"/>
              <w:spacing w:before="0" w:beforeAutospacing="0" w:after="0" w:afterAutospacing="0"/>
              <w:textAlignment w:val="baseline"/>
              <w:rPr>
                <w:rFonts w:asciiTheme="minorHAnsi" w:hAnsiTheme="minorHAnsi" w:cstheme="minorHAnsi"/>
                <w:sz w:val="18"/>
                <w:szCs w:val="18"/>
              </w:rPr>
            </w:pPr>
            <w:r w:rsidRPr="00950AD5">
              <w:rPr>
                <w:rStyle w:val="normaltextrun"/>
                <w:rFonts w:asciiTheme="minorHAnsi" w:eastAsiaTheme="majorEastAsia" w:hAnsiTheme="minorHAnsi" w:cstheme="minorHAnsi"/>
                <w:color w:val="000000"/>
                <w:sz w:val="18"/>
                <w:szCs w:val="18"/>
              </w:rPr>
              <w:t>20 (4.3)</w:t>
            </w:r>
            <w:r w:rsidRPr="00950AD5">
              <w:rPr>
                <w:rStyle w:val="eop"/>
                <w:rFonts w:asciiTheme="minorHAnsi" w:hAnsiTheme="minorHAnsi" w:cstheme="minorHAnsi"/>
                <w:color w:val="000000"/>
                <w:sz w:val="18"/>
                <w:szCs w:val="18"/>
              </w:rPr>
              <w:t> </w:t>
            </w:r>
          </w:p>
        </w:tc>
      </w:tr>
    </w:tbl>
    <w:p w14:paraId="663BF68D" w14:textId="77777777" w:rsidR="00B21280" w:rsidRDefault="00B21280" w:rsidP="00B21280"/>
    <w:p w14:paraId="1E415DEE" w14:textId="3336F85F" w:rsidR="003B0237" w:rsidRPr="00734942" w:rsidRDefault="003B0237" w:rsidP="003B0237">
      <w:pPr>
        <w:pStyle w:val="Heading2"/>
      </w:pPr>
      <w:bookmarkStart w:id="511" w:name="_Ref95137361"/>
      <w:bookmarkStart w:id="512" w:name="_Toc99539951"/>
      <w:r w:rsidRPr="00734942">
        <w:lastRenderedPageBreak/>
        <w:t xml:space="preserve">Appendix </w:t>
      </w:r>
      <w:r w:rsidR="00B137B2">
        <w:t>24</w:t>
      </w:r>
      <w:bookmarkEnd w:id="500"/>
      <w:bookmarkEnd w:id="501"/>
      <w:bookmarkEnd w:id="511"/>
      <w:bookmarkEnd w:id="512"/>
    </w:p>
    <w:p w14:paraId="398B54B3" w14:textId="6F1BF0FF" w:rsidR="004F1C65" w:rsidRDefault="004F1C65" w:rsidP="004F1C65">
      <w:pPr>
        <w:pStyle w:val="Heading3"/>
      </w:pPr>
      <w:bookmarkStart w:id="513" w:name="_Toc99539952"/>
      <w:r>
        <w:rPr>
          <w:rFonts w:cstheme="minorHAnsi"/>
        </w:rPr>
        <w:t>S</w:t>
      </w:r>
      <w:r w:rsidRPr="00305D05">
        <w:rPr>
          <w:rFonts w:cstheme="minorHAnsi"/>
        </w:rPr>
        <w:t xml:space="preserve">earch strategy </w:t>
      </w:r>
      <w:r>
        <w:rPr>
          <w:rFonts w:cstheme="minorHAnsi"/>
        </w:rPr>
        <w:t>for targeted literature review of previous cost-effectiveness models in coeliac disease</w:t>
      </w:r>
      <w:bookmarkEnd w:id="513"/>
    </w:p>
    <w:p w14:paraId="6B1A53EE"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Ovid Embase &lt;1974 to 2020 Week 19&gt;</w:t>
      </w:r>
    </w:p>
    <w:p w14:paraId="6C12B56A"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Search Strategy:</w:t>
      </w:r>
    </w:p>
    <w:p w14:paraId="24C68956" w14:textId="77777777" w:rsidR="00CB2236" w:rsidRPr="00753F0D" w:rsidRDefault="00CB2236" w:rsidP="00CB2236">
      <w:pPr>
        <w:rPr>
          <w:rFonts w:eastAsia="Times New Roman" w:cstheme="minorHAnsi"/>
          <w:color w:val="000000"/>
          <w:lang w:val="it-IT" w:eastAsia="en-GB"/>
        </w:rPr>
      </w:pPr>
      <w:r w:rsidRPr="00753F0D">
        <w:rPr>
          <w:rFonts w:eastAsia="Times New Roman" w:cstheme="minorHAnsi"/>
          <w:color w:val="000000"/>
          <w:lang w:val="it-IT" w:eastAsia="en-GB"/>
        </w:rPr>
        <w:t>--------------------------------------------------------------------------------</w:t>
      </w:r>
    </w:p>
    <w:p w14:paraId="6F8F7C62" w14:textId="77777777" w:rsidR="00CB2236" w:rsidRPr="00753F0D" w:rsidRDefault="00CB2236" w:rsidP="00CB2236">
      <w:pPr>
        <w:rPr>
          <w:rFonts w:eastAsia="Times New Roman" w:cstheme="minorHAnsi"/>
          <w:color w:val="000000"/>
          <w:lang w:val="it-IT" w:eastAsia="en-GB"/>
        </w:rPr>
      </w:pPr>
      <w:r w:rsidRPr="00753F0D">
        <w:rPr>
          <w:rFonts w:eastAsia="Times New Roman" w:cstheme="minorHAnsi"/>
          <w:color w:val="000000"/>
          <w:lang w:val="it-IT" w:eastAsia="en-GB"/>
        </w:rPr>
        <w:t>1     Celiac Disease/ (30110)</w:t>
      </w:r>
    </w:p>
    <w:p w14:paraId="6EA3BB21" w14:textId="77777777" w:rsidR="00CB2236" w:rsidRPr="00C3631C" w:rsidRDefault="00CB2236" w:rsidP="00CB2236">
      <w:pPr>
        <w:rPr>
          <w:rFonts w:eastAsia="Times New Roman" w:cstheme="minorHAnsi"/>
          <w:color w:val="000000"/>
          <w:lang w:eastAsia="en-GB"/>
        </w:rPr>
      </w:pPr>
      <w:r w:rsidRPr="00753F0D">
        <w:rPr>
          <w:rFonts w:eastAsia="Times New Roman" w:cstheme="minorHAnsi"/>
          <w:color w:val="000000"/>
          <w:lang w:val="it-IT" w:eastAsia="en-GB"/>
        </w:rPr>
        <w:t xml:space="preserve">2     c?eliac?.ti,ab,kw. </w:t>
      </w:r>
      <w:r w:rsidRPr="00C3631C">
        <w:rPr>
          <w:rFonts w:eastAsia="Times New Roman" w:cstheme="minorHAnsi"/>
          <w:color w:val="000000"/>
          <w:lang w:eastAsia="en-GB"/>
        </w:rPr>
        <w:t>(39478)</w:t>
      </w:r>
    </w:p>
    <w:p w14:paraId="1A4EC0D3"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3     or/1-2 (45026)</w:t>
      </w:r>
    </w:p>
    <w:p w14:paraId="5A481E6A"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4     (c?eliac adj (angiograp* or arter* or axis or plexus or trunk)).ti,ab,kw,hw. (12349)</w:t>
      </w:r>
    </w:p>
    <w:p w14:paraId="1BC3B874"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5     3 not 4 (36020)</w:t>
      </w:r>
    </w:p>
    <w:p w14:paraId="3E87FBDA"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6     economic evaluation/ or "cost benefit analysis"/ or "cost control"/ or "cost effectiveness analysis"/ or "cost minimization analysis"/ or "cost of illness"/ or "cost utility analysis"/ (303574)</w:t>
      </w:r>
    </w:p>
    <w:p w14:paraId="01D5BF81"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7     (economic* adj2 (analys* or benefit* or consequence* or effect* or evaluat* or minimi#ation or saving*)).ti,ab,kw. (47258)</w:t>
      </w:r>
    </w:p>
    <w:p w14:paraId="00205B29"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8     ((cost or costs or costing*) adj2 (analys* or benefit* or consequence* or effective* or estimate* or minimi#ation or saving* or utility or variab*)).ti,ab,kw. (262232)</w:t>
      </w:r>
    </w:p>
    <w:p w14:paraId="7455D636"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9     (cba or cea or cua).ti,ab,kw. (48623)</w:t>
      </w:r>
    </w:p>
    <w:p w14:paraId="1C07CDCD"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10     (budget* or unit cost).ti,ab,kw. (40257)</w:t>
      </w:r>
    </w:p>
    <w:p w14:paraId="726EE240"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11     (expenditure* not energy).ti,ab,kw. (40404)</w:t>
      </w:r>
    </w:p>
    <w:p w14:paraId="22EA949B" w14:textId="77777777" w:rsidR="00CB2236" w:rsidRPr="00C34531" w:rsidRDefault="00CB2236" w:rsidP="00CB2236">
      <w:pPr>
        <w:rPr>
          <w:rFonts w:eastAsia="Times New Roman" w:cstheme="minorHAnsi"/>
          <w:color w:val="000000"/>
          <w:lang w:eastAsia="en-GB"/>
        </w:rPr>
      </w:pPr>
      <w:r w:rsidRPr="00C3631C">
        <w:rPr>
          <w:rFonts w:eastAsia="Times New Roman" w:cstheme="minorHAnsi"/>
          <w:color w:val="000000"/>
          <w:lang w:eastAsia="en-GB"/>
        </w:rPr>
        <w:t xml:space="preserve">12     (value adj2 (money or monetary)).ti,ab,kw. </w:t>
      </w:r>
      <w:r w:rsidRPr="00C34531">
        <w:rPr>
          <w:rFonts w:eastAsia="Times New Roman" w:cstheme="minorHAnsi"/>
          <w:color w:val="000000"/>
          <w:lang w:eastAsia="en-GB"/>
        </w:rPr>
        <w:t>(3249)</w:t>
      </w:r>
    </w:p>
    <w:p w14:paraId="1C53D2C1" w14:textId="77777777" w:rsidR="00CB2236" w:rsidRPr="00C34531" w:rsidRDefault="00CB2236" w:rsidP="00CB2236">
      <w:pPr>
        <w:rPr>
          <w:rFonts w:eastAsia="Times New Roman" w:cstheme="minorHAnsi"/>
          <w:color w:val="000000"/>
          <w:lang w:eastAsia="en-GB"/>
        </w:rPr>
      </w:pPr>
      <w:r w:rsidRPr="00C34531">
        <w:rPr>
          <w:rFonts w:eastAsia="Times New Roman" w:cstheme="minorHAnsi"/>
          <w:color w:val="000000"/>
          <w:lang w:eastAsia="en-GB"/>
        </w:rPr>
        <w:t>13     economic model/ (1993)</w:t>
      </w:r>
    </w:p>
    <w:p w14:paraId="56C904C9" w14:textId="77777777" w:rsidR="00CB2236" w:rsidRPr="00C3631C" w:rsidRDefault="00CB2236" w:rsidP="00CB2236">
      <w:pPr>
        <w:rPr>
          <w:rFonts w:eastAsia="Times New Roman" w:cstheme="minorHAnsi"/>
          <w:color w:val="000000"/>
          <w:lang w:eastAsia="en-GB"/>
        </w:rPr>
      </w:pPr>
      <w:r w:rsidRPr="00C34531">
        <w:rPr>
          <w:rFonts w:eastAsia="Times New Roman" w:cstheme="minorHAnsi"/>
          <w:color w:val="000000"/>
          <w:lang w:eastAsia="en-GB"/>
        </w:rPr>
        <w:t xml:space="preserve">14     ((economic? or econometric) adj2 model*).ti,ab,kw. </w:t>
      </w:r>
      <w:r w:rsidRPr="00C3631C">
        <w:rPr>
          <w:rFonts w:eastAsia="Times New Roman" w:cstheme="minorHAnsi"/>
          <w:color w:val="000000"/>
          <w:lang w:eastAsia="en-GB"/>
        </w:rPr>
        <w:t>(7359)</w:t>
      </w:r>
    </w:p>
    <w:p w14:paraId="78C98894"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15     statistical model/ and exp economic aspect/ (21850)</w:t>
      </w:r>
    </w:p>
    <w:p w14:paraId="668995BE" w14:textId="77777777" w:rsidR="00CB2236" w:rsidRPr="00C34531" w:rsidRDefault="00CB2236" w:rsidP="00CB2236">
      <w:pPr>
        <w:rPr>
          <w:rFonts w:eastAsia="Times New Roman" w:cstheme="minorHAnsi"/>
          <w:color w:val="000000"/>
          <w:lang w:eastAsia="en-GB"/>
        </w:rPr>
      </w:pPr>
      <w:r w:rsidRPr="00C34531">
        <w:rPr>
          <w:rFonts w:eastAsia="Times New Roman" w:cstheme="minorHAnsi"/>
          <w:color w:val="000000"/>
          <w:lang w:eastAsia="en-GB"/>
        </w:rPr>
        <w:t>16     stochastic model/ (14561)</w:t>
      </w:r>
    </w:p>
    <w:p w14:paraId="47427D27" w14:textId="77777777" w:rsidR="00CB2236" w:rsidRPr="00C34531" w:rsidRDefault="00CB2236" w:rsidP="00CB2236">
      <w:pPr>
        <w:rPr>
          <w:rFonts w:eastAsia="Times New Roman" w:cstheme="minorHAnsi"/>
          <w:color w:val="000000"/>
          <w:lang w:eastAsia="en-GB"/>
        </w:rPr>
      </w:pPr>
      <w:r w:rsidRPr="00C34531">
        <w:rPr>
          <w:rFonts w:eastAsia="Times New Roman" w:cstheme="minorHAnsi"/>
          <w:color w:val="000000"/>
          <w:lang w:eastAsia="en-GB"/>
        </w:rPr>
        <w:t>17     decision tree/ (12592)</w:t>
      </w:r>
    </w:p>
    <w:p w14:paraId="5CC826EB" w14:textId="77777777" w:rsidR="00CB2236" w:rsidRPr="00C3631C" w:rsidRDefault="00CB2236" w:rsidP="00CB2236">
      <w:pPr>
        <w:rPr>
          <w:rFonts w:eastAsia="Times New Roman" w:cstheme="minorHAnsi"/>
          <w:color w:val="000000"/>
          <w:lang w:eastAsia="en-GB"/>
        </w:rPr>
      </w:pPr>
      <w:r w:rsidRPr="00773149">
        <w:rPr>
          <w:rFonts w:eastAsia="Times New Roman" w:cstheme="minorHAnsi"/>
          <w:color w:val="000000"/>
          <w:lang w:val="it-IT" w:eastAsia="en-GB"/>
        </w:rPr>
        <w:t xml:space="preserve">18     (markov* or monte carlo).ti,ab,kw,hw. </w:t>
      </w:r>
      <w:r w:rsidRPr="00C3631C">
        <w:rPr>
          <w:rFonts w:eastAsia="Times New Roman" w:cstheme="minorHAnsi"/>
          <w:color w:val="000000"/>
          <w:lang w:eastAsia="en-GB"/>
        </w:rPr>
        <w:t>(86470)</w:t>
      </w:r>
    </w:p>
    <w:p w14:paraId="0589F8D7"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19     (decision* adj2 (tree* or analy* or model*)).ti,ab,kw. (33681)</w:t>
      </w:r>
    </w:p>
    <w:p w14:paraId="191C0010"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20     ((value adj2 information analysis) or (expected value adj3 perfect information) or (expected value adj3 sampl* information)).ti,ab,kw. (529)</w:t>
      </w:r>
    </w:p>
    <w:p w14:paraId="623B22E1"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21     (microsimulation? or micro-simulation?).mp. (2052)</w:t>
      </w:r>
    </w:p>
    <w:p w14:paraId="11B5ED01"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22     discrete event? simulation?.mp. (1154)</w:t>
      </w:r>
    </w:p>
    <w:p w14:paraId="0B51FBFC"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23     or/6-22 (674534)</w:t>
      </w:r>
    </w:p>
    <w:p w14:paraId="633CA3FF"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lastRenderedPageBreak/>
        <w:t>24     5 and 23 (594)</w:t>
      </w:r>
    </w:p>
    <w:p w14:paraId="286C6958"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25     limit 24 to conference abstract status (204)</w:t>
      </w:r>
    </w:p>
    <w:p w14:paraId="62122A89" w14:textId="77777777" w:rsidR="00CB2236" w:rsidRPr="00C3631C" w:rsidRDefault="00CB2236" w:rsidP="00CB2236">
      <w:pPr>
        <w:rPr>
          <w:rFonts w:eastAsia="Times New Roman" w:cstheme="minorHAnsi"/>
          <w:color w:val="000000"/>
          <w:lang w:eastAsia="en-GB"/>
        </w:rPr>
      </w:pPr>
      <w:r w:rsidRPr="00C3631C">
        <w:rPr>
          <w:rFonts w:eastAsia="Times New Roman" w:cstheme="minorHAnsi"/>
          <w:color w:val="000000"/>
          <w:lang w:eastAsia="en-GB"/>
        </w:rPr>
        <w:t>26     24 not 25 (390)</w:t>
      </w:r>
    </w:p>
    <w:p w14:paraId="104F8B71" w14:textId="6DF6B43D" w:rsidR="004F1C65" w:rsidRPr="00305D05" w:rsidRDefault="00CB2236" w:rsidP="00CB2236">
      <w:r w:rsidRPr="00C3631C">
        <w:rPr>
          <w:rFonts w:eastAsia="Times New Roman" w:cstheme="minorHAnsi"/>
          <w:color w:val="000000"/>
          <w:lang w:eastAsia="en-GB"/>
        </w:rPr>
        <w:t>27     from 26 keep 1-390 (390)</w:t>
      </w:r>
    </w:p>
    <w:p w14:paraId="44C93194" w14:textId="03910B02" w:rsidR="00B137B2" w:rsidRDefault="00B137B2" w:rsidP="004F1C65"/>
    <w:p w14:paraId="583C7F77" w14:textId="77777777" w:rsidR="004F1C65" w:rsidRDefault="004F1C65" w:rsidP="004F1C65">
      <w:pPr>
        <w:pStyle w:val="Caption"/>
        <w:rPr>
          <w:rFonts w:cstheme="minorHAnsi"/>
          <w:sz w:val="24"/>
          <w:szCs w:val="24"/>
        </w:rPr>
        <w:sectPr w:rsidR="004F1C65" w:rsidSect="00FC7A72">
          <w:pgSz w:w="11906" w:h="16838"/>
          <w:pgMar w:top="1440" w:right="1440" w:bottom="1440" w:left="1440" w:header="708" w:footer="708" w:gutter="0"/>
          <w:cols w:space="708"/>
          <w:titlePg/>
          <w:docGrid w:linePitch="360"/>
        </w:sectPr>
      </w:pPr>
    </w:p>
    <w:p w14:paraId="5274D1F6" w14:textId="07E3789E" w:rsidR="002B78F3" w:rsidRPr="002B78F3" w:rsidRDefault="002B78F3" w:rsidP="000526F1">
      <w:pPr>
        <w:pStyle w:val="Heading2"/>
      </w:pPr>
      <w:bookmarkStart w:id="514" w:name="_Toc99539953"/>
      <w:r>
        <w:lastRenderedPageBreak/>
        <w:t>Appendix 25</w:t>
      </w:r>
      <w:bookmarkEnd w:id="514"/>
    </w:p>
    <w:p w14:paraId="6A9538DF" w14:textId="011529CE" w:rsidR="00DA73B7" w:rsidRPr="00B34D18" w:rsidRDefault="00DA73B7" w:rsidP="000526F1">
      <w:pPr>
        <w:pStyle w:val="Caption"/>
      </w:pPr>
      <w:bookmarkStart w:id="515" w:name="_Ref95383790"/>
      <w:bookmarkStart w:id="516" w:name="_Toc99720773"/>
      <w:r w:rsidRPr="00B34D18">
        <w:t xml:space="preserve">Table </w:t>
      </w:r>
      <w:r w:rsidR="00C34531">
        <w:fldChar w:fldCharType="begin"/>
      </w:r>
      <w:r w:rsidR="00C34531">
        <w:instrText xml:space="preserve"> SEQ Table \* ARABIC </w:instrText>
      </w:r>
      <w:r w:rsidR="00C34531">
        <w:fldChar w:fldCharType="separate"/>
      </w:r>
      <w:r w:rsidR="008B5583">
        <w:rPr>
          <w:noProof/>
        </w:rPr>
        <w:t>62</w:t>
      </w:r>
      <w:r w:rsidR="00C34531">
        <w:rPr>
          <w:noProof/>
        </w:rPr>
        <w:fldChar w:fldCharType="end"/>
      </w:r>
      <w:bookmarkEnd w:id="515"/>
      <w:r w:rsidRPr="00B34D18">
        <w:t xml:space="preserve">  Summary of economic models</w:t>
      </w:r>
      <w:bookmarkEnd w:id="516"/>
    </w:p>
    <w:tbl>
      <w:tblPr>
        <w:tblStyle w:val="TableGrid1"/>
        <w:tblW w:w="15446" w:type="dxa"/>
        <w:jc w:val="center"/>
        <w:tblLayout w:type="fixed"/>
        <w:tblLook w:val="04A0" w:firstRow="1" w:lastRow="0" w:firstColumn="1" w:lastColumn="0" w:noHBand="0" w:noVBand="1"/>
      </w:tblPr>
      <w:tblGrid>
        <w:gridCol w:w="1129"/>
        <w:gridCol w:w="1134"/>
        <w:gridCol w:w="1134"/>
        <w:gridCol w:w="1418"/>
        <w:gridCol w:w="1417"/>
        <w:gridCol w:w="1418"/>
        <w:gridCol w:w="992"/>
        <w:gridCol w:w="1843"/>
        <w:gridCol w:w="1417"/>
        <w:gridCol w:w="1701"/>
        <w:gridCol w:w="1843"/>
      </w:tblGrid>
      <w:tr w:rsidR="004F1C65" w:rsidRPr="00537E70" w14:paraId="1DBB5E2B" w14:textId="77777777" w:rsidTr="0093039F">
        <w:trPr>
          <w:tblHeader/>
          <w:jc w:val="center"/>
        </w:trPr>
        <w:tc>
          <w:tcPr>
            <w:tcW w:w="1129" w:type="dxa"/>
            <w:shd w:val="clear" w:color="auto" w:fill="E7E6E6" w:themeFill="background2"/>
          </w:tcPr>
          <w:p w14:paraId="37185B33" w14:textId="77777777" w:rsidR="004F1C65" w:rsidRPr="0093039F" w:rsidRDefault="004F1C65" w:rsidP="00D47AEE">
            <w:pPr>
              <w:rPr>
                <w:rFonts w:cstheme="minorHAnsi"/>
                <w:b/>
                <w:sz w:val="20"/>
                <w:szCs w:val="20"/>
              </w:rPr>
            </w:pPr>
            <w:r w:rsidRPr="0093039F">
              <w:rPr>
                <w:rFonts w:cstheme="minorHAnsi"/>
                <w:b/>
                <w:sz w:val="20"/>
                <w:szCs w:val="20"/>
              </w:rPr>
              <w:t>Author, year</w:t>
            </w:r>
          </w:p>
        </w:tc>
        <w:tc>
          <w:tcPr>
            <w:tcW w:w="1134" w:type="dxa"/>
            <w:shd w:val="clear" w:color="auto" w:fill="E7E6E6" w:themeFill="background2"/>
          </w:tcPr>
          <w:p w14:paraId="3C6F94EF" w14:textId="77777777" w:rsidR="004F1C65" w:rsidRPr="0093039F" w:rsidRDefault="004F1C65" w:rsidP="00D47AEE">
            <w:pPr>
              <w:rPr>
                <w:rFonts w:cstheme="minorHAnsi"/>
                <w:b/>
                <w:sz w:val="20"/>
                <w:szCs w:val="20"/>
              </w:rPr>
            </w:pPr>
            <w:r w:rsidRPr="0093039F">
              <w:rPr>
                <w:rFonts w:cstheme="minorHAnsi"/>
                <w:b/>
                <w:sz w:val="20"/>
                <w:szCs w:val="20"/>
              </w:rPr>
              <w:t>Country</w:t>
            </w:r>
          </w:p>
        </w:tc>
        <w:tc>
          <w:tcPr>
            <w:tcW w:w="1134" w:type="dxa"/>
            <w:shd w:val="clear" w:color="auto" w:fill="E7E6E6" w:themeFill="background2"/>
          </w:tcPr>
          <w:p w14:paraId="1FB173C3" w14:textId="77777777" w:rsidR="004F1C65" w:rsidRPr="0093039F" w:rsidRDefault="004F1C65" w:rsidP="00D47AEE">
            <w:pPr>
              <w:rPr>
                <w:rFonts w:cstheme="minorHAnsi"/>
                <w:b/>
                <w:sz w:val="20"/>
                <w:szCs w:val="20"/>
              </w:rPr>
            </w:pPr>
            <w:r w:rsidRPr="0093039F">
              <w:rPr>
                <w:rFonts w:cstheme="minorHAnsi"/>
                <w:b/>
                <w:sz w:val="20"/>
                <w:szCs w:val="20"/>
              </w:rPr>
              <w:t>Research Question</w:t>
            </w:r>
          </w:p>
        </w:tc>
        <w:tc>
          <w:tcPr>
            <w:tcW w:w="1418" w:type="dxa"/>
            <w:shd w:val="clear" w:color="auto" w:fill="E7E6E6" w:themeFill="background2"/>
          </w:tcPr>
          <w:p w14:paraId="75B2B8A2" w14:textId="77777777" w:rsidR="004F1C65" w:rsidRPr="0093039F" w:rsidRDefault="004F1C65" w:rsidP="00D47AEE">
            <w:pPr>
              <w:rPr>
                <w:rFonts w:cstheme="minorHAnsi"/>
                <w:b/>
                <w:sz w:val="20"/>
                <w:szCs w:val="20"/>
              </w:rPr>
            </w:pPr>
            <w:r w:rsidRPr="0093039F">
              <w:rPr>
                <w:rFonts w:cstheme="minorHAnsi"/>
                <w:b/>
                <w:sz w:val="20"/>
                <w:szCs w:val="20"/>
              </w:rPr>
              <w:t>Tests compared</w:t>
            </w:r>
          </w:p>
        </w:tc>
        <w:tc>
          <w:tcPr>
            <w:tcW w:w="1417" w:type="dxa"/>
            <w:shd w:val="clear" w:color="auto" w:fill="E7E6E6" w:themeFill="background2"/>
          </w:tcPr>
          <w:p w14:paraId="646212EA" w14:textId="77777777" w:rsidR="004F1C65" w:rsidRPr="0093039F" w:rsidRDefault="004F1C65" w:rsidP="00D47AEE">
            <w:pPr>
              <w:rPr>
                <w:rFonts w:cstheme="minorHAnsi"/>
                <w:b/>
                <w:sz w:val="20"/>
                <w:szCs w:val="20"/>
              </w:rPr>
            </w:pPr>
            <w:r w:rsidRPr="0093039F">
              <w:rPr>
                <w:rFonts w:cstheme="minorHAnsi"/>
                <w:b/>
                <w:sz w:val="20"/>
                <w:szCs w:val="20"/>
              </w:rPr>
              <w:t>Comparator</w:t>
            </w:r>
          </w:p>
        </w:tc>
        <w:tc>
          <w:tcPr>
            <w:tcW w:w="1418" w:type="dxa"/>
            <w:shd w:val="clear" w:color="auto" w:fill="E7E6E6" w:themeFill="background2"/>
          </w:tcPr>
          <w:p w14:paraId="217C82C9" w14:textId="77777777" w:rsidR="004F1C65" w:rsidRPr="0093039F" w:rsidRDefault="004F1C65" w:rsidP="00D47AEE">
            <w:pPr>
              <w:rPr>
                <w:rFonts w:cstheme="minorHAnsi"/>
                <w:b/>
                <w:sz w:val="20"/>
                <w:szCs w:val="20"/>
              </w:rPr>
            </w:pPr>
            <w:r w:rsidRPr="0093039F">
              <w:rPr>
                <w:rFonts w:cstheme="minorHAnsi"/>
                <w:b/>
                <w:sz w:val="20"/>
                <w:szCs w:val="20"/>
              </w:rPr>
              <w:t>Population</w:t>
            </w:r>
          </w:p>
        </w:tc>
        <w:tc>
          <w:tcPr>
            <w:tcW w:w="992" w:type="dxa"/>
            <w:shd w:val="clear" w:color="auto" w:fill="E7E6E6" w:themeFill="background2"/>
          </w:tcPr>
          <w:p w14:paraId="40B22273" w14:textId="77777777" w:rsidR="004F1C65" w:rsidRPr="0093039F" w:rsidRDefault="004F1C65" w:rsidP="00D47AEE">
            <w:pPr>
              <w:rPr>
                <w:rFonts w:cstheme="minorHAnsi"/>
                <w:b/>
                <w:sz w:val="20"/>
                <w:szCs w:val="20"/>
              </w:rPr>
            </w:pPr>
            <w:r w:rsidRPr="0093039F">
              <w:rPr>
                <w:rFonts w:cstheme="minorHAnsi"/>
                <w:b/>
                <w:sz w:val="20"/>
                <w:szCs w:val="20"/>
              </w:rPr>
              <w:t>Model type</w:t>
            </w:r>
          </w:p>
        </w:tc>
        <w:tc>
          <w:tcPr>
            <w:tcW w:w="1843" w:type="dxa"/>
            <w:shd w:val="clear" w:color="auto" w:fill="E7E6E6" w:themeFill="background2"/>
          </w:tcPr>
          <w:p w14:paraId="0CE06FEB" w14:textId="77777777" w:rsidR="004F1C65" w:rsidRPr="0093039F" w:rsidRDefault="004F1C65" w:rsidP="00D47AEE">
            <w:pPr>
              <w:rPr>
                <w:rFonts w:cstheme="minorHAnsi"/>
                <w:b/>
                <w:sz w:val="20"/>
                <w:szCs w:val="20"/>
              </w:rPr>
            </w:pPr>
            <w:r w:rsidRPr="0093039F">
              <w:rPr>
                <w:rFonts w:eastAsia="Times New Roman" w:cstheme="minorHAnsi"/>
                <w:b/>
                <w:color w:val="000000"/>
                <w:sz w:val="20"/>
                <w:szCs w:val="20"/>
                <w:lang w:eastAsia="en-GB"/>
              </w:rPr>
              <w:t>Model structure</w:t>
            </w:r>
          </w:p>
        </w:tc>
        <w:tc>
          <w:tcPr>
            <w:tcW w:w="1417" w:type="dxa"/>
            <w:shd w:val="clear" w:color="auto" w:fill="E7E6E6" w:themeFill="background2"/>
          </w:tcPr>
          <w:p w14:paraId="1932518E" w14:textId="77777777" w:rsidR="004F1C65" w:rsidRPr="0093039F" w:rsidRDefault="004F1C65" w:rsidP="00D47AEE">
            <w:pPr>
              <w:rPr>
                <w:rFonts w:cstheme="minorHAnsi"/>
                <w:b/>
                <w:sz w:val="20"/>
                <w:szCs w:val="20"/>
              </w:rPr>
            </w:pPr>
            <w:r w:rsidRPr="0093039F">
              <w:rPr>
                <w:rFonts w:eastAsia="Times New Roman" w:cstheme="minorHAnsi"/>
                <w:b/>
                <w:color w:val="000000"/>
                <w:sz w:val="20"/>
                <w:szCs w:val="20"/>
                <w:lang w:eastAsia="en-GB"/>
              </w:rPr>
              <w:t>Time horizon</w:t>
            </w:r>
          </w:p>
        </w:tc>
        <w:tc>
          <w:tcPr>
            <w:tcW w:w="1701" w:type="dxa"/>
            <w:shd w:val="clear" w:color="auto" w:fill="E7E6E6" w:themeFill="background2"/>
          </w:tcPr>
          <w:p w14:paraId="3A6F7D7E" w14:textId="77777777" w:rsidR="004F1C65" w:rsidRPr="0093039F" w:rsidRDefault="004F1C65" w:rsidP="00D47AEE">
            <w:pPr>
              <w:rPr>
                <w:rFonts w:cstheme="minorHAnsi"/>
                <w:b/>
                <w:sz w:val="20"/>
                <w:szCs w:val="20"/>
              </w:rPr>
            </w:pPr>
            <w:r w:rsidRPr="0093039F">
              <w:rPr>
                <w:rFonts w:eastAsia="Times New Roman" w:cstheme="minorHAnsi"/>
                <w:b/>
                <w:color w:val="000000"/>
                <w:sz w:val="20"/>
                <w:szCs w:val="20"/>
                <w:lang w:eastAsia="en-GB"/>
              </w:rPr>
              <w:t>Relevant costs or QALYs</w:t>
            </w:r>
          </w:p>
        </w:tc>
        <w:tc>
          <w:tcPr>
            <w:tcW w:w="1843" w:type="dxa"/>
            <w:shd w:val="clear" w:color="auto" w:fill="E7E6E6" w:themeFill="background2"/>
          </w:tcPr>
          <w:p w14:paraId="622E1A7F" w14:textId="77777777" w:rsidR="004F1C65" w:rsidRPr="0093039F" w:rsidRDefault="004F1C65" w:rsidP="00D47AEE">
            <w:pPr>
              <w:rPr>
                <w:rFonts w:cstheme="minorHAnsi"/>
                <w:b/>
                <w:sz w:val="20"/>
                <w:szCs w:val="20"/>
              </w:rPr>
            </w:pPr>
            <w:r w:rsidRPr="0093039F">
              <w:rPr>
                <w:rFonts w:eastAsia="Times New Roman" w:cstheme="minorHAnsi"/>
                <w:b/>
                <w:color w:val="000000"/>
                <w:sz w:val="20"/>
                <w:szCs w:val="20"/>
                <w:lang w:eastAsia="en-GB"/>
              </w:rPr>
              <w:t>Conclusion</w:t>
            </w:r>
          </w:p>
        </w:tc>
      </w:tr>
      <w:tr w:rsidR="004F1C65" w:rsidRPr="00537E70" w14:paraId="722B24C9" w14:textId="77777777" w:rsidTr="0093039F">
        <w:trPr>
          <w:jc w:val="center"/>
        </w:trPr>
        <w:tc>
          <w:tcPr>
            <w:tcW w:w="1129" w:type="dxa"/>
          </w:tcPr>
          <w:p w14:paraId="38185DE8" w14:textId="618593A3" w:rsidR="004F1C65" w:rsidRPr="00693CFF" w:rsidRDefault="004F1C65" w:rsidP="0093039F">
            <w:pPr>
              <w:rPr>
                <w:rFonts w:cstheme="minorHAnsi"/>
                <w:color w:val="000000"/>
                <w:sz w:val="20"/>
                <w:szCs w:val="20"/>
              </w:rPr>
            </w:pPr>
            <w:r w:rsidRPr="00693CFF">
              <w:rPr>
                <w:rFonts w:cstheme="minorHAnsi"/>
                <w:color w:val="000000"/>
                <w:sz w:val="20"/>
                <w:szCs w:val="20"/>
              </w:rPr>
              <w:t>Harewood &amp; Murray 2001</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&lt;EndNote&gt;&lt;Cite&gt;&lt;Author&gt;Harewood&lt;/Author&gt;&lt;Year&gt;2001&lt;/Year&gt;&lt;RecNum&gt;391&lt;/RecNum&gt;&lt;DisplayText&gt;&lt;style face="superscript"&gt;199&lt;/style&gt;&lt;/DisplayText&gt;&lt;record&gt;&lt;rec-number&gt;391&lt;/rec-number&gt;&lt;foreign-keys&gt;&lt;key app="EN" db-id="tdwrx9xd1z9eepeevr355w2k959rv0f5zaax" timestamp="1633338937"&gt;391&lt;/key&gt;&lt;/foreign-keys&gt;&lt;ref-type name="Journal Article"&gt;17&lt;/ref-type&gt;&lt;contributors&gt;&lt;authors&gt;&lt;author&gt;Harewood, G. C.&lt;/author&gt;&lt;author&gt;Murray, J. A.&lt;/author&gt;&lt;/authors&gt;&lt;/contributors&gt;&lt;auth-address&gt;Department of Gastroenterology and Hepatology, Mayo Clinic, Rochester, Minnesota 55905, USA.&lt;/auth-address&gt;&lt;titles&gt;&lt;title&gt;Diagnostic approach to a patient with suspected celiac disease: a cost analysis&lt;/title&gt;&lt;secondary-title&gt;Dig Dis Sci&lt;/secondary-title&gt;&lt;/titles&gt;&lt;periodical&gt;&lt;full-title&gt;Dig Dis Sci&lt;/full-title&gt;&lt;/periodical&gt;&lt;pages&gt;2510-4&lt;/pages&gt;&lt;volume&gt;46&lt;/volume&gt;&lt;number&gt;11&lt;/number&gt;&lt;edition&gt;2001/11/21&lt;/edition&gt;&lt;keywords&gt;&lt;keyword&gt;Biopsy/economics&lt;/keyword&gt;&lt;keyword&gt;Celiac Disease/*diagnosis/*economics&lt;/keyword&gt;&lt;keyword&gt;*Decision Support Techniques&lt;/keyword&gt;&lt;keyword&gt;Endoscopy, Digestive System/economics&lt;/keyword&gt;&lt;keyword&gt;Gliadin/immunology&lt;/keyword&gt;&lt;keyword&gt;*Health Care Costs&lt;/keyword&gt;&lt;keyword&gt;Humans&lt;/keyword&gt;&lt;keyword&gt;Intestine, Small/pathology&lt;/keyword&gt;&lt;keyword&gt;Sensitivity and Specificity&lt;/keyword&gt;&lt;keyword&gt;Serologic Tests/economics&lt;/keyword&gt;&lt;/keywords&gt;&lt;dates&gt;&lt;year&gt;2001&lt;/year&gt;&lt;pub-dates&gt;&lt;date&gt;Nov&lt;/date&gt;&lt;/pub-dates&gt;&lt;/dates&gt;&lt;isbn&gt;0163-2116 (Print)&amp;#xD;0163-2116&lt;/isbn&gt;&lt;accession-num&gt;11713962&lt;/accession-num&gt;&lt;urls&gt;&lt;/urls&gt;&lt;electronic-resource-num&gt;10.1023/a:1012396408370&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199</w:t>
            </w:r>
            <w:r w:rsidR="00BF4007">
              <w:rPr>
                <w:rFonts w:cstheme="minorHAnsi"/>
                <w:color w:val="000000"/>
                <w:sz w:val="20"/>
                <w:szCs w:val="20"/>
              </w:rPr>
              <w:fldChar w:fldCharType="end"/>
            </w:r>
          </w:p>
        </w:tc>
        <w:tc>
          <w:tcPr>
            <w:tcW w:w="1134" w:type="dxa"/>
          </w:tcPr>
          <w:p w14:paraId="19D74F4C"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7409CB0E"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compare the costs of different screening strategies for the detection of CD</w:t>
            </w:r>
          </w:p>
        </w:tc>
        <w:tc>
          <w:tcPr>
            <w:tcW w:w="1418" w:type="dxa"/>
          </w:tcPr>
          <w:p w14:paraId="36BFDDFC" w14:textId="77777777" w:rsidR="004F1C65" w:rsidRPr="00693CFF" w:rsidRDefault="004F1C65" w:rsidP="0093039F">
            <w:pPr>
              <w:rPr>
                <w:rFonts w:cstheme="minorHAnsi"/>
                <w:color w:val="000000"/>
                <w:sz w:val="20"/>
                <w:szCs w:val="20"/>
              </w:rPr>
            </w:pPr>
            <w:r w:rsidRPr="00693CFF">
              <w:rPr>
                <w:rFonts w:cstheme="minorHAnsi"/>
                <w:color w:val="000000"/>
                <w:sz w:val="20"/>
                <w:szCs w:val="20"/>
              </w:rPr>
              <w:t>AGA, EMA</w:t>
            </w:r>
          </w:p>
        </w:tc>
        <w:tc>
          <w:tcPr>
            <w:tcW w:w="1417" w:type="dxa"/>
          </w:tcPr>
          <w:p w14:paraId="79B3D6CC" w14:textId="77777777" w:rsidR="004F1C65" w:rsidRPr="00693CFF" w:rsidRDefault="004F1C65" w:rsidP="0093039F">
            <w:pPr>
              <w:rPr>
                <w:rFonts w:cstheme="minorHAnsi"/>
                <w:color w:val="000000"/>
                <w:sz w:val="20"/>
                <w:szCs w:val="20"/>
              </w:rPr>
            </w:pPr>
            <w:r w:rsidRPr="00693CFF">
              <w:rPr>
                <w:rFonts w:cstheme="minorHAnsi"/>
                <w:color w:val="000000"/>
                <w:sz w:val="20"/>
                <w:szCs w:val="20"/>
              </w:rPr>
              <w:t>EGD+SBB</w:t>
            </w:r>
          </w:p>
        </w:tc>
        <w:tc>
          <w:tcPr>
            <w:tcW w:w="1418" w:type="dxa"/>
          </w:tcPr>
          <w:p w14:paraId="0344508A"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Patients with suspected CD (age not reported); modelled three risk groups: low-risk with 0.5 % prevalence, medium-risk with 5% prevalence and high-risk with 40% prevalence </w:t>
            </w:r>
          </w:p>
        </w:tc>
        <w:tc>
          <w:tcPr>
            <w:tcW w:w="992" w:type="dxa"/>
          </w:tcPr>
          <w:p w14:paraId="6ED27E7E"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1C4BA91B" w14:textId="77777777" w:rsidR="004F1C65" w:rsidRPr="00693CFF" w:rsidRDefault="004F1C65" w:rsidP="00D47AEE">
            <w:pPr>
              <w:rPr>
                <w:rFonts w:cstheme="minorHAnsi"/>
                <w:sz w:val="20"/>
                <w:szCs w:val="20"/>
              </w:rPr>
            </w:pPr>
            <w:r w:rsidRPr="00693CFF">
              <w:rPr>
                <w:rFonts w:cstheme="minorHAnsi"/>
                <w:sz w:val="20"/>
                <w:szCs w:val="20"/>
              </w:rPr>
              <w:t xml:space="preserve">Three main branches of tree: AGA 1st vs EMA 1st vs SBB. The AGA 1st arm modelled the decision to employ EMA following a positive AGA. Positive EMA resulted in either esophagogastroduodenoscopy with SBB or a two-month clinical trial of GFD. </w:t>
            </w:r>
          </w:p>
        </w:tc>
        <w:tc>
          <w:tcPr>
            <w:tcW w:w="1417" w:type="dxa"/>
          </w:tcPr>
          <w:p w14:paraId="1DA328A2" w14:textId="77777777" w:rsidR="004F1C65" w:rsidRPr="00693CFF" w:rsidRDefault="004F1C65" w:rsidP="00D47AEE">
            <w:pPr>
              <w:rPr>
                <w:rFonts w:cstheme="minorHAnsi"/>
                <w:sz w:val="20"/>
                <w:szCs w:val="20"/>
              </w:rPr>
            </w:pPr>
            <w:r w:rsidRPr="00693CFF">
              <w:rPr>
                <w:rFonts w:cstheme="minorHAnsi"/>
                <w:sz w:val="20"/>
                <w:szCs w:val="20"/>
              </w:rPr>
              <w:t>Not reported</w:t>
            </w:r>
          </w:p>
        </w:tc>
        <w:tc>
          <w:tcPr>
            <w:tcW w:w="1701" w:type="dxa"/>
          </w:tcPr>
          <w:p w14:paraId="175A8EB1" w14:textId="77777777" w:rsidR="004F1C65" w:rsidRPr="00693CFF" w:rsidRDefault="004F1C65" w:rsidP="0093039F">
            <w:pPr>
              <w:rPr>
                <w:rFonts w:cstheme="minorHAnsi"/>
                <w:sz w:val="20"/>
                <w:szCs w:val="20"/>
              </w:rPr>
            </w:pPr>
            <w:r w:rsidRPr="00693CFF">
              <w:rPr>
                <w:rFonts w:cstheme="minorHAnsi"/>
                <w:sz w:val="20"/>
                <w:szCs w:val="20"/>
              </w:rPr>
              <w:t>None</w:t>
            </w:r>
          </w:p>
        </w:tc>
        <w:tc>
          <w:tcPr>
            <w:tcW w:w="1843" w:type="dxa"/>
          </w:tcPr>
          <w:p w14:paraId="0820ECDA" w14:textId="77777777" w:rsidR="004F1C65" w:rsidRPr="00693CFF" w:rsidRDefault="004F1C65" w:rsidP="0093039F">
            <w:pPr>
              <w:rPr>
                <w:rFonts w:cstheme="minorHAnsi"/>
                <w:sz w:val="20"/>
                <w:szCs w:val="20"/>
              </w:rPr>
            </w:pPr>
            <w:r w:rsidRPr="00693CFF">
              <w:rPr>
                <w:rFonts w:cstheme="minorHAnsi"/>
                <w:sz w:val="20"/>
                <w:szCs w:val="20"/>
              </w:rPr>
              <w:t>EMA is the most economical strategy compared with the other options in a low to medium risk population. It remains so in DSA provided the prevalence of CD in the tested population is less than 42%.</w:t>
            </w:r>
          </w:p>
        </w:tc>
      </w:tr>
      <w:tr w:rsidR="004F1C65" w:rsidRPr="00537E70" w14:paraId="343518D5" w14:textId="77777777" w:rsidTr="0093039F">
        <w:trPr>
          <w:jc w:val="center"/>
        </w:trPr>
        <w:tc>
          <w:tcPr>
            <w:tcW w:w="1129" w:type="dxa"/>
          </w:tcPr>
          <w:p w14:paraId="7C2F18B2" w14:textId="02DEB70F" w:rsidR="004F1C65" w:rsidRPr="00693CFF" w:rsidRDefault="004F1C65" w:rsidP="0093039F">
            <w:pPr>
              <w:rPr>
                <w:rFonts w:cstheme="minorHAnsi"/>
                <w:color w:val="000000"/>
                <w:sz w:val="20"/>
                <w:szCs w:val="20"/>
              </w:rPr>
            </w:pPr>
            <w:r w:rsidRPr="00693CFF">
              <w:rPr>
                <w:rFonts w:cstheme="minorHAnsi"/>
                <w:color w:val="000000"/>
                <w:sz w:val="20"/>
                <w:szCs w:val="20"/>
              </w:rPr>
              <w:t>Mein &amp; Ladabaum 2004</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&lt;EndNote&gt;&lt;Cite&gt;&lt;Author&gt;Mein&lt;/Author&gt;&lt;Year&gt;2004&lt;/Year&gt;&lt;RecNum&gt;392&lt;/RecNum&gt;&lt;DisplayText&gt;&lt;style face="superscript"&gt;200&lt;/style&gt;&lt;/DisplayText&gt;&lt;record&gt;&lt;rec-number&gt;392&lt;/rec-number&gt;&lt;foreign-keys&gt;&lt;key app="EN" db-id="tdwrx9xd1z9eepeevr355w2k959rv0f5zaax" timestamp="1633338938"&gt;392&lt;/key&gt;&lt;/foreign-keys&gt;&lt;ref-type name="Journal Article"&gt;17&lt;/ref-type&gt;&lt;contributors&gt;&lt;authors&gt;&lt;author&gt;Mein, S. M.&lt;/author&gt;&lt;author&gt;Ladabaum, U.&lt;/author&gt;&lt;/authors&gt;&lt;/contributors&gt;&lt;auth-address&gt;Division of Gastroenterology, Department of Medicine, University of California, San Francisco, CA, USA.&lt;/auth-address&gt;&lt;titles&gt;&lt;title&gt;Serological testing for coeliac disease in patients with symptoms of irritable bowel syndrome: a cost-effectiveness analysis&lt;/title&gt;&lt;secondary-title&gt;Aliment Pharmacol Ther&lt;/secondary-title&gt;&lt;/titles&gt;&lt;periodical&gt;&lt;full-title&gt;Aliment Pharmacol Ther&lt;/full-title&gt;&lt;/periodical&gt;&lt;pages&gt;1199-210&lt;/pages&gt;&lt;volume&gt;19&lt;/volume&gt;&lt;number&gt;11&lt;/number&gt;&lt;edition&gt;2004/05/22&lt;/edition&gt;&lt;keywords&gt;&lt;keyword&gt;Celiac Disease/*diagnosis/economics&lt;/keyword&gt;&lt;keyword&gt;Colonic Diseases, Functional/*complications/economics&lt;/keyword&gt;&lt;keyword&gt;Cost-Benefit Analysis&lt;/keyword&gt;&lt;keyword&gt;Decision Support Techniques&lt;/keyword&gt;&lt;keyword&gt;Endoscopy, Gastrointestinal/economics&lt;/keyword&gt;&lt;keyword&gt;Humans&lt;/keyword&gt;&lt;keyword&gt;Monte Carlo Method&lt;/keyword&gt;&lt;keyword&gt;Prognosis&lt;/keyword&gt;&lt;keyword&gt;Sensitivity and Specificity&lt;/keyword&gt;&lt;keyword&gt;Serologic Tests/economics&lt;/keyword&gt;&lt;/keywords&gt;&lt;dates&gt;&lt;year&gt;2004&lt;/year&gt;&lt;pub-dates&gt;&lt;date&gt;Jun 1&lt;/date&gt;&lt;/pub-dates&gt;&lt;/dates&gt;&lt;isbn&gt;0269-2813 (Print)&amp;#xD;0269-2813&lt;/isbn&gt;&lt;accession-num&gt;15153173&lt;/accession-num&gt;&lt;urls&gt;&lt;/urls&gt;&lt;electronic-resource-num&gt;10.1111/j.1365-2036.2004.01958.x&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200</w:t>
            </w:r>
            <w:r w:rsidR="00BF4007">
              <w:rPr>
                <w:rFonts w:cstheme="minorHAnsi"/>
                <w:color w:val="000000"/>
                <w:sz w:val="20"/>
                <w:szCs w:val="20"/>
              </w:rPr>
              <w:fldChar w:fldCharType="end"/>
            </w:r>
          </w:p>
        </w:tc>
        <w:tc>
          <w:tcPr>
            <w:tcW w:w="1134" w:type="dxa"/>
          </w:tcPr>
          <w:p w14:paraId="35D3513C"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06E04C48"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explore the cost-effectiveness of different screening strategies for coeliac disease in patients with IBS symptoms</w:t>
            </w:r>
          </w:p>
        </w:tc>
        <w:tc>
          <w:tcPr>
            <w:tcW w:w="1418" w:type="dxa"/>
          </w:tcPr>
          <w:p w14:paraId="65DB25B2" w14:textId="77777777" w:rsidR="004F1C65" w:rsidRPr="00693CFF" w:rsidRDefault="004F1C65" w:rsidP="0093039F">
            <w:pPr>
              <w:rPr>
                <w:rFonts w:cstheme="minorHAnsi"/>
                <w:color w:val="000000"/>
                <w:sz w:val="20"/>
                <w:szCs w:val="20"/>
              </w:rPr>
            </w:pPr>
            <w:r w:rsidRPr="00693CFF">
              <w:rPr>
                <w:rFonts w:cstheme="minorHAnsi"/>
                <w:color w:val="000000"/>
                <w:sz w:val="20"/>
                <w:szCs w:val="20"/>
              </w:rPr>
              <w:t>TTG only, Antibody panel (TTG, IgA AGA, IgG AGA &amp; IgA deficiency test); upfront endoscopy with biopsy</w:t>
            </w:r>
          </w:p>
        </w:tc>
        <w:tc>
          <w:tcPr>
            <w:tcW w:w="1417" w:type="dxa"/>
          </w:tcPr>
          <w:p w14:paraId="2341F8B4" w14:textId="77777777" w:rsidR="004F1C65" w:rsidRPr="00693CFF" w:rsidRDefault="004F1C65" w:rsidP="0093039F">
            <w:pPr>
              <w:rPr>
                <w:rFonts w:cstheme="minorHAnsi"/>
                <w:color w:val="000000"/>
                <w:sz w:val="20"/>
                <w:szCs w:val="20"/>
              </w:rPr>
            </w:pPr>
            <w:r w:rsidRPr="00693CFF">
              <w:rPr>
                <w:rFonts w:cstheme="minorHAnsi"/>
                <w:color w:val="000000"/>
                <w:sz w:val="20"/>
                <w:szCs w:val="20"/>
              </w:rPr>
              <w:t>No screening for CD/antibody panel</w:t>
            </w:r>
          </w:p>
        </w:tc>
        <w:tc>
          <w:tcPr>
            <w:tcW w:w="1418" w:type="dxa"/>
          </w:tcPr>
          <w:p w14:paraId="34EEDF78" w14:textId="77777777" w:rsidR="004F1C65" w:rsidRPr="00693CFF" w:rsidRDefault="004F1C65" w:rsidP="0093039F">
            <w:pPr>
              <w:rPr>
                <w:rFonts w:cstheme="minorHAnsi"/>
                <w:color w:val="000000"/>
                <w:sz w:val="20"/>
                <w:szCs w:val="20"/>
              </w:rPr>
            </w:pPr>
            <w:r w:rsidRPr="00693CFF">
              <w:rPr>
                <w:rFonts w:cstheme="minorHAnsi"/>
                <w:color w:val="000000"/>
                <w:sz w:val="20"/>
                <w:szCs w:val="20"/>
              </w:rPr>
              <w:t>Patients with symptoms of IBS</w:t>
            </w:r>
          </w:p>
        </w:tc>
        <w:tc>
          <w:tcPr>
            <w:tcW w:w="992" w:type="dxa"/>
          </w:tcPr>
          <w:p w14:paraId="4AFFBC69"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4FEBDC5D" w14:textId="77777777" w:rsidR="004F1C65" w:rsidRPr="00693CFF" w:rsidRDefault="004F1C65" w:rsidP="00D47AEE">
            <w:pPr>
              <w:rPr>
                <w:rFonts w:cstheme="minorHAnsi"/>
                <w:sz w:val="20"/>
                <w:szCs w:val="20"/>
              </w:rPr>
            </w:pPr>
            <w:r w:rsidRPr="00693CFF">
              <w:rPr>
                <w:rFonts w:cstheme="minorHAnsi"/>
                <w:sz w:val="20"/>
                <w:szCs w:val="20"/>
              </w:rPr>
              <w:t>4 strategies at decision node: No testing, TTG, antibody panel, endoscopy with biopsy</w:t>
            </w:r>
          </w:p>
        </w:tc>
        <w:tc>
          <w:tcPr>
            <w:tcW w:w="1417" w:type="dxa"/>
          </w:tcPr>
          <w:p w14:paraId="2671BBEC" w14:textId="77777777" w:rsidR="004F1C65" w:rsidRPr="00693CFF" w:rsidRDefault="004F1C65" w:rsidP="00D47AEE">
            <w:pPr>
              <w:rPr>
                <w:rFonts w:cstheme="minorHAnsi"/>
                <w:sz w:val="20"/>
                <w:szCs w:val="20"/>
              </w:rPr>
            </w:pPr>
            <w:r w:rsidRPr="00693CFF">
              <w:rPr>
                <w:rFonts w:cstheme="minorHAnsi"/>
                <w:sz w:val="20"/>
                <w:szCs w:val="20"/>
              </w:rPr>
              <w:t>Not reported</w:t>
            </w:r>
          </w:p>
        </w:tc>
        <w:tc>
          <w:tcPr>
            <w:tcW w:w="1701" w:type="dxa"/>
          </w:tcPr>
          <w:p w14:paraId="744301EE" w14:textId="77777777" w:rsidR="004F1C65" w:rsidRPr="00693CFF" w:rsidRDefault="004F1C65" w:rsidP="0093039F">
            <w:pPr>
              <w:rPr>
                <w:rFonts w:cstheme="minorHAnsi"/>
                <w:sz w:val="20"/>
                <w:szCs w:val="20"/>
              </w:rPr>
            </w:pPr>
            <w:r w:rsidRPr="00693CFF">
              <w:rPr>
                <w:rFonts w:cstheme="minorHAnsi"/>
                <w:sz w:val="20"/>
                <w:szCs w:val="20"/>
              </w:rPr>
              <w:t>utilities for IBS state, treated coeliac disease state following GFD diet, derived from published SF-36 data in the USA</w:t>
            </w:r>
          </w:p>
        </w:tc>
        <w:tc>
          <w:tcPr>
            <w:tcW w:w="1843" w:type="dxa"/>
          </w:tcPr>
          <w:p w14:paraId="49AE0650" w14:textId="77777777" w:rsidR="004F1C65" w:rsidRPr="00693CFF" w:rsidRDefault="004F1C65" w:rsidP="0093039F">
            <w:pPr>
              <w:rPr>
                <w:rFonts w:cstheme="minorHAnsi"/>
                <w:sz w:val="20"/>
                <w:szCs w:val="20"/>
              </w:rPr>
            </w:pPr>
            <w:r w:rsidRPr="00693CFF">
              <w:rPr>
                <w:rFonts w:cstheme="minorHAnsi"/>
                <w:sz w:val="20"/>
                <w:szCs w:val="20"/>
              </w:rPr>
              <w:t>Serological testing to diagnose CD in patients with a diagnosis of IBS is cost effective at thresholds of $50000 (prevalence of CD 2%) and $100000 per QALY gained (prevalence 1.1%).</w:t>
            </w:r>
          </w:p>
        </w:tc>
      </w:tr>
      <w:tr w:rsidR="004F1C65" w:rsidRPr="00537E70" w14:paraId="1D261725" w14:textId="77777777" w:rsidTr="0093039F">
        <w:trPr>
          <w:jc w:val="center"/>
        </w:trPr>
        <w:tc>
          <w:tcPr>
            <w:tcW w:w="1129" w:type="dxa"/>
          </w:tcPr>
          <w:p w14:paraId="74068130" w14:textId="51EA0705" w:rsidR="004F1C65" w:rsidRPr="00693CFF" w:rsidRDefault="004F1C65" w:rsidP="0093039F">
            <w:pPr>
              <w:rPr>
                <w:rFonts w:cstheme="minorHAnsi"/>
                <w:color w:val="000000"/>
                <w:sz w:val="20"/>
                <w:szCs w:val="20"/>
              </w:rPr>
            </w:pPr>
            <w:r w:rsidRPr="00693CFF">
              <w:rPr>
                <w:rFonts w:cstheme="minorHAnsi"/>
                <w:color w:val="000000"/>
                <w:sz w:val="20"/>
                <w:szCs w:val="20"/>
              </w:rPr>
              <w:t>Spiegel et al. 2004</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&lt;EndNote&gt;&lt;Cite&gt;&lt;Author&gt;Spiegel&lt;/Author&gt;&lt;Year&gt;2004&lt;/Year&gt;&lt;RecNum&gt;393&lt;/RecNum&gt;&lt;DisplayText&gt;&lt;style face="superscript"&gt;201&lt;/style&gt;&lt;/DisplayText&gt;&lt;record&gt;&lt;rec-number&gt;393&lt;/rec-number&gt;&lt;foreign-keys&gt;&lt;key app="EN" db-id="tdwrx9xd1z9eepeevr355w2k959rv0f5zaax" timestamp="1633338938"&gt;393&lt;/key&gt;&lt;/foreign-keys&gt;&lt;ref-type name="Journal Article"&gt;17&lt;/ref-type&gt;&lt;contributors&gt;&lt;authors&gt;&lt;author&gt;Spiegel, B. M.&lt;/author&gt;&lt;author&gt;DeRosa, V. P.&lt;/author&gt;&lt;author&gt;Gralnek, I. M.&lt;/author&gt;&lt;author&gt;Wang, V.&lt;/author&gt;&lt;author&gt;Dulai, G. S.&lt;/author&gt;&lt;/authors&gt;&lt;/contributors&gt;&lt;auth-address&gt;Division of Gastroenterology and Hepatology, VA Greater Los Angeles Healthcare System, 11301 Wilshire Boulevard, Building 115, Room 215B, Los Angeles, CA 90073, USA. bspiegel@ucla.edu&lt;/auth-address&gt;&lt;titles&gt;&lt;title&gt;Testing for celiac sprue in irritable bowel syndrome with predominant diarrhea: a cost-effectiveness analysis&lt;/title&gt;&lt;secondary-title&gt;Gastroenterology&lt;/secondary-title&gt;&lt;/titles&gt;&lt;periodical&gt;&lt;full-title&gt;Gastroenterology&lt;/full-title&gt;&lt;/periodical&gt;&lt;pages&gt;1721-32&lt;/pages&gt;&lt;volume&gt;126&lt;/volume&gt;&lt;number&gt;7&lt;/number&gt;&lt;edition&gt;2004/06/10&lt;/edition&gt;&lt;keywords&gt;&lt;keyword&gt;Celiac Disease/*diagnosis/*economics/epidemiology/prevention &amp;amp; control&lt;/keyword&gt;&lt;keyword&gt;Cost-Benefit Analysis&lt;/keyword&gt;&lt;keyword&gt;Diarrhea/diagnosis/economics&lt;/keyword&gt;&lt;keyword&gt;Diet&lt;/keyword&gt;&lt;keyword&gt;Glutens&lt;/keyword&gt;&lt;keyword&gt;Humans&lt;/keyword&gt;&lt;keyword&gt;Irritable Bowel Syndrome/*diagnosis/*economics/epidemiology/prevention &amp;amp; control&lt;/keyword&gt;&lt;keyword&gt;Mass Screening/*economics&lt;/keyword&gt;&lt;keyword&gt;Prevalence&lt;/keyword&gt;&lt;keyword&gt;Sensitivity and Specificity&lt;/keyword&gt;&lt;/keywords&gt;&lt;dates&gt;&lt;year&gt;2004&lt;/year&gt;&lt;pub-dates&gt;&lt;date&gt;Jun&lt;/date&gt;&lt;/pub-dates&gt;&lt;/dates&gt;&lt;isbn&gt;0016-5085 (Print)&amp;#xD;0016-5085&lt;/isbn&gt;&lt;accession-num&gt;15188167&lt;/accession-num&gt;&lt;urls&gt;&lt;/urls&gt;&lt;electronic-resource-num&gt;10.1053/j.gastro.2004.03.012&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201</w:t>
            </w:r>
            <w:r w:rsidR="00BF4007">
              <w:rPr>
                <w:rFonts w:cstheme="minorHAnsi"/>
                <w:color w:val="000000"/>
                <w:sz w:val="20"/>
                <w:szCs w:val="20"/>
              </w:rPr>
              <w:fldChar w:fldCharType="end"/>
            </w:r>
          </w:p>
        </w:tc>
        <w:tc>
          <w:tcPr>
            <w:tcW w:w="1134" w:type="dxa"/>
          </w:tcPr>
          <w:p w14:paraId="3896F829"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12BB2220"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To evaluate different screening strategies </w:t>
            </w:r>
            <w:r w:rsidRPr="00693CFF">
              <w:rPr>
                <w:rFonts w:cstheme="minorHAnsi"/>
                <w:color w:val="000000"/>
                <w:sz w:val="20"/>
                <w:szCs w:val="20"/>
              </w:rPr>
              <w:lastRenderedPageBreak/>
              <w:t>for CD in IBS patients with predominant diarrhea</w:t>
            </w:r>
          </w:p>
        </w:tc>
        <w:tc>
          <w:tcPr>
            <w:tcW w:w="1418" w:type="dxa"/>
          </w:tcPr>
          <w:p w14:paraId="3018E850"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Testing patients for CD</w:t>
            </w:r>
          </w:p>
        </w:tc>
        <w:tc>
          <w:tcPr>
            <w:tcW w:w="1417" w:type="dxa"/>
          </w:tcPr>
          <w:p w14:paraId="469511DD" w14:textId="77777777" w:rsidR="004F1C65" w:rsidRPr="00693CFF" w:rsidRDefault="004F1C65" w:rsidP="0093039F">
            <w:pPr>
              <w:rPr>
                <w:rFonts w:cstheme="minorHAnsi"/>
                <w:color w:val="000000"/>
                <w:sz w:val="20"/>
                <w:szCs w:val="20"/>
              </w:rPr>
            </w:pPr>
            <w:r w:rsidRPr="00693CFF">
              <w:rPr>
                <w:rFonts w:cstheme="minorHAnsi"/>
                <w:color w:val="000000"/>
                <w:sz w:val="20"/>
                <w:szCs w:val="20"/>
              </w:rPr>
              <w:t>IBS treatment but no CD screening</w:t>
            </w:r>
          </w:p>
        </w:tc>
        <w:tc>
          <w:tcPr>
            <w:tcW w:w="1418" w:type="dxa"/>
          </w:tcPr>
          <w:p w14:paraId="5FDB2C17"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Patients with IBS and diarrhea; sensitivity analyses </w:t>
            </w:r>
            <w:r w:rsidRPr="00693CFF">
              <w:rPr>
                <w:rFonts w:cstheme="minorHAnsi"/>
                <w:color w:val="000000"/>
                <w:sz w:val="20"/>
                <w:szCs w:val="20"/>
              </w:rPr>
              <w:lastRenderedPageBreak/>
              <w:t>conducted in different populations with different prevalences</w:t>
            </w:r>
          </w:p>
        </w:tc>
        <w:tc>
          <w:tcPr>
            <w:tcW w:w="992" w:type="dxa"/>
          </w:tcPr>
          <w:p w14:paraId="76376244"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 xml:space="preserve">decision tree followed by </w:t>
            </w:r>
            <w:r w:rsidRPr="00693CFF">
              <w:rPr>
                <w:rFonts w:cstheme="minorHAnsi"/>
                <w:color w:val="000000"/>
                <w:sz w:val="20"/>
                <w:szCs w:val="20"/>
              </w:rPr>
              <w:lastRenderedPageBreak/>
              <w:t>Markov model</w:t>
            </w:r>
          </w:p>
        </w:tc>
        <w:tc>
          <w:tcPr>
            <w:tcW w:w="1843" w:type="dxa"/>
          </w:tcPr>
          <w:p w14:paraId="45C1CAD5" w14:textId="77777777" w:rsidR="004F1C65" w:rsidRPr="00693CFF" w:rsidRDefault="004F1C65" w:rsidP="00D47AEE">
            <w:pPr>
              <w:rPr>
                <w:rFonts w:cstheme="minorHAnsi"/>
                <w:sz w:val="20"/>
                <w:szCs w:val="20"/>
              </w:rPr>
            </w:pPr>
            <w:r w:rsidRPr="00693CFF">
              <w:rPr>
                <w:rFonts w:cstheme="minorHAnsi"/>
                <w:sz w:val="20"/>
                <w:szCs w:val="20"/>
              </w:rPr>
              <w:lastRenderedPageBreak/>
              <w:t xml:space="preserve">2 strategies at decision node comparing treatment for IBS with screening for </w:t>
            </w:r>
            <w:r w:rsidRPr="00693CFF">
              <w:rPr>
                <w:rFonts w:cstheme="minorHAnsi"/>
                <w:sz w:val="20"/>
                <w:szCs w:val="20"/>
              </w:rPr>
              <w:lastRenderedPageBreak/>
              <w:t>CD in order to estimate the number of patients receiving appropriate therapy for either IBS or CD; then Markov model with two health states ("symptoms improve", "Symptoms recur") to estimate transitions between improvement and remission of symptoms once patients started treatment for either IBS or CD; 1 month cycle length for Markov</w:t>
            </w:r>
          </w:p>
        </w:tc>
        <w:tc>
          <w:tcPr>
            <w:tcW w:w="1417" w:type="dxa"/>
          </w:tcPr>
          <w:p w14:paraId="368F183C" w14:textId="77777777" w:rsidR="004F1C65" w:rsidRPr="00693CFF" w:rsidRDefault="004F1C65" w:rsidP="00D47AEE">
            <w:pPr>
              <w:rPr>
                <w:rFonts w:cstheme="minorHAnsi"/>
                <w:sz w:val="20"/>
                <w:szCs w:val="20"/>
              </w:rPr>
            </w:pPr>
            <w:r w:rsidRPr="00693CFF">
              <w:rPr>
                <w:rFonts w:cstheme="minorHAnsi"/>
                <w:sz w:val="20"/>
                <w:szCs w:val="20"/>
              </w:rPr>
              <w:lastRenderedPageBreak/>
              <w:t>10 years</w:t>
            </w:r>
          </w:p>
        </w:tc>
        <w:tc>
          <w:tcPr>
            <w:tcW w:w="1701" w:type="dxa"/>
          </w:tcPr>
          <w:p w14:paraId="2AA17AE2" w14:textId="77777777" w:rsidR="004F1C65" w:rsidRPr="00693CFF" w:rsidRDefault="004F1C65" w:rsidP="0093039F">
            <w:pPr>
              <w:rPr>
                <w:rFonts w:cstheme="minorHAnsi"/>
                <w:sz w:val="20"/>
                <w:szCs w:val="20"/>
              </w:rPr>
            </w:pPr>
            <w:r w:rsidRPr="00693CFF">
              <w:rPr>
                <w:rFonts w:cstheme="minorHAnsi"/>
                <w:sz w:val="20"/>
                <w:szCs w:val="20"/>
              </w:rPr>
              <w:t>None</w:t>
            </w:r>
          </w:p>
        </w:tc>
        <w:tc>
          <w:tcPr>
            <w:tcW w:w="1843" w:type="dxa"/>
          </w:tcPr>
          <w:p w14:paraId="0FF3F5B7" w14:textId="77777777" w:rsidR="004F1C65" w:rsidRPr="00693CFF" w:rsidRDefault="004F1C65" w:rsidP="0093039F">
            <w:pPr>
              <w:rPr>
                <w:rFonts w:cstheme="minorHAnsi"/>
                <w:sz w:val="20"/>
                <w:szCs w:val="20"/>
              </w:rPr>
            </w:pPr>
            <w:r w:rsidRPr="00693CFF">
              <w:rPr>
                <w:rFonts w:cstheme="minorHAnsi"/>
                <w:sz w:val="20"/>
                <w:szCs w:val="20"/>
              </w:rPr>
              <w:t>Testing for CD is cost-effective vs.  IBS therapy in most patients with diarrhea-</w:t>
            </w:r>
            <w:r w:rsidRPr="00693CFF">
              <w:rPr>
                <w:rFonts w:cstheme="minorHAnsi"/>
                <w:sz w:val="20"/>
                <w:szCs w:val="20"/>
              </w:rPr>
              <w:lastRenderedPageBreak/>
              <w:t>predominant IBS. (with a CD prevalence of 3.4%) The SA shows that the results are sensitive to the following variables: prevalence of underlying CD, specificity of diagnostic test for CD, probability that GFD improves the symptoms of CD, cost of IBS therapy.</w:t>
            </w:r>
          </w:p>
        </w:tc>
      </w:tr>
      <w:tr w:rsidR="004F1C65" w:rsidRPr="00537E70" w14:paraId="0F3D4E34" w14:textId="77777777" w:rsidTr="0093039F">
        <w:trPr>
          <w:jc w:val="center"/>
        </w:trPr>
        <w:tc>
          <w:tcPr>
            <w:tcW w:w="1129" w:type="dxa"/>
          </w:tcPr>
          <w:p w14:paraId="5952999E" w14:textId="5F78F835"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Shamir et al. 2006</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&lt;EndNote&gt;&lt;Cite&gt;&lt;Author&gt;Shamir&lt;/Author&gt;&lt;Year&gt;2006&lt;/Year&gt;&lt;RecNum&gt;394&lt;/RecNum&gt;&lt;DisplayText&gt;&lt;style face="superscript"&gt;202&lt;/style&gt;&lt;/DisplayText&gt;&lt;record&gt;&lt;rec-number&gt;394&lt;/rec-number&gt;&lt;foreign-keys&gt;&lt;key app="EN" db-id="tdwrx9xd1z9eepeevr355w2k959rv0f5zaax" timestamp="1633338938"&gt;394&lt;/key&gt;&lt;/foreign-keys&gt;&lt;ref-type name="Journal Article"&gt;17&lt;/ref-type&gt;&lt;contributors&gt;&lt;authors&gt;&lt;author&gt;Shamir, R.&lt;/author&gt;&lt;author&gt;Hernell, O.&lt;/author&gt;&lt;author&gt;Leshno, M.&lt;/author&gt;&lt;/authors&gt;&lt;/contributors&gt;&lt;auth-address&gt;Division of Pediatric Gastroenterology and Nutrition, Meyer Children&amp;apos;s Hospital, Haifa, and the Bruce Rappaport School of Medicine, Technion-Israel Institute of Technology, Haifa, Israel.&lt;/auth-address&gt;&lt;titles&gt;&lt;title&gt;Cost-effectiveness analysis of screening for celiac disease in the adult population&lt;/title&gt;&lt;secondary-title&gt;Med Decis Making&lt;/secondary-title&gt;&lt;/titles&gt;&lt;periodical&gt;&lt;full-title&gt;Med Decis Making&lt;/full-title&gt;&lt;/periodical&gt;&lt;pages&gt;282-93&lt;/pages&gt;&lt;volume&gt;26&lt;/volume&gt;&lt;number&gt;3&lt;/number&gt;&lt;edition&gt;2006/06/06&lt;/edition&gt;&lt;keywords&gt;&lt;keyword&gt;Adolescent&lt;/keyword&gt;&lt;keyword&gt;Adult&lt;/keyword&gt;&lt;keyword&gt;Autoantibodies/analysis&lt;/keyword&gt;&lt;keyword&gt;Celiac Disease/*diagnosis&lt;/keyword&gt;&lt;keyword&gt;Child&lt;/keyword&gt;&lt;keyword&gt;*Cost-Benefit Analysis&lt;/keyword&gt;&lt;keyword&gt;Humans&lt;/keyword&gt;&lt;keyword&gt;Markov Chains&lt;/keyword&gt;&lt;keyword&gt;Mass Screening/*economics&lt;/keyword&gt;&lt;/keywords&gt;&lt;dates&gt;&lt;year&gt;2006&lt;/year&gt;&lt;pub-dates&gt;&lt;date&gt;May-Jun&lt;/date&gt;&lt;/pub-dates&gt;&lt;/dates&gt;&lt;isbn&gt;0272-989X (Print)&amp;#xD;0272-989x&lt;/isbn&gt;&lt;accession-num&gt;16751327&lt;/accession-num&gt;&lt;urls&gt;&lt;/urls&gt;&lt;electronic-resource-num&gt;10.1177/0272989x06289012&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202</w:t>
            </w:r>
            <w:r w:rsidR="00BF4007">
              <w:rPr>
                <w:rFonts w:cstheme="minorHAnsi"/>
                <w:color w:val="000000"/>
                <w:sz w:val="20"/>
                <w:szCs w:val="20"/>
              </w:rPr>
              <w:fldChar w:fldCharType="end"/>
            </w:r>
          </w:p>
        </w:tc>
        <w:tc>
          <w:tcPr>
            <w:tcW w:w="1134" w:type="dxa"/>
          </w:tcPr>
          <w:p w14:paraId="50DC1E8F"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278D3DD3" w14:textId="77777777" w:rsidR="004F1C65" w:rsidRPr="00693CFF" w:rsidRDefault="004F1C65" w:rsidP="0093039F">
            <w:pPr>
              <w:rPr>
                <w:rFonts w:cstheme="minorHAnsi"/>
                <w:color w:val="000000"/>
                <w:sz w:val="20"/>
                <w:szCs w:val="20"/>
              </w:rPr>
            </w:pPr>
            <w:r w:rsidRPr="00693CFF">
              <w:rPr>
                <w:rFonts w:cstheme="minorHAnsi"/>
                <w:color w:val="000000"/>
                <w:sz w:val="20"/>
                <w:szCs w:val="20"/>
              </w:rPr>
              <w:t>Cost-effectiveness analysis to compare screening strategies for CD in adult population</w:t>
            </w:r>
          </w:p>
        </w:tc>
        <w:tc>
          <w:tcPr>
            <w:tcW w:w="1418" w:type="dxa"/>
          </w:tcPr>
          <w:p w14:paraId="70899460"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screening for CD (1. TTG followed by EMA;2. TTG; 3. EMA; 4. If no IgA deficiency, TTG followed by EMA; otherwise antigliadin IgG </w:t>
            </w:r>
            <w:r w:rsidRPr="00693CFF">
              <w:rPr>
                <w:rFonts w:cstheme="minorHAnsi"/>
                <w:color w:val="000000"/>
                <w:sz w:val="20"/>
                <w:szCs w:val="20"/>
              </w:rPr>
              <w:lastRenderedPageBreak/>
              <w:t>5. if no IgA deficiency TTG; otherwise antigliadin IgG 6. if no IgA deficiency EMA; otherwise antigliadin IgG)</w:t>
            </w:r>
          </w:p>
        </w:tc>
        <w:tc>
          <w:tcPr>
            <w:tcW w:w="1417" w:type="dxa"/>
          </w:tcPr>
          <w:p w14:paraId="690E2713"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no screening</w:t>
            </w:r>
          </w:p>
        </w:tc>
        <w:tc>
          <w:tcPr>
            <w:tcW w:w="1418" w:type="dxa"/>
          </w:tcPr>
          <w:p w14:paraId="5EFDFC03" w14:textId="77777777" w:rsidR="004F1C65" w:rsidRPr="00693CFF" w:rsidRDefault="004F1C65" w:rsidP="0093039F">
            <w:pPr>
              <w:rPr>
                <w:rFonts w:cstheme="minorHAnsi"/>
                <w:color w:val="000000"/>
                <w:sz w:val="20"/>
                <w:szCs w:val="20"/>
              </w:rPr>
            </w:pPr>
            <w:r w:rsidRPr="00693CFF">
              <w:rPr>
                <w:rFonts w:cstheme="minorHAnsi"/>
                <w:color w:val="000000"/>
                <w:sz w:val="20"/>
                <w:szCs w:val="20"/>
              </w:rPr>
              <w:t>Adult population (&gt;18 years old) symptomatic and high-risk groups</w:t>
            </w:r>
          </w:p>
        </w:tc>
        <w:tc>
          <w:tcPr>
            <w:tcW w:w="992" w:type="dxa"/>
          </w:tcPr>
          <w:p w14:paraId="50B9DF72" w14:textId="77777777" w:rsidR="004F1C65" w:rsidRPr="00693CFF" w:rsidRDefault="004F1C65" w:rsidP="0093039F">
            <w:pPr>
              <w:rPr>
                <w:rFonts w:cstheme="minorHAnsi"/>
                <w:color w:val="000000"/>
                <w:sz w:val="20"/>
                <w:szCs w:val="20"/>
              </w:rPr>
            </w:pPr>
            <w:r w:rsidRPr="00693CFF">
              <w:rPr>
                <w:rFonts w:cstheme="minorHAnsi"/>
                <w:color w:val="000000"/>
                <w:sz w:val="20"/>
                <w:szCs w:val="20"/>
              </w:rPr>
              <w:t>Markov model</w:t>
            </w:r>
          </w:p>
        </w:tc>
        <w:tc>
          <w:tcPr>
            <w:tcW w:w="1843" w:type="dxa"/>
          </w:tcPr>
          <w:p w14:paraId="05BE08E3" w14:textId="77777777" w:rsidR="004F1C65" w:rsidRPr="00693CFF" w:rsidRDefault="004F1C65" w:rsidP="00D47AEE">
            <w:pPr>
              <w:rPr>
                <w:rFonts w:cstheme="minorHAnsi"/>
                <w:sz w:val="20"/>
                <w:szCs w:val="20"/>
              </w:rPr>
            </w:pPr>
            <w:r w:rsidRPr="00693CFF">
              <w:rPr>
                <w:rFonts w:cstheme="minorHAnsi"/>
                <w:sz w:val="20"/>
                <w:szCs w:val="20"/>
              </w:rPr>
              <w:t xml:space="preserve">5 states in the model: no CD, CD but considered healthy, CD diagnosed but treatment failure (no GFD), CD diagnosed and on strict GFD, Death. Cycle length 1 year. </w:t>
            </w:r>
            <w:r w:rsidRPr="00693CFF">
              <w:rPr>
                <w:rFonts w:cstheme="minorHAnsi"/>
                <w:sz w:val="20"/>
                <w:szCs w:val="20"/>
              </w:rPr>
              <w:lastRenderedPageBreak/>
              <w:t xml:space="preserve">Life years discounted at 3%. </w:t>
            </w:r>
          </w:p>
        </w:tc>
        <w:tc>
          <w:tcPr>
            <w:tcW w:w="1417" w:type="dxa"/>
          </w:tcPr>
          <w:p w14:paraId="6667923A" w14:textId="77777777" w:rsidR="004F1C65" w:rsidRPr="00693CFF" w:rsidRDefault="004F1C65" w:rsidP="00D47AEE">
            <w:pPr>
              <w:rPr>
                <w:rFonts w:cstheme="minorHAnsi"/>
                <w:sz w:val="20"/>
                <w:szCs w:val="20"/>
              </w:rPr>
            </w:pPr>
            <w:r w:rsidRPr="00693CFF">
              <w:rPr>
                <w:rFonts w:cstheme="minorHAnsi"/>
                <w:sz w:val="20"/>
                <w:szCs w:val="20"/>
              </w:rPr>
              <w:lastRenderedPageBreak/>
              <w:t>Lifetime</w:t>
            </w:r>
          </w:p>
        </w:tc>
        <w:tc>
          <w:tcPr>
            <w:tcW w:w="1701" w:type="dxa"/>
          </w:tcPr>
          <w:p w14:paraId="2E61A9E4" w14:textId="77777777" w:rsidR="004F1C65" w:rsidRPr="00693CFF" w:rsidRDefault="004F1C65" w:rsidP="0093039F">
            <w:pPr>
              <w:rPr>
                <w:rFonts w:cstheme="minorHAnsi"/>
                <w:sz w:val="20"/>
                <w:szCs w:val="20"/>
              </w:rPr>
            </w:pPr>
            <w:r w:rsidRPr="00693CFF">
              <w:rPr>
                <w:rFonts w:cstheme="minorHAnsi"/>
                <w:sz w:val="20"/>
                <w:szCs w:val="20"/>
              </w:rPr>
              <w:t>None</w:t>
            </w:r>
          </w:p>
        </w:tc>
        <w:tc>
          <w:tcPr>
            <w:tcW w:w="1843" w:type="dxa"/>
          </w:tcPr>
          <w:p w14:paraId="73BF5C1A" w14:textId="77777777" w:rsidR="004F1C65" w:rsidRPr="00693CFF" w:rsidRDefault="004F1C65" w:rsidP="0093039F">
            <w:pPr>
              <w:rPr>
                <w:rFonts w:cstheme="minorHAnsi"/>
                <w:sz w:val="20"/>
                <w:szCs w:val="20"/>
              </w:rPr>
            </w:pPr>
            <w:r w:rsidRPr="00693CFF">
              <w:rPr>
                <w:rFonts w:cstheme="minorHAnsi"/>
                <w:sz w:val="20"/>
                <w:szCs w:val="20"/>
              </w:rPr>
              <w:t xml:space="preserve">ICER of US$44,941 per life year gained for screening compared to no screening using the EMA strategy. The results are highly sensitive to prevalence of CD: when prevalence is low, mass </w:t>
            </w:r>
            <w:r w:rsidRPr="00693CFF">
              <w:rPr>
                <w:rFonts w:cstheme="minorHAnsi"/>
                <w:sz w:val="20"/>
                <w:szCs w:val="20"/>
              </w:rPr>
              <w:lastRenderedPageBreak/>
              <w:t>screening not justified because not cost-effective.</w:t>
            </w:r>
          </w:p>
        </w:tc>
      </w:tr>
      <w:tr w:rsidR="004F1C65" w:rsidRPr="00537E70" w14:paraId="77FCBCF4" w14:textId="77777777" w:rsidTr="0093039F">
        <w:trPr>
          <w:jc w:val="center"/>
        </w:trPr>
        <w:tc>
          <w:tcPr>
            <w:tcW w:w="1129" w:type="dxa"/>
          </w:tcPr>
          <w:p w14:paraId="3DEDE500" w14:textId="7BE8EE8E"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Swigonski et al. 2006</w:t>
            </w:r>
            <w:r w:rsidR="00BF4007">
              <w:rPr>
                <w:rFonts w:cstheme="minorHAnsi"/>
                <w:color w:val="000000"/>
                <w:sz w:val="20"/>
                <w:szCs w:val="20"/>
              </w:rPr>
              <w:fldChar w:fldCharType="begin">
                <w:fldData xml:space="preserve">PEVuZE5vdGU+PENpdGU+PEF1dGhvcj5Td2lnb25za2k8L0F1dGhvcj48WWVhcj4yMDA2PC9ZZWFy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</w:fldData>
              </w:fldChar>
            </w:r>
            <w:r w:rsidR="00735CC0">
              <w:rPr>
                <w:rFonts w:cstheme="minorHAnsi"/>
                <w:color w:val="000000"/>
                <w:sz w:val="20"/>
                <w:szCs w:val="20"/>
              </w:rPr>
              <w:instrText xml:space="preserve"> ADDIN EN.CITE </w:instrText>
            </w:r>
            <w:r w:rsidR="00735CC0">
              <w:rPr>
                <w:rFonts w:cstheme="minorHAnsi"/>
                <w:color w:val="000000"/>
                <w:sz w:val="20"/>
                <w:szCs w:val="20"/>
              </w:rPr>
              <w:fldChar w:fldCharType="begin">
                <w:fldData xml:space="preserve">PEVuZE5vdGU+PENpdGU+PEF1dGhvcj5Td2lnb25za2k8L0F1dGhvcj48WWVhcj4yMDA2PC9ZZWFy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</w:fldData>
              </w:fldChar>
            </w:r>
            <w:r w:rsidR="00735CC0">
              <w:rPr>
                <w:rFonts w:cstheme="minorHAnsi"/>
                <w:color w:val="000000"/>
                <w:sz w:val="20"/>
                <w:szCs w:val="20"/>
              </w:rPr>
              <w:instrText xml:space="preserve"> ADDIN EN.CITE.DATA </w:instrText>
            </w:r>
            <w:r w:rsidR="00735CC0">
              <w:rPr>
                <w:rFonts w:cstheme="minorHAnsi"/>
                <w:color w:val="000000"/>
                <w:sz w:val="20"/>
                <w:szCs w:val="20"/>
              </w:rPr>
            </w:r>
            <w:r w:rsidR="00735CC0">
              <w:rPr>
                <w:rFonts w:cstheme="minorHAnsi"/>
                <w:color w:val="000000"/>
                <w:sz w:val="20"/>
                <w:szCs w:val="20"/>
              </w:rPr>
              <w:fldChar w:fldCharType="end"/>
            </w:r>
            <w:r w:rsidR="00BF4007">
              <w:rPr>
                <w:rFonts w:cstheme="minorHAnsi"/>
                <w:color w:val="000000"/>
                <w:sz w:val="20"/>
                <w:szCs w:val="20"/>
              </w:rPr>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203</w:t>
            </w:r>
            <w:r w:rsidR="00BF4007">
              <w:rPr>
                <w:rFonts w:cstheme="minorHAnsi"/>
                <w:color w:val="000000"/>
                <w:sz w:val="20"/>
                <w:szCs w:val="20"/>
              </w:rPr>
              <w:fldChar w:fldCharType="end"/>
            </w:r>
          </w:p>
        </w:tc>
        <w:tc>
          <w:tcPr>
            <w:tcW w:w="1134" w:type="dxa"/>
          </w:tcPr>
          <w:p w14:paraId="6A770F1C"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748B8467"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evaluate the cost-effectiveness of screening for CD in asymptomatic children with Down syndrome to prevent lymphoma</w:t>
            </w:r>
          </w:p>
        </w:tc>
        <w:tc>
          <w:tcPr>
            <w:tcW w:w="1418" w:type="dxa"/>
          </w:tcPr>
          <w:p w14:paraId="27635E74" w14:textId="77777777" w:rsidR="004F1C65" w:rsidRPr="00693CFF" w:rsidRDefault="004F1C65" w:rsidP="0093039F">
            <w:pPr>
              <w:rPr>
                <w:rFonts w:cstheme="minorHAnsi"/>
                <w:color w:val="000000"/>
                <w:sz w:val="20"/>
                <w:szCs w:val="20"/>
              </w:rPr>
            </w:pPr>
            <w:r w:rsidRPr="00693CFF">
              <w:rPr>
                <w:rFonts w:cstheme="minorHAnsi"/>
                <w:color w:val="000000"/>
                <w:sz w:val="20"/>
                <w:szCs w:val="20"/>
              </w:rPr>
              <w:t>screening for CD</w:t>
            </w:r>
          </w:p>
        </w:tc>
        <w:tc>
          <w:tcPr>
            <w:tcW w:w="1417" w:type="dxa"/>
          </w:tcPr>
          <w:p w14:paraId="2A2B4582" w14:textId="77777777" w:rsidR="004F1C65" w:rsidRPr="00693CFF" w:rsidRDefault="004F1C65" w:rsidP="0093039F">
            <w:pPr>
              <w:rPr>
                <w:rFonts w:cstheme="minorHAnsi"/>
                <w:color w:val="000000"/>
                <w:sz w:val="20"/>
                <w:szCs w:val="20"/>
              </w:rPr>
            </w:pPr>
            <w:r w:rsidRPr="00693CFF">
              <w:rPr>
                <w:rFonts w:cstheme="minorHAnsi"/>
                <w:color w:val="000000"/>
                <w:sz w:val="20"/>
                <w:szCs w:val="20"/>
              </w:rPr>
              <w:t>no screening</w:t>
            </w:r>
          </w:p>
        </w:tc>
        <w:tc>
          <w:tcPr>
            <w:tcW w:w="1418" w:type="dxa"/>
          </w:tcPr>
          <w:p w14:paraId="59165D00" w14:textId="77777777" w:rsidR="004F1C65" w:rsidRPr="00693CFF" w:rsidRDefault="004F1C65" w:rsidP="0093039F">
            <w:pPr>
              <w:rPr>
                <w:rFonts w:cstheme="minorHAnsi"/>
                <w:color w:val="000000"/>
                <w:sz w:val="20"/>
                <w:szCs w:val="20"/>
              </w:rPr>
            </w:pPr>
            <w:r w:rsidRPr="00693CFF">
              <w:rPr>
                <w:rFonts w:cstheme="minorHAnsi"/>
                <w:color w:val="000000"/>
                <w:sz w:val="20"/>
                <w:szCs w:val="20"/>
              </w:rPr>
              <w:t>Asymptomatic children with DS</w:t>
            </w:r>
          </w:p>
        </w:tc>
        <w:tc>
          <w:tcPr>
            <w:tcW w:w="992" w:type="dxa"/>
          </w:tcPr>
          <w:p w14:paraId="49FA9B7F"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2E2C3074" w14:textId="77777777" w:rsidR="004F1C65" w:rsidRPr="00693CFF" w:rsidRDefault="004F1C65" w:rsidP="00D47AEE">
            <w:pPr>
              <w:rPr>
                <w:rFonts w:cstheme="minorHAnsi"/>
                <w:sz w:val="20"/>
                <w:szCs w:val="20"/>
              </w:rPr>
            </w:pPr>
            <w:r w:rsidRPr="00693CFF">
              <w:rPr>
                <w:rFonts w:cstheme="minorHAnsi"/>
                <w:sz w:val="20"/>
                <w:szCs w:val="20"/>
              </w:rPr>
              <w:t>2 strategies at decision node: screening or no screening for CD</w:t>
            </w:r>
          </w:p>
        </w:tc>
        <w:tc>
          <w:tcPr>
            <w:tcW w:w="1417" w:type="dxa"/>
          </w:tcPr>
          <w:p w14:paraId="704B9965" w14:textId="77777777" w:rsidR="004F1C65" w:rsidRPr="00693CFF" w:rsidRDefault="004F1C65" w:rsidP="00D47AEE">
            <w:pPr>
              <w:rPr>
                <w:rFonts w:cstheme="minorHAnsi"/>
                <w:sz w:val="20"/>
                <w:szCs w:val="20"/>
              </w:rPr>
            </w:pPr>
            <w:r w:rsidRPr="00693CFF">
              <w:rPr>
                <w:rFonts w:cstheme="minorHAnsi"/>
                <w:sz w:val="20"/>
                <w:szCs w:val="20"/>
              </w:rPr>
              <w:t>Not reported</w:t>
            </w:r>
          </w:p>
        </w:tc>
        <w:tc>
          <w:tcPr>
            <w:tcW w:w="1701" w:type="dxa"/>
          </w:tcPr>
          <w:p w14:paraId="1F48ADEE" w14:textId="77777777" w:rsidR="004F1C65" w:rsidRPr="00693CFF" w:rsidRDefault="004F1C65" w:rsidP="0093039F">
            <w:pPr>
              <w:rPr>
                <w:rFonts w:cstheme="minorHAnsi"/>
                <w:sz w:val="20"/>
                <w:szCs w:val="20"/>
              </w:rPr>
            </w:pPr>
            <w:r w:rsidRPr="00693CFF">
              <w:rPr>
                <w:rFonts w:cstheme="minorHAnsi"/>
                <w:sz w:val="20"/>
                <w:szCs w:val="20"/>
              </w:rPr>
              <w:t>Utility of GFD and lymphoma (from Mein and Ladabaum 2004)</w:t>
            </w:r>
          </w:p>
        </w:tc>
        <w:tc>
          <w:tcPr>
            <w:tcW w:w="1843" w:type="dxa"/>
          </w:tcPr>
          <w:p w14:paraId="42454F37" w14:textId="77777777" w:rsidR="004F1C65" w:rsidRPr="00693CFF" w:rsidRDefault="004F1C65" w:rsidP="0093039F">
            <w:pPr>
              <w:rPr>
                <w:rFonts w:cstheme="minorHAnsi"/>
                <w:sz w:val="20"/>
                <w:szCs w:val="20"/>
              </w:rPr>
            </w:pPr>
            <w:r w:rsidRPr="00693CFF">
              <w:rPr>
                <w:rFonts w:cstheme="minorHAnsi"/>
                <w:sz w:val="20"/>
                <w:szCs w:val="20"/>
              </w:rPr>
              <w:t>Screening for CD in children with DS is not cost-effective. Screening is more costly and less effective than not screening. Actually, it decreases quality of life. The results have not changed in SA. The intervention is never cost effective at a $50,000 threshold.</w:t>
            </w:r>
          </w:p>
        </w:tc>
      </w:tr>
      <w:tr w:rsidR="004F1C65" w:rsidRPr="00537E70" w14:paraId="312B257A" w14:textId="77777777" w:rsidTr="0093039F">
        <w:trPr>
          <w:jc w:val="center"/>
        </w:trPr>
        <w:tc>
          <w:tcPr>
            <w:tcW w:w="1129" w:type="dxa"/>
          </w:tcPr>
          <w:p w14:paraId="35E9E3E3" w14:textId="710C0159" w:rsidR="004F1C65" w:rsidRPr="00693CFF" w:rsidRDefault="004F1C65" w:rsidP="0093039F">
            <w:pPr>
              <w:rPr>
                <w:rFonts w:cstheme="minorHAnsi"/>
                <w:color w:val="000000"/>
                <w:sz w:val="20"/>
                <w:szCs w:val="20"/>
              </w:rPr>
            </w:pPr>
            <w:r w:rsidRPr="00693CFF">
              <w:rPr>
                <w:rFonts w:cstheme="minorHAnsi"/>
                <w:color w:val="000000"/>
                <w:sz w:val="20"/>
                <w:szCs w:val="20"/>
              </w:rPr>
              <w:t>Dorn and Matchar 2008</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&lt;EndNote&gt;&lt;Cite&gt;&lt;Author&gt;Dorn&lt;/Author&gt;&lt;Year&gt;2008&lt;/Year&gt;&lt;RecNum&gt;396&lt;/RecNum&gt;&lt;DisplayText&gt;&lt;style face="superscript"&gt;204&lt;/style&gt;&lt;/DisplayText&gt;&lt;record&gt;&lt;rec-number&gt;396&lt;/rec-number&gt;&lt;foreign-keys&gt;&lt;key app="EN" db-id="tdwrx9xd1z9eepeevr355w2k959rv0f5zaax" timestamp="1633338938"&gt;396&lt;/key&gt;&lt;/foreign-keys&gt;&lt;ref-type name="Journal Article"&gt;17&lt;/ref-type&gt;&lt;contributors&gt;&lt;authors&gt;&lt;author&gt;Dorn, S. D.&lt;/author&gt;&lt;author&gt;Matchar, D. B.&lt;/author&gt;&lt;/authors&gt;&lt;/contributors&gt;&lt;auth-address&gt;Division of Gastroenterology and Hepatology, University of North Carolina, CB#7080, Chapel Hill, NC 27599, USA. sdorn@med.unc.edu&lt;/auth-address&gt;&lt;titles&gt;&lt;title&gt;Cost-effectiveness analysis of strategies for diagnosing celiac disease&lt;/title&gt;&lt;secondary-title&gt;Dig Dis Sci&lt;/secondary-title&gt;&lt;/titles&gt;&lt;periodical&gt;&lt;full-title&gt;Dig Dis Sci&lt;/full-title&gt;&lt;/periodical&gt;&lt;pages&gt;680-8&lt;/pages&gt;&lt;volume&gt;53&lt;/volume&gt;&lt;number&gt;3&lt;/number&gt;&lt;edition&gt;2007/10/16&lt;/edition&gt;&lt;keywords&gt;&lt;keyword&gt;Celiac Disease/blood/*diagnosis/economics&lt;/keyword&gt;&lt;keyword&gt;Endoscopy, Digestive System/economics&lt;/keyword&gt;&lt;keyword&gt;Humans&lt;/keyword&gt;&lt;keyword&gt;Immunoglobulin A/blood&lt;/keyword&gt;&lt;keyword&gt;Predictive Value of Tests&lt;/keyword&gt;&lt;keyword&gt;Serologic Tests/economics&lt;/keyword&gt;&lt;/keywords&gt;&lt;dates&gt;&lt;year&gt;2008&lt;/year&gt;&lt;pub-dates&gt;&lt;date&gt;Mar&lt;/date&gt;&lt;/pub-dates&gt;&lt;/dates&gt;&lt;isbn&gt;0163-2116 (Print)&amp;#xD;0163-2116&lt;/isbn&gt;&lt;accession-num&gt;17934849&lt;/accession-num&gt;&lt;urls&gt;&lt;/urls&gt;&lt;electronic-resource-num&gt;10.1007/s10620-007-9939-5&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204</w:t>
            </w:r>
            <w:r w:rsidR="00BF4007">
              <w:rPr>
                <w:rFonts w:cstheme="minorHAnsi"/>
                <w:color w:val="000000"/>
                <w:sz w:val="20"/>
                <w:szCs w:val="20"/>
              </w:rPr>
              <w:fldChar w:fldCharType="end"/>
            </w:r>
          </w:p>
        </w:tc>
        <w:tc>
          <w:tcPr>
            <w:tcW w:w="1134" w:type="dxa"/>
          </w:tcPr>
          <w:p w14:paraId="68D8500F"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4D842C0F"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To evaluate the cost-effectiveness of strategies for </w:t>
            </w:r>
            <w:r w:rsidRPr="00693CFF">
              <w:rPr>
                <w:rFonts w:cstheme="minorHAnsi"/>
                <w:color w:val="000000"/>
                <w:sz w:val="20"/>
                <w:szCs w:val="20"/>
              </w:rPr>
              <w:lastRenderedPageBreak/>
              <w:t>diagnosing CD</w:t>
            </w:r>
          </w:p>
        </w:tc>
        <w:tc>
          <w:tcPr>
            <w:tcW w:w="1418" w:type="dxa"/>
          </w:tcPr>
          <w:p w14:paraId="629B28C5"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screening for CD (5 diagnostic strategies)</w:t>
            </w:r>
          </w:p>
        </w:tc>
        <w:tc>
          <w:tcPr>
            <w:tcW w:w="1417" w:type="dxa"/>
          </w:tcPr>
          <w:p w14:paraId="7577E7ED" w14:textId="77777777" w:rsidR="004F1C65" w:rsidRPr="00693CFF" w:rsidRDefault="004F1C65" w:rsidP="0093039F">
            <w:pPr>
              <w:rPr>
                <w:rFonts w:cstheme="minorHAnsi"/>
                <w:color w:val="000000"/>
                <w:sz w:val="20"/>
                <w:szCs w:val="20"/>
              </w:rPr>
            </w:pPr>
            <w:r w:rsidRPr="00693CFF">
              <w:rPr>
                <w:rFonts w:cstheme="minorHAnsi"/>
                <w:color w:val="000000"/>
                <w:sz w:val="20"/>
                <w:szCs w:val="20"/>
              </w:rPr>
              <w:t>all screening strategies compared in incremental analysis with next best alternative</w:t>
            </w:r>
          </w:p>
        </w:tc>
        <w:tc>
          <w:tcPr>
            <w:tcW w:w="1418" w:type="dxa"/>
          </w:tcPr>
          <w:p w14:paraId="1409718D"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adult population with Western-European origins for which there was moderate </w:t>
            </w:r>
            <w:r w:rsidRPr="00693CFF">
              <w:rPr>
                <w:rFonts w:cstheme="minorHAnsi"/>
                <w:color w:val="000000"/>
                <w:sz w:val="20"/>
                <w:szCs w:val="20"/>
              </w:rPr>
              <w:lastRenderedPageBreak/>
              <w:t>suspicion for celiac disease.</w:t>
            </w:r>
          </w:p>
        </w:tc>
        <w:tc>
          <w:tcPr>
            <w:tcW w:w="992" w:type="dxa"/>
          </w:tcPr>
          <w:p w14:paraId="4955EAD7"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decision tree</w:t>
            </w:r>
          </w:p>
        </w:tc>
        <w:tc>
          <w:tcPr>
            <w:tcW w:w="1843" w:type="dxa"/>
          </w:tcPr>
          <w:p w14:paraId="001F11ED" w14:textId="77777777" w:rsidR="004F1C65" w:rsidRPr="00693CFF" w:rsidRDefault="004F1C65" w:rsidP="00D47AEE">
            <w:pPr>
              <w:rPr>
                <w:rFonts w:cstheme="minorHAnsi"/>
                <w:sz w:val="20"/>
                <w:szCs w:val="20"/>
              </w:rPr>
            </w:pPr>
            <w:r w:rsidRPr="00693CFF">
              <w:rPr>
                <w:rFonts w:cstheme="minorHAnsi"/>
                <w:sz w:val="20"/>
                <w:szCs w:val="20"/>
              </w:rPr>
              <w:t xml:space="preserve">5 strategies at decision node: TTG; TTG then EGD; TTG then IgA then EGD; TTG then HLA then EGD; EGD alone; also modelled </w:t>
            </w:r>
            <w:r w:rsidRPr="00693CFF">
              <w:rPr>
                <w:rFonts w:cstheme="minorHAnsi"/>
                <w:sz w:val="20"/>
                <w:szCs w:val="20"/>
              </w:rPr>
              <w:lastRenderedPageBreak/>
              <w:t>complications from biopsy</w:t>
            </w:r>
          </w:p>
        </w:tc>
        <w:tc>
          <w:tcPr>
            <w:tcW w:w="1417" w:type="dxa"/>
          </w:tcPr>
          <w:p w14:paraId="42FF6014" w14:textId="77777777" w:rsidR="004F1C65" w:rsidRPr="00693CFF" w:rsidRDefault="004F1C65" w:rsidP="00D47AEE">
            <w:pPr>
              <w:rPr>
                <w:rFonts w:cstheme="minorHAnsi"/>
                <w:sz w:val="20"/>
                <w:szCs w:val="20"/>
              </w:rPr>
            </w:pPr>
            <w:r w:rsidRPr="00693CFF">
              <w:rPr>
                <w:rFonts w:cstheme="minorHAnsi"/>
                <w:sz w:val="20"/>
                <w:szCs w:val="20"/>
              </w:rPr>
              <w:lastRenderedPageBreak/>
              <w:t>Not reported</w:t>
            </w:r>
          </w:p>
        </w:tc>
        <w:tc>
          <w:tcPr>
            <w:tcW w:w="1701" w:type="dxa"/>
          </w:tcPr>
          <w:p w14:paraId="5A15B4D5" w14:textId="77777777" w:rsidR="004F1C65" w:rsidRPr="00693CFF" w:rsidRDefault="004F1C65" w:rsidP="0093039F">
            <w:pPr>
              <w:rPr>
                <w:rFonts w:cstheme="minorHAnsi"/>
                <w:sz w:val="20"/>
                <w:szCs w:val="20"/>
              </w:rPr>
            </w:pPr>
            <w:r w:rsidRPr="00693CFF">
              <w:rPr>
                <w:rFonts w:cstheme="minorHAnsi"/>
                <w:sz w:val="20"/>
                <w:szCs w:val="20"/>
              </w:rPr>
              <w:t>None</w:t>
            </w:r>
          </w:p>
        </w:tc>
        <w:tc>
          <w:tcPr>
            <w:tcW w:w="1843" w:type="dxa"/>
          </w:tcPr>
          <w:p w14:paraId="0DC7483E" w14:textId="77777777" w:rsidR="004F1C65" w:rsidRPr="00693CFF" w:rsidRDefault="004F1C65" w:rsidP="0093039F">
            <w:pPr>
              <w:rPr>
                <w:rFonts w:cstheme="minorHAnsi"/>
                <w:sz w:val="20"/>
                <w:szCs w:val="20"/>
              </w:rPr>
            </w:pPr>
            <w:r w:rsidRPr="00693CFF">
              <w:rPr>
                <w:rFonts w:cstheme="minorHAnsi"/>
                <w:sz w:val="20"/>
                <w:szCs w:val="20"/>
              </w:rPr>
              <w:t xml:space="preserve">The use of EGD alone in all cases of suspected CD is too costly. TTG alone strategy is very cost efficient, highly sensitive and highly specific but with </w:t>
            </w:r>
            <w:r w:rsidRPr="00693CFF">
              <w:rPr>
                <w:rFonts w:cstheme="minorHAnsi"/>
                <w:sz w:val="20"/>
                <w:szCs w:val="20"/>
              </w:rPr>
              <w:lastRenderedPageBreak/>
              <w:t>low PPV and high numbers of false positives. When the prevalence of CD is low, patients with positive TTG should undergo EGD with biopsy to confirm CD. As the prevalence of CD increases, the cost of avoiding false-positive diagnoses via EGD with biopsy increases dramatically.</w:t>
            </w:r>
          </w:p>
        </w:tc>
      </w:tr>
      <w:tr w:rsidR="004F1C65" w:rsidRPr="00537E70" w14:paraId="64805268" w14:textId="77777777" w:rsidTr="0093039F">
        <w:trPr>
          <w:jc w:val="center"/>
        </w:trPr>
        <w:tc>
          <w:tcPr>
            <w:tcW w:w="1129" w:type="dxa"/>
          </w:tcPr>
          <w:p w14:paraId="5F498093" w14:textId="15D13EA1"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Chang and Green 2009</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&lt;EndNote&gt;&lt;Cite&gt;&lt;Author&gt;Chang&lt;/Author&gt;&lt;Year&gt;2009&lt;/Year&gt;&lt;RecNum&gt;397&lt;/RecNum&gt;&lt;DisplayText&gt;&lt;style face="superscript"&gt;205&lt;/style&gt;&lt;/DisplayText&gt;&lt;record&gt;&lt;rec-number&gt;397&lt;/rec-number&gt;&lt;foreign-keys&gt;&lt;key app="EN" db-id="tdwrx9xd1z9eepeevr355w2k959rv0f5zaax" timestamp="1633338938"&gt;397&lt;/key&gt;&lt;/foreign-keys&gt;&lt;ref-type name="Journal Article"&gt;17&lt;/ref-type&gt;&lt;contributors&gt;&lt;authors&gt;&lt;author&gt;Chang, M.&lt;/author&gt;&lt;author&gt;Green, P. H.&lt;/author&gt;&lt;/authors&gt;&lt;/contributors&gt;&lt;auth-address&gt;Department of Medicine, Columbia University College of Physicians and Surgeons, New York, NY, USA.&lt;/auth-address&gt;&lt;titles&gt;&lt;title&gt;Genetic testing before serologic screening in relatives of patients with celiac disease as a cost containment method&lt;/title&gt;&lt;secondary-title&gt;J Clin Gastroenterol&lt;/secondary-title&gt;&lt;/titles&gt;&lt;periodical&gt;&lt;full-title&gt;J Clin Gastroenterol&lt;/full-title&gt;&lt;/periodical&gt;&lt;pages&gt;43-50&lt;/pages&gt;&lt;volume&gt;43&lt;/volume&gt;&lt;number&gt;1&lt;/number&gt;&lt;edition&gt;2008/11/21&lt;/edition&gt;&lt;keywords&gt;&lt;keyword&gt;Celiac Disease/*diagnosis/immunology&lt;/keyword&gt;&lt;keyword&gt;Cost Control/methods&lt;/keyword&gt;&lt;keyword&gt;Decision Trees&lt;/keyword&gt;&lt;keyword&gt;Family&lt;/keyword&gt;&lt;keyword&gt;Genetic Testing/economics/*methods&lt;/keyword&gt;&lt;keyword&gt;HLA-DQ Antigens/genetics&lt;/keyword&gt;&lt;keyword&gt;Humans&lt;/keyword&gt;&lt;keyword&gt;Insurance, Health, Reimbursement/economics&lt;/keyword&gt;&lt;keyword&gt;Mass Screening/economics/*methods&lt;/keyword&gt;&lt;keyword&gt;Medicare/economics&lt;/keyword&gt;&lt;keyword&gt;Sensitivity and Specificity&lt;/keyword&gt;&lt;keyword&gt;Serologic Tests/*economics/methods&lt;/keyword&gt;&lt;keyword&gt;Transglutaminases/immunology&lt;/keyword&gt;&lt;keyword&gt;United States&lt;/keyword&gt;&lt;/keywords&gt;&lt;dates&gt;&lt;year&gt;2009&lt;/year&gt;&lt;pub-dates&gt;&lt;date&gt;Jan&lt;/date&gt;&lt;/pub-dates&gt;&lt;/dates&gt;&lt;isbn&gt;0192-0790&lt;/isbn&gt;&lt;accession-num&gt;19020464&lt;/accession-num&gt;&lt;urls&gt;&lt;/urls&gt;&lt;electronic-resource-num&gt;10.1097/MCG.0b013e318187311d&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205</w:t>
            </w:r>
            <w:r w:rsidR="00BF4007">
              <w:rPr>
                <w:rFonts w:cstheme="minorHAnsi"/>
                <w:color w:val="000000"/>
                <w:sz w:val="20"/>
                <w:szCs w:val="20"/>
              </w:rPr>
              <w:fldChar w:fldCharType="end"/>
            </w:r>
          </w:p>
        </w:tc>
        <w:tc>
          <w:tcPr>
            <w:tcW w:w="1134" w:type="dxa"/>
          </w:tcPr>
          <w:p w14:paraId="21D67DA4"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3C9EC82E"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evaluate the cost of genetic testing before serologic screening in relatives of patients with CD</w:t>
            </w:r>
          </w:p>
        </w:tc>
        <w:tc>
          <w:tcPr>
            <w:tcW w:w="1418" w:type="dxa"/>
          </w:tcPr>
          <w:p w14:paraId="3272711E" w14:textId="77777777" w:rsidR="004F1C65" w:rsidRPr="00693CFF" w:rsidRDefault="004F1C65" w:rsidP="0093039F">
            <w:pPr>
              <w:rPr>
                <w:rFonts w:cstheme="minorHAnsi"/>
                <w:color w:val="000000"/>
                <w:sz w:val="20"/>
                <w:szCs w:val="20"/>
              </w:rPr>
            </w:pPr>
            <w:r w:rsidRPr="00693CFF">
              <w:rPr>
                <w:rFonts w:cstheme="minorHAnsi"/>
                <w:color w:val="000000"/>
                <w:sz w:val="20"/>
                <w:szCs w:val="20"/>
              </w:rPr>
              <w:t>genetic screening (HLA) for CD</w:t>
            </w:r>
          </w:p>
        </w:tc>
        <w:tc>
          <w:tcPr>
            <w:tcW w:w="1417" w:type="dxa"/>
          </w:tcPr>
          <w:p w14:paraId="6B6A4EA8" w14:textId="77777777" w:rsidR="004F1C65" w:rsidRPr="00693CFF" w:rsidRDefault="004F1C65" w:rsidP="0093039F">
            <w:pPr>
              <w:rPr>
                <w:rFonts w:cstheme="minorHAnsi"/>
                <w:color w:val="000000"/>
                <w:sz w:val="20"/>
                <w:szCs w:val="20"/>
              </w:rPr>
            </w:pPr>
            <w:r w:rsidRPr="00693CFF">
              <w:rPr>
                <w:rFonts w:cstheme="minorHAnsi"/>
                <w:color w:val="000000"/>
                <w:sz w:val="20"/>
                <w:szCs w:val="20"/>
              </w:rPr>
              <w:t>serological screening with TTG</w:t>
            </w:r>
          </w:p>
        </w:tc>
        <w:tc>
          <w:tcPr>
            <w:tcW w:w="1418" w:type="dxa"/>
          </w:tcPr>
          <w:p w14:paraId="68587D2A" w14:textId="77777777" w:rsidR="004F1C65" w:rsidRPr="00693CFF" w:rsidRDefault="004F1C65" w:rsidP="0093039F">
            <w:pPr>
              <w:rPr>
                <w:rFonts w:cstheme="minorHAnsi"/>
                <w:color w:val="000000"/>
                <w:sz w:val="20"/>
                <w:szCs w:val="20"/>
              </w:rPr>
            </w:pPr>
            <w:r w:rsidRPr="00693CFF">
              <w:rPr>
                <w:rFonts w:cstheme="minorHAnsi"/>
                <w:color w:val="000000"/>
                <w:sz w:val="20"/>
                <w:szCs w:val="20"/>
              </w:rPr>
              <w:t>first and second degree relatives of patients with CD</w:t>
            </w:r>
          </w:p>
        </w:tc>
        <w:tc>
          <w:tcPr>
            <w:tcW w:w="992" w:type="dxa"/>
          </w:tcPr>
          <w:p w14:paraId="25C69119"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4DB92195" w14:textId="77777777" w:rsidR="004F1C65" w:rsidRPr="00693CFF" w:rsidRDefault="004F1C65" w:rsidP="00D47AEE">
            <w:pPr>
              <w:rPr>
                <w:rFonts w:cstheme="minorHAnsi"/>
                <w:sz w:val="20"/>
                <w:szCs w:val="20"/>
              </w:rPr>
            </w:pPr>
            <w:r w:rsidRPr="00693CFF">
              <w:rPr>
                <w:rFonts w:cstheme="minorHAnsi"/>
                <w:sz w:val="20"/>
                <w:szCs w:val="20"/>
              </w:rPr>
              <w:t xml:space="preserve">3 diagnostic branches at decision node: TTG at time t0, TTG at time t0 and t1, HLA then TTG at time t0 and t1. All positive results will undertake biopsy to confirm diagnosis. </w:t>
            </w:r>
          </w:p>
        </w:tc>
        <w:tc>
          <w:tcPr>
            <w:tcW w:w="1417" w:type="dxa"/>
          </w:tcPr>
          <w:p w14:paraId="524A1F21" w14:textId="77777777" w:rsidR="004F1C65" w:rsidRPr="00693CFF" w:rsidRDefault="004F1C65" w:rsidP="00D47AEE">
            <w:pPr>
              <w:rPr>
                <w:rFonts w:cstheme="minorHAnsi"/>
                <w:sz w:val="20"/>
                <w:szCs w:val="20"/>
              </w:rPr>
            </w:pPr>
            <w:r w:rsidRPr="00693CFF">
              <w:rPr>
                <w:rFonts w:cstheme="minorHAnsi"/>
                <w:sz w:val="20"/>
                <w:szCs w:val="20"/>
              </w:rPr>
              <w:t>None reported</w:t>
            </w:r>
          </w:p>
        </w:tc>
        <w:tc>
          <w:tcPr>
            <w:tcW w:w="1701" w:type="dxa"/>
          </w:tcPr>
          <w:p w14:paraId="00991234" w14:textId="77777777" w:rsidR="004F1C65" w:rsidRPr="00693CFF" w:rsidRDefault="004F1C65" w:rsidP="0093039F">
            <w:pPr>
              <w:rPr>
                <w:rFonts w:cstheme="minorHAnsi"/>
                <w:sz w:val="20"/>
                <w:szCs w:val="20"/>
              </w:rPr>
            </w:pPr>
            <w:r w:rsidRPr="00693CFF">
              <w:rPr>
                <w:rFonts w:cstheme="minorHAnsi"/>
                <w:sz w:val="20"/>
                <w:szCs w:val="20"/>
              </w:rPr>
              <w:t>None</w:t>
            </w:r>
          </w:p>
        </w:tc>
        <w:tc>
          <w:tcPr>
            <w:tcW w:w="1843" w:type="dxa"/>
          </w:tcPr>
          <w:p w14:paraId="0B5C06DF" w14:textId="77777777" w:rsidR="004F1C65" w:rsidRPr="00693CFF" w:rsidRDefault="004F1C65" w:rsidP="0093039F">
            <w:pPr>
              <w:rPr>
                <w:rFonts w:cstheme="minorHAnsi"/>
                <w:sz w:val="20"/>
                <w:szCs w:val="20"/>
              </w:rPr>
            </w:pPr>
            <w:r w:rsidRPr="00693CFF">
              <w:rPr>
                <w:rFonts w:cstheme="minorHAnsi"/>
                <w:sz w:val="20"/>
                <w:szCs w:val="20"/>
              </w:rPr>
              <w:t>Initial screening with TTG alone is the least costly, followed by repeat screening with TTG after some time; the most costly is HLA testing. The results are sensitive to costs of genetic test, prevalence of disease.</w:t>
            </w:r>
          </w:p>
        </w:tc>
      </w:tr>
      <w:tr w:rsidR="004F1C65" w:rsidRPr="00537E70" w14:paraId="08663D32" w14:textId="77777777" w:rsidTr="0093039F">
        <w:trPr>
          <w:jc w:val="center"/>
        </w:trPr>
        <w:tc>
          <w:tcPr>
            <w:tcW w:w="1129" w:type="dxa"/>
          </w:tcPr>
          <w:p w14:paraId="29E64A5E" w14:textId="4FB6A3AD" w:rsidR="004F1C65" w:rsidRPr="00693CFF" w:rsidRDefault="004F1C65" w:rsidP="0093039F">
            <w:pPr>
              <w:rPr>
                <w:rFonts w:cstheme="minorHAnsi"/>
                <w:color w:val="000000"/>
                <w:sz w:val="20"/>
                <w:szCs w:val="20"/>
              </w:rPr>
            </w:pPr>
            <w:r w:rsidRPr="00693CFF">
              <w:rPr>
                <w:rFonts w:cstheme="minorHAnsi"/>
                <w:color w:val="000000"/>
                <w:sz w:val="20"/>
                <w:szCs w:val="20"/>
              </w:rPr>
              <w:t>Hershcovici et al. 2010</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&lt;EndNote&gt;&lt;Cite&gt;&lt;Author&gt;Hershcovici&lt;/Author&gt;&lt;Year&gt;2010&lt;/Year&gt;&lt;RecNum&gt;398&lt;/RecNum&gt;&lt;DisplayText&gt;&lt;style face="superscript"&gt;206&lt;/style&gt;&lt;/DisplayText&gt;&lt;record&gt;&lt;rec-number&gt;398&lt;/rec-number&gt;&lt;foreign-keys&gt;&lt;key app="EN" db-id="tdwrx9xd1z9eepeevr355w2k959rv0f5zaax" timestamp="1633338938"&gt;398&lt;/key&gt;&lt;/foreign-keys&gt;&lt;ref-type name="Journal Article"&gt;17&lt;/ref-type&gt;&lt;contributors&gt;&lt;authors&gt;&lt;author&gt;Hershcovici, T.&lt;/author&gt;&lt;author&gt;Leshno, M.&lt;/author&gt;&lt;author&gt;Goldin, E.&lt;/author&gt;&lt;author&gt;Shamir, R.&lt;/author&gt;&lt;author&gt;Israeli, E.&lt;/author&gt;&lt;/authors&gt;&lt;/contributors&gt;&lt;auth-address&gt;Gastroenterology Department, Hadassah-Hebrew University Medical Center, Jerusalem, Israel.&lt;/auth-address&gt;&lt;titles&gt;&lt;title&gt;Cost effectiveness of mass screening for coeliac disease is determined by time-delay to diagnosis and quality of life on a gluten-free diet&lt;/title&gt;&lt;secondary-title&gt;Aliment Pharmacol Ther&lt;/secondary-title&gt;&lt;/titles&gt;&lt;periodical&gt;&lt;full-title&gt;Aliment Pharmacol Ther&lt;/full-title&gt;&lt;/periodical&gt;&lt;pages&gt;901-10&lt;/pages&gt;&lt;volume&gt;31&lt;/volume&gt;&lt;number&gt;8&lt;/number&gt;&lt;edition&gt;2010/01/26&lt;/edition&gt;&lt;keywords&gt;&lt;keyword&gt;Adult&lt;/keyword&gt;&lt;keyword&gt;Celiac Disease/*diagnosis/diet therapy/economics&lt;/keyword&gt;&lt;keyword&gt;Cost-Benefit Analysis&lt;/keyword&gt;&lt;keyword&gt;Delayed Diagnosis&lt;/keyword&gt;&lt;keyword&gt;*Diet, Gluten-Free&lt;/keyword&gt;&lt;keyword&gt;Female&lt;/keyword&gt;&lt;keyword&gt;Humans&lt;/keyword&gt;&lt;keyword&gt;Male&lt;/keyword&gt;&lt;keyword&gt;Markov Chains&lt;/keyword&gt;&lt;keyword&gt;Mass Screening/*economics&lt;/keyword&gt;&lt;keyword&gt;Quality of Life&lt;/keyword&gt;&lt;keyword&gt;Quality-Adjusted Life Years&lt;/keyword&gt;&lt;keyword&gt;Treatment Outcome&lt;/keyword&gt;&lt;/keywords&gt;&lt;dates&gt;&lt;year&gt;2010&lt;/year&gt;&lt;pub-dates&gt;&lt;date&gt;Apr&lt;/date&gt;&lt;/pub-dates&gt;&lt;/dates&gt;&lt;isbn&gt;0269-2813&lt;/isbn&gt;&lt;accession-num&gt;20096017&lt;/accession-num&gt;&lt;urls&gt;&lt;/urls&gt;&lt;electronic-resource-num&gt;10.1111/j.1365-2036.2010.04242.x&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206</w:t>
            </w:r>
            <w:r w:rsidR="00BF4007">
              <w:rPr>
                <w:rFonts w:cstheme="minorHAnsi"/>
                <w:color w:val="000000"/>
                <w:sz w:val="20"/>
                <w:szCs w:val="20"/>
              </w:rPr>
              <w:fldChar w:fldCharType="end"/>
            </w:r>
          </w:p>
        </w:tc>
        <w:tc>
          <w:tcPr>
            <w:tcW w:w="1134" w:type="dxa"/>
          </w:tcPr>
          <w:p w14:paraId="02BFCD92"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133E1037"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To evaluate the cost effectiveness of mass </w:t>
            </w:r>
            <w:r w:rsidRPr="00693CFF">
              <w:rPr>
                <w:rFonts w:cstheme="minorHAnsi"/>
                <w:color w:val="000000"/>
                <w:sz w:val="20"/>
                <w:szCs w:val="20"/>
              </w:rPr>
              <w:lastRenderedPageBreak/>
              <w:t>screening for CD</w:t>
            </w:r>
          </w:p>
        </w:tc>
        <w:tc>
          <w:tcPr>
            <w:tcW w:w="1418" w:type="dxa"/>
          </w:tcPr>
          <w:p w14:paraId="4F00CDF9"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mass screening (serological tests followed by biopsy)</w:t>
            </w:r>
          </w:p>
        </w:tc>
        <w:tc>
          <w:tcPr>
            <w:tcW w:w="1417" w:type="dxa"/>
          </w:tcPr>
          <w:p w14:paraId="6CEA9894" w14:textId="77777777" w:rsidR="004F1C65" w:rsidRPr="00693CFF" w:rsidRDefault="004F1C65" w:rsidP="0093039F">
            <w:pPr>
              <w:rPr>
                <w:rFonts w:cstheme="minorHAnsi"/>
                <w:color w:val="000000"/>
                <w:sz w:val="20"/>
                <w:szCs w:val="20"/>
              </w:rPr>
            </w:pPr>
            <w:r w:rsidRPr="00693CFF">
              <w:rPr>
                <w:rFonts w:cstheme="minorHAnsi"/>
                <w:color w:val="000000"/>
                <w:sz w:val="20"/>
                <w:szCs w:val="20"/>
              </w:rPr>
              <w:t>no-screening (diagnosis based on symptoms alone)</w:t>
            </w:r>
          </w:p>
        </w:tc>
        <w:tc>
          <w:tcPr>
            <w:tcW w:w="1418" w:type="dxa"/>
          </w:tcPr>
          <w:p w14:paraId="7EEC5EC5" w14:textId="77777777" w:rsidR="004F1C65" w:rsidRPr="00693CFF" w:rsidRDefault="004F1C65" w:rsidP="0093039F">
            <w:pPr>
              <w:rPr>
                <w:rFonts w:cstheme="minorHAnsi"/>
                <w:color w:val="000000"/>
                <w:sz w:val="20"/>
                <w:szCs w:val="20"/>
              </w:rPr>
            </w:pPr>
            <w:r w:rsidRPr="00693CFF">
              <w:rPr>
                <w:rFonts w:cstheme="minorHAnsi"/>
                <w:color w:val="000000"/>
                <w:sz w:val="20"/>
                <w:szCs w:val="20"/>
              </w:rPr>
              <w:t>young adult general population at 18 years</w:t>
            </w:r>
          </w:p>
        </w:tc>
        <w:tc>
          <w:tcPr>
            <w:tcW w:w="992" w:type="dxa"/>
          </w:tcPr>
          <w:p w14:paraId="4CFCB941" w14:textId="77777777" w:rsidR="004F1C65" w:rsidRPr="00693CFF" w:rsidRDefault="004F1C65" w:rsidP="0093039F">
            <w:pPr>
              <w:rPr>
                <w:rFonts w:cstheme="minorHAnsi"/>
                <w:color w:val="000000"/>
                <w:sz w:val="20"/>
                <w:szCs w:val="20"/>
              </w:rPr>
            </w:pPr>
            <w:r w:rsidRPr="00693CFF">
              <w:rPr>
                <w:rFonts w:cstheme="minorHAnsi"/>
                <w:color w:val="000000"/>
                <w:sz w:val="20"/>
                <w:szCs w:val="20"/>
              </w:rPr>
              <w:t>Markov</w:t>
            </w:r>
          </w:p>
        </w:tc>
        <w:tc>
          <w:tcPr>
            <w:tcW w:w="1843" w:type="dxa"/>
          </w:tcPr>
          <w:p w14:paraId="165BDF0A" w14:textId="77777777" w:rsidR="004F1C65" w:rsidRPr="00693CFF" w:rsidRDefault="004F1C65" w:rsidP="00D47AEE">
            <w:pPr>
              <w:rPr>
                <w:rFonts w:cstheme="minorHAnsi"/>
                <w:sz w:val="20"/>
                <w:szCs w:val="20"/>
              </w:rPr>
            </w:pPr>
            <w:r w:rsidRPr="00693CFF">
              <w:rPr>
                <w:rFonts w:cstheme="minorHAnsi"/>
                <w:sz w:val="20"/>
                <w:szCs w:val="20"/>
              </w:rPr>
              <w:t>health states: no CD,CD undiagnosed but with symptoms: Irritable Bowel Syndrome(IBS)-like symptoms, iron-</w:t>
            </w:r>
            <w:r w:rsidRPr="00693CFF">
              <w:rPr>
                <w:rFonts w:cstheme="minorHAnsi"/>
                <w:sz w:val="20"/>
                <w:szCs w:val="20"/>
              </w:rPr>
              <w:lastRenderedPageBreak/>
              <w:t>deficiency anaemia (IDA) or other symptoms; CD undiagnosed without symptoms; CD diagnosed and adherence to a GFD;CD diagnosed without adherence to a GFD; death. cycle length 1 year; Discount rate on costs and utilities: 3%</w:t>
            </w:r>
          </w:p>
        </w:tc>
        <w:tc>
          <w:tcPr>
            <w:tcW w:w="1417" w:type="dxa"/>
          </w:tcPr>
          <w:p w14:paraId="5D882FBD" w14:textId="77777777" w:rsidR="004F1C65" w:rsidRPr="00693CFF" w:rsidRDefault="004F1C65" w:rsidP="00D47AEE">
            <w:pPr>
              <w:rPr>
                <w:rFonts w:cstheme="minorHAnsi"/>
                <w:sz w:val="20"/>
                <w:szCs w:val="20"/>
              </w:rPr>
            </w:pPr>
            <w:r w:rsidRPr="00693CFF">
              <w:rPr>
                <w:rFonts w:cstheme="minorHAnsi"/>
                <w:sz w:val="20"/>
                <w:szCs w:val="20"/>
              </w:rPr>
              <w:lastRenderedPageBreak/>
              <w:t>lifetime</w:t>
            </w:r>
          </w:p>
        </w:tc>
        <w:tc>
          <w:tcPr>
            <w:tcW w:w="1701" w:type="dxa"/>
          </w:tcPr>
          <w:p w14:paraId="4C9C4CD6" w14:textId="77777777" w:rsidR="004F1C65" w:rsidRPr="00693CFF" w:rsidRDefault="004F1C65" w:rsidP="0093039F">
            <w:pPr>
              <w:rPr>
                <w:rFonts w:cstheme="minorHAnsi"/>
                <w:sz w:val="20"/>
                <w:szCs w:val="20"/>
              </w:rPr>
            </w:pPr>
          </w:p>
        </w:tc>
        <w:tc>
          <w:tcPr>
            <w:tcW w:w="1843" w:type="dxa"/>
          </w:tcPr>
          <w:p w14:paraId="233C8C27" w14:textId="77777777" w:rsidR="004F1C65" w:rsidRPr="00693CFF" w:rsidRDefault="004F1C65" w:rsidP="0093039F">
            <w:pPr>
              <w:rPr>
                <w:rFonts w:cstheme="minorHAnsi"/>
                <w:sz w:val="20"/>
                <w:szCs w:val="20"/>
              </w:rPr>
            </w:pPr>
            <w:r w:rsidRPr="00693CFF">
              <w:rPr>
                <w:rFonts w:cstheme="minorHAnsi"/>
                <w:sz w:val="20"/>
                <w:szCs w:val="20"/>
              </w:rPr>
              <w:t>The screening strategy resulted in a gain of 0.0027 QALYs. The ICER of</w:t>
            </w:r>
          </w:p>
          <w:p w14:paraId="64D988E9" w14:textId="77777777" w:rsidR="004F1C65" w:rsidRPr="00693CFF" w:rsidRDefault="004F1C65" w:rsidP="0093039F">
            <w:pPr>
              <w:rPr>
                <w:rFonts w:cstheme="minorHAnsi"/>
                <w:sz w:val="20"/>
                <w:szCs w:val="20"/>
              </w:rPr>
            </w:pPr>
            <w:r w:rsidRPr="00693CFF">
              <w:rPr>
                <w:rFonts w:cstheme="minorHAnsi"/>
                <w:sz w:val="20"/>
                <w:szCs w:val="20"/>
              </w:rPr>
              <w:t xml:space="preserve">screening vs. no-screening strategy </w:t>
            </w:r>
            <w:r w:rsidRPr="00693CFF">
              <w:rPr>
                <w:rFonts w:cstheme="minorHAnsi"/>
                <w:sz w:val="20"/>
                <w:szCs w:val="20"/>
              </w:rPr>
              <w:lastRenderedPageBreak/>
              <w:t>was US$48,960 ⁄ QALYs.</w:t>
            </w:r>
          </w:p>
        </w:tc>
      </w:tr>
      <w:tr w:rsidR="004F1C65" w:rsidRPr="00537E70" w14:paraId="6D90FEB7" w14:textId="77777777" w:rsidTr="0093039F">
        <w:trPr>
          <w:jc w:val="center"/>
        </w:trPr>
        <w:tc>
          <w:tcPr>
            <w:tcW w:w="1129" w:type="dxa"/>
          </w:tcPr>
          <w:p w14:paraId="554665E1" w14:textId="32F7E2D5"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Mohseninejad et al. 2013</w:t>
            </w:r>
            <w:r w:rsidR="00BF4007">
              <w:rPr>
                <w:rFonts w:cstheme="minorHAnsi"/>
                <w:color w:val="000000"/>
                <w:sz w:val="20"/>
                <w:szCs w:val="20"/>
              </w:rPr>
              <w:fldChar w:fldCharType="begin"/>
            </w:r>
            <w:r w:rsidR="00735CC0">
              <w:rPr>
                <w:rFonts w:cstheme="minorHAnsi"/>
                <w:color w:val="000000"/>
                <w:sz w:val="20"/>
                <w:szCs w:val="20"/>
              </w:rPr>
              <w:instrText xml:space="preserve"> ADDIN EN.CITE &lt;EndNote&gt;&lt;Cite&gt;&lt;Author&gt;Mohseninejad&lt;/Author&gt;&lt;Year&gt;2013&lt;/Year&gt;&lt;RecNum&gt;399&lt;/RecNum&gt;&lt;DisplayText&gt;&lt;style face="superscript"&gt;207&lt;/style&gt;&lt;/DisplayText&gt;&lt;record&gt;&lt;rec-number&gt;399&lt;/rec-number&gt;&lt;foreign-keys&gt;&lt;key app="EN" db-id="tdwrx9xd1z9eepeevr355w2k959rv0f5zaax" timestamp="1633338939"&gt;399&lt;/key&gt;&lt;/foreign-keys&gt;&lt;ref-type name="Journal Article"&gt;17&lt;/ref-type&gt;&lt;contributors&gt;&lt;authors&gt;&lt;author&gt;Mohseninejad, L.&lt;/author&gt;&lt;author&gt;Feenstra, T.&lt;/author&gt;&lt;author&gt;van der Horst, H. E.&lt;/author&gt;&lt;author&gt;Woutersen-Koch, H.&lt;/author&gt;&lt;author&gt;Buskens, E.&lt;/author&gt;&lt;/authors&gt;&lt;/contributors&gt;&lt;auth-address&gt;Department of Epidemiology, University Medical Center Groningen, University of Groningen, Hanzeplein 1, PO Box 30.001, 9700 RB, Groningen, The Netherlands, mohseninejadl@epi.umcg.nl.&lt;/auth-address&gt;&lt;titles&gt;&lt;title&gt;Targeted screening for Coeliac Disease among irritable bowel syndrome patients: analysis of cost-effectiveness and value of information&lt;/title&gt;&lt;secondary-title&gt;Eur J Health Econ&lt;/secondary-title&gt;&lt;/titles&gt;&lt;periodical&gt;&lt;full-title&gt;Eur J Health Econ&lt;/full-title&gt;&lt;/periodical&gt;&lt;pages&gt;947-57&lt;/pages&gt;&lt;volume&gt;14&lt;/volume&gt;&lt;number&gt;6&lt;/number&gt;&lt;edition&gt;2012/11/28&lt;/edition&gt;&lt;keywords&gt;&lt;keyword&gt;Age Factors&lt;/keyword&gt;&lt;keyword&gt;Celiac Disease/*diagnosis/*epidemiology&lt;/keyword&gt;&lt;keyword&gt;Computer Simulation&lt;/keyword&gt;&lt;keyword&gt;Cost-Benefit Analysis&lt;/keyword&gt;&lt;keyword&gt;Decision Support Techniques&lt;/keyword&gt;&lt;keyword&gt;Endoscopy&lt;/keyword&gt;&lt;keyword&gt;Humans&lt;/keyword&gt;&lt;keyword&gt;Incidence&lt;/keyword&gt;&lt;keyword&gt;Irritable Bowel Syndrome/*epidemiology&lt;/keyword&gt;&lt;keyword&gt;Mass Screening/*economics&lt;/keyword&gt;&lt;keyword&gt;Models, Economic&lt;/keyword&gt;&lt;keyword&gt;Prevalence&lt;/keyword&gt;&lt;keyword&gt;*Quality of Life&lt;/keyword&gt;&lt;keyword&gt;Quality-Adjusted Life Years&lt;/keyword&gt;&lt;/keywords&gt;&lt;dates&gt;&lt;year&gt;2013&lt;/year&gt;&lt;pub-dates&gt;&lt;date&gt;Dec&lt;/date&gt;&lt;/pub-dates&gt;&lt;/dates&gt;&lt;isbn&gt;1618-7598&lt;/isbn&gt;&lt;accession-num&gt;23179163&lt;/accession-num&gt;&lt;urls&gt;&lt;/urls&gt;&lt;electronic-resource-num&gt;10.1007/s10198-012-0441-4&lt;/electronic-resource-num&gt;&lt;remote-database-provider&gt;NLM&lt;/remote-database-provider&gt;&lt;language&gt;eng&lt;/language&gt;&lt;/record&gt;&lt;/Cite&gt;&lt;/EndNote&gt;</w:instrText>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207</w:t>
            </w:r>
            <w:r w:rsidR="00BF4007">
              <w:rPr>
                <w:rFonts w:cstheme="minorHAnsi"/>
                <w:color w:val="000000"/>
                <w:sz w:val="20"/>
                <w:szCs w:val="20"/>
              </w:rPr>
              <w:fldChar w:fldCharType="end"/>
            </w:r>
          </w:p>
        </w:tc>
        <w:tc>
          <w:tcPr>
            <w:tcW w:w="1134" w:type="dxa"/>
          </w:tcPr>
          <w:p w14:paraId="08BF43DB" w14:textId="77777777" w:rsidR="004F1C65" w:rsidRPr="00693CFF" w:rsidRDefault="004F1C65" w:rsidP="0093039F">
            <w:pPr>
              <w:rPr>
                <w:rFonts w:cstheme="minorHAnsi"/>
                <w:color w:val="000000"/>
                <w:sz w:val="20"/>
                <w:szCs w:val="20"/>
              </w:rPr>
            </w:pPr>
            <w:r w:rsidRPr="00693CFF">
              <w:rPr>
                <w:rFonts w:cstheme="minorHAnsi"/>
                <w:color w:val="000000"/>
                <w:sz w:val="20"/>
                <w:szCs w:val="20"/>
              </w:rPr>
              <w:t>The Netherlands</w:t>
            </w:r>
          </w:p>
        </w:tc>
        <w:tc>
          <w:tcPr>
            <w:tcW w:w="1134" w:type="dxa"/>
          </w:tcPr>
          <w:p w14:paraId="2C9AD73E" w14:textId="77777777" w:rsidR="004F1C65" w:rsidRPr="00693CFF" w:rsidRDefault="004F1C65" w:rsidP="0093039F">
            <w:pPr>
              <w:rPr>
                <w:rFonts w:cstheme="minorHAnsi"/>
                <w:color w:val="000000"/>
                <w:sz w:val="20"/>
                <w:szCs w:val="20"/>
              </w:rPr>
            </w:pPr>
            <w:r w:rsidRPr="00693CFF">
              <w:rPr>
                <w:rFonts w:cstheme="minorHAnsi"/>
                <w:color w:val="000000"/>
                <w:sz w:val="20"/>
                <w:szCs w:val="20"/>
              </w:rPr>
              <w:t>Cost-effectiveness analysis of targeted screening for Coeliac Disease among irritable bowel syndrome patients</w:t>
            </w:r>
          </w:p>
        </w:tc>
        <w:tc>
          <w:tcPr>
            <w:tcW w:w="1418" w:type="dxa"/>
          </w:tcPr>
          <w:p w14:paraId="4B401F38" w14:textId="77777777" w:rsidR="004F1C65" w:rsidRPr="00693CFF" w:rsidRDefault="004F1C65" w:rsidP="0093039F">
            <w:pPr>
              <w:rPr>
                <w:rFonts w:cstheme="minorHAnsi"/>
                <w:color w:val="000000"/>
                <w:sz w:val="20"/>
                <w:szCs w:val="20"/>
              </w:rPr>
            </w:pPr>
            <w:r w:rsidRPr="00693CFF">
              <w:rPr>
                <w:rFonts w:cstheme="minorHAnsi"/>
                <w:color w:val="000000"/>
                <w:sz w:val="20"/>
                <w:szCs w:val="20"/>
              </w:rPr>
              <w:t>serological screening (tTG and IgA) and biopsy after positive serology</w:t>
            </w:r>
          </w:p>
        </w:tc>
        <w:tc>
          <w:tcPr>
            <w:tcW w:w="1417" w:type="dxa"/>
          </w:tcPr>
          <w:p w14:paraId="75FA7BEF" w14:textId="77777777" w:rsidR="004F1C65" w:rsidRPr="00693CFF" w:rsidRDefault="004F1C65" w:rsidP="0093039F">
            <w:pPr>
              <w:rPr>
                <w:rFonts w:cstheme="minorHAnsi"/>
                <w:color w:val="000000"/>
                <w:sz w:val="20"/>
                <w:szCs w:val="20"/>
              </w:rPr>
            </w:pPr>
            <w:r w:rsidRPr="00693CFF">
              <w:rPr>
                <w:rFonts w:cstheme="minorHAnsi"/>
                <w:color w:val="000000"/>
                <w:sz w:val="20"/>
                <w:szCs w:val="20"/>
              </w:rPr>
              <w:t>no screening</w:t>
            </w:r>
          </w:p>
        </w:tc>
        <w:tc>
          <w:tcPr>
            <w:tcW w:w="1418" w:type="dxa"/>
          </w:tcPr>
          <w:p w14:paraId="257182CD" w14:textId="77777777" w:rsidR="004F1C65" w:rsidRPr="00693CFF" w:rsidRDefault="004F1C65" w:rsidP="0093039F">
            <w:pPr>
              <w:rPr>
                <w:rFonts w:cstheme="minorHAnsi"/>
                <w:color w:val="000000"/>
                <w:sz w:val="20"/>
                <w:szCs w:val="20"/>
              </w:rPr>
            </w:pPr>
            <w:r w:rsidRPr="00693CFF">
              <w:rPr>
                <w:rFonts w:cstheme="minorHAnsi"/>
                <w:color w:val="000000"/>
                <w:sz w:val="20"/>
                <w:szCs w:val="20"/>
              </w:rPr>
              <w:t>IBS patients in the Netherlands (34 years of age)</w:t>
            </w:r>
          </w:p>
        </w:tc>
        <w:tc>
          <w:tcPr>
            <w:tcW w:w="992" w:type="dxa"/>
          </w:tcPr>
          <w:p w14:paraId="0EB3B96F"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1FDD8B54" w14:textId="77777777" w:rsidR="004F1C65" w:rsidRPr="00693CFF" w:rsidRDefault="004F1C65" w:rsidP="00D47AEE">
            <w:pPr>
              <w:rPr>
                <w:rFonts w:cstheme="minorHAnsi"/>
                <w:sz w:val="20"/>
                <w:szCs w:val="20"/>
              </w:rPr>
            </w:pPr>
            <w:r w:rsidRPr="00693CFF">
              <w:rPr>
                <w:rFonts w:cstheme="minorHAnsi"/>
                <w:sz w:val="20"/>
                <w:szCs w:val="20"/>
              </w:rPr>
              <w:t xml:space="preserve">two decision options: no screening vs screening; on the no-screening intervention patients may have IBS or CD. The intervention arm classifies patients by test results first and not by prevalence. Tests results, if positive, are confirmed by biopsy. Discount rates: 1.5% for utilities and 4% for costs, net present </w:t>
            </w:r>
            <w:r w:rsidRPr="00693CFF">
              <w:rPr>
                <w:rFonts w:cstheme="minorHAnsi"/>
                <w:sz w:val="20"/>
                <w:szCs w:val="20"/>
              </w:rPr>
              <w:lastRenderedPageBreak/>
              <w:t>value calculated for all future costs.</w:t>
            </w:r>
          </w:p>
        </w:tc>
        <w:tc>
          <w:tcPr>
            <w:tcW w:w="1417" w:type="dxa"/>
          </w:tcPr>
          <w:p w14:paraId="1136CB3E" w14:textId="77777777" w:rsidR="004F1C65" w:rsidRPr="00693CFF" w:rsidRDefault="004F1C65" w:rsidP="00D47AEE">
            <w:pPr>
              <w:rPr>
                <w:rFonts w:cstheme="minorHAnsi"/>
                <w:sz w:val="20"/>
                <w:szCs w:val="20"/>
              </w:rPr>
            </w:pPr>
            <w:r w:rsidRPr="00693CFF">
              <w:rPr>
                <w:rFonts w:cstheme="minorHAnsi"/>
                <w:sz w:val="20"/>
                <w:szCs w:val="20"/>
              </w:rPr>
              <w:lastRenderedPageBreak/>
              <w:t>lifetime</w:t>
            </w:r>
          </w:p>
        </w:tc>
        <w:tc>
          <w:tcPr>
            <w:tcW w:w="1701" w:type="dxa"/>
          </w:tcPr>
          <w:p w14:paraId="7E1FC610" w14:textId="77777777" w:rsidR="004F1C65" w:rsidRPr="00693CFF" w:rsidRDefault="004F1C65" w:rsidP="0093039F">
            <w:pPr>
              <w:rPr>
                <w:rFonts w:cstheme="minorHAnsi"/>
                <w:sz w:val="20"/>
                <w:szCs w:val="20"/>
              </w:rPr>
            </w:pPr>
            <w:r w:rsidRPr="00693CFF">
              <w:rPr>
                <w:rFonts w:cstheme="minorHAnsi"/>
                <w:sz w:val="20"/>
                <w:szCs w:val="20"/>
              </w:rPr>
              <w:t>utility on a GFD (0.98 based on SF-36 scores); utility of IBS (0.76)</w:t>
            </w:r>
          </w:p>
        </w:tc>
        <w:tc>
          <w:tcPr>
            <w:tcW w:w="1843" w:type="dxa"/>
          </w:tcPr>
          <w:p w14:paraId="23FE4B07" w14:textId="77777777" w:rsidR="004F1C65" w:rsidRPr="00693CFF" w:rsidRDefault="004F1C65" w:rsidP="0093039F">
            <w:pPr>
              <w:rPr>
                <w:rFonts w:cstheme="minorHAnsi"/>
                <w:sz w:val="20"/>
                <w:szCs w:val="20"/>
              </w:rPr>
            </w:pPr>
            <w:r w:rsidRPr="00693CFF">
              <w:rPr>
                <w:rFonts w:cstheme="minorHAnsi"/>
                <w:sz w:val="20"/>
                <w:szCs w:val="20"/>
              </w:rPr>
              <w:t xml:space="preserve">Mass screening of young adults is cost-effective provided we assume that the utility of treated CD on a GFD is greater than 0.978. What drives the ICER: the time delay from symptom onset to diagnosis, the utility of adherence to a GFD, utility of treated CD, and the prevalence of CD. Screening would be cost-effective if the time delay to diagnosis is longer </w:t>
            </w:r>
            <w:r w:rsidRPr="00693CFF">
              <w:rPr>
                <w:rFonts w:cstheme="minorHAnsi"/>
                <w:sz w:val="20"/>
                <w:szCs w:val="20"/>
              </w:rPr>
              <w:lastRenderedPageBreak/>
              <w:t>than 6 years and utility of GFD adherence is greater than 0.978.</w:t>
            </w:r>
          </w:p>
        </w:tc>
      </w:tr>
      <w:tr w:rsidR="004F1C65" w:rsidRPr="00537E70" w14:paraId="448C5167" w14:textId="77777777" w:rsidTr="0093039F">
        <w:trPr>
          <w:jc w:val="center"/>
        </w:trPr>
        <w:tc>
          <w:tcPr>
            <w:tcW w:w="1129" w:type="dxa"/>
          </w:tcPr>
          <w:p w14:paraId="6E88B501" w14:textId="10F33533"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Park et al. 2013</w:t>
            </w:r>
            <w:r w:rsidR="00BF4007">
              <w:rPr>
                <w:rFonts w:cstheme="minorHAnsi"/>
                <w:color w:val="000000"/>
                <w:sz w:val="20"/>
                <w:szCs w:val="20"/>
              </w:rPr>
              <w:fldChar w:fldCharType="begin">
                <w:fldData xml:space="preserve">PEVuZE5vdGU+PENpdGU+PEF1dGhvcj5QYXJrPC9BdXRob3I+PFllYXI+MjAxMzwvWWVhcj48UmVj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</w:fldData>
              </w:fldChar>
            </w:r>
            <w:r w:rsidR="00735CC0">
              <w:rPr>
                <w:rFonts w:cstheme="minorHAnsi"/>
                <w:color w:val="000000"/>
                <w:sz w:val="20"/>
                <w:szCs w:val="20"/>
              </w:rPr>
              <w:instrText xml:space="preserve"> ADDIN EN.CITE </w:instrText>
            </w:r>
            <w:r w:rsidR="00735CC0">
              <w:rPr>
                <w:rFonts w:cstheme="minorHAnsi"/>
                <w:color w:val="000000"/>
                <w:sz w:val="20"/>
                <w:szCs w:val="20"/>
              </w:rPr>
              <w:fldChar w:fldCharType="begin">
                <w:fldData xml:space="preserve">PEVuZE5vdGU+PENpdGU+PEF1dGhvcj5QYXJrPC9BdXRob3I+PFllYXI+MjAxMzwvWWVhcj48UmVj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</w:fldData>
              </w:fldChar>
            </w:r>
            <w:r w:rsidR="00735CC0">
              <w:rPr>
                <w:rFonts w:cstheme="minorHAnsi"/>
                <w:color w:val="000000"/>
                <w:sz w:val="20"/>
                <w:szCs w:val="20"/>
              </w:rPr>
              <w:instrText xml:space="preserve"> ADDIN EN.CITE.DATA </w:instrText>
            </w:r>
            <w:r w:rsidR="00735CC0">
              <w:rPr>
                <w:rFonts w:cstheme="minorHAnsi"/>
                <w:color w:val="000000"/>
                <w:sz w:val="20"/>
                <w:szCs w:val="20"/>
              </w:rPr>
            </w:r>
            <w:r w:rsidR="00735CC0">
              <w:rPr>
                <w:rFonts w:cstheme="minorHAnsi"/>
                <w:color w:val="000000"/>
                <w:sz w:val="20"/>
                <w:szCs w:val="20"/>
              </w:rPr>
              <w:fldChar w:fldCharType="end"/>
            </w:r>
            <w:r w:rsidR="00BF4007">
              <w:rPr>
                <w:rFonts w:cstheme="minorHAnsi"/>
                <w:color w:val="000000"/>
                <w:sz w:val="20"/>
                <w:szCs w:val="20"/>
              </w:rPr>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208</w:t>
            </w:r>
            <w:r w:rsidR="00BF4007">
              <w:rPr>
                <w:rFonts w:cstheme="minorHAnsi"/>
                <w:color w:val="000000"/>
                <w:sz w:val="20"/>
                <w:szCs w:val="20"/>
              </w:rPr>
              <w:fldChar w:fldCharType="end"/>
            </w:r>
          </w:p>
        </w:tc>
        <w:tc>
          <w:tcPr>
            <w:tcW w:w="1134" w:type="dxa"/>
          </w:tcPr>
          <w:p w14:paraId="0D94D164"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21319DB5"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determine the cost- effectiveness of universal serologic screening to prevent nontraumatic hip and vertebral fractures in patients with CD</w:t>
            </w:r>
          </w:p>
        </w:tc>
        <w:tc>
          <w:tcPr>
            <w:tcW w:w="1418" w:type="dxa"/>
          </w:tcPr>
          <w:p w14:paraId="077BDAF6" w14:textId="77777777" w:rsidR="004F1C65" w:rsidRPr="00693CFF" w:rsidRDefault="004F1C65" w:rsidP="0093039F">
            <w:pPr>
              <w:rPr>
                <w:rFonts w:cstheme="minorHAnsi"/>
                <w:color w:val="000000"/>
                <w:sz w:val="20"/>
                <w:szCs w:val="20"/>
              </w:rPr>
            </w:pPr>
            <w:r w:rsidRPr="00693CFF">
              <w:rPr>
                <w:rFonts w:cstheme="minorHAnsi"/>
                <w:color w:val="000000"/>
                <w:sz w:val="20"/>
                <w:szCs w:val="20"/>
              </w:rPr>
              <w:t>universal serological screening (followed by biopsy)</w:t>
            </w:r>
          </w:p>
        </w:tc>
        <w:tc>
          <w:tcPr>
            <w:tcW w:w="1417" w:type="dxa"/>
          </w:tcPr>
          <w:p w14:paraId="358BB74E" w14:textId="77777777" w:rsidR="004F1C65" w:rsidRPr="00693CFF" w:rsidRDefault="004F1C65" w:rsidP="0093039F">
            <w:pPr>
              <w:rPr>
                <w:rFonts w:cstheme="minorHAnsi"/>
                <w:color w:val="000000"/>
                <w:sz w:val="20"/>
                <w:szCs w:val="20"/>
              </w:rPr>
            </w:pPr>
            <w:r w:rsidRPr="00693CFF">
              <w:rPr>
                <w:rFonts w:cstheme="minorHAnsi"/>
                <w:color w:val="000000"/>
                <w:sz w:val="20"/>
                <w:szCs w:val="20"/>
              </w:rPr>
              <w:t>standard care (screening only symptomatic or at-risk patients)</w:t>
            </w:r>
          </w:p>
        </w:tc>
        <w:tc>
          <w:tcPr>
            <w:tcW w:w="1418" w:type="dxa"/>
          </w:tcPr>
          <w:p w14:paraId="4C03FE0E" w14:textId="77777777" w:rsidR="004F1C65" w:rsidRPr="00693CFF" w:rsidRDefault="004F1C65" w:rsidP="0093039F">
            <w:pPr>
              <w:rPr>
                <w:rFonts w:cstheme="minorHAnsi"/>
                <w:color w:val="000000"/>
                <w:sz w:val="20"/>
                <w:szCs w:val="20"/>
              </w:rPr>
            </w:pPr>
            <w:r w:rsidRPr="00693CFF">
              <w:rPr>
                <w:rFonts w:cstheme="minorHAnsi"/>
                <w:color w:val="000000"/>
                <w:sz w:val="20"/>
                <w:szCs w:val="20"/>
              </w:rPr>
              <w:t>12 years of age patients</w:t>
            </w:r>
          </w:p>
        </w:tc>
        <w:tc>
          <w:tcPr>
            <w:tcW w:w="992" w:type="dxa"/>
          </w:tcPr>
          <w:p w14:paraId="50364D4E" w14:textId="77777777" w:rsidR="004F1C65" w:rsidRPr="00693CFF" w:rsidRDefault="004F1C65" w:rsidP="0093039F">
            <w:pPr>
              <w:rPr>
                <w:rFonts w:cstheme="minorHAnsi"/>
                <w:color w:val="000000"/>
                <w:sz w:val="20"/>
                <w:szCs w:val="20"/>
              </w:rPr>
            </w:pPr>
            <w:r w:rsidRPr="00693CFF">
              <w:rPr>
                <w:rFonts w:cstheme="minorHAnsi"/>
                <w:color w:val="000000"/>
                <w:sz w:val="20"/>
                <w:szCs w:val="20"/>
              </w:rPr>
              <w:t>Markov</w:t>
            </w:r>
          </w:p>
        </w:tc>
        <w:tc>
          <w:tcPr>
            <w:tcW w:w="1843" w:type="dxa"/>
          </w:tcPr>
          <w:p w14:paraId="4E408A98" w14:textId="77777777" w:rsidR="004F1C65" w:rsidRPr="00693CFF" w:rsidRDefault="004F1C65" w:rsidP="00D47AEE">
            <w:pPr>
              <w:rPr>
                <w:rFonts w:cstheme="minorHAnsi"/>
                <w:sz w:val="20"/>
                <w:szCs w:val="20"/>
              </w:rPr>
            </w:pPr>
            <w:r w:rsidRPr="00693CFF">
              <w:rPr>
                <w:rFonts w:cstheme="minorHAnsi"/>
                <w:sz w:val="20"/>
                <w:szCs w:val="20"/>
              </w:rPr>
              <w:t xml:space="preserve">health states: CD, non-CD, fracture, disability, CD on GFD; modelled males and females separately; different health states for the two interventions; 3% discount for costs and benefits, 1-year cycle, </w:t>
            </w:r>
          </w:p>
        </w:tc>
        <w:tc>
          <w:tcPr>
            <w:tcW w:w="1417" w:type="dxa"/>
          </w:tcPr>
          <w:p w14:paraId="1D11BA38" w14:textId="77777777" w:rsidR="004F1C65" w:rsidRPr="00693CFF" w:rsidRDefault="004F1C65" w:rsidP="00D47AEE">
            <w:pPr>
              <w:rPr>
                <w:rFonts w:cstheme="minorHAnsi"/>
                <w:sz w:val="20"/>
                <w:szCs w:val="20"/>
              </w:rPr>
            </w:pPr>
            <w:r w:rsidRPr="00693CFF">
              <w:rPr>
                <w:rFonts w:cstheme="minorHAnsi"/>
                <w:sz w:val="20"/>
                <w:szCs w:val="20"/>
              </w:rPr>
              <w:t>lifetime</w:t>
            </w:r>
          </w:p>
        </w:tc>
        <w:tc>
          <w:tcPr>
            <w:tcW w:w="1701" w:type="dxa"/>
          </w:tcPr>
          <w:p w14:paraId="4C21B762" w14:textId="77777777" w:rsidR="004F1C65" w:rsidRPr="00693CFF" w:rsidRDefault="004F1C65" w:rsidP="0093039F">
            <w:pPr>
              <w:rPr>
                <w:rFonts w:cstheme="minorHAnsi"/>
                <w:sz w:val="20"/>
                <w:szCs w:val="20"/>
              </w:rPr>
            </w:pPr>
            <w:r w:rsidRPr="00693CFF">
              <w:rPr>
                <w:rFonts w:cstheme="minorHAnsi"/>
                <w:sz w:val="20"/>
                <w:szCs w:val="20"/>
              </w:rPr>
              <w:t xml:space="preserve">Utility of hip fracture (0.9) based on Jönsson 1995. </w:t>
            </w:r>
          </w:p>
          <w:p w14:paraId="4484F78E" w14:textId="77777777" w:rsidR="004F1C65" w:rsidRPr="00693CFF" w:rsidRDefault="004F1C65" w:rsidP="0093039F">
            <w:pPr>
              <w:rPr>
                <w:rFonts w:cstheme="minorHAnsi"/>
                <w:sz w:val="20"/>
                <w:szCs w:val="20"/>
              </w:rPr>
            </w:pPr>
            <w:r w:rsidRPr="00693CFF">
              <w:rPr>
                <w:rFonts w:cstheme="minorHAnsi"/>
                <w:sz w:val="20"/>
                <w:szCs w:val="20"/>
              </w:rPr>
              <w:t>Utility of vertebral fracture (0.9) based on Oleksik 2000.</w:t>
            </w:r>
          </w:p>
        </w:tc>
        <w:tc>
          <w:tcPr>
            <w:tcW w:w="1843" w:type="dxa"/>
          </w:tcPr>
          <w:p w14:paraId="3C19CAF8" w14:textId="77777777" w:rsidR="004F1C65" w:rsidRPr="00693CFF" w:rsidRDefault="004F1C65" w:rsidP="0093039F">
            <w:pPr>
              <w:rPr>
                <w:rFonts w:cstheme="minorHAnsi"/>
                <w:sz w:val="20"/>
                <w:szCs w:val="20"/>
              </w:rPr>
            </w:pPr>
            <w:r w:rsidRPr="00693CFF">
              <w:rPr>
                <w:rFonts w:cstheme="minorHAnsi"/>
                <w:sz w:val="20"/>
                <w:szCs w:val="20"/>
              </w:rPr>
              <w:t>Standard care dominates the intervention. The intervention costs 59.66 more for males and 54.99 more for females, and it is associated with a QALY loss of -0.005 for males and -0.01 for females. Results are robust and the DSA did not affect the ICER.</w:t>
            </w:r>
          </w:p>
        </w:tc>
      </w:tr>
      <w:tr w:rsidR="004F1C65" w:rsidRPr="00537E70" w14:paraId="0BDC3EEF" w14:textId="77777777" w:rsidTr="0093039F">
        <w:trPr>
          <w:jc w:val="center"/>
        </w:trPr>
        <w:tc>
          <w:tcPr>
            <w:tcW w:w="1129" w:type="dxa"/>
          </w:tcPr>
          <w:p w14:paraId="561BB6EE" w14:textId="701587F0" w:rsidR="004F1C65" w:rsidRPr="00693CFF" w:rsidRDefault="004F1C65" w:rsidP="0093039F">
            <w:pPr>
              <w:rPr>
                <w:rFonts w:cstheme="minorHAnsi"/>
                <w:color w:val="000000"/>
                <w:sz w:val="20"/>
                <w:szCs w:val="20"/>
              </w:rPr>
            </w:pPr>
            <w:r w:rsidRPr="00693CFF">
              <w:rPr>
                <w:rFonts w:cstheme="minorHAnsi"/>
                <w:color w:val="000000"/>
                <w:sz w:val="20"/>
                <w:szCs w:val="20"/>
              </w:rPr>
              <w:t>Yang et al. 2015</w:t>
            </w:r>
            <w:r w:rsidR="00BF4007">
              <w:rPr>
                <w:rFonts w:cstheme="minorHAnsi"/>
                <w:color w:val="000000"/>
                <w:sz w:val="20"/>
                <w:szCs w:val="20"/>
              </w:rPr>
              <w:fldChar w:fldCharType="begin">
                <w:fldData xml:space="preserve">PEVuZE5vdGU+PENpdGU+PEF1dGhvcj5ZYW5nPC9BdXRob3I+PFllYXI+MjAxNTwvWWVhcj48UmVj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</w:fldData>
              </w:fldChar>
            </w:r>
            <w:r w:rsidR="00735CC0">
              <w:rPr>
                <w:rFonts w:cstheme="minorHAnsi"/>
                <w:color w:val="000000"/>
                <w:sz w:val="20"/>
                <w:szCs w:val="20"/>
              </w:rPr>
              <w:instrText xml:space="preserve"> ADDIN EN.CITE </w:instrText>
            </w:r>
            <w:r w:rsidR="00735CC0">
              <w:rPr>
                <w:rFonts w:cstheme="minorHAnsi"/>
                <w:color w:val="000000"/>
                <w:sz w:val="20"/>
                <w:szCs w:val="20"/>
              </w:rPr>
              <w:fldChar w:fldCharType="begin">
                <w:fldData xml:space="preserve">PEVuZE5vdGU+PENpdGU+PEF1dGhvcj5ZYW5nPC9BdXRob3I+PFllYXI+MjAxNTwvWWVhcj48UmVj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</w:fldData>
              </w:fldChar>
            </w:r>
            <w:r w:rsidR="00735CC0">
              <w:rPr>
                <w:rFonts w:cstheme="minorHAnsi"/>
                <w:color w:val="000000"/>
                <w:sz w:val="20"/>
                <w:szCs w:val="20"/>
              </w:rPr>
              <w:instrText xml:space="preserve"> ADDIN EN.CITE.DATA </w:instrText>
            </w:r>
            <w:r w:rsidR="00735CC0">
              <w:rPr>
                <w:rFonts w:cstheme="minorHAnsi"/>
                <w:color w:val="000000"/>
                <w:sz w:val="20"/>
                <w:szCs w:val="20"/>
              </w:rPr>
            </w:r>
            <w:r w:rsidR="00735CC0">
              <w:rPr>
                <w:rFonts w:cstheme="minorHAnsi"/>
                <w:color w:val="000000"/>
                <w:sz w:val="20"/>
                <w:szCs w:val="20"/>
              </w:rPr>
              <w:fldChar w:fldCharType="end"/>
            </w:r>
            <w:r w:rsidR="00BF4007">
              <w:rPr>
                <w:rFonts w:cstheme="minorHAnsi"/>
                <w:color w:val="000000"/>
                <w:sz w:val="20"/>
                <w:szCs w:val="20"/>
              </w:rPr>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209</w:t>
            </w:r>
            <w:r w:rsidR="00BF4007">
              <w:rPr>
                <w:rFonts w:cstheme="minorHAnsi"/>
                <w:color w:val="000000"/>
                <w:sz w:val="20"/>
                <w:szCs w:val="20"/>
              </w:rPr>
              <w:fldChar w:fldCharType="end"/>
            </w:r>
          </w:p>
        </w:tc>
        <w:tc>
          <w:tcPr>
            <w:tcW w:w="1134" w:type="dxa"/>
          </w:tcPr>
          <w:p w14:paraId="0045B27D"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0CDD19B7" w14:textId="77777777" w:rsidR="004F1C65" w:rsidRPr="00693CFF" w:rsidRDefault="004F1C65" w:rsidP="0093039F">
            <w:pPr>
              <w:rPr>
                <w:rFonts w:cstheme="minorHAnsi"/>
                <w:color w:val="000000"/>
                <w:sz w:val="20"/>
                <w:szCs w:val="20"/>
              </w:rPr>
            </w:pPr>
            <w:r w:rsidRPr="00693CFF">
              <w:rPr>
                <w:rFonts w:cstheme="minorHAnsi"/>
                <w:color w:val="000000"/>
                <w:sz w:val="20"/>
                <w:szCs w:val="20"/>
              </w:rPr>
              <w:t>Cost-effectiveness of routine duodenal biopsy for CD during endoscopy for gastroesophageal reflux</w:t>
            </w:r>
          </w:p>
        </w:tc>
        <w:tc>
          <w:tcPr>
            <w:tcW w:w="1418" w:type="dxa"/>
          </w:tcPr>
          <w:p w14:paraId="19302CB8" w14:textId="77777777" w:rsidR="004F1C65" w:rsidRPr="00693CFF" w:rsidRDefault="004F1C65" w:rsidP="0093039F">
            <w:pPr>
              <w:rPr>
                <w:rFonts w:cstheme="minorHAnsi"/>
                <w:color w:val="000000"/>
                <w:sz w:val="20"/>
                <w:szCs w:val="20"/>
              </w:rPr>
            </w:pPr>
            <w:r w:rsidRPr="00693CFF">
              <w:rPr>
                <w:rFonts w:cstheme="minorHAnsi"/>
                <w:color w:val="000000"/>
                <w:sz w:val="20"/>
                <w:szCs w:val="20"/>
              </w:rPr>
              <w:t>Performing a duodenal biopsy to detect CD during an EGD for GERD.</w:t>
            </w:r>
          </w:p>
        </w:tc>
        <w:tc>
          <w:tcPr>
            <w:tcW w:w="1417" w:type="dxa"/>
          </w:tcPr>
          <w:p w14:paraId="68304947" w14:textId="77777777" w:rsidR="004F1C65" w:rsidRPr="00693CFF" w:rsidRDefault="004F1C65" w:rsidP="0093039F">
            <w:pPr>
              <w:rPr>
                <w:rFonts w:cstheme="minorHAnsi"/>
                <w:color w:val="000000"/>
                <w:sz w:val="20"/>
                <w:szCs w:val="20"/>
              </w:rPr>
            </w:pPr>
            <w:r w:rsidRPr="00693CFF">
              <w:rPr>
                <w:rFonts w:cstheme="minorHAnsi"/>
                <w:color w:val="000000"/>
                <w:sz w:val="20"/>
                <w:szCs w:val="20"/>
              </w:rPr>
              <w:t>No biopsy for patients undergoing EGD to detect CD</w:t>
            </w:r>
          </w:p>
        </w:tc>
        <w:tc>
          <w:tcPr>
            <w:tcW w:w="1418" w:type="dxa"/>
          </w:tcPr>
          <w:p w14:paraId="1F780D76" w14:textId="77777777" w:rsidR="004F1C65" w:rsidRPr="00693CFF" w:rsidRDefault="004F1C65" w:rsidP="0093039F">
            <w:pPr>
              <w:rPr>
                <w:rFonts w:cstheme="minorHAnsi"/>
                <w:color w:val="000000"/>
                <w:sz w:val="20"/>
                <w:szCs w:val="20"/>
              </w:rPr>
            </w:pPr>
            <w:r w:rsidRPr="00693CFF">
              <w:rPr>
                <w:rFonts w:cstheme="minorHAnsi"/>
                <w:color w:val="000000"/>
                <w:sz w:val="20"/>
                <w:szCs w:val="20"/>
              </w:rPr>
              <w:t>patients with GERD (40 years old)</w:t>
            </w:r>
          </w:p>
        </w:tc>
        <w:tc>
          <w:tcPr>
            <w:tcW w:w="992" w:type="dxa"/>
          </w:tcPr>
          <w:p w14:paraId="5BA92FCC" w14:textId="77777777" w:rsidR="004F1C65" w:rsidRPr="00693CFF" w:rsidRDefault="004F1C65" w:rsidP="0093039F">
            <w:pPr>
              <w:rPr>
                <w:rFonts w:cstheme="minorHAnsi"/>
                <w:color w:val="000000"/>
                <w:sz w:val="20"/>
                <w:szCs w:val="20"/>
              </w:rPr>
            </w:pPr>
            <w:r w:rsidRPr="00693CFF">
              <w:rPr>
                <w:rFonts w:cstheme="minorHAnsi"/>
                <w:color w:val="000000"/>
                <w:sz w:val="20"/>
                <w:szCs w:val="20"/>
              </w:rPr>
              <w:t>decision tree</w:t>
            </w:r>
          </w:p>
        </w:tc>
        <w:tc>
          <w:tcPr>
            <w:tcW w:w="1843" w:type="dxa"/>
          </w:tcPr>
          <w:p w14:paraId="049B8D57" w14:textId="77777777" w:rsidR="004F1C65" w:rsidRPr="00693CFF" w:rsidRDefault="004F1C65" w:rsidP="00D47AEE">
            <w:pPr>
              <w:rPr>
                <w:rFonts w:cstheme="minorHAnsi"/>
                <w:sz w:val="20"/>
                <w:szCs w:val="20"/>
              </w:rPr>
            </w:pPr>
            <w:r w:rsidRPr="00693CFF">
              <w:rPr>
                <w:rFonts w:cstheme="minorHAnsi"/>
                <w:sz w:val="20"/>
                <w:szCs w:val="20"/>
              </w:rPr>
              <w:t xml:space="preserve">two strategies considered (biopsy vs. non-biopsy): patients who already untertake an EGD for GERD could either be tested for CD (biopsy) or not tested. Adherence to GFD and whether symptoms of GERD improve are also modelled. </w:t>
            </w:r>
            <w:r w:rsidRPr="00693CFF">
              <w:rPr>
                <w:rFonts w:cstheme="minorHAnsi"/>
                <w:sz w:val="20"/>
                <w:szCs w:val="20"/>
              </w:rPr>
              <w:lastRenderedPageBreak/>
              <w:t xml:space="preserve">Costs and effects discounted at 3%. </w:t>
            </w:r>
          </w:p>
        </w:tc>
        <w:tc>
          <w:tcPr>
            <w:tcW w:w="1417" w:type="dxa"/>
          </w:tcPr>
          <w:p w14:paraId="5E89E91E" w14:textId="77777777" w:rsidR="004F1C65" w:rsidRPr="00693CFF" w:rsidRDefault="004F1C65" w:rsidP="00D47AEE">
            <w:pPr>
              <w:rPr>
                <w:rFonts w:cstheme="minorHAnsi"/>
                <w:sz w:val="20"/>
                <w:szCs w:val="20"/>
              </w:rPr>
            </w:pPr>
            <w:r w:rsidRPr="00693CFF">
              <w:rPr>
                <w:rFonts w:cstheme="minorHAnsi"/>
                <w:sz w:val="20"/>
                <w:szCs w:val="20"/>
              </w:rPr>
              <w:lastRenderedPageBreak/>
              <w:t>lifetime</w:t>
            </w:r>
          </w:p>
        </w:tc>
        <w:tc>
          <w:tcPr>
            <w:tcW w:w="1701" w:type="dxa"/>
          </w:tcPr>
          <w:p w14:paraId="6BC10BAC" w14:textId="77777777" w:rsidR="004F1C65" w:rsidRPr="00693CFF" w:rsidRDefault="004F1C65" w:rsidP="0093039F">
            <w:pPr>
              <w:rPr>
                <w:rFonts w:cstheme="minorHAnsi"/>
                <w:sz w:val="20"/>
                <w:szCs w:val="20"/>
              </w:rPr>
            </w:pPr>
            <w:r w:rsidRPr="00693CFF">
              <w:rPr>
                <w:rFonts w:cstheme="minorHAnsi"/>
                <w:sz w:val="20"/>
                <w:szCs w:val="20"/>
              </w:rPr>
              <w:t>Utilities included: GERD (0.94), CD on GFD (0.98)</w:t>
            </w:r>
          </w:p>
        </w:tc>
        <w:tc>
          <w:tcPr>
            <w:tcW w:w="1843" w:type="dxa"/>
          </w:tcPr>
          <w:p w14:paraId="67E9B546" w14:textId="77777777" w:rsidR="004F1C65" w:rsidRPr="00693CFF" w:rsidRDefault="004F1C65" w:rsidP="0093039F">
            <w:pPr>
              <w:rPr>
                <w:rFonts w:cstheme="minorHAnsi"/>
                <w:sz w:val="20"/>
                <w:szCs w:val="20"/>
              </w:rPr>
            </w:pPr>
            <w:r w:rsidRPr="00693CFF">
              <w:rPr>
                <w:rFonts w:cstheme="minorHAnsi"/>
                <w:sz w:val="20"/>
                <w:szCs w:val="20"/>
              </w:rPr>
              <w:t>Performing biopsy to detect CD in patients with GERD is not cost-effective. The model results were sensitive to the following variables: utility of GERD, prevalence of CD in refractory GERD patients, specificity of biopsy, cost of GFD, and cost of PPI therapy.</w:t>
            </w:r>
          </w:p>
        </w:tc>
      </w:tr>
      <w:tr w:rsidR="004F1C65" w:rsidRPr="00537E70" w14:paraId="6D3487DA" w14:textId="77777777" w:rsidTr="0093039F">
        <w:trPr>
          <w:jc w:val="center"/>
        </w:trPr>
        <w:tc>
          <w:tcPr>
            <w:tcW w:w="1129" w:type="dxa"/>
          </w:tcPr>
          <w:p w14:paraId="1B671E02" w14:textId="078178E4" w:rsidR="004F1C65" w:rsidRPr="00693CFF" w:rsidRDefault="004F1C65" w:rsidP="0093039F">
            <w:pPr>
              <w:rPr>
                <w:rFonts w:cstheme="minorHAnsi"/>
                <w:color w:val="000000"/>
                <w:sz w:val="20"/>
                <w:szCs w:val="20"/>
              </w:rPr>
            </w:pPr>
            <w:r w:rsidRPr="00693CFF">
              <w:rPr>
                <w:rFonts w:cstheme="minorHAnsi"/>
                <w:color w:val="000000"/>
                <w:sz w:val="20"/>
                <w:szCs w:val="20"/>
              </w:rPr>
              <w:t>Broide et al. 2016</w:t>
            </w:r>
            <w:r w:rsidR="00BF4007">
              <w:rPr>
                <w:rFonts w:cstheme="minorHAnsi"/>
                <w:color w:val="000000"/>
                <w:sz w:val="20"/>
                <w:szCs w:val="20"/>
              </w:rPr>
              <w:fldChar w:fldCharType="begin">
                <w:fldData xml:space="preserve">PEVuZE5vdGU+PENpdGU+PEF1dGhvcj5Ccm9pZGU8L0F1dGhvcj48WWVhcj4yMDE2PC9ZZWFyPjxS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</w:fldData>
              </w:fldChar>
            </w:r>
            <w:r w:rsidR="00735CC0">
              <w:rPr>
                <w:rFonts w:cstheme="minorHAnsi"/>
                <w:color w:val="000000"/>
                <w:sz w:val="20"/>
                <w:szCs w:val="20"/>
              </w:rPr>
              <w:instrText xml:space="preserve"> ADDIN EN.CITE </w:instrText>
            </w:r>
            <w:r w:rsidR="00735CC0">
              <w:rPr>
                <w:rFonts w:cstheme="minorHAnsi"/>
                <w:color w:val="000000"/>
                <w:sz w:val="20"/>
                <w:szCs w:val="20"/>
              </w:rPr>
              <w:fldChar w:fldCharType="begin">
                <w:fldData xml:space="preserve">PEVuZE5vdGU+PENpdGU+PEF1dGhvcj5Ccm9pZGU8L0F1dGhvcj48WWVhcj4yMDE2PC9ZZWFyPjxS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</w:fldData>
              </w:fldChar>
            </w:r>
            <w:r w:rsidR="00735CC0">
              <w:rPr>
                <w:rFonts w:cstheme="minorHAnsi"/>
                <w:color w:val="000000"/>
                <w:sz w:val="20"/>
                <w:szCs w:val="20"/>
              </w:rPr>
              <w:instrText xml:space="preserve"> ADDIN EN.CITE.DATA </w:instrText>
            </w:r>
            <w:r w:rsidR="00735CC0">
              <w:rPr>
                <w:rFonts w:cstheme="minorHAnsi"/>
                <w:color w:val="000000"/>
                <w:sz w:val="20"/>
                <w:szCs w:val="20"/>
              </w:rPr>
            </w:r>
            <w:r w:rsidR="00735CC0">
              <w:rPr>
                <w:rFonts w:cstheme="minorHAnsi"/>
                <w:color w:val="000000"/>
                <w:sz w:val="20"/>
                <w:szCs w:val="20"/>
              </w:rPr>
              <w:fldChar w:fldCharType="end"/>
            </w:r>
            <w:r w:rsidR="00BF4007">
              <w:rPr>
                <w:rFonts w:cstheme="minorHAnsi"/>
                <w:color w:val="000000"/>
                <w:sz w:val="20"/>
                <w:szCs w:val="20"/>
              </w:rPr>
            </w:r>
            <w:r w:rsidR="00BF4007">
              <w:rPr>
                <w:rFonts w:cstheme="minorHAnsi"/>
                <w:color w:val="000000"/>
                <w:sz w:val="20"/>
                <w:szCs w:val="20"/>
              </w:rPr>
              <w:fldChar w:fldCharType="separate"/>
            </w:r>
            <w:r w:rsidR="00735CC0" w:rsidRPr="00735CC0">
              <w:rPr>
                <w:rFonts w:cstheme="minorHAnsi"/>
                <w:noProof/>
                <w:color w:val="000000"/>
                <w:sz w:val="20"/>
                <w:szCs w:val="20"/>
                <w:vertAlign w:val="superscript"/>
              </w:rPr>
              <w:t>210</w:t>
            </w:r>
            <w:r w:rsidR="00BF4007">
              <w:rPr>
                <w:rFonts w:cstheme="minorHAnsi"/>
                <w:color w:val="000000"/>
                <w:sz w:val="20"/>
                <w:szCs w:val="20"/>
              </w:rPr>
              <w:fldChar w:fldCharType="end"/>
            </w:r>
          </w:p>
        </w:tc>
        <w:tc>
          <w:tcPr>
            <w:tcW w:w="1134" w:type="dxa"/>
          </w:tcPr>
          <w:p w14:paraId="5DF6FBA1" w14:textId="77777777" w:rsidR="004F1C65" w:rsidRPr="00693CFF" w:rsidRDefault="004F1C65" w:rsidP="0093039F">
            <w:pPr>
              <w:rPr>
                <w:rFonts w:cstheme="minorHAnsi"/>
                <w:color w:val="000000"/>
                <w:sz w:val="20"/>
                <w:szCs w:val="20"/>
              </w:rPr>
            </w:pPr>
            <w:r w:rsidRPr="00693CFF">
              <w:rPr>
                <w:rFonts w:cstheme="minorHAnsi"/>
                <w:color w:val="000000"/>
                <w:sz w:val="20"/>
                <w:szCs w:val="20"/>
              </w:rPr>
              <w:t>USA</w:t>
            </w:r>
          </w:p>
        </w:tc>
        <w:tc>
          <w:tcPr>
            <w:tcW w:w="1134" w:type="dxa"/>
          </w:tcPr>
          <w:p w14:paraId="67204593" w14:textId="77777777" w:rsidR="004F1C65" w:rsidRPr="00693CFF" w:rsidRDefault="004F1C65" w:rsidP="0093039F">
            <w:pPr>
              <w:rPr>
                <w:rFonts w:cstheme="minorHAnsi"/>
                <w:color w:val="000000"/>
                <w:sz w:val="20"/>
                <w:szCs w:val="20"/>
              </w:rPr>
            </w:pPr>
            <w:r w:rsidRPr="00693CFF">
              <w:rPr>
                <w:rFonts w:cstheme="minorHAnsi"/>
                <w:color w:val="000000"/>
                <w:sz w:val="20"/>
                <w:szCs w:val="20"/>
              </w:rPr>
              <w:t>To determine the cost- effectiveness of routine duodenal biopsy to detect CD in patients with iron deficiency anemia (IDA)</w:t>
            </w:r>
          </w:p>
        </w:tc>
        <w:tc>
          <w:tcPr>
            <w:tcW w:w="1418" w:type="dxa"/>
          </w:tcPr>
          <w:p w14:paraId="5C19FC6E" w14:textId="77777777" w:rsidR="004F1C65" w:rsidRPr="00693CFF" w:rsidRDefault="004F1C65" w:rsidP="0093039F">
            <w:pPr>
              <w:rPr>
                <w:rFonts w:cstheme="minorHAnsi"/>
                <w:color w:val="000000"/>
                <w:sz w:val="20"/>
                <w:szCs w:val="20"/>
              </w:rPr>
            </w:pPr>
            <w:r w:rsidRPr="00693CFF">
              <w:rPr>
                <w:rFonts w:cstheme="minorHAnsi"/>
                <w:color w:val="000000"/>
                <w:sz w:val="20"/>
                <w:szCs w:val="20"/>
              </w:rPr>
              <w:t>Performing a duodenal biopsy during an EGD in all patients with IDA, irrespective of serology CD result (even if CD results are negative)</w:t>
            </w:r>
          </w:p>
        </w:tc>
        <w:tc>
          <w:tcPr>
            <w:tcW w:w="1417" w:type="dxa"/>
          </w:tcPr>
          <w:p w14:paraId="6BF5F49B" w14:textId="77777777" w:rsidR="004F1C65" w:rsidRPr="00693CFF" w:rsidRDefault="004F1C65" w:rsidP="0093039F">
            <w:pPr>
              <w:rPr>
                <w:rFonts w:cstheme="minorHAnsi"/>
                <w:color w:val="000000"/>
                <w:sz w:val="20"/>
                <w:szCs w:val="20"/>
              </w:rPr>
            </w:pPr>
            <w:r w:rsidRPr="00693CFF">
              <w:rPr>
                <w:rFonts w:cstheme="minorHAnsi"/>
                <w:color w:val="000000"/>
                <w:sz w:val="20"/>
                <w:szCs w:val="20"/>
              </w:rPr>
              <w:t>Biopsy only in IDA patients with positive serology for CD</w:t>
            </w:r>
          </w:p>
        </w:tc>
        <w:tc>
          <w:tcPr>
            <w:tcW w:w="1418" w:type="dxa"/>
          </w:tcPr>
          <w:p w14:paraId="55B5C6AF" w14:textId="77777777" w:rsidR="004F1C65" w:rsidRPr="00693CFF" w:rsidRDefault="004F1C65" w:rsidP="0093039F">
            <w:pPr>
              <w:rPr>
                <w:rFonts w:cstheme="minorHAnsi"/>
                <w:color w:val="000000"/>
                <w:sz w:val="20"/>
                <w:szCs w:val="20"/>
              </w:rPr>
            </w:pPr>
            <w:r w:rsidRPr="00693CFF">
              <w:rPr>
                <w:rFonts w:cstheme="minorHAnsi"/>
                <w:color w:val="000000"/>
                <w:sz w:val="20"/>
                <w:szCs w:val="20"/>
              </w:rPr>
              <w:t>adults with IDA, age 45 and above</w:t>
            </w:r>
          </w:p>
        </w:tc>
        <w:tc>
          <w:tcPr>
            <w:tcW w:w="992" w:type="dxa"/>
          </w:tcPr>
          <w:p w14:paraId="39940277" w14:textId="77777777" w:rsidR="004F1C65" w:rsidRPr="00693CFF" w:rsidRDefault="004F1C65" w:rsidP="0093039F">
            <w:pPr>
              <w:rPr>
                <w:rFonts w:cstheme="minorHAnsi"/>
                <w:color w:val="000000"/>
                <w:sz w:val="20"/>
                <w:szCs w:val="20"/>
              </w:rPr>
            </w:pPr>
            <w:r w:rsidRPr="00693CFF">
              <w:rPr>
                <w:rFonts w:cstheme="minorHAnsi"/>
                <w:color w:val="000000"/>
                <w:sz w:val="20"/>
                <w:szCs w:val="20"/>
              </w:rPr>
              <w:t>Markov</w:t>
            </w:r>
          </w:p>
        </w:tc>
        <w:tc>
          <w:tcPr>
            <w:tcW w:w="1843" w:type="dxa"/>
          </w:tcPr>
          <w:p w14:paraId="7E2F4F5E" w14:textId="77777777" w:rsidR="004F1C65" w:rsidRPr="00693CFF" w:rsidRDefault="004F1C65" w:rsidP="00D47AEE">
            <w:pPr>
              <w:rPr>
                <w:rFonts w:cstheme="minorHAnsi"/>
                <w:sz w:val="20"/>
                <w:szCs w:val="20"/>
              </w:rPr>
            </w:pPr>
            <w:r w:rsidRPr="00693CFF">
              <w:rPr>
                <w:rFonts w:cstheme="minorHAnsi"/>
                <w:sz w:val="20"/>
                <w:szCs w:val="20"/>
              </w:rPr>
              <w:t>6 health states in the model: 1) No CD;</w:t>
            </w:r>
            <w:r w:rsidRPr="00693CFF">
              <w:rPr>
                <w:rFonts w:cstheme="minorHAnsi"/>
                <w:sz w:val="20"/>
                <w:szCs w:val="20"/>
              </w:rPr>
              <w:br/>
              <w:t>(2) CD but undiagnosed (i.e., considered healthy); (3)</w:t>
            </w:r>
            <w:r w:rsidRPr="00693CFF">
              <w:rPr>
                <w:rFonts w:cstheme="minorHAnsi"/>
                <w:sz w:val="20"/>
                <w:szCs w:val="20"/>
              </w:rPr>
              <w:br/>
              <w:t>potential CD, defined as positive serology for CD ; (4) CD under normal diet; (5) CD under strict</w:t>
            </w:r>
            <w:r w:rsidRPr="00693CFF">
              <w:rPr>
                <w:rFonts w:cstheme="minorHAnsi"/>
                <w:sz w:val="20"/>
                <w:szCs w:val="20"/>
              </w:rPr>
              <w:br/>
              <w:t xml:space="preserve">GFD;  (6) Death. Annual cycle length. </w:t>
            </w:r>
          </w:p>
        </w:tc>
        <w:tc>
          <w:tcPr>
            <w:tcW w:w="1417" w:type="dxa"/>
          </w:tcPr>
          <w:p w14:paraId="7804B591" w14:textId="77777777" w:rsidR="004F1C65" w:rsidRPr="00693CFF" w:rsidRDefault="004F1C65" w:rsidP="00D47AEE">
            <w:pPr>
              <w:rPr>
                <w:rFonts w:cstheme="minorHAnsi"/>
                <w:sz w:val="20"/>
                <w:szCs w:val="20"/>
              </w:rPr>
            </w:pPr>
            <w:r w:rsidRPr="00693CFF">
              <w:rPr>
                <w:rFonts w:cstheme="minorHAnsi"/>
                <w:sz w:val="20"/>
                <w:szCs w:val="20"/>
              </w:rPr>
              <w:t>lifetime</w:t>
            </w:r>
          </w:p>
        </w:tc>
        <w:tc>
          <w:tcPr>
            <w:tcW w:w="1701" w:type="dxa"/>
          </w:tcPr>
          <w:p w14:paraId="67B67595" w14:textId="77777777" w:rsidR="004F1C65" w:rsidRPr="00693CFF" w:rsidRDefault="004F1C65" w:rsidP="0093039F">
            <w:pPr>
              <w:rPr>
                <w:rFonts w:cstheme="minorHAnsi"/>
                <w:sz w:val="20"/>
                <w:szCs w:val="20"/>
              </w:rPr>
            </w:pPr>
            <w:r w:rsidRPr="00693CFF">
              <w:rPr>
                <w:rFonts w:cstheme="minorHAnsi"/>
                <w:sz w:val="20"/>
                <w:szCs w:val="20"/>
              </w:rPr>
              <w:t>Utility of CD=0.92 (based on published literature)</w:t>
            </w:r>
          </w:p>
          <w:p w14:paraId="5DC9C359" w14:textId="77777777" w:rsidR="004F1C65" w:rsidRPr="00693CFF" w:rsidRDefault="004F1C65" w:rsidP="0093039F">
            <w:pPr>
              <w:rPr>
                <w:rFonts w:cstheme="minorHAnsi"/>
                <w:sz w:val="20"/>
                <w:szCs w:val="20"/>
              </w:rPr>
            </w:pPr>
            <w:r w:rsidRPr="00693CFF">
              <w:rPr>
                <w:rFonts w:cstheme="minorHAnsi"/>
                <w:sz w:val="20"/>
                <w:szCs w:val="20"/>
              </w:rPr>
              <w:t>Utility of GFD=0.99 (assumption)</w:t>
            </w:r>
          </w:p>
        </w:tc>
        <w:tc>
          <w:tcPr>
            <w:tcW w:w="1843" w:type="dxa"/>
          </w:tcPr>
          <w:p w14:paraId="20580E97" w14:textId="77777777" w:rsidR="004F1C65" w:rsidRPr="00693CFF" w:rsidRDefault="004F1C65" w:rsidP="0093039F">
            <w:pPr>
              <w:rPr>
                <w:rFonts w:cstheme="minorHAnsi"/>
                <w:sz w:val="20"/>
                <w:szCs w:val="20"/>
              </w:rPr>
            </w:pPr>
            <w:r w:rsidRPr="00693CFF">
              <w:rPr>
                <w:rFonts w:cstheme="minorHAnsi"/>
                <w:sz w:val="20"/>
                <w:szCs w:val="20"/>
              </w:rPr>
              <w:t>The intervention is cost-effective and dominates the comparator since it costs less and results in more QALYs. The parameters which impacted most on the QALY gain results were the prevalence of CD in IDA patients, the utility of CD and the probability of identifying CD due to symptoms.</w:t>
            </w:r>
          </w:p>
        </w:tc>
      </w:tr>
      <w:tr w:rsidR="004F1C65" w:rsidRPr="00537E70" w14:paraId="6B1C1923" w14:textId="77777777" w:rsidTr="0093039F">
        <w:trPr>
          <w:jc w:val="center"/>
        </w:trPr>
        <w:tc>
          <w:tcPr>
            <w:tcW w:w="1129" w:type="dxa"/>
          </w:tcPr>
          <w:p w14:paraId="134C9D99" w14:textId="35804C28" w:rsidR="004F1C65" w:rsidRPr="00693CFF" w:rsidRDefault="004F1C65" w:rsidP="0093039F">
            <w:pPr>
              <w:rPr>
                <w:rFonts w:cstheme="minorHAnsi"/>
                <w:color w:val="000000"/>
                <w:sz w:val="20"/>
                <w:szCs w:val="20"/>
              </w:rPr>
            </w:pPr>
            <w:r w:rsidRPr="00693CFF">
              <w:rPr>
                <w:rFonts w:cstheme="minorHAnsi"/>
                <w:color w:val="000000"/>
                <w:sz w:val="20"/>
                <w:szCs w:val="20"/>
              </w:rPr>
              <w:t>NICE 2015</w:t>
            </w:r>
          </w:p>
        </w:tc>
        <w:tc>
          <w:tcPr>
            <w:tcW w:w="1134" w:type="dxa"/>
          </w:tcPr>
          <w:p w14:paraId="7D46C388" w14:textId="77777777" w:rsidR="004F1C65" w:rsidRPr="00693CFF" w:rsidRDefault="004F1C65" w:rsidP="0093039F">
            <w:pPr>
              <w:rPr>
                <w:rFonts w:cstheme="minorHAnsi"/>
                <w:color w:val="000000"/>
                <w:sz w:val="20"/>
                <w:szCs w:val="20"/>
              </w:rPr>
            </w:pPr>
            <w:r w:rsidRPr="00693CFF">
              <w:rPr>
                <w:rFonts w:cstheme="minorHAnsi"/>
                <w:color w:val="000000"/>
                <w:sz w:val="20"/>
                <w:szCs w:val="20"/>
              </w:rPr>
              <w:t>UK</w:t>
            </w:r>
          </w:p>
        </w:tc>
        <w:tc>
          <w:tcPr>
            <w:tcW w:w="1134" w:type="dxa"/>
          </w:tcPr>
          <w:p w14:paraId="1EC82727" w14:textId="77777777" w:rsidR="004F1C65" w:rsidRPr="00693CFF" w:rsidRDefault="004F1C65" w:rsidP="0093039F">
            <w:pPr>
              <w:rPr>
                <w:rFonts w:cstheme="minorHAnsi"/>
                <w:color w:val="000000"/>
                <w:sz w:val="20"/>
                <w:szCs w:val="20"/>
              </w:rPr>
            </w:pPr>
            <w:r w:rsidRPr="00693CFF">
              <w:rPr>
                <w:rFonts w:cstheme="minorHAnsi"/>
                <w:color w:val="000000"/>
                <w:sz w:val="20"/>
                <w:szCs w:val="20"/>
              </w:rPr>
              <w:t>Which serological test is the most appropriate to diagnose CD and what patient group should be referred for screening?</w:t>
            </w:r>
          </w:p>
        </w:tc>
        <w:tc>
          <w:tcPr>
            <w:tcW w:w="1418" w:type="dxa"/>
          </w:tcPr>
          <w:p w14:paraId="7F92C89F" w14:textId="77777777" w:rsidR="004F1C65" w:rsidRPr="00693CFF" w:rsidRDefault="004F1C65" w:rsidP="0093039F">
            <w:pPr>
              <w:rPr>
                <w:rFonts w:cstheme="minorHAnsi"/>
                <w:color w:val="000000"/>
                <w:sz w:val="20"/>
                <w:szCs w:val="20"/>
              </w:rPr>
            </w:pPr>
            <w:r w:rsidRPr="00693CFF">
              <w:rPr>
                <w:rFonts w:cstheme="minorHAnsi"/>
                <w:color w:val="000000"/>
                <w:sz w:val="20"/>
                <w:szCs w:val="20"/>
              </w:rPr>
              <w:t>Individual or sequences of serological tests.</w:t>
            </w:r>
          </w:p>
          <w:p w14:paraId="3D278A93" w14:textId="67757436" w:rsidR="004F1C65" w:rsidRPr="00693CFF" w:rsidRDefault="004F1C65" w:rsidP="0093039F">
            <w:pPr>
              <w:rPr>
                <w:rFonts w:cstheme="minorHAnsi"/>
                <w:color w:val="000000"/>
                <w:sz w:val="20"/>
                <w:szCs w:val="20"/>
              </w:rPr>
            </w:pPr>
            <w:r w:rsidRPr="00693CFF">
              <w:rPr>
                <w:rFonts w:cstheme="minorHAnsi"/>
                <w:color w:val="000000"/>
                <w:sz w:val="20"/>
                <w:szCs w:val="20"/>
              </w:rPr>
              <w:t>Screening relatives of CD patients, patients with type</w:t>
            </w:r>
            <w:r w:rsidR="00905650">
              <w:rPr>
                <w:rFonts w:cstheme="minorHAnsi"/>
                <w:color w:val="000000"/>
                <w:sz w:val="20"/>
                <w:szCs w:val="20"/>
              </w:rPr>
              <w:t xml:space="preserve"> </w:t>
            </w:r>
            <w:r w:rsidRPr="00693CFF">
              <w:rPr>
                <w:rFonts w:cstheme="minorHAnsi"/>
                <w:color w:val="000000"/>
                <w:sz w:val="20"/>
                <w:szCs w:val="20"/>
              </w:rPr>
              <w:t xml:space="preserve">1 diabetes, and patients with autoimmune thyroid conditions. </w:t>
            </w:r>
          </w:p>
        </w:tc>
        <w:tc>
          <w:tcPr>
            <w:tcW w:w="1417" w:type="dxa"/>
          </w:tcPr>
          <w:p w14:paraId="30FC0B56" w14:textId="77777777" w:rsidR="004F1C65" w:rsidRPr="00693CFF" w:rsidRDefault="004F1C65" w:rsidP="0093039F">
            <w:pPr>
              <w:rPr>
                <w:rFonts w:cstheme="minorHAnsi"/>
                <w:color w:val="000000"/>
                <w:sz w:val="20"/>
                <w:szCs w:val="20"/>
              </w:rPr>
            </w:pPr>
            <w:r w:rsidRPr="00693CFF">
              <w:rPr>
                <w:rFonts w:cstheme="minorHAnsi"/>
                <w:color w:val="000000"/>
                <w:sz w:val="20"/>
                <w:szCs w:val="20"/>
              </w:rPr>
              <w:t>Alternative testing and active case finding strategies.</w:t>
            </w:r>
          </w:p>
          <w:p w14:paraId="504BA53A" w14:textId="77777777" w:rsidR="004F1C65" w:rsidRPr="00693CFF" w:rsidRDefault="004F1C65" w:rsidP="0093039F">
            <w:pPr>
              <w:rPr>
                <w:rFonts w:cstheme="minorHAnsi"/>
                <w:color w:val="000000"/>
                <w:sz w:val="20"/>
                <w:szCs w:val="20"/>
              </w:rPr>
            </w:pPr>
          </w:p>
          <w:p w14:paraId="010E8AC0"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No screening. </w:t>
            </w:r>
          </w:p>
        </w:tc>
        <w:tc>
          <w:tcPr>
            <w:tcW w:w="1418" w:type="dxa"/>
          </w:tcPr>
          <w:p w14:paraId="25ED91B6" w14:textId="77777777" w:rsidR="004F1C65" w:rsidRPr="00693CFF" w:rsidRDefault="004F1C65" w:rsidP="0093039F">
            <w:pPr>
              <w:rPr>
                <w:rFonts w:cstheme="minorHAnsi"/>
                <w:color w:val="000000"/>
                <w:sz w:val="20"/>
                <w:szCs w:val="20"/>
              </w:rPr>
            </w:pPr>
            <w:r w:rsidRPr="00693CFF">
              <w:rPr>
                <w:rFonts w:cstheme="minorHAnsi"/>
                <w:color w:val="000000"/>
                <w:sz w:val="20"/>
                <w:szCs w:val="20"/>
              </w:rPr>
              <w:t xml:space="preserve">Adults and children with symptoms suggestive of CD (The age of the cohort at baseline is an assumption with 30 being used for the adult population and 5 used when the </w:t>
            </w:r>
            <w:r w:rsidRPr="00693CFF">
              <w:rPr>
                <w:rFonts w:cstheme="minorHAnsi"/>
                <w:color w:val="000000"/>
                <w:sz w:val="20"/>
                <w:szCs w:val="20"/>
              </w:rPr>
              <w:lastRenderedPageBreak/>
              <w:t>cohort begins in childhood)</w:t>
            </w:r>
          </w:p>
        </w:tc>
        <w:tc>
          <w:tcPr>
            <w:tcW w:w="992" w:type="dxa"/>
          </w:tcPr>
          <w:p w14:paraId="25FBC22B" w14:textId="77777777" w:rsidR="004F1C65" w:rsidRPr="00693CFF" w:rsidRDefault="004F1C65" w:rsidP="0093039F">
            <w:pPr>
              <w:rPr>
                <w:rFonts w:cstheme="minorHAnsi"/>
                <w:color w:val="000000"/>
                <w:sz w:val="20"/>
                <w:szCs w:val="20"/>
              </w:rPr>
            </w:pPr>
            <w:r w:rsidRPr="00693CFF">
              <w:rPr>
                <w:rFonts w:cstheme="minorHAnsi"/>
                <w:color w:val="000000"/>
                <w:sz w:val="20"/>
                <w:szCs w:val="20"/>
              </w:rPr>
              <w:lastRenderedPageBreak/>
              <w:t>decision tree followed by Markov</w:t>
            </w:r>
          </w:p>
        </w:tc>
        <w:tc>
          <w:tcPr>
            <w:tcW w:w="1843" w:type="dxa"/>
          </w:tcPr>
          <w:p w14:paraId="4654C2CD" w14:textId="77777777" w:rsidR="004F1C65" w:rsidRPr="00693CFF" w:rsidRDefault="004F1C65" w:rsidP="00D47AEE">
            <w:pPr>
              <w:rPr>
                <w:rFonts w:cstheme="minorHAnsi"/>
                <w:sz w:val="20"/>
                <w:szCs w:val="20"/>
              </w:rPr>
            </w:pPr>
            <w:r w:rsidRPr="00693CFF">
              <w:rPr>
                <w:rFonts w:cstheme="minorHAnsi"/>
                <w:sz w:val="20"/>
                <w:szCs w:val="20"/>
              </w:rPr>
              <w:t>Health states Markov: CD on GFD, CD no GFD, NO CD, Subfertility, Osteoporosis, Non-Hodgkin lymphoma, Other cancers, Death. Annual cycles. Health outcomes and costs are discounted at a rate of 3.5% in line with the NICE reference case.</w:t>
            </w:r>
          </w:p>
        </w:tc>
        <w:tc>
          <w:tcPr>
            <w:tcW w:w="1417" w:type="dxa"/>
          </w:tcPr>
          <w:p w14:paraId="3CC20621" w14:textId="77777777" w:rsidR="004F1C65" w:rsidRPr="00693CFF" w:rsidRDefault="004F1C65" w:rsidP="00D47AEE">
            <w:pPr>
              <w:rPr>
                <w:rFonts w:cstheme="minorHAnsi"/>
                <w:sz w:val="20"/>
                <w:szCs w:val="20"/>
              </w:rPr>
            </w:pPr>
            <w:r w:rsidRPr="00693CFF">
              <w:rPr>
                <w:rFonts w:cstheme="minorHAnsi"/>
                <w:sz w:val="20"/>
                <w:szCs w:val="20"/>
              </w:rPr>
              <w:t>lifetime</w:t>
            </w:r>
          </w:p>
        </w:tc>
        <w:tc>
          <w:tcPr>
            <w:tcW w:w="1701" w:type="dxa"/>
          </w:tcPr>
          <w:p w14:paraId="7A720570" w14:textId="55CD282A" w:rsidR="004F1C65" w:rsidRPr="00693CFF" w:rsidRDefault="004F1C65" w:rsidP="0093039F">
            <w:pPr>
              <w:rPr>
                <w:rFonts w:cstheme="minorHAnsi"/>
                <w:sz w:val="20"/>
                <w:szCs w:val="20"/>
              </w:rPr>
            </w:pPr>
            <w:r w:rsidRPr="00693CFF">
              <w:rPr>
                <w:rFonts w:cstheme="minorHAnsi"/>
                <w:sz w:val="20"/>
                <w:szCs w:val="20"/>
              </w:rPr>
              <w:t>The healthcare resource use associated with symptoms of CD based on a study by Violato et al. (2012).</w:t>
            </w:r>
            <w:r w:rsidR="00BF4007">
              <w:rPr>
                <w:rFonts w:cstheme="minorHAnsi"/>
                <w:sz w:val="20"/>
                <w:szCs w:val="20"/>
              </w:rPr>
              <w:fldChar w:fldCharType="begin">
                <w:fldData xml:space="preserve">PEVuZE5vdGU+PENpdGU+PEF1dGhvcj5WaW9sYXRvPC9BdXRob3I+PFllYXI+MjAxMjwvWWVhcj48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</w:fldData>
              </w:fldChar>
            </w:r>
            <w:r w:rsidR="00735CC0">
              <w:rPr>
                <w:rFonts w:cstheme="minorHAnsi"/>
                <w:sz w:val="20"/>
                <w:szCs w:val="20"/>
              </w:rPr>
              <w:instrText xml:space="preserve"> ADDIN EN.CITE </w:instrText>
            </w:r>
            <w:r w:rsidR="00735CC0">
              <w:rPr>
                <w:rFonts w:cstheme="minorHAnsi"/>
                <w:sz w:val="20"/>
                <w:szCs w:val="20"/>
              </w:rPr>
              <w:fldChar w:fldCharType="begin">
                <w:fldData xml:space="preserve">PEVuZE5vdGU+PENpdGU+PEF1dGhvcj5WaW9sYXRvPC9BdXRob3I+PFllYXI+MjAxMjwvWWVhcj48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</w:fldData>
              </w:fldChar>
            </w:r>
            <w:r w:rsidR="00735CC0">
              <w:rPr>
                <w:rFonts w:cstheme="minorHAnsi"/>
                <w:sz w:val="20"/>
                <w:szCs w:val="20"/>
              </w:rPr>
              <w:instrText xml:space="preserve"> ADDIN EN.CITE.DATA </w:instrText>
            </w:r>
            <w:r w:rsidR="00735CC0">
              <w:rPr>
                <w:rFonts w:cstheme="minorHAnsi"/>
                <w:sz w:val="20"/>
                <w:szCs w:val="20"/>
              </w:rPr>
            </w:r>
            <w:r w:rsidR="00735CC0">
              <w:rPr>
                <w:rFonts w:cstheme="minorHAnsi"/>
                <w:sz w:val="20"/>
                <w:szCs w:val="20"/>
              </w:rPr>
              <w:fldChar w:fldCharType="end"/>
            </w:r>
            <w:r w:rsidR="00BF4007">
              <w:rPr>
                <w:rFonts w:cstheme="minorHAnsi"/>
                <w:sz w:val="20"/>
                <w:szCs w:val="20"/>
              </w:rPr>
            </w:r>
            <w:r w:rsidR="00BF4007">
              <w:rPr>
                <w:rFonts w:cstheme="minorHAnsi"/>
                <w:sz w:val="20"/>
                <w:szCs w:val="20"/>
              </w:rPr>
              <w:fldChar w:fldCharType="separate"/>
            </w:r>
            <w:r w:rsidR="00735CC0" w:rsidRPr="00735CC0">
              <w:rPr>
                <w:rFonts w:cstheme="minorHAnsi"/>
                <w:noProof/>
                <w:sz w:val="20"/>
                <w:szCs w:val="20"/>
                <w:vertAlign w:val="superscript"/>
              </w:rPr>
              <w:t>51</w:t>
            </w:r>
            <w:r w:rsidR="00BF4007">
              <w:rPr>
                <w:rFonts w:cstheme="minorHAnsi"/>
                <w:sz w:val="20"/>
                <w:szCs w:val="20"/>
              </w:rPr>
              <w:fldChar w:fldCharType="end"/>
            </w:r>
            <w:r w:rsidRPr="00693CFF">
              <w:rPr>
                <w:rFonts w:cstheme="minorHAnsi"/>
                <w:sz w:val="20"/>
                <w:szCs w:val="20"/>
              </w:rPr>
              <w:t xml:space="preserve"> Prescriptions costs (based on BNF chapters). Resource use associated with long-term complications is based on </w:t>
            </w:r>
            <w:r w:rsidRPr="00693CFF">
              <w:rPr>
                <w:rFonts w:cstheme="minorHAnsi"/>
                <w:sz w:val="20"/>
                <w:szCs w:val="20"/>
              </w:rPr>
              <w:lastRenderedPageBreak/>
              <w:t xml:space="preserve">published evidence specific to each of the complications considered (Table 7). Resource use associated with sub-fertility is estimated from the NICE guideline on Fertility (CG156). Resource use associated with osteoporosis taken from Violato et al. (2012). Endoscopy and biopsy based on NHS reference costs. </w:t>
            </w:r>
          </w:p>
        </w:tc>
        <w:tc>
          <w:tcPr>
            <w:tcW w:w="1843" w:type="dxa"/>
          </w:tcPr>
          <w:p w14:paraId="034797A5" w14:textId="77777777" w:rsidR="004F1C65" w:rsidRPr="00693CFF" w:rsidRDefault="004F1C65" w:rsidP="0093039F">
            <w:pPr>
              <w:rPr>
                <w:rFonts w:cstheme="minorHAnsi"/>
                <w:sz w:val="20"/>
                <w:szCs w:val="20"/>
              </w:rPr>
            </w:pPr>
            <w:r w:rsidRPr="00693CFF">
              <w:rPr>
                <w:rFonts w:cstheme="minorHAnsi"/>
                <w:sz w:val="20"/>
                <w:szCs w:val="20"/>
              </w:rPr>
              <w:lastRenderedPageBreak/>
              <w:t xml:space="preserve">The diagnostic strategies which are cost-effective differ in adults and children populations. For adults how effective strategies are is correlated with how sensitive they are. This is because false negatives are associated with less QALY gain. So, the </w:t>
            </w:r>
            <w:r w:rsidRPr="00693CFF">
              <w:rPr>
                <w:rFonts w:cstheme="minorHAnsi"/>
                <w:sz w:val="20"/>
                <w:szCs w:val="20"/>
              </w:rPr>
              <w:lastRenderedPageBreak/>
              <w:t>fewer false-negatives a strategy has the more QALYs they accrue. Strategies with many false positives incur additional costs due to unnecessary biopsies. However, it is much more important in terms of cost-eff not to miss people with CD than exposing some people to an unnecessary biopsy In children, the spec is more important due to the increased cost of biopsy in children. DSA results show that prevalence does impact results (If prevalence is greater than 17.5%,   IgA tTG assay alone becomes optimal).</w:t>
            </w:r>
          </w:p>
          <w:p w14:paraId="6C915574" w14:textId="77777777" w:rsidR="004F1C65" w:rsidRPr="00693CFF" w:rsidRDefault="004F1C65" w:rsidP="0093039F">
            <w:pPr>
              <w:rPr>
                <w:rFonts w:cstheme="minorHAnsi"/>
                <w:sz w:val="20"/>
                <w:szCs w:val="20"/>
              </w:rPr>
            </w:pPr>
          </w:p>
          <w:p w14:paraId="1E882C0C" w14:textId="1FF83561" w:rsidR="004F1C65" w:rsidRPr="00693CFF" w:rsidRDefault="004F1C65" w:rsidP="00D47AEE">
            <w:pPr>
              <w:rPr>
                <w:rFonts w:eastAsia="Times New Roman" w:cstheme="minorHAnsi"/>
                <w:color w:val="000000"/>
                <w:sz w:val="20"/>
                <w:szCs w:val="20"/>
                <w:lang w:eastAsia="en-GB"/>
              </w:rPr>
            </w:pPr>
            <w:r w:rsidRPr="00693CFF">
              <w:rPr>
                <w:rFonts w:eastAsia="Times New Roman" w:cstheme="minorHAnsi"/>
                <w:color w:val="000000"/>
                <w:sz w:val="20"/>
                <w:szCs w:val="20"/>
                <w:lang w:eastAsia="en-GB"/>
              </w:rPr>
              <w:t xml:space="preserve">Evaluation of active case-finding strategies found </w:t>
            </w:r>
            <w:r w:rsidRPr="00693CFF">
              <w:rPr>
                <w:rFonts w:eastAsia="Times New Roman" w:cstheme="minorHAnsi"/>
                <w:color w:val="000000"/>
                <w:sz w:val="20"/>
                <w:szCs w:val="20"/>
                <w:lang w:eastAsia="en-GB"/>
              </w:rPr>
              <w:lastRenderedPageBreak/>
              <w:t>screening first-degree relatives of people with coeliac disease was cost-effective in adults and children, that screening people with type</w:t>
            </w:r>
            <w:r w:rsidR="00905650">
              <w:rPr>
                <w:rFonts w:eastAsia="Times New Roman" w:cstheme="minorHAnsi"/>
                <w:color w:val="000000"/>
                <w:sz w:val="20"/>
                <w:szCs w:val="20"/>
                <w:lang w:eastAsia="en-GB"/>
              </w:rPr>
              <w:t xml:space="preserve"> </w:t>
            </w:r>
            <w:r w:rsidRPr="00693CFF">
              <w:rPr>
                <w:rFonts w:eastAsia="Times New Roman" w:cstheme="minorHAnsi"/>
                <w:color w:val="000000"/>
                <w:sz w:val="20"/>
                <w:szCs w:val="20"/>
                <w:lang w:eastAsia="en-GB"/>
              </w:rPr>
              <w:t>1 diabetes was cost-effective in adults and potentially cost-effective in children, and that screening those autoimmune thyroid disease was not cost-effective in adults or children.</w:t>
            </w:r>
          </w:p>
          <w:p w14:paraId="690E77F0" w14:textId="77777777" w:rsidR="004F1C65" w:rsidRPr="00693CFF" w:rsidRDefault="004F1C65" w:rsidP="0093039F">
            <w:pPr>
              <w:rPr>
                <w:rFonts w:cstheme="minorHAnsi"/>
                <w:sz w:val="20"/>
                <w:szCs w:val="20"/>
              </w:rPr>
            </w:pPr>
            <w:r w:rsidRPr="00693CFF">
              <w:rPr>
                <w:rFonts w:cstheme="minorHAnsi"/>
                <w:sz w:val="20"/>
                <w:szCs w:val="20"/>
              </w:rPr>
              <w:t xml:space="preserve"> </w:t>
            </w:r>
          </w:p>
        </w:tc>
      </w:tr>
    </w:tbl>
    <w:p w14:paraId="2FFD4396" w14:textId="77777777" w:rsidR="004F1C65" w:rsidRPr="00693CFF" w:rsidRDefault="004F1C65" w:rsidP="004F1C65">
      <w:pPr>
        <w:rPr>
          <w:sz w:val="20"/>
          <w:szCs w:val="20"/>
        </w:rPr>
      </w:pPr>
    </w:p>
    <w:p w14:paraId="5F4E765D" w14:textId="77777777" w:rsidR="00537E70" w:rsidRDefault="00537E70" w:rsidP="00512038">
      <w:pPr>
        <w:sectPr w:rsidR="00537E70" w:rsidSect="00693CFF">
          <w:pgSz w:w="16838" w:h="11906" w:orient="landscape"/>
          <w:pgMar w:top="1440" w:right="1440" w:bottom="1440" w:left="1440" w:header="709" w:footer="709" w:gutter="0"/>
          <w:cols w:space="708"/>
          <w:docGrid w:linePitch="360"/>
        </w:sectPr>
      </w:pPr>
    </w:p>
    <w:p w14:paraId="71F880A4" w14:textId="4F21F07A" w:rsidR="00A277B4" w:rsidRDefault="00A277B4" w:rsidP="00A277B4">
      <w:pPr>
        <w:pStyle w:val="Heading2"/>
      </w:pPr>
      <w:bookmarkStart w:id="517" w:name="_Ref95137426"/>
      <w:bookmarkStart w:id="518" w:name="_Toc99539954"/>
      <w:bookmarkStart w:id="519" w:name="_Ref87537650"/>
      <w:bookmarkStart w:id="520" w:name="_Ref87537811"/>
      <w:r>
        <w:lastRenderedPageBreak/>
        <w:t>Appendix 26</w:t>
      </w:r>
      <w:bookmarkEnd w:id="517"/>
      <w:bookmarkEnd w:id="518"/>
    </w:p>
    <w:p w14:paraId="656C0265" w14:textId="34DF6521" w:rsidR="00A277B4" w:rsidRPr="00305D05" w:rsidRDefault="00A277B4" w:rsidP="00A277B4">
      <w:pPr>
        <w:pStyle w:val="Caption"/>
        <w:rPr>
          <w:rFonts w:cstheme="minorHAnsi"/>
        </w:rPr>
      </w:pPr>
      <w:bookmarkStart w:id="521" w:name="_Ref95383965"/>
      <w:bookmarkStart w:id="522" w:name="_Toc99720774"/>
      <w:r w:rsidRPr="00305D05">
        <w:rPr>
          <w:rFonts w:cstheme="minorHAnsi"/>
        </w:rPr>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63</w:t>
      </w:r>
      <w:r w:rsidRPr="00305D05">
        <w:rPr>
          <w:rFonts w:cstheme="minorHAnsi"/>
        </w:rPr>
        <w:fldChar w:fldCharType="end"/>
      </w:r>
      <w:bookmarkEnd w:id="521"/>
      <w:r w:rsidRPr="00305D05">
        <w:rPr>
          <w:rFonts w:cstheme="minorHAnsi"/>
        </w:rPr>
        <w:t xml:space="preserve">. Age-stratified prevalence </w:t>
      </w:r>
      <w:r>
        <w:rPr>
          <w:rFonts w:cstheme="minorHAnsi"/>
        </w:rPr>
        <w:t>of CD-related complications in</w:t>
      </w:r>
      <w:r w:rsidRPr="00305D05">
        <w:rPr>
          <w:rFonts w:cstheme="minorHAnsi"/>
        </w:rPr>
        <w:t xml:space="preserve"> CPRD</w:t>
      </w:r>
      <w:r>
        <w:rPr>
          <w:rFonts w:cstheme="minorHAnsi"/>
        </w:rPr>
        <w:t xml:space="preserve"> Aurum patients with CD in a mixed gender cohort. Same prevalence at time of screening is assumed for newly diagnosed and undiagnosed CD.</w:t>
      </w:r>
      <w:bookmarkEnd w:id="522"/>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080"/>
        <w:gridCol w:w="2127"/>
        <w:gridCol w:w="1755"/>
        <w:gridCol w:w="2529"/>
      </w:tblGrid>
      <w:tr w:rsidR="00A277B4" w:rsidRPr="00305D05" w14:paraId="3CD2A025" w14:textId="77777777" w:rsidTr="00826FF8">
        <w:trPr>
          <w:trHeight w:val="432"/>
        </w:trPr>
        <w:tc>
          <w:tcPr>
            <w:tcW w:w="1581" w:type="dxa"/>
            <w:shd w:val="clear" w:color="auto" w:fill="E7E6E6" w:themeFill="background2"/>
            <w:noWrap/>
            <w:vAlign w:val="center"/>
            <w:hideMark/>
          </w:tcPr>
          <w:p w14:paraId="7BA4CF67"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Age categories</w:t>
            </w:r>
            <w:r w:rsidRPr="00D52E18">
              <w:rPr>
                <w:rFonts w:eastAsia="Times New Roman" w:cstheme="minorHAnsi"/>
                <w:b/>
                <w:bCs/>
                <w:color w:val="000000"/>
                <w:vertAlign w:val="superscript"/>
                <w:lang w:eastAsia="zh-CN"/>
              </w:rPr>
              <w:t>a</w:t>
            </w:r>
          </w:p>
        </w:tc>
        <w:tc>
          <w:tcPr>
            <w:tcW w:w="1080" w:type="dxa"/>
            <w:shd w:val="clear" w:color="auto" w:fill="E7E6E6" w:themeFill="background2"/>
          </w:tcPr>
          <w:p w14:paraId="7CB5A623"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w:t>
            </w:r>
          </w:p>
        </w:tc>
        <w:tc>
          <w:tcPr>
            <w:tcW w:w="2127" w:type="dxa"/>
            <w:shd w:val="clear" w:color="auto" w:fill="E7E6E6" w:themeFill="background2"/>
            <w:vAlign w:val="center"/>
            <w:hideMark/>
          </w:tcPr>
          <w:p w14:paraId="5FB39981"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Non-Hodgkin's lymphoma, n(%)</w:t>
            </w:r>
          </w:p>
        </w:tc>
        <w:tc>
          <w:tcPr>
            <w:tcW w:w="1755" w:type="dxa"/>
            <w:shd w:val="clear" w:color="auto" w:fill="E7E6E6" w:themeFill="background2"/>
            <w:vAlign w:val="center"/>
          </w:tcPr>
          <w:p w14:paraId="0814CF65"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Osteoporosis, n(%)</w:t>
            </w:r>
          </w:p>
        </w:tc>
        <w:tc>
          <w:tcPr>
            <w:tcW w:w="2529" w:type="dxa"/>
            <w:shd w:val="clear" w:color="auto" w:fill="E7E6E6" w:themeFill="background2"/>
            <w:vAlign w:val="center"/>
          </w:tcPr>
          <w:p w14:paraId="21650DE4"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Iron-deficiency anaemia, n(%)</w:t>
            </w:r>
          </w:p>
        </w:tc>
      </w:tr>
      <w:tr w:rsidR="00A277B4" w:rsidRPr="00305D05" w14:paraId="39BBD11C" w14:textId="77777777" w:rsidTr="00826FF8">
        <w:trPr>
          <w:trHeight w:val="248"/>
        </w:trPr>
        <w:tc>
          <w:tcPr>
            <w:tcW w:w="1581" w:type="dxa"/>
            <w:shd w:val="clear" w:color="auto" w:fill="auto"/>
            <w:noWrap/>
            <w:vAlign w:val="center"/>
            <w:hideMark/>
          </w:tcPr>
          <w:p w14:paraId="77568DBF"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0-9</w:t>
            </w:r>
          </w:p>
        </w:tc>
        <w:tc>
          <w:tcPr>
            <w:tcW w:w="1080" w:type="dxa"/>
            <w:shd w:val="clear" w:color="auto" w:fill="auto"/>
            <w:vAlign w:val="bottom"/>
          </w:tcPr>
          <w:p w14:paraId="4E88BE3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3,419</w:t>
            </w:r>
          </w:p>
        </w:tc>
        <w:tc>
          <w:tcPr>
            <w:tcW w:w="2127" w:type="dxa"/>
            <w:shd w:val="clear" w:color="auto" w:fill="auto"/>
            <w:noWrap/>
            <w:vAlign w:val="bottom"/>
            <w:hideMark/>
          </w:tcPr>
          <w:p w14:paraId="6EF6181F"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 (0.06%)</w:t>
            </w:r>
          </w:p>
        </w:tc>
        <w:tc>
          <w:tcPr>
            <w:tcW w:w="1755" w:type="dxa"/>
            <w:vAlign w:val="bottom"/>
          </w:tcPr>
          <w:p w14:paraId="72085CC9"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 (0.03%)</w:t>
            </w:r>
          </w:p>
        </w:tc>
        <w:tc>
          <w:tcPr>
            <w:tcW w:w="2529" w:type="dxa"/>
            <w:shd w:val="clear" w:color="auto" w:fill="auto"/>
            <w:vAlign w:val="bottom"/>
          </w:tcPr>
          <w:p w14:paraId="45DC913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371 (10.85%)</w:t>
            </w:r>
          </w:p>
        </w:tc>
      </w:tr>
      <w:tr w:rsidR="00A277B4" w:rsidRPr="00305D05" w14:paraId="54C54A49" w14:textId="77777777" w:rsidTr="00826FF8">
        <w:trPr>
          <w:trHeight w:val="248"/>
        </w:trPr>
        <w:tc>
          <w:tcPr>
            <w:tcW w:w="1581" w:type="dxa"/>
            <w:shd w:val="clear" w:color="auto" w:fill="auto"/>
            <w:noWrap/>
            <w:vAlign w:val="center"/>
            <w:hideMark/>
          </w:tcPr>
          <w:p w14:paraId="7551E8C0"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10-19</w:t>
            </w:r>
          </w:p>
        </w:tc>
        <w:tc>
          <w:tcPr>
            <w:tcW w:w="1080" w:type="dxa"/>
            <w:shd w:val="clear" w:color="auto" w:fill="auto"/>
            <w:vAlign w:val="bottom"/>
          </w:tcPr>
          <w:p w14:paraId="625AF5D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3,803</w:t>
            </w:r>
          </w:p>
        </w:tc>
        <w:tc>
          <w:tcPr>
            <w:tcW w:w="2127" w:type="dxa"/>
            <w:shd w:val="clear" w:color="auto" w:fill="auto"/>
            <w:noWrap/>
            <w:vAlign w:val="bottom"/>
            <w:hideMark/>
          </w:tcPr>
          <w:p w14:paraId="56958507"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0 (0%)</w:t>
            </w:r>
          </w:p>
        </w:tc>
        <w:tc>
          <w:tcPr>
            <w:tcW w:w="1755" w:type="dxa"/>
            <w:vAlign w:val="bottom"/>
          </w:tcPr>
          <w:p w14:paraId="411D5488"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19 (0.5%)</w:t>
            </w:r>
          </w:p>
        </w:tc>
        <w:tc>
          <w:tcPr>
            <w:tcW w:w="2529" w:type="dxa"/>
            <w:shd w:val="clear" w:color="auto" w:fill="auto"/>
            <w:vAlign w:val="bottom"/>
          </w:tcPr>
          <w:p w14:paraId="1D40A9F8"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544 (14.3%)</w:t>
            </w:r>
          </w:p>
        </w:tc>
      </w:tr>
      <w:tr w:rsidR="00A277B4" w:rsidRPr="00305D05" w14:paraId="2C60786A" w14:textId="77777777" w:rsidTr="00826FF8">
        <w:trPr>
          <w:trHeight w:val="248"/>
        </w:trPr>
        <w:tc>
          <w:tcPr>
            <w:tcW w:w="1581" w:type="dxa"/>
            <w:shd w:val="clear" w:color="auto" w:fill="auto"/>
            <w:noWrap/>
            <w:vAlign w:val="center"/>
            <w:hideMark/>
          </w:tcPr>
          <w:p w14:paraId="2FBFBF64"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20-29</w:t>
            </w:r>
          </w:p>
        </w:tc>
        <w:tc>
          <w:tcPr>
            <w:tcW w:w="1080" w:type="dxa"/>
            <w:shd w:val="clear" w:color="auto" w:fill="auto"/>
            <w:vAlign w:val="bottom"/>
          </w:tcPr>
          <w:p w14:paraId="6A1E363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5,106</w:t>
            </w:r>
          </w:p>
        </w:tc>
        <w:tc>
          <w:tcPr>
            <w:tcW w:w="2127" w:type="dxa"/>
            <w:shd w:val="clear" w:color="auto" w:fill="auto"/>
            <w:noWrap/>
            <w:vAlign w:val="bottom"/>
            <w:hideMark/>
          </w:tcPr>
          <w:p w14:paraId="2413DD57"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4 (0.09%)</w:t>
            </w:r>
          </w:p>
        </w:tc>
        <w:tc>
          <w:tcPr>
            <w:tcW w:w="1755" w:type="dxa"/>
            <w:vAlign w:val="bottom"/>
          </w:tcPr>
          <w:p w14:paraId="291F0CE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87 (1.7%)</w:t>
            </w:r>
          </w:p>
        </w:tc>
        <w:tc>
          <w:tcPr>
            <w:tcW w:w="2529" w:type="dxa"/>
            <w:shd w:val="clear" w:color="auto" w:fill="auto"/>
            <w:vAlign w:val="bottom"/>
          </w:tcPr>
          <w:p w14:paraId="273EB989"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795 (15.57%)</w:t>
            </w:r>
          </w:p>
        </w:tc>
      </w:tr>
      <w:tr w:rsidR="00A277B4" w:rsidRPr="00305D05" w14:paraId="4901FF3C" w14:textId="77777777" w:rsidTr="00826FF8">
        <w:trPr>
          <w:trHeight w:val="248"/>
        </w:trPr>
        <w:tc>
          <w:tcPr>
            <w:tcW w:w="1581" w:type="dxa"/>
            <w:shd w:val="clear" w:color="auto" w:fill="auto"/>
            <w:noWrap/>
            <w:vAlign w:val="center"/>
            <w:hideMark/>
          </w:tcPr>
          <w:p w14:paraId="0BF84477"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30-39</w:t>
            </w:r>
          </w:p>
        </w:tc>
        <w:tc>
          <w:tcPr>
            <w:tcW w:w="1080" w:type="dxa"/>
            <w:shd w:val="clear" w:color="auto" w:fill="auto"/>
            <w:vAlign w:val="bottom"/>
          </w:tcPr>
          <w:p w14:paraId="4E67476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6,005</w:t>
            </w:r>
          </w:p>
        </w:tc>
        <w:tc>
          <w:tcPr>
            <w:tcW w:w="2127" w:type="dxa"/>
            <w:shd w:val="clear" w:color="auto" w:fill="auto"/>
            <w:noWrap/>
            <w:vAlign w:val="bottom"/>
            <w:hideMark/>
          </w:tcPr>
          <w:p w14:paraId="6B2BCAEE"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8 (0.15%)</w:t>
            </w:r>
          </w:p>
        </w:tc>
        <w:tc>
          <w:tcPr>
            <w:tcW w:w="1755" w:type="dxa"/>
            <w:vAlign w:val="bottom"/>
          </w:tcPr>
          <w:p w14:paraId="0A14FE5B"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207 (3.45%)</w:t>
            </w:r>
          </w:p>
        </w:tc>
        <w:tc>
          <w:tcPr>
            <w:tcW w:w="2529" w:type="dxa"/>
            <w:shd w:val="clear" w:color="auto" w:fill="auto"/>
            <w:vAlign w:val="bottom"/>
          </w:tcPr>
          <w:p w14:paraId="626EA02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1277 (21.27%)</w:t>
            </w:r>
          </w:p>
        </w:tc>
      </w:tr>
      <w:tr w:rsidR="00A277B4" w:rsidRPr="00305D05" w14:paraId="57C1B807" w14:textId="77777777" w:rsidTr="00826FF8">
        <w:trPr>
          <w:trHeight w:val="248"/>
        </w:trPr>
        <w:tc>
          <w:tcPr>
            <w:tcW w:w="1581" w:type="dxa"/>
            <w:shd w:val="clear" w:color="auto" w:fill="auto"/>
            <w:noWrap/>
            <w:vAlign w:val="center"/>
            <w:hideMark/>
          </w:tcPr>
          <w:p w14:paraId="6CA97431"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40-49</w:t>
            </w:r>
          </w:p>
        </w:tc>
        <w:tc>
          <w:tcPr>
            <w:tcW w:w="1080" w:type="dxa"/>
            <w:shd w:val="clear" w:color="auto" w:fill="auto"/>
            <w:vAlign w:val="bottom"/>
          </w:tcPr>
          <w:p w14:paraId="3BDB5C02"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7,417</w:t>
            </w:r>
          </w:p>
        </w:tc>
        <w:tc>
          <w:tcPr>
            <w:tcW w:w="2127" w:type="dxa"/>
            <w:shd w:val="clear" w:color="auto" w:fill="auto"/>
            <w:noWrap/>
            <w:vAlign w:val="bottom"/>
            <w:hideMark/>
          </w:tcPr>
          <w:p w14:paraId="69659B41"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28 (0.46%)</w:t>
            </w:r>
          </w:p>
        </w:tc>
        <w:tc>
          <w:tcPr>
            <w:tcW w:w="1755" w:type="dxa"/>
            <w:vAlign w:val="bottom"/>
          </w:tcPr>
          <w:p w14:paraId="7A020758"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594 (8.01%)</w:t>
            </w:r>
          </w:p>
        </w:tc>
        <w:tc>
          <w:tcPr>
            <w:tcW w:w="2529" w:type="dxa"/>
            <w:shd w:val="clear" w:color="auto" w:fill="auto"/>
            <w:vAlign w:val="bottom"/>
          </w:tcPr>
          <w:p w14:paraId="3AE0A90A"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2027 (27.33%)</w:t>
            </w:r>
          </w:p>
        </w:tc>
      </w:tr>
      <w:tr w:rsidR="00A277B4" w:rsidRPr="00305D05" w14:paraId="306844A7" w14:textId="77777777" w:rsidTr="00826FF8">
        <w:trPr>
          <w:trHeight w:val="248"/>
        </w:trPr>
        <w:tc>
          <w:tcPr>
            <w:tcW w:w="1581" w:type="dxa"/>
            <w:shd w:val="clear" w:color="auto" w:fill="auto"/>
            <w:noWrap/>
            <w:vAlign w:val="center"/>
            <w:hideMark/>
          </w:tcPr>
          <w:p w14:paraId="3DBDC4C0"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50-59</w:t>
            </w:r>
          </w:p>
        </w:tc>
        <w:tc>
          <w:tcPr>
            <w:tcW w:w="1080" w:type="dxa"/>
            <w:shd w:val="clear" w:color="auto" w:fill="auto"/>
            <w:vAlign w:val="bottom"/>
          </w:tcPr>
          <w:p w14:paraId="3431DC48"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7,778</w:t>
            </w:r>
          </w:p>
        </w:tc>
        <w:tc>
          <w:tcPr>
            <w:tcW w:w="2127" w:type="dxa"/>
            <w:shd w:val="clear" w:color="auto" w:fill="auto"/>
            <w:noWrap/>
            <w:vAlign w:val="bottom"/>
            <w:hideMark/>
          </w:tcPr>
          <w:p w14:paraId="77DC8A86"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49 (0.84%)</w:t>
            </w:r>
          </w:p>
        </w:tc>
        <w:tc>
          <w:tcPr>
            <w:tcW w:w="1755" w:type="dxa"/>
            <w:vAlign w:val="bottom"/>
          </w:tcPr>
          <w:p w14:paraId="62BB24BF"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1401 (18.01%)</w:t>
            </w:r>
          </w:p>
        </w:tc>
        <w:tc>
          <w:tcPr>
            <w:tcW w:w="2529" w:type="dxa"/>
            <w:shd w:val="clear" w:color="auto" w:fill="auto"/>
            <w:vAlign w:val="bottom"/>
          </w:tcPr>
          <w:p w14:paraId="407DAD2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2116 (27.2%)</w:t>
            </w:r>
          </w:p>
        </w:tc>
      </w:tr>
      <w:tr w:rsidR="00A277B4" w:rsidRPr="00305D05" w14:paraId="31E76A7B" w14:textId="77777777" w:rsidTr="00826FF8">
        <w:trPr>
          <w:trHeight w:val="248"/>
        </w:trPr>
        <w:tc>
          <w:tcPr>
            <w:tcW w:w="1581" w:type="dxa"/>
            <w:shd w:val="clear" w:color="auto" w:fill="auto"/>
            <w:noWrap/>
            <w:vAlign w:val="center"/>
            <w:hideMark/>
          </w:tcPr>
          <w:p w14:paraId="2B1E76D6"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60-69</w:t>
            </w:r>
          </w:p>
        </w:tc>
        <w:tc>
          <w:tcPr>
            <w:tcW w:w="1080" w:type="dxa"/>
            <w:shd w:val="clear" w:color="auto" w:fill="auto"/>
            <w:vAlign w:val="bottom"/>
          </w:tcPr>
          <w:p w14:paraId="4AC1C41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7,046</w:t>
            </w:r>
          </w:p>
        </w:tc>
        <w:tc>
          <w:tcPr>
            <w:tcW w:w="2127" w:type="dxa"/>
            <w:shd w:val="clear" w:color="auto" w:fill="auto"/>
            <w:noWrap/>
            <w:vAlign w:val="bottom"/>
            <w:hideMark/>
          </w:tcPr>
          <w:p w14:paraId="068D543F"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70 (1.37%)</w:t>
            </w:r>
          </w:p>
        </w:tc>
        <w:tc>
          <w:tcPr>
            <w:tcW w:w="1755" w:type="dxa"/>
            <w:vAlign w:val="bottom"/>
          </w:tcPr>
          <w:p w14:paraId="76E5A1D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2199 (31.21%)</w:t>
            </w:r>
          </w:p>
        </w:tc>
        <w:tc>
          <w:tcPr>
            <w:tcW w:w="2529" w:type="dxa"/>
            <w:shd w:val="clear" w:color="auto" w:fill="auto"/>
            <w:vAlign w:val="bottom"/>
          </w:tcPr>
          <w:p w14:paraId="627EB4B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2081 (29.53%)</w:t>
            </w:r>
          </w:p>
        </w:tc>
      </w:tr>
      <w:tr w:rsidR="00A277B4" w:rsidRPr="00305D05" w14:paraId="795FC6A7" w14:textId="77777777" w:rsidTr="00826FF8">
        <w:trPr>
          <w:trHeight w:val="248"/>
        </w:trPr>
        <w:tc>
          <w:tcPr>
            <w:tcW w:w="1581" w:type="dxa"/>
            <w:shd w:val="clear" w:color="auto" w:fill="auto"/>
            <w:noWrap/>
            <w:vAlign w:val="center"/>
            <w:hideMark/>
          </w:tcPr>
          <w:p w14:paraId="15ECCBA6"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70-79</w:t>
            </w:r>
          </w:p>
        </w:tc>
        <w:tc>
          <w:tcPr>
            <w:tcW w:w="1080" w:type="dxa"/>
            <w:shd w:val="clear" w:color="auto" w:fill="auto"/>
            <w:vAlign w:val="bottom"/>
          </w:tcPr>
          <w:p w14:paraId="384D666A"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5,153</w:t>
            </w:r>
          </w:p>
        </w:tc>
        <w:tc>
          <w:tcPr>
            <w:tcW w:w="2127" w:type="dxa"/>
            <w:shd w:val="clear" w:color="auto" w:fill="auto"/>
            <w:noWrap/>
            <w:vAlign w:val="bottom"/>
            <w:hideMark/>
          </w:tcPr>
          <w:p w14:paraId="0C5EB273"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60 (1.72%)</w:t>
            </w:r>
          </w:p>
        </w:tc>
        <w:tc>
          <w:tcPr>
            <w:tcW w:w="1755" w:type="dxa"/>
            <w:vAlign w:val="bottom"/>
          </w:tcPr>
          <w:p w14:paraId="27F0934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2124 (41.22%)</w:t>
            </w:r>
          </w:p>
        </w:tc>
        <w:tc>
          <w:tcPr>
            <w:tcW w:w="2529" w:type="dxa"/>
            <w:shd w:val="clear" w:color="auto" w:fill="auto"/>
            <w:vAlign w:val="bottom"/>
          </w:tcPr>
          <w:p w14:paraId="534E2EA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1957 (37.98%)</w:t>
            </w:r>
          </w:p>
        </w:tc>
      </w:tr>
      <w:tr w:rsidR="00A277B4" w:rsidRPr="00305D05" w14:paraId="173B2E7B" w14:textId="77777777" w:rsidTr="00826FF8">
        <w:trPr>
          <w:trHeight w:val="248"/>
        </w:trPr>
        <w:tc>
          <w:tcPr>
            <w:tcW w:w="1581" w:type="dxa"/>
            <w:shd w:val="clear" w:color="auto" w:fill="auto"/>
            <w:noWrap/>
            <w:vAlign w:val="center"/>
            <w:hideMark/>
          </w:tcPr>
          <w:p w14:paraId="6A54F1A5"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80-89</w:t>
            </w:r>
          </w:p>
        </w:tc>
        <w:tc>
          <w:tcPr>
            <w:tcW w:w="1080" w:type="dxa"/>
            <w:shd w:val="clear" w:color="auto" w:fill="auto"/>
            <w:vAlign w:val="bottom"/>
          </w:tcPr>
          <w:p w14:paraId="57C7463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2,063</w:t>
            </w:r>
          </w:p>
        </w:tc>
        <w:tc>
          <w:tcPr>
            <w:tcW w:w="2127" w:type="dxa"/>
            <w:shd w:val="clear" w:color="auto" w:fill="auto"/>
            <w:noWrap/>
            <w:vAlign w:val="bottom"/>
            <w:hideMark/>
          </w:tcPr>
          <w:p w14:paraId="12DEA9AB"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19 (1.46%)</w:t>
            </w:r>
          </w:p>
        </w:tc>
        <w:tc>
          <w:tcPr>
            <w:tcW w:w="1755" w:type="dxa"/>
            <w:vAlign w:val="bottom"/>
          </w:tcPr>
          <w:p w14:paraId="031FC33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903 (43.77%)</w:t>
            </w:r>
          </w:p>
        </w:tc>
        <w:tc>
          <w:tcPr>
            <w:tcW w:w="2529" w:type="dxa"/>
            <w:shd w:val="clear" w:color="auto" w:fill="auto"/>
            <w:vAlign w:val="bottom"/>
          </w:tcPr>
          <w:p w14:paraId="7491C4E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888 (43.04%)</w:t>
            </w:r>
          </w:p>
        </w:tc>
      </w:tr>
      <w:tr w:rsidR="00A277B4" w:rsidRPr="00305D05" w14:paraId="3319A838" w14:textId="77777777" w:rsidTr="00826FF8">
        <w:trPr>
          <w:trHeight w:val="248"/>
        </w:trPr>
        <w:tc>
          <w:tcPr>
            <w:tcW w:w="1581" w:type="dxa"/>
            <w:shd w:val="clear" w:color="auto" w:fill="auto"/>
            <w:noWrap/>
            <w:vAlign w:val="center"/>
            <w:hideMark/>
          </w:tcPr>
          <w:p w14:paraId="5472F262"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90-99</w:t>
            </w:r>
          </w:p>
        </w:tc>
        <w:tc>
          <w:tcPr>
            <w:tcW w:w="1080" w:type="dxa"/>
            <w:shd w:val="clear" w:color="auto" w:fill="auto"/>
            <w:vAlign w:val="bottom"/>
          </w:tcPr>
          <w:p w14:paraId="58C9814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255</w:t>
            </w:r>
          </w:p>
        </w:tc>
        <w:tc>
          <w:tcPr>
            <w:tcW w:w="2127" w:type="dxa"/>
            <w:shd w:val="clear" w:color="auto" w:fill="auto"/>
            <w:noWrap/>
            <w:vAlign w:val="bottom"/>
            <w:hideMark/>
          </w:tcPr>
          <w:p w14:paraId="45724FCC"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 (1.41%)</w:t>
            </w:r>
          </w:p>
        </w:tc>
        <w:tc>
          <w:tcPr>
            <w:tcW w:w="1755" w:type="dxa"/>
            <w:vAlign w:val="bottom"/>
          </w:tcPr>
          <w:p w14:paraId="4D6C235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100 (39.22%)</w:t>
            </w:r>
          </w:p>
        </w:tc>
        <w:tc>
          <w:tcPr>
            <w:tcW w:w="2529" w:type="dxa"/>
            <w:shd w:val="clear" w:color="auto" w:fill="auto"/>
            <w:vAlign w:val="bottom"/>
          </w:tcPr>
          <w:p w14:paraId="4895BA52"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117 (45.88%)</w:t>
            </w:r>
          </w:p>
        </w:tc>
      </w:tr>
    </w:tbl>
    <w:p w14:paraId="7A572A4E" w14:textId="77777777" w:rsidR="00A277B4" w:rsidRPr="00D52E18" w:rsidRDefault="00A277B4" w:rsidP="00A277B4">
      <w:pPr>
        <w:rPr>
          <w:rFonts w:cstheme="minorHAnsi"/>
          <w:sz w:val="20"/>
          <w:szCs w:val="20"/>
        </w:rPr>
      </w:pPr>
      <w:r w:rsidRPr="00D52E18">
        <w:rPr>
          <w:rFonts w:cstheme="minorHAnsi"/>
          <w:sz w:val="20"/>
          <w:szCs w:val="20"/>
          <w:vertAlign w:val="superscript"/>
        </w:rPr>
        <w:t>a</w:t>
      </w:r>
      <w:r w:rsidRPr="00D52E18">
        <w:rPr>
          <w:rFonts w:cstheme="minorHAnsi"/>
          <w:sz w:val="20"/>
          <w:szCs w:val="20"/>
        </w:rPr>
        <w:t>Patients may contribute to more than one age category as 20 years of data were used to estimate prevalence.</w:t>
      </w:r>
    </w:p>
    <w:p w14:paraId="7CFEFADA" w14:textId="77777777" w:rsidR="00A277B4" w:rsidRPr="003A3918" w:rsidRDefault="00A277B4" w:rsidP="000526F1">
      <w:pPr>
        <w:spacing w:after="0"/>
        <w:rPr>
          <w:rFonts w:cstheme="minorHAnsi"/>
        </w:rPr>
      </w:pPr>
    </w:p>
    <w:p w14:paraId="5CEA7B99" w14:textId="307C9D42" w:rsidR="00A277B4" w:rsidRPr="00305D05" w:rsidRDefault="00A277B4" w:rsidP="00A277B4">
      <w:pPr>
        <w:pStyle w:val="Caption"/>
        <w:rPr>
          <w:rFonts w:cstheme="minorHAnsi"/>
        </w:rPr>
      </w:pPr>
      <w:bookmarkStart w:id="523" w:name="_Ref95383973"/>
      <w:bookmarkStart w:id="524" w:name="_Toc99720775"/>
      <w:r w:rsidRPr="00305D05">
        <w:rPr>
          <w:rFonts w:cstheme="minorHAnsi"/>
        </w:rPr>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64</w:t>
      </w:r>
      <w:r w:rsidRPr="00305D05">
        <w:rPr>
          <w:rFonts w:cstheme="minorHAnsi"/>
        </w:rPr>
        <w:fldChar w:fldCharType="end"/>
      </w:r>
      <w:bookmarkEnd w:id="523"/>
      <w:r w:rsidRPr="00305D05">
        <w:rPr>
          <w:rFonts w:cstheme="minorHAnsi"/>
        </w:rPr>
        <w:t>. Age-stratified prevalence</w:t>
      </w:r>
      <w:r>
        <w:rPr>
          <w:rFonts w:cstheme="minorHAnsi"/>
        </w:rPr>
        <w:t xml:space="preserve"> CD-related complications in</w:t>
      </w:r>
      <w:r w:rsidRPr="00305D05">
        <w:rPr>
          <w:rFonts w:cstheme="minorHAnsi"/>
        </w:rPr>
        <w:t xml:space="preserve"> CPRD</w:t>
      </w:r>
      <w:r>
        <w:rPr>
          <w:rFonts w:cstheme="minorHAnsi"/>
        </w:rPr>
        <w:t xml:space="preserve"> Aurum patients with CD in men. Same prevalence at time of screening is assumed for newly diagnosed and undiagnosed CD.</w:t>
      </w:r>
      <w:bookmarkEnd w:id="524"/>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134"/>
        <w:gridCol w:w="2126"/>
        <w:gridCol w:w="1701"/>
        <w:gridCol w:w="2551"/>
      </w:tblGrid>
      <w:tr w:rsidR="00A277B4" w:rsidRPr="00305D05" w14:paraId="710E6667" w14:textId="77777777" w:rsidTr="00826FF8">
        <w:trPr>
          <w:trHeight w:val="432"/>
        </w:trPr>
        <w:tc>
          <w:tcPr>
            <w:tcW w:w="1560" w:type="dxa"/>
            <w:shd w:val="clear" w:color="auto" w:fill="E7E6E6" w:themeFill="background2"/>
            <w:noWrap/>
            <w:vAlign w:val="center"/>
            <w:hideMark/>
          </w:tcPr>
          <w:p w14:paraId="2A9486E8" w14:textId="77777777" w:rsidR="00A277B4" w:rsidRPr="003766F2" w:rsidRDefault="00A277B4" w:rsidP="00F86021">
            <w:pPr>
              <w:spacing w:after="0" w:line="240" w:lineRule="auto"/>
              <w:jc w:val="center"/>
              <w:rPr>
                <w:rFonts w:eastAsia="Times New Roman" w:cstheme="minorHAnsi"/>
                <w:b/>
                <w:bCs/>
                <w:color w:val="000000"/>
                <w:vertAlign w:val="superscript"/>
                <w:lang w:eastAsia="zh-CN"/>
              </w:rPr>
            </w:pPr>
            <w:r w:rsidRPr="00305D05">
              <w:rPr>
                <w:rFonts w:eastAsia="Times New Roman" w:cstheme="minorHAnsi"/>
                <w:b/>
                <w:bCs/>
                <w:color w:val="000000"/>
                <w:lang w:eastAsia="zh-CN"/>
              </w:rPr>
              <w:t>Age categories</w:t>
            </w:r>
            <w:r>
              <w:rPr>
                <w:rFonts w:eastAsia="Times New Roman" w:cstheme="minorHAnsi"/>
                <w:b/>
                <w:bCs/>
                <w:color w:val="000000"/>
                <w:vertAlign w:val="superscript"/>
                <w:lang w:eastAsia="zh-CN"/>
              </w:rPr>
              <w:t>a</w:t>
            </w:r>
          </w:p>
        </w:tc>
        <w:tc>
          <w:tcPr>
            <w:tcW w:w="1134" w:type="dxa"/>
            <w:shd w:val="clear" w:color="auto" w:fill="E7E6E6" w:themeFill="background2"/>
          </w:tcPr>
          <w:p w14:paraId="1F084275"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w:t>
            </w:r>
          </w:p>
        </w:tc>
        <w:tc>
          <w:tcPr>
            <w:tcW w:w="2126" w:type="dxa"/>
            <w:shd w:val="clear" w:color="auto" w:fill="E7E6E6" w:themeFill="background2"/>
            <w:vAlign w:val="center"/>
            <w:hideMark/>
          </w:tcPr>
          <w:p w14:paraId="1AEA439F"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Non-Hodgkin's lymphoma, n(%)</w:t>
            </w:r>
          </w:p>
        </w:tc>
        <w:tc>
          <w:tcPr>
            <w:tcW w:w="1701" w:type="dxa"/>
            <w:shd w:val="clear" w:color="auto" w:fill="E7E6E6" w:themeFill="background2"/>
            <w:vAlign w:val="center"/>
          </w:tcPr>
          <w:p w14:paraId="2830D852"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Osteoporosis, n(%)</w:t>
            </w:r>
          </w:p>
        </w:tc>
        <w:tc>
          <w:tcPr>
            <w:tcW w:w="2551" w:type="dxa"/>
            <w:shd w:val="clear" w:color="auto" w:fill="E7E6E6" w:themeFill="background2"/>
            <w:vAlign w:val="center"/>
          </w:tcPr>
          <w:p w14:paraId="74E7860C" w14:textId="77777777" w:rsidR="00A277B4" w:rsidRPr="00305D05" w:rsidRDefault="00A277B4" w:rsidP="00F86021">
            <w:pPr>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Iron-deficiency anaemia, n(%)</w:t>
            </w:r>
          </w:p>
        </w:tc>
      </w:tr>
      <w:tr w:rsidR="00A277B4" w:rsidRPr="00305D05" w14:paraId="294173F1" w14:textId="77777777" w:rsidTr="00826FF8">
        <w:trPr>
          <w:trHeight w:val="248"/>
        </w:trPr>
        <w:tc>
          <w:tcPr>
            <w:tcW w:w="1560" w:type="dxa"/>
            <w:shd w:val="clear" w:color="auto" w:fill="auto"/>
            <w:noWrap/>
            <w:vAlign w:val="center"/>
            <w:hideMark/>
          </w:tcPr>
          <w:p w14:paraId="507B7AEC"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0-9</w:t>
            </w:r>
          </w:p>
        </w:tc>
        <w:tc>
          <w:tcPr>
            <w:tcW w:w="1134" w:type="dxa"/>
            <w:shd w:val="clear" w:color="auto" w:fill="auto"/>
            <w:vAlign w:val="bottom"/>
          </w:tcPr>
          <w:p w14:paraId="2C27932A"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1,299</w:t>
            </w:r>
          </w:p>
        </w:tc>
        <w:tc>
          <w:tcPr>
            <w:tcW w:w="2126" w:type="dxa"/>
            <w:shd w:val="clear" w:color="auto" w:fill="auto"/>
            <w:noWrap/>
            <w:vAlign w:val="bottom"/>
            <w:hideMark/>
          </w:tcPr>
          <w:p w14:paraId="05458D86"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 (0.08%)</w:t>
            </w:r>
          </w:p>
        </w:tc>
        <w:tc>
          <w:tcPr>
            <w:tcW w:w="1701" w:type="dxa"/>
            <w:vAlign w:val="bottom"/>
          </w:tcPr>
          <w:p w14:paraId="58530A4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0 (0%)</w:t>
            </w:r>
          </w:p>
        </w:tc>
        <w:tc>
          <w:tcPr>
            <w:tcW w:w="2551" w:type="dxa"/>
            <w:shd w:val="clear" w:color="auto" w:fill="auto"/>
            <w:vAlign w:val="bottom"/>
          </w:tcPr>
          <w:p w14:paraId="04BEDD6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149 (11.47%)</w:t>
            </w:r>
          </w:p>
        </w:tc>
      </w:tr>
      <w:tr w:rsidR="00A277B4" w:rsidRPr="00305D05" w14:paraId="5E65C1EA" w14:textId="77777777" w:rsidTr="00826FF8">
        <w:trPr>
          <w:trHeight w:val="248"/>
        </w:trPr>
        <w:tc>
          <w:tcPr>
            <w:tcW w:w="1560" w:type="dxa"/>
            <w:shd w:val="clear" w:color="auto" w:fill="auto"/>
            <w:noWrap/>
            <w:vAlign w:val="center"/>
            <w:hideMark/>
          </w:tcPr>
          <w:p w14:paraId="4F09BA1E"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10-19</w:t>
            </w:r>
          </w:p>
        </w:tc>
        <w:tc>
          <w:tcPr>
            <w:tcW w:w="1134" w:type="dxa"/>
            <w:shd w:val="clear" w:color="auto" w:fill="auto"/>
            <w:vAlign w:val="bottom"/>
          </w:tcPr>
          <w:p w14:paraId="4335FB5F"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1,417</w:t>
            </w:r>
          </w:p>
        </w:tc>
        <w:tc>
          <w:tcPr>
            <w:tcW w:w="2126" w:type="dxa"/>
            <w:shd w:val="clear" w:color="auto" w:fill="auto"/>
            <w:noWrap/>
            <w:vAlign w:val="bottom"/>
            <w:hideMark/>
          </w:tcPr>
          <w:p w14:paraId="08F949A0"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 (0.07%)</w:t>
            </w:r>
          </w:p>
        </w:tc>
        <w:tc>
          <w:tcPr>
            <w:tcW w:w="1701" w:type="dxa"/>
            <w:vAlign w:val="bottom"/>
          </w:tcPr>
          <w:p w14:paraId="5E8A37F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 (0.35%)</w:t>
            </w:r>
          </w:p>
        </w:tc>
        <w:tc>
          <w:tcPr>
            <w:tcW w:w="2551" w:type="dxa"/>
            <w:shd w:val="clear" w:color="auto" w:fill="auto"/>
            <w:vAlign w:val="bottom"/>
          </w:tcPr>
          <w:p w14:paraId="7793064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132 (9.32%)</w:t>
            </w:r>
          </w:p>
        </w:tc>
      </w:tr>
      <w:tr w:rsidR="00A277B4" w:rsidRPr="00305D05" w14:paraId="45CCB4E6" w14:textId="77777777" w:rsidTr="00826FF8">
        <w:trPr>
          <w:trHeight w:val="248"/>
        </w:trPr>
        <w:tc>
          <w:tcPr>
            <w:tcW w:w="1560" w:type="dxa"/>
            <w:shd w:val="clear" w:color="auto" w:fill="auto"/>
            <w:noWrap/>
            <w:vAlign w:val="center"/>
            <w:hideMark/>
          </w:tcPr>
          <w:p w14:paraId="00CD1749"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20-29</w:t>
            </w:r>
          </w:p>
        </w:tc>
        <w:tc>
          <w:tcPr>
            <w:tcW w:w="1134" w:type="dxa"/>
            <w:shd w:val="clear" w:color="auto" w:fill="auto"/>
            <w:vAlign w:val="bottom"/>
          </w:tcPr>
          <w:p w14:paraId="570306D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1,190</w:t>
            </w:r>
          </w:p>
        </w:tc>
        <w:tc>
          <w:tcPr>
            <w:tcW w:w="2126" w:type="dxa"/>
            <w:shd w:val="clear" w:color="auto" w:fill="auto"/>
            <w:noWrap/>
            <w:vAlign w:val="bottom"/>
            <w:hideMark/>
          </w:tcPr>
          <w:p w14:paraId="2A2B20BB"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 (0.17%)</w:t>
            </w:r>
          </w:p>
        </w:tc>
        <w:tc>
          <w:tcPr>
            <w:tcW w:w="1701" w:type="dxa"/>
            <w:vAlign w:val="bottom"/>
          </w:tcPr>
          <w:p w14:paraId="53938012"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23 (1.93%)</w:t>
            </w:r>
          </w:p>
        </w:tc>
        <w:tc>
          <w:tcPr>
            <w:tcW w:w="2551" w:type="dxa"/>
            <w:shd w:val="clear" w:color="auto" w:fill="auto"/>
            <w:vAlign w:val="bottom"/>
          </w:tcPr>
          <w:p w14:paraId="5CA5201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83 (6.97%)</w:t>
            </w:r>
          </w:p>
        </w:tc>
      </w:tr>
      <w:tr w:rsidR="00A277B4" w:rsidRPr="00305D05" w14:paraId="38E6C724" w14:textId="77777777" w:rsidTr="00826FF8">
        <w:trPr>
          <w:trHeight w:val="248"/>
        </w:trPr>
        <w:tc>
          <w:tcPr>
            <w:tcW w:w="1560" w:type="dxa"/>
            <w:shd w:val="clear" w:color="auto" w:fill="auto"/>
            <w:noWrap/>
            <w:vAlign w:val="center"/>
            <w:hideMark/>
          </w:tcPr>
          <w:p w14:paraId="5944AB47"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30-39</w:t>
            </w:r>
          </w:p>
        </w:tc>
        <w:tc>
          <w:tcPr>
            <w:tcW w:w="1134" w:type="dxa"/>
            <w:shd w:val="clear" w:color="auto" w:fill="auto"/>
            <w:vAlign w:val="bottom"/>
          </w:tcPr>
          <w:p w14:paraId="3A6BA6D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1,603</w:t>
            </w:r>
          </w:p>
        </w:tc>
        <w:tc>
          <w:tcPr>
            <w:tcW w:w="2126" w:type="dxa"/>
            <w:shd w:val="clear" w:color="auto" w:fill="auto"/>
            <w:noWrap/>
            <w:vAlign w:val="bottom"/>
            <w:hideMark/>
          </w:tcPr>
          <w:p w14:paraId="4EEBB2EF"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 (0.12%)</w:t>
            </w:r>
          </w:p>
        </w:tc>
        <w:tc>
          <w:tcPr>
            <w:tcW w:w="1701" w:type="dxa"/>
            <w:vAlign w:val="bottom"/>
          </w:tcPr>
          <w:p w14:paraId="433C633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59 (3.68%)</w:t>
            </w:r>
          </w:p>
        </w:tc>
        <w:tc>
          <w:tcPr>
            <w:tcW w:w="2551" w:type="dxa"/>
            <w:shd w:val="clear" w:color="auto" w:fill="auto"/>
            <w:vAlign w:val="bottom"/>
          </w:tcPr>
          <w:p w14:paraId="7EB67656"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137 (8.55%)</w:t>
            </w:r>
          </w:p>
        </w:tc>
      </w:tr>
      <w:tr w:rsidR="00A277B4" w:rsidRPr="00305D05" w14:paraId="6251DB19" w14:textId="77777777" w:rsidTr="00826FF8">
        <w:trPr>
          <w:trHeight w:val="248"/>
        </w:trPr>
        <w:tc>
          <w:tcPr>
            <w:tcW w:w="1560" w:type="dxa"/>
            <w:shd w:val="clear" w:color="auto" w:fill="auto"/>
            <w:noWrap/>
            <w:vAlign w:val="center"/>
            <w:hideMark/>
          </w:tcPr>
          <w:p w14:paraId="08727A56"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40-49</w:t>
            </w:r>
          </w:p>
        </w:tc>
        <w:tc>
          <w:tcPr>
            <w:tcW w:w="1134" w:type="dxa"/>
            <w:shd w:val="clear" w:color="auto" w:fill="auto"/>
            <w:vAlign w:val="bottom"/>
          </w:tcPr>
          <w:p w14:paraId="2ACBE8F2"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2,149</w:t>
            </w:r>
          </w:p>
        </w:tc>
        <w:tc>
          <w:tcPr>
            <w:tcW w:w="2126" w:type="dxa"/>
            <w:shd w:val="clear" w:color="auto" w:fill="auto"/>
            <w:noWrap/>
            <w:vAlign w:val="bottom"/>
            <w:hideMark/>
          </w:tcPr>
          <w:p w14:paraId="6BB44C20"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15 (0.7%)</w:t>
            </w:r>
          </w:p>
        </w:tc>
        <w:tc>
          <w:tcPr>
            <w:tcW w:w="1701" w:type="dxa"/>
            <w:vAlign w:val="bottom"/>
          </w:tcPr>
          <w:p w14:paraId="7ED95B0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164 (7.63%)</w:t>
            </w:r>
          </w:p>
        </w:tc>
        <w:tc>
          <w:tcPr>
            <w:tcW w:w="2551" w:type="dxa"/>
            <w:shd w:val="clear" w:color="auto" w:fill="auto"/>
            <w:vAlign w:val="bottom"/>
          </w:tcPr>
          <w:p w14:paraId="738577C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298 (13.87%)</w:t>
            </w:r>
          </w:p>
        </w:tc>
      </w:tr>
      <w:tr w:rsidR="00A277B4" w:rsidRPr="00305D05" w14:paraId="5B635E8D" w14:textId="77777777" w:rsidTr="00826FF8">
        <w:trPr>
          <w:trHeight w:val="248"/>
        </w:trPr>
        <w:tc>
          <w:tcPr>
            <w:tcW w:w="1560" w:type="dxa"/>
            <w:shd w:val="clear" w:color="auto" w:fill="auto"/>
            <w:noWrap/>
            <w:vAlign w:val="center"/>
            <w:hideMark/>
          </w:tcPr>
          <w:p w14:paraId="794F3003"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50-59</w:t>
            </w:r>
          </w:p>
        </w:tc>
        <w:tc>
          <w:tcPr>
            <w:tcW w:w="1134" w:type="dxa"/>
            <w:shd w:val="clear" w:color="auto" w:fill="auto"/>
            <w:vAlign w:val="bottom"/>
          </w:tcPr>
          <w:p w14:paraId="6DF1CC70"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2,652</w:t>
            </w:r>
          </w:p>
        </w:tc>
        <w:tc>
          <w:tcPr>
            <w:tcW w:w="2126" w:type="dxa"/>
            <w:shd w:val="clear" w:color="auto" w:fill="auto"/>
            <w:noWrap/>
            <w:vAlign w:val="bottom"/>
            <w:hideMark/>
          </w:tcPr>
          <w:p w14:paraId="703CCD82"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27 (1.02%)</w:t>
            </w:r>
          </w:p>
        </w:tc>
        <w:tc>
          <w:tcPr>
            <w:tcW w:w="1701" w:type="dxa"/>
            <w:vAlign w:val="bottom"/>
          </w:tcPr>
          <w:p w14:paraId="67A4F8E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314 (11.84%)</w:t>
            </w:r>
          </w:p>
        </w:tc>
        <w:tc>
          <w:tcPr>
            <w:tcW w:w="2551" w:type="dxa"/>
            <w:shd w:val="clear" w:color="auto" w:fill="auto"/>
            <w:vAlign w:val="bottom"/>
          </w:tcPr>
          <w:p w14:paraId="3EEE69F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568 (21.42%)</w:t>
            </w:r>
          </w:p>
        </w:tc>
      </w:tr>
      <w:tr w:rsidR="00A277B4" w:rsidRPr="00305D05" w14:paraId="1818D666" w14:textId="77777777" w:rsidTr="00826FF8">
        <w:trPr>
          <w:trHeight w:val="248"/>
        </w:trPr>
        <w:tc>
          <w:tcPr>
            <w:tcW w:w="1560" w:type="dxa"/>
            <w:shd w:val="clear" w:color="auto" w:fill="auto"/>
            <w:noWrap/>
            <w:vAlign w:val="center"/>
            <w:hideMark/>
          </w:tcPr>
          <w:p w14:paraId="0E2F27CF"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60-69</w:t>
            </w:r>
          </w:p>
        </w:tc>
        <w:tc>
          <w:tcPr>
            <w:tcW w:w="1134" w:type="dxa"/>
            <w:shd w:val="clear" w:color="auto" w:fill="auto"/>
            <w:vAlign w:val="bottom"/>
          </w:tcPr>
          <w:p w14:paraId="4216E8D8"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2,696</w:t>
            </w:r>
          </w:p>
        </w:tc>
        <w:tc>
          <w:tcPr>
            <w:tcW w:w="2126" w:type="dxa"/>
            <w:shd w:val="clear" w:color="auto" w:fill="auto"/>
            <w:noWrap/>
            <w:vAlign w:val="bottom"/>
            <w:hideMark/>
          </w:tcPr>
          <w:p w14:paraId="03EF8C9A"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42 (1.56%)</w:t>
            </w:r>
          </w:p>
        </w:tc>
        <w:tc>
          <w:tcPr>
            <w:tcW w:w="1701" w:type="dxa"/>
            <w:vAlign w:val="bottom"/>
          </w:tcPr>
          <w:p w14:paraId="17F1932A"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470 (17.43%)</w:t>
            </w:r>
          </w:p>
        </w:tc>
        <w:tc>
          <w:tcPr>
            <w:tcW w:w="2551" w:type="dxa"/>
            <w:shd w:val="clear" w:color="auto" w:fill="auto"/>
            <w:vAlign w:val="bottom"/>
          </w:tcPr>
          <w:p w14:paraId="29A773F9"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816 (30.27%)</w:t>
            </w:r>
          </w:p>
        </w:tc>
      </w:tr>
      <w:tr w:rsidR="00A277B4" w:rsidRPr="00305D05" w14:paraId="1CB2E14B" w14:textId="77777777" w:rsidTr="00826FF8">
        <w:trPr>
          <w:trHeight w:val="248"/>
        </w:trPr>
        <w:tc>
          <w:tcPr>
            <w:tcW w:w="1560" w:type="dxa"/>
            <w:shd w:val="clear" w:color="auto" w:fill="auto"/>
            <w:noWrap/>
            <w:vAlign w:val="center"/>
            <w:hideMark/>
          </w:tcPr>
          <w:p w14:paraId="0BE5D0B6"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70-79</w:t>
            </w:r>
          </w:p>
        </w:tc>
        <w:tc>
          <w:tcPr>
            <w:tcW w:w="1134" w:type="dxa"/>
            <w:shd w:val="clear" w:color="auto" w:fill="auto"/>
            <w:vAlign w:val="bottom"/>
          </w:tcPr>
          <w:p w14:paraId="0A849EC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1,993</w:t>
            </w:r>
          </w:p>
        </w:tc>
        <w:tc>
          <w:tcPr>
            <w:tcW w:w="2126" w:type="dxa"/>
            <w:shd w:val="clear" w:color="auto" w:fill="auto"/>
            <w:noWrap/>
            <w:vAlign w:val="bottom"/>
            <w:hideMark/>
          </w:tcPr>
          <w:p w14:paraId="1CCCD94B"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36 (1.81%)</w:t>
            </w:r>
          </w:p>
        </w:tc>
        <w:tc>
          <w:tcPr>
            <w:tcW w:w="1701" w:type="dxa"/>
            <w:vAlign w:val="bottom"/>
          </w:tcPr>
          <w:p w14:paraId="79B8DC46"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458 (22.98%)</w:t>
            </w:r>
          </w:p>
        </w:tc>
        <w:tc>
          <w:tcPr>
            <w:tcW w:w="2551" w:type="dxa"/>
            <w:shd w:val="clear" w:color="auto" w:fill="auto"/>
            <w:vAlign w:val="bottom"/>
          </w:tcPr>
          <w:p w14:paraId="43E754F4"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772 (38.74%)</w:t>
            </w:r>
          </w:p>
        </w:tc>
      </w:tr>
      <w:tr w:rsidR="00A277B4" w:rsidRPr="00305D05" w14:paraId="26B32713" w14:textId="77777777" w:rsidTr="00826FF8">
        <w:trPr>
          <w:trHeight w:val="248"/>
        </w:trPr>
        <w:tc>
          <w:tcPr>
            <w:tcW w:w="1560" w:type="dxa"/>
            <w:shd w:val="clear" w:color="auto" w:fill="auto"/>
            <w:noWrap/>
            <w:vAlign w:val="center"/>
            <w:hideMark/>
          </w:tcPr>
          <w:p w14:paraId="1579CD1F"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80-89</w:t>
            </w:r>
          </w:p>
        </w:tc>
        <w:tc>
          <w:tcPr>
            <w:tcW w:w="1134" w:type="dxa"/>
            <w:shd w:val="clear" w:color="auto" w:fill="auto"/>
            <w:vAlign w:val="bottom"/>
          </w:tcPr>
          <w:p w14:paraId="7CBECDB0"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778</w:t>
            </w:r>
          </w:p>
        </w:tc>
        <w:tc>
          <w:tcPr>
            <w:tcW w:w="2126" w:type="dxa"/>
            <w:shd w:val="clear" w:color="auto" w:fill="auto"/>
            <w:noWrap/>
            <w:vAlign w:val="bottom"/>
            <w:hideMark/>
          </w:tcPr>
          <w:p w14:paraId="3EE5D851"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15 (1.93%)</w:t>
            </w:r>
          </w:p>
        </w:tc>
        <w:tc>
          <w:tcPr>
            <w:tcW w:w="1701" w:type="dxa"/>
            <w:vAlign w:val="bottom"/>
          </w:tcPr>
          <w:p w14:paraId="12A86D2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208 (26.74%)</w:t>
            </w:r>
          </w:p>
        </w:tc>
        <w:tc>
          <w:tcPr>
            <w:tcW w:w="2551" w:type="dxa"/>
            <w:shd w:val="clear" w:color="auto" w:fill="auto"/>
            <w:vAlign w:val="bottom"/>
          </w:tcPr>
          <w:p w14:paraId="6271115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340 (43.7%)</w:t>
            </w:r>
          </w:p>
        </w:tc>
      </w:tr>
      <w:tr w:rsidR="00A277B4" w:rsidRPr="00305D05" w14:paraId="09D36A53" w14:textId="77777777" w:rsidTr="00826FF8">
        <w:trPr>
          <w:trHeight w:val="248"/>
        </w:trPr>
        <w:tc>
          <w:tcPr>
            <w:tcW w:w="1560" w:type="dxa"/>
            <w:shd w:val="clear" w:color="auto" w:fill="auto"/>
            <w:noWrap/>
            <w:vAlign w:val="center"/>
            <w:hideMark/>
          </w:tcPr>
          <w:p w14:paraId="41EED008"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90-99</w:t>
            </w:r>
          </w:p>
        </w:tc>
        <w:tc>
          <w:tcPr>
            <w:tcW w:w="1134" w:type="dxa"/>
            <w:shd w:val="clear" w:color="auto" w:fill="auto"/>
            <w:vAlign w:val="bottom"/>
          </w:tcPr>
          <w:p w14:paraId="01AF8B5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79</w:t>
            </w:r>
          </w:p>
        </w:tc>
        <w:tc>
          <w:tcPr>
            <w:tcW w:w="2126" w:type="dxa"/>
            <w:shd w:val="clear" w:color="auto" w:fill="auto"/>
            <w:noWrap/>
            <w:vAlign w:val="bottom"/>
            <w:hideMark/>
          </w:tcPr>
          <w:p w14:paraId="46823B10"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 (1.27%)</w:t>
            </w:r>
          </w:p>
        </w:tc>
        <w:tc>
          <w:tcPr>
            <w:tcW w:w="1701" w:type="dxa"/>
            <w:vAlign w:val="bottom"/>
          </w:tcPr>
          <w:p w14:paraId="0D20AB36"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23 (29.11%)</w:t>
            </w:r>
          </w:p>
        </w:tc>
        <w:tc>
          <w:tcPr>
            <w:tcW w:w="2551" w:type="dxa"/>
            <w:shd w:val="clear" w:color="auto" w:fill="auto"/>
            <w:vAlign w:val="bottom"/>
          </w:tcPr>
          <w:p w14:paraId="3954EB4B"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36 (45.57%)</w:t>
            </w:r>
          </w:p>
        </w:tc>
      </w:tr>
    </w:tbl>
    <w:p w14:paraId="0EA2AFF9" w14:textId="77777777" w:rsidR="00A277B4" w:rsidRPr="003766F2" w:rsidRDefault="00A277B4" w:rsidP="00A277B4">
      <w:pPr>
        <w:rPr>
          <w:rFonts w:cstheme="minorHAnsi"/>
          <w:sz w:val="20"/>
          <w:szCs w:val="20"/>
        </w:rPr>
      </w:pPr>
      <w:r>
        <w:rPr>
          <w:rFonts w:cstheme="minorHAnsi"/>
          <w:sz w:val="20"/>
          <w:szCs w:val="20"/>
          <w:vertAlign w:val="superscript"/>
        </w:rPr>
        <w:t>a</w:t>
      </w:r>
      <w:r w:rsidRPr="003766F2">
        <w:rPr>
          <w:rFonts w:cstheme="minorHAnsi"/>
          <w:sz w:val="20"/>
          <w:szCs w:val="20"/>
        </w:rPr>
        <w:t>Patients may contribute to more than one age category as 20 years of data were used to estimate prevalence.</w:t>
      </w:r>
    </w:p>
    <w:p w14:paraId="12459151" w14:textId="77777777" w:rsidR="00A277B4" w:rsidRPr="000526F1" w:rsidRDefault="00A277B4" w:rsidP="000526F1">
      <w:pPr>
        <w:spacing w:after="0"/>
        <w:rPr>
          <w:rFonts w:cstheme="minorHAnsi"/>
        </w:rPr>
      </w:pPr>
    </w:p>
    <w:p w14:paraId="11E48A33" w14:textId="3DBB580A" w:rsidR="00A277B4" w:rsidRPr="00305D05" w:rsidRDefault="00A277B4" w:rsidP="00A277B4">
      <w:pPr>
        <w:pStyle w:val="Caption"/>
        <w:rPr>
          <w:rFonts w:cstheme="minorHAnsi"/>
        </w:rPr>
      </w:pPr>
      <w:bookmarkStart w:id="525" w:name="_Ref95383975"/>
      <w:bookmarkStart w:id="526" w:name="_Toc99720776"/>
      <w:r w:rsidRPr="00305D05">
        <w:rPr>
          <w:rFonts w:cstheme="minorHAnsi"/>
        </w:rPr>
        <w:t xml:space="preserve">Table </w:t>
      </w:r>
      <w:r w:rsidRPr="00305D05">
        <w:rPr>
          <w:rFonts w:cstheme="minorHAnsi"/>
        </w:rPr>
        <w:fldChar w:fldCharType="begin"/>
      </w:r>
      <w:r w:rsidRPr="00305D05">
        <w:rPr>
          <w:rFonts w:cstheme="minorHAnsi"/>
        </w:rPr>
        <w:instrText xml:space="preserve"> SEQ Table \* ARABIC </w:instrText>
      </w:r>
      <w:r w:rsidRPr="00305D05">
        <w:rPr>
          <w:rFonts w:cstheme="minorHAnsi"/>
        </w:rPr>
        <w:fldChar w:fldCharType="separate"/>
      </w:r>
      <w:r w:rsidR="008B5583">
        <w:rPr>
          <w:rFonts w:cstheme="minorHAnsi"/>
          <w:noProof/>
        </w:rPr>
        <w:t>65</w:t>
      </w:r>
      <w:r w:rsidRPr="00305D05">
        <w:rPr>
          <w:rFonts w:cstheme="minorHAnsi"/>
        </w:rPr>
        <w:fldChar w:fldCharType="end"/>
      </w:r>
      <w:bookmarkEnd w:id="525"/>
      <w:r w:rsidRPr="00305D05">
        <w:rPr>
          <w:rFonts w:cstheme="minorHAnsi"/>
        </w:rPr>
        <w:t xml:space="preserve">. Age-stratified prevalence </w:t>
      </w:r>
      <w:r>
        <w:rPr>
          <w:rFonts w:cstheme="minorHAnsi"/>
        </w:rPr>
        <w:t>CD-related complications in</w:t>
      </w:r>
      <w:r w:rsidRPr="00305D05">
        <w:rPr>
          <w:rFonts w:cstheme="minorHAnsi"/>
        </w:rPr>
        <w:t xml:space="preserve"> CPRD</w:t>
      </w:r>
      <w:r>
        <w:rPr>
          <w:rFonts w:cstheme="minorHAnsi"/>
        </w:rPr>
        <w:t xml:space="preserve"> Aurum patients with CD in women. Same prevalence at time of screening is assumed for newly diagnosed and undiagnosed CD.</w:t>
      </w:r>
      <w:bookmarkEnd w:id="526"/>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114"/>
        <w:gridCol w:w="2126"/>
        <w:gridCol w:w="1623"/>
        <w:gridCol w:w="2629"/>
      </w:tblGrid>
      <w:tr w:rsidR="00A277B4" w:rsidRPr="00305D05" w14:paraId="1421A6EE" w14:textId="77777777" w:rsidTr="00826FF8">
        <w:trPr>
          <w:trHeight w:val="432"/>
        </w:trPr>
        <w:tc>
          <w:tcPr>
            <w:tcW w:w="1580" w:type="dxa"/>
            <w:shd w:val="clear" w:color="auto" w:fill="E7E6E6" w:themeFill="background2"/>
            <w:noWrap/>
            <w:vAlign w:val="center"/>
            <w:hideMark/>
          </w:tcPr>
          <w:p w14:paraId="07967BBB" w14:textId="77777777" w:rsidR="00A277B4" w:rsidRPr="00305D05" w:rsidRDefault="00A277B4" w:rsidP="00F86021">
            <w:pPr>
              <w:keepNext/>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Age categories</w:t>
            </w:r>
            <w:r>
              <w:rPr>
                <w:rFonts w:eastAsia="Times New Roman" w:cstheme="minorHAnsi"/>
                <w:b/>
                <w:bCs/>
                <w:color w:val="000000"/>
                <w:vertAlign w:val="superscript"/>
                <w:lang w:eastAsia="zh-CN"/>
              </w:rPr>
              <w:t>a</w:t>
            </w:r>
          </w:p>
        </w:tc>
        <w:tc>
          <w:tcPr>
            <w:tcW w:w="1114" w:type="dxa"/>
            <w:shd w:val="clear" w:color="auto" w:fill="E7E6E6" w:themeFill="background2"/>
          </w:tcPr>
          <w:p w14:paraId="33156710" w14:textId="77777777" w:rsidR="00A277B4" w:rsidRPr="00305D05" w:rsidRDefault="00A277B4" w:rsidP="00F86021">
            <w:pPr>
              <w:keepNext/>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w:t>
            </w:r>
          </w:p>
        </w:tc>
        <w:tc>
          <w:tcPr>
            <w:tcW w:w="2126" w:type="dxa"/>
            <w:shd w:val="clear" w:color="auto" w:fill="E7E6E6" w:themeFill="background2"/>
            <w:vAlign w:val="center"/>
            <w:hideMark/>
          </w:tcPr>
          <w:p w14:paraId="571F9825" w14:textId="77777777" w:rsidR="00A277B4" w:rsidRPr="00305D05" w:rsidRDefault="00A277B4" w:rsidP="00F86021">
            <w:pPr>
              <w:keepNext/>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Non-Hodgkin's lymphoma, n(%)</w:t>
            </w:r>
          </w:p>
        </w:tc>
        <w:tc>
          <w:tcPr>
            <w:tcW w:w="1623" w:type="dxa"/>
            <w:shd w:val="clear" w:color="auto" w:fill="E7E6E6" w:themeFill="background2"/>
            <w:vAlign w:val="center"/>
          </w:tcPr>
          <w:p w14:paraId="721C9A48" w14:textId="77777777" w:rsidR="00A277B4" w:rsidRPr="00305D05" w:rsidRDefault="00A277B4" w:rsidP="00F86021">
            <w:pPr>
              <w:keepNext/>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Osteoporosis, n(%)</w:t>
            </w:r>
          </w:p>
        </w:tc>
        <w:tc>
          <w:tcPr>
            <w:tcW w:w="2629" w:type="dxa"/>
            <w:shd w:val="clear" w:color="auto" w:fill="E7E6E6" w:themeFill="background2"/>
            <w:vAlign w:val="center"/>
          </w:tcPr>
          <w:p w14:paraId="4E57AA00" w14:textId="77777777" w:rsidR="00A277B4" w:rsidRPr="00305D05" w:rsidRDefault="00A277B4" w:rsidP="00F86021">
            <w:pPr>
              <w:keepNext/>
              <w:spacing w:after="0" w:line="240" w:lineRule="auto"/>
              <w:jc w:val="center"/>
              <w:rPr>
                <w:rFonts w:eastAsia="Times New Roman" w:cstheme="minorHAnsi"/>
                <w:b/>
                <w:bCs/>
                <w:color w:val="000000"/>
                <w:lang w:eastAsia="zh-CN"/>
              </w:rPr>
            </w:pPr>
            <w:r w:rsidRPr="00305D05">
              <w:rPr>
                <w:rFonts w:eastAsia="Times New Roman" w:cstheme="minorHAnsi"/>
                <w:b/>
                <w:bCs/>
                <w:color w:val="000000"/>
                <w:lang w:eastAsia="zh-CN"/>
              </w:rPr>
              <w:t>Iron-deficiency anaemia, n(%)</w:t>
            </w:r>
          </w:p>
        </w:tc>
      </w:tr>
      <w:tr w:rsidR="00A277B4" w:rsidRPr="00305D05" w14:paraId="646EE70C" w14:textId="77777777" w:rsidTr="00826FF8">
        <w:trPr>
          <w:trHeight w:val="248"/>
        </w:trPr>
        <w:tc>
          <w:tcPr>
            <w:tcW w:w="1580" w:type="dxa"/>
            <w:shd w:val="clear" w:color="auto" w:fill="auto"/>
            <w:noWrap/>
            <w:vAlign w:val="center"/>
            <w:hideMark/>
          </w:tcPr>
          <w:p w14:paraId="6A0DC5A3"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0-9</w:t>
            </w:r>
          </w:p>
        </w:tc>
        <w:tc>
          <w:tcPr>
            <w:tcW w:w="1114" w:type="dxa"/>
            <w:shd w:val="clear" w:color="auto" w:fill="auto"/>
            <w:vAlign w:val="bottom"/>
          </w:tcPr>
          <w:p w14:paraId="2D63DB8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2,120</w:t>
            </w:r>
          </w:p>
        </w:tc>
        <w:tc>
          <w:tcPr>
            <w:tcW w:w="2126" w:type="dxa"/>
            <w:shd w:val="clear" w:color="auto" w:fill="auto"/>
            <w:noWrap/>
            <w:vAlign w:val="bottom"/>
            <w:hideMark/>
          </w:tcPr>
          <w:p w14:paraId="6AE89CCE"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 (0.05%)</w:t>
            </w:r>
          </w:p>
        </w:tc>
        <w:tc>
          <w:tcPr>
            <w:tcW w:w="1623" w:type="dxa"/>
            <w:vAlign w:val="bottom"/>
          </w:tcPr>
          <w:p w14:paraId="78D48CD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 (0.05%)</w:t>
            </w:r>
          </w:p>
        </w:tc>
        <w:tc>
          <w:tcPr>
            <w:tcW w:w="2629" w:type="dxa"/>
            <w:shd w:val="clear" w:color="auto" w:fill="auto"/>
            <w:vAlign w:val="bottom"/>
          </w:tcPr>
          <w:p w14:paraId="0D2BCD4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222 (10.47%)</w:t>
            </w:r>
          </w:p>
        </w:tc>
      </w:tr>
      <w:tr w:rsidR="00A277B4" w:rsidRPr="00305D05" w14:paraId="5C5A9DF0" w14:textId="77777777" w:rsidTr="00826FF8">
        <w:trPr>
          <w:trHeight w:val="248"/>
        </w:trPr>
        <w:tc>
          <w:tcPr>
            <w:tcW w:w="1580" w:type="dxa"/>
            <w:shd w:val="clear" w:color="auto" w:fill="auto"/>
            <w:noWrap/>
            <w:vAlign w:val="center"/>
            <w:hideMark/>
          </w:tcPr>
          <w:p w14:paraId="0DA2916D"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10-19</w:t>
            </w:r>
          </w:p>
        </w:tc>
        <w:tc>
          <w:tcPr>
            <w:tcW w:w="1114" w:type="dxa"/>
            <w:shd w:val="clear" w:color="auto" w:fill="auto"/>
            <w:vAlign w:val="bottom"/>
          </w:tcPr>
          <w:p w14:paraId="30B1C2D0"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2,386</w:t>
            </w:r>
          </w:p>
        </w:tc>
        <w:tc>
          <w:tcPr>
            <w:tcW w:w="2126" w:type="dxa"/>
            <w:shd w:val="clear" w:color="auto" w:fill="auto"/>
            <w:noWrap/>
            <w:vAlign w:val="bottom"/>
            <w:hideMark/>
          </w:tcPr>
          <w:p w14:paraId="2E8B7297"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 (0.04%)</w:t>
            </w:r>
          </w:p>
        </w:tc>
        <w:tc>
          <w:tcPr>
            <w:tcW w:w="1623" w:type="dxa"/>
            <w:vAlign w:val="bottom"/>
          </w:tcPr>
          <w:p w14:paraId="36B7DA3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14 (0.59%)</w:t>
            </w:r>
          </w:p>
        </w:tc>
        <w:tc>
          <w:tcPr>
            <w:tcW w:w="2629" w:type="dxa"/>
            <w:shd w:val="clear" w:color="auto" w:fill="auto"/>
            <w:vAlign w:val="bottom"/>
          </w:tcPr>
          <w:p w14:paraId="463AE47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412 (17.27%)</w:t>
            </w:r>
          </w:p>
        </w:tc>
      </w:tr>
      <w:tr w:rsidR="00A277B4" w:rsidRPr="00305D05" w14:paraId="3DBC1CAD" w14:textId="77777777" w:rsidTr="00826FF8">
        <w:trPr>
          <w:trHeight w:val="248"/>
        </w:trPr>
        <w:tc>
          <w:tcPr>
            <w:tcW w:w="1580" w:type="dxa"/>
            <w:shd w:val="clear" w:color="auto" w:fill="auto"/>
            <w:noWrap/>
            <w:vAlign w:val="center"/>
            <w:hideMark/>
          </w:tcPr>
          <w:p w14:paraId="1B69E6B1"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20-29</w:t>
            </w:r>
          </w:p>
        </w:tc>
        <w:tc>
          <w:tcPr>
            <w:tcW w:w="1114" w:type="dxa"/>
            <w:shd w:val="clear" w:color="auto" w:fill="auto"/>
            <w:vAlign w:val="bottom"/>
          </w:tcPr>
          <w:p w14:paraId="48C3DA5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3,916</w:t>
            </w:r>
          </w:p>
        </w:tc>
        <w:tc>
          <w:tcPr>
            <w:tcW w:w="2126" w:type="dxa"/>
            <w:shd w:val="clear" w:color="auto" w:fill="auto"/>
            <w:noWrap/>
            <w:vAlign w:val="bottom"/>
            <w:hideMark/>
          </w:tcPr>
          <w:p w14:paraId="1C9CCEE5"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 (0.05%)</w:t>
            </w:r>
          </w:p>
        </w:tc>
        <w:tc>
          <w:tcPr>
            <w:tcW w:w="1623" w:type="dxa"/>
            <w:vAlign w:val="bottom"/>
          </w:tcPr>
          <w:p w14:paraId="46B9E80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64 (1.63%)</w:t>
            </w:r>
          </w:p>
        </w:tc>
        <w:tc>
          <w:tcPr>
            <w:tcW w:w="2629" w:type="dxa"/>
            <w:shd w:val="clear" w:color="auto" w:fill="auto"/>
            <w:vAlign w:val="bottom"/>
          </w:tcPr>
          <w:p w14:paraId="65064CC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712 (18.18%)</w:t>
            </w:r>
          </w:p>
        </w:tc>
      </w:tr>
      <w:tr w:rsidR="00A277B4" w:rsidRPr="00305D05" w14:paraId="560B1413" w14:textId="77777777" w:rsidTr="00826FF8">
        <w:trPr>
          <w:trHeight w:val="248"/>
        </w:trPr>
        <w:tc>
          <w:tcPr>
            <w:tcW w:w="1580" w:type="dxa"/>
            <w:shd w:val="clear" w:color="auto" w:fill="auto"/>
            <w:noWrap/>
            <w:vAlign w:val="center"/>
            <w:hideMark/>
          </w:tcPr>
          <w:p w14:paraId="74A4DD08"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30-39</w:t>
            </w:r>
          </w:p>
        </w:tc>
        <w:tc>
          <w:tcPr>
            <w:tcW w:w="1114" w:type="dxa"/>
            <w:shd w:val="clear" w:color="auto" w:fill="auto"/>
            <w:vAlign w:val="bottom"/>
          </w:tcPr>
          <w:p w14:paraId="73C060FB"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4,402</w:t>
            </w:r>
          </w:p>
        </w:tc>
        <w:tc>
          <w:tcPr>
            <w:tcW w:w="2126" w:type="dxa"/>
            <w:shd w:val="clear" w:color="auto" w:fill="auto"/>
            <w:noWrap/>
            <w:vAlign w:val="bottom"/>
            <w:hideMark/>
          </w:tcPr>
          <w:p w14:paraId="36557EBC"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5 (0.11%)</w:t>
            </w:r>
          </w:p>
        </w:tc>
        <w:tc>
          <w:tcPr>
            <w:tcW w:w="1623" w:type="dxa"/>
            <w:vAlign w:val="bottom"/>
          </w:tcPr>
          <w:p w14:paraId="08EBCE6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148 (3.36%)</w:t>
            </w:r>
          </w:p>
        </w:tc>
        <w:tc>
          <w:tcPr>
            <w:tcW w:w="2629" w:type="dxa"/>
            <w:shd w:val="clear" w:color="auto" w:fill="auto"/>
            <w:vAlign w:val="bottom"/>
          </w:tcPr>
          <w:p w14:paraId="59596881"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1140 (25.9%)</w:t>
            </w:r>
          </w:p>
        </w:tc>
      </w:tr>
      <w:tr w:rsidR="00A277B4" w:rsidRPr="00305D05" w14:paraId="3B5902D8" w14:textId="77777777" w:rsidTr="00826FF8">
        <w:trPr>
          <w:trHeight w:val="248"/>
        </w:trPr>
        <w:tc>
          <w:tcPr>
            <w:tcW w:w="1580" w:type="dxa"/>
            <w:shd w:val="clear" w:color="auto" w:fill="auto"/>
            <w:noWrap/>
            <w:vAlign w:val="center"/>
            <w:hideMark/>
          </w:tcPr>
          <w:p w14:paraId="020DF65F"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40-49</w:t>
            </w:r>
          </w:p>
        </w:tc>
        <w:tc>
          <w:tcPr>
            <w:tcW w:w="1114" w:type="dxa"/>
            <w:shd w:val="clear" w:color="auto" w:fill="auto"/>
            <w:vAlign w:val="bottom"/>
          </w:tcPr>
          <w:p w14:paraId="6CB1495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5,268</w:t>
            </w:r>
          </w:p>
        </w:tc>
        <w:tc>
          <w:tcPr>
            <w:tcW w:w="2126" w:type="dxa"/>
            <w:shd w:val="clear" w:color="auto" w:fill="auto"/>
            <w:noWrap/>
            <w:vAlign w:val="bottom"/>
            <w:hideMark/>
          </w:tcPr>
          <w:p w14:paraId="68577C9A"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12 (0.23%)</w:t>
            </w:r>
          </w:p>
        </w:tc>
        <w:tc>
          <w:tcPr>
            <w:tcW w:w="1623" w:type="dxa"/>
            <w:vAlign w:val="bottom"/>
          </w:tcPr>
          <w:p w14:paraId="7F54035F"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430 (8.16%)</w:t>
            </w:r>
          </w:p>
        </w:tc>
        <w:tc>
          <w:tcPr>
            <w:tcW w:w="2629" w:type="dxa"/>
            <w:shd w:val="clear" w:color="auto" w:fill="auto"/>
            <w:vAlign w:val="bottom"/>
          </w:tcPr>
          <w:p w14:paraId="55125523"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1729 (32.82%)</w:t>
            </w:r>
          </w:p>
        </w:tc>
      </w:tr>
      <w:tr w:rsidR="00A277B4" w:rsidRPr="00305D05" w14:paraId="2F1CBA23" w14:textId="77777777" w:rsidTr="00826FF8">
        <w:trPr>
          <w:trHeight w:val="248"/>
        </w:trPr>
        <w:tc>
          <w:tcPr>
            <w:tcW w:w="1580" w:type="dxa"/>
            <w:shd w:val="clear" w:color="auto" w:fill="auto"/>
            <w:noWrap/>
            <w:vAlign w:val="center"/>
            <w:hideMark/>
          </w:tcPr>
          <w:p w14:paraId="60CEFE38"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50-59</w:t>
            </w:r>
          </w:p>
        </w:tc>
        <w:tc>
          <w:tcPr>
            <w:tcW w:w="1114" w:type="dxa"/>
            <w:shd w:val="clear" w:color="auto" w:fill="auto"/>
            <w:vAlign w:val="bottom"/>
          </w:tcPr>
          <w:p w14:paraId="7FFB9DC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5,126</w:t>
            </w:r>
          </w:p>
        </w:tc>
        <w:tc>
          <w:tcPr>
            <w:tcW w:w="2126" w:type="dxa"/>
            <w:shd w:val="clear" w:color="auto" w:fill="auto"/>
            <w:noWrap/>
            <w:vAlign w:val="bottom"/>
            <w:hideMark/>
          </w:tcPr>
          <w:p w14:paraId="72E1E484"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22 (0.43%)</w:t>
            </w:r>
          </w:p>
        </w:tc>
        <w:tc>
          <w:tcPr>
            <w:tcW w:w="1623" w:type="dxa"/>
            <w:vAlign w:val="bottom"/>
          </w:tcPr>
          <w:p w14:paraId="5F087F62"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1087 (21.21%)</w:t>
            </w:r>
          </w:p>
        </w:tc>
        <w:tc>
          <w:tcPr>
            <w:tcW w:w="2629" w:type="dxa"/>
            <w:shd w:val="clear" w:color="auto" w:fill="auto"/>
            <w:vAlign w:val="bottom"/>
          </w:tcPr>
          <w:p w14:paraId="640BADF0"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1548 (30.2%)</w:t>
            </w:r>
          </w:p>
        </w:tc>
      </w:tr>
      <w:tr w:rsidR="00A277B4" w:rsidRPr="00305D05" w14:paraId="57D5B423" w14:textId="77777777" w:rsidTr="00826FF8">
        <w:trPr>
          <w:trHeight w:val="248"/>
        </w:trPr>
        <w:tc>
          <w:tcPr>
            <w:tcW w:w="1580" w:type="dxa"/>
            <w:shd w:val="clear" w:color="auto" w:fill="auto"/>
            <w:noWrap/>
            <w:vAlign w:val="center"/>
            <w:hideMark/>
          </w:tcPr>
          <w:p w14:paraId="7C1DA468"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60-69</w:t>
            </w:r>
          </w:p>
        </w:tc>
        <w:tc>
          <w:tcPr>
            <w:tcW w:w="1114" w:type="dxa"/>
            <w:shd w:val="clear" w:color="auto" w:fill="auto"/>
            <w:vAlign w:val="bottom"/>
          </w:tcPr>
          <w:p w14:paraId="183925DE"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4,350</w:t>
            </w:r>
          </w:p>
        </w:tc>
        <w:tc>
          <w:tcPr>
            <w:tcW w:w="2126" w:type="dxa"/>
            <w:shd w:val="clear" w:color="auto" w:fill="auto"/>
            <w:noWrap/>
            <w:vAlign w:val="bottom"/>
            <w:hideMark/>
          </w:tcPr>
          <w:p w14:paraId="636E6154"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41 (0.94%)</w:t>
            </w:r>
          </w:p>
        </w:tc>
        <w:tc>
          <w:tcPr>
            <w:tcW w:w="1623" w:type="dxa"/>
            <w:vAlign w:val="bottom"/>
          </w:tcPr>
          <w:p w14:paraId="1C98CFC0"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1729 (39.75%)</w:t>
            </w:r>
          </w:p>
        </w:tc>
        <w:tc>
          <w:tcPr>
            <w:tcW w:w="2629" w:type="dxa"/>
            <w:shd w:val="clear" w:color="auto" w:fill="auto"/>
            <w:vAlign w:val="bottom"/>
          </w:tcPr>
          <w:p w14:paraId="2D66B25F"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1265 (29.08%)</w:t>
            </w:r>
          </w:p>
        </w:tc>
      </w:tr>
      <w:tr w:rsidR="00A277B4" w:rsidRPr="00305D05" w14:paraId="348797DC" w14:textId="77777777" w:rsidTr="00826FF8">
        <w:trPr>
          <w:trHeight w:val="248"/>
        </w:trPr>
        <w:tc>
          <w:tcPr>
            <w:tcW w:w="1580" w:type="dxa"/>
            <w:shd w:val="clear" w:color="auto" w:fill="auto"/>
            <w:noWrap/>
            <w:vAlign w:val="center"/>
            <w:hideMark/>
          </w:tcPr>
          <w:p w14:paraId="3C6C8373"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70-79</w:t>
            </w:r>
          </w:p>
        </w:tc>
        <w:tc>
          <w:tcPr>
            <w:tcW w:w="1114" w:type="dxa"/>
            <w:shd w:val="clear" w:color="auto" w:fill="auto"/>
            <w:vAlign w:val="bottom"/>
          </w:tcPr>
          <w:p w14:paraId="29FB995D"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3,160</w:t>
            </w:r>
          </w:p>
        </w:tc>
        <w:tc>
          <w:tcPr>
            <w:tcW w:w="2126" w:type="dxa"/>
            <w:shd w:val="clear" w:color="auto" w:fill="auto"/>
            <w:noWrap/>
            <w:vAlign w:val="bottom"/>
            <w:hideMark/>
          </w:tcPr>
          <w:p w14:paraId="34373C4F"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42 (1.33%)</w:t>
            </w:r>
          </w:p>
        </w:tc>
        <w:tc>
          <w:tcPr>
            <w:tcW w:w="1623" w:type="dxa"/>
            <w:vAlign w:val="bottom"/>
          </w:tcPr>
          <w:p w14:paraId="46116D07"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1666 (52.72%)</w:t>
            </w:r>
          </w:p>
        </w:tc>
        <w:tc>
          <w:tcPr>
            <w:tcW w:w="2629" w:type="dxa"/>
            <w:shd w:val="clear" w:color="auto" w:fill="auto"/>
            <w:vAlign w:val="bottom"/>
          </w:tcPr>
          <w:p w14:paraId="25908694"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1185 (37.5%)</w:t>
            </w:r>
          </w:p>
        </w:tc>
      </w:tr>
      <w:tr w:rsidR="00A277B4" w:rsidRPr="00305D05" w14:paraId="0EFAB711" w14:textId="77777777" w:rsidTr="00826FF8">
        <w:trPr>
          <w:trHeight w:val="248"/>
        </w:trPr>
        <w:tc>
          <w:tcPr>
            <w:tcW w:w="1580" w:type="dxa"/>
            <w:shd w:val="clear" w:color="auto" w:fill="auto"/>
            <w:noWrap/>
            <w:vAlign w:val="center"/>
            <w:hideMark/>
          </w:tcPr>
          <w:p w14:paraId="50D9A052"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80-89</w:t>
            </w:r>
          </w:p>
        </w:tc>
        <w:tc>
          <w:tcPr>
            <w:tcW w:w="1114" w:type="dxa"/>
            <w:shd w:val="clear" w:color="auto" w:fill="auto"/>
            <w:vAlign w:val="bottom"/>
          </w:tcPr>
          <w:p w14:paraId="47E85BFB"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1,285</w:t>
            </w:r>
          </w:p>
        </w:tc>
        <w:tc>
          <w:tcPr>
            <w:tcW w:w="2126" w:type="dxa"/>
            <w:shd w:val="clear" w:color="auto" w:fill="auto"/>
            <w:noWrap/>
            <w:vAlign w:val="bottom"/>
            <w:hideMark/>
          </w:tcPr>
          <w:p w14:paraId="381D7F21"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19 (1.48%)</w:t>
            </w:r>
          </w:p>
        </w:tc>
        <w:tc>
          <w:tcPr>
            <w:tcW w:w="1623" w:type="dxa"/>
            <w:vAlign w:val="bottom"/>
          </w:tcPr>
          <w:p w14:paraId="5EA2F1BF"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695 (54.09%)</w:t>
            </w:r>
          </w:p>
        </w:tc>
        <w:tc>
          <w:tcPr>
            <w:tcW w:w="2629" w:type="dxa"/>
            <w:shd w:val="clear" w:color="auto" w:fill="auto"/>
            <w:vAlign w:val="bottom"/>
          </w:tcPr>
          <w:p w14:paraId="2C2127A5"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548 (42.65%)</w:t>
            </w:r>
          </w:p>
        </w:tc>
      </w:tr>
      <w:tr w:rsidR="00A277B4" w:rsidRPr="00305D05" w14:paraId="55E0D9DE" w14:textId="77777777" w:rsidTr="00826FF8">
        <w:trPr>
          <w:trHeight w:val="248"/>
        </w:trPr>
        <w:tc>
          <w:tcPr>
            <w:tcW w:w="1580" w:type="dxa"/>
            <w:shd w:val="clear" w:color="auto" w:fill="auto"/>
            <w:noWrap/>
            <w:vAlign w:val="center"/>
            <w:hideMark/>
          </w:tcPr>
          <w:p w14:paraId="434DBDA6" w14:textId="77777777" w:rsidR="00A277B4" w:rsidRPr="00305D05" w:rsidRDefault="00A277B4" w:rsidP="00F86021">
            <w:pPr>
              <w:spacing w:after="0" w:line="240" w:lineRule="auto"/>
              <w:jc w:val="center"/>
              <w:rPr>
                <w:rFonts w:eastAsia="Times New Roman" w:cstheme="minorHAnsi"/>
                <w:color w:val="000000"/>
                <w:lang w:eastAsia="zh-CN"/>
              </w:rPr>
            </w:pPr>
            <w:r w:rsidRPr="00305D05">
              <w:rPr>
                <w:rFonts w:eastAsia="Times New Roman" w:cstheme="minorHAnsi"/>
                <w:color w:val="000000"/>
                <w:lang w:eastAsia="zh-CN"/>
              </w:rPr>
              <w:t>90-99</w:t>
            </w:r>
          </w:p>
        </w:tc>
        <w:tc>
          <w:tcPr>
            <w:tcW w:w="1114" w:type="dxa"/>
            <w:shd w:val="clear" w:color="auto" w:fill="auto"/>
            <w:vAlign w:val="bottom"/>
          </w:tcPr>
          <w:p w14:paraId="1871652B"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176</w:t>
            </w:r>
          </w:p>
        </w:tc>
        <w:tc>
          <w:tcPr>
            <w:tcW w:w="2126" w:type="dxa"/>
            <w:shd w:val="clear" w:color="auto" w:fill="auto"/>
            <w:noWrap/>
            <w:vAlign w:val="bottom"/>
            <w:hideMark/>
          </w:tcPr>
          <w:p w14:paraId="5142F09F" w14:textId="77777777" w:rsidR="00A277B4" w:rsidRPr="00305D05" w:rsidRDefault="00A277B4" w:rsidP="00F86021">
            <w:pPr>
              <w:spacing w:after="0" w:line="240" w:lineRule="auto"/>
              <w:jc w:val="center"/>
              <w:rPr>
                <w:rFonts w:eastAsia="Times New Roman" w:cstheme="minorHAnsi"/>
                <w:color w:val="000000"/>
                <w:lang w:eastAsia="zh-CN"/>
              </w:rPr>
            </w:pPr>
            <w:r>
              <w:rPr>
                <w:rFonts w:ascii="Calibri" w:hAnsi="Calibri" w:cs="Calibri"/>
                <w:color w:val="000000"/>
              </w:rPr>
              <w:t>3 (1.7%)</w:t>
            </w:r>
          </w:p>
        </w:tc>
        <w:tc>
          <w:tcPr>
            <w:tcW w:w="1623" w:type="dxa"/>
            <w:vAlign w:val="bottom"/>
          </w:tcPr>
          <w:p w14:paraId="1015E0FA"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77 (43.75%)</w:t>
            </w:r>
          </w:p>
        </w:tc>
        <w:tc>
          <w:tcPr>
            <w:tcW w:w="2629" w:type="dxa"/>
            <w:shd w:val="clear" w:color="auto" w:fill="auto"/>
            <w:vAlign w:val="bottom"/>
          </w:tcPr>
          <w:p w14:paraId="326488CC" w14:textId="77777777" w:rsidR="00A277B4" w:rsidRPr="00305D05" w:rsidRDefault="00A277B4" w:rsidP="00F86021">
            <w:pPr>
              <w:spacing w:after="0" w:line="240" w:lineRule="auto"/>
              <w:jc w:val="center"/>
              <w:rPr>
                <w:rFonts w:eastAsia="Times New Roman" w:cstheme="minorHAnsi"/>
                <w:color w:val="000000"/>
                <w:lang w:eastAsia="zh-CN"/>
              </w:rPr>
            </w:pPr>
            <w:r w:rsidRPr="00EB22DB">
              <w:rPr>
                <w:rFonts w:ascii="Calibri" w:hAnsi="Calibri" w:cs="Calibri"/>
                <w:color w:val="000000"/>
                <w:lang w:eastAsia="en-GB"/>
              </w:rPr>
              <w:t>81 (46.02%)</w:t>
            </w:r>
          </w:p>
        </w:tc>
      </w:tr>
    </w:tbl>
    <w:p w14:paraId="6C3B3433" w14:textId="6188DB56" w:rsidR="00A277B4" w:rsidRPr="000526F1" w:rsidRDefault="00A277B4">
      <w:pPr>
        <w:rPr>
          <w:rFonts w:cstheme="minorHAnsi"/>
          <w:sz w:val="20"/>
          <w:szCs w:val="20"/>
        </w:rPr>
      </w:pPr>
      <w:r>
        <w:rPr>
          <w:rFonts w:cstheme="minorHAnsi"/>
          <w:sz w:val="20"/>
          <w:szCs w:val="20"/>
          <w:vertAlign w:val="superscript"/>
        </w:rPr>
        <w:t>a</w:t>
      </w:r>
      <w:r w:rsidRPr="003766F2">
        <w:rPr>
          <w:rFonts w:cstheme="minorHAnsi"/>
          <w:sz w:val="20"/>
          <w:szCs w:val="20"/>
        </w:rPr>
        <w:t>Patients may contribute to more than one age category as 20 years of data were used to estimate prevalence.</w:t>
      </w:r>
      <w:r>
        <w:br w:type="page"/>
      </w:r>
    </w:p>
    <w:p w14:paraId="03292DF2" w14:textId="4ADDB454" w:rsidR="00DD1DE8" w:rsidRDefault="00DD1DE8" w:rsidP="003B0237">
      <w:pPr>
        <w:pStyle w:val="Heading2"/>
      </w:pPr>
      <w:bookmarkStart w:id="527" w:name="_Toc99539955"/>
      <w:r>
        <w:lastRenderedPageBreak/>
        <w:t>Appendix 2</w:t>
      </w:r>
      <w:r w:rsidR="00124DB3">
        <w:t>7</w:t>
      </w:r>
      <w:bookmarkEnd w:id="527"/>
    </w:p>
    <w:p w14:paraId="16B7F1B9" w14:textId="01DF8CE9" w:rsidR="00C14B71" w:rsidRDefault="00C14B71" w:rsidP="000526F1">
      <w:pPr>
        <w:pStyle w:val="Heading3"/>
      </w:pPr>
      <w:bookmarkStart w:id="528" w:name="_Toc99539956"/>
      <w:r>
        <w:t>Costs</w:t>
      </w:r>
      <w:bookmarkEnd w:id="528"/>
    </w:p>
    <w:p w14:paraId="3EA93E74" w14:textId="4A8432AC" w:rsidR="00124DB3" w:rsidRPr="00305D05" w:rsidRDefault="00124DB3" w:rsidP="00124DB3">
      <w:pPr>
        <w:pStyle w:val="Caption"/>
        <w:rPr>
          <w:rFonts w:cstheme="minorHAnsi"/>
        </w:rPr>
      </w:pPr>
      <w:bookmarkStart w:id="529" w:name="_Ref95384159"/>
      <w:bookmarkStart w:id="530" w:name="_Toc99720777"/>
      <w:r w:rsidRPr="00305D05">
        <w:rPr>
          <w:rFonts w:cstheme="minorHAnsi"/>
        </w:rPr>
        <w:t xml:space="preserve">Table </w:t>
      </w:r>
      <w:r w:rsidRPr="00305D05">
        <w:rPr>
          <w:rFonts w:cstheme="minorHAnsi"/>
        </w:rPr>
        <w:fldChar w:fldCharType="begin"/>
      </w:r>
      <w:r w:rsidRPr="00305D05">
        <w:rPr>
          <w:rFonts w:cstheme="minorHAnsi"/>
        </w:rPr>
        <w:instrText>SEQ Table \* ARABIC</w:instrText>
      </w:r>
      <w:r w:rsidRPr="00305D05">
        <w:rPr>
          <w:rFonts w:cstheme="minorHAnsi"/>
        </w:rPr>
        <w:fldChar w:fldCharType="separate"/>
      </w:r>
      <w:r w:rsidR="008B5583">
        <w:rPr>
          <w:rFonts w:cstheme="minorHAnsi"/>
          <w:noProof/>
        </w:rPr>
        <w:t>66</w:t>
      </w:r>
      <w:r w:rsidRPr="00305D05">
        <w:rPr>
          <w:rFonts w:cstheme="minorHAnsi"/>
        </w:rPr>
        <w:fldChar w:fldCharType="end"/>
      </w:r>
      <w:bookmarkEnd w:id="529"/>
      <w:r w:rsidRPr="00305D05">
        <w:rPr>
          <w:rFonts w:cstheme="minorHAnsi"/>
        </w:rPr>
        <w:t>. Fracture rate by age at the sites shown from Curtis et al</w:t>
      </w:r>
      <w:bookmarkEnd w:id="530"/>
      <w:r w:rsidRPr="00305D05">
        <w:rPr>
          <w:rFonts w:cstheme="minorHAnsi"/>
        </w:rPr>
        <w:t xml:space="preserve"> </w:t>
      </w:r>
    </w:p>
    <w:tbl>
      <w:tblPr>
        <w:tblStyle w:val="TableGrid"/>
        <w:tblW w:w="5000" w:type="pct"/>
        <w:tblLook w:val="04A0" w:firstRow="1" w:lastRow="0" w:firstColumn="1" w:lastColumn="0" w:noHBand="0" w:noVBand="1"/>
      </w:tblPr>
      <w:tblGrid>
        <w:gridCol w:w="1138"/>
        <w:gridCol w:w="1197"/>
        <w:gridCol w:w="1239"/>
        <w:gridCol w:w="1509"/>
        <w:gridCol w:w="1239"/>
        <w:gridCol w:w="1473"/>
        <w:gridCol w:w="1221"/>
      </w:tblGrid>
      <w:tr w:rsidR="00124DB3" w:rsidRPr="00612ABA" w14:paraId="0122F713" w14:textId="77777777" w:rsidTr="00F86021">
        <w:trPr>
          <w:trHeight w:val="354"/>
        </w:trPr>
        <w:tc>
          <w:tcPr>
            <w:tcW w:w="631" w:type="pct"/>
          </w:tcPr>
          <w:p w14:paraId="7DCDBD08" w14:textId="77777777" w:rsidR="00124DB3" w:rsidRPr="00612ABA" w:rsidRDefault="00124DB3" w:rsidP="00F86021">
            <w:pPr>
              <w:rPr>
                <w:rFonts w:cstheme="minorHAnsi"/>
                <w:sz w:val="20"/>
                <w:szCs w:val="20"/>
              </w:rPr>
            </w:pPr>
            <w:r w:rsidRPr="00612ABA">
              <w:rPr>
                <w:rFonts w:cstheme="minorHAnsi"/>
                <w:sz w:val="20"/>
                <w:szCs w:val="20"/>
              </w:rPr>
              <w:t>Age range (years)</w:t>
            </w:r>
          </w:p>
        </w:tc>
        <w:tc>
          <w:tcPr>
            <w:tcW w:w="664" w:type="pct"/>
          </w:tcPr>
          <w:p w14:paraId="58D9D464" w14:textId="77777777" w:rsidR="00124DB3" w:rsidRPr="00612ABA" w:rsidRDefault="00124DB3" w:rsidP="00F86021">
            <w:pPr>
              <w:rPr>
                <w:rFonts w:cstheme="minorHAnsi"/>
                <w:sz w:val="20"/>
                <w:szCs w:val="20"/>
              </w:rPr>
            </w:pPr>
            <w:r w:rsidRPr="00612ABA">
              <w:rPr>
                <w:rFonts w:cstheme="minorHAnsi"/>
                <w:sz w:val="20"/>
                <w:szCs w:val="20"/>
              </w:rPr>
              <w:t>Hip rate per 10,000 py</w:t>
            </w:r>
          </w:p>
        </w:tc>
        <w:tc>
          <w:tcPr>
            <w:tcW w:w="687" w:type="pct"/>
          </w:tcPr>
          <w:p w14:paraId="37B5DD2A" w14:textId="77777777" w:rsidR="00124DB3" w:rsidRPr="00612ABA" w:rsidRDefault="00124DB3" w:rsidP="00F86021">
            <w:pPr>
              <w:rPr>
                <w:rFonts w:cstheme="minorHAnsi"/>
                <w:sz w:val="20"/>
                <w:szCs w:val="20"/>
              </w:rPr>
            </w:pPr>
            <w:r w:rsidRPr="00612ABA">
              <w:rPr>
                <w:rFonts w:cstheme="minorHAnsi"/>
                <w:sz w:val="20"/>
                <w:szCs w:val="20"/>
              </w:rPr>
              <w:t>Number of cases</w:t>
            </w:r>
          </w:p>
        </w:tc>
        <w:tc>
          <w:tcPr>
            <w:tcW w:w="837" w:type="pct"/>
          </w:tcPr>
          <w:p w14:paraId="56F2701E" w14:textId="77777777" w:rsidR="00124DB3" w:rsidRPr="00612ABA" w:rsidRDefault="00124DB3" w:rsidP="00F86021">
            <w:pPr>
              <w:rPr>
                <w:rFonts w:cstheme="minorHAnsi"/>
                <w:sz w:val="20"/>
                <w:szCs w:val="20"/>
              </w:rPr>
            </w:pPr>
            <w:r w:rsidRPr="00612ABA">
              <w:rPr>
                <w:rFonts w:cstheme="minorHAnsi"/>
                <w:sz w:val="20"/>
                <w:szCs w:val="20"/>
              </w:rPr>
              <w:t>Vertebral rate per 10,000 py</w:t>
            </w:r>
          </w:p>
        </w:tc>
        <w:tc>
          <w:tcPr>
            <w:tcW w:w="687" w:type="pct"/>
          </w:tcPr>
          <w:p w14:paraId="2DC42343" w14:textId="77777777" w:rsidR="00124DB3" w:rsidRPr="00612ABA" w:rsidRDefault="00124DB3" w:rsidP="00F86021">
            <w:pPr>
              <w:rPr>
                <w:rFonts w:cstheme="minorHAnsi"/>
                <w:sz w:val="20"/>
                <w:szCs w:val="20"/>
              </w:rPr>
            </w:pPr>
            <w:r w:rsidRPr="00612ABA">
              <w:rPr>
                <w:rFonts w:cstheme="minorHAnsi"/>
                <w:sz w:val="20"/>
                <w:szCs w:val="20"/>
              </w:rPr>
              <w:t>Number of cases</w:t>
            </w:r>
          </w:p>
        </w:tc>
        <w:tc>
          <w:tcPr>
            <w:tcW w:w="817" w:type="pct"/>
          </w:tcPr>
          <w:p w14:paraId="58899E8D" w14:textId="77777777" w:rsidR="00124DB3" w:rsidRPr="00612ABA" w:rsidRDefault="00124DB3" w:rsidP="00F86021">
            <w:pPr>
              <w:rPr>
                <w:rFonts w:cstheme="minorHAnsi"/>
                <w:sz w:val="20"/>
                <w:szCs w:val="20"/>
              </w:rPr>
            </w:pPr>
            <w:r w:rsidRPr="00612ABA">
              <w:rPr>
                <w:rFonts w:cstheme="minorHAnsi"/>
                <w:sz w:val="20"/>
                <w:szCs w:val="20"/>
              </w:rPr>
              <w:t>Wrist (carpus) Rate per 10,000 py</w:t>
            </w:r>
          </w:p>
        </w:tc>
        <w:tc>
          <w:tcPr>
            <w:tcW w:w="677" w:type="pct"/>
          </w:tcPr>
          <w:p w14:paraId="32945F90" w14:textId="77777777" w:rsidR="00124DB3" w:rsidRPr="00612ABA" w:rsidRDefault="00124DB3" w:rsidP="00F86021">
            <w:pPr>
              <w:rPr>
                <w:rFonts w:cstheme="minorHAnsi"/>
                <w:sz w:val="20"/>
                <w:szCs w:val="20"/>
              </w:rPr>
            </w:pPr>
            <w:r w:rsidRPr="00612ABA">
              <w:rPr>
                <w:rFonts w:cstheme="minorHAnsi"/>
                <w:sz w:val="20"/>
                <w:szCs w:val="20"/>
              </w:rPr>
              <w:t>Number of cases</w:t>
            </w:r>
          </w:p>
        </w:tc>
      </w:tr>
      <w:tr w:rsidR="00124DB3" w:rsidRPr="00612ABA" w14:paraId="79D53CAA" w14:textId="77777777" w:rsidTr="00F86021">
        <w:trPr>
          <w:trHeight w:val="187"/>
        </w:trPr>
        <w:tc>
          <w:tcPr>
            <w:tcW w:w="631" w:type="pct"/>
          </w:tcPr>
          <w:p w14:paraId="356D4CA0" w14:textId="77777777" w:rsidR="00124DB3" w:rsidRPr="00612ABA" w:rsidRDefault="00124DB3" w:rsidP="00F86021">
            <w:pPr>
              <w:rPr>
                <w:rFonts w:cstheme="minorHAnsi"/>
                <w:sz w:val="20"/>
                <w:szCs w:val="20"/>
              </w:rPr>
            </w:pPr>
            <w:r w:rsidRPr="00612ABA">
              <w:rPr>
                <w:rFonts w:cstheme="minorHAnsi"/>
                <w:sz w:val="20"/>
                <w:szCs w:val="20"/>
              </w:rPr>
              <w:t>18-49</w:t>
            </w:r>
          </w:p>
        </w:tc>
        <w:tc>
          <w:tcPr>
            <w:tcW w:w="664" w:type="pct"/>
          </w:tcPr>
          <w:p w14:paraId="3D215CDC" w14:textId="77777777" w:rsidR="00124DB3" w:rsidRPr="00612ABA" w:rsidRDefault="00124DB3" w:rsidP="00F86021">
            <w:pPr>
              <w:rPr>
                <w:rFonts w:cstheme="minorHAnsi"/>
                <w:sz w:val="20"/>
                <w:szCs w:val="20"/>
              </w:rPr>
            </w:pPr>
            <w:r w:rsidRPr="00612ABA">
              <w:rPr>
                <w:rFonts w:cstheme="minorHAnsi"/>
                <w:sz w:val="20"/>
                <w:szCs w:val="20"/>
              </w:rPr>
              <w:t>0.5</w:t>
            </w:r>
          </w:p>
        </w:tc>
        <w:tc>
          <w:tcPr>
            <w:tcW w:w="687" w:type="pct"/>
          </w:tcPr>
          <w:p w14:paraId="43F434D8" w14:textId="77777777" w:rsidR="00124DB3" w:rsidRPr="00612ABA" w:rsidRDefault="00124DB3" w:rsidP="00F86021">
            <w:pPr>
              <w:rPr>
                <w:rFonts w:cstheme="minorHAnsi"/>
                <w:sz w:val="20"/>
                <w:szCs w:val="20"/>
              </w:rPr>
            </w:pPr>
            <w:r w:rsidRPr="00612ABA">
              <w:rPr>
                <w:rFonts w:cstheme="minorHAnsi"/>
                <w:sz w:val="20"/>
                <w:szCs w:val="20"/>
              </w:rPr>
              <w:t>1520</w:t>
            </w:r>
          </w:p>
        </w:tc>
        <w:tc>
          <w:tcPr>
            <w:tcW w:w="837" w:type="pct"/>
          </w:tcPr>
          <w:p w14:paraId="0A9C22E8" w14:textId="77777777" w:rsidR="00124DB3" w:rsidRPr="00612ABA" w:rsidRDefault="00124DB3" w:rsidP="00F86021">
            <w:pPr>
              <w:rPr>
                <w:rFonts w:cstheme="minorHAnsi"/>
                <w:sz w:val="20"/>
                <w:szCs w:val="20"/>
              </w:rPr>
            </w:pPr>
            <w:r w:rsidRPr="00612ABA">
              <w:rPr>
                <w:rFonts w:cstheme="minorHAnsi"/>
                <w:sz w:val="20"/>
                <w:szCs w:val="20"/>
              </w:rPr>
              <w:t>1.5</w:t>
            </w:r>
          </w:p>
        </w:tc>
        <w:tc>
          <w:tcPr>
            <w:tcW w:w="687" w:type="pct"/>
          </w:tcPr>
          <w:p w14:paraId="22F3C8FE" w14:textId="77777777" w:rsidR="00124DB3" w:rsidRPr="00612ABA" w:rsidRDefault="00124DB3" w:rsidP="00F86021">
            <w:pPr>
              <w:rPr>
                <w:rFonts w:cstheme="minorHAnsi"/>
                <w:sz w:val="20"/>
                <w:szCs w:val="20"/>
              </w:rPr>
            </w:pPr>
            <w:r w:rsidRPr="00612ABA">
              <w:rPr>
                <w:rFonts w:cstheme="minorHAnsi"/>
                <w:sz w:val="20"/>
                <w:szCs w:val="20"/>
              </w:rPr>
              <w:t>5027</w:t>
            </w:r>
          </w:p>
        </w:tc>
        <w:tc>
          <w:tcPr>
            <w:tcW w:w="817" w:type="pct"/>
          </w:tcPr>
          <w:p w14:paraId="7D728047" w14:textId="77777777" w:rsidR="00124DB3" w:rsidRPr="00612ABA" w:rsidRDefault="00124DB3" w:rsidP="00F86021">
            <w:pPr>
              <w:rPr>
                <w:rFonts w:cstheme="minorHAnsi"/>
                <w:sz w:val="20"/>
                <w:szCs w:val="20"/>
              </w:rPr>
            </w:pPr>
            <w:r w:rsidRPr="00612ABA">
              <w:rPr>
                <w:rFonts w:cstheme="minorHAnsi"/>
                <w:sz w:val="20"/>
                <w:szCs w:val="20"/>
              </w:rPr>
              <w:t>20.7</w:t>
            </w:r>
          </w:p>
        </w:tc>
        <w:tc>
          <w:tcPr>
            <w:tcW w:w="677" w:type="pct"/>
          </w:tcPr>
          <w:p w14:paraId="2CB012FD" w14:textId="77777777" w:rsidR="00124DB3" w:rsidRPr="00612ABA" w:rsidRDefault="00124DB3" w:rsidP="00F86021">
            <w:pPr>
              <w:rPr>
                <w:rFonts w:cstheme="minorHAnsi"/>
                <w:sz w:val="20"/>
                <w:szCs w:val="20"/>
              </w:rPr>
            </w:pPr>
            <w:r w:rsidRPr="00612ABA">
              <w:rPr>
                <w:rFonts w:cstheme="minorHAnsi"/>
                <w:sz w:val="20"/>
                <w:szCs w:val="20"/>
              </w:rPr>
              <w:t>65244</w:t>
            </w:r>
          </w:p>
        </w:tc>
      </w:tr>
      <w:tr w:rsidR="00124DB3" w:rsidRPr="00612ABA" w14:paraId="6856139C" w14:textId="77777777" w:rsidTr="00F86021">
        <w:trPr>
          <w:trHeight w:val="167"/>
        </w:trPr>
        <w:tc>
          <w:tcPr>
            <w:tcW w:w="631" w:type="pct"/>
          </w:tcPr>
          <w:p w14:paraId="04852DE9" w14:textId="77777777" w:rsidR="00124DB3" w:rsidRPr="00612ABA" w:rsidRDefault="00124DB3" w:rsidP="00F86021">
            <w:pPr>
              <w:rPr>
                <w:rFonts w:cstheme="minorHAnsi"/>
                <w:sz w:val="20"/>
                <w:szCs w:val="20"/>
              </w:rPr>
            </w:pPr>
            <w:r w:rsidRPr="00612ABA">
              <w:rPr>
                <w:rFonts w:cstheme="minorHAnsi"/>
                <w:sz w:val="20"/>
                <w:szCs w:val="20"/>
              </w:rPr>
              <w:t>50+</w:t>
            </w:r>
          </w:p>
        </w:tc>
        <w:tc>
          <w:tcPr>
            <w:tcW w:w="664" w:type="pct"/>
          </w:tcPr>
          <w:p w14:paraId="043F09B5" w14:textId="77777777" w:rsidR="00124DB3" w:rsidRPr="00612ABA" w:rsidRDefault="00124DB3" w:rsidP="00F86021">
            <w:pPr>
              <w:rPr>
                <w:rFonts w:cstheme="minorHAnsi"/>
                <w:sz w:val="20"/>
                <w:szCs w:val="20"/>
              </w:rPr>
            </w:pPr>
            <w:r w:rsidRPr="00612ABA">
              <w:rPr>
                <w:rFonts w:cstheme="minorHAnsi"/>
                <w:sz w:val="20"/>
                <w:szCs w:val="20"/>
              </w:rPr>
              <w:t>19.6</w:t>
            </w:r>
          </w:p>
        </w:tc>
        <w:tc>
          <w:tcPr>
            <w:tcW w:w="687" w:type="pct"/>
          </w:tcPr>
          <w:p w14:paraId="016411DD" w14:textId="77777777" w:rsidR="00124DB3" w:rsidRPr="00612ABA" w:rsidRDefault="00124DB3" w:rsidP="00F86021">
            <w:pPr>
              <w:rPr>
                <w:rFonts w:cstheme="minorHAnsi"/>
                <w:sz w:val="20"/>
                <w:szCs w:val="20"/>
              </w:rPr>
            </w:pPr>
            <w:r w:rsidRPr="00612ABA">
              <w:rPr>
                <w:rFonts w:cstheme="minorHAnsi"/>
                <w:sz w:val="20"/>
                <w:szCs w:val="20"/>
              </w:rPr>
              <w:t>52609</w:t>
            </w:r>
          </w:p>
        </w:tc>
        <w:tc>
          <w:tcPr>
            <w:tcW w:w="837" w:type="pct"/>
          </w:tcPr>
          <w:p w14:paraId="770E0C18" w14:textId="77777777" w:rsidR="00124DB3" w:rsidRPr="00612ABA" w:rsidRDefault="00124DB3" w:rsidP="00F86021">
            <w:pPr>
              <w:rPr>
                <w:rFonts w:cstheme="minorHAnsi"/>
                <w:sz w:val="20"/>
                <w:szCs w:val="20"/>
              </w:rPr>
            </w:pPr>
            <w:r w:rsidRPr="00612ABA">
              <w:rPr>
                <w:rFonts w:cstheme="minorHAnsi"/>
                <w:sz w:val="20"/>
                <w:szCs w:val="20"/>
              </w:rPr>
              <w:t>7.1</w:t>
            </w:r>
          </w:p>
        </w:tc>
        <w:tc>
          <w:tcPr>
            <w:tcW w:w="687" w:type="pct"/>
          </w:tcPr>
          <w:p w14:paraId="70F2F97D" w14:textId="77777777" w:rsidR="00124DB3" w:rsidRPr="00612ABA" w:rsidRDefault="00124DB3" w:rsidP="00F86021">
            <w:pPr>
              <w:rPr>
                <w:rFonts w:cstheme="minorHAnsi"/>
                <w:sz w:val="20"/>
                <w:szCs w:val="20"/>
              </w:rPr>
            </w:pPr>
            <w:r w:rsidRPr="00612ABA">
              <w:rPr>
                <w:rFonts w:cstheme="minorHAnsi"/>
                <w:sz w:val="20"/>
                <w:szCs w:val="20"/>
              </w:rPr>
              <w:t>19232</w:t>
            </w:r>
          </w:p>
        </w:tc>
        <w:tc>
          <w:tcPr>
            <w:tcW w:w="817" w:type="pct"/>
          </w:tcPr>
          <w:p w14:paraId="345A370F" w14:textId="77777777" w:rsidR="00124DB3" w:rsidRPr="00612ABA" w:rsidRDefault="00124DB3" w:rsidP="00F86021">
            <w:pPr>
              <w:rPr>
                <w:rFonts w:cstheme="minorHAnsi"/>
                <w:sz w:val="20"/>
                <w:szCs w:val="20"/>
              </w:rPr>
            </w:pPr>
            <w:r w:rsidRPr="00612ABA">
              <w:rPr>
                <w:rFonts w:cstheme="minorHAnsi"/>
                <w:sz w:val="20"/>
                <w:szCs w:val="20"/>
              </w:rPr>
              <w:t>12.5</w:t>
            </w:r>
          </w:p>
        </w:tc>
        <w:tc>
          <w:tcPr>
            <w:tcW w:w="677" w:type="pct"/>
          </w:tcPr>
          <w:p w14:paraId="03FEFDAA" w14:textId="77777777" w:rsidR="00124DB3" w:rsidRPr="00612ABA" w:rsidRDefault="00124DB3" w:rsidP="00F86021">
            <w:pPr>
              <w:rPr>
                <w:rFonts w:cstheme="minorHAnsi"/>
                <w:sz w:val="20"/>
                <w:szCs w:val="20"/>
              </w:rPr>
            </w:pPr>
            <w:r w:rsidRPr="00612ABA">
              <w:rPr>
                <w:rFonts w:cstheme="minorHAnsi"/>
                <w:sz w:val="20"/>
                <w:szCs w:val="20"/>
              </w:rPr>
              <w:t>32983</w:t>
            </w:r>
          </w:p>
        </w:tc>
      </w:tr>
    </w:tbl>
    <w:p w14:paraId="493B31FF" w14:textId="77777777" w:rsidR="00124DB3" w:rsidRPr="00305D05" w:rsidRDefault="00124DB3" w:rsidP="00124DB3">
      <w:pPr>
        <w:rPr>
          <w:rFonts w:cstheme="minorHAnsi"/>
          <w:sz w:val="24"/>
          <w:szCs w:val="24"/>
        </w:rPr>
      </w:pPr>
    </w:p>
    <w:p w14:paraId="44F52919" w14:textId="5312A8F6" w:rsidR="00921153" w:rsidRPr="00612ABA" w:rsidRDefault="00921153" w:rsidP="00921153">
      <w:pPr>
        <w:pStyle w:val="Caption"/>
      </w:pPr>
      <w:bookmarkStart w:id="531" w:name="_Ref95384068"/>
      <w:bookmarkStart w:id="532" w:name="_Toc99720778"/>
      <w:r w:rsidRPr="00612ABA">
        <w:t xml:space="preserve">Table </w:t>
      </w:r>
      <w:r>
        <w:fldChar w:fldCharType="begin"/>
      </w:r>
      <w:r>
        <w:instrText>SEQ Table \* ARABIC</w:instrText>
      </w:r>
      <w:r>
        <w:fldChar w:fldCharType="separate"/>
      </w:r>
      <w:r w:rsidR="008B5583">
        <w:rPr>
          <w:noProof/>
        </w:rPr>
        <w:t>67</w:t>
      </w:r>
      <w:r>
        <w:fldChar w:fldCharType="end"/>
      </w:r>
      <w:bookmarkEnd w:id="531"/>
      <w:r w:rsidRPr="00612ABA">
        <w:t>. Cost calculations osteoporosis</w:t>
      </w:r>
      <w:bookmarkEnd w:id="532"/>
    </w:p>
    <w:tbl>
      <w:tblPr>
        <w:tblStyle w:val="TableGrid"/>
        <w:tblW w:w="0" w:type="auto"/>
        <w:tblLook w:val="04A0" w:firstRow="1" w:lastRow="0" w:firstColumn="1" w:lastColumn="0" w:noHBand="0" w:noVBand="1"/>
      </w:tblPr>
      <w:tblGrid>
        <w:gridCol w:w="2545"/>
        <w:gridCol w:w="2370"/>
        <w:gridCol w:w="2203"/>
        <w:gridCol w:w="1898"/>
      </w:tblGrid>
      <w:tr w:rsidR="00921153" w:rsidRPr="00677009" w14:paraId="17704877" w14:textId="77777777" w:rsidTr="00F86021">
        <w:tc>
          <w:tcPr>
            <w:tcW w:w="2545" w:type="dxa"/>
          </w:tcPr>
          <w:p w14:paraId="0C366EB7" w14:textId="77777777" w:rsidR="00921153" w:rsidRPr="0031742C" w:rsidRDefault="00921153" w:rsidP="00F86021">
            <w:pPr>
              <w:rPr>
                <w:rFonts w:cstheme="minorHAnsi"/>
                <w:sz w:val="20"/>
                <w:szCs w:val="20"/>
              </w:rPr>
            </w:pPr>
          </w:p>
        </w:tc>
        <w:tc>
          <w:tcPr>
            <w:tcW w:w="2370" w:type="dxa"/>
          </w:tcPr>
          <w:p w14:paraId="1F4212A9" w14:textId="77777777" w:rsidR="00921153" w:rsidRPr="0031742C" w:rsidRDefault="00921153" w:rsidP="00F86021">
            <w:pPr>
              <w:rPr>
                <w:rFonts w:cstheme="minorHAnsi"/>
                <w:sz w:val="20"/>
                <w:szCs w:val="20"/>
              </w:rPr>
            </w:pPr>
            <w:r w:rsidRPr="0031742C">
              <w:rPr>
                <w:rFonts w:cstheme="minorHAnsi"/>
                <w:sz w:val="20"/>
                <w:szCs w:val="20"/>
              </w:rPr>
              <w:t>Hip</w:t>
            </w:r>
          </w:p>
        </w:tc>
        <w:tc>
          <w:tcPr>
            <w:tcW w:w="2203" w:type="dxa"/>
          </w:tcPr>
          <w:p w14:paraId="44D2AF5E" w14:textId="77777777" w:rsidR="00921153" w:rsidRPr="0031742C" w:rsidRDefault="00921153" w:rsidP="00F86021">
            <w:pPr>
              <w:rPr>
                <w:rFonts w:cstheme="minorHAnsi"/>
                <w:sz w:val="20"/>
                <w:szCs w:val="20"/>
              </w:rPr>
            </w:pPr>
            <w:r w:rsidRPr="0031742C">
              <w:rPr>
                <w:rFonts w:cstheme="minorHAnsi"/>
                <w:sz w:val="20"/>
                <w:szCs w:val="20"/>
              </w:rPr>
              <w:t>Vertebral</w:t>
            </w:r>
          </w:p>
        </w:tc>
        <w:tc>
          <w:tcPr>
            <w:tcW w:w="1898" w:type="dxa"/>
          </w:tcPr>
          <w:p w14:paraId="619E780C" w14:textId="77777777" w:rsidR="00921153" w:rsidRPr="0031742C" w:rsidRDefault="00921153" w:rsidP="00F86021">
            <w:pPr>
              <w:rPr>
                <w:rFonts w:cstheme="minorHAnsi"/>
                <w:sz w:val="20"/>
                <w:szCs w:val="20"/>
              </w:rPr>
            </w:pPr>
            <w:r w:rsidRPr="0031742C">
              <w:rPr>
                <w:rFonts w:cstheme="minorHAnsi"/>
                <w:sz w:val="20"/>
                <w:szCs w:val="20"/>
              </w:rPr>
              <w:t>Wrist</w:t>
            </w:r>
          </w:p>
        </w:tc>
      </w:tr>
      <w:tr w:rsidR="00921153" w:rsidRPr="00677009" w14:paraId="7656CC66" w14:textId="77777777" w:rsidTr="00F86021">
        <w:tc>
          <w:tcPr>
            <w:tcW w:w="2545" w:type="dxa"/>
          </w:tcPr>
          <w:p w14:paraId="4998CA7B" w14:textId="77777777" w:rsidR="00921153" w:rsidRPr="0031742C" w:rsidRDefault="00921153" w:rsidP="00F86021">
            <w:pPr>
              <w:rPr>
                <w:rFonts w:cstheme="minorHAnsi"/>
                <w:sz w:val="20"/>
                <w:szCs w:val="20"/>
              </w:rPr>
            </w:pPr>
            <w:r w:rsidRPr="0031742C">
              <w:rPr>
                <w:rFonts w:cstheme="minorHAnsi"/>
                <w:sz w:val="20"/>
                <w:szCs w:val="20"/>
              </w:rPr>
              <w:t xml:space="preserve">Probability of fracture in 50+ </w:t>
            </w:r>
          </w:p>
        </w:tc>
        <w:tc>
          <w:tcPr>
            <w:tcW w:w="2370" w:type="dxa"/>
          </w:tcPr>
          <w:p w14:paraId="059CB4F1" w14:textId="77777777" w:rsidR="00921153" w:rsidRPr="0031742C" w:rsidRDefault="00921153" w:rsidP="00F86021">
            <w:pPr>
              <w:rPr>
                <w:rFonts w:cstheme="minorHAnsi"/>
                <w:sz w:val="20"/>
                <w:szCs w:val="20"/>
              </w:rPr>
            </w:pPr>
            <w:r w:rsidRPr="0031742C">
              <w:rPr>
                <w:rFonts w:cstheme="minorHAnsi"/>
                <w:sz w:val="20"/>
                <w:szCs w:val="20"/>
              </w:rPr>
              <w:t>0.00196</w:t>
            </w:r>
          </w:p>
        </w:tc>
        <w:tc>
          <w:tcPr>
            <w:tcW w:w="2203" w:type="dxa"/>
            <w:tcBorders>
              <w:bottom w:val="single" w:sz="4" w:space="0" w:color="auto"/>
            </w:tcBorders>
          </w:tcPr>
          <w:p w14:paraId="67D63660" w14:textId="77777777" w:rsidR="00921153" w:rsidRPr="0031742C" w:rsidRDefault="00921153" w:rsidP="00F86021">
            <w:pPr>
              <w:rPr>
                <w:rFonts w:cstheme="minorHAnsi"/>
                <w:sz w:val="20"/>
                <w:szCs w:val="20"/>
              </w:rPr>
            </w:pPr>
            <w:r w:rsidRPr="0031742C">
              <w:rPr>
                <w:rFonts w:cstheme="minorHAnsi"/>
                <w:sz w:val="20"/>
                <w:szCs w:val="20"/>
              </w:rPr>
              <w:t>0.00071</w:t>
            </w:r>
          </w:p>
        </w:tc>
        <w:tc>
          <w:tcPr>
            <w:tcW w:w="1898" w:type="dxa"/>
            <w:tcBorders>
              <w:bottom w:val="single" w:sz="4" w:space="0" w:color="auto"/>
            </w:tcBorders>
          </w:tcPr>
          <w:p w14:paraId="1FF0DCE4" w14:textId="77777777" w:rsidR="00921153" w:rsidRPr="0031742C" w:rsidRDefault="00921153" w:rsidP="00F86021">
            <w:pPr>
              <w:rPr>
                <w:rFonts w:cstheme="minorHAnsi"/>
                <w:sz w:val="20"/>
                <w:szCs w:val="20"/>
              </w:rPr>
            </w:pPr>
            <w:r w:rsidRPr="0031742C">
              <w:rPr>
                <w:rFonts w:cstheme="minorHAnsi"/>
                <w:sz w:val="20"/>
                <w:szCs w:val="20"/>
              </w:rPr>
              <w:t>0.00125</w:t>
            </w:r>
          </w:p>
        </w:tc>
      </w:tr>
      <w:tr w:rsidR="00921153" w:rsidRPr="00677009" w14:paraId="5758E2E4" w14:textId="77777777" w:rsidTr="00F86021">
        <w:tc>
          <w:tcPr>
            <w:tcW w:w="2545" w:type="dxa"/>
          </w:tcPr>
          <w:p w14:paraId="7AEC6062" w14:textId="77777777" w:rsidR="00921153" w:rsidRPr="0031742C" w:rsidRDefault="00921153" w:rsidP="00F86021">
            <w:pPr>
              <w:rPr>
                <w:rFonts w:cstheme="minorHAnsi"/>
                <w:sz w:val="20"/>
                <w:szCs w:val="20"/>
              </w:rPr>
            </w:pPr>
            <w:r w:rsidRPr="0031742C">
              <w:rPr>
                <w:rFonts w:cstheme="minorHAnsi"/>
                <w:sz w:val="20"/>
                <w:szCs w:val="20"/>
              </w:rPr>
              <w:t>Cost</w:t>
            </w:r>
          </w:p>
        </w:tc>
        <w:tc>
          <w:tcPr>
            <w:tcW w:w="2370" w:type="dxa"/>
          </w:tcPr>
          <w:p w14:paraId="593A8F34" w14:textId="77777777" w:rsidR="00921153" w:rsidRPr="0031742C" w:rsidRDefault="00921153" w:rsidP="00F86021">
            <w:pPr>
              <w:rPr>
                <w:rFonts w:cstheme="minorHAnsi"/>
                <w:sz w:val="20"/>
                <w:szCs w:val="20"/>
              </w:rPr>
            </w:pPr>
            <w:r w:rsidRPr="0031742C">
              <w:rPr>
                <w:rFonts w:cstheme="minorHAnsi"/>
                <w:sz w:val="20"/>
                <w:szCs w:val="20"/>
              </w:rPr>
              <w:t>£16,302 * 1.17 = £19,073</w:t>
            </w:r>
          </w:p>
        </w:tc>
        <w:tc>
          <w:tcPr>
            <w:tcW w:w="2203" w:type="dxa"/>
          </w:tcPr>
          <w:p w14:paraId="3694A49E" w14:textId="77777777" w:rsidR="00921153" w:rsidRPr="0031742C" w:rsidRDefault="00921153" w:rsidP="00F86021">
            <w:pPr>
              <w:rPr>
                <w:rFonts w:cstheme="minorHAnsi"/>
                <w:sz w:val="20"/>
                <w:szCs w:val="20"/>
              </w:rPr>
            </w:pPr>
            <w:r w:rsidRPr="0031742C">
              <w:rPr>
                <w:rFonts w:cstheme="minorHAnsi"/>
                <w:sz w:val="20"/>
                <w:szCs w:val="20"/>
              </w:rPr>
              <w:t>£479 * 1.80 = £862.20</w:t>
            </w:r>
          </w:p>
        </w:tc>
        <w:tc>
          <w:tcPr>
            <w:tcW w:w="1898" w:type="dxa"/>
          </w:tcPr>
          <w:p w14:paraId="7F7C1C5C" w14:textId="77777777" w:rsidR="00921153" w:rsidRPr="0031742C" w:rsidRDefault="00921153" w:rsidP="00F86021">
            <w:pPr>
              <w:rPr>
                <w:rFonts w:cstheme="minorHAnsi"/>
                <w:sz w:val="20"/>
                <w:szCs w:val="20"/>
              </w:rPr>
            </w:pPr>
            <w:r w:rsidRPr="0031742C">
              <w:rPr>
                <w:rFonts w:cstheme="minorHAnsi"/>
                <w:sz w:val="20"/>
                <w:szCs w:val="20"/>
              </w:rPr>
              <w:t>£468 * 1.80 = £842.40</w:t>
            </w:r>
          </w:p>
        </w:tc>
      </w:tr>
      <w:tr w:rsidR="00921153" w:rsidRPr="00677009" w14:paraId="749C5AE3" w14:textId="77777777" w:rsidTr="00F86021">
        <w:tc>
          <w:tcPr>
            <w:tcW w:w="2545" w:type="dxa"/>
            <w:tcBorders>
              <w:bottom w:val="single" w:sz="4" w:space="0" w:color="auto"/>
            </w:tcBorders>
          </w:tcPr>
          <w:p w14:paraId="08052D35" w14:textId="77777777" w:rsidR="00921153" w:rsidRPr="0031742C" w:rsidRDefault="00921153" w:rsidP="00F86021">
            <w:pPr>
              <w:rPr>
                <w:rFonts w:cstheme="minorHAnsi"/>
                <w:sz w:val="20"/>
                <w:szCs w:val="20"/>
              </w:rPr>
            </w:pPr>
            <w:r w:rsidRPr="0031742C">
              <w:rPr>
                <w:rFonts w:cstheme="minorHAnsi"/>
                <w:sz w:val="20"/>
                <w:szCs w:val="20"/>
              </w:rPr>
              <w:t>Total cost</w:t>
            </w:r>
          </w:p>
        </w:tc>
        <w:tc>
          <w:tcPr>
            <w:tcW w:w="2370" w:type="dxa"/>
            <w:tcBorders>
              <w:bottom w:val="single" w:sz="4" w:space="0" w:color="auto"/>
            </w:tcBorders>
          </w:tcPr>
          <w:p w14:paraId="49A3FEB4" w14:textId="77777777" w:rsidR="00921153" w:rsidRPr="0031742C" w:rsidRDefault="00921153" w:rsidP="00F86021">
            <w:pPr>
              <w:rPr>
                <w:rFonts w:cstheme="minorHAnsi"/>
                <w:sz w:val="20"/>
                <w:szCs w:val="20"/>
              </w:rPr>
            </w:pPr>
            <w:r w:rsidRPr="0031742C">
              <w:rPr>
                <w:rFonts w:cstheme="minorHAnsi"/>
                <w:sz w:val="20"/>
                <w:szCs w:val="20"/>
              </w:rPr>
              <w:t>£37.38</w:t>
            </w:r>
          </w:p>
        </w:tc>
        <w:tc>
          <w:tcPr>
            <w:tcW w:w="2203" w:type="dxa"/>
            <w:tcBorders>
              <w:bottom w:val="single" w:sz="4" w:space="0" w:color="auto"/>
            </w:tcBorders>
          </w:tcPr>
          <w:p w14:paraId="336F1EED" w14:textId="77777777" w:rsidR="00921153" w:rsidRPr="0031742C" w:rsidRDefault="00921153" w:rsidP="00F86021">
            <w:pPr>
              <w:rPr>
                <w:rFonts w:cstheme="minorHAnsi"/>
                <w:sz w:val="20"/>
                <w:szCs w:val="20"/>
              </w:rPr>
            </w:pPr>
            <w:r w:rsidRPr="0031742C">
              <w:rPr>
                <w:rFonts w:cstheme="minorHAnsi"/>
                <w:sz w:val="20"/>
                <w:szCs w:val="20"/>
              </w:rPr>
              <w:t>£0.61</w:t>
            </w:r>
          </w:p>
        </w:tc>
        <w:tc>
          <w:tcPr>
            <w:tcW w:w="1898" w:type="dxa"/>
            <w:tcBorders>
              <w:bottom w:val="single" w:sz="4" w:space="0" w:color="auto"/>
            </w:tcBorders>
          </w:tcPr>
          <w:p w14:paraId="49023447" w14:textId="77777777" w:rsidR="00921153" w:rsidRPr="0031742C" w:rsidRDefault="00921153" w:rsidP="00F86021">
            <w:pPr>
              <w:rPr>
                <w:rFonts w:cstheme="minorHAnsi"/>
                <w:sz w:val="20"/>
                <w:szCs w:val="20"/>
              </w:rPr>
            </w:pPr>
            <w:r w:rsidRPr="0031742C">
              <w:rPr>
                <w:rFonts w:cstheme="minorHAnsi"/>
                <w:sz w:val="20"/>
                <w:szCs w:val="20"/>
              </w:rPr>
              <w:t>£1.05</w:t>
            </w:r>
          </w:p>
        </w:tc>
      </w:tr>
      <w:tr w:rsidR="00921153" w:rsidRPr="00677009" w14:paraId="33FDCA67" w14:textId="77777777" w:rsidTr="00F86021">
        <w:tc>
          <w:tcPr>
            <w:tcW w:w="2545" w:type="dxa"/>
          </w:tcPr>
          <w:p w14:paraId="2D57A12A" w14:textId="77777777" w:rsidR="00921153" w:rsidRPr="0031742C" w:rsidRDefault="00921153" w:rsidP="00F86021">
            <w:pPr>
              <w:rPr>
                <w:rFonts w:cstheme="minorHAnsi"/>
                <w:b/>
                <w:sz w:val="20"/>
                <w:szCs w:val="20"/>
              </w:rPr>
            </w:pPr>
            <w:r w:rsidRPr="0031742C">
              <w:rPr>
                <w:rFonts w:cstheme="minorHAnsi"/>
                <w:b/>
                <w:sz w:val="20"/>
                <w:szCs w:val="20"/>
              </w:rPr>
              <w:t>Overall cost</w:t>
            </w:r>
          </w:p>
        </w:tc>
        <w:tc>
          <w:tcPr>
            <w:tcW w:w="2370" w:type="dxa"/>
            <w:tcBorders>
              <w:right w:val="single" w:sz="4" w:space="0" w:color="auto"/>
            </w:tcBorders>
          </w:tcPr>
          <w:p w14:paraId="15CE94EA" w14:textId="77777777" w:rsidR="00921153" w:rsidRPr="0031742C" w:rsidRDefault="00921153" w:rsidP="00F86021">
            <w:pPr>
              <w:rPr>
                <w:rFonts w:cstheme="minorHAnsi"/>
                <w:b/>
                <w:sz w:val="20"/>
                <w:szCs w:val="20"/>
              </w:rPr>
            </w:pPr>
            <w:r w:rsidRPr="0031742C">
              <w:rPr>
                <w:rFonts w:cstheme="minorHAnsi"/>
                <w:b/>
                <w:sz w:val="20"/>
                <w:szCs w:val="20"/>
              </w:rPr>
              <w:t>£39.04 (SE=0.27)*</w:t>
            </w:r>
          </w:p>
        </w:tc>
        <w:tc>
          <w:tcPr>
            <w:tcW w:w="2203" w:type="dxa"/>
            <w:tcBorders>
              <w:top w:val="single" w:sz="4" w:space="0" w:color="auto"/>
              <w:left w:val="single" w:sz="4" w:space="0" w:color="auto"/>
              <w:bottom w:val="nil"/>
              <w:right w:val="nil"/>
            </w:tcBorders>
          </w:tcPr>
          <w:p w14:paraId="31338184" w14:textId="77777777" w:rsidR="00921153" w:rsidRPr="0031742C" w:rsidRDefault="00921153" w:rsidP="00F86021">
            <w:pPr>
              <w:rPr>
                <w:rFonts w:cstheme="minorHAnsi"/>
                <w:sz w:val="20"/>
                <w:szCs w:val="20"/>
              </w:rPr>
            </w:pPr>
          </w:p>
        </w:tc>
        <w:tc>
          <w:tcPr>
            <w:tcW w:w="1898" w:type="dxa"/>
            <w:tcBorders>
              <w:top w:val="single" w:sz="4" w:space="0" w:color="auto"/>
              <w:left w:val="nil"/>
              <w:bottom w:val="nil"/>
              <w:right w:val="nil"/>
            </w:tcBorders>
          </w:tcPr>
          <w:p w14:paraId="1FFC7AC0" w14:textId="77777777" w:rsidR="00921153" w:rsidRPr="0031742C" w:rsidRDefault="00921153" w:rsidP="00F86021">
            <w:pPr>
              <w:rPr>
                <w:rFonts w:cstheme="minorHAnsi"/>
                <w:sz w:val="20"/>
                <w:szCs w:val="20"/>
              </w:rPr>
            </w:pPr>
          </w:p>
        </w:tc>
      </w:tr>
    </w:tbl>
    <w:p w14:paraId="2A4AA32B" w14:textId="77777777" w:rsidR="00921153" w:rsidRPr="0031742C" w:rsidRDefault="00921153" w:rsidP="00921153">
      <w:pPr>
        <w:rPr>
          <w:rFonts w:cstheme="minorHAnsi"/>
          <w:sz w:val="18"/>
          <w:szCs w:val="18"/>
        </w:rPr>
      </w:pPr>
      <w:r w:rsidRPr="0031742C">
        <w:rPr>
          <w:rFonts w:cstheme="minorHAnsi"/>
          <w:sz w:val="18"/>
          <w:szCs w:val="18"/>
        </w:rPr>
        <w:t>*Using Gamma distributions moment matched to cost of hip, vertebral and wrist fractures where SE of cost is assumed 1/10</w:t>
      </w:r>
      <w:r w:rsidRPr="0031742C">
        <w:rPr>
          <w:rFonts w:cstheme="minorHAnsi"/>
          <w:sz w:val="18"/>
          <w:szCs w:val="18"/>
          <w:vertAlign w:val="superscript"/>
        </w:rPr>
        <w:t>th</w:t>
      </w:r>
      <w:r w:rsidRPr="0031742C">
        <w:rPr>
          <w:rFonts w:cstheme="minorHAnsi"/>
          <w:sz w:val="18"/>
          <w:szCs w:val="18"/>
        </w:rPr>
        <w:t xml:space="preserve"> of mean. </w:t>
      </w:r>
    </w:p>
    <w:p w14:paraId="3351FB0C" w14:textId="77777777" w:rsidR="00C14B71" w:rsidRPr="00C14B71" w:rsidRDefault="00C14B71" w:rsidP="000526F1"/>
    <w:p w14:paraId="365BEFA6" w14:textId="7A5F9FEA" w:rsidR="00DD1DE8" w:rsidRDefault="00DD1DE8" w:rsidP="003B0237">
      <w:pPr>
        <w:pStyle w:val="Heading2"/>
      </w:pPr>
      <w:bookmarkStart w:id="533" w:name="_Ref95580609"/>
      <w:bookmarkStart w:id="534" w:name="_Ref95580613"/>
      <w:bookmarkStart w:id="535" w:name="_Toc99539957"/>
      <w:r>
        <w:t>Appendix 2</w:t>
      </w:r>
      <w:r w:rsidR="00921153">
        <w:t>8</w:t>
      </w:r>
      <w:bookmarkEnd w:id="533"/>
      <w:bookmarkEnd w:id="534"/>
      <w:bookmarkEnd w:id="535"/>
    </w:p>
    <w:p w14:paraId="4DCA75D7" w14:textId="7CCD4DF5" w:rsidR="00C14B71" w:rsidRDefault="00C14B71" w:rsidP="00C14B71">
      <w:pPr>
        <w:pStyle w:val="Heading3"/>
      </w:pPr>
      <w:bookmarkStart w:id="536" w:name="_Toc99539958"/>
      <w:r>
        <w:t>Utilities</w:t>
      </w:r>
      <w:bookmarkEnd w:id="536"/>
    </w:p>
    <w:p w14:paraId="7CCB8A0F" w14:textId="77777777" w:rsidR="00162936" w:rsidRPr="00162936" w:rsidRDefault="00162936" w:rsidP="00162936"/>
    <w:p w14:paraId="6234CAB1" w14:textId="4A2EFCF9" w:rsidR="00921153" w:rsidRPr="00305D05" w:rsidRDefault="00921153" w:rsidP="00921153">
      <w:pPr>
        <w:pStyle w:val="Caption"/>
        <w:rPr>
          <w:rFonts w:cstheme="minorHAnsi"/>
        </w:rPr>
      </w:pPr>
      <w:bookmarkStart w:id="537" w:name="_Ref95384236"/>
      <w:bookmarkStart w:id="538" w:name="_Toc99720779"/>
      <w:r w:rsidRPr="00305D05">
        <w:rPr>
          <w:rFonts w:cstheme="minorHAnsi"/>
        </w:rPr>
        <w:t xml:space="preserve">Table </w:t>
      </w:r>
      <w:r w:rsidRPr="00305D05">
        <w:rPr>
          <w:rFonts w:cstheme="minorHAnsi"/>
        </w:rPr>
        <w:fldChar w:fldCharType="begin"/>
      </w:r>
      <w:r w:rsidRPr="00305D05">
        <w:rPr>
          <w:rFonts w:cstheme="minorHAnsi"/>
        </w:rPr>
        <w:instrText>SEQ Table \* ARABIC</w:instrText>
      </w:r>
      <w:r w:rsidRPr="00305D05">
        <w:rPr>
          <w:rFonts w:cstheme="minorHAnsi"/>
        </w:rPr>
        <w:fldChar w:fldCharType="separate"/>
      </w:r>
      <w:r w:rsidR="008B5583">
        <w:rPr>
          <w:rFonts w:cstheme="minorHAnsi"/>
          <w:noProof/>
        </w:rPr>
        <w:t>68</w:t>
      </w:r>
      <w:r w:rsidRPr="00305D05">
        <w:rPr>
          <w:rFonts w:cstheme="minorHAnsi"/>
        </w:rPr>
        <w:fldChar w:fldCharType="end"/>
      </w:r>
      <w:bookmarkEnd w:id="537"/>
      <w:r w:rsidRPr="00305D05">
        <w:rPr>
          <w:rFonts w:cstheme="minorHAnsi"/>
        </w:rPr>
        <w:t>. EQ-5D index UK population norms</w:t>
      </w:r>
      <w:r>
        <w:rPr>
          <w:rFonts w:cstheme="minorHAnsi"/>
        </w:rPr>
        <w:t xml:space="preserve"> </w:t>
      </w:r>
      <w:r w:rsidRPr="00D060D1">
        <w:rPr>
          <w:rFonts w:cstheme="minorHAnsi"/>
        </w:rPr>
        <w:fldChar w:fldCharType="begin"/>
      </w:r>
      <w:r w:rsidR="00735CC0">
        <w:rPr>
          <w:rFonts w:cstheme="minorHAnsi"/>
        </w:rPr>
        <w:instrText xml:space="preserve"> ADDIN EN.CITE &lt;EndNote&gt;&lt;Cite&gt;&lt;Author&gt;Janssen&lt;/Author&gt;&lt;Year&gt;2014&lt;/Year&gt;&lt;RecNum&gt;16&lt;/RecNum&gt;&lt;DisplayText&gt;&lt;style face="superscript"&gt;237&lt;/style&gt;&lt;/DisplayText&gt;&lt;record&gt;&lt;rec-number&gt;38&lt;/rec-number&gt;&lt;foreign-keys&gt;&lt;key app="EN" db-id="w9pwfv0xxa5v9vedxzkp20wvv52efwv0xppv" timestamp="1636614827"&gt;38&lt;/key&gt;&lt;/foreign-keys&gt;&lt;ref-type name="Book Section"&gt;5&lt;/ref-type&gt;&lt;contributors&gt;&lt;authors&gt;&lt;author&gt;Janssen, Bas&lt;/author&gt;&lt;author&gt;Szende, Agota&lt;/author&gt;&lt;/authors&gt;&lt;secondary-authors&gt;&lt;author&gt;Szende, Agota&lt;/author&gt;&lt;author&gt;Janssen, Bas&lt;/author&gt;&lt;author&gt;Cabases, Juan&lt;/author&gt;&lt;/secondary-authors&gt;&lt;/contributors&gt;&lt;titles&gt;&lt;title&gt;Population Norms for the EQ-5D&lt;/title&gt;&lt;secondary-title&gt;Self-Reported Population Health: An International Perspective based on EQ-5D&lt;/secondary-title&gt;&lt;/titles&gt;&lt;pages&gt;19-30&lt;/pages&gt;&lt;dates&gt;&lt;year&gt;2014&lt;/year&gt;&lt;pub-dates&gt;&lt;date&gt;2014//&lt;/date&gt;&lt;/pub-dates&gt;&lt;/dates&gt;&lt;pub-location&gt;Dordrecht&lt;/pub-location&gt;&lt;publisher&gt;Springer Netherlands&lt;/publisher&gt;&lt;isbn&gt;978-94-007-7596-1&lt;/isbn&gt;&lt;urls&gt;&lt;related-urls&gt;&lt;url&gt;https://doi.org/10.1007/978-94-007-7596-1_3&lt;/url&gt;&lt;/related-urls&gt;&lt;/urls&gt;&lt;electronic-resource-num&gt;10.1007/978-94-007-7596-1_3&lt;/electronic-resource-num&gt;&lt;/record&gt;&lt;/Cite&gt;&lt;/EndNote&gt;</w:instrText>
      </w:r>
      <w:r w:rsidRPr="00D060D1">
        <w:rPr>
          <w:rFonts w:cstheme="minorHAnsi"/>
        </w:rPr>
        <w:fldChar w:fldCharType="separate"/>
      </w:r>
      <w:r w:rsidR="00735CC0" w:rsidRPr="00735CC0">
        <w:rPr>
          <w:rFonts w:cstheme="minorHAnsi"/>
          <w:noProof/>
          <w:vertAlign w:val="superscript"/>
        </w:rPr>
        <w:t>237</w:t>
      </w:r>
      <w:bookmarkEnd w:id="538"/>
      <w:r w:rsidRPr="00D060D1">
        <w:rPr>
          <w:rFonts w:cstheme="minorHAnsi"/>
        </w:rPr>
        <w:fldChar w:fldCharType="end"/>
      </w:r>
      <w:r w:rsidRPr="00305D05">
        <w:rPr>
          <w:rFonts w:cstheme="minorHAnsi"/>
        </w:rPr>
        <w:t xml:space="preserve"> </w:t>
      </w:r>
    </w:p>
    <w:tbl>
      <w:tblPr>
        <w:tblStyle w:val="TableGrid"/>
        <w:tblW w:w="5000" w:type="pct"/>
        <w:tblLook w:val="04A0" w:firstRow="1" w:lastRow="0" w:firstColumn="1" w:lastColumn="0" w:noHBand="0" w:noVBand="1"/>
      </w:tblPr>
      <w:tblGrid>
        <w:gridCol w:w="4508"/>
        <w:gridCol w:w="4508"/>
      </w:tblGrid>
      <w:tr w:rsidR="00921153" w:rsidRPr="00730030" w14:paraId="5EA4AFA6" w14:textId="77777777" w:rsidTr="00F86021">
        <w:tc>
          <w:tcPr>
            <w:tcW w:w="2500" w:type="pct"/>
            <w:shd w:val="clear" w:color="auto" w:fill="E7E6E6" w:themeFill="background2"/>
          </w:tcPr>
          <w:p w14:paraId="1E50D7B9" w14:textId="77777777" w:rsidR="00921153" w:rsidRPr="0031742C" w:rsidRDefault="00921153" w:rsidP="00F86021">
            <w:pPr>
              <w:jc w:val="center"/>
              <w:rPr>
                <w:rFonts w:cstheme="minorHAnsi"/>
                <w:sz w:val="20"/>
                <w:szCs w:val="20"/>
              </w:rPr>
            </w:pPr>
            <w:r w:rsidRPr="0031742C">
              <w:rPr>
                <w:rFonts w:cstheme="minorHAnsi"/>
                <w:sz w:val="20"/>
                <w:szCs w:val="20"/>
              </w:rPr>
              <w:t>Age group</w:t>
            </w:r>
          </w:p>
        </w:tc>
        <w:tc>
          <w:tcPr>
            <w:tcW w:w="2500" w:type="pct"/>
            <w:shd w:val="clear" w:color="auto" w:fill="E7E6E6" w:themeFill="background2"/>
          </w:tcPr>
          <w:p w14:paraId="1E708B82" w14:textId="77777777" w:rsidR="00921153" w:rsidRPr="0031742C" w:rsidRDefault="00921153" w:rsidP="00F86021">
            <w:pPr>
              <w:jc w:val="center"/>
              <w:rPr>
                <w:rFonts w:cstheme="minorHAnsi"/>
                <w:sz w:val="20"/>
                <w:szCs w:val="20"/>
              </w:rPr>
            </w:pPr>
            <w:r w:rsidRPr="0031742C">
              <w:rPr>
                <w:rFonts w:cstheme="minorHAnsi"/>
                <w:sz w:val="20"/>
                <w:szCs w:val="20"/>
              </w:rPr>
              <w:t>EQ-5D index population norms</w:t>
            </w:r>
          </w:p>
        </w:tc>
      </w:tr>
      <w:tr w:rsidR="00921153" w:rsidRPr="00730030" w14:paraId="48356576" w14:textId="77777777" w:rsidTr="00F86021">
        <w:tc>
          <w:tcPr>
            <w:tcW w:w="2500" w:type="pct"/>
          </w:tcPr>
          <w:p w14:paraId="6EF360B3" w14:textId="77777777" w:rsidR="00921153" w:rsidRPr="0031742C" w:rsidRDefault="00921153" w:rsidP="00F86021">
            <w:pPr>
              <w:jc w:val="center"/>
              <w:rPr>
                <w:rFonts w:cstheme="minorHAnsi"/>
                <w:sz w:val="20"/>
                <w:szCs w:val="20"/>
              </w:rPr>
            </w:pPr>
            <w:r w:rsidRPr="0031742C">
              <w:rPr>
                <w:rFonts w:cstheme="minorHAnsi"/>
                <w:sz w:val="20"/>
                <w:szCs w:val="20"/>
              </w:rPr>
              <w:t>18-24</w:t>
            </w:r>
          </w:p>
        </w:tc>
        <w:tc>
          <w:tcPr>
            <w:tcW w:w="2500" w:type="pct"/>
          </w:tcPr>
          <w:p w14:paraId="09D1945D" w14:textId="77777777" w:rsidR="00921153" w:rsidRPr="0031742C" w:rsidRDefault="00921153" w:rsidP="00F86021">
            <w:pPr>
              <w:tabs>
                <w:tab w:val="left" w:pos="1005"/>
              </w:tabs>
              <w:jc w:val="center"/>
              <w:rPr>
                <w:rFonts w:cstheme="minorHAnsi"/>
                <w:sz w:val="20"/>
                <w:szCs w:val="20"/>
              </w:rPr>
            </w:pPr>
            <w:r w:rsidRPr="0031742C">
              <w:rPr>
                <w:rFonts w:cstheme="minorHAnsi"/>
                <w:sz w:val="20"/>
                <w:szCs w:val="20"/>
              </w:rPr>
              <w:t>0.934</w:t>
            </w:r>
          </w:p>
        </w:tc>
      </w:tr>
      <w:tr w:rsidR="00921153" w:rsidRPr="00730030" w14:paraId="68F6130A" w14:textId="77777777" w:rsidTr="00F86021">
        <w:tc>
          <w:tcPr>
            <w:tcW w:w="2500" w:type="pct"/>
          </w:tcPr>
          <w:p w14:paraId="43824A1E" w14:textId="77777777" w:rsidR="00921153" w:rsidRPr="0031742C" w:rsidRDefault="00921153" w:rsidP="00F86021">
            <w:pPr>
              <w:jc w:val="center"/>
              <w:rPr>
                <w:rFonts w:cstheme="minorHAnsi"/>
                <w:sz w:val="20"/>
                <w:szCs w:val="20"/>
              </w:rPr>
            </w:pPr>
            <w:r w:rsidRPr="0031742C">
              <w:rPr>
                <w:rFonts w:cstheme="minorHAnsi"/>
                <w:sz w:val="20"/>
                <w:szCs w:val="20"/>
              </w:rPr>
              <w:t>25-34</w:t>
            </w:r>
          </w:p>
        </w:tc>
        <w:tc>
          <w:tcPr>
            <w:tcW w:w="2500" w:type="pct"/>
          </w:tcPr>
          <w:p w14:paraId="78622A1A" w14:textId="77777777" w:rsidR="00921153" w:rsidRPr="0031742C" w:rsidRDefault="00921153" w:rsidP="00F86021">
            <w:pPr>
              <w:jc w:val="center"/>
              <w:rPr>
                <w:rFonts w:cstheme="minorHAnsi"/>
                <w:sz w:val="20"/>
                <w:szCs w:val="20"/>
              </w:rPr>
            </w:pPr>
            <w:r w:rsidRPr="0031742C">
              <w:rPr>
                <w:rFonts w:cstheme="minorHAnsi"/>
                <w:sz w:val="20"/>
                <w:szCs w:val="20"/>
              </w:rPr>
              <w:t>0.922</w:t>
            </w:r>
          </w:p>
        </w:tc>
      </w:tr>
      <w:tr w:rsidR="00921153" w:rsidRPr="00730030" w14:paraId="1CCD8A16" w14:textId="77777777" w:rsidTr="00F86021">
        <w:tc>
          <w:tcPr>
            <w:tcW w:w="2500" w:type="pct"/>
          </w:tcPr>
          <w:p w14:paraId="4345608B" w14:textId="77777777" w:rsidR="00921153" w:rsidRPr="0031742C" w:rsidRDefault="00921153" w:rsidP="00F86021">
            <w:pPr>
              <w:jc w:val="center"/>
              <w:rPr>
                <w:rFonts w:cstheme="minorHAnsi"/>
                <w:sz w:val="20"/>
                <w:szCs w:val="20"/>
              </w:rPr>
            </w:pPr>
            <w:r w:rsidRPr="0031742C">
              <w:rPr>
                <w:rFonts w:cstheme="minorHAnsi"/>
                <w:sz w:val="20"/>
                <w:szCs w:val="20"/>
              </w:rPr>
              <w:t>35-44</w:t>
            </w:r>
          </w:p>
        </w:tc>
        <w:tc>
          <w:tcPr>
            <w:tcW w:w="2500" w:type="pct"/>
          </w:tcPr>
          <w:p w14:paraId="57957C47" w14:textId="77777777" w:rsidR="00921153" w:rsidRPr="0031742C" w:rsidRDefault="00921153" w:rsidP="00F86021">
            <w:pPr>
              <w:jc w:val="center"/>
              <w:rPr>
                <w:rFonts w:cstheme="minorHAnsi"/>
                <w:sz w:val="20"/>
                <w:szCs w:val="20"/>
              </w:rPr>
            </w:pPr>
            <w:r w:rsidRPr="0031742C">
              <w:rPr>
                <w:rFonts w:cstheme="minorHAnsi"/>
                <w:sz w:val="20"/>
                <w:szCs w:val="20"/>
              </w:rPr>
              <w:t>0.905</w:t>
            </w:r>
          </w:p>
        </w:tc>
      </w:tr>
      <w:tr w:rsidR="00921153" w:rsidRPr="00730030" w14:paraId="16075CFC" w14:textId="77777777" w:rsidTr="00F86021">
        <w:tc>
          <w:tcPr>
            <w:tcW w:w="2500" w:type="pct"/>
          </w:tcPr>
          <w:p w14:paraId="14371CC0" w14:textId="77777777" w:rsidR="00921153" w:rsidRPr="0031742C" w:rsidRDefault="00921153" w:rsidP="00F86021">
            <w:pPr>
              <w:jc w:val="center"/>
              <w:rPr>
                <w:rFonts w:cstheme="minorHAnsi"/>
                <w:sz w:val="20"/>
                <w:szCs w:val="20"/>
              </w:rPr>
            </w:pPr>
            <w:r w:rsidRPr="0031742C">
              <w:rPr>
                <w:rFonts w:cstheme="minorHAnsi"/>
                <w:sz w:val="20"/>
                <w:szCs w:val="20"/>
              </w:rPr>
              <w:t>45-54</w:t>
            </w:r>
          </w:p>
        </w:tc>
        <w:tc>
          <w:tcPr>
            <w:tcW w:w="2500" w:type="pct"/>
          </w:tcPr>
          <w:p w14:paraId="2156B26A" w14:textId="77777777" w:rsidR="00921153" w:rsidRPr="0031742C" w:rsidRDefault="00921153" w:rsidP="00F86021">
            <w:pPr>
              <w:jc w:val="center"/>
              <w:rPr>
                <w:rFonts w:cstheme="minorHAnsi"/>
                <w:sz w:val="20"/>
                <w:szCs w:val="20"/>
              </w:rPr>
            </w:pPr>
            <w:r w:rsidRPr="0031742C">
              <w:rPr>
                <w:rFonts w:cstheme="minorHAnsi"/>
                <w:sz w:val="20"/>
                <w:szCs w:val="20"/>
              </w:rPr>
              <w:t>0.849</w:t>
            </w:r>
          </w:p>
        </w:tc>
      </w:tr>
      <w:tr w:rsidR="00921153" w:rsidRPr="00730030" w14:paraId="775F99FD" w14:textId="77777777" w:rsidTr="00F86021">
        <w:tc>
          <w:tcPr>
            <w:tcW w:w="2500" w:type="pct"/>
          </w:tcPr>
          <w:p w14:paraId="3386E62C" w14:textId="77777777" w:rsidR="00921153" w:rsidRPr="0031742C" w:rsidRDefault="00921153" w:rsidP="00F86021">
            <w:pPr>
              <w:jc w:val="center"/>
              <w:rPr>
                <w:rFonts w:cstheme="minorHAnsi"/>
                <w:sz w:val="20"/>
                <w:szCs w:val="20"/>
              </w:rPr>
            </w:pPr>
            <w:r w:rsidRPr="0031742C">
              <w:rPr>
                <w:rFonts w:cstheme="minorHAnsi"/>
                <w:sz w:val="20"/>
                <w:szCs w:val="20"/>
              </w:rPr>
              <w:t>55-64</w:t>
            </w:r>
          </w:p>
        </w:tc>
        <w:tc>
          <w:tcPr>
            <w:tcW w:w="2500" w:type="pct"/>
          </w:tcPr>
          <w:p w14:paraId="5938E96B" w14:textId="77777777" w:rsidR="00921153" w:rsidRPr="0031742C" w:rsidRDefault="00921153" w:rsidP="00F86021">
            <w:pPr>
              <w:jc w:val="center"/>
              <w:rPr>
                <w:rFonts w:cstheme="minorHAnsi"/>
                <w:sz w:val="20"/>
                <w:szCs w:val="20"/>
              </w:rPr>
            </w:pPr>
            <w:r w:rsidRPr="0031742C">
              <w:rPr>
                <w:rFonts w:cstheme="minorHAnsi"/>
                <w:sz w:val="20"/>
                <w:szCs w:val="20"/>
              </w:rPr>
              <w:t>0.804</w:t>
            </w:r>
          </w:p>
        </w:tc>
      </w:tr>
      <w:tr w:rsidR="00921153" w:rsidRPr="00730030" w14:paraId="54D5435F" w14:textId="77777777" w:rsidTr="00F86021">
        <w:tc>
          <w:tcPr>
            <w:tcW w:w="2500" w:type="pct"/>
          </w:tcPr>
          <w:p w14:paraId="29A3833C" w14:textId="77777777" w:rsidR="00921153" w:rsidRPr="0031742C" w:rsidRDefault="00921153" w:rsidP="00F86021">
            <w:pPr>
              <w:jc w:val="center"/>
              <w:rPr>
                <w:rFonts w:cstheme="minorHAnsi"/>
                <w:sz w:val="20"/>
                <w:szCs w:val="20"/>
              </w:rPr>
            </w:pPr>
            <w:r w:rsidRPr="0031742C">
              <w:rPr>
                <w:rFonts w:cstheme="minorHAnsi"/>
                <w:sz w:val="20"/>
                <w:szCs w:val="20"/>
              </w:rPr>
              <w:t>65-74</w:t>
            </w:r>
          </w:p>
        </w:tc>
        <w:tc>
          <w:tcPr>
            <w:tcW w:w="2500" w:type="pct"/>
          </w:tcPr>
          <w:p w14:paraId="00EE6640" w14:textId="77777777" w:rsidR="00921153" w:rsidRPr="0031742C" w:rsidRDefault="00921153" w:rsidP="00F86021">
            <w:pPr>
              <w:jc w:val="center"/>
              <w:rPr>
                <w:rFonts w:cstheme="minorHAnsi"/>
                <w:sz w:val="20"/>
                <w:szCs w:val="20"/>
              </w:rPr>
            </w:pPr>
            <w:r w:rsidRPr="0031742C">
              <w:rPr>
                <w:rFonts w:cstheme="minorHAnsi"/>
                <w:sz w:val="20"/>
                <w:szCs w:val="20"/>
              </w:rPr>
              <w:t>0.785</w:t>
            </w:r>
          </w:p>
        </w:tc>
      </w:tr>
      <w:tr w:rsidR="00921153" w:rsidRPr="00730030" w14:paraId="5AB9C9A8" w14:textId="77777777" w:rsidTr="00F86021">
        <w:tc>
          <w:tcPr>
            <w:tcW w:w="2500" w:type="pct"/>
          </w:tcPr>
          <w:p w14:paraId="14866E1B" w14:textId="77777777" w:rsidR="00921153" w:rsidRPr="0031742C" w:rsidRDefault="00921153" w:rsidP="00F86021">
            <w:pPr>
              <w:jc w:val="center"/>
              <w:rPr>
                <w:rFonts w:cstheme="minorHAnsi"/>
                <w:sz w:val="20"/>
                <w:szCs w:val="20"/>
              </w:rPr>
            </w:pPr>
            <w:r w:rsidRPr="0031742C">
              <w:rPr>
                <w:rFonts w:cstheme="minorHAnsi"/>
                <w:sz w:val="20"/>
                <w:szCs w:val="20"/>
              </w:rPr>
              <w:t>75+</w:t>
            </w:r>
          </w:p>
        </w:tc>
        <w:tc>
          <w:tcPr>
            <w:tcW w:w="2500" w:type="pct"/>
          </w:tcPr>
          <w:p w14:paraId="043AB18B" w14:textId="77777777" w:rsidR="00921153" w:rsidRPr="0031742C" w:rsidRDefault="00921153" w:rsidP="00F86021">
            <w:pPr>
              <w:jc w:val="center"/>
              <w:rPr>
                <w:rFonts w:cstheme="minorHAnsi"/>
                <w:sz w:val="20"/>
                <w:szCs w:val="20"/>
              </w:rPr>
            </w:pPr>
            <w:r w:rsidRPr="0031742C">
              <w:rPr>
                <w:rFonts w:cstheme="minorHAnsi"/>
                <w:sz w:val="20"/>
                <w:szCs w:val="20"/>
              </w:rPr>
              <w:t>0.734</w:t>
            </w:r>
          </w:p>
        </w:tc>
      </w:tr>
    </w:tbl>
    <w:p w14:paraId="247A19A9" w14:textId="77777777" w:rsidR="00921153" w:rsidRPr="00305D05" w:rsidRDefault="00921153" w:rsidP="00921153">
      <w:pPr>
        <w:rPr>
          <w:rFonts w:cstheme="minorHAnsi"/>
          <w:sz w:val="24"/>
          <w:szCs w:val="24"/>
        </w:rPr>
      </w:pPr>
    </w:p>
    <w:p w14:paraId="414FB7B1" w14:textId="43F19698" w:rsidR="00A61DB5" w:rsidRPr="00612ABA" w:rsidRDefault="00A61DB5" w:rsidP="00A61DB5">
      <w:pPr>
        <w:pStyle w:val="Caption"/>
      </w:pPr>
      <w:bookmarkStart w:id="539" w:name="_Ref95384689"/>
      <w:bookmarkStart w:id="540" w:name="_Toc99720780"/>
      <w:r w:rsidRPr="00612ABA">
        <w:t xml:space="preserve">Table </w:t>
      </w:r>
      <w:r>
        <w:fldChar w:fldCharType="begin"/>
      </w:r>
      <w:r>
        <w:instrText>SEQ Table \* ARABIC</w:instrText>
      </w:r>
      <w:r>
        <w:fldChar w:fldCharType="separate"/>
      </w:r>
      <w:r w:rsidR="008B5583">
        <w:rPr>
          <w:noProof/>
        </w:rPr>
        <w:t>69</w:t>
      </w:r>
      <w:r>
        <w:fldChar w:fldCharType="end"/>
      </w:r>
      <w:bookmarkEnd w:id="539"/>
      <w:r w:rsidRPr="00612ABA">
        <w:t>. Utility calculations osteoporosis</w:t>
      </w:r>
      <w:bookmarkEnd w:id="540"/>
    </w:p>
    <w:tbl>
      <w:tblPr>
        <w:tblStyle w:val="TableGrid"/>
        <w:tblW w:w="0" w:type="auto"/>
        <w:tblLook w:val="04A0" w:firstRow="1" w:lastRow="0" w:firstColumn="1" w:lastColumn="0" w:noHBand="0" w:noVBand="1"/>
      </w:tblPr>
      <w:tblGrid>
        <w:gridCol w:w="2545"/>
        <w:gridCol w:w="2370"/>
        <w:gridCol w:w="2203"/>
        <w:gridCol w:w="1898"/>
      </w:tblGrid>
      <w:tr w:rsidR="00A61DB5" w:rsidRPr="00612ABA" w14:paraId="6F2918D1" w14:textId="77777777" w:rsidTr="00F86021">
        <w:tc>
          <w:tcPr>
            <w:tcW w:w="2545" w:type="dxa"/>
          </w:tcPr>
          <w:p w14:paraId="2A46D6A5" w14:textId="77777777" w:rsidR="00A61DB5" w:rsidRPr="00612ABA" w:rsidRDefault="00A61DB5" w:rsidP="00F86021">
            <w:pPr>
              <w:rPr>
                <w:rFonts w:cstheme="minorHAnsi"/>
                <w:sz w:val="20"/>
                <w:szCs w:val="20"/>
              </w:rPr>
            </w:pPr>
          </w:p>
        </w:tc>
        <w:tc>
          <w:tcPr>
            <w:tcW w:w="2370" w:type="dxa"/>
          </w:tcPr>
          <w:p w14:paraId="7AA54D82" w14:textId="77777777" w:rsidR="00A61DB5" w:rsidRPr="00612ABA" w:rsidRDefault="00A61DB5" w:rsidP="00F86021">
            <w:pPr>
              <w:rPr>
                <w:rFonts w:cstheme="minorHAnsi"/>
                <w:sz w:val="20"/>
                <w:szCs w:val="20"/>
              </w:rPr>
            </w:pPr>
            <w:r w:rsidRPr="00612ABA">
              <w:rPr>
                <w:rFonts w:cstheme="minorHAnsi"/>
                <w:sz w:val="20"/>
                <w:szCs w:val="20"/>
              </w:rPr>
              <w:t>Hip</w:t>
            </w:r>
          </w:p>
        </w:tc>
        <w:tc>
          <w:tcPr>
            <w:tcW w:w="2203" w:type="dxa"/>
          </w:tcPr>
          <w:p w14:paraId="329B5EB3" w14:textId="77777777" w:rsidR="00A61DB5" w:rsidRPr="00612ABA" w:rsidRDefault="00A61DB5" w:rsidP="00F86021">
            <w:pPr>
              <w:rPr>
                <w:rFonts w:cstheme="minorHAnsi"/>
                <w:sz w:val="20"/>
                <w:szCs w:val="20"/>
              </w:rPr>
            </w:pPr>
            <w:r w:rsidRPr="00612ABA">
              <w:rPr>
                <w:rFonts w:cstheme="minorHAnsi"/>
                <w:sz w:val="20"/>
                <w:szCs w:val="20"/>
              </w:rPr>
              <w:t>Vertebral</w:t>
            </w:r>
          </w:p>
        </w:tc>
        <w:tc>
          <w:tcPr>
            <w:tcW w:w="1898" w:type="dxa"/>
          </w:tcPr>
          <w:p w14:paraId="0D8CD737" w14:textId="77777777" w:rsidR="00A61DB5" w:rsidRPr="00612ABA" w:rsidRDefault="00A61DB5" w:rsidP="00F86021">
            <w:pPr>
              <w:rPr>
                <w:rFonts w:cstheme="minorHAnsi"/>
                <w:sz w:val="20"/>
                <w:szCs w:val="20"/>
              </w:rPr>
            </w:pPr>
            <w:r w:rsidRPr="00612ABA">
              <w:rPr>
                <w:rFonts w:cstheme="minorHAnsi"/>
                <w:sz w:val="20"/>
                <w:szCs w:val="20"/>
              </w:rPr>
              <w:t>Wrist</w:t>
            </w:r>
          </w:p>
        </w:tc>
      </w:tr>
      <w:tr w:rsidR="00A61DB5" w:rsidRPr="00612ABA" w14:paraId="453DD929" w14:textId="77777777" w:rsidTr="00F86021">
        <w:tc>
          <w:tcPr>
            <w:tcW w:w="2545" w:type="dxa"/>
          </w:tcPr>
          <w:p w14:paraId="16AA00D7" w14:textId="77777777" w:rsidR="00A61DB5" w:rsidRPr="00612ABA" w:rsidRDefault="00A61DB5" w:rsidP="00F86021">
            <w:pPr>
              <w:rPr>
                <w:rFonts w:cstheme="minorHAnsi"/>
                <w:sz w:val="20"/>
                <w:szCs w:val="20"/>
              </w:rPr>
            </w:pPr>
            <w:r w:rsidRPr="00612ABA">
              <w:rPr>
                <w:rFonts w:cstheme="minorHAnsi"/>
                <w:sz w:val="20"/>
                <w:szCs w:val="20"/>
              </w:rPr>
              <w:t xml:space="preserve">Probability of fracture in 50+ </w:t>
            </w:r>
          </w:p>
        </w:tc>
        <w:tc>
          <w:tcPr>
            <w:tcW w:w="2370" w:type="dxa"/>
          </w:tcPr>
          <w:p w14:paraId="12EEF5C6" w14:textId="77777777" w:rsidR="00A61DB5" w:rsidRPr="00612ABA" w:rsidRDefault="00A61DB5" w:rsidP="00F86021">
            <w:pPr>
              <w:rPr>
                <w:rFonts w:cstheme="minorHAnsi"/>
                <w:sz w:val="20"/>
                <w:szCs w:val="20"/>
              </w:rPr>
            </w:pPr>
            <w:r w:rsidRPr="00612ABA">
              <w:rPr>
                <w:rFonts w:cstheme="minorHAnsi"/>
                <w:sz w:val="20"/>
                <w:szCs w:val="20"/>
              </w:rPr>
              <w:t>0.00196</w:t>
            </w:r>
          </w:p>
        </w:tc>
        <w:tc>
          <w:tcPr>
            <w:tcW w:w="2203" w:type="dxa"/>
            <w:tcBorders>
              <w:bottom w:val="single" w:sz="4" w:space="0" w:color="auto"/>
            </w:tcBorders>
          </w:tcPr>
          <w:p w14:paraId="74577336" w14:textId="77777777" w:rsidR="00A61DB5" w:rsidRPr="00612ABA" w:rsidRDefault="00A61DB5" w:rsidP="00F86021">
            <w:pPr>
              <w:rPr>
                <w:rFonts w:cstheme="minorHAnsi"/>
                <w:sz w:val="20"/>
                <w:szCs w:val="20"/>
              </w:rPr>
            </w:pPr>
            <w:r w:rsidRPr="00612ABA">
              <w:rPr>
                <w:rFonts w:cstheme="minorHAnsi"/>
                <w:sz w:val="20"/>
                <w:szCs w:val="20"/>
              </w:rPr>
              <w:t>0.00071</w:t>
            </w:r>
          </w:p>
        </w:tc>
        <w:tc>
          <w:tcPr>
            <w:tcW w:w="1898" w:type="dxa"/>
            <w:tcBorders>
              <w:bottom w:val="single" w:sz="4" w:space="0" w:color="auto"/>
            </w:tcBorders>
          </w:tcPr>
          <w:p w14:paraId="59EBC6FE" w14:textId="77777777" w:rsidR="00A61DB5" w:rsidRPr="00612ABA" w:rsidRDefault="00A61DB5" w:rsidP="00F86021">
            <w:pPr>
              <w:rPr>
                <w:rFonts w:cstheme="minorHAnsi"/>
                <w:sz w:val="20"/>
                <w:szCs w:val="20"/>
              </w:rPr>
            </w:pPr>
            <w:r w:rsidRPr="00612ABA">
              <w:rPr>
                <w:rFonts w:cstheme="minorHAnsi"/>
                <w:sz w:val="20"/>
                <w:szCs w:val="20"/>
              </w:rPr>
              <w:t>0.00125</w:t>
            </w:r>
          </w:p>
        </w:tc>
      </w:tr>
      <w:tr w:rsidR="00A61DB5" w:rsidRPr="00612ABA" w14:paraId="06E66670" w14:textId="77777777" w:rsidTr="00F86021">
        <w:tc>
          <w:tcPr>
            <w:tcW w:w="2545" w:type="dxa"/>
          </w:tcPr>
          <w:p w14:paraId="70C0E065" w14:textId="77777777" w:rsidR="00A61DB5" w:rsidRPr="00612ABA" w:rsidRDefault="00A61DB5" w:rsidP="00F86021">
            <w:pPr>
              <w:rPr>
                <w:rFonts w:cstheme="minorHAnsi"/>
                <w:sz w:val="20"/>
                <w:szCs w:val="20"/>
              </w:rPr>
            </w:pPr>
            <w:r w:rsidRPr="00612ABA">
              <w:rPr>
                <w:rFonts w:cstheme="minorHAnsi"/>
                <w:sz w:val="20"/>
                <w:szCs w:val="20"/>
              </w:rPr>
              <w:t xml:space="preserve">Disutility </w:t>
            </w:r>
          </w:p>
        </w:tc>
        <w:tc>
          <w:tcPr>
            <w:tcW w:w="2370" w:type="dxa"/>
          </w:tcPr>
          <w:p w14:paraId="326D6F1D" w14:textId="77777777" w:rsidR="00A61DB5" w:rsidRPr="00612ABA" w:rsidRDefault="00A61DB5" w:rsidP="00F86021">
            <w:pPr>
              <w:rPr>
                <w:rFonts w:cstheme="minorHAnsi"/>
                <w:sz w:val="20"/>
                <w:szCs w:val="20"/>
              </w:rPr>
            </w:pPr>
            <w:r w:rsidRPr="00612ABA">
              <w:rPr>
                <w:rFonts w:cstheme="minorHAnsi"/>
                <w:sz w:val="20"/>
                <w:szCs w:val="20"/>
              </w:rPr>
              <w:t>0.817 – 0.59 = 0.227</w:t>
            </w:r>
          </w:p>
        </w:tc>
        <w:tc>
          <w:tcPr>
            <w:tcW w:w="2203" w:type="dxa"/>
          </w:tcPr>
          <w:p w14:paraId="2B4C7F15" w14:textId="77777777" w:rsidR="00A61DB5" w:rsidRPr="00612ABA" w:rsidRDefault="00A61DB5" w:rsidP="00F86021">
            <w:pPr>
              <w:rPr>
                <w:rFonts w:cstheme="minorHAnsi"/>
                <w:sz w:val="20"/>
                <w:szCs w:val="20"/>
              </w:rPr>
            </w:pPr>
            <w:r w:rsidRPr="00612ABA">
              <w:rPr>
                <w:rFonts w:cstheme="minorHAnsi"/>
                <w:sz w:val="20"/>
                <w:szCs w:val="20"/>
              </w:rPr>
              <w:t>0.817 – 0.55 = 0.267</w:t>
            </w:r>
          </w:p>
        </w:tc>
        <w:tc>
          <w:tcPr>
            <w:tcW w:w="1898" w:type="dxa"/>
          </w:tcPr>
          <w:p w14:paraId="30B41069" w14:textId="77777777" w:rsidR="00A61DB5" w:rsidRPr="00612ABA" w:rsidRDefault="00A61DB5" w:rsidP="00F86021">
            <w:pPr>
              <w:rPr>
                <w:rFonts w:cstheme="minorHAnsi"/>
                <w:sz w:val="20"/>
                <w:szCs w:val="20"/>
              </w:rPr>
            </w:pPr>
            <w:r w:rsidRPr="00612ABA">
              <w:rPr>
                <w:rFonts w:cstheme="minorHAnsi"/>
                <w:sz w:val="20"/>
                <w:szCs w:val="20"/>
              </w:rPr>
              <w:t>0.817 – 0.78 = 0.037</w:t>
            </w:r>
          </w:p>
        </w:tc>
      </w:tr>
      <w:tr w:rsidR="00A61DB5" w:rsidRPr="00612ABA" w14:paraId="7340C08E" w14:textId="77777777" w:rsidTr="00F86021">
        <w:tc>
          <w:tcPr>
            <w:tcW w:w="2545" w:type="dxa"/>
            <w:tcBorders>
              <w:bottom w:val="single" w:sz="4" w:space="0" w:color="auto"/>
            </w:tcBorders>
          </w:tcPr>
          <w:p w14:paraId="4FF48571" w14:textId="77777777" w:rsidR="00A61DB5" w:rsidRPr="00612ABA" w:rsidRDefault="00A61DB5" w:rsidP="00F86021">
            <w:pPr>
              <w:rPr>
                <w:rFonts w:cstheme="minorHAnsi"/>
                <w:sz w:val="20"/>
                <w:szCs w:val="20"/>
              </w:rPr>
            </w:pPr>
            <w:r w:rsidRPr="00612ABA">
              <w:rPr>
                <w:rFonts w:cstheme="minorHAnsi"/>
                <w:sz w:val="20"/>
                <w:szCs w:val="20"/>
              </w:rPr>
              <w:t xml:space="preserve">Total disutility </w:t>
            </w:r>
          </w:p>
        </w:tc>
        <w:tc>
          <w:tcPr>
            <w:tcW w:w="2370" w:type="dxa"/>
            <w:tcBorders>
              <w:bottom w:val="single" w:sz="4" w:space="0" w:color="auto"/>
            </w:tcBorders>
          </w:tcPr>
          <w:p w14:paraId="72B02713" w14:textId="77777777" w:rsidR="00A61DB5" w:rsidRPr="00612ABA" w:rsidRDefault="00A61DB5" w:rsidP="00F86021">
            <w:pPr>
              <w:rPr>
                <w:rFonts w:cstheme="minorHAnsi"/>
                <w:sz w:val="20"/>
                <w:szCs w:val="20"/>
              </w:rPr>
            </w:pPr>
            <w:r w:rsidRPr="00612ABA">
              <w:rPr>
                <w:rFonts w:cstheme="minorHAnsi"/>
                <w:sz w:val="20"/>
                <w:szCs w:val="20"/>
              </w:rPr>
              <w:t>0.0004</w:t>
            </w:r>
          </w:p>
        </w:tc>
        <w:tc>
          <w:tcPr>
            <w:tcW w:w="2203" w:type="dxa"/>
            <w:tcBorders>
              <w:bottom w:val="single" w:sz="4" w:space="0" w:color="auto"/>
            </w:tcBorders>
          </w:tcPr>
          <w:p w14:paraId="6AD7FABD" w14:textId="77777777" w:rsidR="00A61DB5" w:rsidRPr="00612ABA" w:rsidRDefault="00A61DB5" w:rsidP="00F86021">
            <w:pPr>
              <w:rPr>
                <w:rFonts w:cstheme="minorHAnsi"/>
                <w:sz w:val="20"/>
                <w:szCs w:val="20"/>
              </w:rPr>
            </w:pPr>
            <w:r w:rsidRPr="00612ABA">
              <w:rPr>
                <w:rFonts w:cstheme="minorHAnsi"/>
                <w:sz w:val="20"/>
                <w:szCs w:val="20"/>
              </w:rPr>
              <w:t>0.000026</w:t>
            </w:r>
          </w:p>
        </w:tc>
        <w:tc>
          <w:tcPr>
            <w:tcW w:w="1898" w:type="dxa"/>
            <w:tcBorders>
              <w:bottom w:val="single" w:sz="4" w:space="0" w:color="auto"/>
            </w:tcBorders>
          </w:tcPr>
          <w:p w14:paraId="7ABB01CB" w14:textId="77777777" w:rsidR="00A61DB5" w:rsidRPr="00612ABA" w:rsidRDefault="00A61DB5" w:rsidP="00F86021">
            <w:pPr>
              <w:rPr>
                <w:rFonts w:cstheme="minorHAnsi"/>
                <w:sz w:val="20"/>
                <w:szCs w:val="20"/>
              </w:rPr>
            </w:pPr>
            <w:r w:rsidRPr="00612ABA">
              <w:rPr>
                <w:rFonts w:cstheme="minorHAnsi"/>
                <w:sz w:val="20"/>
                <w:szCs w:val="20"/>
              </w:rPr>
              <w:t>0.0003</w:t>
            </w:r>
          </w:p>
        </w:tc>
      </w:tr>
      <w:tr w:rsidR="00A61DB5" w:rsidRPr="00612ABA" w14:paraId="349E3366" w14:textId="77777777" w:rsidTr="00F86021">
        <w:trPr>
          <w:gridAfter w:val="2"/>
          <w:wAfter w:w="4101" w:type="dxa"/>
        </w:trPr>
        <w:tc>
          <w:tcPr>
            <w:tcW w:w="2545" w:type="dxa"/>
          </w:tcPr>
          <w:p w14:paraId="1627F283" w14:textId="77777777" w:rsidR="00A61DB5" w:rsidRPr="00612ABA" w:rsidRDefault="00A61DB5" w:rsidP="00F86021">
            <w:pPr>
              <w:rPr>
                <w:rFonts w:cstheme="minorHAnsi"/>
                <w:b/>
                <w:bCs/>
                <w:sz w:val="20"/>
                <w:szCs w:val="20"/>
              </w:rPr>
            </w:pPr>
            <w:r w:rsidRPr="00612ABA">
              <w:rPr>
                <w:rFonts w:cstheme="minorHAnsi"/>
                <w:b/>
                <w:bCs/>
                <w:sz w:val="20"/>
                <w:szCs w:val="20"/>
              </w:rPr>
              <w:t xml:space="preserve">Overall disutility </w:t>
            </w:r>
          </w:p>
        </w:tc>
        <w:tc>
          <w:tcPr>
            <w:tcW w:w="2370" w:type="dxa"/>
            <w:tcBorders>
              <w:right w:val="single" w:sz="4" w:space="0" w:color="auto"/>
            </w:tcBorders>
          </w:tcPr>
          <w:p w14:paraId="158F46DC" w14:textId="77777777" w:rsidR="00A61DB5" w:rsidRPr="00612ABA" w:rsidRDefault="00A61DB5" w:rsidP="00F86021">
            <w:pPr>
              <w:rPr>
                <w:rFonts w:cstheme="minorHAnsi"/>
                <w:b/>
                <w:bCs/>
                <w:sz w:val="20"/>
                <w:szCs w:val="20"/>
              </w:rPr>
            </w:pPr>
            <w:r w:rsidRPr="00612ABA">
              <w:rPr>
                <w:rFonts w:cstheme="minorHAnsi"/>
                <w:b/>
                <w:bCs/>
                <w:sz w:val="20"/>
                <w:szCs w:val="20"/>
              </w:rPr>
              <w:t>0.0004 (SE=0.00067)*</w:t>
            </w:r>
          </w:p>
        </w:tc>
      </w:tr>
    </w:tbl>
    <w:p w14:paraId="3426A2DA" w14:textId="77777777" w:rsidR="00A61DB5" w:rsidRPr="00612ABA" w:rsidRDefault="00A61DB5" w:rsidP="00A61DB5">
      <w:pPr>
        <w:rPr>
          <w:rFonts w:cstheme="minorHAnsi"/>
          <w:sz w:val="20"/>
          <w:szCs w:val="20"/>
        </w:rPr>
      </w:pPr>
      <w:r w:rsidRPr="0031742C">
        <w:rPr>
          <w:rFonts w:cstheme="minorHAnsi"/>
          <w:sz w:val="20"/>
          <w:szCs w:val="20"/>
        </w:rPr>
        <w:t xml:space="preserve">*Uncertainty was modelled by moment matching beta distributions to the hip, vertebral, and wrist fracture disutilities with SE </w:t>
      </w:r>
      <w:r w:rsidRPr="00612ABA">
        <w:rPr>
          <w:rFonts w:cstheme="minorHAnsi"/>
          <w:sz w:val="20"/>
          <w:szCs w:val="20"/>
        </w:rPr>
        <w:t xml:space="preserve">for each </w:t>
      </w:r>
      <w:r w:rsidRPr="0031742C">
        <w:rPr>
          <w:rFonts w:cstheme="minorHAnsi"/>
          <w:sz w:val="20"/>
          <w:szCs w:val="20"/>
        </w:rPr>
        <w:t>set to 1/10</w:t>
      </w:r>
      <w:r w:rsidRPr="0031742C">
        <w:rPr>
          <w:rFonts w:cstheme="minorHAnsi"/>
          <w:sz w:val="20"/>
          <w:szCs w:val="20"/>
          <w:vertAlign w:val="superscript"/>
        </w:rPr>
        <w:t>th</w:t>
      </w:r>
      <w:r w:rsidRPr="0031742C">
        <w:rPr>
          <w:rFonts w:cstheme="minorHAnsi"/>
          <w:sz w:val="20"/>
          <w:szCs w:val="20"/>
        </w:rPr>
        <w:t xml:space="preserve"> of their means</w:t>
      </w:r>
    </w:p>
    <w:p w14:paraId="3210C611" w14:textId="77777777" w:rsidR="00C14B71" w:rsidRPr="00C14B71" w:rsidRDefault="00C14B71" w:rsidP="000526F1"/>
    <w:p w14:paraId="6EF22974" w14:textId="77777777" w:rsidR="008153A3" w:rsidRDefault="008153A3">
      <w:pPr>
        <w:rPr>
          <w:rFonts w:asciiTheme="majorHAnsi" w:eastAsiaTheme="majorEastAsia" w:hAnsiTheme="majorHAnsi" w:cstheme="majorBidi"/>
          <w:color w:val="2F5496" w:themeColor="accent1" w:themeShade="BF"/>
          <w:sz w:val="26"/>
          <w:szCs w:val="26"/>
        </w:rPr>
      </w:pPr>
      <w:r>
        <w:br w:type="page"/>
      </w:r>
    </w:p>
    <w:p w14:paraId="658BDF2B" w14:textId="0DBAA4A1" w:rsidR="00684BE5" w:rsidRPr="00684BE5" w:rsidRDefault="00684BE5" w:rsidP="000526F1">
      <w:pPr>
        <w:pStyle w:val="Heading2"/>
      </w:pPr>
      <w:bookmarkStart w:id="541" w:name="_Toc99539959"/>
      <w:bookmarkEnd w:id="519"/>
      <w:bookmarkEnd w:id="520"/>
      <w:r>
        <w:lastRenderedPageBreak/>
        <w:t>Appendix 29</w:t>
      </w:r>
      <w:bookmarkEnd w:id="541"/>
    </w:p>
    <w:p w14:paraId="19793B57" w14:textId="3D1382B1" w:rsidR="00DA73B7" w:rsidRDefault="00DA73B7">
      <w:pPr>
        <w:pStyle w:val="Caption"/>
      </w:pPr>
      <w:bookmarkStart w:id="542" w:name="_Toc99720781"/>
      <w:r>
        <w:t xml:space="preserve">Table </w:t>
      </w:r>
      <w:r w:rsidR="00C34531">
        <w:fldChar w:fldCharType="begin"/>
      </w:r>
      <w:r w:rsidR="00C34531">
        <w:instrText xml:space="preserve"> SEQ Table \* ARABIC </w:instrText>
      </w:r>
      <w:r w:rsidR="00C34531">
        <w:fldChar w:fldCharType="separate"/>
      </w:r>
      <w:r w:rsidR="008B5583">
        <w:rPr>
          <w:noProof/>
        </w:rPr>
        <w:t>70</w:t>
      </w:r>
      <w:r w:rsidR="00C34531">
        <w:rPr>
          <w:noProof/>
        </w:rPr>
        <w:fldChar w:fldCharType="end"/>
      </w:r>
      <w:r>
        <w:t xml:space="preserve">  </w:t>
      </w:r>
      <w:r w:rsidRPr="007C774A">
        <w:t>Application of UK National Screening Committee Criteria to a hypothetical adult CD screening programme</w:t>
      </w:r>
      <w:r w:rsidR="00985F8F">
        <w:fldChar w:fldCharType="begin"/>
      </w:r>
      <w:r w:rsidR="00031047">
        <w:instrText xml:space="preserve"> ADDIN EN.CITE &lt;EndNote&gt;&lt;Cite&gt;&lt;Author&gt;UK National Screening Committee&lt;/Author&gt;&lt;Year&gt;2015&lt;/Year&gt;&lt;RecNum&gt;580&lt;/RecNum&gt;&lt;DisplayText&gt;&lt;style face="superscript"&gt;295&lt;/style&gt;&lt;/DisplayText&gt;&lt;record&gt;&lt;rec-number&gt;580&lt;/rec-number&gt;&lt;foreign-keys&gt;&lt;key app="EN" db-id="tdwrx9xd1z9eepeevr355w2k959rv0f5zaax" timestamp="1636709544"&gt;580&lt;/key&gt;&lt;/foreign-keys&gt;&lt;ref-type name="Government Document"&gt;46&lt;/ref-type&gt;&lt;contributors&gt;&lt;authors&gt;&lt;author&gt;UK National Screening Committee,&lt;/author&gt;&lt;/authors&gt;&lt;secondary-authors&gt;&lt;author&gt;GOV.UK&lt;/author&gt;&lt;/secondary-authors&gt;&lt;/contributors&gt;&lt;titles&gt;&lt;title&gt;Criteria for appraising the viability, effectiveness and appropriateness of a screening programme&lt;/title&gt;&lt;/titles&gt;&lt;dates&gt;&lt;year&gt;2015&lt;/year&gt;&lt;/dates&gt;&lt;urls&gt;&lt;related-urls&gt;&lt;url&gt;https://www.gov.uk/government/publications/evidence-review-criteria-national-screening-programmes/criteria-for-appraising-the-viability-effectiveness-and-appropriateness-of-a-screening-programme&lt;/url&gt;&lt;/related-urls&gt;&lt;/urls&gt;&lt;/record&gt;&lt;/Cite&gt;&lt;/EndNote&gt;</w:instrText>
      </w:r>
      <w:r w:rsidR="00985F8F">
        <w:fldChar w:fldCharType="separate"/>
      </w:r>
      <w:r w:rsidR="00031047" w:rsidRPr="00031047">
        <w:rPr>
          <w:noProof/>
          <w:vertAlign w:val="superscript"/>
        </w:rPr>
        <w:t>295</w:t>
      </w:r>
      <w:bookmarkEnd w:id="542"/>
      <w:r w:rsidR="00985F8F">
        <w:fldChar w:fldCharType="end"/>
      </w:r>
    </w:p>
    <w:p w14:paraId="784AB9D9" w14:textId="6B4FC96D" w:rsidR="0004573A" w:rsidRPr="000526F1" w:rsidRDefault="0004573A" w:rsidP="0004573A">
      <w:pPr>
        <w:rPr>
          <w:sz w:val="18"/>
          <w:szCs w:val="18"/>
        </w:rPr>
      </w:pPr>
      <w:r w:rsidRPr="000526F1">
        <w:rPr>
          <w:sz w:val="18"/>
          <w:szCs w:val="18"/>
        </w:rPr>
        <w:t>Contains public sector information licensed under the Open Government Licence v3.0.</w:t>
      </w:r>
    </w:p>
    <w:tbl>
      <w:tblPr>
        <w:tblStyle w:val="TableGrid"/>
        <w:tblW w:w="0" w:type="auto"/>
        <w:tblLook w:val="04A0" w:firstRow="1" w:lastRow="0" w:firstColumn="1" w:lastColumn="0" w:noHBand="0" w:noVBand="1"/>
      </w:tblPr>
      <w:tblGrid>
        <w:gridCol w:w="1448"/>
        <w:gridCol w:w="4697"/>
        <w:gridCol w:w="2871"/>
      </w:tblGrid>
      <w:tr w:rsidR="00095E74" w:rsidRPr="0092286E" w14:paraId="1C914F67" w14:textId="77777777" w:rsidTr="00774C02">
        <w:trPr>
          <w:tblHeader/>
        </w:trPr>
        <w:tc>
          <w:tcPr>
            <w:tcW w:w="6145" w:type="dxa"/>
            <w:gridSpan w:val="2"/>
          </w:tcPr>
          <w:p w14:paraId="3BD14D95" w14:textId="77777777" w:rsidR="00095E74" w:rsidRPr="0092286E" w:rsidRDefault="00095E74" w:rsidP="00774C02">
            <w:pPr>
              <w:rPr>
                <w:rFonts w:cstheme="minorHAnsi"/>
                <w:b/>
                <w:bCs/>
                <w:sz w:val="20"/>
                <w:szCs w:val="20"/>
              </w:rPr>
            </w:pPr>
            <w:r w:rsidRPr="0092286E">
              <w:rPr>
                <w:b/>
                <w:bCs/>
              </w:rPr>
              <w:t>UK National Screening Committee Criteria</w:t>
            </w:r>
          </w:p>
        </w:tc>
        <w:tc>
          <w:tcPr>
            <w:tcW w:w="2871" w:type="dxa"/>
          </w:tcPr>
          <w:p w14:paraId="679A1129" w14:textId="77777777" w:rsidR="00095E74" w:rsidRPr="0092286E" w:rsidRDefault="00095E74" w:rsidP="00774C02">
            <w:pPr>
              <w:rPr>
                <w:rFonts w:cstheme="minorHAnsi"/>
                <w:b/>
                <w:bCs/>
                <w:sz w:val="20"/>
                <w:szCs w:val="20"/>
              </w:rPr>
            </w:pPr>
            <w:r w:rsidRPr="0092286E">
              <w:rPr>
                <w:rFonts w:cstheme="minorHAnsi"/>
                <w:b/>
                <w:bCs/>
                <w:sz w:val="20"/>
                <w:szCs w:val="20"/>
              </w:rPr>
              <w:t xml:space="preserve">Application to hypothetical </w:t>
            </w:r>
            <w:r>
              <w:rPr>
                <w:rFonts w:cstheme="minorHAnsi"/>
                <w:b/>
                <w:bCs/>
                <w:sz w:val="20"/>
                <w:szCs w:val="20"/>
              </w:rPr>
              <w:t xml:space="preserve">adult </w:t>
            </w:r>
            <w:r w:rsidRPr="0092286E">
              <w:rPr>
                <w:rFonts w:cstheme="minorHAnsi"/>
                <w:b/>
                <w:bCs/>
                <w:sz w:val="20"/>
                <w:szCs w:val="20"/>
              </w:rPr>
              <w:t>CD screening programme</w:t>
            </w:r>
          </w:p>
        </w:tc>
      </w:tr>
      <w:tr w:rsidR="00095E74" w:rsidRPr="00BA26FF" w14:paraId="24021AD3" w14:textId="77777777" w:rsidTr="00774C02">
        <w:tc>
          <w:tcPr>
            <w:tcW w:w="1448" w:type="dxa"/>
            <w:vMerge w:val="restart"/>
            <w:shd w:val="clear" w:color="auto" w:fill="E2EFD9" w:themeFill="accent6" w:themeFillTint="33"/>
          </w:tcPr>
          <w:p w14:paraId="0D9FDF6A" w14:textId="77777777" w:rsidR="00095E74" w:rsidRPr="0092286E" w:rsidRDefault="00095E74" w:rsidP="00774C02">
            <w:pPr>
              <w:rPr>
                <w:rFonts w:cstheme="minorHAnsi"/>
                <w:sz w:val="20"/>
                <w:szCs w:val="20"/>
              </w:rPr>
            </w:pPr>
            <w:r>
              <w:rPr>
                <w:rFonts w:cstheme="minorHAnsi"/>
                <w:sz w:val="20"/>
                <w:szCs w:val="20"/>
              </w:rPr>
              <w:t xml:space="preserve">A. </w:t>
            </w:r>
            <w:r w:rsidRPr="0092286E">
              <w:rPr>
                <w:rFonts w:cstheme="minorHAnsi"/>
                <w:sz w:val="20"/>
                <w:szCs w:val="20"/>
              </w:rPr>
              <w:t>Condition</w:t>
            </w:r>
          </w:p>
        </w:tc>
        <w:tc>
          <w:tcPr>
            <w:tcW w:w="4697" w:type="dxa"/>
            <w:shd w:val="clear" w:color="auto" w:fill="E2EFD9" w:themeFill="accent6" w:themeFillTint="33"/>
          </w:tcPr>
          <w:p w14:paraId="494A9370" w14:textId="77777777" w:rsidR="00095E74" w:rsidRPr="0092286E" w:rsidRDefault="00095E74" w:rsidP="00774C02">
            <w:pPr>
              <w:pStyle w:val="ListParagraph"/>
              <w:numPr>
                <w:ilvl w:val="0"/>
                <w:numId w:val="119"/>
              </w:numPr>
              <w:ind w:left="287" w:hanging="287"/>
              <w:rPr>
                <w:rFonts w:cstheme="minorHAnsi"/>
                <w:sz w:val="20"/>
                <w:szCs w:val="20"/>
              </w:rPr>
            </w:pPr>
            <w:r w:rsidRPr="0092286E">
              <w:rPr>
                <w:rFonts w:cstheme="minorHAnsi"/>
                <w:sz w:val="20"/>
                <w:szCs w:val="20"/>
              </w:rPr>
              <w:t>Must be important health problem judged on frequency/severity</w:t>
            </w:r>
          </w:p>
        </w:tc>
        <w:tc>
          <w:tcPr>
            <w:tcW w:w="2871" w:type="dxa"/>
            <w:shd w:val="clear" w:color="auto" w:fill="E2EFD9" w:themeFill="accent6" w:themeFillTint="33"/>
          </w:tcPr>
          <w:p w14:paraId="4D0716CA" w14:textId="77777777" w:rsidR="00095E74" w:rsidRPr="0092286E" w:rsidRDefault="00095E74" w:rsidP="00774C02">
            <w:pPr>
              <w:rPr>
                <w:rFonts w:cstheme="minorHAnsi"/>
                <w:sz w:val="20"/>
                <w:szCs w:val="20"/>
              </w:rPr>
            </w:pPr>
            <w:r>
              <w:rPr>
                <w:rFonts w:cstheme="minorHAnsi"/>
                <w:sz w:val="20"/>
                <w:szCs w:val="20"/>
              </w:rPr>
              <w:t>CD is common, has severe impact on health and is underdiagnosed</w:t>
            </w:r>
          </w:p>
        </w:tc>
      </w:tr>
      <w:tr w:rsidR="00095E74" w:rsidRPr="00BA26FF" w14:paraId="27580D4C" w14:textId="77777777" w:rsidTr="00774C02">
        <w:tc>
          <w:tcPr>
            <w:tcW w:w="1448" w:type="dxa"/>
            <w:vMerge/>
            <w:shd w:val="clear" w:color="auto" w:fill="E2EFD9" w:themeFill="accent6" w:themeFillTint="33"/>
          </w:tcPr>
          <w:p w14:paraId="7FCBE984" w14:textId="77777777" w:rsidR="00095E74" w:rsidRPr="0092286E" w:rsidRDefault="00095E74" w:rsidP="00774C02">
            <w:pPr>
              <w:rPr>
                <w:rFonts w:cstheme="minorHAnsi"/>
                <w:sz w:val="20"/>
                <w:szCs w:val="20"/>
              </w:rPr>
            </w:pPr>
          </w:p>
        </w:tc>
        <w:tc>
          <w:tcPr>
            <w:tcW w:w="4697" w:type="dxa"/>
            <w:shd w:val="clear" w:color="auto" w:fill="E2EFD9" w:themeFill="accent6" w:themeFillTint="33"/>
          </w:tcPr>
          <w:p w14:paraId="4CCA5720" w14:textId="77777777" w:rsidR="00095E74" w:rsidRPr="0092286E" w:rsidRDefault="00095E74" w:rsidP="00774C02">
            <w:pPr>
              <w:pStyle w:val="ListParagraph"/>
              <w:numPr>
                <w:ilvl w:val="0"/>
                <w:numId w:val="119"/>
              </w:numPr>
              <w:ind w:left="287" w:hanging="287"/>
              <w:rPr>
                <w:rFonts w:cstheme="minorHAnsi"/>
                <w:sz w:val="20"/>
                <w:szCs w:val="20"/>
              </w:rPr>
            </w:pPr>
            <w:r w:rsidRPr="0092286E">
              <w:rPr>
                <w:rFonts w:cstheme="minorHAnsi"/>
                <w:sz w:val="20"/>
                <w:szCs w:val="20"/>
              </w:rPr>
              <w:t>Primary prevention interventions should have been implemented</w:t>
            </w:r>
          </w:p>
        </w:tc>
        <w:tc>
          <w:tcPr>
            <w:tcW w:w="2871" w:type="dxa"/>
            <w:shd w:val="clear" w:color="auto" w:fill="E2EFD9" w:themeFill="accent6" w:themeFillTint="33"/>
          </w:tcPr>
          <w:p w14:paraId="097D4F4E" w14:textId="77777777" w:rsidR="00095E74" w:rsidRPr="0092286E" w:rsidRDefault="00095E74" w:rsidP="00774C02">
            <w:pPr>
              <w:rPr>
                <w:rFonts w:cstheme="minorHAnsi"/>
                <w:sz w:val="20"/>
                <w:szCs w:val="20"/>
              </w:rPr>
            </w:pPr>
            <w:r>
              <w:rPr>
                <w:rFonts w:cstheme="minorHAnsi"/>
                <w:sz w:val="20"/>
                <w:szCs w:val="20"/>
              </w:rPr>
              <w:t>There are no primary prevention interventions for CD</w:t>
            </w:r>
          </w:p>
        </w:tc>
      </w:tr>
      <w:tr w:rsidR="00095E74" w:rsidRPr="00BA26FF" w14:paraId="28A78664" w14:textId="77777777" w:rsidTr="00774C02">
        <w:tc>
          <w:tcPr>
            <w:tcW w:w="1448" w:type="dxa"/>
            <w:vMerge/>
            <w:shd w:val="clear" w:color="auto" w:fill="E2EFD9" w:themeFill="accent6" w:themeFillTint="33"/>
          </w:tcPr>
          <w:p w14:paraId="7802EBA8" w14:textId="77777777" w:rsidR="00095E74" w:rsidRPr="0092286E" w:rsidRDefault="00095E74" w:rsidP="00774C02">
            <w:pPr>
              <w:rPr>
                <w:rFonts w:cstheme="minorHAnsi"/>
                <w:sz w:val="20"/>
                <w:szCs w:val="20"/>
              </w:rPr>
            </w:pPr>
          </w:p>
        </w:tc>
        <w:tc>
          <w:tcPr>
            <w:tcW w:w="4697" w:type="dxa"/>
            <w:shd w:val="clear" w:color="auto" w:fill="D0CECE" w:themeFill="background2" w:themeFillShade="E6"/>
          </w:tcPr>
          <w:p w14:paraId="23177E13" w14:textId="77777777" w:rsidR="00095E74" w:rsidRPr="0092286E" w:rsidRDefault="00095E74" w:rsidP="00774C02">
            <w:pPr>
              <w:pStyle w:val="ListParagraph"/>
              <w:numPr>
                <w:ilvl w:val="0"/>
                <w:numId w:val="119"/>
              </w:numPr>
              <w:ind w:left="287" w:hanging="287"/>
              <w:rPr>
                <w:rFonts w:cstheme="minorHAnsi"/>
                <w:sz w:val="20"/>
                <w:szCs w:val="20"/>
              </w:rPr>
            </w:pPr>
            <w:r w:rsidRPr="0092286E">
              <w:rPr>
                <w:rFonts w:cstheme="minorHAnsi"/>
                <w:sz w:val="20"/>
                <w:szCs w:val="20"/>
              </w:rPr>
              <w:t>If the carriers of a mutation are identified as a result of screening the natural history of people with this status should be understood, including the psychological implications.</w:t>
            </w:r>
          </w:p>
        </w:tc>
        <w:tc>
          <w:tcPr>
            <w:tcW w:w="2871" w:type="dxa"/>
            <w:shd w:val="clear" w:color="auto" w:fill="D0CECE" w:themeFill="background2" w:themeFillShade="E6"/>
          </w:tcPr>
          <w:p w14:paraId="574C640F" w14:textId="77777777" w:rsidR="00095E74" w:rsidRPr="0092286E" w:rsidRDefault="00095E74" w:rsidP="00774C02">
            <w:pPr>
              <w:rPr>
                <w:rFonts w:cstheme="minorHAnsi"/>
                <w:sz w:val="20"/>
                <w:szCs w:val="20"/>
              </w:rPr>
            </w:pPr>
            <w:r>
              <w:rPr>
                <w:rFonts w:cstheme="minorHAnsi"/>
                <w:sz w:val="20"/>
                <w:szCs w:val="20"/>
              </w:rPr>
              <w:t>NA</w:t>
            </w:r>
          </w:p>
        </w:tc>
      </w:tr>
      <w:tr w:rsidR="00095E74" w:rsidRPr="00BA26FF" w14:paraId="18B722BA" w14:textId="77777777" w:rsidTr="00774C02">
        <w:tc>
          <w:tcPr>
            <w:tcW w:w="1448" w:type="dxa"/>
            <w:vMerge w:val="restart"/>
            <w:shd w:val="clear" w:color="auto" w:fill="FBE4D5" w:themeFill="accent2" w:themeFillTint="33"/>
          </w:tcPr>
          <w:p w14:paraId="3DDB763B" w14:textId="77777777" w:rsidR="00095E74" w:rsidRPr="0092286E" w:rsidRDefault="00095E74" w:rsidP="00774C02">
            <w:pPr>
              <w:rPr>
                <w:rFonts w:cstheme="minorHAnsi"/>
                <w:sz w:val="20"/>
                <w:szCs w:val="20"/>
              </w:rPr>
            </w:pPr>
            <w:r>
              <w:rPr>
                <w:rFonts w:cstheme="minorHAnsi"/>
                <w:sz w:val="20"/>
                <w:szCs w:val="20"/>
              </w:rPr>
              <w:t xml:space="preserve">B. </w:t>
            </w:r>
            <w:r w:rsidRPr="0092286E">
              <w:rPr>
                <w:rFonts w:cstheme="minorHAnsi"/>
                <w:sz w:val="20"/>
                <w:szCs w:val="20"/>
              </w:rPr>
              <w:t>Test</w:t>
            </w:r>
          </w:p>
        </w:tc>
        <w:tc>
          <w:tcPr>
            <w:tcW w:w="4697" w:type="dxa"/>
            <w:shd w:val="clear" w:color="auto" w:fill="E2EFD9" w:themeFill="accent6" w:themeFillTint="33"/>
          </w:tcPr>
          <w:p w14:paraId="27538F59"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S</w:t>
            </w:r>
            <w:r w:rsidRPr="00BA26FF">
              <w:rPr>
                <w:rFonts w:cstheme="minorHAnsi"/>
                <w:sz w:val="20"/>
                <w:szCs w:val="20"/>
              </w:rPr>
              <w:t>hould be a simple, safe, precise and validated screening test.</w:t>
            </w:r>
          </w:p>
        </w:tc>
        <w:tc>
          <w:tcPr>
            <w:tcW w:w="2871" w:type="dxa"/>
            <w:shd w:val="clear" w:color="auto" w:fill="E2EFD9" w:themeFill="accent6" w:themeFillTint="33"/>
          </w:tcPr>
          <w:p w14:paraId="4BAF21F9" w14:textId="77777777" w:rsidR="00095E74" w:rsidRPr="0092286E" w:rsidRDefault="00095E74" w:rsidP="00774C02">
            <w:pPr>
              <w:rPr>
                <w:rFonts w:cstheme="minorHAnsi"/>
                <w:sz w:val="20"/>
                <w:szCs w:val="20"/>
              </w:rPr>
            </w:pPr>
            <w:r>
              <w:rPr>
                <w:rFonts w:cstheme="minorHAnsi"/>
                <w:sz w:val="20"/>
                <w:szCs w:val="20"/>
              </w:rPr>
              <w:t>IgA tTG fulfils these criteria.</w:t>
            </w:r>
          </w:p>
        </w:tc>
      </w:tr>
      <w:tr w:rsidR="00095E74" w:rsidRPr="00BA26FF" w14:paraId="19D7A650" w14:textId="77777777" w:rsidTr="00774C02">
        <w:tc>
          <w:tcPr>
            <w:tcW w:w="1448" w:type="dxa"/>
            <w:vMerge/>
            <w:shd w:val="clear" w:color="auto" w:fill="FBE4D5" w:themeFill="accent2" w:themeFillTint="33"/>
          </w:tcPr>
          <w:p w14:paraId="44BC082C" w14:textId="77777777" w:rsidR="00095E74" w:rsidRPr="0092286E" w:rsidRDefault="00095E74" w:rsidP="00774C02">
            <w:pPr>
              <w:rPr>
                <w:rFonts w:cstheme="minorHAnsi"/>
                <w:sz w:val="20"/>
                <w:szCs w:val="20"/>
              </w:rPr>
            </w:pPr>
          </w:p>
        </w:tc>
        <w:tc>
          <w:tcPr>
            <w:tcW w:w="4697" w:type="dxa"/>
            <w:shd w:val="clear" w:color="auto" w:fill="FBE4D5" w:themeFill="accent2" w:themeFillTint="33"/>
          </w:tcPr>
          <w:p w14:paraId="7C924836"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D</w:t>
            </w:r>
            <w:r w:rsidRPr="00BA26FF">
              <w:rPr>
                <w:rFonts w:cstheme="minorHAnsi"/>
                <w:sz w:val="20"/>
                <w:szCs w:val="20"/>
              </w:rPr>
              <w:t>istribution of test values in the target population should be known and a suitable cut-off level defined and agreed.</w:t>
            </w:r>
          </w:p>
        </w:tc>
        <w:tc>
          <w:tcPr>
            <w:tcW w:w="2871" w:type="dxa"/>
            <w:shd w:val="clear" w:color="auto" w:fill="FBE4D5" w:themeFill="accent2" w:themeFillTint="33"/>
          </w:tcPr>
          <w:p w14:paraId="12E943B8" w14:textId="77777777" w:rsidR="00095E74" w:rsidRPr="0092286E" w:rsidRDefault="00095E74" w:rsidP="00774C02">
            <w:pPr>
              <w:rPr>
                <w:rFonts w:cstheme="minorHAnsi"/>
                <w:sz w:val="20"/>
                <w:szCs w:val="20"/>
              </w:rPr>
            </w:pPr>
            <w:r>
              <w:rPr>
                <w:rFonts w:cstheme="minorHAnsi"/>
                <w:sz w:val="20"/>
                <w:szCs w:val="20"/>
              </w:rPr>
              <w:t>The distribution of test values is known but the most appropriate threshold for screening has not been identified – this may be lower than for diagnosis to increase sensitivity</w:t>
            </w:r>
          </w:p>
        </w:tc>
      </w:tr>
      <w:tr w:rsidR="00095E74" w:rsidRPr="00BA26FF" w14:paraId="184CBC77" w14:textId="77777777" w:rsidTr="00774C02">
        <w:tc>
          <w:tcPr>
            <w:tcW w:w="1448" w:type="dxa"/>
            <w:vMerge/>
            <w:shd w:val="clear" w:color="auto" w:fill="FBE4D5" w:themeFill="accent2" w:themeFillTint="33"/>
          </w:tcPr>
          <w:p w14:paraId="011414F2" w14:textId="77777777" w:rsidR="00095E74" w:rsidRPr="0092286E" w:rsidRDefault="00095E74" w:rsidP="00774C02">
            <w:pPr>
              <w:rPr>
                <w:rFonts w:cstheme="minorHAnsi"/>
                <w:sz w:val="20"/>
                <w:szCs w:val="20"/>
              </w:rPr>
            </w:pPr>
          </w:p>
        </w:tc>
        <w:tc>
          <w:tcPr>
            <w:tcW w:w="4697" w:type="dxa"/>
            <w:shd w:val="clear" w:color="auto" w:fill="E2EFD9" w:themeFill="accent6" w:themeFillTint="33"/>
          </w:tcPr>
          <w:p w14:paraId="7A743F22"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T</w:t>
            </w:r>
            <w:r w:rsidRPr="00BA26FF">
              <w:rPr>
                <w:rFonts w:cstheme="minorHAnsi"/>
                <w:sz w:val="20"/>
                <w:szCs w:val="20"/>
              </w:rPr>
              <w:t>est should be acceptable to the target population.</w:t>
            </w:r>
          </w:p>
        </w:tc>
        <w:tc>
          <w:tcPr>
            <w:tcW w:w="2871" w:type="dxa"/>
            <w:shd w:val="clear" w:color="auto" w:fill="E2EFD9" w:themeFill="accent6" w:themeFillTint="33"/>
          </w:tcPr>
          <w:p w14:paraId="58A6F689" w14:textId="77777777" w:rsidR="00095E74" w:rsidRPr="0092286E" w:rsidRDefault="00095E74" w:rsidP="00774C02">
            <w:pPr>
              <w:rPr>
                <w:rFonts w:cstheme="minorHAnsi"/>
                <w:sz w:val="20"/>
                <w:szCs w:val="20"/>
              </w:rPr>
            </w:pPr>
            <w:r>
              <w:rPr>
                <w:rFonts w:cstheme="minorHAnsi"/>
                <w:sz w:val="20"/>
                <w:szCs w:val="20"/>
              </w:rPr>
              <w:t>The test is a simple blood test and so likely to be acceptable</w:t>
            </w:r>
          </w:p>
        </w:tc>
      </w:tr>
      <w:tr w:rsidR="00095E74" w:rsidRPr="00BA26FF" w14:paraId="23312BB6" w14:textId="77777777" w:rsidTr="00774C02">
        <w:tc>
          <w:tcPr>
            <w:tcW w:w="1448" w:type="dxa"/>
            <w:vMerge/>
            <w:shd w:val="clear" w:color="auto" w:fill="FBE4D5" w:themeFill="accent2" w:themeFillTint="33"/>
          </w:tcPr>
          <w:p w14:paraId="52E6DAC6" w14:textId="77777777" w:rsidR="00095E74" w:rsidRPr="0092286E" w:rsidRDefault="00095E74" w:rsidP="00774C02">
            <w:pPr>
              <w:rPr>
                <w:rFonts w:cstheme="minorHAnsi"/>
                <w:sz w:val="20"/>
                <w:szCs w:val="20"/>
              </w:rPr>
            </w:pPr>
          </w:p>
        </w:tc>
        <w:tc>
          <w:tcPr>
            <w:tcW w:w="4697" w:type="dxa"/>
            <w:shd w:val="clear" w:color="auto" w:fill="FBE4D5" w:themeFill="accent2" w:themeFillTint="33"/>
          </w:tcPr>
          <w:p w14:paraId="7D63CAF2"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A</w:t>
            </w:r>
            <w:r w:rsidRPr="00BA26FF">
              <w:rPr>
                <w:rFonts w:cstheme="minorHAnsi"/>
                <w:sz w:val="20"/>
                <w:szCs w:val="20"/>
              </w:rPr>
              <w:t>greed policy on the further diagnostic investigation of individuals with a positive test result and on the choices available to those individuals.</w:t>
            </w:r>
          </w:p>
        </w:tc>
        <w:tc>
          <w:tcPr>
            <w:tcW w:w="2871" w:type="dxa"/>
            <w:shd w:val="clear" w:color="auto" w:fill="FBE4D5" w:themeFill="accent2" w:themeFillTint="33"/>
          </w:tcPr>
          <w:p w14:paraId="786DB121" w14:textId="77777777" w:rsidR="00095E74" w:rsidRPr="0092286E" w:rsidRDefault="00095E74" w:rsidP="00774C02">
            <w:pPr>
              <w:rPr>
                <w:rFonts w:cstheme="minorHAnsi"/>
                <w:sz w:val="20"/>
                <w:szCs w:val="20"/>
              </w:rPr>
            </w:pPr>
            <w:r>
              <w:rPr>
                <w:rFonts w:cstheme="minorHAnsi"/>
                <w:sz w:val="20"/>
                <w:szCs w:val="20"/>
              </w:rPr>
              <w:t>There are various options for the work up of those with a positive test which would need further work – this could include combinations of additional serological testing, genetic testing and biopsy</w:t>
            </w:r>
          </w:p>
        </w:tc>
      </w:tr>
      <w:tr w:rsidR="00095E74" w:rsidRPr="00BA26FF" w14:paraId="0A87310B" w14:textId="77777777" w:rsidTr="00774C02">
        <w:tc>
          <w:tcPr>
            <w:tcW w:w="1448" w:type="dxa"/>
            <w:vMerge/>
            <w:shd w:val="clear" w:color="auto" w:fill="FBE4D5" w:themeFill="accent2" w:themeFillTint="33"/>
          </w:tcPr>
          <w:p w14:paraId="3066AE2C" w14:textId="77777777" w:rsidR="00095E74" w:rsidRPr="0092286E" w:rsidRDefault="00095E74" w:rsidP="00774C02">
            <w:pPr>
              <w:rPr>
                <w:rFonts w:cstheme="minorHAnsi"/>
                <w:sz w:val="20"/>
                <w:szCs w:val="20"/>
              </w:rPr>
            </w:pPr>
          </w:p>
        </w:tc>
        <w:tc>
          <w:tcPr>
            <w:tcW w:w="4697" w:type="dxa"/>
            <w:shd w:val="clear" w:color="auto" w:fill="D0CECE" w:themeFill="background2" w:themeFillShade="E6"/>
          </w:tcPr>
          <w:p w14:paraId="6E34ABA4" w14:textId="77777777" w:rsidR="00095E74" w:rsidRPr="0092286E" w:rsidRDefault="00095E74" w:rsidP="00774C02">
            <w:pPr>
              <w:pStyle w:val="ListParagraph"/>
              <w:numPr>
                <w:ilvl w:val="0"/>
                <w:numId w:val="119"/>
              </w:numPr>
              <w:ind w:left="287" w:hanging="287"/>
              <w:rPr>
                <w:rFonts w:cstheme="minorHAnsi"/>
                <w:sz w:val="20"/>
                <w:szCs w:val="20"/>
              </w:rPr>
            </w:pPr>
            <w:r w:rsidRPr="00BA26FF">
              <w:rPr>
                <w:rFonts w:cstheme="minorHAnsi"/>
                <w:sz w:val="20"/>
                <w:szCs w:val="20"/>
              </w:rPr>
              <w:t>If the test is for a particular mutation or set of genetic variants the method for their selection and the means through which these will be kept under review in the programme should be clearly set out.</w:t>
            </w:r>
          </w:p>
        </w:tc>
        <w:tc>
          <w:tcPr>
            <w:tcW w:w="2871" w:type="dxa"/>
            <w:shd w:val="clear" w:color="auto" w:fill="D0CECE" w:themeFill="background2" w:themeFillShade="E6"/>
          </w:tcPr>
          <w:p w14:paraId="75A9B4BA" w14:textId="77777777" w:rsidR="00095E74" w:rsidRPr="0092286E" w:rsidRDefault="00095E74" w:rsidP="00774C02">
            <w:pPr>
              <w:rPr>
                <w:rFonts w:cstheme="minorHAnsi"/>
                <w:sz w:val="20"/>
                <w:szCs w:val="20"/>
              </w:rPr>
            </w:pPr>
            <w:r>
              <w:rPr>
                <w:rFonts w:cstheme="minorHAnsi"/>
                <w:sz w:val="20"/>
                <w:szCs w:val="20"/>
              </w:rPr>
              <w:t>NA (unless HLA is recommended as part of the further work up of those testing positive)</w:t>
            </w:r>
          </w:p>
        </w:tc>
      </w:tr>
      <w:tr w:rsidR="00095E74" w:rsidRPr="00BA26FF" w14:paraId="1BB29C12" w14:textId="77777777" w:rsidTr="00774C02">
        <w:tc>
          <w:tcPr>
            <w:tcW w:w="1448" w:type="dxa"/>
            <w:vMerge w:val="restart"/>
            <w:shd w:val="clear" w:color="auto" w:fill="E2EFD9" w:themeFill="accent6" w:themeFillTint="33"/>
          </w:tcPr>
          <w:p w14:paraId="7F713501" w14:textId="77777777" w:rsidR="00095E74" w:rsidRPr="0092286E" w:rsidRDefault="00095E74" w:rsidP="00774C02">
            <w:pPr>
              <w:rPr>
                <w:rFonts w:cstheme="minorHAnsi"/>
                <w:sz w:val="20"/>
                <w:szCs w:val="20"/>
              </w:rPr>
            </w:pPr>
            <w:r w:rsidRPr="0092286E">
              <w:t>3. </w:t>
            </w:r>
            <w:r>
              <w:t>I</w:t>
            </w:r>
            <w:r w:rsidRPr="0092286E">
              <w:rPr>
                <w:rFonts w:cstheme="minorHAnsi"/>
                <w:sz w:val="20"/>
                <w:szCs w:val="20"/>
              </w:rPr>
              <w:t>ntervention</w:t>
            </w:r>
          </w:p>
          <w:p w14:paraId="350B688A" w14:textId="77777777" w:rsidR="00095E74" w:rsidRPr="0092286E" w:rsidRDefault="00095E74" w:rsidP="00774C02">
            <w:pPr>
              <w:rPr>
                <w:rFonts w:cstheme="minorHAnsi"/>
                <w:sz w:val="20"/>
                <w:szCs w:val="20"/>
              </w:rPr>
            </w:pPr>
          </w:p>
        </w:tc>
        <w:tc>
          <w:tcPr>
            <w:tcW w:w="4697" w:type="dxa"/>
            <w:shd w:val="clear" w:color="auto" w:fill="E2EFD9" w:themeFill="accent6" w:themeFillTint="33"/>
          </w:tcPr>
          <w:p w14:paraId="11B655AB"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Should</w:t>
            </w:r>
            <w:r w:rsidRPr="00BA26FF">
              <w:rPr>
                <w:rFonts w:cstheme="minorHAnsi"/>
                <w:sz w:val="20"/>
                <w:szCs w:val="20"/>
              </w:rPr>
              <w:t xml:space="preserve"> be an effective intervention for patients identified through screening, with evidence that intervention at a pre-symptomatic phase leads to better outcomes for the screened individual compared with usual care. </w:t>
            </w:r>
          </w:p>
        </w:tc>
        <w:tc>
          <w:tcPr>
            <w:tcW w:w="2871" w:type="dxa"/>
            <w:shd w:val="clear" w:color="auto" w:fill="E2EFD9" w:themeFill="accent6" w:themeFillTint="33"/>
          </w:tcPr>
          <w:p w14:paraId="1B014B4D" w14:textId="4C4A77A0" w:rsidR="00095E74" w:rsidRPr="0092286E" w:rsidRDefault="00197390" w:rsidP="00774C02">
            <w:pPr>
              <w:rPr>
                <w:rFonts w:cstheme="minorHAnsi"/>
                <w:sz w:val="20"/>
                <w:szCs w:val="20"/>
              </w:rPr>
            </w:pPr>
            <w:r>
              <w:rPr>
                <w:rFonts w:cstheme="minorHAnsi"/>
                <w:sz w:val="20"/>
                <w:szCs w:val="20"/>
              </w:rPr>
              <w:t>Gluten-</w:t>
            </w:r>
            <w:r w:rsidR="00095E74">
              <w:rPr>
                <w:rFonts w:cstheme="minorHAnsi"/>
                <w:sz w:val="20"/>
                <w:szCs w:val="20"/>
              </w:rPr>
              <w:t>free diet is an effective intervention and starting this as early has possible has beneficial effects</w:t>
            </w:r>
          </w:p>
        </w:tc>
      </w:tr>
      <w:tr w:rsidR="00095E74" w:rsidRPr="00BA26FF" w14:paraId="0A21334E" w14:textId="77777777" w:rsidTr="00774C02">
        <w:tc>
          <w:tcPr>
            <w:tcW w:w="1448" w:type="dxa"/>
            <w:vMerge/>
            <w:shd w:val="clear" w:color="auto" w:fill="E2EFD9" w:themeFill="accent6" w:themeFillTint="33"/>
          </w:tcPr>
          <w:p w14:paraId="2E1A22E0" w14:textId="77777777" w:rsidR="00095E74" w:rsidRPr="0092286E" w:rsidRDefault="00095E74" w:rsidP="00774C02">
            <w:pPr>
              <w:rPr>
                <w:rFonts w:cstheme="minorHAnsi"/>
                <w:sz w:val="20"/>
                <w:szCs w:val="20"/>
              </w:rPr>
            </w:pPr>
          </w:p>
        </w:tc>
        <w:tc>
          <w:tcPr>
            <w:tcW w:w="4697" w:type="dxa"/>
            <w:shd w:val="clear" w:color="auto" w:fill="E2EFD9" w:themeFill="accent6" w:themeFillTint="33"/>
          </w:tcPr>
          <w:p w14:paraId="3BB8B807" w14:textId="77777777" w:rsidR="00095E74" w:rsidRPr="0092286E" w:rsidRDefault="00095E74" w:rsidP="00774C02">
            <w:pPr>
              <w:pStyle w:val="ListParagraph"/>
              <w:numPr>
                <w:ilvl w:val="0"/>
                <w:numId w:val="119"/>
              </w:numPr>
              <w:ind w:left="287" w:hanging="287"/>
              <w:rPr>
                <w:rFonts w:cstheme="minorHAnsi"/>
                <w:sz w:val="20"/>
                <w:szCs w:val="20"/>
              </w:rPr>
            </w:pPr>
            <w:r w:rsidRPr="00BA26FF">
              <w:rPr>
                <w:rFonts w:cstheme="minorHAnsi"/>
                <w:sz w:val="20"/>
                <w:szCs w:val="20"/>
              </w:rPr>
              <w:t>There should be agreed evidence based policies covering which individuals should be offered interventions and the appropriate intervention to be offered.</w:t>
            </w:r>
          </w:p>
        </w:tc>
        <w:tc>
          <w:tcPr>
            <w:tcW w:w="2871" w:type="dxa"/>
            <w:shd w:val="clear" w:color="auto" w:fill="E2EFD9" w:themeFill="accent6" w:themeFillTint="33"/>
          </w:tcPr>
          <w:p w14:paraId="3878B76A" w14:textId="5FDC055F" w:rsidR="00095E74" w:rsidRPr="0092286E" w:rsidRDefault="00095E74" w:rsidP="00774C02">
            <w:pPr>
              <w:rPr>
                <w:rFonts w:cstheme="minorHAnsi"/>
                <w:sz w:val="20"/>
                <w:szCs w:val="20"/>
              </w:rPr>
            </w:pPr>
            <w:r>
              <w:rPr>
                <w:rFonts w:cstheme="minorHAnsi"/>
                <w:sz w:val="20"/>
                <w:szCs w:val="20"/>
              </w:rPr>
              <w:t xml:space="preserve">This is fairly straightforward for CD as the only treatment is a </w:t>
            </w:r>
            <w:r w:rsidR="00197390">
              <w:rPr>
                <w:rFonts w:cstheme="minorHAnsi"/>
                <w:sz w:val="20"/>
                <w:szCs w:val="20"/>
              </w:rPr>
              <w:t>gluten-</w:t>
            </w:r>
            <w:r>
              <w:rPr>
                <w:rFonts w:cstheme="minorHAnsi"/>
                <w:sz w:val="20"/>
                <w:szCs w:val="20"/>
              </w:rPr>
              <w:t>free diet which is recommended for anyone with CD.</w:t>
            </w:r>
          </w:p>
        </w:tc>
      </w:tr>
      <w:tr w:rsidR="00095E74" w:rsidRPr="00BA26FF" w14:paraId="14AD7174" w14:textId="77777777" w:rsidTr="00774C02">
        <w:tc>
          <w:tcPr>
            <w:tcW w:w="1448" w:type="dxa"/>
            <w:vMerge w:val="restart"/>
            <w:shd w:val="clear" w:color="auto" w:fill="F2B0B8"/>
          </w:tcPr>
          <w:p w14:paraId="36B9E9FD" w14:textId="77777777" w:rsidR="00095E74" w:rsidRPr="00CB14F1" w:rsidRDefault="00095E74" w:rsidP="00774C02">
            <w:pPr>
              <w:rPr>
                <w:rFonts w:cstheme="minorHAnsi"/>
                <w:sz w:val="20"/>
                <w:szCs w:val="20"/>
              </w:rPr>
            </w:pPr>
            <w:r w:rsidRPr="00CB14F1">
              <w:t>4. </w:t>
            </w:r>
            <w:r w:rsidRPr="00CB14F1">
              <w:rPr>
                <w:rFonts w:cstheme="minorHAnsi"/>
                <w:sz w:val="20"/>
                <w:szCs w:val="20"/>
              </w:rPr>
              <w:t>The screening programme</w:t>
            </w:r>
          </w:p>
          <w:p w14:paraId="155260A9" w14:textId="77777777" w:rsidR="00095E74" w:rsidRPr="0092286E" w:rsidRDefault="00095E74" w:rsidP="00774C02">
            <w:pPr>
              <w:rPr>
                <w:rFonts w:cstheme="minorHAnsi"/>
                <w:sz w:val="20"/>
                <w:szCs w:val="20"/>
              </w:rPr>
            </w:pPr>
          </w:p>
        </w:tc>
        <w:tc>
          <w:tcPr>
            <w:tcW w:w="4697" w:type="dxa"/>
            <w:shd w:val="clear" w:color="auto" w:fill="F2B0B8"/>
          </w:tcPr>
          <w:p w14:paraId="1452ED64"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S</w:t>
            </w:r>
            <w:r w:rsidRPr="00BA26FF">
              <w:rPr>
                <w:rFonts w:cstheme="minorHAnsi"/>
                <w:sz w:val="20"/>
                <w:szCs w:val="20"/>
              </w:rPr>
              <w:t xml:space="preserve">hould be evidence from high quality randomised controlled trials that the screening programme is effective in reducing mortality or morbidity. </w:t>
            </w:r>
          </w:p>
        </w:tc>
        <w:tc>
          <w:tcPr>
            <w:tcW w:w="2871" w:type="dxa"/>
            <w:shd w:val="clear" w:color="auto" w:fill="F2B0B8"/>
          </w:tcPr>
          <w:p w14:paraId="4C69DF6F" w14:textId="77777777" w:rsidR="00095E74" w:rsidRPr="0092286E" w:rsidRDefault="00095E74" w:rsidP="00774C02">
            <w:pPr>
              <w:rPr>
                <w:rFonts w:cstheme="minorHAnsi"/>
                <w:sz w:val="20"/>
                <w:szCs w:val="20"/>
              </w:rPr>
            </w:pPr>
            <w:r>
              <w:rPr>
                <w:rFonts w:cstheme="minorHAnsi"/>
                <w:sz w:val="20"/>
                <w:szCs w:val="20"/>
              </w:rPr>
              <w:t>Not currently available</w:t>
            </w:r>
          </w:p>
        </w:tc>
      </w:tr>
      <w:tr w:rsidR="00095E74" w:rsidRPr="00BA26FF" w14:paraId="7D691175" w14:textId="77777777" w:rsidTr="00774C02">
        <w:tc>
          <w:tcPr>
            <w:tcW w:w="1448" w:type="dxa"/>
            <w:vMerge/>
            <w:shd w:val="clear" w:color="auto" w:fill="F2B0B8"/>
          </w:tcPr>
          <w:p w14:paraId="5CE63798" w14:textId="77777777" w:rsidR="00095E74" w:rsidRPr="0092286E" w:rsidRDefault="00095E74" w:rsidP="00774C02">
            <w:pPr>
              <w:pStyle w:val="Heading2"/>
              <w:shd w:val="clear" w:color="auto" w:fill="FFFFFF"/>
              <w:spacing w:before="1200"/>
              <w:outlineLvl w:val="1"/>
              <w:rPr>
                <w:rStyle w:val="number"/>
                <w:rFonts w:asciiTheme="minorHAnsi" w:hAnsiTheme="minorHAnsi" w:cstheme="minorHAnsi"/>
                <w:color w:val="0B0C0C"/>
                <w:sz w:val="20"/>
                <w:szCs w:val="20"/>
              </w:rPr>
            </w:pPr>
          </w:p>
        </w:tc>
        <w:tc>
          <w:tcPr>
            <w:tcW w:w="4697" w:type="dxa"/>
            <w:shd w:val="clear" w:color="auto" w:fill="FBE4D5" w:themeFill="accent2" w:themeFillTint="33"/>
          </w:tcPr>
          <w:p w14:paraId="06EFB4DD"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S</w:t>
            </w:r>
            <w:r w:rsidRPr="00BA26FF">
              <w:rPr>
                <w:rFonts w:cstheme="minorHAnsi"/>
                <w:sz w:val="20"/>
                <w:szCs w:val="20"/>
              </w:rPr>
              <w:t>hould be evidence that the complete screening programme (test, diagnostic procedures, treatment/ intervention) is clinically, socially and ethically acceptable to health professionals and the public.</w:t>
            </w:r>
          </w:p>
        </w:tc>
        <w:tc>
          <w:tcPr>
            <w:tcW w:w="2871" w:type="dxa"/>
            <w:shd w:val="clear" w:color="auto" w:fill="FBE4D5" w:themeFill="accent2" w:themeFillTint="33"/>
          </w:tcPr>
          <w:p w14:paraId="34FA3251" w14:textId="77777777" w:rsidR="00095E74" w:rsidRPr="0092286E" w:rsidRDefault="00095E74" w:rsidP="00774C02">
            <w:pPr>
              <w:rPr>
                <w:rFonts w:cstheme="minorHAnsi"/>
                <w:sz w:val="20"/>
                <w:szCs w:val="20"/>
              </w:rPr>
            </w:pPr>
            <w:r>
              <w:rPr>
                <w:rFonts w:cstheme="minorHAnsi"/>
                <w:sz w:val="20"/>
                <w:szCs w:val="20"/>
              </w:rPr>
              <w:t>Screening programme is likely to be acceptable but further evidence on this may be required</w:t>
            </w:r>
          </w:p>
        </w:tc>
      </w:tr>
      <w:tr w:rsidR="00095E74" w:rsidRPr="00BA26FF" w14:paraId="21EB52BB" w14:textId="77777777" w:rsidTr="00774C02">
        <w:tc>
          <w:tcPr>
            <w:tcW w:w="1448" w:type="dxa"/>
            <w:vMerge/>
            <w:shd w:val="clear" w:color="auto" w:fill="F2B0B8"/>
          </w:tcPr>
          <w:p w14:paraId="42CFB302" w14:textId="77777777" w:rsidR="00095E74" w:rsidRPr="0092286E" w:rsidRDefault="00095E74" w:rsidP="00774C02">
            <w:pPr>
              <w:pStyle w:val="Heading2"/>
              <w:shd w:val="clear" w:color="auto" w:fill="FFFFFF"/>
              <w:spacing w:before="1200"/>
              <w:outlineLvl w:val="1"/>
              <w:rPr>
                <w:rStyle w:val="number"/>
                <w:rFonts w:asciiTheme="minorHAnsi" w:hAnsiTheme="minorHAnsi" w:cstheme="minorHAnsi"/>
                <w:color w:val="0B0C0C"/>
                <w:sz w:val="20"/>
                <w:szCs w:val="20"/>
              </w:rPr>
            </w:pPr>
          </w:p>
        </w:tc>
        <w:tc>
          <w:tcPr>
            <w:tcW w:w="4697" w:type="dxa"/>
            <w:shd w:val="clear" w:color="auto" w:fill="E2EFD9" w:themeFill="accent6" w:themeFillTint="33"/>
          </w:tcPr>
          <w:p w14:paraId="35133728" w14:textId="77777777" w:rsidR="00095E74" w:rsidRPr="0092286E" w:rsidRDefault="00095E74" w:rsidP="00774C02">
            <w:pPr>
              <w:pStyle w:val="ListParagraph"/>
              <w:numPr>
                <w:ilvl w:val="0"/>
                <w:numId w:val="119"/>
              </w:numPr>
              <w:ind w:left="287" w:hanging="287"/>
              <w:rPr>
                <w:rFonts w:cstheme="minorHAnsi"/>
                <w:sz w:val="20"/>
                <w:szCs w:val="20"/>
              </w:rPr>
            </w:pPr>
            <w:r>
              <w:rPr>
                <w:rFonts w:cstheme="minorHAnsi"/>
                <w:sz w:val="20"/>
                <w:szCs w:val="20"/>
              </w:rPr>
              <w:t>B</w:t>
            </w:r>
            <w:r w:rsidRPr="00BA26FF">
              <w:rPr>
                <w:rFonts w:cstheme="minorHAnsi"/>
                <w:sz w:val="20"/>
                <w:szCs w:val="20"/>
              </w:rPr>
              <w:t>enefit gained by individuals from the screening programme should outweigh any harms, for example from overdiagnosis, overtreatment, false positives, false reassurance, uncertain findings and complications.</w:t>
            </w:r>
          </w:p>
        </w:tc>
        <w:tc>
          <w:tcPr>
            <w:tcW w:w="2871" w:type="dxa"/>
            <w:shd w:val="clear" w:color="auto" w:fill="E2EFD9" w:themeFill="accent6" w:themeFillTint="33"/>
          </w:tcPr>
          <w:p w14:paraId="3D37D4CB" w14:textId="77777777" w:rsidR="00095E74" w:rsidRPr="0092286E" w:rsidRDefault="00095E74" w:rsidP="00774C02">
            <w:pPr>
              <w:rPr>
                <w:rFonts w:cstheme="minorHAnsi"/>
                <w:sz w:val="20"/>
                <w:szCs w:val="20"/>
              </w:rPr>
            </w:pPr>
            <w:r>
              <w:rPr>
                <w:rFonts w:cstheme="minorHAnsi"/>
                <w:sz w:val="20"/>
                <w:szCs w:val="20"/>
              </w:rPr>
              <w:t>Our economic analysis provides evidence for this.</w:t>
            </w:r>
          </w:p>
        </w:tc>
      </w:tr>
      <w:tr w:rsidR="00095E74" w:rsidRPr="00BA26FF" w14:paraId="326D5F2D" w14:textId="77777777" w:rsidTr="00774C02">
        <w:tc>
          <w:tcPr>
            <w:tcW w:w="1448" w:type="dxa"/>
            <w:vMerge/>
            <w:shd w:val="clear" w:color="auto" w:fill="F2B0B8"/>
          </w:tcPr>
          <w:p w14:paraId="5BD18163" w14:textId="77777777" w:rsidR="00095E74" w:rsidRPr="0092286E" w:rsidRDefault="00095E74" w:rsidP="00774C02">
            <w:pPr>
              <w:pStyle w:val="Heading2"/>
              <w:shd w:val="clear" w:color="auto" w:fill="FFFFFF"/>
              <w:spacing w:before="1200"/>
              <w:outlineLvl w:val="1"/>
              <w:rPr>
                <w:rStyle w:val="number"/>
                <w:rFonts w:asciiTheme="minorHAnsi" w:hAnsiTheme="minorHAnsi" w:cstheme="minorHAnsi"/>
                <w:color w:val="0B0C0C"/>
                <w:sz w:val="20"/>
                <w:szCs w:val="20"/>
              </w:rPr>
            </w:pPr>
          </w:p>
        </w:tc>
        <w:tc>
          <w:tcPr>
            <w:tcW w:w="4697" w:type="dxa"/>
            <w:shd w:val="clear" w:color="auto" w:fill="E2EFD9" w:themeFill="accent6" w:themeFillTint="33"/>
          </w:tcPr>
          <w:p w14:paraId="0F5D8850" w14:textId="77777777" w:rsidR="00095E74" w:rsidRPr="0092286E" w:rsidRDefault="00095E74" w:rsidP="00774C02">
            <w:pPr>
              <w:pStyle w:val="ListParagraph"/>
              <w:numPr>
                <w:ilvl w:val="0"/>
                <w:numId w:val="119"/>
              </w:numPr>
              <w:ind w:left="287" w:hanging="287"/>
              <w:rPr>
                <w:rFonts w:eastAsia="Times New Roman" w:cstheme="minorHAnsi"/>
                <w:color w:val="0B0C0C"/>
                <w:sz w:val="20"/>
                <w:szCs w:val="20"/>
                <w:lang w:eastAsia="zh-CN"/>
              </w:rPr>
            </w:pPr>
            <w:r w:rsidRPr="00BA26FF">
              <w:rPr>
                <w:rFonts w:cstheme="minorHAnsi"/>
                <w:sz w:val="20"/>
                <w:szCs w:val="20"/>
              </w:rPr>
              <w:t>The opportunity cost of the screening programme (including testing, diagnosis and treatment, administration, training and quality assurance) should be economically balanced in relation to expenditure on medical care as a whole (value for money). Assessment against this criteria should have regard to evidence from cost benefit and/or cost effectiveness analyses and have regard to the effective use of available resource.</w:t>
            </w:r>
          </w:p>
        </w:tc>
        <w:tc>
          <w:tcPr>
            <w:tcW w:w="2871" w:type="dxa"/>
            <w:shd w:val="clear" w:color="auto" w:fill="E2EFD9" w:themeFill="accent6" w:themeFillTint="33"/>
          </w:tcPr>
          <w:p w14:paraId="12431445" w14:textId="77777777" w:rsidR="00095E74" w:rsidRPr="0092286E" w:rsidRDefault="00095E74" w:rsidP="00774C02">
            <w:pPr>
              <w:rPr>
                <w:rFonts w:cstheme="minorHAnsi"/>
                <w:sz w:val="20"/>
                <w:szCs w:val="20"/>
              </w:rPr>
            </w:pPr>
            <w:r>
              <w:rPr>
                <w:rFonts w:cstheme="minorHAnsi"/>
                <w:sz w:val="20"/>
                <w:szCs w:val="20"/>
              </w:rPr>
              <w:t>Our economic analysis suggests that screening may be cost-effective</w:t>
            </w:r>
          </w:p>
        </w:tc>
      </w:tr>
    </w:tbl>
    <w:p w14:paraId="7CF3415D" w14:textId="07006E8E" w:rsidR="000B4585" w:rsidRDefault="000B4585" w:rsidP="006D7233"/>
    <w:sectPr w:rsidR="000B458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C6A5F" w14:textId="77777777" w:rsidR="00D412C1" w:rsidRDefault="00D412C1" w:rsidP="002B3A40">
      <w:pPr>
        <w:spacing w:after="0" w:line="240" w:lineRule="auto"/>
      </w:pPr>
      <w:r>
        <w:separator/>
      </w:r>
    </w:p>
  </w:endnote>
  <w:endnote w:type="continuationSeparator" w:id="0">
    <w:p w14:paraId="7B5157CE" w14:textId="77777777" w:rsidR="00D412C1" w:rsidRDefault="00D412C1" w:rsidP="002B3A40">
      <w:pPr>
        <w:spacing w:after="0" w:line="240" w:lineRule="auto"/>
      </w:pPr>
      <w:r>
        <w:continuationSeparator/>
      </w:r>
    </w:p>
  </w:endnote>
  <w:endnote w:type="continuationNotice" w:id="1">
    <w:p w14:paraId="48024E6E" w14:textId="77777777" w:rsidR="00D412C1" w:rsidRDefault="00D412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rriweather">
    <w:charset w:val="00"/>
    <w:family w:val="auto"/>
    <w:pitch w:val="variable"/>
    <w:sig w:usb0="20000207" w:usb1="00000002" w:usb2="00000000" w:usb3="00000000" w:csb0="00000197"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74516" w14:textId="77777777" w:rsidR="00BF780D" w:rsidRDefault="00BF78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8462512"/>
      <w:docPartObj>
        <w:docPartGallery w:val="Page Numbers (Bottom of Page)"/>
        <w:docPartUnique/>
      </w:docPartObj>
    </w:sdtPr>
    <w:sdtEndPr>
      <w:rPr>
        <w:noProof/>
      </w:rPr>
    </w:sdtEndPr>
    <w:sdtContent>
      <w:p w14:paraId="0B37AF3B" w14:textId="213EFBC0" w:rsidR="009B3289" w:rsidRDefault="009B328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0C95051" w14:textId="77777777" w:rsidR="008E2A4C" w:rsidRDefault="008E2A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F5FC0" w14:textId="77777777" w:rsidR="00BF780D" w:rsidRDefault="00BF780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7891403"/>
      <w:docPartObj>
        <w:docPartGallery w:val="Page Numbers (Bottom of Page)"/>
        <w:docPartUnique/>
      </w:docPartObj>
    </w:sdtPr>
    <w:sdtEndPr>
      <w:rPr>
        <w:noProof/>
      </w:rPr>
    </w:sdtEndPr>
    <w:sdtContent>
      <w:p w14:paraId="08398777" w14:textId="77777777" w:rsidR="0056595B" w:rsidRDefault="0056595B" w:rsidP="00D848CE">
        <w:pPr>
          <w:pStyle w:val="Footer"/>
          <w:jc w:val="center"/>
        </w:pPr>
        <w:r>
          <w:fldChar w:fldCharType="begin"/>
        </w:r>
        <w:r>
          <w:instrText xml:space="preserve"> PAGE   \* MERGEFORMAT </w:instrText>
        </w:r>
        <w:r>
          <w:fldChar w:fldCharType="separate"/>
        </w:r>
        <w:r>
          <w:rPr>
            <w:noProof/>
          </w:rPr>
          <w:t>23</w:t>
        </w:r>
        <w:r>
          <w:rPr>
            <w:noProof/>
          </w:rPr>
          <w:fldChar w:fldCharType="end"/>
        </w:r>
      </w:p>
    </w:sdtContent>
  </w:sdt>
  <w:p w14:paraId="220E8579" w14:textId="77777777" w:rsidR="0056595B" w:rsidRDefault="0056595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483430"/>
      <w:docPartObj>
        <w:docPartGallery w:val="Page Numbers (Bottom of Page)"/>
        <w:docPartUnique/>
      </w:docPartObj>
    </w:sdtPr>
    <w:sdtEndPr>
      <w:rPr>
        <w:noProof/>
      </w:rPr>
    </w:sdtEndPr>
    <w:sdtContent>
      <w:p w14:paraId="40493FDF" w14:textId="63D52D80" w:rsidR="008869D7" w:rsidRDefault="008869D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66FF9C" w14:textId="77777777" w:rsidR="0056595B" w:rsidRDefault="0056595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666034"/>
      <w:docPartObj>
        <w:docPartGallery w:val="Page Numbers (Bottom of Page)"/>
        <w:docPartUnique/>
      </w:docPartObj>
    </w:sdtPr>
    <w:sdtEndPr>
      <w:rPr>
        <w:noProof/>
      </w:rPr>
    </w:sdtEndPr>
    <w:sdtContent>
      <w:p w14:paraId="35452E2B" w14:textId="07953184" w:rsidR="007538E9" w:rsidRDefault="007538E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25F542B" w14:textId="77777777" w:rsidR="00BF5EA3" w:rsidRDefault="00BF5E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75B1D" w14:textId="77777777" w:rsidR="00D412C1" w:rsidRDefault="00D412C1" w:rsidP="002B3A40">
      <w:pPr>
        <w:spacing w:after="0" w:line="240" w:lineRule="auto"/>
      </w:pPr>
      <w:r>
        <w:separator/>
      </w:r>
    </w:p>
  </w:footnote>
  <w:footnote w:type="continuationSeparator" w:id="0">
    <w:p w14:paraId="2626BFD9" w14:textId="77777777" w:rsidR="00D412C1" w:rsidRDefault="00D412C1" w:rsidP="002B3A40">
      <w:pPr>
        <w:spacing w:after="0" w:line="240" w:lineRule="auto"/>
      </w:pPr>
      <w:r>
        <w:continuationSeparator/>
      </w:r>
    </w:p>
  </w:footnote>
  <w:footnote w:type="continuationNotice" w:id="1">
    <w:p w14:paraId="43D459E3" w14:textId="77777777" w:rsidR="00D412C1" w:rsidRDefault="00D412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6697E" w14:textId="77777777" w:rsidR="00BF780D" w:rsidRDefault="00BF78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9E54F" w14:textId="77777777" w:rsidR="00BF780D" w:rsidRDefault="00BF78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56653" w14:textId="77777777" w:rsidR="00BF780D" w:rsidRDefault="00BF78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D9C90" w14:textId="1D6B5D2A" w:rsidR="00BF5EA3" w:rsidRDefault="00BF5EA3">
    <w:pPr>
      <w:pStyle w:val="Header"/>
      <w:jc w:val="center"/>
    </w:pPr>
  </w:p>
  <w:p w14:paraId="131BE422" w14:textId="77777777" w:rsidR="00BF5EA3" w:rsidRDefault="00BF5EA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45F90" w14:textId="77777777" w:rsidR="00BF5EA3" w:rsidRDefault="00BF5E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A3399"/>
    <w:multiLevelType w:val="hybridMultilevel"/>
    <w:tmpl w:val="ADD6696C"/>
    <w:lvl w:ilvl="0" w:tplc="867E38B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82AD5"/>
    <w:multiLevelType w:val="hybridMultilevel"/>
    <w:tmpl w:val="128CE25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9366A6"/>
    <w:multiLevelType w:val="hybridMultilevel"/>
    <w:tmpl w:val="71A653B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9050DF"/>
    <w:multiLevelType w:val="hybridMultilevel"/>
    <w:tmpl w:val="8B7ECE3E"/>
    <w:lvl w:ilvl="0" w:tplc="84345716">
      <w:start w:val="1"/>
      <w:numFmt w:val="decimal"/>
      <w:lvlText w:val="%1)"/>
      <w:lvlJc w:val="left"/>
      <w:pPr>
        <w:ind w:left="720" w:hanging="360"/>
      </w:pPr>
      <w:rPr>
        <w:rFonts w:ascii="Times New Roman" w:eastAsiaTheme="minorHAnsi"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A9393C"/>
    <w:multiLevelType w:val="hybridMultilevel"/>
    <w:tmpl w:val="F3721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0668A"/>
    <w:multiLevelType w:val="multilevel"/>
    <w:tmpl w:val="4EBE4EE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9D01487"/>
    <w:multiLevelType w:val="hybridMultilevel"/>
    <w:tmpl w:val="64FEF404"/>
    <w:lvl w:ilvl="0" w:tplc="A2CE27BE">
      <w:start w:val="1"/>
      <w:numFmt w:val="lowerLetter"/>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C182D31"/>
    <w:multiLevelType w:val="hybridMultilevel"/>
    <w:tmpl w:val="C9B6C1B4"/>
    <w:lvl w:ilvl="0" w:tplc="230CCCCA">
      <w:start w:val="1"/>
      <w:numFmt w:val="bullet"/>
      <w:pStyle w:val="NormalBullet"/>
      <w:lvlText w:val=""/>
      <w:lvlJc w:val="left"/>
      <w:pPr>
        <w:tabs>
          <w:tab w:val="num" w:pos="1072"/>
        </w:tabs>
        <w:ind w:left="1072" w:hanging="352"/>
      </w:pPr>
      <w:rPr>
        <w:rFonts w:ascii="Symbol" w:hAnsi="Symbol" w:hint="default"/>
      </w:rPr>
    </w:lvl>
    <w:lvl w:ilvl="1" w:tplc="E604BC34">
      <w:start w:val="1"/>
      <w:numFmt w:val="bullet"/>
      <w:lvlText w:val="o"/>
      <w:lvlJc w:val="left"/>
      <w:pPr>
        <w:tabs>
          <w:tab w:val="num" w:pos="1803"/>
        </w:tabs>
        <w:ind w:left="1803" w:hanging="360"/>
      </w:pPr>
      <w:rPr>
        <w:rFonts w:ascii="Courier New" w:hAnsi="Courier New" w:hint="default"/>
      </w:rPr>
    </w:lvl>
    <w:lvl w:ilvl="2" w:tplc="9252CCA6" w:tentative="1">
      <w:start w:val="1"/>
      <w:numFmt w:val="bullet"/>
      <w:lvlText w:val=""/>
      <w:lvlJc w:val="left"/>
      <w:pPr>
        <w:tabs>
          <w:tab w:val="num" w:pos="2523"/>
        </w:tabs>
        <w:ind w:left="2523" w:hanging="360"/>
      </w:pPr>
      <w:rPr>
        <w:rFonts w:ascii="Wingdings" w:hAnsi="Wingdings" w:hint="default"/>
      </w:rPr>
    </w:lvl>
    <w:lvl w:ilvl="3" w:tplc="9C2A7872" w:tentative="1">
      <w:start w:val="1"/>
      <w:numFmt w:val="bullet"/>
      <w:lvlText w:val=""/>
      <w:lvlJc w:val="left"/>
      <w:pPr>
        <w:tabs>
          <w:tab w:val="num" w:pos="3243"/>
        </w:tabs>
        <w:ind w:left="3243" w:hanging="360"/>
      </w:pPr>
      <w:rPr>
        <w:rFonts w:ascii="Symbol" w:hAnsi="Symbol" w:hint="default"/>
      </w:rPr>
    </w:lvl>
    <w:lvl w:ilvl="4" w:tplc="137A6E78" w:tentative="1">
      <w:start w:val="1"/>
      <w:numFmt w:val="bullet"/>
      <w:lvlText w:val="o"/>
      <w:lvlJc w:val="left"/>
      <w:pPr>
        <w:tabs>
          <w:tab w:val="num" w:pos="3963"/>
        </w:tabs>
        <w:ind w:left="3963" w:hanging="360"/>
      </w:pPr>
      <w:rPr>
        <w:rFonts w:ascii="Courier New" w:hAnsi="Courier New" w:hint="default"/>
      </w:rPr>
    </w:lvl>
    <w:lvl w:ilvl="5" w:tplc="63144ED8" w:tentative="1">
      <w:start w:val="1"/>
      <w:numFmt w:val="bullet"/>
      <w:lvlText w:val=""/>
      <w:lvlJc w:val="left"/>
      <w:pPr>
        <w:tabs>
          <w:tab w:val="num" w:pos="4683"/>
        </w:tabs>
        <w:ind w:left="4683" w:hanging="360"/>
      </w:pPr>
      <w:rPr>
        <w:rFonts w:ascii="Wingdings" w:hAnsi="Wingdings" w:hint="default"/>
      </w:rPr>
    </w:lvl>
    <w:lvl w:ilvl="6" w:tplc="1486B35A" w:tentative="1">
      <w:start w:val="1"/>
      <w:numFmt w:val="bullet"/>
      <w:lvlText w:val=""/>
      <w:lvlJc w:val="left"/>
      <w:pPr>
        <w:tabs>
          <w:tab w:val="num" w:pos="5403"/>
        </w:tabs>
        <w:ind w:left="5403" w:hanging="360"/>
      </w:pPr>
      <w:rPr>
        <w:rFonts w:ascii="Symbol" w:hAnsi="Symbol" w:hint="default"/>
      </w:rPr>
    </w:lvl>
    <w:lvl w:ilvl="7" w:tplc="025037C4" w:tentative="1">
      <w:start w:val="1"/>
      <w:numFmt w:val="bullet"/>
      <w:lvlText w:val="o"/>
      <w:lvlJc w:val="left"/>
      <w:pPr>
        <w:tabs>
          <w:tab w:val="num" w:pos="6123"/>
        </w:tabs>
        <w:ind w:left="6123" w:hanging="360"/>
      </w:pPr>
      <w:rPr>
        <w:rFonts w:ascii="Courier New" w:hAnsi="Courier New" w:hint="default"/>
      </w:rPr>
    </w:lvl>
    <w:lvl w:ilvl="8" w:tplc="C98A2FE4" w:tentative="1">
      <w:start w:val="1"/>
      <w:numFmt w:val="bullet"/>
      <w:lvlText w:val=""/>
      <w:lvlJc w:val="left"/>
      <w:pPr>
        <w:tabs>
          <w:tab w:val="num" w:pos="6843"/>
        </w:tabs>
        <w:ind w:left="6843" w:hanging="360"/>
      </w:pPr>
      <w:rPr>
        <w:rFonts w:ascii="Wingdings" w:hAnsi="Wingdings" w:hint="default"/>
      </w:rPr>
    </w:lvl>
  </w:abstractNum>
  <w:abstractNum w:abstractNumId="8" w15:restartNumberingAfterBreak="0">
    <w:nsid w:val="0D925427"/>
    <w:multiLevelType w:val="hybridMultilevel"/>
    <w:tmpl w:val="45F66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103894"/>
    <w:multiLevelType w:val="hybridMultilevel"/>
    <w:tmpl w:val="2E4A3F4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EC25BD4"/>
    <w:multiLevelType w:val="hybridMultilevel"/>
    <w:tmpl w:val="3BCA47A0"/>
    <w:lvl w:ilvl="0" w:tplc="2454F390">
      <w:start w:val="1"/>
      <w:numFmt w:val="bullet"/>
      <w:lvlText w:val="•"/>
      <w:lvlJc w:val="left"/>
      <w:pPr>
        <w:tabs>
          <w:tab w:val="num" w:pos="720"/>
        </w:tabs>
        <w:ind w:left="720" w:hanging="360"/>
      </w:pPr>
      <w:rPr>
        <w:rFonts w:ascii="Arial" w:hAnsi="Arial" w:hint="default"/>
      </w:rPr>
    </w:lvl>
    <w:lvl w:ilvl="1" w:tplc="95C4EDAE">
      <w:start w:val="1"/>
      <w:numFmt w:val="bullet"/>
      <w:lvlText w:val="•"/>
      <w:lvlJc w:val="left"/>
      <w:pPr>
        <w:tabs>
          <w:tab w:val="num" w:pos="1440"/>
        </w:tabs>
        <w:ind w:left="1440" w:hanging="360"/>
      </w:pPr>
      <w:rPr>
        <w:rFonts w:ascii="Arial" w:hAnsi="Arial" w:hint="default"/>
      </w:rPr>
    </w:lvl>
    <w:lvl w:ilvl="2" w:tplc="B1629102" w:tentative="1">
      <w:start w:val="1"/>
      <w:numFmt w:val="bullet"/>
      <w:lvlText w:val="•"/>
      <w:lvlJc w:val="left"/>
      <w:pPr>
        <w:tabs>
          <w:tab w:val="num" w:pos="2160"/>
        </w:tabs>
        <w:ind w:left="2160" w:hanging="360"/>
      </w:pPr>
      <w:rPr>
        <w:rFonts w:ascii="Arial" w:hAnsi="Arial" w:hint="default"/>
      </w:rPr>
    </w:lvl>
    <w:lvl w:ilvl="3" w:tplc="5B624C6E" w:tentative="1">
      <w:start w:val="1"/>
      <w:numFmt w:val="bullet"/>
      <w:lvlText w:val="•"/>
      <w:lvlJc w:val="left"/>
      <w:pPr>
        <w:tabs>
          <w:tab w:val="num" w:pos="2880"/>
        </w:tabs>
        <w:ind w:left="2880" w:hanging="360"/>
      </w:pPr>
      <w:rPr>
        <w:rFonts w:ascii="Arial" w:hAnsi="Arial" w:hint="default"/>
      </w:rPr>
    </w:lvl>
    <w:lvl w:ilvl="4" w:tplc="8E8AB0C6" w:tentative="1">
      <w:start w:val="1"/>
      <w:numFmt w:val="bullet"/>
      <w:lvlText w:val="•"/>
      <w:lvlJc w:val="left"/>
      <w:pPr>
        <w:tabs>
          <w:tab w:val="num" w:pos="3600"/>
        </w:tabs>
        <w:ind w:left="3600" w:hanging="360"/>
      </w:pPr>
      <w:rPr>
        <w:rFonts w:ascii="Arial" w:hAnsi="Arial" w:hint="default"/>
      </w:rPr>
    </w:lvl>
    <w:lvl w:ilvl="5" w:tplc="2812BDA8" w:tentative="1">
      <w:start w:val="1"/>
      <w:numFmt w:val="bullet"/>
      <w:lvlText w:val="•"/>
      <w:lvlJc w:val="left"/>
      <w:pPr>
        <w:tabs>
          <w:tab w:val="num" w:pos="4320"/>
        </w:tabs>
        <w:ind w:left="4320" w:hanging="360"/>
      </w:pPr>
      <w:rPr>
        <w:rFonts w:ascii="Arial" w:hAnsi="Arial" w:hint="default"/>
      </w:rPr>
    </w:lvl>
    <w:lvl w:ilvl="6" w:tplc="88524482" w:tentative="1">
      <w:start w:val="1"/>
      <w:numFmt w:val="bullet"/>
      <w:lvlText w:val="•"/>
      <w:lvlJc w:val="left"/>
      <w:pPr>
        <w:tabs>
          <w:tab w:val="num" w:pos="5040"/>
        </w:tabs>
        <w:ind w:left="5040" w:hanging="360"/>
      </w:pPr>
      <w:rPr>
        <w:rFonts w:ascii="Arial" w:hAnsi="Arial" w:hint="default"/>
      </w:rPr>
    </w:lvl>
    <w:lvl w:ilvl="7" w:tplc="B0B81842" w:tentative="1">
      <w:start w:val="1"/>
      <w:numFmt w:val="bullet"/>
      <w:lvlText w:val="•"/>
      <w:lvlJc w:val="left"/>
      <w:pPr>
        <w:tabs>
          <w:tab w:val="num" w:pos="5760"/>
        </w:tabs>
        <w:ind w:left="5760" w:hanging="360"/>
      </w:pPr>
      <w:rPr>
        <w:rFonts w:ascii="Arial" w:hAnsi="Arial" w:hint="default"/>
      </w:rPr>
    </w:lvl>
    <w:lvl w:ilvl="8" w:tplc="E466DDD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EC96D23"/>
    <w:multiLevelType w:val="hybridMultilevel"/>
    <w:tmpl w:val="4CC3B62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10E00A33"/>
    <w:multiLevelType w:val="hybridMultilevel"/>
    <w:tmpl w:val="CC5A1F1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116B6AFE"/>
    <w:multiLevelType w:val="multilevel"/>
    <w:tmpl w:val="2B48D1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2741F5E"/>
    <w:multiLevelType w:val="hybridMultilevel"/>
    <w:tmpl w:val="39666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8651DD"/>
    <w:multiLevelType w:val="hybridMultilevel"/>
    <w:tmpl w:val="915849FA"/>
    <w:lvl w:ilvl="0" w:tplc="7A6E3F08">
      <w:start w:val="1"/>
      <w:numFmt w:val="decimal"/>
      <w:lvlText w:val="%1."/>
      <w:lvlJc w:val="left"/>
      <w:pPr>
        <w:ind w:left="720" w:hanging="360"/>
      </w:pPr>
      <w:rPr>
        <w:rFonts w:hint="default"/>
        <w:i/>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308494D"/>
    <w:multiLevelType w:val="hybridMultilevel"/>
    <w:tmpl w:val="06AA1E76"/>
    <w:styleLink w:val="111111"/>
    <w:lvl w:ilvl="0" w:tplc="10DE6628">
      <w:start w:val="1"/>
      <w:numFmt w:val="decimal"/>
      <w:lvlText w:val="%1."/>
      <w:lvlJc w:val="left"/>
      <w:pPr>
        <w:tabs>
          <w:tab w:val="num" w:pos="1440"/>
        </w:tabs>
        <w:ind w:left="1440" w:hanging="360"/>
      </w:pPr>
    </w:lvl>
    <w:lvl w:ilvl="1" w:tplc="0554C8DE" w:tentative="1">
      <w:start w:val="1"/>
      <w:numFmt w:val="lowerLetter"/>
      <w:lvlText w:val="%2."/>
      <w:lvlJc w:val="left"/>
      <w:pPr>
        <w:tabs>
          <w:tab w:val="num" w:pos="2160"/>
        </w:tabs>
        <w:ind w:left="2160" w:hanging="360"/>
      </w:pPr>
    </w:lvl>
    <w:lvl w:ilvl="2" w:tplc="0809001B" w:tentative="1">
      <w:start w:val="1"/>
      <w:numFmt w:val="lowerRoman"/>
      <w:lvlText w:val="%3."/>
      <w:lvlJc w:val="right"/>
      <w:pPr>
        <w:tabs>
          <w:tab w:val="num" w:pos="2880"/>
        </w:tabs>
        <w:ind w:left="2880" w:hanging="180"/>
      </w:pPr>
    </w:lvl>
    <w:lvl w:ilvl="3" w:tplc="0809000F" w:tentative="1">
      <w:start w:val="1"/>
      <w:numFmt w:val="decimal"/>
      <w:lvlText w:val="%4."/>
      <w:lvlJc w:val="left"/>
      <w:pPr>
        <w:tabs>
          <w:tab w:val="num" w:pos="3600"/>
        </w:tabs>
        <w:ind w:left="3600" w:hanging="360"/>
      </w:pPr>
    </w:lvl>
    <w:lvl w:ilvl="4" w:tplc="08090019" w:tentative="1">
      <w:start w:val="1"/>
      <w:numFmt w:val="lowerLetter"/>
      <w:lvlText w:val="%5."/>
      <w:lvlJc w:val="left"/>
      <w:pPr>
        <w:tabs>
          <w:tab w:val="num" w:pos="4320"/>
        </w:tabs>
        <w:ind w:left="4320" w:hanging="360"/>
      </w:pPr>
    </w:lvl>
    <w:lvl w:ilvl="5" w:tplc="0809001B" w:tentative="1">
      <w:start w:val="1"/>
      <w:numFmt w:val="lowerRoman"/>
      <w:lvlText w:val="%6."/>
      <w:lvlJc w:val="right"/>
      <w:pPr>
        <w:tabs>
          <w:tab w:val="num" w:pos="5040"/>
        </w:tabs>
        <w:ind w:left="5040" w:hanging="180"/>
      </w:pPr>
    </w:lvl>
    <w:lvl w:ilvl="6" w:tplc="0809000F" w:tentative="1">
      <w:start w:val="1"/>
      <w:numFmt w:val="decimal"/>
      <w:lvlText w:val="%7."/>
      <w:lvlJc w:val="left"/>
      <w:pPr>
        <w:tabs>
          <w:tab w:val="num" w:pos="5760"/>
        </w:tabs>
        <w:ind w:left="5760" w:hanging="360"/>
      </w:pPr>
    </w:lvl>
    <w:lvl w:ilvl="7" w:tplc="08090019" w:tentative="1">
      <w:start w:val="1"/>
      <w:numFmt w:val="lowerLetter"/>
      <w:lvlText w:val="%8."/>
      <w:lvlJc w:val="left"/>
      <w:pPr>
        <w:tabs>
          <w:tab w:val="num" w:pos="6480"/>
        </w:tabs>
        <w:ind w:left="6480" w:hanging="360"/>
      </w:pPr>
    </w:lvl>
    <w:lvl w:ilvl="8" w:tplc="0809001B" w:tentative="1">
      <w:start w:val="1"/>
      <w:numFmt w:val="lowerRoman"/>
      <w:lvlText w:val="%9."/>
      <w:lvlJc w:val="right"/>
      <w:pPr>
        <w:tabs>
          <w:tab w:val="num" w:pos="7200"/>
        </w:tabs>
        <w:ind w:left="7200" w:hanging="180"/>
      </w:pPr>
    </w:lvl>
  </w:abstractNum>
  <w:abstractNum w:abstractNumId="17" w15:restartNumberingAfterBreak="0">
    <w:nsid w:val="13AA1869"/>
    <w:multiLevelType w:val="hybridMultilevel"/>
    <w:tmpl w:val="DE18BBEA"/>
    <w:lvl w:ilvl="0" w:tplc="CB76F86C">
      <w:start w:val="1"/>
      <w:numFmt w:val="decimal"/>
      <w:pStyle w:val="References"/>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147B79CA"/>
    <w:multiLevelType w:val="hybridMultilevel"/>
    <w:tmpl w:val="5D0607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8761D4B"/>
    <w:multiLevelType w:val="hybridMultilevel"/>
    <w:tmpl w:val="1FC64A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8EA73D1"/>
    <w:multiLevelType w:val="hybridMultilevel"/>
    <w:tmpl w:val="DD14C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96A364F"/>
    <w:multiLevelType w:val="hybridMultilevel"/>
    <w:tmpl w:val="49A21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9BE4279"/>
    <w:multiLevelType w:val="hybridMultilevel"/>
    <w:tmpl w:val="52609AC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1BB06DB6"/>
    <w:multiLevelType w:val="hybridMultilevel"/>
    <w:tmpl w:val="71E012B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C395E2B"/>
    <w:multiLevelType w:val="hybridMultilevel"/>
    <w:tmpl w:val="12B2A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E166162"/>
    <w:multiLevelType w:val="hybridMultilevel"/>
    <w:tmpl w:val="8F18F9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EBF321D"/>
    <w:multiLevelType w:val="hybridMultilevel"/>
    <w:tmpl w:val="90B86F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1EC77449"/>
    <w:multiLevelType w:val="hybridMultilevel"/>
    <w:tmpl w:val="E10AF8C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8" w15:restartNumberingAfterBreak="0">
    <w:nsid w:val="213B102D"/>
    <w:multiLevelType w:val="hybridMultilevel"/>
    <w:tmpl w:val="9AB478FA"/>
    <w:lvl w:ilvl="0" w:tplc="04090001">
      <w:start w:val="1"/>
      <w:numFmt w:val="bullet"/>
      <w:lvlText w:val=""/>
      <w:lvlJc w:val="left"/>
      <w:pPr>
        <w:ind w:left="502" w:hanging="360"/>
      </w:pPr>
      <w:rPr>
        <w:rFonts w:ascii="Symbol" w:hAnsi="Symbol" w:hint="default"/>
      </w:rPr>
    </w:lvl>
    <w:lvl w:ilvl="1" w:tplc="08090001">
      <w:start w:val="1"/>
      <w:numFmt w:val="bullet"/>
      <w:lvlText w:val=""/>
      <w:lvlJc w:val="left"/>
      <w:pPr>
        <w:ind w:left="731" w:hanging="360"/>
      </w:pPr>
      <w:rPr>
        <w:rFonts w:ascii="Symbol" w:hAnsi="Symbol" w:hint="default"/>
      </w:rPr>
    </w:lvl>
    <w:lvl w:ilvl="2" w:tplc="08090005">
      <w:start w:val="1"/>
      <w:numFmt w:val="bullet"/>
      <w:lvlText w:val=""/>
      <w:lvlJc w:val="left"/>
      <w:pPr>
        <w:ind w:left="1451" w:hanging="360"/>
      </w:pPr>
      <w:rPr>
        <w:rFonts w:ascii="Wingdings" w:hAnsi="Wingdings" w:hint="default"/>
      </w:rPr>
    </w:lvl>
    <w:lvl w:ilvl="3" w:tplc="08090001" w:tentative="1">
      <w:start w:val="1"/>
      <w:numFmt w:val="bullet"/>
      <w:lvlText w:val=""/>
      <w:lvlJc w:val="left"/>
      <w:pPr>
        <w:ind w:left="2171" w:hanging="360"/>
      </w:pPr>
      <w:rPr>
        <w:rFonts w:ascii="Symbol" w:hAnsi="Symbol" w:hint="default"/>
      </w:rPr>
    </w:lvl>
    <w:lvl w:ilvl="4" w:tplc="08090003" w:tentative="1">
      <w:start w:val="1"/>
      <w:numFmt w:val="bullet"/>
      <w:lvlText w:val="o"/>
      <w:lvlJc w:val="left"/>
      <w:pPr>
        <w:ind w:left="2891" w:hanging="360"/>
      </w:pPr>
      <w:rPr>
        <w:rFonts w:ascii="Courier New" w:hAnsi="Courier New" w:cs="Courier New" w:hint="default"/>
      </w:rPr>
    </w:lvl>
    <w:lvl w:ilvl="5" w:tplc="08090005" w:tentative="1">
      <w:start w:val="1"/>
      <w:numFmt w:val="bullet"/>
      <w:lvlText w:val=""/>
      <w:lvlJc w:val="left"/>
      <w:pPr>
        <w:ind w:left="3611" w:hanging="360"/>
      </w:pPr>
      <w:rPr>
        <w:rFonts w:ascii="Wingdings" w:hAnsi="Wingdings" w:hint="default"/>
      </w:rPr>
    </w:lvl>
    <w:lvl w:ilvl="6" w:tplc="08090001" w:tentative="1">
      <w:start w:val="1"/>
      <w:numFmt w:val="bullet"/>
      <w:lvlText w:val=""/>
      <w:lvlJc w:val="left"/>
      <w:pPr>
        <w:ind w:left="4331" w:hanging="360"/>
      </w:pPr>
      <w:rPr>
        <w:rFonts w:ascii="Symbol" w:hAnsi="Symbol" w:hint="default"/>
      </w:rPr>
    </w:lvl>
    <w:lvl w:ilvl="7" w:tplc="08090003" w:tentative="1">
      <w:start w:val="1"/>
      <w:numFmt w:val="bullet"/>
      <w:lvlText w:val="o"/>
      <w:lvlJc w:val="left"/>
      <w:pPr>
        <w:ind w:left="5051" w:hanging="360"/>
      </w:pPr>
      <w:rPr>
        <w:rFonts w:ascii="Courier New" w:hAnsi="Courier New" w:cs="Courier New" w:hint="default"/>
      </w:rPr>
    </w:lvl>
    <w:lvl w:ilvl="8" w:tplc="08090005" w:tentative="1">
      <w:start w:val="1"/>
      <w:numFmt w:val="bullet"/>
      <w:lvlText w:val=""/>
      <w:lvlJc w:val="left"/>
      <w:pPr>
        <w:ind w:left="5771" w:hanging="360"/>
      </w:pPr>
      <w:rPr>
        <w:rFonts w:ascii="Wingdings" w:hAnsi="Wingdings" w:hint="default"/>
      </w:rPr>
    </w:lvl>
  </w:abstractNum>
  <w:abstractNum w:abstractNumId="29" w15:restartNumberingAfterBreak="0">
    <w:nsid w:val="228E6574"/>
    <w:multiLevelType w:val="hybridMultilevel"/>
    <w:tmpl w:val="A31CE664"/>
    <w:numStyleLink w:val="ImportedStyle2"/>
  </w:abstractNum>
  <w:abstractNum w:abstractNumId="30" w15:restartNumberingAfterBreak="0">
    <w:nsid w:val="22B77673"/>
    <w:multiLevelType w:val="hybridMultilevel"/>
    <w:tmpl w:val="4246DFBA"/>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1" w15:restartNumberingAfterBreak="0">
    <w:nsid w:val="230F3E97"/>
    <w:multiLevelType w:val="hybridMultilevel"/>
    <w:tmpl w:val="E33875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238447A9"/>
    <w:multiLevelType w:val="hybridMultilevel"/>
    <w:tmpl w:val="03B8FE10"/>
    <w:lvl w:ilvl="0" w:tplc="73BA291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6C75527"/>
    <w:multiLevelType w:val="hybridMultilevel"/>
    <w:tmpl w:val="06AA1E76"/>
    <w:lvl w:ilvl="0" w:tplc="10DE6628">
      <w:start w:val="1"/>
      <w:numFmt w:val="decimal"/>
      <w:pStyle w:val="NumberNormal"/>
      <w:lvlText w:val="%1."/>
      <w:lvlJc w:val="left"/>
      <w:pPr>
        <w:tabs>
          <w:tab w:val="num" w:pos="1440"/>
        </w:tabs>
        <w:ind w:left="1440" w:hanging="360"/>
      </w:pPr>
    </w:lvl>
    <w:lvl w:ilvl="1" w:tplc="0554C8DE" w:tentative="1">
      <w:start w:val="1"/>
      <w:numFmt w:val="lowerLetter"/>
      <w:lvlText w:val="%2."/>
      <w:lvlJc w:val="left"/>
      <w:pPr>
        <w:tabs>
          <w:tab w:val="num" w:pos="2160"/>
        </w:tabs>
        <w:ind w:left="2160" w:hanging="360"/>
      </w:pPr>
    </w:lvl>
    <w:lvl w:ilvl="2" w:tplc="0809001B" w:tentative="1">
      <w:start w:val="1"/>
      <w:numFmt w:val="lowerRoman"/>
      <w:lvlText w:val="%3."/>
      <w:lvlJc w:val="right"/>
      <w:pPr>
        <w:tabs>
          <w:tab w:val="num" w:pos="2880"/>
        </w:tabs>
        <w:ind w:left="2880" w:hanging="180"/>
      </w:pPr>
    </w:lvl>
    <w:lvl w:ilvl="3" w:tplc="0809000F" w:tentative="1">
      <w:start w:val="1"/>
      <w:numFmt w:val="decimal"/>
      <w:lvlText w:val="%4."/>
      <w:lvlJc w:val="left"/>
      <w:pPr>
        <w:tabs>
          <w:tab w:val="num" w:pos="3600"/>
        </w:tabs>
        <w:ind w:left="3600" w:hanging="360"/>
      </w:pPr>
    </w:lvl>
    <w:lvl w:ilvl="4" w:tplc="08090019" w:tentative="1">
      <w:start w:val="1"/>
      <w:numFmt w:val="lowerLetter"/>
      <w:lvlText w:val="%5."/>
      <w:lvlJc w:val="left"/>
      <w:pPr>
        <w:tabs>
          <w:tab w:val="num" w:pos="4320"/>
        </w:tabs>
        <w:ind w:left="4320" w:hanging="360"/>
      </w:pPr>
    </w:lvl>
    <w:lvl w:ilvl="5" w:tplc="0809001B" w:tentative="1">
      <w:start w:val="1"/>
      <w:numFmt w:val="lowerRoman"/>
      <w:lvlText w:val="%6."/>
      <w:lvlJc w:val="right"/>
      <w:pPr>
        <w:tabs>
          <w:tab w:val="num" w:pos="5040"/>
        </w:tabs>
        <w:ind w:left="5040" w:hanging="180"/>
      </w:pPr>
    </w:lvl>
    <w:lvl w:ilvl="6" w:tplc="0809000F" w:tentative="1">
      <w:start w:val="1"/>
      <w:numFmt w:val="decimal"/>
      <w:lvlText w:val="%7."/>
      <w:lvlJc w:val="left"/>
      <w:pPr>
        <w:tabs>
          <w:tab w:val="num" w:pos="5760"/>
        </w:tabs>
        <w:ind w:left="5760" w:hanging="360"/>
      </w:pPr>
    </w:lvl>
    <w:lvl w:ilvl="7" w:tplc="08090019" w:tentative="1">
      <w:start w:val="1"/>
      <w:numFmt w:val="lowerLetter"/>
      <w:lvlText w:val="%8."/>
      <w:lvlJc w:val="left"/>
      <w:pPr>
        <w:tabs>
          <w:tab w:val="num" w:pos="6480"/>
        </w:tabs>
        <w:ind w:left="6480" w:hanging="360"/>
      </w:pPr>
    </w:lvl>
    <w:lvl w:ilvl="8" w:tplc="0809001B" w:tentative="1">
      <w:start w:val="1"/>
      <w:numFmt w:val="lowerRoman"/>
      <w:lvlText w:val="%9."/>
      <w:lvlJc w:val="right"/>
      <w:pPr>
        <w:tabs>
          <w:tab w:val="num" w:pos="7200"/>
        </w:tabs>
        <w:ind w:left="7200" w:hanging="180"/>
      </w:pPr>
    </w:lvl>
  </w:abstractNum>
  <w:abstractNum w:abstractNumId="34" w15:restartNumberingAfterBreak="0">
    <w:nsid w:val="2AFA617D"/>
    <w:multiLevelType w:val="hybridMultilevel"/>
    <w:tmpl w:val="6AC6C5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A50680"/>
    <w:multiLevelType w:val="hybridMultilevel"/>
    <w:tmpl w:val="5010F37E"/>
    <w:lvl w:ilvl="0" w:tplc="04090001">
      <w:start w:val="1"/>
      <w:numFmt w:val="bullet"/>
      <w:lvlText w:val=""/>
      <w:lvlJc w:val="left"/>
      <w:pPr>
        <w:ind w:left="502" w:hanging="360"/>
      </w:pPr>
      <w:rPr>
        <w:rFonts w:ascii="Symbol" w:hAnsi="Symbol" w:hint="default"/>
      </w:rPr>
    </w:lvl>
    <w:lvl w:ilvl="1" w:tplc="08090003">
      <w:start w:val="1"/>
      <w:numFmt w:val="bullet"/>
      <w:lvlText w:val="o"/>
      <w:lvlJc w:val="left"/>
      <w:pPr>
        <w:ind w:left="731" w:hanging="360"/>
      </w:pPr>
      <w:rPr>
        <w:rFonts w:ascii="Courier New" w:hAnsi="Courier New" w:cs="Courier New" w:hint="default"/>
      </w:rPr>
    </w:lvl>
    <w:lvl w:ilvl="2" w:tplc="08090005">
      <w:start w:val="1"/>
      <w:numFmt w:val="bullet"/>
      <w:lvlText w:val=""/>
      <w:lvlJc w:val="left"/>
      <w:pPr>
        <w:ind w:left="1451" w:hanging="360"/>
      </w:pPr>
      <w:rPr>
        <w:rFonts w:ascii="Wingdings" w:hAnsi="Wingdings" w:hint="default"/>
      </w:rPr>
    </w:lvl>
    <w:lvl w:ilvl="3" w:tplc="08090001" w:tentative="1">
      <w:start w:val="1"/>
      <w:numFmt w:val="bullet"/>
      <w:lvlText w:val=""/>
      <w:lvlJc w:val="left"/>
      <w:pPr>
        <w:ind w:left="2171" w:hanging="360"/>
      </w:pPr>
      <w:rPr>
        <w:rFonts w:ascii="Symbol" w:hAnsi="Symbol" w:hint="default"/>
      </w:rPr>
    </w:lvl>
    <w:lvl w:ilvl="4" w:tplc="08090003" w:tentative="1">
      <w:start w:val="1"/>
      <w:numFmt w:val="bullet"/>
      <w:lvlText w:val="o"/>
      <w:lvlJc w:val="left"/>
      <w:pPr>
        <w:ind w:left="2891" w:hanging="360"/>
      </w:pPr>
      <w:rPr>
        <w:rFonts w:ascii="Courier New" w:hAnsi="Courier New" w:cs="Courier New" w:hint="default"/>
      </w:rPr>
    </w:lvl>
    <w:lvl w:ilvl="5" w:tplc="08090005" w:tentative="1">
      <w:start w:val="1"/>
      <w:numFmt w:val="bullet"/>
      <w:lvlText w:val=""/>
      <w:lvlJc w:val="left"/>
      <w:pPr>
        <w:ind w:left="3611" w:hanging="360"/>
      </w:pPr>
      <w:rPr>
        <w:rFonts w:ascii="Wingdings" w:hAnsi="Wingdings" w:hint="default"/>
      </w:rPr>
    </w:lvl>
    <w:lvl w:ilvl="6" w:tplc="08090001" w:tentative="1">
      <w:start w:val="1"/>
      <w:numFmt w:val="bullet"/>
      <w:lvlText w:val=""/>
      <w:lvlJc w:val="left"/>
      <w:pPr>
        <w:ind w:left="4331" w:hanging="360"/>
      </w:pPr>
      <w:rPr>
        <w:rFonts w:ascii="Symbol" w:hAnsi="Symbol" w:hint="default"/>
      </w:rPr>
    </w:lvl>
    <w:lvl w:ilvl="7" w:tplc="08090003" w:tentative="1">
      <w:start w:val="1"/>
      <w:numFmt w:val="bullet"/>
      <w:lvlText w:val="o"/>
      <w:lvlJc w:val="left"/>
      <w:pPr>
        <w:ind w:left="5051" w:hanging="360"/>
      </w:pPr>
      <w:rPr>
        <w:rFonts w:ascii="Courier New" w:hAnsi="Courier New" w:cs="Courier New" w:hint="default"/>
      </w:rPr>
    </w:lvl>
    <w:lvl w:ilvl="8" w:tplc="08090005" w:tentative="1">
      <w:start w:val="1"/>
      <w:numFmt w:val="bullet"/>
      <w:lvlText w:val=""/>
      <w:lvlJc w:val="left"/>
      <w:pPr>
        <w:ind w:left="5771" w:hanging="360"/>
      </w:pPr>
      <w:rPr>
        <w:rFonts w:ascii="Wingdings" w:hAnsi="Wingdings" w:hint="default"/>
      </w:rPr>
    </w:lvl>
  </w:abstractNum>
  <w:abstractNum w:abstractNumId="36" w15:restartNumberingAfterBreak="0">
    <w:nsid w:val="2BCF5DF6"/>
    <w:multiLevelType w:val="multilevel"/>
    <w:tmpl w:val="0409001D"/>
    <w:styleLink w:val="ArticleSection"/>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2C847AF8"/>
    <w:multiLevelType w:val="hybridMultilevel"/>
    <w:tmpl w:val="74EAC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DA554D0"/>
    <w:multiLevelType w:val="hybridMultilevel"/>
    <w:tmpl w:val="06148A5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9" w15:restartNumberingAfterBreak="0">
    <w:nsid w:val="2DC17D52"/>
    <w:multiLevelType w:val="multilevel"/>
    <w:tmpl w:val="8F2628A2"/>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720"/>
        </w:tabs>
        <w:ind w:left="720" w:hanging="720"/>
      </w:pPr>
      <w:rPr>
        <w:rFonts w:ascii="Arial" w:hAnsi="Arial" w:hint="default"/>
        <w:b/>
        <w:i w:val="0"/>
        <w:sz w:val="22"/>
      </w:rPr>
    </w:lvl>
    <w:lvl w:ilvl="2">
      <w:start w:val="1"/>
      <w:numFmt w:val="decimal"/>
      <w:isLgl/>
      <w:lvlText w:val="%1.%2.%3"/>
      <w:lvlJc w:val="left"/>
      <w:pPr>
        <w:tabs>
          <w:tab w:val="num" w:pos="720"/>
        </w:tabs>
        <w:ind w:left="720" w:hanging="720"/>
      </w:pPr>
      <w:rPr>
        <w:rFonts w:ascii="Arial" w:hAnsi="Arial" w:hint="default"/>
        <w:b/>
        <w:i w:val="0"/>
        <w:sz w:val="22"/>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0" w15:restartNumberingAfterBreak="0">
    <w:nsid w:val="2F2F664B"/>
    <w:multiLevelType w:val="hybridMultilevel"/>
    <w:tmpl w:val="9384BA74"/>
    <w:lvl w:ilvl="0" w:tplc="08090001">
      <w:start w:val="1"/>
      <w:numFmt w:val="bullet"/>
      <w:lvlText w:val=""/>
      <w:lvlJc w:val="left"/>
      <w:pPr>
        <w:ind w:left="720" w:hanging="360"/>
      </w:pPr>
      <w:rPr>
        <w:rFonts w:ascii="Symbol" w:hAnsi="Symbol" w:hint="default"/>
      </w:rPr>
    </w:lvl>
    <w:lvl w:ilvl="1" w:tplc="A5B6A54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04041C6"/>
    <w:multiLevelType w:val="hybridMultilevel"/>
    <w:tmpl w:val="F1A6ECB8"/>
    <w:lvl w:ilvl="0" w:tplc="0F3CB166">
      <w:start w:val="1"/>
      <w:numFmt w:val="bullet"/>
      <w:lvlText w:val="•"/>
      <w:lvlJc w:val="left"/>
      <w:pPr>
        <w:tabs>
          <w:tab w:val="num" w:pos="720"/>
        </w:tabs>
        <w:ind w:left="720" w:hanging="360"/>
      </w:pPr>
      <w:rPr>
        <w:rFonts w:ascii="Arial" w:hAnsi="Arial" w:hint="default"/>
      </w:rPr>
    </w:lvl>
    <w:lvl w:ilvl="1" w:tplc="1B7607AC">
      <w:start w:val="1"/>
      <w:numFmt w:val="bullet"/>
      <w:lvlText w:val="•"/>
      <w:lvlJc w:val="left"/>
      <w:pPr>
        <w:tabs>
          <w:tab w:val="num" w:pos="1440"/>
        </w:tabs>
        <w:ind w:left="1440" w:hanging="360"/>
      </w:pPr>
      <w:rPr>
        <w:rFonts w:ascii="Arial" w:hAnsi="Arial" w:hint="default"/>
      </w:rPr>
    </w:lvl>
    <w:lvl w:ilvl="2" w:tplc="C324F54C" w:tentative="1">
      <w:start w:val="1"/>
      <w:numFmt w:val="bullet"/>
      <w:lvlText w:val="•"/>
      <w:lvlJc w:val="left"/>
      <w:pPr>
        <w:tabs>
          <w:tab w:val="num" w:pos="2160"/>
        </w:tabs>
        <w:ind w:left="2160" w:hanging="360"/>
      </w:pPr>
      <w:rPr>
        <w:rFonts w:ascii="Arial" w:hAnsi="Arial" w:hint="default"/>
      </w:rPr>
    </w:lvl>
    <w:lvl w:ilvl="3" w:tplc="22F45408" w:tentative="1">
      <w:start w:val="1"/>
      <w:numFmt w:val="bullet"/>
      <w:lvlText w:val="•"/>
      <w:lvlJc w:val="left"/>
      <w:pPr>
        <w:tabs>
          <w:tab w:val="num" w:pos="2880"/>
        </w:tabs>
        <w:ind w:left="2880" w:hanging="360"/>
      </w:pPr>
      <w:rPr>
        <w:rFonts w:ascii="Arial" w:hAnsi="Arial" w:hint="default"/>
      </w:rPr>
    </w:lvl>
    <w:lvl w:ilvl="4" w:tplc="36107810" w:tentative="1">
      <w:start w:val="1"/>
      <w:numFmt w:val="bullet"/>
      <w:lvlText w:val="•"/>
      <w:lvlJc w:val="left"/>
      <w:pPr>
        <w:tabs>
          <w:tab w:val="num" w:pos="3600"/>
        </w:tabs>
        <w:ind w:left="3600" w:hanging="360"/>
      </w:pPr>
      <w:rPr>
        <w:rFonts w:ascii="Arial" w:hAnsi="Arial" w:hint="default"/>
      </w:rPr>
    </w:lvl>
    <w:lvl w:ilvl="5" w:tplc="850A6640" w:tentative="1">
      <w:start w:val="1"/>
      <w:numFmt w:val="bullet"/>
      <w:lvlText w:val="•"/>
      <w:lvlJc w:val="left"/>
      <w:pPr>
        <w:tabs>
          <w:tab w:val="num" w:pos="4320"/>
        </w:tabs>
        <w:ind w:left="4320" w:hanging="360"/>
      </w:pPr>
      <w:rPr>
        <w:rFonts w:ascii="Arial" w:hAnsi="Arial" w:hint="default"/>
      </w:rPr>
    </w:lvl>
    <w:lvl w:ilvl="6" w:tplc="3008E784" w:tentative="1">
      <w:start w:val="1"/>
      <w:numFmt w:val="bullet"/>
      <w:lvlText w:val="•"/>
      <w:lvlJc w:val="left"/>
      <w:pPr>
        <w:tabs>
          <w:tab w:val="num" w:pos="5040"/>
        </w:tabs>
        <w:ind w:left="5040" w:hanging="360"/>
      </w:pPr>
      <w:rPr>
        <w:rFonts w:ascii="Arial" w:hAnsi="Arial" w:hint="default"/>
      </w:rPr>
    </w:lvl>
    <w:lvl w:ilvl="7" w:tplc="507CF6FA" w:tentative="1">
      <w:start w:val="1"/>
      <w:numFmt w:val="bullet"/>
      <w:lvlText w:val="•"/>
      <w:lvlJc w:val="left"/>
      <w:pPr>
        <w:tabs>
          <w:tab w:val="num" w:pos="5760"/>
        </w:tabs>
        <w:ind w:left="5760" w:hanging="360"/>
      </w:pPr>
      <w:rPr>
        <w:rFonts w:ascii="Arial" w:hAnsi="Arial" w:hint="default"/>
      </w:rPr>
    </w:lvl>
    <w:lvl w:ilvl="8" w:tplc="77127E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08A50BA"/>
    <w:multiLevelType w:val="multilevel"/>
    <w:tmpl w:val="6040EEB0"/>
    <w:lvl w:ilvl="0">
      <w:start w:val="1"/>
      <w:numFmt w:val="decimal"/>
      <w:lvlText w:val="%1"/>
      <w:lvlJc w:val="left"/>
      <w:pPr>
        <w:ind w:left="383" w:hanging="383"/>
      </w:pPr>
      <w:rPr>
        <w:rFonts w:hint="default"/>
      </w:rPr>
    </w:lvl>
    <w:lvl w:ilvl="1">
      <w:start w:val="1"/>
      <w:numFmt w:val="decimal"/>
      <w:lvlText w:val="%1.%2"/>
      <w:lvlJc w:val="left"/>
      <w:pPr>
        <w:ind w:left="383" w:hanging="38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309509F5"/>
    <w:multiLevelType w:val="hybridMultilevel"/>
    <w:tmpl w:val="47608DC4"/>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30CC3C03"/>
    <w:multiLevelType w:val="hybridMultilevel"/>
    <w:tmpl w:val="13527560"/>
    <w:lvl w:ilvl="0" w:tplc="7E0281C4">
      <w:start w:val="1"/>
      <w:numFmt w:val="bullet"/>
      <w:lvlText w:val="•"/>
      <w:lvlJc w:val="left"/>
      <w:pPr>
        <w:tabs>
          <w:tab w:val="num" w:pos="720"/>
        </w:tabs>
        <w:ind w:left="720" w:hanging="360"/>
      </w:pPr>
      <w:rPr>
        <w:rFonts w:ascii="Arial" w:hAnsi="Arial" w:hint="default"/>
      </w:rPr>
    </w:lvl>
    <w:lvl w:ilvl="1" w:tplc="CD6EA86A">
      <w:numFmt w:val="bullet"/>
      <w:lvlText w:val="•"/>
      <w:lvlJc w:val="left"/>
      <w:pPr>
        <w:tabs>
          <w:tab w:val="num" w:pos="1440"/>
        </w:tabs>
        <w:ind w:left="1440" w:hanging="360"/>
      </w:pPr>
      <w:rPr>
        <w:rFonts w:ascii="Arial" w:hAnsi="Arial" w:hint="default"/>
      </w:rPr>
    </w:lvl>
    <w:lvl w:ilvl="2" w:tplc="6FE655C2">
      <w:start w:val="1"/>
      <w:numFmt w:val="bullet"/>
      <w:lvlText w:val="•"/>
      <w:lvlJc w:val="left"/>
      <w:pPr>
        <w:tabs>
          <w:tab w:val="num" w:pos="2160"/>
        </w:tabs>
        <w:ind w:left="2160" w:hanging="360"/>
      </w:pPr>
      <w:rPr>
        <w:rFonts w:ascii="Arial" w:hAnsi="Arial" w:hint="default"/>
      </w:rPr>
    </w:lvl>
    <w:lvl w:ilvl="3" w:tplc="5574C4B6">
      <w:start w:val="1"/>
      <w:numFmt w:val="bullet"/>
      <w:lvlText w:val="•"/>
      <w:lvlJc w:val="left"/>
      <w:pPr>
        <w:tabs>
          <w:tab w:val="num" w:pos="2880"/>
        </w:tabs>
        <w:ind w:left="2880" w:hanging="360"/>
      </w:pPr>
      <w:rPr>
        <w:rFonts w:ascii="Arial" w:hAnsi="Arial" w:hint="default"/>
      </w:rPr>
    </w:lvl>
    <w:lvl w:ilvl="4" w:tplc="2168E1F4">
      <w:start w:val="1"/>
      <w:numFmt w:val="bullet"/>
      <w:lvlText w:val="•"/>
      <w:lvlJc w:val="left"/>
      <w:pPr>
        <w:tabs>
          <w:tab w:val="num" w:pos="3600"/>
        </w:tabs>
        <w:ind w:left="3600" w:hanging="360"/>
      </w:pPr>
      <w:rPr>
        <w:rFonts w:ascii="Arial" w:hAnsi="Arial" w:hint="default"/>
      </w:rPr>
    </w:lvl>
    <w:lvl w:ilvl="5" w:tplc="E9AAD944" w:tentative="1">
      <w:start w:val="1"/>
      <w:numFmt w:val="bullet"/>
      <w:lvlText w:val="•"/>
      <w:lvlJc w:val="left"/>
      <w:pPr>
        <w:tabs>
          <w:tab w:val="num" w:pos="4320"/>
        </w:tabs>
        <w:ind w:left="4320" w:hanging="360"/>
      </w:pPr>
      <w:rPr>
        <w:rFonts w:ascii="Arial" w:hAnsi="Arial" w:hint="default"/>
      </w:rPr>
    </w:lvl>
    <w:lvl w:ilvl="6" w:tplc="B2AE67F2" w:tentative="1">
      <w:start w:val="1"/>
      <w:numFmt w:val="bullet"/>
      <w:lvlText w:val="•"/>
      <w:lvlJc w:val="left"/>
      <w:pPr>
        <w:tabs>
          <w:tab w:val="num" w:pos="5040"/>
        </w:tabs>
        <w:ind w:left="5040" w:hanging="360"/>
      </w:pPr>
      <w:rPr>
        <w:rFonts w:ascii="Arial" w:hAnsi="Arial" w:hint="default"/>
      </w:rPr>
    </w:lvl>
    <w:lvl w:ilvl="7" w:tplc="0AF80BC8" w:tentative="1">
      <w:start w:val="1"/>
      <w:numFmt w:val="bullet"/>
      <w:lvlText w:val="•"/>
      <w:lvlJc w:val="left"/>
      <w:pPr>
        <w:tabs>
          <w:tab w:val="num" w:pos="5760"/>
        </w:tabs>
        <w:ind w:left="5760" w:hanging="360"/>
      </w:pPr>
      <w:rPr>
        <w:rFonts w:ascii="Arial" w:hAnsi="Arial" w:hint="default"/>
      </w:rPr>
    </w:lvl>
    <w:lvl w:ilvl="8" w:tplc="71CC118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0DD42CC"/>
    <w:multiLevelType w:val="hybridMultilevel"/>
    <w:tmpl w:val="8E887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3D656DF"/>
    <w:multiLevelType w:val="hybridMultilevel"/>
    <w:tmpl w:val="EBEA281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33EC2EEC"/>
    <w:multiLevelType w:val="hybridMultilevel"/>
    <w:tmpl w:val="8D3E1FA6"/>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34375031"/>
    <w:multiLevelType w:val="hybridMultilevel"/>
    <w:tmpl w:val="2820B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6731DFB"/>
    <w:multiLevelType w:val="hybridMultilevel"/>
    <w:tmpl w:val="BA7233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0" w15:restartNumberingAfterBreak="0">
    <w:nsid w:val="389448F4"/>
    <w:multiLevelType w:val="hybridMultilevel"/>
    <w:tmpl w:val="E3B88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B224788"/>
    <w:multiLevelType w:val="hybridMultilevel"/>
    <w:tmpl w:val="C142B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B834394"/>
    <w:multiLevelType w:val="hybridMultilevel"/>
    <w:tmpl w:val="2A9282B8"/>
    <w:lvl w:ilvl="0" w:tplc="7A6E3F08">
      <w:start w:val="1"/>
      <w:numFmt w:val="decimal"/>
      <w:lvlText w:val="%1."/>
      <w:lvlJc w:val="left"/>
      <w:pPr>
        <w:ind w:left="720" w:hanging="360"/>
      </w:pPr>
      <w:rPr>
        <w:rFonts w:hint="default"/>
        <w:i/>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D274D0A"/>
    <w:multiLevelType w:val="hybridMultilevel"/>
    <w:tmpl w:val="7C1012F2"/>
    <w:lvl w:ilvl="0" w:tplc="10DE6628">
      <w:start w:val="1"/>
      <w:numFmt w:val="bullet"/>
      <w:pStyle w:val="bullet2"/>
      <w:lvlText w:val=""/>
      <w:lvlJc w:val="left"/>
      <w:pPr>
        <w:tabs>
          <w:tab w:val="num" w:pos="720"/>
        </w:tabs>
        <w:ind w:left="720" w:hanging="360"/>
      </w:pPr>
      <w:rPr>
        <w:rFonts w:ascii="Symbol" w:hAnsi="Symbol" w:hint="default"/>
      </w:rPr>
    </w:lvl>
    <w:lvl w:ilvl="1" w:tplc="711EF208"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1E49A0"/>
    <w:multiLevelType w:val="hybridMultilevel"/>
    <w:tmpl w:val="6A6E9D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E2009"/>
    <w:multiLevelType w:val="hybridMultilevel"/>
    <w:tmpl w:val="5D643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05F3B81"/>
    <w:multiLevelType w:val="hybridMultilevel"/>
    <w:tmpl w:val="1EC0323C"/>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40AE1184"/>
    <w:multiLevelType w:val="hybridMultilevel"/>
    <w:tmpl w:val="6494D8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3F96375"/>
    <w:multiLevelType w:val="hybridMultilevel"/>
    <w:tmpl w:val="66AE8300"/>
    <w:lvl w:ilvl="0" w:tplc="5C18870C">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5FF19F7"/>
    <w:multiLevelType w:val="hybridMultilevel"/>
    <w:tmpl w:val="829E792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0" w15:restartNumberingAfterBreak="0">
    <w:nsid w:val="46266BDC"/>
    <w:multiLevelType w:val="hybridMultilevel"/>
    <w:tmpl w:val="379A6168"/>
    <w:lvl w:ilvl="0" w:tplc="08090001">
      <w:start w:val="1"/>
      <w:numFmt w:val="bullet"/>
      <w:lvlText w:val=""/>
      <w:lvlJc w:val="left"/>
      <w:pPr>
        <w:ind w:left="2670" w:hanging="360"/>
      </w:pPr>
      <w:rPr>
        <w:rFonts w:ascii="Symbol" w:hAnsi="Symbol" w:hint="default"/>
      </w:rPr>
    </w:lvl>
    <w:lvl w:ilvl="1" w:tplc="08090003">
      <w:start w:val="1"/>
      <w:numFmt w:val="bullet"/>
      <w:lvlText w:val="o"/>
      <w:lvlJc w:val="left"/>
      <w:pPr>
        <w:ind w:left="3390" w:hanging="360"/>
      </w:pPr>
      <w:rPr>
        <w:rFonts w:ascii="Courier New" w:hAnsi="Courier New" w:cs="Courier New" w:hint="default"/>
      </w:rPr>
    </w:lvl>
    <w:lvl w:ilvl="2" w:tplc="08090005">
      <w:start w:val="1"/>
      <w:numFmt w:val="bullet"/>
      <w:lvlText w:val=""/>
      <w:lvlJc w:val="left"/>
      <w:pPr>
        <w:ind w:left="4110" w:hanging="360"/>
      </w:pPr>
      <w:rPr>
        <w:rFonts w:ascii="Wingdings" w:hAnsi="Wingdings" w:hint="default"/>
      </w:rPr>
    </w:lvl>
    <w:lvl w:ilvl="3" w:tplc="08090001" w:tentative="1">
      <w:start w:val="1"/>
      <w:numFmt w:val="bullet"/>
      <w:lvlText w:val=""/>
      <w:lvlJc w:val="left"/>
      <w:pPr>
        <w:ind w:left="4830" w:hanging="360"/>
      </w:pPr>
      <w:rPr>
        <w:rFonts w:ascii="Symbol" w:hAnsi="Symbol" w:hint="default"/>
      </w:rPr>
    </w:lvl>
    <w:lvl w:ilvl="4" w:tplc="08090003" w:tentative="1">
      <w:start w:val="1"/>
      <w:numFmt w:val="bullet"/>
      <w:lvlText w:val="o"/>
      <w:lvlJc w:val="left"/>
      <w:pPr>
        <w:ind w:left="5550" w:hanging="360"/>
      </w:pPr>
      <w:rPr>
        <w:rFonts w:ascii="Courier New" w:hAnsi="Courier New" w:cs="Courier New" w:hint="default"/>
      </w:rPr>
    </w:lvl>
    <w:lvl w:ilvl="5" w:tplc="08090005" w:tentative="1">
      <w:start w:val="1"/>
      <w:numFmt w:val="bullet"/>
      <w:lvlText w:val=""/>
      <w:lvlJc w:val="left"/>
      <w:pPr>
        <w:ind w:left="6270" w:hanging="360"/>
      </w:pPr>
      <w:rPr>
        <w:rFonts w:ascii="Wingdings" w:hAnsi="Wingdings" w:hint="default"/>
      </w:rPr>
    </w:lvl>
    <w:lvl w:ilvl="6" w:tplc="08090001" w:tentative="1">
      <w:start w:val="1"/>
      <w:numFmt w:val="bullet"/>
      <w:lvlText w:val=""/>
      <w:lvlJc w:val="left"/>
      <w:pPr>
        <w:ind w:left="6990" w:hanging="360"/>
      </w:pPr>
      <w:rPr>
        <w:rFonts w:ascii="Symbol" w:hAnsi="Symbol" w:hint="default"/>
      </w:rPr>
    </w:lvl>
    <w:lvl w:ilvl="7" w:tplc="08090003" w:tentative="1">
      <w:start w:val="1"/>
      <w:numFmt w:val="bullet"/>
      <w:lvlText w:val="o"/>
      <w:lvlJc w:val="left"/>
      <w:pPr>
        <w:ind w:left="7710" w:hanging="360"/>
      </w:pPr>
      <w:rPr>
        <w:rFonts w:ascii="Courier New" w:hAnsi="Courier New" w:cs="Courier New" w:hint="default"/>
      </w:rPr>
    </w:lvl>
    <w:lvl w:ilvl="8" w:tplc="08090005" w:tentative="1">
      <w:start w:val="1"/>
      <w:numFmt w:val="bullet"/>
      <w:lvlText w:val=""/>
      <w:lvlJc w:val="left"/>
      <w:pPr>
        <w:ind w:left="8430" w:hanging="360"/>
      </w:pPr>
      <w:rPr>
        <w:rFonts w:ascii="Wingdings" w:hAnsi="Wingdings" w:hint="default"/>
      </w:rPr>
    </w:lvl>
  </w:abstractNum>
  <w:abstractNum w:abstractNumId="61" w15:restartNumberingAfterBreak="0">
    <w:nsid w:val="477A552C"/>
    <w:multiLevelType w:val="multilevel"/>
    <w:tmpl w:val="4EBE4EE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47850FB3"/>
    <w:multiLevelType w:val="hybridMultilevel"/>
    <w:tmpl w:val="63621A82"/>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3" w15:restartNumberingAfterBreak="0">
    <w:nsid w:val="491563A1"/>
    <w:multiLevelType w:val="hybridMultilevel"/>
    <w:tmpl w:val="1460F4BC"/>
    <w:lvl w:ilvl="0" w:tplc="85DE3F12">
      <w:start w:val="1"/>
      <w:numFmt w:val="decimal"/>
      <w:lvlText w:val="%1."/>
      <w:lvlJc w:val="left"/>
      <w:pPr>
        <w:ind w:left="720" w:hanging="360"/>
      </w:pPr>
      <w:rPr>
        <w:rFonts w:cstheme="majorBidi"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93C38A8"/>
    <w:multiLevelType w:val="hybridMultilevel"/>
    <w:tmpl w:val="99D63A08"/>
    <w:lvl w:ilvl="0" w:tplc="08090001">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65" w15:restartNumberingAfterBreak="0">
    <w:nsid w:val="4C3432E7"/>
    <w:multiLevelType w:val="hybridMultilevel"/>
    <w:tmpl w:val="18048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8B41B5"/>
    <w:multiLevelType w:val="hybridMultilevel"/>
    <w:tmpl w:val="EC901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CF05168"/>
    <w:multiLevelType w:val="hybridMultilevel"/>
    <w:tmpl w:val="8B0A6030"/>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8" w15:restartNumberingAfterBreak="0">
    <w:nsid w:val="4E2C242D"/>
    <w:multiLevelType w:val="hybridMultilevel"/>
    <w:tmpl w:val="B0FAFFA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4E3C1F42"/>
    <w:multiLevelType w:val="hybridMultilevel"/>
    <w:tmpl w:val="9C60905A"/>
    <w:lvl w:ilvl="0" w:tplc="64884E6A">
      <w:start w:val="1"/>
      <w:numFmt w:val="decimal"/>
      <w:lvlText w:val="%1."/>
      <w:lvlJc w:val="left"/>
      <w:pPr>
        <w:ind w:left="720" w:hanging="360"/>
      </w:pPr>
      <w:rPr>
        <w:rFonts w:hint="default"/>
        <w:b/>
        <w:color w:val="00000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4EBB288D"/>
    <w:multiLevelType w:val="hybridMultilevel"/>
    <w:tmpl w:val="BFEAF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28E6177"/>
    <w:multiLevelType w:val="hybridMultilevel"/>
    <w:tmpl w:val="B2A4DEC0"/>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2" w15:restartNumberingAfterBreak="0">
    <w:nsid w:val="52AB3EC6"/>
    <w:multiLevelType w:val="hybridMultilevel"/>
    <w:tmpl w:val="D9982AE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3" w15:restartNumberingAfterBreak="0">
    <w:nsid w:val="53053FC3"/>
    <w:multiLevelType w:val="hybridMultilevel"/>
    <w:tmpl w:val="C538B1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53797D3F"/>
    <w:multiLevelType w:val="hybridMultilevel"/>
    <w:tmpl w:val="52ACFE2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5" w15:restartNumberingAfterBreak="0">
    <w:nsid w:val="554801F8"/>
    <w:multiLevelType w:val="multilevel"/>
    <w:tmpl w:val="0409001F"/>
    <w:styleLink w:val="1ai"/>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6" w15:restartNumberingAfterBreak="0">
    <w:nsid w:val="555F6E9D"/>
    <w:multiLevelType w:val="hybridMultilevel"/>
    <w:tmpl w:val="A07C4A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5C07B87"/>
    <w:multiLevelType w:val="hybridMultilevel"/>
    <w:tmpl w:val="842E77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61C3DD5"/>
    <w:multiLevelType w:val="hybridMultilevel"/>
    <w:tmpl w:val="7EC25BCC"/>
    <w:lvl w:ilvl="0" w:tplc="50F66FDA">
      <w:start w:val="7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74714BE"/>
    <w:multiLevelType w:val="hybridMultilevel"/>
    <w:tmpl w:val="FD44AFC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88651AD"/>
    <w:multiLevelType w:val="hybridMultilevel"/>
    <w:tmpl w:val="492C6E4A"/>
    <w:lvl w:ilvl="0" w:tplc="B1F6CC78">
      <w:start w:val="1"/>
      <w:numFmt w:val="lowerLetter"/>
      <w:lvlText w:val="3%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58F90647"/>
    <w:multiLevelType w:val="hybridMultilevel"/>
    <w:tmpl w:val="E2C64E6E"/>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59903BE3"/>
    <w:multiLevelType w:val="hybridMultilevel"/>
    <w:tmpl w:val="76921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9ED2E7E"/>
    <w:multiLevelType w:val="hybridMultilevel"/>
    <w:tmpl w:val="06148A5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4" w15:restartNumberingAfterBreak="0">
    <w:nsid w:val="5AC16D38"/>
    <w:multiLevelType w:val="hybridMultilevel"/>
    <w:tmpl w:val="CC4C27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5AE2490F"/>
    <w:multiLevelType w:val="hybridMultilevel"/>
    <w:tmpl w:val="2174D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B23181B"/>
    <w:multiLevelType w:val="hybridMultilevel"/>
    <w:tmpl w:val="E46208C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5B5B0285"/>
    <w:multiLevelType w:val="hybridMultilevel"/>
    <w:tmpl w:val="F1FE41EC"/>
    <w:lvl w:ilvl="0" w:tplc="84345716">
      <w:start w:val="1"/>
      <w:numFmt w:val="decimal"/>
      <w:lvlText w:val="%1)"/>
      <w:lvlJc w:val="left"/>
      <w:pPr>
        <w:ind w:left="720" w:hanging="360"/>
      </w:pPr>
      <w:rPr>
        <w:rFonts w:ascii="Times New Roman" w:eastAsiaTheme="minorHAnsi"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C23734B"/>
    <w:multiLevelType w:val="hybridMultilevel"/>
    <w:tmpl w:val="B9B85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C502D9B"/>
    <w:multiLevelType w:val="hybridMultilevel"/>
    <w:tmpl w:val="BB066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CBD0E72"/>
    <w:multiLevelType w:val="hybridMultilevel"/>
    <w:tmpl w:val="A31CE664"/>
    <w:styleLink w:val="ImportedStyle2"/>
    <w:lvl w:ilvl="0" w:tplc="23302A7E">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3122F94">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C182FDC">
      <w:start w:val="1"/>
      <w:numFmt w:val="lowerRoman"/>
      <w:lvlText w:val="%3."/>
      <w:lvlJc w:val="left"/>
      <w:pPr>
        <w:ind w:left="2160" w:hanging="27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B5C07F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932BA0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43EDAEE">
      <w:start w:val="1"/>
      <w:numFmt w:val="lowerRoman"/>
      <w:lvlText w:val="%6."/>
      <w:lvlJc w:val="left"/>
      <w:pPr>
        <w:ind w:left="4320" w:hanging="27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74A253A">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D9257B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E8E15EA">
      <w:start w:val="1"/>
      <w:numFmt w:val="lowerRoman"/>
      <w:lvlText w:val="%9."/>
      <w:lvlJc w:val="left"/>
      <w:pPr>
        <w:ind w:left="6480" w:hanging="27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1" w15:restartNumberingAfterBreak="0">
    <w:nsid w:val="5D1D6DF0"/>
    <w:multiLevelType w:val="hybridMultilevel"/>
    <w:tmpl w:val="CAE2C4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DE26C60"/>
    <w:multiLevelType w:val="hybridMultilevel"/>
    <w:tmpl w:val="43AA58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5E9E0F2E"/>
    <w:multiLevelType w:val="hybridMultilevel"/>
    <w:tmpl w:val="3836E9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4" w15:restartNumberingAfterBreak="0">
    <w:nsid w:val="5F0761A3"/>
    <w:multiLevelType w:val="hybridMultilevel"/>
    <w:tmpl w:val="F446C9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5F464F82"/>
    <w:multiLevelType w:val="hybridMultilevel"/>
    <w:tmpl w:val="4FEC61C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617D40B3"/>
    <w:multiLevelType w:val="hybridMultilevel"/>
    <w:tmpl w:val="6BF0610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7" w15:restartNumberingAfterBreak="0">
    <w:nsid w:val="63533A62"/>
    <w:multiLevelType w:val="hybridMultilevel"/>
    <w:tmpl w:val="06148A5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8" w15:restartNumberingAfterBreak="0">
    <w:nsid w:val="63FF716B"/>
    <w:multiLevelType w:val="hybridMultilevel"/>
    <w:tmpl w:val="C9101AB6"/>
    <w:lvl w:ilvl="0" w:tplc="95543BD4">
      <w:start w:val="1"/>
      <w:numFmt w:val="lowerLetter"/>
      <w:lvlText w:val="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64F2E42"/>
    <w:multiLevelType w:val="hybridMultilevel"/>
    <w:tmpl w:val="BA6A25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87B10C8"/>
    <w:multiLevelType w:val="multilevel"/>
    <w:tmpl w:val="4EBE4EE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1" w15:restartNumberingAfterBreak="0">
    <w:nsid w:val="692F780F"/>
    <w:multiLevelType w:val="hybridMultilevel"/>
    <w:tmpl w:val="6B0AB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CC217D1"/>
    <w:multiLevelType w:val="hybridMultilevel"/>
    <w:tmpl w:val="BCEAF762"/>
    <w:lvl w:ilvl="0" w:tplc="7C765F06">
      <w:start w:val="1"/>
      <w:numFmt w:val="lowerLetter"/>
      <w:lvlText w:val="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DB51AF2"/>
    <w:multiLevelType w:val="hybridMultilevel"/>
    <w:tmpl w:val="67F0CC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6DEB24B5"/>
    <w:multiLevelType w:val="hybridMultilevel"/>
    <w:tmpl w:val="A462F4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E3B2ADD"/>
    <w:multiLevelType w:val="hybridMultilevel"/>
    <w:tmpl w:val="63A2D4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FD04CDA"/>
    <w:multiLevelType w:val="hybridMultilevel"/>
    <w:tmpl w:val="340E44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0F0659E"/>
    <w:multiLevelType w:val="hybridMultilevel"/>
    <w:tmpl w:val="6AF4916E"/>
    <w:lvl w:ilvl="0" w:tplc="B4082674">
      <w:start w:val="1"/>
      <w:numFmt w:val="bullet"/>
      <w:lvlText w:val="•"/>
      <w:lvlJc w:val="left"/>
      <w:pPr>
        <w:tabs>
          <w:tab w:val="num" w:pos="720"/>
        </w:tabs>
        <w:ind w:left="720" w:hanging="360"/>
      </w:pPr>
      <w:rPr>
        <w:rFonts w:ascii="Arial" w:hAnsi="Arial" w:hint="default"/>
      </w:rPr>
    </w:lvl>
    <w:lvl w:ilvl="1" w:tplc="AD40F0C4">
      <w:start w:val="1"/>
      <w:numFmt w:val="bullet"/>
      <w:lvlText w:val="•"/>
      <w:lvlJc w:val="left"/>
      <w:pPr>
        <w:tabs>
          <w:tab w:val="num" w:pos="1440"/>
        </w:tabs>
        <w:ind w:left="1440" w:hanging="360"/>
      </w:pPr>
      <w:rPr>
        <w:rFonts w:ascii="Arial" w:hAnsi="Arial" w:hint="default"/>
      </w:rPr>
    </w:lvl>
    <w:lvl w:ilvl="2" w:tplc="2E34F244" w:tentative="1">
      <w:start w:val="1"/>
      <w:numFmt w:val="bullet"/>
      <w:lvlText w:val="•"/>
      <w:lvlJc w:val="left"/>
      <w:pPr>
        <w:tabs>
          <w:tab w:val="num" w:pos="2160"/>
        </w:tabs>
        <w:ind w:left="2160" w:hanging="360"/>
      </w:pPr>
      <w:rPr>
        <w:rFonts w:ascii="Arial" w:hAnsi="Arial" w:hint="default"/>
      </w:rPr>
    </w:lvl>
    <w:lvl w:ilvl="3" w:tplc="A478073C" w:tentative="1">
      <w:start w:val="1"/>
      <w:numFmt w:val="bullet"/>
      <w:lvlText w:val="•"/>
      <w:lvlJc w:val="left"/>
      <w:pPr>
        <w:tabs>
          <w:tab w:val="num" w:pos="2880"/>
        </w:tabs>
        <w:ind w:left="2880" w:hanging="360"/>
      </w:pPr>
      <w:rPr>
        <w:rFonts w:ascii="Arial" w:hAnsi="Arial" w:hint="default"/>
      </w:rPr>
    </w:lvl>
    <w:lvl w:ilvl="4" w:tplc="D82E12E0" w:tentative="1">
      <w:start w:val="1"/>
      <w:numFmt w:val="bullet"/>
      <w:lvlText w:val="•"/>
      <w:lvlJc w:val="left"/>
      <w:pPr>
        <w:tabs>
          <w:tab w:val="num" w:pos="3600"/>
        </w:tabs>
        <w:ind w:left="3600" w:hanging="360"/>
      </w:pPr>
      <w:rPr>
        <w:rFonts w:ascii="Arial" w:hAnsi="Arial" w:hint="default"/>
      </w:rPr>
    </w:lvl>
    <w:lvl w:ilvl="5" w:tplc="A0F684C6" w:tentative="1">
      <w:start w:val="1"/>
      <w:numFmt w:val="bullet"/>
      <w:lvlText w:val="•"/>
      <w:lvlJc w:val="left"/>
      <w:pPr>
        <w:tabs>
          <w:tab w:val="num" w:pos="4320"/>
        </w:tabs>
        <w:ind w:left="4320" w:hanging="360"/>
      </w:pPr>
      <w:rPr>
        <w:rFonts w:ascii="Arial" w:hAnsi="Arial" w:hint="default"/>
      </w:rPr>
    </w:lvl>
    <w:lvl w:ilvl="6" w:tplc="1024A482" w:tentative="1">
      <w:start w:val="1"/>
      <w:numFmt w:val="bullet"/>
      <w:lvlText w:val="•"/>
      <w:lvlJc w:val="left"/>
      <w:pPr>
        <w:tabs>
          <w:tab w:val="num" w:pos="5040"/>
        </w:tabs>
        <w:ind w:left="5040" w:hanging="360"/>
      </w:pPr>
      <w:rPr>
        <w:rFonts w:ascii="Arial" w:hAnsi="Arial" w:hint="default"/>
      </w:rPr>
    </w:lvl>
    <w:lvl w:ilvl="7" w:tplc="AE6C0FF2" w:tentative="1">
      <w:start w:val="1"/>
      <w:numFmt w:val="bullet"/>
      <w:lvlText w:val="•"/>
      <w:lvlJc w:val="left"/>
      <w:pPr>
        <w:tabs>
          <w:tab w:val="num" w:pos="5760"/>
        </w:tabs>
        <w:ind w:left="5760" w:hanging="360"/>
      </w:pPr>
      <w:rPr>
        <w:rFonts w:ascii="Arial" w:hAnsi="Arial" w:hint="default"/>
      </w:rPr>
    </w:lvl>
    <w:lvl w:ilvl="8" w:tplc="1EEEF91A"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7171568C"/>
    <w:multiLevelType w:val="hybridMultilevel"/>
    <w:tmpl w:val="47C008A4"/>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71982387"/>
    <w:multiLevelType w:val="hybridMultilevel"/>
    <w:tmpl w:val="B1BC04B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1DD6950"/>
    <w:multiLevelType w:val="multilevel"/>
    <w:tmpl w:val="4EBE4EE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1" w15:restartNumberingAfterBreak="0">
    <w:nsid w:val="73B3655A"/>
    <w:multiLevelType w:val="hybridMultilevel"/>
    <w:tmpl w:val="0FF4802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75905ED9"/>
    <w:multiLevelType w:val="hybridMultilevel"/>
    <w:tmpl w:val="DB4A30C6"/>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113" w15:restartNumberingAfterBreak="0">
    <w:nsid w:val="797A1A1C"/>
    <w:multiLevelType w:val="hybridMultilevel"/>
    <w:tmpl w:val="F6E0B6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7A363E6F"/>
    <w:multiLevelType w:val="hybridMultilevel"/>
    <w:tmpl w:val="C428B2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7AA1400D"/>
    <w:multiLevelType w:val="hybridMultilevel"/>
    <w:tmpl w:val="D486AD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CE4018C"/>
    <w:multiLevelType w:val="hybridMultilevel"/>
    <w:tmpl w:val="437C7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7D307B72"/>
    <w:multiLevelType w:val="hybridMultilevel"/>
    <w:tmpl w:val="0122BBF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7F361B7C"/>
    <w:multiLevelType w:val="hybridMultilevel"/>
    <w:tmpl w:val="7B0031C8"/>
    <w:lvl w:ilvl="0" w:tplc="43F09BB8">
      <w:start w:val="1"/>
      <w:numFmt w:val="decimal"/>
      <w:lvlText w:val="%1."/>
      <w:lvlJc w:val="left"/>
      <w:pPr>
        <w:ind w:left="1069" w:hanging="360"/>
      </w:pPr>
      <w:rPr>
        <w:rFonts w:hint="default"/>
        <w:i w:val="0"/>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num w:numId="1">
    <w:abstractNumId w:val="90"/>
  </w:num>
  <w:num w:numId="2">
    <w:abstractNumId w:val="29"/>
  </w:num>
  <w:num w:numId="3">
    <w:abstractNumId w:val="40"/>
  </w:num>
  <w:num w:numId="4">
    <w:abstractNumId w:val="50"/>
  </w:num>
  <w:num w:numId="5">
    <w:abstractNumId w:val="112"/>
  </w:num>
  <w:num w:numId="6">
    <w:abstractNumId w:val="34"/>
  </w:num>
  <w:num w:numId="7">
    <w:abstractNumId w:val="32"/>
  </w:num>
  <w:num w:numId="8">
    <w:abstractNumId w:val="94"/>
  </w:num>
  <w:num w:numId="9">
    <w:abstractNumId w:val="7"/>
  </w:num>
  <w:num w:numId="10">
    <w:abstractNumId w:val="1"/>
  </w:num>
  <w:num w:numId="11">
    <w:abstractNumId w:val="108"/>
  </w:num>
  <w:num w:numId="12">
    <w:abstractNumId w:val="86"/>
  </w:num>
  <w:num w:numId="13">
    <w:abstractNumId w:val="95"/>
  </w:num>
  <w:num w:numId="14">
    <w:abstractNumId w:val="56"/>
  </w:num>
  <w:num w:numId="15">
    <w:abstractNumId w:val="114"/>
  </w:num>
  <w:num w:numId="16">
    <w:abstractNumId w:val="15"/>
  </w:num>
  <w:num w:numId="17">
    <w:abstractNumId w:val="91"/>
  </w:num>
  <w:num w:numId="18">
    <w:abstractNumId w:val="79"/>
  </w:num>
  <w:num w:numId="19">
    <w:abstractNumId w:val="9"/>
  </w:num>
  <w:num w:numId="20">
    <w:abstractNumId w:val="106"/>
  </w:num>
  <w:num w:numId="21">
    <w:abstractNumId w:val="73"/>
  </w:num>
  <w:num w:numId="22">
    <w:abstractNumId w:val="6"/>
  </w:num>
  <w:num w:numId="23">
    <w:abstractNumId w:val="98"/>
  </w:num>
  <w:num w:numId="24">
    <w:abstractNumId w:val="80"/>
  </w:num>
  <w:num w:numId="25">
    <w:abstractNumId w:val="102"/>
  </w:num>
  <w:num w:numId="26">
    <w:abstractNumId w:val="65"/>
  </w:num>
  <w:num w:numId="27">
    <w:abstractNumId w:val="70"/>
  </w:num>
  <w:num w:numId="28">
    <w:abstractNumId w:val="45"/>
  </w:num>
  <w:num w:numId="29">
    <w:abstractNumId w:val="82"/>
  </w:num>
  <w:num w:numId="30">
    <w:abstractNumId w:val="18"/>
  </w:num>
  <w:num w:numId="31">
    <w:abstractNumId w:val="24"/>
  </w:num>
  <w:num w:numId="32">
    <w:abstractNumId w:val="48"/>
  </w:num>
  <w:num w:numId="33">
    <w:abstractNumId w:val="51"/>
  </w:num>
  <w:num w:numId="34">
    <w:abstractNumId w:val="109"/>
  </w:num>
  <w:num w:numId="35">
    <w:abstractNumId w:val="52"/>
  </w:num>
  <w:num w:numId="36">
    <w:abstractNumId w:val="38"/>
  </w:num>
  <w:num w:numId="37">
    <w:abstractNumId w:val="83"/>
  </w:num>
  <w:num w:numId="38">
    <w:abstractNumId w:val="97"/>
  </w:num>
  <w:num w:numId="39">
    <w:abstractNumId w:val="68"/>
  </w:num>
  <w:num w:numId="40">
    <w:abstractNumId w:val="57"/>
  </w:num>
  <w:num w:numId="41">
    <w:abstractNumId w:val="105"/>
  </w:num>
  <w:num w:numId="42">
    <w:abstractNumId w:val="113"/>
  </w:num>
  <w:num w:numId="43">
    <w:abstractNumId w:val="23"/>
  </w:num>
  <w:num w:numId="44">
    <w:abstractNumId w:val="10"/>
  </w:num>
  <w:num w:numId="45">
    <w:abstractNumId w:val="41"/>
  </w:num>
  <w:num w:numId="46">
    <w:abstractNumId w:val="107"/>
  </w:num>
  <w:num w:numId="47">
    <w:abstractNumId w:val="37"/>
  </w:num>
  <w:num w:numId="48">
    <w:abstractNumId w:val="25"/>
  </w:num>
  <w:num w:numId="49">
    <w:abstractNumId w:val="85"/>
  </w:num>
  <w:num w:numId="50">
    <w:abstractNumId w:val="89"/>
  </w:num>
  <w:num w:numId="51">
    <w:abstractNumId w:val="22"/>
  </w:num>
  <w:num w:numId="52">
    <w:abstractNumId w:val="44"/>
  </w:num>
  <w:num w:numId="53">
    <w:abstractNumId w:val="115"/>
  </w:num>
  <w:num w:numId="54">
    <w:abstractNumId w:val="33"/>
  </w:num>
  <w:num w:numId="55">
    <w:abstractNumId w:val="16"/>
  </w:num>
  <w:num w:numId="56">
    <w:abstractNumId w:val="75"/>
  </w:num>
  <w:num w:numId="57">
    <w:abstractNumId w:val="36"/>
  </w:num>
  <w:num w:numId="58">
    <w:abstractNumId w:val="53"/>
  </w:num>
  <w:num w:numId="59">
    <w:abstractNumId w:val="17"/>
  </w:num>
  <w:num w:numId="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0"/>
  </w:num>
  <w:num w:numId="62">
    <w:abstractNumId w:val="69"/>
  </w:num>
  <w:num w:numId="63">
    <w:abstractNumId w:val="3"/>
  </w:num>
  <w:num w:numId="64">
    <w:abstractNumId w:val="74"/>
  </w:num>
  <w:num w:numId="65">
    <w:abstractNumId w:val="21"/>
  </w:num>
  <w:num w:numId="66">
    <w:abstractNumId w:val="104"/>
  </w:num>
  <w:num w:numId="67">
    <w:abstractNumId w:val="61"/>
  </w:num>
  <w:num w:numId="68">
    <w:abstractNumId w:val="110"/>
  </w:num>
  <w:num w:numId="69">
    <w:abstractNumId w:val="42"/>
  </w:num>
  <w:num w:numId="70">
    <w:abstractNumId w:val="101"/>
  </w:num>
  <w:num w:numId="71">
    <w:abstractNumId w:val="92"/>
  </w:num>
  <w:num w:numId="72">
    <w:abstractNumId w:val="20"/>
  </w:num>
  <w:num w:numId="73">
    <w:abstractNumId w:val="87"/>
  </w:num>
  <w:num w:numId="74">
    <w:abstractNumId w:val="4"/>
  </w:num>
  <w:num w:numId="75">
    <w:abstractNumId w:val="55"/>
  </w:num>
  <w:num w:numId="76">
    <w:abstractNumId w:val="58"/>
  </w:num>
  <w:num w:numId="77">
    <w:abstractNumId w:val="77"/>
  </w:num>
  <w:num w:numId="78">
    <w:abstractNumId w:val="0"/>
  </w:num>
  <w:num w:numId="79">
    <w:abstractNumId w:val="99"/>
  </w:num>
  <w:num w:numId="80">
    <w:abstractNumId w:val="116"/>
  </w:num>
  <w:num w:numId="81">
    <w:abstractNumId w:val="19"/>
  </w:num>
  <w:num w:numId="82">
    <w:abstractNumId w:val="13"/>
  </w:num>
  <w:num w:numId="83">
    <w:abstractNumId w:val="63"/>
  </w:num>
  <w:num w:numId="84">
    <w:abstractNumId w:val="5"/>
  </w:num>
  <w:num w:numId="85">
    <w:abstractNumId w:val="39"/>
  </w:num>
  <w:num w:numId="86">
    <w:abstractNumId w:val="64"/>
  </w:num>
  <w:num w:numId="87">
    <w:abstractNumId w:val="88"/>
  </w:num>
  <w:num w:numId="88">
    <w:abstractNumId w:val="71"/>
  </w:num>
  <w:num w:numId="89">
    <w:abstractNumId w:val="43"/>
  </w:num>
  <w:num w:numId="90">
    <w:abstractNumId w:val="93"/>
  </w:num>
  <w:num w:numId="91">
    <w:abstractNumId w:val="26"/>
  </w:num>
  <w:num w:numId="92">
    <w:abstractNumId w:val="67"/>
  </w:num>
  <w:num w:numId="93">
    <w:abstractNumId w:val="35"/>
  </w:num>
  <w:num w:numId="94">
    <w:abstractNumId w:val="103"/>
  </w:num>
  <w:num w:numId="95">
    <w:abstractNumId w:val="46"/>
  </w:num>
  <w:num w:numId="96">
    <w:abstractNumId w:val="28"/>
  </w:num>
  <w:num w:numId="97">
    <w:abstractNumId w:val="47"/>
  </w:num>
  <w:num w:numId="98">
    <w:abstractNumId w:val="117"/>
  </w:num>
  <w:num w:numId="99">
    <w:abstractNumId w:val="118"/>
  </w:num>
  <w:num w:numId="100">
    <w:abstractNumId w:val="84"/>
  </w:num>
  <w:num w:numId="101">
    <w:abstractNumId w:val="30"/>
  </w:num>
  <w:num w:numId="102">
    <w:abstractNumId w:val="27"/>
  </w:num>
  <w:num w:numId="103">
    <w:abstractNumId w:val="96"/>
  </w:num>
  <w:num w:numId="104">
    <w:abstractNumId w:val="78"/>
  </w:num>
  <w:num w:numId="105">
    <w:abstractNumId w:val="31"/>
  </w:num>
  <w:num w:numId="106">
    <w:abstractNumId w:val="62"/>
  </w:num>
  <w:num w:numId="107">
    <w:abstractNumId w:val="59"/>
  </w:num>
  <w:num w:numId="108">
    <w:abstractNumId w:val="60"/>
  </w:num>
  <w:num w:numId="109">
    <w:abstractNumId w:val="72"/>
  </w:num>
  <w:num w:numId="110">
    <w:abstractNumId w:val="12"/>
  </w:num>
  <w:num w:numId="111">
    <w:abstractNumId w:val="11"/>
  </w:num>
  <w:num w:numId="112">
    <w:abstractNumId w:val="111"/>
  </w:num>
  <w:num w:numId="113">
    <w:abstractNumId w:val="76"/>
  </w:num>
  <w:num w:numId="114">
    <w:abstractNumId w:val="54"/>
  </w:num>
  <w:num w:numId="115">
    <w:abstractNumId w:val="14"/>
  </w:num>
  <w:num w:numId="116">
    <w:abstractNumId w:val="8"/>
  </w:num>
  <w:num w:numId="117">
    <w:abstractNumId w:val="66"/>
  </w:num>
  <w:num w:numId="118">
    <w:abstractNumId w:val="81"/>
  </w:num>
  <w:num w:numId="119">
    <w:abstractNumId w:val="2"/>
  </w:num>
  <w:num w:numId="1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NIHR Journals Librar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dwrx9xd1z9eepeevr355w2k959rv0f5zaax&quot;&gt;Coeliac HTA Library-Converted2&lt;record-ids&gt;&lt;item&gt;1&lt;/item&gt;&lt;item&gt;2&lt;/item&gt;&lt;item&gt;3&lt;/item&gt;&lt;item&gt;4&lt;/item&gt;&lt;item&gt;5&lt;/item&gt;&lt;item&gt;6&lt;/item&gt;&lt;item&gt;7&lt;/item&gt;&lt;item&gt;8&lt;/item&gt;&lt;item&gt;10&lt;/item&gt;&lt;item&gt;11&lt;/item&gt;&lt;item&gt;12&lt;/item&gt;&lt;item&gt;13&lt;/item&gt;&lt;item&gt;14&lt;/item&gt;&lt;item&gt;15&lt;/item&gt;&lt;item&gt;22&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7&lt;/item&gt;&lt;item&gt;60&lt;/item&gt;&lt;item&gt;62&lt;/item&gt;&lt;item&gt;63&lt;/item&gt;&lt;item&gt;64&lt;/item&gt;&lt;item&gt;72&lt;/item&gt;&lt;item&gt;83&lt;/item&gt;&lt;item&gt;84&lt;/item&gt;&lt;item&gt;85&lt;/item&gt;&lt;item&gt;86&lt;/item&gt;&lt;item&gt;87&lt;/item&gt;&lt;item&gt;88&lt;/item&gt;&lt;item&gt;89&lt;/item&gt;&lt;item&gt;90&lt;/item&gt;&lt;item&gt;91&lt;/item&gt;&lt;item&gt;96&lt;/item&gt;&lt;item&gt;101&lt;/item&gt;&lt;item&gt;102&lt;/item&gt;&lt;item&gt;105&lt;/item&gt;&lt;item&gt;106&lt;/item&gt;&lt;item&gt;109&lt;/item&gt;&lt;item&gt;110&lt;/item&gt;&lt;item&gt;113&lt;/item&gt;&lt;item&gt;117&lt;/item&gt;&lt;item&gt;118&lt;/item&gt;&lt;item&gt;120&lt;/item&gt;&lt;item&gt;123&lt;/item&gt;&lt;item&gt;126&lt;/item&gt;&lt;item&gt;127&lt;/item&gt;&lt;item&gt;129&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47&lt;/item&gt;&lt;item&gt;148&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6&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5&lt;/item&gt;&lt;item&gt;186&lt;/item&gt;&lt;item&gt;187&lt;/item&gt;&lt;item&gt;188&lt;/item&gt;&lt;item&gt;189&lt;/item&gt;&lt;item&gt;190&lt;/item&gt;&lt;item&gt;191&lt;/item&gt;&lt;item&gt;192&lt;/item&gt;&lt;item&gt;193&lt;/item&gt;&lt;item&gt;194&lt;/item&gt;&lt;item&gt;195&lt;/item&gt;&lt;item&gt;196&lt;/item&gt;&lt;item&gt;197&lt;/item&gt;&lt;item&gt;198&lt;/item&gt;&lt;item&gt;199&lt;/item&gt;&lt;item&gt;200&lt;/item&gt;&lt;item&gt;201&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3&lt;/item&gt;&lt;item&gt;224&lt;/item&gt;&lt;item&gt;225&lt;/item&gt;&lt;item&gt;226&lt;/item&gt;&lt;item&gt;227&lt;/item&gt;&lt;item&gt;228&lt;/item&gt;&lt;item&gt;229&lt;/item&gt;&lt;item&gt;230&lt;/item&gt;&lt;item&gt;231&lt;/item&gt;&lt;item&gt;232&lt;/item&gt;&lt;item&gt;233&lt;/item&gt;&lt;item&gt;234&lt;/item&gt;&lt;item&gt;235&lt;/item&gt;&lt;item&gt;236&lt;/item&gt;&lt;item&gt;237&lt;/item&gt;&lt;item&gt;238&lt;/item&gt;&lt;item&gt;239&lt;/item&gt;&lt;item&gt;240&lt;/item&gt;&lt;item&gt;241&lt;/item&gt;&lt;item&gt;242&lt;/item&gt;&lt;item&gt;243&lt;/item&gt;&lt;item&gt;244&lt;/item&gt;&lt;item&gt;245&lt;/item&gt;&lt;item&gt;246&lt;/item&gt;&lt;item&gt;247&lt;/item&gt;&lt;item&gt;248&lt;/item&gt;&lt;item&gt;249&lt;/item&gt;&lt;item&gt;250&lt;/item&gt;&lt;item&gt;251&lt;/item&gt;&lt;item&gt;252&lt;/item&gt;&lt;item&gt;253&lt;/item&gt;&lt;item&gt;254&lt;/item&gt;&lt;item&gt;255&lt;/item&gt;&lt;item&gt;256&lt;/item&gt;&lt;item&gt;257&lt;/item&gt;&lt;item&gt;258&lt;/item&gt;&lt;item&gt;259&lt;/item&gt;&lt;item&gt;260&lt;/item&gt;&lt;item&gt;261&lt;/item&gt;&lt;item&gt;262&lt;/item&gt;&lt;item&gt;263&lt;/item&gt;&lt;item&gt;264&lt;/item&gt;&lt;item&gt;265&lt;/item&gt;&lt;item&gt;266&lt;/item&gt;&lt;item&gt;267&lt;/item&gt;&lt;item&gt;268&lt;/item&gt;&lt;item&gt;269&lt;/item&gt;&lt;item&gt;270&lt;/item&gt;&lt;item&gt;271&lt;/item&gt;&lt;item&gt;272&lt;/item&gt;&lt;item&gt;273&lt;/item&gt;&lt;item&gt;274&lt;/item&gt;&lt;item&gt;275&lt;/item&gt;&lt;item&gt;276&lt;/item&gt;&lt;item&gt;277&lt;/item&gt;&lt;item&gt;278&lt;/item&gt;&lt;item&gt;279&lt;/item&gt;&lt;item&gt;280&lt;/item&gt;&lt;item&gt;281&lt;/item&gt;&lt;item&gt;282&lt;/item&gt;&lt;item&gt;283&lt;/item&gt;&lt;item&gt;284&lt;/item&gt;&lt;item&gt;285&lt;/item&gt;&lt;item&gt;286&lt;/item&gt;&lt;item&gt;287&lt;/item&gt;&lt;item&gt;288&lt;/item&gt;&lt;item&gt;289&lt;/item&gt;&lt;item&gt;290&lt;/item&gt;&lt;item&gt;291&lt;/item&gt;&lt;item&gt;292&lt;/item&gt;&lt;item&gt;293&lt;/item&gt;&lt;item&gt;294&lt;/item&gt;&lt;item&gt;295&lt;/item&gt;&lt;item&gt;296&lt;/item&gt;&lt;item&gt;301&lt;/item&gt;&lt;item&gt;311&lt;/item&gt;&lt;item&gt;323&lt;/item&gt;&lt;item&gt;328&lt;/item&gt;&lt;item&gt;329&lt;/item&gt;&lt;item&gt;330&lt;/item&gt;&lt;item&gt;331&lt;/item&gt;&lt;item&gt;332&lt;/item&gt;&lt;item&gt;333&lt;/item&gt;&lt;item&gt;334&lt;/item&gt;&lt;item&gt;336&lt;/item&gt;&lt;item&gt;337&lt;/item&gt;&lt;item&gt;338&lt;/item&gt;&lt;item&gt;339&lt;/item&gt;&lt;item&gt;341&lt;/item&gt;&lt;item&gt;342&lt;/item&gt;&lt;item&gt;378&lt;/item&gt;&lt;item&gt;379&lt;/item&gt;&lt;item&gt;380&lt;/item&gt;&lt;item&gt;382&lt;/item&gt;&lt;item&gt;383&lt;/item&gt;&lt;item&gt;384&lt;/item&gt;&lt;item&gt;386&lt;/item&gt;&lt;item&gt;387&lt;/item&gt;&lt;item&gt;389&lt;/item&gt;&lt;item&gt;390&lt;/item&gt;&lt;item&gt;391&lt;/item&gt;&lt;item&gt;392&lt;/item&gt;&lt;item&gt;393&lt;/item&gt;&lt;item&gt;394&lt;/item&gt;&lt;item&gt;395&lt;/item&gt;&lt;item&gt;396&lt;/item&gt;&lt;item&gt;397&lt;/item&gt;&lt;item&gt;398&lt;/item&gt;&lt;item&gt;399&lt;/item&gt;&lt;item&gt;400&lt;/item&gt;&lt;item&gt;401&lt;/item&gt;&lt;item&gt;402&lt;/item&gt;&lt;item&gt;410&lt;/item&gt;&lt;item&gt;411&lt;/item&gt;&lt;item&gt;418&lt;/item&gt;&lt;item&gt;432&lt;/item&gt;&lt;item&gt;438&lt;/item&gt;&lt;item&gt;439&lt;/item&gt;&lt;item&gt;440&lt;/item&gt;&lt;item&gt;442&lt;/item&gt;&lt;item&gt;443&lt;/item&gt;&lt;item&gt;444&lt;/item&gt;&lt;item&gt;445&lt;/item&gt;&lt;item&gt;446&lt;/item&gt;&lt;item&gt;447&lt;/item&gt;&lt;item&gt;448&lt;/item&gt;&lt;item&gt;449&lt;/item&gt;&lt;item&gt;450&lt;/item&gt;&lt;item&gt;451&lt;/item&gt;&lt;item&gt;452&lt;/item&gt;&lt;item&gt;453&lt;/item&gt;&lt;item&gt;454&lt;/item&gt;&lt;item&gt;455&lt;/item&gt;&lt;item&gt;456&lt;/item&gt;&lt;item&gt;457&lt;/item&gt;&lt;item&gt;458&lt;/item&gt;&lt;item&gt;459&lt;/item&gt;&lt;item&gt;460&lt;/item&gt;&lt;item&gt;461&lt;/item&gt;&lt;item&gt;462&lt;/item&gt;&lt;item&gt;463&lt;/item&gt;&lt;item&gt;464&lt;/item&gt;&lt;item&gt;465&lt;/item&gt;&lt;item&gt;466&lt;/item&gt;&lt;item&gt;467&lt;/item&gt;&lt;item&gt;468&lt;/item&gt;&lt;item&gt;469&lt;/item&gt;&lt;item&gt;470&lt;/item&gt;&lt;item&gt;471&lt;/item&gt;&lt;item&gt;472&lt;/item&gt;&lt;item&gt;473&lt;/item&gt;&lt;item&gt;474&lt;/item&gt;&lt;item&gt;475&lt;/item&gt;&lt;item&gt;476&lt;/item&gt;&lt;item&gt;477&lt;/item&gt;&lt;item&gt;478&lt;/item&gt;&lt;item&gt;479&lt;/item&gt;&lt;item&gt;480&lt;/item&gt;&lt;item&gt;481&lt;/item&gt;&lt;item&gt;482&lt;/item&gt;&lt;item&gt;483&lt;/item&gt;&lt;item&gt;484&lt;/item&gt;&lt;item&gt;485&lt;/item&gt;&lt;item&gt;486&lt;/item&gt;&lt;item&gt;487&lt;/item&gt;&lt;item&gt;488&lt;/item&gt;&lt;item&gt;489&lt;/item&gt;&lt;item&gt;490&lt;/item&gt;&lt;item&gt;491&lt;/item&gt;&lt;item&gt;492&lt;/item&gt;&lt;item&gt;493&lt;/item&gt;&lt;item&gt;494&lt;/item&gt;&lt;item&gt;495&lt;/item&gt;&lt;item&gt;496&lt;/item&gt;&lt;item&gt;497&lt;/item&gt;&lt;item&gt;498&lt;/item&gt;&lt;item&gt;499&lt;/item&gt;&lt;item&gt;500&lt;/item&gt;&lt;item&gt;501&lt;/item&gt;&lt;item&gt;502&lt;/item&gt;&lt;item&gt;503&lt;/item&gt;&lt;item&gt;504&lt;/item&gt;&lt;item&gt;505&lt;/item&gt;&lt;item&gt;506&lt;/item&gt;&lt;item&gt;508&lt;/item&gt;&lt;item&gt;509&lt;/item&gt;&lt;item&gt;512&lt;/item&gt;&lt;item&gt;513&lt;/item&gt;&lt;item&gt;518&lt;/item&gt;&lt;item&gt;519&lt;/item&gt;&lt;item&gt;522&lt;/item&gt;&lt;item&gt;524&lt;/item&gt;&lt;item&gt;529&lt;/item&gt;&lt;item&gt;530&lt;/item&gt;&lt;item&gt;538&lt;/item&gt;&lt;item&gt;540&lt;/item&gt;&lt;item&gt;544&lt;/item&gt;&lt;item&gt;551&lt;/item&gt;&lt;item&gt;556&lt;/item&gt;&lt;item&gt;557&lt;/item&gt;&lt;item&gt;559&lt;/item&gt;&lt;item&gt;560&lt;/item&gt;&lt;item&gt;563&lt;/item&gt;&lt;item&gt;566&lt;/item&gt;&lt;item&gt;567&lt;/item&gt;&lt;item&gt;569&lt;/item&gt;&lt;item&gt;573&lt;/item&gt;&lt;item&gt;575&lt;/item&gt;&lt;item&gt;577&lt;/item&gt;&lt;item&gt;579&lt;/item&gt;&lt;item&gt;580&lt;/item&gt;&lt;item&gt;581&lt;/item&gt;&lt;item&gt;582&lt;/item&gt;&lt;item&gt;583&lt;/item&gt;&lt;item&gt;590&lt;/item&gt;&lt;item&gt;612&lt;/item&gt;&lt;item&gt;613&lt;/item&gt;&lt;item&gt;628&lt;/item&gt;&lt;/record-ids&gt;&lt;/item&gt;&lt;/Libraries&gt;"/>
  </w:docVars>
  <w:rsids>
    <w:rsidRoot w:val="002B3A40"/>
    <w:rsid w:val="0000045E"/>
    <w:rsid w:val="000013A4"/>
    <w:rsid w:val="00001441"/>
    <w:rsid w:val="00001BB9"/>
    <w:rsid w:val="000022BE"/>
    <w:rsid w:val="000024F8"/>
    <w:rsid w:val="0000343F"/>
    <w:rsid w:val="00003589"/>
    <w:rsid w:val="00003D58"/>
    <w:rsid w:val="000040E7"/>
    <w:rsid w:val="00004309"/>
    <w:rsid w:val="00004869"/>
    <w:rsid w:val="00004C3E"/>
    <w:rsid w:val="00004E66"/>
    <w:rsid w:val="00004EA0"/>
    <w:rsid w:val="0000521B"/>
    <w:rsid w:val="0000534E"/>
    <w:rsid w:val="00005AB5"/>
    <w:rsid w:val="0000627A"/>
    <w:rsid w:val="000065DC"/>
    <w:rsid w:val="00006FA7"/>
    <w:rsid w:val="000079D5"/>
    <w:rsid w:val="00007ADE"/>
    <w:rsid w:val="00007CCC"/>
    <w:rsid w:val="00010592"/>
    <w:rsid w:val="000107FF"/>
    <w:rsid w:val="00010955"/>
    <w:rsid w:val="00011265"/>
    <w:rsid w:val="0001180F"/>
    <w:rsid w:val="000119EB"/>
    <w:rsid w:val="00011DE5"/>
    <w:rsid w:val="00012D82"/>
    <w:rsid w:val="00013C52"/>
    <w:rsid w:val="000150AA"/>
    <w:rsid w:val="00015465"/>
    <w:rsid w:val="00015D41"/>
    <w:rsid w:val="0001617F"/>
    <w:rsid w:val="000166C5"/>
    <w:rsid w:val="00016A3E"/>
    <w:rsid w:val="000200D5"/>
    <w:rsid w:val="0002066F"/>
    <w:rsid w:val="00020686"/>
    <w:rsid w:val="00021010"/>
    <w:rsid w:val="00021452"/>
    <w:rsid w:val="00021517"/>
    <w:rsid w:val="00021979"/>
    <w:rsid w:val="00021DA2"/>
    <w:rsid w:val="00022775"/>
    <w:rsid w:val="0002294E"/>
    <w:rsid w:val="000232EA"/>
    <w:rsid w:val="0002374A"/>
    <w:rsid w:val="000240B6"/>
    <w:rsid w:val="00024521"/>
    <w:rsid w:val="00024B53"/>
    <w:rsid w:val="00024FE6"/>
    <w:rsid w:val="000252DF"/>
    <w:rsid w:val="0002541D"/>
    <w:rsid w:val="00025518"/>
    <w:rsid w:val="0002585F"/>
    <w:rsid w:val="00026230"/>
    <w:rsid w:val="000265C2"/>
    <w:rsid w:val="00026B9E"/>
    <w:rsid w:val="00026D14"/>
    <w:rsid w:val="000271E9"/>
    <w:rsid w:val="00027379"/>
    <w:rsid w:val="0002748C"/>
    <w:rsid w:val="00027880"/>
    <w:rsid w:val="0003007A"/>
    <w:rsid w:val="00030319"/>
    <w:rsid w:val="000307D9"/>
    <w:rsid w:val="0003083F"/>
    <w:rsid w:val="00031047"/>
    <w:rsid w:val="0003145C"/>
    <w:rsid w:val="00031F42"/>
    <w:rsid w:val="00032012"/>
    <w:rsid w:val="00032086"/>
    <w:rsid w:val="000321BC"/>
    <w:rsid w:val="00032757"/>
    <w:rsid w:val="00032C24"/>
    <w:rsid w:val="0003304B"/>
    <w:rsid w:val="000334EA"/>
    <w:rsid w:val="000335F0"/>
    <w:rsid w:val="00033DB4"/>
    <w:rsid w:val="00034C1E"/>
    <w:rsid w:val="00034D53"/>
    <w:rsid w:val="00035824"/>
    <w:rsid w:val="00035CC7"/>
    <w:rsid w:val="00036261"/>
    <w:rsid w:val="00036665"/>
    <w:rsid w:val="0003670E"/>
    <w:rsid w:val="00036B22"/>
    <w:rsid w:val="00037EC1"/>
    <w:rsid w:val="00037EF2"/>
    <w:rsid w:val="000400E2"/>
    <w:rsid w:val="0004015F"/>
    <w:rsid w:val="00040407"/>
    <w:rsid w:val="00040EB0"/>
    <w:rsid w:val="000410F2"/>
    <w:rsid w:val="000416B7"/>
    <w:rsid w:val="00041B31"/>
    <w:rsid w:val="00041E42"/>
    <w:rsid w:val="00041F7B"/>
    <w:rsid w:val="00042801"/>
    <w:rsid w:val="00042DC7"/>
    <w:rsid w:val="00042ED3"/>
    <w:rsid w:val="00042EE7"/>
    <w:rsid w:val="00043AC9"/>
    <w:rsid w:val="00043CD8"/>
    <w:rsid w:val="00043F12"/>
    <w:rsid w:val="000443FE"/>
    <w:rsid w:val="0004454E"/>
    <w:rsid w:val="00044947"/>
    <w:rsid w:val="00044B3E"/>
    <w:rsid w:val="00044D5A"/>
    <w:rsid w:val="00044D61"/>
    <w:rsid w:val="00045218"/>
    <w:rsid w:val="000453F9"/>
    <w:rsid w:val="000454ED"/>
    <w:rsid w:val="0004573A"/>
    <w:rsid w:val="00045C84"/>
    <w:rsid w:val="00045D0D"/>
    <w:rsid w:val="00046113"/>
    <w:rsid w:val="0004657F"/>
    <w:rsid w:val="00046DDD"/>
    <w:rsid w:val="000471B2"/>
    <w:rsid w:val="000472B4"/>
    <w:rsid w:val="000475E1"/>
    <w:rsid w:val="00047632"/>
    <w:rsid w:val="00047E5F"/>
    <w:rsid w:val="00047E8B"/>
    <w:rsid w:val="000507D1"/>
    <w:rsid w:val="00051759"/>
    <w:rsid w:val="0005219B"/>
    <w:rsid w:val="0005257A"/>
    <w:rsid w:val="000526F1"/>
    <w:rsid w:val="00052812"/>
    <w:rsid w:val="00052AC4"/>
    <w:rsid w:val="00052FE6"/>
    <w:rsid w:val="00053931"/>
    <w:rsid w:val="000539DF"/>
    <w:rsid w:val="00053FF5"/>
    <w:rsid w:val="00054320"/>
    <w:rsid w:val="00054488"/>
    <w:rsid w:val="000544C8"/>
    <w:rsid w:val="000545BC"/>
    <w:rsid w:val="00055E71"/>
    <w:rsid w:val="0005619A"/>
    <w:rsid w:val="0005673C"/>
    <w:rsid w:val="00056C33"/>
    <w:rsid w:val="00056F76"/>
    <w:rsid w:val="000571BD"/>
    <w:rsid w:val="0005799F"/>
    <w:rsid w:val="00057DE1"/>
    <w:rsid w:val="00057F04"/>
    <w:rsid w:val="00060328"/>
    <w:rsid w:val="00061038"/>
    <w:rsid w:val="000614BD"/>
    <w:rsid w:val="000616AE"/>
    <w:rsid w:val="00061F66"/>
    <w:rsid w:val="000622D0"/>
    <w:rsid w:val="00062E2E"/>
    <w:rsid w:val="000630EB"/>
    <w:rsid w:val="00063600"/>
    <w:rsid w:val="00063F0F"/>
    <w:rsid w:val="00063F57"/>
    <w:rsid w:val="0006429C"/>
    <w:rsid w:val="0006461E"/>
    <w:rsid w:val="000646D9"/>
    <w:rsid w:val="00064FC8"/>
    <w:rsid w:val="00065AB9"/>
    <w:rsid w:val="00065C0A"/>
    <w:rsid w:val="00065FD8"/>
    <w:rsid w:val="00066114"/>
    <w:rsid w:val="0006662D"/>
    <w:rsid w:val="00066C9A"/>
    <w:rsid w:val="00066F7F"/>
    <w:rsid w:val="0006708B"/>
    <w:rsid w:val="000670A4"/>
    <w:rsid w:val="00067143"/>
    <w:rsid w:val="00067317"/>
    <w:rsid w:val="0006735D"/>
    <w:rsid w:val="0006797B"/>
    <w:rsid w:val="00067E01"/>
    <w:rsid w:val="00070148"/>
    <w:rsid w:val="000702BF"/>
    <w:rsid w:val="000705E3"/>
    <w:rsid w:val="00070D28"/>
    <w:rsid w:val="00071454"/>
    <w:rsid w:val="000715D2"/>
    <w:rsid w:val="00074251"/>
    <w:rsid w:val="000742CB"/>
    <w:rsid w:val="000744DF"/>
    <w:rsid w:val="0007463C"/>
    <w:rsid w:val="00074C7C"/>
    <w:rsid w:val="00074F1A"/>
    <w:rsid w:val="0007559E"/>
    <w:rsid w:val="00075DAA"/>
    <w:rsid w:val="000763C1"/>
    <w:rsid w:val="000764C1"/>
    <w:rsid w:val="00076BA9"/>
    <w:rsid w:val="00076EF9"/>
    <w:rsid w:val="00077891"/>
    <w:rsid w:val="00077BE6"/>
    <w:rsid w:val="00077DBA"/>
    <w:rsid w:val="00077E16"/>
    <w:rsid w:val="000803E2"/>
    <w:rsid w:val="00080D5C"/>
    <w:rsid w:val="0008124A"/>
    <w:rsid w:val="00081E55"/>
    <w:rsid w:val="00081F83"/>
    <w:rsid w:val="00082119"/>
    <w:rsid w:val="00082959"/>
    <w:rsid w:val="00082A68"/>
    <w:rsid w:val="00083056"/>
    <w:rsid w:val="000830FC"/>
    <w:rsid w:val="00083237"/>
    <w:rsid w:val="000833D8"/>
    <w:rsid w:val="000833DA"/>
    <w:rsid w:val="000836BB"/>
    <w:rsid w:val="0008391B"/>
    <w:rsid w:val="00084349"/>
    <w:rsid w:val="0008440D"/>
    <w:rsid w:val="00084FCF"/>
    <w:rsid w:val="00085867"/>
    <w:rsid w:val="0008601A"/>
    <w:rsid w:val="000862CE"/>
    <w:rsid w:val="00086E0F"/>
    <w:rsid w:val="0008733F"/>
    <w:rsid w:val="00087DB8"/>
    <w:rsid w:val="00090392"/>
    <w:rsid w:val="000903A3"/>
    <w:rsid w:val="0009070A"/>
    <w:rsid w:val="00090967"/>
    <w:rsid w:val="00090E74"/>
    <w:rsid w:val="000912E3"/>
    <w:rsid w:val="0009197F"/>
    <w:rsid w:val="000923EF"/>
    <w:rsid w:val="00092510"/>
    <w:rsid w:val="00092526"/>
    <w:rsid w:val="00093293"/>
    <w:rsid w:val="00093510"/>
    <w:rsid w:val="000936AC"/>
    <w:rsid w:val="000938D2"/>
    <w:rsid w:val="00093DF7"/>
    <w:rsid w:val="000943AA"/>
    <w:rsid w:val="000943C3"/>
    <w:rsid w:val="000943F1"/>
    <w:rsid w:val="00094F25"/>
    <w:rsid w:val="00095148"/>
    <w:rsid w:val="00095316"/>
    <w:rsid w:val="000955EB"/>
    <w:rsid w:val="000957D9"/>
    <w:rsid w:val="00095B0E"/>
    <w:rsid w:val="00095E74"/>
    <w:rsid w:val="00096520"/>
    <w:rsid w:val="000970A4"/>
    <w:rsid w:val="0009765B"/>
    <w:rsid w:val="0009795A"/>
    <w:rsid w:val="000A01FD"/>
    <w:rsid w:val="000A08F0"/>
    <w:rsid w:val="000A0AA3"/>
    <w:rsid w:val="000A1508"/>
    <w:rsid w:val="000A1567"/>
    <w:rsid w:val="000A1679"/>
    <w:rsid w:val="000A1B21"/>
    <w:rsid w:val="000A1CE8"/>
    <w:rsid w:val="000A1E79"/>
    <w:rsid w:val="000A295B"/>
    <w:rsid w:val="000A2BB9"/>
    <w:rsid w:val="000A377B"/>
    <w:rsid w:val="000A39DB"/>
    <w:rsid w:val="000A3E6E"/>
    <w:rsid w:val="000A436A"/>
    <w:rsid w:val="000A5A08"/>
    <w:rsid w:val="000A5BD7"/>
    <w:rsid w:val="000A6486"/>
    <w:rsid w:val="000A6798"/>
    <w:rsid w:val="000A6847"/>
    <w:rsid w:val="000A6F03"/>
    <w:rsid w:val="000A70BA"/>
    <w:rsid w:val="000A7B03"/>
    <w:rsid w:val="000A7CB7"/>
    <w:rsid w:val="000B0248"/>
    <w:rsid w:val="000B04E9"/>
    <w:rsid w:val="000B0C51"/>
    <w:rsid w:val="000B0E6E"/>
    <w:rsid w:val="000B0F36"/>
    <w:rsid w:val="000B1713"/>
    <w:rsid w:val="000B1774"/>
    <w:rsid w:val="000B2436"/>
    <w:rsid w:val="000B27A4"/>
    <w:rsid w:val="000B27C5"/>
    <w:rsid w:val="000B2A8A"/>
    <w:rsid w:val="000B2FB0"/>
    <w:rsid w:val="000B3427"/>
    <w:rsid w:val="000B351C"/>
    <w:rsid w:val="000B375B"/>
    <w:rsid w:val="000B3826"/>
    <w:rsid w:val="000B4322"/>
    <w:rsid w:val="000B4585"/>
    <w:rsid w:val="000B45DF"/>
    <w:rsid w:val="000B4C0C"/>
    <w:rsid w:val="000B4CAA"/>
    <w:rsid w:val="000B4D94"/>
    <w:rsid w:val="000B4DE8"/>
    <w:rsid w:val="000B558B"/>
    <w:rsid w:val="000B5631"/>
    <w:rsid w:val="000B5718"/>
    <w:rsid w:val="000B5E8F"/>
    <w:rsid w:val="000B68E2"/>
    <w:rsid w:val="000B7051"/>
    <w:rsid w:val="000B712A"/>
    <w:rsid w:val="000B7654"/>
    <w:rsid w:val="000B7BB6"/>
    <w:rsid w:val="000B7DE6"/>
    <w:rsid w:val="000B7F58"/>
    <w:rsid w:val="000C0E0E"/>
    <w:rsid w:val="000C1166"/>
    <w:rsid w:val="000C1179"/>
    <w:rsid w:val="000C11B2"/>
    <w:rsid w:val="000C12AB"/>
    <w:rsid w:val="000C1CCD"/>
    <w:rsid w:val="000C21DE"/>
    <w:rsid w:val="000C2487"/>
    <w:rsid w:val="000C2D79"/>
    <w:rsid w:val="000C2DF3"/>
    <w:rsid w:val="000C2F11"/>
    <w:rsid w:val="000C3476"/>
    <w:rsid w:val="000C3868"/>
    <w:rsid w:val="000C3A1D"/>
    <w:rsid w:val="000C3C34"/>
    <w:rsid w:val="000C48FE"/>
    <w:rsid w:val="000C49D6"/>
    <w:rsid w:val="000C4F3A"/>
    <w:rsid w:val="000C5D0B"/>
    <w:rsid w:val="000C5D55"/>
    <w:rsid w:val="000C60F4"/>
    <w:rsid w:val="000C63FE"/>
    <w:rsid w:val="000C65CF"/>
    <w:rsid w:val="000C7296"/>
    <w:rsid w:val="000C7A80"/>
    <w:rsid w:val="000C7C61"/>
    <w:rsid w:val="000C7F3E"/>
    <w:rsid w:val="000D0B29"/>
    <w:rsid w:val="000D0D41"/>
    <w:rsid w:val="000D1606"/>
    <w:rsid w:val="000D1F43"/>
    <w:rsid w:val="000D2889"/>
    <w:rsid w:val="000D2C79"/>
    <w:rsid w:val="000D2F02"/>
    <w:rsid w:val="000D35CF"/>
    <w:rsid w:val="000D3632"/>
    <w:rsid w:val="000D3CAC"/>
    <w:rsid w:val="000D3D4E"/>
    <w:rsid w:val="000D40EE"/>
    <w:rsid w:val="000D4D5C"/>
    <w:rsid w:val="000D5128"/>
    <w:rsid w:val="000D5250"/>
    <w:rsid w:val="000D56A1"/>
    <w:rsid w:val="000D5B85"/>
    <w:rsid w:val="000D5C74"/>
    <w:rsid w:val="000D6452"/>
    <w:rsid w:val="000D6A25"/>
    <w:rsid w:val="000D6B7D"/>
    <w:rsid w:val="000D703B"/>
    <w:rsid w:val="000D7368"/>
    <w:rsid w:val="000D7732"/>
    <w:rsid w:val="000D77CC"/>
    <w:rsid w:val="000D7F1C"/>
    <w:rsid w:val="000E01DA"/>
    <w:rsid w:val="000E0431"/>
    <w:rsid w:val="000E0A81"/>
    <w:rsid w:val="000E0C51"/>
    <w:rsid w:val="000E10B6"/>
    <w:rsid w:val="000E1E6B"/>
    <w:rsid w:val="000E2E73"/>
    <w:rsid w:val="000E2F24"/>
    <w:rsid w:val="000E2F86"/>
    <w:rsid w:val="000E3148"/>
    <w:rsid w:val="000E31D5"/>
    <w:rsid w:val="000E336B"/>
    <w:rsid w:val="000E39FC"/>
    <w:rsid w:val="000E3F52"/>
    <w:rsid w:val="000E4528"/>
    <w:rsid w:val="000E49C4"/>
    <w:rsid w:val="000E4A1C"/>
    <w:rsid w:val="000E4B3E"/>
    <w:rsid w:val="000E511A"/>
    <w:rsid w:val="000E56E0"/>
    <w:rsid w:val="000E5851"/>
    <w:rsid w:val="000E5FC6"/>
    <w:rsid w:val="000E6475"/>
    <w:rsid w:val="000E64A9"/>
    <w:rsid w:val="000E7410"/>
    <w:rsid w:val="000E769E"/>
    <w:rsid w:val="000E7E6D"/>
    <w:rsid w:val="000F00F8"/>
    <w:rsid w:val="000F08BA"/>
    <w:rsid w:val="000F0A2E"/>
    <w:rsid w:val="000F10D7"/>
    <w:rsid w:val="000F231C"/>
    <w:rsid w:val="000F27E9"/>
    <w:rsid w:val="000F2E19"/>
    <w:rsid w:val="000F313C"/>
    <w:rsid w:val="000F347E"/>
    <w:rsid w:val="000F39B9"/>
    <w:rsid w:val="000F44E7"/>
    <w:rsid w:val="000F5B42"/>
    <w:rsid w:val="000F5BBB"/>
    <w:rsid w:val="000F6315"/>
    <w:rsid w:val="000F68ED"/>
    <w:rsid w:val="000F69A6"/>
    <w:rsid w:val="000F6A5C"/>
    <w:rsid w:val="000F72BB"/>
    <w:rsid w:val="000F7E2F"/>
    <w:rsid w:val="001001CB"/>
    <w:rsid w:val="00101027"/>
    <w:rsid w:val="00101917"/>
    <w:rsid w:val="0010201C"/>
    <w:rsid w:val="00102096"/>
    <w:rsid w:val="00102130"/>
    <w:rsid w:val="00102544"/>
    <w:rsid w:val="0010261D"/>
    <w:rsid w:val="00102707"/>
    <w:rsid w:val="001029E6"/>
    <w:rsid w:val="00102BE9"/>
    <w:rsid w:val="0010317D"/>
    <w:rsid w:val="0010395D"/>
    <w:rsid w:val="00103F7F"/>
    <w:rsid w:val="001043E3"/>
    <w:rsid w:val="00104794"/>
    <w:rsid w:val="00104E4E"/>
    <w:rsid w:val="001051EE"/>
    <w:rsid w:val="0010539E"/>
    <w:rsid w:val="0010559A"/>
    <w:rsid w:val="00105A6B"/>
    <w:rsid w:val="00105C64"/>
    <w:rsid w:val="00106660"/>
    <w:rsid w:val="00106800"/>
    <w:rsid w:val="00106870"/>
    <w:rsid w:val="00110495"/>
    <w:rsid w:val="00110AA6"/>
    <w:rsid w:val="001117FF"/>
    <w:rsid w:val="00111B75"/>
    <w:rsid w:val="001123CC"/>
    <w:rsid w:val="001126B2"/>
    <w:rsid w:val="001129FF"/>
    <w:rsid w:val="00112AEF"/>
    <w:rsid w:val="00112C08"/>
    <w:rsid w:val="00112E9E"/>
    <w:rsid w:val="001134B8"/>
    <w:rsid w:val="00113CA7"/>
    <w:rsid w:val="00113ECC"/>
    <w:rsid w:val="001140E9"/>
    <w:rsid w:val="001144D8"/>
    <w:rsid w:val="001146D6"/>
    <w:rsid w:val="001149FD"/>
    <w:rsid w:val="0011512C"/>
    <w:rsid w:val="00115572"/>
    <w:rsid w:val="00116133"/>
    <w:rsid w:val="00116754"/>
    <w:rsid w:val="00116C2B"/>
    <w:rsid w:val="00116D17"/>
    <w:rsid w:val="00116DBC"/>
    <w:rsid w:val="00117322"/>
    <w:rsid w:val="0011741C"/>
    <w:rsid w:val="001177E3"/>
    <w:rsid w:val="00117E88"/>
    <w:rsid w:val="0012019B"/>
    <w:rsid w:val="00120543"/>
    <w:rsid w:val="001208AC"/>
    <w:rsid w:val="001211E2"/>
    <w:rsid w:val="00121831"/>
    <w:rsid w:val="0012214A"/>
    <w:rsid w:val="0012232C"/>
    <w:rsid w:val="0012234E"/>
    <w:rsid w:val="0012236D"/>
    <w:rsid w:val="00123E39"/>
    <w:rsid w:val="00123EF8"/>
    <w:rsid w:val="0012479A"/>
    <w:rsid w:val="00124C4B"/>
    <w:rsid w:val="00124DB3"/>
    <w:rsid w:val="001253C3"/>
    <w:rsid w:val="001258A4"/>
    <w:rsid w:val="00125CDE"/>
    <w:rsid w:val="0012686D"/>
    <w:rsid w:val="00127055"/>
    <w:rsid w:val="00127212"/>
    <w:rsid w:val="0012756F"/>
    <w:rsid w:val="0012795A"/>
    <w:rsid w:val="00127BF1"/>
    <w:rsid w:val="00130960"/>
    <w:rsid w:val="001310D4"/>
    <w:rsid w:val="0013146A"/>
    <w:rsid w:val="00131AA7"/>
    <w:rsid w:val="00131AAC"/>
    <w:rsid w:val="00131B4D"/>
    <w:rsid w:val="00132610"/>
    <w:rsid w:val="00132815"/>
    <w:rsid w:val="00132935"/>
    <w:rsid w:val="001331EB"/>
    <w:rsid w:val="0013321B"/>
    <w:rsid w:val="00133385"/>
    <w:rsid w:val="001337DE"/>
    <w:rsid w:val="00133ACC"/>
    <w:rsid w:val="00133E51"/>
    <w:rsid w:val="0013471F"/>
    <w:rsid w:val="001348EC"/>
    <w:rsid w:val="00134A89"/>
    <w:rsid w:val="00135534"/>
    <w:rsid w:val="00135807"/>
    <w:rsid w:val="00135FEB"/>
    <w:rsid w:val="00136D12"/>
    <w:rsid w:val="00136D2C"/>
    <w:rsid w:val="001371B2"/>
    <w:rsid w:val="001373E9"/>
    <w:rsid w:val="001400DE"/>
    <w:rsid w:val="00140530"/>
    <w:rsid w:val="00140845"/>
    <w:rsid w:val="00140F50"/>
    <w:rsid w:val="00141168"/>
    <w:rsid w:val="001412EF"/>
    <w:rsid w:val="0014243D"/>
    <w:rsid w:val="0014337C"/>
    <w:rsid w:val="00143EBD"/>
    <w:rsid w:val="00144630"/>
    <w:rsid w:val="00144F64"/>
    <w:rsid w:val="00145C66"/>
    <w:rsid w:val="001464D3"/>
    <w:rsid w:val="001464F2"/>
    <w:rsid w:val="0014662C"/>
    <w:rsid w:val="001473C2"/>
    <w:rsid w:val="0014789C"/>
    <w:rsid w:val="00147964"/>
    <w:rsid w:val="00147AE9"/>
    <w:rsid w:val="00147E2C"/>
    <w:rsid w:val="00147FE7"/>
    <w:rsid w:val="001504D8"/>
    <w:rsid w:val="00150547"/>
    <w:rsid w:val="00150712"/>
    <w:rsid w:val="00150930"/>
    <w:rsid w:val="0015099C"/>
    <w:rsid w:val="001509F3"/>
    <w:rsid w:val="001510C4"/>
    <w:rsid w:val="00151BC2"/>
    <w:rsid w:val="00151FAA"/>
    <w:rsid w:val="00153476"/>
    <w:rsid w:val="00153504"/>
    <w:rsid w:val="00153738"/>
    <w:rsid w:val="001545DF"/>
    <w:rsid w:val="0015482A"/>
    <w:rsid w:val="00154AA5"/>
    <w:rsid w:val="00154B8A"/>
    <w:rsid w:val="00154C75"/>
    <w:rsid w:val="00154C79"/>
    <w:rsid w:val="00155408"/>
    <w:rsid w:val="00155567"/>
    <w:rsid w:val="00155B01"/>
    <w:rsid w:val="00155B90"/>
    <w:rsid w:val="001563D4"/>
    <w:rsid w:val="001563D6"/>
    <w:rsid w:val="001602A2"/>
    <w:rsid w:val="00160722"/>
    <w:rsid w:val="0016076A"/>
    <w:rsid w:val="00160C21"/>
    <w:rsid w:val="00160F1A"/>
    <w:rsid w:val="00160F58"/>
    <w:rsid w:val="00160F5B"/>
    <w:rsid w:val="00161043"/>
    <w:rsid w:val="00161A43"/>
    <w:rsid w:val="00161E2A"/>
    <w:rsid w:val="00161E62"/>
    <w:rsid w:val="00162936"/>
    <w:rsid w:val="001634BB"/>
    <w:rsid w:val="001634E3"/>
    <w:rsid w:val="0016443E"/>
    <w:rsid w:val="00164F4C"/>
    <w:rsid w:val="00165123"/>
    <w:rsid w:val="001656E6"/>
    <w:rsid w:val="00165EC1"/>
    <w:rsid w:val="00166EFA"/>
    <w:rsid w:val="001670E4"/>
    <w:rsid w:val="00167B02"/>
    <w:rsid w:val="00170509"/>
    <w:rsid w:val="00171542"/>
    <w:rsid w:val="00171B3A"/>
    <w:rsid w:val="00171F93"/>
    <w:rsid w:val="00172DBA"/>
    <w:rsid w:val="00173010"/>
    <w:rsid w:val="00173365"/>
    <w:rsid w:val="001760AF"/>
    <w:rsid w:val="0017613B"/>
    <w:rsid w:val="001761E7"/>
    <w:rsid w:val="00176270"/>
    <w:rsid w:val="00176635"/>
    <w:rsid w:val="00177311"/>
    <w:rsid w:val="00177809"/>
    <w:rsid w:val="00177B3D"/>
    <w:rsid w:val="00177D00"/>
    <w:rsid w:val="00177DE9"/>
    <w:rsid w:val="00180E5C"/>
    <w:rsid w:val="00181291"/>
    <w:rsid w:val="00182681"/>
    <w:rsid w:val="001826D3"/>
    <w:rsid w:val="00182C97"/>
    <w:rsid w:val="00182F7B"/>
    <w:rsid w:val="001836B2"/>
    <w:rsid w:val="001839B0"/>
    <w:rsid w:val="00183E74"/>
    <w:rsid w:val="0018407C"/>
    <w:rsid w:val="0018415D"/>
    <w:rsid w:val="00184A88"/>
    <w:rsid w:val="00184D0C"/>
    <w:rsid w:val="00184E23"/>
    <w:rsid w:val="00184F5D"/>
    <w:rsid w:val="00185885"/>
    <w:rsid w:val="00185A33"/>
    <w:rsid w:val="00185B2F"/>
    <w:rsid w:val="001860D1"/>
    <w:rsid w:val="001861B4"/>
    <w:rsid w:val="00186B0F"/>
    <w:rsid w:val="00186C4C"/>
    <w:rsid w:val="00186F24"/>
    <w:rsid w:val="00187596"/>
    <w:rsid w:val="001875C0"/>
    <w:rsid w:val="00187D4E"/>
    <w:rsid w:val="001900F8"/>
    <w:rsid w:val="001903BC"/>
    <w:rsid w:val="001903FF"/>
    <w:rsid w:val="00190841"/>
    <w:rsid w:val="00191AAA"/>
    <w:rsid w:val="00192475"/>
    <w:rsid w:val="00192797"/>
    <w:rsid w:val="00192798"/>
    <w:rsid w:val="00192D35"/>
    <w:rsid w:val="00193770"/>
    <w:rsid w:val="001937DD"/>
    <w:rsid w:val="00193D2F"/>
    <w:rsid w:val="0019459F"/>
    <w:rsid w:val="00194A6D"/>
    <w:rsid w:val="00194AEB"/>
    <w:rsid w:val="00194B11"/>
    <w:rsid w:val="00194BD7"/>
    <w:rsid w:val="001952AB"/>
    <w:rsid w:val="00195595"/>
    <w:rsid w:val="00195AAB"/>
    <w:rsid w:val="00195CC5"/>
    <w:rsid w:val="00195E3B"/>
    <w:rsid w:val="0019645C"/>
    <w:rsid w:val="00196986"/>
    <w:rsid w:val="00197027"/>
    <w:rsid w:val="001972B5"/>
    <w:rsid w:val="00197390"/>
    <w:rsid w:val="001976D6"/>
    <w:rsid w:val="001A0278"/>
    <w:rsid w:val="001A1067"/>
    <w:rsid w:val="001A148D"/>
    <w:rsid w:val="001A17B3"/>
    <w:rsid w:val="001A187A"/>
    <w:rsid w:val="001A21E4"/>
    <w:rsid w:val="001A2441"/>
    <w:rsid w:val="001A2FF6"/>
    <w:rsid w:val="001A3B30"/>
    <w:rsid w:val="001A3B89"/>
    <w:rsid w:val="001A3E07"/>
    <w:rsid w:val="001A4A56"/>
    <w:rsid w:val="001A4E75"/>
    <w:rsid w:val="001A4EBE"/>
    <w:rsid w:val="001A5059"/>
    <w:rsid w:val="001A50A4"/>
    <w:rsid w:val="001A5266"/>
    <w:rsid w:val="001A52F1"/>
    <w:rsid w:val="001A5780"/>
    <w:rsid w:val="001A5F31"/>
    <w:rsid w:val="001A6137"/>
    <w:rsid w:val="001A66A3"/>
    <w:rsid w:val="001A7949"/>
    <w:rsid w:val="001A7D3A"/>
    <w:rsid w:val="001B095F"/>
    <w:rsid w:val="001B09D1"/>
    <w:rsid w:val="001B0D41"/>
    <w:rsid w:val="001B15DF"/>
    <w:rsid w:val="001B26FC"/>
    <w:rsid w:val="001B277E"/>
    <w:rsid w:val="001B2991"/>
    <w:rsid w:val="001B3292"/>
    <w:rsid w:val="001B3381"/>
    <w:rsid w:val="001B353A"/>
    <w:rsid w:val="001B3601"/>
    <w:rsid w:val="001B371F"/>
    <w:rsid w:val="001B423C"/>
    <w:rsid w:val="001B577B"/>
    <w:rsid w:val="001B57C7"/>
    <w:rsid w:val="001B59D0"/>
    <w:rsid w:val="001B5E79"/>
    <w:rsid w:val="001B60F9"/>
    <w:rsid w:val="001B6584"/>
    <w:rsid w:val="001B753F"/>
    <w:rsid w:val="001B7D8D"/>
    <w:rsid w:val="001C000D"/>
    <w:rsid w:val="001C02BC"/>
    <w:rsid w:val="001C09C5"/>
    <w:rsid w:val="001C1F39"/>
    <w:rsid w:val="001C2560"/>
    <w:rsid w:val="001C28AF"/>
    <w:rsid w:val="001C2D8E"/>
    <w:rsid w:val="001C35F6"/>
    <w:rsid w:val="001C4100"/>
    <w:rsid w:val="001C4B98"/>
    <w:rsid w:val="001C56EB"/>
    <w:rsid w:val="001C5ACB"/>
    <w:rsid w:val="001C600D"/>
    <w:rsid w:val="001C614E"/>
    <w:rsid w:val="001C64E8"/>
    <w:rsid w:val="001C68BD"/>
    <w:rsid w:val="001C6B44"/>
    <w:rsid w:val="001C709A"/>
    <w:rsid w:val="001C7829"/>
    <w:rsid w:val="001C79FB"/>
    <w:rsid w:val="001C7DB2"/>
    <w:rsid w:val="001D0500"/>
    <w:rsid w:val="001D148C"/>
    <w:rsid w:val="001D236C"/>
    <w:rsid w:val="001D258E"/>
    <w:rsid w:val="001D2704"/>
    <w:rsid w:val="001D2AA1"/>
    <w:rsid w:val="001D2DE4"/>
    <w:rsid w:val="001D3879"/>
    <w:rsid w:val="001D3BA5"/>
    <w:rsid w:val="001D3CE9"/>
    <w:rsid w:val="001D3D8F"/>
    <w:rsid w:val="001D429A"/>
    <w:rsid w:val="001D4343"/>
    <w:rsid w:val="001D43CC"/>
    <w:rsid w:val="001D43D0"/>
    <w:rsid w:val="001D4694"/>
    <w:rsid w:val="001D4ACB"/>
    <w:rsid w:val="001D4B47"/>
    <w:rsid w:val="001D4E25"/>
    <w:rsid w:val="001D5152"/>
    <w:rsid w:val="001D547B"/>
    <w:rsid w:val="001D583C"/>
    <w:rsid w:val="001D59AE"/>
    <w:rsid w:val="001D5C35"/>
    <w:rsid w:val="001D65CF"/>
    <w:rsid w:val="001D663C"/>
    <w:rsid w:val="001D6D52"/>
    <w:rsid w:val="001D6E82"/>
    <w:rsid w:val="001D71E5"/>
    <w:rsid w:val="001D74AD"/>
    <w:rsid w:val="001D7594"/>
    <w:rsid w:val="001E0700"/>
    <w:rsid w:val="001E0815"/>
    <w:rsid w:val="001E0C58"/>
    <w:rsid w:val="001E10F9"/>
    <w:rsid w:val="001E13C0"/>
    <w:rsid w:val="001E16FA"/>
    <w:rsid w:val="001E278C"/>
    <w:rsid w:val="001E2835"/>
    <w:rsid w:val="001E2ECF"/>
    <w:rsid w:val="001E326E"/>
    <w:rsid w:val="001E3C5F"/>
    <w:rsid w:val="001E3E8B"/>
    <w:rsid w:val="001E4000"/>
    <w:rsid w:val="001E4433"/>
    <w:rsid w:val="001E4843"/>
    <w:rsid w:val="001E4BC2"/>
    <w:rsid w:val="001E5589"/>
    <w:rsid w:val="001E5766"/>
    <w:rsid w:val="001E57E0"/>
    <w:rsid w:val="001E6620"/>
    <w:rsid w:val="001E7664"/>
    <w:rsid w:val="001E78A1"/>
    <w:rsid w:val="001F01F5"/>
    <w:rsid w:val="001F0F87"/>
    <w:rsid w:val="001F1D55"/>
    <w:rsid w:val="001F20D8"/>
    <w:rsid w:val="001F254A"/>
    <w:rsid w:val="001F33D8"/>
    <w:rsid w:val="001F3510"/>
    <w:rsid w:val="001F35AE"/>
    <w:rsid w:val="001F37EB"/>
    <w:rsid w:val="001F3C9E"/>
    <w:rsid w:val="001F441E"/>
    <w:rsid w:val="001F4C64"/>
    <w:rsid w:val="001F4CA2"/>
    <w:rsid w:val="001F52A5"/>
    <w:rsid w:val="001F54EF"/>
    <w:rsid w:val="001F5639"/>
    <w:rsid w:val="001F564A"/>
    <w:rsid w:val="001F641C"/>
    <w:rsid w:val="001F64CD"/>
    <w:rsid w:val="001F69A4"/>
    <w:rsid w:val="001F6BCB"/>
    <w:rsid w:val="001F7001"/>
    <w:rsid w:val="001F740D"/>
    <w:rsid w:val="001F797D"/>
    <w:rsid w:val="001F7985"/>
    <w:rsid w:val="001F7AD7"/>
    <w:rsid w:val="001F7BF4"/>
    <w:rsid w:val="0020034C"/>
    <w:rsid w:val="002005E6"/>
    <w:rsid w:val="00200AE2"/>
    <w:rsid w:val="0020170C"/>
    <w:rsid w:val="00201936"/>
    <w:rsid w:val="00201961"/>
    <w:rsid w:val="00201BEF"/>
    <w:rsid w:val="002020E8"/>
    <w:rsid w:val="0020213D"/>
    <w:rsid w:val="0020282B"/>
    <w:rsid w:val="00203E19"/>
    <w:rsid w:val="0020410C"/>
    <w:rsid w:val="002042BE"/>
    <w:rsid w:val="0020433D"/>
    <w:rsid w:val="00204A95"/>
    <w:rsid w:val="002056B0"/>
    <w:rsid w:val="00205F81"/>
    <w:rsid w:val="002060B9"/>
    <w:rsid w:val="00206884"/>
    <w:rsid w:val="00207627"/>
    <w:rsid w:val="00207E8A"/>
    <w:rsid w:val="00207E8D"/>
    <w:rsid w:val="00210073"/>
    <w:rsid w:val="0021016F"/>
    <w:rsid w:val="00210E44"/>
    <w:rsid w:val="00210FB8"/>
    <w:rsid w:val="00211053"/>
    <w:rsid w:val="00211152"/>
    <w:rsid w:val="0021126D"/>
    <w:rsid w:val="00211838"/>
    <w:rsid w:val="00211A8A"/>
    <w:rsid w:val="00211F78"/>
    <w:rsid w:val="002120DA"/>
    <w:rsid w:val="002122F9"/>
    <w:rsid w:val="00212460"/>
    <w:rsid w:val="0021288F"/>
    <w:rsid w:val="00212E0E"/>
    <w:rsid w:val="002144AE"/>
    <w:rsid w:val="00214630"/>
    <w:rsid w:val="00214EDB"/>
    <w:rsid w:val="00214F21"/>
    <w:rsid w:val="0021502A"/>
    <w:rsid w:val="002151BD"/>
    <w:rsid w:val="002169D6"/>
    <w:rsid w:val="00216B26"/>
    <w:rsid w:val="00216E57"/>
    <w:rsid w:val="00216F51"/>
    <w:rsid w:val="002176B0"/>
    <w:rsid w:val="0021774E"/>
    <w:rsid w:val="00217DF8"/>
    <w:rsid w:val="00220235"/>
    <w:rsid w:val="00220843"/>
    <w:rsid w:val="002211F5"/>
    <w:rsid w:val="00221987"/>
    <w:rsid w:val="00222064"/>
    <w:rsid w:val="00222165"/>
    <w:rsid w:val="002229A6"/>
    <w:rsid w:val="00223102"/>
    <w:rsid w:val="00223437"/>
    <w:rsid w:val="00223A3B"/>
    <w:rsid w:val="0022477A"/>
    <w:rsid w:val="0022479D"/>
    <w:rsid w:val="00224A74"/>
    <w:rsid w:val="00224EFF"/>
    <w:rsid w:val="00224F8F"/>
    <w:rsid w:val="0022502D"/>
    <w:rsid w:val="00225152"/>
    <w:rsid w:val="0022637C"/>
    <w:rsid w:val="00226508"/>
    <w:rsid w:val="002265B2"/>
    <w:rsid w:val="002267A7"/>
    <w:rsid w:val="002270EF"/>
    <w:rsid w:val="002272EC"/>
    <w:rsid w:val="002274AC"/>
    <w:rsid w:val="00227A6F"/>
    <w:rsid w:val="002308BC"/>
    <w:rsid w:val="00230A63"/>
    <w:rsid w:val="00230C5D"/>
    <w:rsid w:val="00231889"/>
    <w:rsid w:val="00231985"/>
    <w:rsid w:val="00231C52"/>
    <w:rsid w:val="00231FA3"/>
    <w:rsid w:val="002322CF"/>
    <w:rsid w:val="00232B50"/>
    <w:rsid w:val="00232CE6"/>
    <w:rsid w:val="00233100"/>
    <w:rsid w:val="0023347A"/>
    <w:rsid w:val="00233AD8"/>
    <w:rsid w:val="00233E5F"/>
    <w:rsid w:val="00233EAA"/>
    <w:rsid w:val="0023430B"/>
    <w:rsid w:val="0023553C"/>
    <w:rsid w:val="0023565F"/>
    <w:rsid w:val="00236738"/>
    <w:rsid w:val="00236E68"/>
    <w:rsid w:val="00236E8B"/>
    <w:rsid w:val="00236E8F"/>
    <w:rsid w:val="002370BF"/>
    <w:rsid w:val="002374BA"/>
    <w:rsid w:val="00240F6D"/>
    <w:rsid w:val="002415E1"/>
    <w:rsid w:val="00242DAE"/>
    <w:rsid w:val="00243ADB"/>
    <w:rsid w:val="00243FEA"/>
    <w:rsid w:val="002442BC"/>
    <w:rsid w:val="00244EAD"/>
    <w:rsid w:val="00245125"/>
    <w:rsid w:val="002455C9"/>
    <w:rsid w:val="0024618A"/>
    <w:rsid w:val="00246452"/>
    <w:rsid w:val="002469AB"/>
    <w:rsid w:val="00250130"/>
    <w:rsid w:val="00250384"/>
    <w:rsid w:val="002512C4"/>
    <w:rsid w:val="0025188B"/>
    <w:rsid w:val="00251C9B"/>
    <w:rsid w:val="00252575"/>
    <w:rsid w:val="00252943"/>
    <w:rsid w:val="00252C29"/>
    <w:rsid w:val="00252FE0"/>
    <w:rsid w:val="0025330E"/>
    <w:rsid w:val="002534A5"/>
    <w:rsid w:val="00253952"/>
    <w:rsid w:val="002539DB"/>
    <w:rsid w:val="002561D5"/>
    <w:rsid w:val="00256366"/>
    <w:rsid w:val="002573D0"/>
    <w:rsid w:val="0025743A"/>
    <w:rsid w:val="00257623"/>
    <w:rsid w:val="002576B0"/>
    <w:rsid w:val="0025780A"/>
    <w:rsid w:val="00260A6B"/>
    <w:rsid w:val="0026111A"/>
    <w:rsid w:val="00261556"/>
    <w:rsid w:val="00261A46"/>
    <w:rsid w:val="00262226"/>
    <w:rsid w:val="00262AE1"/>
    <w:rsid w:val="00262B81"/>
    <w:rsid w:val="002630A0"/>
    <w:rsid w:val="002630ED"/>
    <w:rsid w:val="00263A65"/>
    <w:rsid w:val="00263E0B"/>
    <w:rsid w:val="00264006"/>
    <w:rsid w:val="002640FE"/>
    <w:rsid w:val="00264266"/>
    <w:rsid w:val="002645AF"/>
    <w:rsid w:val="0026477E"/>
    <w:rsid w:val="00264DDD"/>
    <w:rsid w:val="00264F08"/>
    <w:rsid w:val="00265888"/>
    <w:rsid w:val="0026623F"/>
    <w:rsid w:val="002666F0"/>
    <w:rsid w:val="00266704"/>
    <w:rsid w:val="00266807"/>
    <w:rsid w:val="002669F0"/>
    <w:rsid w:val="002670D5"/>
    <w:rsid w:val="00267EEA"/>
    <w:rsid w:val="00267F45"/>
    <w:rsid w:val="00270061"/>
    <w:rsid w:val="00271631"/>
    <w:rsid w:val="00271AE7"/>
    <w:rsid w:val="0027203C"/>
    <w:rsid w:val="00272BE2"/>
    <w:rsid w:val="00272DA2"/>
    <w:rsid w:val="00272F1B"/>
    <w:rsid w:val="0027350D"/>
    <w:rsid w:val="00274041"/>
    <w:rsid w:val="00274114"/>
    <w:rsid w:val="0027491D"/>
    <w:rsid w:val="00275147"/>
    <w:rsid w:val="00275197"/>
    <w:rsid w:val="00275453"/>
    <w:rsid w:val="0027557F"/>
    <w:rsid w:val="00275A4E"/>
    <w:rsid w:val="002768BB"/>
    <w:rsid w:val="00277438"/>
    <w:rsid w:val="002777A7"/>
    <w:rsid w:val="002807A9"/>
    <w:rsid w:val="002807DF"/>
    <w:rsid w:val="00280CE0"/>
    <w:rsid w:val="00280FEA"/>
    <w:rsid w:val="002813FB"/>
    <w:rsid w:val="00281774"/>
    <w:rsid w:val="002819D3"/>
    <w:rsid w:val="00281FA5"/>
    <w:rsid w:val="002820F4"/>
    <w:rsid w:val="00282174"/>
    <w:rsid w:val="002825EA"/>
    <w:rsid w:val="00282A27"/>
    <w:rsid w:val="00283490"/>
    <w:rsid w:val="00283A51"/>
    <w:rsid w:val="00283D16"/>
    <w:rsid w:val="00283F30"/>
    <w:rsid w:val="00284AB9"/>
    <w:rsid w:val="00284AC2"/>
    <w:rsid w:val="002852EF"/>
    <w:rsid w:val="002852F9"/>
    <w:rsid w:val="002854B4"/>
    <w:rsid w:val="002858F7"/>
    <w:rsid w:val="0028590A"/>
    <w:rsid w:val="00287896"/>
    <w:rsid w:val="0029006E"/>
    <w:rsid w:val="0029066F"/>
    <w:rsid w:val="00292069"/>
    <w:rsid w:val="00292EAA"/>
    <w:rsid w:val="00292F01"/>
    <w:rsid w:val="002932C2"/>
    <w:rsid w:val="00293674"/>
    <w:rsid w:val="002938D8"/>
    <w:rsid w:val="00293916"/>
    <w:rsid w:val="00293AEC"/>
    <w:rsid w:val="00293BD3"/>
    <w:rsid w:val="002949F4"/>
    <w:rsid w:val="00294DA1"/>
    <w:rsid w:val="00295487"/>
    <w:rsid w:val="0029620A"/>
    <w:rsid w:val="002968EA"/>
    <w:rsid w:val="00296D90"/>
    <w:rsid w:val="002979A0"/>
    <w:rsid w:val="002A0936"/>
    <w:rsid w:val="002A09A4"/>
    <w:rsid w:val="002A0A55"/>
    <w:rsid w:val="002A0B6A"/>
    <w:rsid w:val="002A0C31"/>
    <w:rsid w:val="002A13C4"/>
    <w:rsid w:val="002A1FE7"/>
    <w:rsid w:val="002A268A"/>
    <w:rsid w:val="002A2AC7"/>
    <w:rsid w:val="002A2B5B"/>
    <w:rsid w:val="002A31C7"/>
    <w:rsid w:val="002A34EB"/>
    <w:rsid w:val="002A387F"/>
    <w:rsid w:val="002A3E45"/>
    <w:rsid w:val="002A3EB2"/>
    <w:rsid w:val="002A45EA"/>
    <w:rsid w:val="002A4B4B"/>
    <w:rsid w:val="002A52BA"/>
    <w:rsid w:val="002A5881"/>
    <w:rsid w:val="002A5CEA"/>
    <w:rsid w:val="002A6AD3"/>
    <w:rsid w:val="002A6F41"/>
    <w:rsid w:val="002A7155"/>
    <w:rsid w:val="002A7408"/>
    <w:rsid w:val="002A75D5"/>
    <w:rsid w:val="002A7629"/>
    <w:rsid w:val="002A7718"/>
    <w:rsid w:val="002A7909"/>
    <w:rsid w:val="002A7A28"/>
    <w:rsid w:val="002A7B29"/>
    <w:rsid w:val="002A7D5A"/>
    <w:rsid w:val="002B0A6A"/>
    <w:rsid w:val="002B1E0F"/>
    <w:rsid w:val="002B235A"/>
    <w:rsid w:val="002B2B34"/>
    <w:rsid w:val="002B3A40"/>
    <w:rsid w:val="002B3DEB"/>
    <w:rsid w:val="002B3E7F"/>
    <w:rsid w:val="002B564C"/>
    <w:rsid w:val="002B5C16"/>
    <w:rsid w:val="002B66D1"/>
    <w:rsid w:val="002B68C7"/>
    <w:rsid w:val="002B6C20"/>
    <w:rsid w:val="002B7074"/>
    <w:rsid w:val="002B713E"/>
    <w:rsid w:val="002B77ED"/>
    <w:rsid w:val="002B78F3"/>
    <w:rsid w:val="002B7ADF"/>
    <w:rsid w:val="002B7C7D"/>
    <w:rsid w:val="002C0098"/>
    <w:rsid w:val="002C0286"/>
    <w:rsid w:val="002C05B7"/>
    <w:rsid w:val="002C066C"/>
    <w:rsid w:val="002C08D2"/>
    <w:rsid w:val="002C1599"/>
    <w:rsid w:val="002C1905"/>
    <w:rsid w:val="002C2465"/>
    <w:rsid w:val="002C2816"/>
    <w:rsid w:val="002C2904"/>
    <w:rsid w:val="002C341E"/>
    <w:rsid w:val="002C34A9"/>
    <w:rsid w:val="002C3BAF"/>
    <w:rsid w:val="002C3C10"/>
    <w:rsid w:val="002C4029"/>
    <w:rsid w:val="002C4183"/>
    <w:rsid w:val="002C4338"/>
    <w:rsid w:val="002C4AB6"/>
    <w:rsid w:val="002C4DA3"/>
    <w:rsid w:val="002C511C"/>
    <w:rsid w:val="002C56DC"/>
    <w:rsid w:val="002C63E9"/>
    <w:rsid w:val="002C6A58"/>
    <w:rsid w:val="002C6D18"/>
    <w:rsid w:val="002C74B7"/>
    <w:rsid w:val="002C7D1B"/>
    <w:rsid w:val="002D005C"/>
    <w:rsid w:val="002D04D9"/>
    <w:rsid w:val="002D0D2B"/>
    <w:rsid w:val="002D152A"/>
    <w:rsid w:val="002D1820"/>
    <w:rsid w:val="002D1BE6"/>
    <w:rsid w:val="002D299B"/>
    <w:rsid w:val="002D29C9"/>
    <w:rsid w:val="002D384C"/>
    <w:rsid w:val="002D4597"/>
    <w:rsid w:val="002D4761"/>
    <w:rsid w:val="002D4792"/>
    <w:rsid w:val="002D482F"/>
    <w:rsid w:val="002D4A35"/>
    <w:rsid w:val="002D4ACF"/>
    <w:rsid w:val="002D4ED9"/>
    <w:rsid w:val="002D5B22"/>
    <w:rsid w:val="002D6363"/>
    <w:rsid w:val="002D7A4F"/>
    <w:rsid w:val="002D7D99"/>
    <w:rsid w:val="002D7F98"/>
    <w:rsid w:val="002E015C"/>
    <w:rsid w:val="002E047B"/>
    <w:rsid w:val="002E1029"/>
    <w:rsid w:val="002E1203"/>
    <w:rsid w:val="002E12D4"/>
    <w:rsid w:val="002E1678"/>
    <w:rsid w:val="002E216A"/>
    <w:rsid w:val="002E2D30"/>
    <w:rsid w:val="002E3894"/>
    <w:rsid w:val="002E4079"/>
    <w:rsid w:val="002E4111"/>
    <w:rsid w:val="002E4774"/>
    <w:rsid w:val="002E480D"/>
    <w:rsid w:val="002E48C0"/>
    <w:rsid w:val="002E59C4"/>
    <w:rsid w:val="002E5D4C"/>
    <w:rsid w:val="002E6630"/>
    <w:rsid w:val="002E6B55"/>
    <w:rsid w:val="002E6D2D"/>
    <w:rsid w:val="002E752C"/>
    <w:rsid w:val="002E79E5"/>
    <w:rsid w:val="002E7FAD"/>
    <w:rsid w:val="002F03D9"/>
    <w:rsid w:val="002F0697"/>
    <w:rsid w:val="002F0C49"/>
    <w:rsid w:val="002F11D9"/>
    <w:rsid w:val="002F1495"/>
    <w:rsid w:val="002F1A3F"/>
    <w:rsid w:val="002F1EFF"/>
    <w:rsid w:val="002F208E"/>
    <w:rsid w:val="002F2391"/>
    <w:rsid w:val="002F24AC"/>
    <w:rsid w:val="002F24BC"/>
    <w:rsid w:val="002F26E9"/>
    <w:rsid w:val="002F306F"/>
    <w:rsid w:val="002F3BF7"/>
    <w:rsid w:val="002F44AA"/>
    <w:rsid w:val="002F46E7"/>
    <w:rsid w:val="002F4793"/>
    <w:rsid w:val="002F4E80"/>
    <w:rsid w:val="002F5179"/>
    <w:rsid w:val="002F5455"/>
    <w:rsid w:val="002F5568"/>
    <w:rsid w:val="002F5933"/>
    <w:rsid w:val="002F5E7C"/>
    <w:rsid w:val="002F5F0C"/>
    <w:rsid w:val="002F60D9"/>
    <w:rsid w:val="002F6BF0"/>
    <w:rsid w:val="002F6F9D"/>
    <w:rsid w:val="002F75E6"/>
    <w:rsid w:val="002F76FC"/>
    <w:rsid w:val="002F79EE"/>
    <w:rsid w:val="002F7CEF"/>
    <w:rsid w:val="002F7E38"/>
    <w:rsid w:val="0030002E"/>
    <w:rsid w:val="00300CFA"/>
    <w:rsid w:val="00301DAE"/>
    <w:rsid w:val="00302B47"/>
    <w:rsid w:val="00302B84"/>
    <w:rsid w:val="00302D42"/>
    <w:rsid w:val="00303BB8"/>
    <w:rsid w:val="00304B64"/>
    <w:rsid w:val="00304BD6"/>
    <w:rsid w:val="00304EC3"/>
    <w:rsid w:val="00305C7B"/>
    <w:rsid w:val="003065FF"/>
    <w:rsid w:val="00306841"/>
    <w:rsid w:val="003069AC"/>
    <w:rsid w:val="00306E9D"/>
    <w:rsid w:val="003074D7"/>
    <w:rsid w:val="00307505"/>
    <w:rsid w:val="00307F5F"/>
    <w:rsid w:val="003100DC"/>
    <w:rsid w:val="003102F6"/>
    <w:rsid w:val="00310363"/>
    <w:rsid w:val="003104EC"/>
    <w:rsid w:val="00311892"/>
    <w:rsid w:val="00311D14"/>
    <w:rsid w:val="00311ED7"/>
    <w:rsid w:val="00312487"/>
    <w:rsid w:val="003138A2"/>
    <w:rsid w:val="00314656"/>
    <w:rsid w:val="0031472C"/>
    <w:rsid w:val="003148B8"/>
    <w:rsid w:val="00314FD0"/>
    <w:rsid w:val="003160E7"/>
    <w:rsid w:val="0031611F"/>
    <w:rsid w:val="00316B8E"/>
    <w:rsid w:val="0031742C"/>
    <w:rsid w:val="0031779D"/>
    <w:rsid w:val="00317C3D"/>
    <w:rsid w:val="00317E48"/>
    <w:rsid w:val="00317F24"/>
    <w:rsid w:val="00320603"/>
    <w:rsid w:val="003208CF"/>
    <w:rsid w:val="00320DE6"/>
    <w:rsid w:val="0032106C"/>
    <w:rsid w:val="00321BA8"/>
    <w:rsid w:val="00321EE0"/>
    <w:rsid w:val="00321EEF"/>
    <w:rsid w:val="00321FE3"/>
    <w:rsid w:val="003226CA"/>
    <w:rsid w:val="00322C09"/>
    <w:rsid w:val="00322DD1"/>
    <w:rsid w:val="0032345B"/>
    <w:rsid w:val="00323F6A"/>
    <w:rsid w:val="003242D8"/>
    <w:rsid w:val="00324D7D"/>
    <w:rsid w:val="00325497"/>
    <w:rsid w:val="00325B1B"/>
    <w:rsid w:val="00325E1D"/>
    <w:rsid w:val="00326137"/>
    <w:rsid w:val="003268B9"/>
    <w:rsid w:val="00326B5C"/>
    <w:rsid w:val="00327764"/>
    <w:rsid w:val="003278D8"/>
    <w:rsid w:val="00327B6E"/>
    <w:rsid w:val="00330436"/>
    <w:rsid w:val="00330B24"/>
    <w:rsid w:val="00331318"/>
    <w:rsid w:val="00331345"/>
    <w:rsid w:val="00331595"/>
    <w:rsid w:val="003317B9"/>
    <w:rsid w:val="00331998"/>
    <w:rsid w:val="0033211A"/>
    <w:rsid w:val="00332356"/>
    <w:rsid w:val="003324A9"/>
    <w:rsid w:val="003326AA"/>
    <w:rsid w:val="00332F27"/>
    <w:rsid w:val="003336B2"/>
    <w:rsid w:val="0033385F"/>
    <w:rsid w:val="00333CBD"/>
    <w:rsid w:val="00333D67"/>
    <w:rsid w:val="00334437"/>
    <w:rsid w:val="00334937"/>
    <w:rsid w:val="00334AE4"/>
    <w:rsid w:val="00334DC7"/>
    <w:rsid w:val="003352F9"/>
    <w:rsid w:val="003357AA"/>
    <w:rsid w:val="003359CA"/>
    <w:rsid w:val="00335D5E"/>
    <w:rsid w:val="00336023"/>
    <w:rsid w:val="00336317"/>
    <w:rsid w:val="0033672F"/>
    <w:rsid w:val="00336C0D"/>
    <w:rsid w:val="00336F20"/>
    <w:rsid w:val="00337584"/>
    <w:rsid w:val="003376EB"/>
    <w:rsid w:val="0033782F"/>
    <w:rsid w:val="00337F82"/>
    <w:rsid w:val="003407BE"/>
    <w:rsid w:val="00340A22"/>
    <w:rsid w:val="003412BF"/>
    <w:rsid w:val="0034165C"/>
    <w:rsid w:val="00341E2B"/>
    <w:rsid w:val="00341FB2"/>
    <w:rsid w:val="003421BA"/>
    <w:rsid w:val="00342589"/>
    <w:rsid w:val="00342D51"/>
    <w:rsid w:val="0034305D"/>
    <w:rsid w:val="0034312C"/>
    <w:rsid w:val="00343176"/>
    <w:rsid w:val="003440DC"/>
    <w:rsid w:val="00344784"/>
    <w:rsid w:val="00344800"/>
    <w:rsid w:val="0034487D"/>
    <w:rsid w:val="00345E22"/>
    <w:rsid w:val="00345E39"/>
    <w:rsid w:val="00345F7B"/>
    <w:rsid w:val="0034609E"/>
    <w:rsid w:val="0034625B"/>
    <w:rsid w:val="0034689E"/>
    <w:rsid w:val="003469A6"/>
    <w:rsid w:val="00346C11"/>
    <w:rsid w:val="003474BA"/>
    <w:rsid w:val="003502E5"/>
    <w:rsid w:val="0035063E"/>
    <w:rsid w:val="00350845"/>
    <w:rsid w:val="00350F02"/>
    <w:rsid w:val="00350F2D"/>
    <w:rsid w:val="00351293"/>
    <w:rsid w:val="00351359"/>
    <w:rsid w:val="00351726"/>
    <w:rsid w:val="00351CB0"/>
    <w:rsid w:val="00351CF7"/>
    <w:rsid w:val="00351DEC"/>
    <w:rsid w:val="00352303"/>
    <w:rsid w:val="003526FD"/>
    <w:rsid w:val="003527F4"/>
    <w:rsid w:val="00352D3F"/>
    <w:rsid w:val="003533A8"/>
    <w:rsid w:val="00353414"/>
    <w:rsid w:val="00353425"/>
    <w:rsid w:val="003535EA"/>
    <w:rsid w:val="00353D89"/>
    <w:rsid w:val="00354826"/>
    <w:rsid w:val="00355533"/>
    <w:rsid w:val="0035594B"/>
    <w:rsid w:val="00357B0B"/>
    <w:rsid w:val="00357BF8"/>
    <w:rsid w:val="00357C93"/>
    <w:rsid w:val="0036018A"/>
    <w:rsid w:val="003601B8"/>
    <w:rsid w:val="00360402"/>
    <w:rsid w:val="003609B0"/>
    <w:rsid w:val="00360A4F"/>
    <w:rsid w:val="00360D9B"/>
    <w:rsid w:val="00360F77"/>
    <w:rsid w:val="0036121C"/>
    <w:rsid w:val="0036239C"/>
    <w:rsid w:val="0036298C"/>
    <w:rsid w:val="00362A00"/>
    <w:rsid w:val="00362A64"/>
    <w:rsid w:val="00362A89"/>
    <w:rsid w:val="00362BA0"/>
    <w:rsid w:val="00362E4D"/>
    <w:rsid w:val="00363802"/>
    <w:rsid w:val="00363B80"/>
    <w:rsid w:val="00363D6D"/>
    <w:rsid w:val="00363FD5"/>
    <w:rsid w:val="0036400D"/>
    <w:rsid w:val="003640A8"/>
    <w:rsid w:val="00364B81"/>
    <w:rsid w:val="00365072"/>
    <w:rsid w:val="00365713"/>
    <w:rsid w:val="003657EE"/>
    <w:rsid w:val="00365A55"/>
    <w:rsid w:val="003669CD"/>
    <w:rsid w:val="003669EF"/>
    <w:rsid w:val="00366DCD"/>
    <w:rsid w:val="003670CE"/>
    <w:rsid w:val="00370BDA"/>
    <w:rsid w:val="0037109B"/>
    <w:rsid w:val="0037141D"/>
    <w:rsid w:val="00371932"/>
    <w:rsid w:val="00371A67"/>
    <w:rsid w:val="00371B1C"/>
    <w:rsid w:val="00372264"/>
    <w:rsid w:val="0037242F"/>
    <w:rsid w:val="003725E0"/>
    <w:rsid w:val="003728FC"/>
    <w:rsid w:val="003743FB"/>
    <w:rsid w:val="00374472"/>
    <w:rsid w:val="003744A7"/>
    <w:rsid w:val="003748FC"/>
    <w:rsid w:val="00374E42"/>
    <w:rsid w:val="0037546B"/>
    <w:rsid w:val="00375E5E"/>
    <w:rsid w:val="00375F54"/>
    <w:rsid w:val="00376236"/>
    <w:rsid w:val="003766F2"/>
    <w:rsid w:val="00376D1C"/>
    <w:rsid w:val="003771EF"/>
    <w:rsid w:val="003774F5"/>
    <w:rsid w:val="00377728"/>
    <w:rsid w:val="00377BB0"/>
    <w:rsid w:val="00377C58"/>
    <w:rsid w:val="00380FD2"/>
    <w:rsid w:val="00381B23"/>
    <w:rsid w:val="003824FB"/>
    <w:rsid w:val="003825C6"/>
    <w:rsid w:val="0038290D"/>
    <w:rsid w:val="0038298A"/>
    <w:rsid w:val="003836FD"/>
    <w:rsid w:val="003838C6"/>
    <w:rsid w:val="0038416B"/>
    <w:rsid w:val="00384CFB"/>
    <w:rsid w:val="0038527B"/>
    <w:rsid w:val="003857CE"/>
    <w:rsid w:val="00386284"/>
    <w:rsid w:val="00386511"/>
    <w:rsid w:val="00386BC6"/>
    <w:rsid w:val="00386EB7"/>
    <w:rsid w:val="00386EF9"/>
    <w:rsid w:val="00387063"/>
    <w:rsid w:val="00387073"/>
    <w:rsid w:val="0038773A"/>
    <w:rsid w:val="00387DC4"/>
    <w:rsid w:val="00390BEA"/>
    <w:rsid w:val="00390D7A"/>
    <w:rsid w:val="003913EB"/>
    <w:rsid w:val="00391528"/>
    <w:rsid w:val="00391705"/>
    <w:rsid w:val="00391C66"/>
    <w:rsid w:val="00391E79"/>
    <w:rsid w:val="003920B3"/>
    <w:rsid w:val="00392358"/>
    <w:rsid w:val="00392394"/>
    <w:rsid w:val="003923D6"/>
    <w:rsid w:val="00392798"/>
    <w:rsid w:val="00392CDD"/>
    <w:rsid w:val="00393307"/>
    <w:rsid w:val="0039363A"/>
    <w:rsid w:val="00394222"/>
    <w:rsid w:val="00394818"/>
    <w:rsid w:val="00394E4A"/>
    <w:rsid w:val="00395727"/>
    <w:rsid w:val="003964B6"/>
    <w:rsid w:val="00396A37"/>
    <w:rsid w:val="00396D2C"/>
    <w:rsid w:val="0039738B"/>
    <w:rsid w:val="00397E6D"/>
    <w:rsid w:val="00397F27"/>
    <w:rsid w:val="003A04DB"/>
    <w:rsid w:val="003A09FD"/>
    <w:rsid w:val="003A19B6"/>
    <w:rsid w:val="003A20FF"/>
    <w:rsid w:val="003A2A56"/>
    <w:rsid w:val="003A316B"/>
    <w:rsid w:val="003A334C"/>
    <w:rsid w:val="003A33A9"/>
    <w:rsid w:val="003A37F8"/>
    <w:rsid w:val="003A3A7E"/>
    <w:rsid w:val="003A449F"/>
    <w:rsid w:val="003A49FB"/>
    <w:rsid w:val="003A5152"/>
    <w:rsid w:val="003A51A7"/>
    <w:rsid w:val="003A5288"/>
    <w:rsid w:val="003A54D3"/>
    <w:rsid w:val="003A55A5"/>
    <w:rsid w:val="003A58BB"/>
    <w:rsid w:val="003A5C6F"/>
    <w:rsid w:val="003A601B"/>
    <w:rsid w:val="003A61A8"/>
    <w:rsid w:val="003A69A1"/>
    <w:rsid w:val="003A78EF"/>
    <w:rsid w:val="003A7B5C"/>
    <w:rsid w:val="003A7CC8"/>
    <w:rsid w:val="003A7E21"/>
    <w:rsid w:val="003B0237"/>
    <w:rsid w:val="003B0371"/>
    <w:rsid w:val="003B0D98"/>
    <w:rsid w:val="003B0E1B"/>
    <w:rsid w:val="003B1040"/>
    <w:rsid w:val="003B1E13"/>
    <w:rsid w:val="003B2413"/>
    <w:rsid w:val="003B28F0"/>
    <w:rsid w:val="003B2BAF"/>
    <w:rsid w:val="003B38C8"/>
    <w:rsid w:val="003B3ECA"/>
    <w:rsid w:val="003B47E3"/>
    <w:rsid w:val="003B4AA3"/>
    <w:rsid w:val="003B5291"/>
    <w:rsid w:val="003B588E"/>
    <w:rsid w:val="003B593F"/>
    <w:rsid w:val="003B5D99"/>
    <w:rsid w:val="003B5F66"/>
    <w:rsid w:val="003B6530"/>
    <w:rsid w:val="003B65CE"/>
    <w:rsid w:val="003B6917"/>
    <w:rsid w:val="003B7035"/>
    <w:rsid w:val="003B70AE"/>
    <w:rsid w:val="003B7408"/>
    <w:rsid w:val="003B746F"/>
    <w:rsid w:val="003B799C"/>
    <w:rsid w:val="003C0296"/>
    <w:rsid w:val="003C0513"/>
    <w:rsid w:val="003C0611"/>
    <w:rsid w:val="003C0FCB"/>
    <w:rsid w:val="003C1438"/>
    <w:rsid w:val="003C15C4"/>
    <w:rsid w:val="003C160A"/>
    <w:rsid w:val="003C1915"/>
    <w:rsid w:val="003C1963"/>
    <w:rsid w:val="003C1A51"/>
    <w:rsid w:val="003C258B"/>
    <w:rsid w:val="003C2CCC"/>
    <w:rsid w:val="003C360F"/>
    <w:rsid w:val="003C36DE"/>
    <w:rsid w:val="003C3B44"/>
    <w:rsid w:val="003C3CD6"/>
    <w:rsid w:val="003C3E5A"/>
    <w:rsid w:val="003C3E9E"/>
    <w:rsid w:val="003C4296"/>
    <w:rsid w:val="003C42F0"/>
    <w:rsid w:val="003C4C3E"/>
    <w:rsid w:val="003C50C6"/>
    <w:rsid w:val="003C527C"/>
    <w:rsid w:val="003C5EA0"/>
    <w:rsid w:val="003C63F7"/>
    <w:rsid w:val="003C647F"/>
    <w:rsid w:val="003C6C9B"/>
    <w:rsid w:val="003C6FBF"/>
    <w:rsid w:val="003C7487"/>
    <w:rsid w:val="003C761D"/>
    <w:rsid w:val="003D0772"/>
    <w:rsid w:val="003D0CE5"/>
    <w:rsid w:val="003D0F32"/>
    <w:rsid w:val="003D17DA"/>
    <w:rsid w:val="003D1BE3"/>
    <w:rsid w:val="003D2B78"/>
    <w:rsid w:val="003D3410"/>
    <w:rsid w:val="003D4508"/>
    <w:rsid w:val="003D4C20"/>
    <w:rsid w:val="003D4EB3"/>
    <w:rsid w:val="003D550D"/>
    <w:rsid w:val="003D55BF"/>
    <w:rsid w:val="003D614C"/>
    <w:rsid w:val="003D6483"/>
    <w:rsid w:val="003D65E6"/>
    <w:rsid w:val="003D67F8"/>
    <w:rsid w:val="003D6896"/>
    <w:rsid w:val="003D68A9"/>
    <w:rsid w:val="003D6B99"/>
    <w:rsid w:val="003D6EC8"/>
    <w:rsid w:val="003D70C0"/>
    <w:rsid w:val="003D713A"/>
    <w:rsid w:val="003D71B3"/>
    <w:rsid w:val="003D78D6"/>
    <w:rsid w:val="003D7A9E"/>
    <w:rsid w:val="003E0359"/>
    <w:rsid w:val="003E08A4"/>
    <w:rsid w:val="003E0EEA"/>
    <w:rsid w:val="003E0F1D"/>
    <w:rsid w:val="003E13BA"/>
    <w:rsid w:val="003E20B5"/>
    <w:rsid w:val="003E22E3"/>
    <w:rsid w:val="003E2C2C"/>
    <w:rsid w:val="003E2EAC"/>
    <w:rsid w:val="003E3432"/>
    <w:rsid w:val="003E3820"/>
    <w:rsid w:val="003E4528"/>
    <w:rsid w:val="003E49ED"/>
    <w:rsid w:val="003E4D83"/>
    <w:rsid w:val="003E5062"/>
    <w:rsid w:val="003E52BA"/>
    <w:rsid w:val="003E5462"/>
    <w:rsid w:val="003E6064"/>
    <w:rsid w:val="003E6764"/>
    <w:rsid w:val="003E7B9A"/>
    <w:rsid w:val="003F0267"/>
    <w:rsid w:val="003F0694"/>
    <w:rsid w:val="003F1053"/>
    <w:rsid w:val="003F111B"/>
    <w:rsid w:val="003F15FE"/>
    <w:rsid w:val="003F1773"/>
    <w:rsid w:val="003F2024"/>
    <w:rsid w:val="003F21D1"/>
    <w:rsid w:val="003F22D0"/>
    <w:rsid w:val="003F247E"/>
    <w:rsid w:val="003F2B9A"/>
    <w:rsid w:val="003F30C7"/>
    <w:rsid w:val="003F3F2C"/>
    <w:rsid w:val="003F40AE"/>
    <w:rsid w:val="003F41C4"/>
    <w:rsid w:val="003F477F"/>
    <w:rsid w:val="003F4D92"/>
    <w:rsid w:val="003F5730"/>
    <w:rsid w:val="003F59C1"/>
    <w:rsid w:val="003F673B"/>
    <w:rsid w:val="003F6C39"/>
    <w:rsid w:val="003F6FE1"/>
    <w:rsid w:val="003F710F"/>
    <w:rsid w:val="003F7538"/>
    <w:rsid w:val="003F782A"/>
    <w:rsid w:val="003F797E"/>
    <w:rsid w:val="003F7F68"/>
    <w:rsid w:val="00400802"/>
    <w:rsid w:val="00400BAA"/>
    <w:rsid w:val="00400C99"/>
    <w:rsid w:val="00400D9A"/>
    <w:rsid w:val="00400E08"/>
    <w:rsid w:val="00401271"/>
    <w:rsid w:val="00401842"/>
    <w:rsid w:val="00401A42"/>
    <w:rsid w:val="00401E54"/>
    <w:rsid w:val="00402269"/>
    <w:rsid w:val="0040304F"/>
    <w:rsid w:val="00403121"/>
    <w:rsid w:val="00403739"/>
    <w:rsid w:val="004037F8"/>
    <w:rsid w:val="00403AAC"/>
    <w:rsid w:val="00403BCA"/>
    <w:rsid w:val="00404494"/>
    <w:rsid w:val="00404F56"/>
    <w:rsid w:val="00405307"/>
    <w:rsid w:val="00405E36"/>
    <w:rsid w:val="00406140"/>
    <w:rsid w:val="00406397"/>
    <w:rsid w:val="004064F6"/>
    <w:rsid w:val="00406E88"/>
    <w:rsid w:val="00407404"/>
    <w:rsid w:val="00407B17"/>
    <w:rsid w:val="004102BC"/>
    <w:rsid w:val="00410313"/>
    <w:rsid w:val="004108A0"/>
    <w:rsid w:val="0041230A"/>
    <w:rsid w:val="004123A9"/>
    <w:rsid w:val="004124E8"/>
    <w:rsid w:val="00412BC0"/>
    <w:rsid w:val="00412EF6"/>
    <w:rsid w:val="00413A2D"/>
    <w:rsid w:val="00414244"/>
    <w:rsid w:val="004145C3"/>
    <w:rsid w:val="00414736"/>
    <w:rsid w:val="00414947"/>
    <w:rsid w:val="004152AE"/>
    <w:rsid w:val="004158B6"/>
    <w:rsid w:val="00415C56"/>
    <w:rsid w:val="004162DB"/>
    <w:rsid w:val="004163FB"/>
    <w:rsid w:val="004167FB"/>
    <w:rsid w:val="00416DB0"/>
    <w:rsid w:val="00417E53"/>
    <w:rsid w:val="0042086D"/>
    <w:rsid w:val="00420D6F"/>
    <w:rsid w:val="0042126B"/>
    <w:rsid w:val="004215CA"/>
    <w:rsid w:val="0042161A"/>
    <w:rsid w:val="00422470"/>
    <w:rsid w:val="00422F37"/>
    <w:rsid w:val="004231B0"/>
    <w:rsid w:val="004234A8"/>
    <w:rsid w:val="004238F9"/>
    <w:rsid w:val="004239D1"/>
    <w:rsid w:val="00424092"/>
    <w:rsid w:val="00424E07"/>
    <w:rsid w:val="00425B4E"/>
    <w:rsid w:val="00425BCA"/>
    <w:rsid w:val="00425BE3"/>
    <w:rsid w:val="00425DF2"/>
    <w:rsid w:val="00425EB6"/>
    <w:rsid w:val="00425F87"/>
    <w:rsid w:val="00426D7B"/>
    <w:rsid w:val="00426F92"/>
    <w:rsid w:val="0042791E"/>
    <w:rsid w:val="00427E06"/>
    <w:rsid w:val="00427F63"/>
    <w:rsid w:val="004302CC"/>
    <w:rsid w:val="00430E78"/>
    <w:rsid w:val="004314FE"/>
    <w:rsid w:val="00431881"/>
    <w:rsid w:val="00431E06"/>
    <w:rsid w:val="00431E36"/>
    <w:rsid w:val="00431EDA"/>
    <w:rsid w:val="00432091"/>
    <w:rsid w:val="0043224B"/>
    <w:rsid w:val="00432830"/>
    <w:rsid w:val="00432BF5"/>
    <w:rsid w:val="0043317C"/>
    <w:rsid w:val="0043346D"/>
    <w:rsid w:val="0043352D"/>
    <w:rsid w:val="00433E77"/>
    <w:rsid w:val="004345BF"/>
    <w:rsid w:val="00434CCA"/>
    <w:rsid w:val="00435940"/>
    <w:rsid w:val="00435E47"/>
    <w:rsid w:val="0043665A"/>
    <w:rsid w:val="00436E7E"/>
    <w:rsid w:val="00437F89"/>
    <w:rsid w:val="0044007C"/>
    <w:rsid w:val="00440B6B"/>
    <w:rsid w:val="0044173B"/>
    <w:rsid w:val="004419A8"/>
    <w:rsid w:val="00441F5D"/>
    <w:rsid w:val="004420CB"/>
    <w:rsid w:val="004425D0"/>
    <w:rsid w:val="00442773"/>
    <w:rsid w:val="00442B28"/>
    <w:rsid w:val="00443230"/>
    <w:rsid w:val="004433B1"/>
    <w:rsid w:val="00443A9C"/>
    <w:rsid w:val="004449EA"/>
    <w:rsid w:val="0044548B"/>
    <w:rsid w:val="0044582A"/>
    <w:rsid w:val="00445AA7"/>
    <w:rsid w:val="00445C20"/>
    <w:rsid w:val="00445C7E"/>
    <w:rsid w:val="00445E10"/>
    <w:rsid w:val="004465BF"/>
    <w:rsid w:val="004470C4"/>
    <w:rsid w:val="00447520"/>
    <w:rsid w:val="004477D6"/>
    <w:rsid w:val="00450428"/>
    <w:rsid w:val="004505B3"/>
    <w:rsid w:val="0045070C"/>
    <w:rsid w:val="00451C38"/>
    <w:rsid w:val="004528DE"/>
    <w:rsid w:val="004529A7"/>
    <w:rsid w:val="004529D6"/>
    <w:rsid w:val="00452EB0"/>
    <w:rsid w:val="00453354"/>
    <w:rsid w:val="00453365"/>
    <w:rsid w:val="00453677"/>
    <w:rsid w:val="00453FE9"/>
    <w:rsid w:val="0045454F"/>
    <w:rsid w:val="00454636"/>
    <w:rsid w:val="00454F14"/>
    <w:rsid w:val="0045593D"/>
    <w:rsid w:val="00455B0C"/>
    <w:rsid w:val="00455D88"/>
    <w:rsid w:val="00455FA6"/>
    <w:rsid w:val="0045631A"/>
    <w:rsid w:val="00456C08"/>
    <w:rsid w:val="00457173"/>
    <w:rsid w:val="00457A28"/>
    <w:rsid w:val="00457C83"/>
    <w:rsid w:val="00460167"/>
    <w:rsid w:val="00460320"/>
    <w:rsid w:val="004606FA"/>
    <w:rsid w:val="00460702"/>
    <w:rsid w:val="00460851"/>
    <w:rsid w:val="00460B0B"/>
    <w:rsid w:val="00460C67"/>
    <w:rsid w:val="00460CC5"/>
    <w:rsid w:val="00460D53"/>
    <w:rsid w:val="0046106D"/>
    <w:rsid w:val="0046200F"/>
    <w:rsid w:val="0046220B"/>
    <w:rsid w:val="00462343"/>
    <w:rsid w:val="00462673"/>
    <w:rsid w:val="00462948"/>
    <w:rsid w:val="00462D20"/>
    <w:rsid w:val="00463351"/>
    <w:rsid w:val="0046337D"/>
    <w:rsid w:val="00463C36"/>
    <w:rsid w:val="004648B1"/>
    <w:rsid w:val="0046562D"/>
    <w:rsid w:val="0046569E"/>
    <w:rsid w:val="00465AE1"/>
    <w:rsid w:val="00465B35"/>
    <w:rsid w:val="00465D7C"/>
    <w:rsid w:val="00465D88"/>
    <w:rsid w:val="00465E4F"/>
    <w:rsid w:val="00465F38"/>
    <w:rsid w:val="00465F81"/>
    <w:rsid w:val="0046647A"/>
    <w:rsid w:val="004670C6"/>
    <w:rsid w:val="0046731A"/>
    <w:rsid w:val="004673F5"/>
    <w:rsid w:val="00467489"/>
    <w:rsid w:val="00467974"/>
    <w:rsid w:val="00467B87"/>
    <w:rsid w:val="0047013F"/>
    <w:rsid w:val="0047093D"/>
    <w:rsid w:val="004709C2"/>
    <w:rsid w:val="0047189E"/>
    <w:rsid w:val="00471AF0"/>
    <w:rsid w:val="00471C7E"/>
    <w:rsid w:val="00472A32"/>
    <w:rsid w:val="00472C7E"/>
    <w:rsid w:val="00472CFA"/>
    <w:rsid w:val="00472EC4"/>
    <w:rsid w:val="00472ED3"/>
    <w:rsid w:val="00473574"/>
    <w:rsid w:val="00474187"/>
    <w:rsid w:val="004741F1"/>
    <w:rsid w:val="0047472C"/>
    <w:rsid w:val="004748F1"/>
    <w:rsid w:val="004749CD"/>
    <w:rsid w:val="00475184"/>
    <w:rsid w:val="00475212"/>
    <w:rsid w:val="0047681C"/>
    <w:rsid w:val="00476851"/>
    <w:rsid w:val="00476C5D"/>
    <w:rsid w:val="004771F7"/>
    <w:rsid w:val="0047797A"/>
    <w:rsid w:val="00477FE2"/>
    <w:rsid w:val="0048074B"/>
    <w:rsid w:val="00480D39"/>
    <w:rsid w:val="00481086"/>
    <w:rsid w:val="00481EE6"/>
    <w:rsid w:val="0048228E"/>
    <w:rsid w:val="00482399"/>
    <w:rsid w:val="0048247C"/>
    <w:rsid w:val="00482E16"/>
    <w:rsid w:val="00482E75"/>
    <w:rsid w:val="004831A2"/>
    <w:rsid w:val="00483BEB"/>
    <w:rsid w:val="0048410E"/>
    <w:rsid w:val="004845A1"/>
    <w:rsid w:val="00484DAA"/>
    <w:rsid w:val="00485564"/>
    <w:rsid w:val="004856F9"/>
    <w:rsid w:val="00485A72"/>
    <w:rsid w:val="00486947"/>
    <w:rsid w:val="00486A65"/>
    <w:rsid w:val="00487059"/>
    <w:rsid w:val="0048778B"/>
    <w:rsid w:val="00487C13"/>
    <w:rsid w:val="00490104"/>
    <w:rsid w:val="00490576"/>
    <w:rsid w:val="00490D1D"/>
    <w:rsid w:val="00490DED"/>
    <w:rsid w:val="00490F72"/>
    <w:rsid w:val="00491255"/>
    <w:rsid w:val="00491814"/>
    <w:rsid w:val="0049184A"/>
    <w:rsid w:val="00491CEB"/>
    <w:rsid w:val="0049224E"/>
    <w:rsid w:val="00492352"/>
    <w:rsid w:val="004927A0"/>
    <w:rsid w:val="0049290C"/>
    <w:rsid w:val="00492BA1"/>
    <w:rsid w:val="0049328C"/>
    <w:rsid w:val="004934C1"/>
    <w:rsid w:val="00493510"/>
    <w:rsid w:val="00493648"/>
    <w:rsid w:val="00493CCF"/>
    <w:rsid w:val="0049441F"/>
    <w:rsid w:val="0049464F"/>
    <w:rsid w:val="004946C0"/>
    <w:rsid w:val="00495097"/>
    <w:rsid w:val="004957B8"/>
    <w:rsid w:val="004959FC"/>
    <w:rsid w:val="00495CC3"/>
    <w:rsid w:val="0049744D"/>
    <w:rsid w:val="004979EA"/>
    <w:rsid w:val="00497AE9"/>
    <w:rsid w:val="004A02E1"/>
    <w:rsid w:val="004A0B55"/>
    <w:rsid w:val="004A0B63"/>
    <w:rsid w:val="004A1B43"/>
    <w:rsid w:val="004A2142"/>
    <w:rsid w:val="004A3788"/>
    <w:rsid w:val="004A3F78"/>
    <w:rsid w:val="004A536B"/>
    <w:rsid w:val="004A5929"/>
    <w:rsid w:val="004A5BA9"/>
    <w:rsid w:val="004A6958"/>
    <w:rsid w:val="004A6A60"/>
    <w:rsid w:val="004A6AA8"/>
    <w:rsid w:val="004A6CB9"/>
    <w:rsid w:val="004A6FFB"/>
    <w:rsid w:val="004A78B8"/>
    <w:rsid w:val="004A7A37"/>
    <w:rsid w:val="004B012C"/>
    <w:rsid w:val="004B0461"/>
    <w:rsid w:val="004B0656"/>
    <w:rsid w:val="004B080F"/>
    <w:rsid w:val="004B084B"/>
    <w:rsid w:val="004B0CFE"/>
    <w:rsid w:val="004B111A"/>
    <w:rsid w:val="004B1296"/>
    <w:rsid w:val="004B13A0"/>
    <w:rsid w:val="004B2568"/>
    <w:rsid w:val="004B2A09"/>
    <w:rsid w:val="004B2ACE"/>
    <w:rsid w:val="004B3003"/>
    <w:rsid w:val="004B30C3"/>
    <w:rsid w:val="004B3210"/>
    <w:rsid w:val="004B345E"/>
    <w:rsid w:val="004B38D6"/>
    <w:rsid w:val="004B398E"/>
    <w:rsid w:val="004B3FC9"/>
    <w:rsid w:val="004B419C"/>
    <w:rsid w:val="004B4F49"/>
    <w:rsid w:val="004B53C0"/>
    <w:rsid w:val="004B556B"/>
    <w:rsid w:val="004B5570"/>
    <w:rsid w:val="004B59FB"/>
    <w:rsid w:val="004B5D5F"/>
    <w:rsid w:val="004B6941"/>
    <w:rsid w:val="004B6B75"/>
    <w:rsid w:val="004B6BD7"/>
    <w:rsid w:val="004B73E1"/>
    <w:rsid w:val="004B7640"/>
    <w:rsid w:val="004B76F7"/>
    <w:rsid w:val="004B77FF"/>
    <w:rsid w:val="004B78CD"/>
    <w:rsid w:val="004C00E7"/>
    <w:rsid w:val="004C0749"/>
    <w:rsid w:val="004C0986"/>
    <w:rsid w:val="004C098F"/>
    <w:rsid w:val="004C0D03"/>
    <w:rsid w:val="004C1077"/>
    <w:rsid w:val="004C1600"/>
    <w:rsid w:val="004C1A91"/>
    <w:rsid w:val="004C2028"/>
    <w:rsid w:val="004C219C"/>
    <w:rsid w:val="004C2237"/>
    <w:rsid w:val="004C26C8"/>
    <w:rsid w:val="004C2BEA"/>
    <w:rsid w:val="004C34F4"/>
    <w:rsid w:val="004C3C98"/>
    <w:rsid w:val="004C3F05"/>
    <w:rsid w:val="004C4293"/>
    <w:rsid w:val="004C42C3"/>
    <w:rsid w:val="004C50C4"/>
    <w:rsid w:val="004C572E"/>
    <w:rsid w:val="004C6568"/>
    <w:rsid w:val="004C665F"/>
    <w:rsid w:val="004C6675"/>
    <w:rsid w:val="004C6947"/>
    <w:rsid w:val="004C6F61"/>
    <w:rsid w:val="004C74C8"/>
    <w:rsid w:val="004C7DA8"/>
    <w:rsid w:val="004D0393"/>
    <w:rsid w:val="004D0C4A"/>
    <w:rsid w:val="004D0C7D"/>
    <w:rsid w:val="004D107A"/>
    <w:rsid w:val="004D15C5"/>
    <w:rsid w:val="004D1B5D"/>
    <w:rsid w:val="004D1F2C"/>
    <w:rsid w:val="004D213D"/>
    <w:rsid w:val="004D215A"/>
    <w:rsid w:val="004D286A"/>
    <w:rsid w:val="004D28DC"/>
    <w:rsid w:val="004D2909"/>
    <w:rsid w:val="004D2AAC"/>
    <w:rsid w:val="004D2DFC"/>
    <w:rsid w:val="004D33B2"/>
    <w:rsid w:val="004D3AC2"/>
    <w:rsid w:val="004D3B8D"/>
    <w:rsid w:val="004D3EB2"/>
    <w:rsid w:val="004D3EDE"/>
    <w:rsid w:val="004D3FE1"/>
    <w:rsid w:val="004D492C"/>
    <w:rsid w:val="004D52F5"/>
    <w:rsid w:val="004D5735"/>
    <w:rsid w:val="004D5A3A"/>
    <w:rsid w:val="004D5B38"/>
    <w:rsid w:val="004D5BBE"/>
    <w:rsid w:val="004D61A6"/>
    <w:rsid w:val="004D61DB"/>
    <w:rsid w:val="004D625F"/>
    <w:rsid w:val="004D6432"/>
    <w:rsid w:val="004D6631"/>
    <w:rsid w:val="004D66D2"/>
    <w:rsid w:val="004D6BE5"/>
    <w:rsid w:val="004D6F9A"/>
    <w:rsid w:val="004D70C4"/>
    <w:rsid w:val="004D7464"/>
    <w:rsid w:val="004D7584"/>
    <w:rsid w:val="004D78C6"/>
    <w:rsid w:val="004D7AC7"/>
    <w:rsid w:val="004E02C6"/>
    <w:rsid w:val="004E0361"/>
    <w:rsid w:val="004E04EF"/>
    <w:rsid w:val="004E0919"/>
    <w:rsid w:val="004E0AD9"/>
    <w:rsid w:val="004E0B60"/>
    <w:rsid w:val="004E1708"/>
    <w:rsid w:val="004E1F23"/>
    <w:rsid w:val="004E22E7"/>
    <w:rsid w:val="004E2936"/>
    <w:rsid w:val="004E2982"/>
    <w:rsid w:val="004E2B57"/>
    <w:rsid w:val="004E2C39"/>
    <w:rsid w:val="004E35C6"/>
    <w:rsid w:val="004E37DE"/>
    <w:rsid w:val="004E465E"/>
    <w:rsid w:val="004E513F"/>
    <w:rsid w:val="004E5396"/>
    <w:rsid w:val="004E622C"/>
    <w:rsid w:val="004E629D"/>
    <w:rsid w:val="004E6D2D"/>
    <w:rsid w:val="004E70B7"/>
    <w:rsid w:val="004E750F"/>
    <w:rsid w:val="004E7D0D"/>
    <w:rsid w:val="004E7E08"/>
    <w:rsid w:val="004F0B6A"/>
    <w:rsid w:val="004F0D19"/>
    <w:rsid w:val="004F1453"/>
    <w:rsid w:val="004F152D"/>
    <w:rsid w:val="004F1801"/>
    <w:rsid w:val="004F191E"/>
    <w:rsid w:val="004F1939"/>
    <w:rsid w:val="004F1A6B"/>
    <w:rsid w:val="004F1C65"/>
    <w:rsid w:val="004F1DC2"/>
    <w:rsid w:val="004F2B20"/>
    <w:rsid w:val="004F321E"/>
    <w:rsid w:val="004F373C"/>
    <w:rsid w:val="004F4103"/>
    <w:rsid w:val="004F4303"/>
    <w:rsid w:val="004F4B15"/>
    <w:rsid w:val="004F4B73"/>
    <w:rsid w:val="004F5101"/>
    <w:rsid w:val="004F5541"/>
    <w:rsid w:val="004F5580"/>
    <w:rsid w:val="004F57F0"/>
    <w:rsid w:val="004F5982"/>
    <w:rsid w:val="004F59FE"/>
    <w:rsid w:val="004F5A25"/>
    <w:rsid w:val="004F5A2D"/>
    <w:rsid w:val="004F5C19"/>
    <w:rsid w:val="004F68F6"/>
    <w:rsid w:val="004F6E21"/>
    <w:rsid w:val="004F79A5"/>
    <w:rsid w:val="004F79F1"/>
    <w:rsid w:val="004F7D2B"/>
    <w:rsid w:val="004F7E8D"/>
    <w:rsid w:val="0050082B"/>
    <w:rsid w:val="00500857"/>
    <w:rsid w:val="00501769"/>
    <w:rsid w:val="00501B87"/>
    <w:rsid w:val="00501DC5"/>
    <w:rsid w:val="00501E47"/>
    <w:rsid w:val="00502D05"/>
    <w:rsid w:val="00503402"/>
    <w:rsid w:val="0050366A"/>
    <w:rsid w:val="00503BEF"/>
    <w:rsid w:val="0050407F"/>
    <w:rsid w:val="005040F6"/>
    <w:rsid w:val="00504463"/>
    <w:rsid w:val="00504822"/>
    <w:rsid w:val="00504C71"/>
    <w:rsid w:val="00504E76"/>
    <w:rsid w:val="005055A9"/>
    <w:rsid w:val="00505AE5"/>
    <w:rsid w:val="0050615D"/>
    <w:rsid w:val="00507B5C"/>
    <w:rsid w:val="00510ADD"/>
    <w:rsid w:val="00510B17"/>
    <w:rsid w:val="00511071"/>
    <w:rsid w:val="00511524"/>
    <w:rsid w:val="005115D6"/>
    <w:rsid w:val="00512038"/>
    <w:rsid w:val="005129DA"/>
    <w:rsid w:val="005129F4"/>
    <w:rsid w:val="00513392"/>
    <w:rsid w:val="00513A8A"/>
    <w:rsid w:val="00513D56"/>
    <w:rsid w:val="00513E03"/>
    <w:rsid w:val="005154B4"/>
    <w:rsid w:val="0051553F"/>
    <w:rsid w:val="00515955"/>
    <w:rsid w:val="00515D04"/>
    <w:rsid w:val="00515FDC"/>
    <w:rsid w:val="005162B7"/>
    <w:rsid w:val="00516A02"/>
    <w:rsid w:val="00517FEB"/>
    <w:rsid w:val="0052048B"/>
    <w:rsid w:val="005205D7"/>
    <w:rsid w:val="00520CCE"/>
    <w:rsid w:val="00521146"/>
    <w:rsid w:val="005218D4"/>
    <w:rsid w:val="00521A1E"/>
    <w:rsid w:val="00523523"/>
    <w:rsid w:val="00523AC1"/>
    <w:rsid w:val="00523B32"/>
    <w:rsid w:val="00523E70"/>
    <w:rsid w:val="005247C2"/>
    <w:rsid w:val="0052499C"/>
    <w:rsid w:val="00524A1D"/>
    <w:rsid w:val="00525A13"/>
    <w:rsid w:val="00525A3E"/>
    <w:rsid w:val="00526305"/>
    <w:rsid w:val="00526918"/>
    <w:rsid w:val="0052699B"/>
    <w:rsid w:val="00526A92"/>
    <w:rsid w:val="00527885"/>
    <w:rsid w:val="005300E2"/>
    <w:rsid w:val="005308C8"/>
    <w:rsid w:val="00530F3B"/>
    <w:rsid w:val="00531214"/>
    <w:rsid w:val="00531B3D"/>
    <w:rsid w:val="00531C43"/>
    <w:rsid w:val="00531ECB"/>
    <w:rsid w:val="0053249B"/>
    <w:rsid w:val="005328DB"/>
    <w:rsid w:val="00532AB2"/>
    <w:rsid w:val="00532B09"/>
    <w:rsid w:val="0053310B"/>
    <w:rsid w:val="005339F4"/>
    <w:rsid w:val="00533B07"/>
    <w:rsid w:val="00533B97"/>
    <w:rsid w:val="00533EFF"/>
    <w:rsid w:val="0053403E"/>
    <w:rsid w:val="00534655"/>
    <w:rsid w:val="0053465E"/>
    <w:rsid w:val="005358A6"/>
    <w:rsid w:val="00536087"/>
    <w:rsid w:val="00536505"/>
    <w:rsid w:val="005370A3"/>
    <w:rsid w:val="00537522"/>
    <w:rsid w:val="00537E70"/>
    <w:rsid w:val="00537F97"/>
    <w:rsid w:val="00537FFD"/>
    <w:rsid w:val="00540766"/>
    <w:rsid w:val="00540817"/>
    <w:rsid w:val="00540AD9"/>
    <w:rsid w:val="00540C18"/>
    <w:rsid w:val="00541329"/>
    <w:rsid w:val="00541458"/>
    <w:rsid w:val="0054150E"/>
    <w:rsid w:val="005416E5"/>
    <w:rsid w:val="00541948"/>
    <w:rsid w:val="00541E9C"/>
    <w:rsid w:val="0054221E"/>
    <w:rsid w:val="00542FF7"/>
    <w:rsid w:val="00543642"/>
    <w:rsid w:val="00544038"/>
    <w:rsid w:val="00544772"/>
    <w:rsid w:val="005450BE"/>
    <w:rsid w:val="00545583"/>
    <w:rsid w:val="00545910"/>
    <w:rsid w:val="0054648D"/>
    <w:rsid w:val="00546ABA"/>
    <w:rsid w:val="00546EA4"/>
    <w:rsid w:val="00546FF9"/>
    <w:rsid w:val="005472B2"/>
    <w:rsid w:val="00547B7D"/>
    <w:rsid w:val="00547CB5"/>
    <w:rsid w:val="00547D42"/>
    <w:rsid w:val="0055029F"/>
    <w:rsid w:val="00550300"/>
    <w:rsid w:val="00550432"/>
    <w:rsid w:val="00550CE6"/>
    <w:rsid w:val="00551135"/>
    <w:rsid w:val="005511E2"/>
    <w:rsid w:val="0055144B"/>
    <w:rsid w:val="00551756"/>
    <w:rsid w:val="00551E93"/>
    <w:rsid w:val="00551F4B"/>
    <w:rsid w:val="00552196"/>
    <w:rsid w:val="00552206"/>
    <w:rsid w:val="00552EBC"/>
    <w:rsid w:val="005532D8"/>
    <w:rsid w:val="00553A5F"/>
    <w:rsid w:val="005544EF"/>
    <w:rsid w:val="005549E3"/>
    <w:rsid w:val="00554AE3"/>
    <w:rsid w:val="00554D6C"/>
    <w:rsid w:val="00555CA2"/>
    <w:rsid w:val="00555E6F"/>
    <w:rsid w:val="00555F5B"/>
    <w:rsid w:val="0055633D"/>
    <w:rsid w:val="0055668B"/>
    <w:rsid w:val="00556749"/>
    <w:rsid w:val="0055674E"/>
    <w:rsid w:val="00556CCC"/>
    <w:rsid w:val="00556CE9"/>
    <w:rsid w:val="00556FD6"/>
    <w:rsid w:val="00557034"/>
    <w:rsid w:val="00557072"/>
    <w:rsid w:val="00557201"/>
    <w:rsid w:val="00557D30"/>
    <w:rsid w:val="005600C6"/>
    <w:rsid w:val="00560217"/>
    <w:rsid w:val="0056061D"/>
    <w:rsid w:val="0056088F"/>
    <w:rsid w:val="00560BBE"/>
    <w:rsid w:val="00561612"/>
    <w:rsid w:val="005623A6"/>
    <w:rsid w:val="005635CC"/>
    <w:rsid w:val="005636AA"/>
    <w:rsid w:val="00564448"/>
    <w:rsid w:val="00564A91"/>
    <w:rsid w:val="00564BE5"/>
    <w:rsid w:val="00564C8D"/>
    <w:rsid w:val="005656A0"/>
    <w:rsid w:val="0056595B"/>
    <w:rsid w:val="00565A9C"/>
    <w:rsid w:val="00565FC6"/>
    <w:rsid w:val="00566832"/>
    <w:rsid w:val="005672CA"/>
    <w:rsid w:val="005673D4"/>
    <w:rsid w:val="005677FC"/>
    <w:rsid w:val="00567B67"/>
    <w:rsid w:val="00567FCB"/>
    <w:rsid w:val="00570164"/>
    <w:rsid w:val="00570516"/>
    <w:rsid w:val="00570F74"/>
    <w:rsid w:val="00571200"/>
    <w:rsid w:val="00571BDC"/>
    <w:rsid w:val="00571C9C"/>
    <w:rsid w:val="00571DA7"/>
    <w:rsid w:val="00571F55"/>
    <w:rsid w:val="00571F5F"/>
    <w:rsid w:val="0057226D"/>
    <w:rsid w:val="005727C8"/>
    <w:rsid w:val="005729C8"/>
    <w:rsid w:val="00572D81"/>
    <w:rsid w:val="005744AA"/>
    <w:rsid w:val="00574818"/>
    <w:rsid w:val="0057493E"/>
    <w:rsid w:val="00574DE0"/>
    <w:rsid w:val="00574F5A"/>
    <w:rsid w:val="00575213"/>
    <w:rsid w:val="00575C71"/>
    <w:rsid w:val="00575DBA"/>
    <w:rsid w:val="005761A7"/>
    <w:rsid w:val="00576969"/>
    <w:rsid w:val="005770B5"/>
    <w:rsid w:val="005776BF"/>
    <w:rsid w:val="00577C07"/>
    <w:rsid w:val="005801B1"/>
    <w:rsid w:val="00580ABC"/>
    <w:rsid w:val="00580AF7"/>
    <w:rsid w:val="0058163B"/>
    <w:rsid w:val="00581882"/>
    <w:rsid w:val="00581EBD"/>
    <w:rsid w:val="00582320"/>
    <w:rsid w:val="005823C7"/>
    <w:rsid w:val="00582FDF"/>
    <w:rsid w:val="00583860"/>
    <w:rsid w:val="005846FC"/>
    <w:rsid w:val="00584E1B"/>
    <w:rsid w:val="00585042"/>
    <w:rsid w:val="0058512B"/>
    <w:rsid w:val="00585417"/>
    <w:rsid w:val="005857FF"/>
    <w:rsid w:val="005858DD"/>
    <w:rsid w:val="00585A1A"/>
    <w:rsid w:val="00585CC7"/>
    <w:rsid w:val="00585CE9"/>
    <w:rsid w:val="005867BD"/>
    <w:rsid w:val="005876C0"/>
    <w:rsid w:val="00587BD0"/>
    <w:rsid w:val="00587C6C"/>
    <w:rsid w:val="00590536"/>
    <w:rsid w:val="0059077E"/>
    <w:rsid w:val="00590DB0"/>
    <w:rsid w:val="00591391"/>
    <w:rsid w:val="00592018"/>
    <w:rsid w:val="00592543"/>
    <w:rsid w:val="00592740"/>
    <w:rsid w:val="0059278A"/>
    <w:rsid w:val="00592A39"/>
    <w:rsid w:val="00592F82"/>
    <w:rsid w:val="0059311B"/>
    <w:rsid w:val="00593EF5"/>
    <w:rsid w:val="0059418A"/>
    <w:rsid w:val="00594667"/>
    <w:rsid w:val="00594F62"/>
    <w:rsid w:val="005950BD"/>
    <w:rsid w:val="00595192"/>
    <w:rsid w:val="00595FDC"/>
    <w:rsid w:val="00596B33"/>
    <w:rsid w:val="00596F35"/>
    <w:rsid w:val="00596F76"/>
    <w:rsid w:val="005976D8"/>
    <w:rsid w:val="0059785E"/>
    <w:rsid w:val="00597BF1"/>
    <w:rsid w:val="005A02B3"/>
    <w:rsid w:val="005A0874"/>
    <w:rsid w:val="005A08D6"/>
    <w:rsid w:val="005A0C99"/>
    <w:rsid w:val="005A0EA1"/>
    <w:rsid w:val="005A10E7"/>
    <w:rsid w:val="005A1170"/>
    <w:rsid w:val="005A11F5"/>
    <w:rsid w:val="005A16CA"/>
    <w:rsid w:val="005A1C32"/>
    <w:rsid w:val="005A1C9A"/>
    <w:rsid w:val="005A1EDC"/>
    <w:rsid w:val="005A2FBA"/>
    <w:rsid w:val="005A3071"/>
    <w:rsid w:val="005A326C"/>
    <w:rsid w:val="005A33E1"/>
    <w:rsid w:val="005A35B4"/>
    <w:rsid w:val="005A3E07"/>
    <w:rsid w:val="005A4422"/>
    <w:rsid w:val="005A4580"/>
    <w:rsid w:val="005A46C7"/>
    <w:rsid w:val="005A4C7D"/>
    <w:rsid w:val="005A4F2B"/>
    <w:rsid w:val="005A4FB5"/>
    <w:rsid w:val="005A52E6"/>
    <w:rsid w:val="005A52FC"/>
    <w:rsid w:val="005A5567"/>
    <w:rsid w:val="005A5853"/>
    <w:rsid w:val="005A618C"/>
    <w:rsid w:val="005A7036"/>
    <w:rsid w:val="005A73D2"/>
    <w:rsid w:val="005A7A0A"/>
    <w:rsid w:val="005A7A8D"/>
    <w:rsid w:val="005A7C3E"/>
    <w:rsid w:val="005A7CB3"/>
    <w:rsid w:val="005B058B"/>
    <w:rsid w:val="005B093A"/>
    <w:rsid w:val="005B0ECA"/>
    <w:rsid w:val="005B0F6C"/>
    <w:rsid w:val="005B11E8"/>
    <w:rsid w:val="005B1349"/>
    <w:rsid w:val="005B17D8"/>
    <w:rsid w:val="005B1BA7"/>
    <w:rsid w:val="005B1F39"/>
    <w:rsid w:val="005B21B3"/>
    <w:rsid w:val="005B270C"/>
    <w:rsid w:val="005B2852"/>
    <w:rsid w:val="005B349E"/>
    <w:rsid w:val="005B367C"/>
    <w:rsid w:val="005B3953"/>
    <w:rsid w:val="005B43FD"/>
    <w:rsid w:val="005B4682"/>
    <w:rsid w:val="005B59DF"/>
    <w:rsid w:val="005B5AC4"/>
    <w:rsid w:val="005B5B58"/>
    <w:rsid w:val="005B6E44"/>
    <w:rsid w:val="005B6EAD"/>
    <w:rsid w:val="005B7ADE"/>
    <w:rsid w:val="005C030D"/>
    <w:rsid w:val="005C0B62"/>
    <w:rsid w:val="005C0E00"/>
    <w:rsid w:val="005C1017"/>
    <w:rsid w:val="005C13E8"/>
    <w:rsid w:val="005C1426"/>
    <w:rsid w:val="005C20BD"/>
    <w:rsid w:val="005C27AE"/>
    <w:rsid w:val="005C2AF0"/>
    <w:rsid w:val="005C2CAA"/>
    <w:rsid w:val="005C2D92"/>
    <w:rsid w:val="005C39AC"/>
    <w:rsid w:val="005C3A52"/>
    <w:rsid w:val="005C3E06"/>
    <w:rsid w:val="005C4562"/>
    <w:rsid w:val="005C493E"/>
    <w:rsid w:val="005C4C02"/>
    <w:rsid w:val="005C54F5"/>
    <w:rsid w:val="005C56CB"/>
    <w:rsid w:val="005C56D2"/>
    <w:rsid w:val="005C597A"/>
    <w:rsid w:val="005C61D8"/>
    <w:rsid w:val="005C6235"/>
    <w:rsid w:val="005C6AFE"/>
    <w:rsid w:val="005C703E"/>
    <w:rsid w:val="005C7202"/>
    <w:rsid w:val="005D0658"/>
    <w:rsid w:val="005D0713"/>
    <w:rsid w:val="005D0741"/>
    <w:rsid w:val="005D0758"/>
    <w:rsid w:val="005D0A9E"/>
    <w:rsid w:val="005D12E9"/>
    <w:rsid w:val="005D17F0"/>
    <w:rsid w:val="005D2E86"/>
    <w:rsid w:val="005D2FA4"/>
    <w:rsid w:val="005D3331"/>
    <w:rsid w:val="005D3556"/>
    <w:rsid w:val="005D3F76"/>
    <w:rsid w:val="005D46B4"/>
    <w:rsid w:val="005D4EEC"/>
    <w:rsid w:val="005D5273"/>
    <w:rsid w:val="005D5522"/>
    <w:rsid w:val="005D564E"/>
    <w:rsid w:val="005D5721"/>
    <w:rsid w:val="005D582E"/>
    <w:rsid w:val="005D5AF4"/>
    <w:rsid w:val="005D5FAA"/>
    <w:rsid w:val="005D603B"/>
    <w:rsid w:val="005D6189"/>
    <w:rsid w:val="005D64D7"/>
    <w:rsid w:val="005D6A3E"/>
    <w:rsid w:val="005D6B50"/>
    <w:rsid w:val="005D7304"/>
    <w:rsid w:val="005D771D"/>
    <w:rsid w:val="005D7BBF"/>
    <w:rsid w:val="005E0533"/>
    <w:rsid w:val="005E0EFD"/>
    <w:rsid w:val="005E10F4"/>
    <w:rsid w:val="005E1AF5"/>
    <w:rsid w:val="005E1EAF"/>
    <w:rsid w:val="005E1EDB"/>
    <w:rsid w:val="005E1FA0"/>
    <w:rsid w:val="005E22C1"/>
    <w:rsid w:val="005E26D8"/>
    <w:rsid w:val="005E2EB5"/>
    <w:rsid w:val="005E3669"/>
    <w:rsid w:val="005E391B"/>
    <w:rsid w:val="005E3B0E"/>
    <w:rsid w:val="005E4AF3"/>
    <w:rsid w:val="005E4DE2"/>
    <w:rsid w:val="005E4E0C"/>
    <w:rsid w:val="005E5793"/>
    <w:rsid w:val="005E607C"/>
    <w:rsid w:val="005E6370"/>
    <w:rsid w:val="005E6F3E"/>
    <w:rsid w:val="005E77C4"/>
    <w:rsid w:val="005F0099"/>
    <w:rsid w:val="005F057E"/>
    <w:rsid w:val="005F0901"/>
    <w:rsid w:val="005F0F69"/>
    <w:rsid w:val="005F13F5"/>
    <w:rsid w:val="005F17D0"/>
    <w:rsid w:val="005F18A0"/>
    <w:rsid w:val="005F1928"/>
    <w:rsid w:val="005F1AF0"/>
    <w:rsid w:val="005F1BAA"/>
    <w:rsid w:val="005F1ED0"/>
    <w:rsid w:val="005F1FB9"/>
    <w:rsid w:val="005F2701"/>
    <w:rsid w:val="005F2ABF"/>
    <w:rsid w:val="005F2D7A"/>
    <w:rsid w:val="005F3037"/>
    <w:rsid w:val="005F314A"/>
    <w:rsid w:val="005F33FA"/>
    <w:rsid w:val="005F3AB4"/>
    <w:rsid w:val="005F3C63"/>
    <w:rsid w:val="005F42F6"/>
    <w:rsid w:val="005F47E9"/>
    <w:rsid w:val="005F4D1E"/>
    <w:rsid w:val="005F5E0D"/>
    <w:rsid w:val="005F73A4"/>
    <w:rsid w:val="005F7A9F"/>
    <w:rsid w:val="005F7B48"/>
    <w:rsid w:val="005F7DEA"/>
    <w:rsid w:val="00600601"/>
    <w:rsid w:val="00600702"/>
    <w:rsid w:val="00600905"/>
    <w:rsid w:val="006009D5"/>
    <w:rsid w:val="00600C1B"/>
    <w:rsid w:val="00600E9A"/>
    <w:rsid w:val="00600F50"/>
    <w:rsid w:val="00601A73"/>
    <w:rsid w:val="00601DBB"/>
    <w:rsid w:val="006029D7"/>
    <w:rsid w:val="00605170"/>
    <w:rsid w:val="006057FD"/>
    <w:rsid w:val="006059B3"/>
    <w:rsid w:val="00610962"/>
    <w:rsid w:val="00611144"/>
    <w:rsid w:val="0061117B"/>
    <w:rsid w:val="006115ED"/>
    <w:rsid w:val="00611660"/>
    <w:rsid w:val="00611870"/>
    <w:rsid w:val="00611DB8"/>
    <w:rsid w:val="00612ABA"/>
    <w:rsid w:val="00612BF8"/>
    <w:rsid w:val="00612F58"/>
    <w:rsid w:val="006132CF"/>
    <w:rsid w:val="00613365"/>
    <w:rsid w:val="00613678"/>
    <w:rsid w:val="006139D3"/>
    <w:rsid w:val="0061408B"/>
    <w:rsid w:val="00614233"/>
    <w:rsid w:val="0061455C"/>
    <w:rsid w:val="00614D2D"/>
    <w:rsid w:val="00615179"/>
    <w:rsid w:val="006151B5"/>
    <w:rsid w:val="00615A77"/>
    <w:rsid w:val="00615EFE"/>
    <w:rsid w:val="00615FAE"/>
    <w:rsid w:val="006166C1"/>
    <w:rsid w:val="006168CD"/>
    <w:rsid w:val="00616C1E"/>
    <w:rsid w:val="00616C63"/>
    <w:rsid w:val="006170A8"/>
    <w:rsid w:val="00617784"/>
    <w:rsid w:val="00620447"/>
    <w:rsid w:val="006204FC"/>
    <w:rsid w:val="00620AD4"/>
    <w:rsid w:val="00620C1C"/>
    <w:rsid w:val="00620FB7"/>
    <w:rsid w:val="00621780"/>
    <w:rsid w:val="0062198A"/>
    <w:rsid w:val="00621A36"/>
    <w:rsid w:val="00621A7C"/>
    <w:rsid w:val="00621E0E"/>
    <w:rsid w:val="00622203"/>
    <w:rsid w:val="0062242E"/>
    <w:rsid w:val="00622A99"/>
    <w:rsid w:val="00622CE8"/>
    <w:rsid w:val="00622F95"/>
    <w:rsid w:val="0062318D"/>
    <w:rsid w:val="0062343F"/>
    <w:rsid w:val="0062395E"/>
    <w:rsid w:val="00623B59"/>
    <w:rsid w:val="00623DED"/>
    <w:rsid w:val="006241FB"/>
    <w:rsid w:val="0062462D"/>
    <w:rsid w:val="00624ABD"/>
    <w:rsid w:val="00624D11"/>
    <w:rsid w:val="00624EC3"/>
    <w:rsid w:val="006250C0"/>
    <w:rsid w:val="006250D8"/>
    <w:rsid w:val="0062567B"/>
    <w:rsid w:val="00625A64"/>
    <w:rsid w:val="006263AB"/>
    <w:rsid w:val="00627161"/>
    <w:rsid w:val="00627633"/>
    <w:rsid w:val="00630D5C"/>
    <w:rsid w:val="00631A18"/>
    <w:rsid w:val="00631DE0"/>
    <w:rsid w:val="00632144"/>
    <w:rsid w:val="00632196"/>
    <w:rsid w:val="00632461"/>
    <w:rsid w:val="0063318E"/>
    <w:rsid w:val="00633C00"/>
    <w:rsid w:val="00633D15"/>
    <w:rsid w:val="00633FF1"/>
    <w:rsid w:val="00634176"/>
    <w:rsid w:val="00634968"/>
    <w:rsid w:val="00634DA1"/>
    <w:rsid w:val="00634EB5"/>
    <w:rsid w:val="0063533D"/>
    <w:rsid w:val="00635A14"/>
    <w:rsid w:val="00635E99"/>
    <w:rsid w:val="006365D2"/>
    <w:rsid w:val="00636852"/>
    <w:rsid w:val="0063693B"/>
    <w:rsid w:val="006377AB"/>
    <w:rsid w:val="00637D93"/>
    <w:rsid w:val="0064003B"/>
    <w:rsid w:val="006401CA"/>
    <w:rsid w:val="00640BE4"/>
    <w:rsid w:val="00641321"/>
    <w:rsid w:val="006414D1"/>
    <w:rsid w:val="00642D85"/>
    <w:rsid w:val="00643594"/>
    <w:rsid w:val="00643D77"/>
    <w:rsid w:val="00643F98"/>
    <w:rsid w:val="0064410F"/>
    <w:rsid w:val="0064421D"/>
    <w:rsid w:val="00644460"/>
    <w:rsid w:val="00644FEE"/>
    <w:rsid w:val="00645296"/>
    <w:rsid w:val="0064572A"/>
    <w:rsid w:val="006457CE"/>
    <w:rsid w:val="00645860"/>
    <w:rsid w:val="00645AEC"/>
    <w:rsid w:val="00645B89"/>
    <w:rsid w:val="006463D9"/>
    <w:rsid w:val="006465EF"/>
    <w:rsid w:val="00646A38"/>
    <w:rsid w:val="00647CA3"/>
    <w:rsid w:val="006504C4"/>
    <w:rsid w:val="00650B2C"/>
    <w:rsid w:val="006512EB"/>
    <w:rsid w:val="0065147B"/>
    <w:rsid w:val="00651552"/>
    <w:rsid w:val="00651AD4"/>
    <w:rsid w:val="00651F32"/>
    <w:rsid w:val="006527A3"/>
    <w:rsid w:val="0065284D"/>
    <w:rsid w:val="00652A43"/>
    <w:rsid w:val="0065307F"/>
    <w:rsid w:val="0065324B"/>
    <w:rsid w:val="006533A9"/>
    <w:rsid w:val="0065347C"/>
    <w:rsid w:val="00653829"/>
    <w:rsid w:val="00653924"/>
    <w:rsid w:val="0065420C"/>
    <w:rsid w:val="00654F6A"/>
    <w:rsid w:val="006558CC"/>
    <w:rsid w:val="00655EF7"/>
    <w:rsid w:val="006565CC"/>
    <w:rsid w:val="00656C5E"/>
    <w:rsid w:val="00656EFA"/>
    <w:rsid w:val="00656F61"/>
    <w:rsid w:val="00657319"/>
    <w:rsid w:val="0065749A"/>
    <w:rsid w:val="00657753"/>
    <w:rsid w:val="00657774"/>
    <w:rsid w:val="00657995"/>
    <w:rsid w:val="00657FAA"/>
    <w:rsid w:val="0066022B"/>
    <w:rsid w:val="0066148A"/>
    <w:rsid w:val="00661542"/>
    <w:rsid w:val="00661746"/>
    <w:rsid w:val="00661BE7"/>
    <w:rsid w:val="00661E8F"/>
    <w:rsid w:val="006628A9"/>
    <w:rsid w:val="00662A63"/>
    <w:rsid w:val="00663378"/>
    <w:rsid w:val="006633EC"/>
    <w:rsid w:val="00663713"/>
    <w:rsid w:val="00664081"/>
    <w:rsid w:val="006640B8"/>
    <w:rsid w:val="006649E3"/>
    <w:rsid w:val="006650AC"/>
    <w:rsid w:val="006651EB"/>
    <w:rsid w:val="006653F1"/>
    <w:rsid w:val="00665574"/>
    <w:rsid w:val="006656CA"/>
    <w:rsid w:val="006658D1"/>
    <w:rsid w:val="00665AA4"/>
    <w:rsid w:val="006666ED"/>
    <w:rsid w:val="00666AFF"/>
    <w:rsid w:val="00667904"/>
    <w:rsid w:val="00667A57"/>
    <w:rsid w:val="00667ABD"/>
    <w:rsid w:val="00667DCD"/>
    <w:rsid w:val="006705B7"/>
    <w:rsid w:val="00670A3C"/>
    <w:rsid w:val="00670FB9"/>
    <w:rsid w:val="00671A98"/>
    <w:rsid w:val="00671BD4"/>
    <w:rsid w:val="00671E6E"/>
    <w:rsid w:val="00671EE2"/>
    <w:rsid w:val="006722E9"/>
    <w:rsid w:val="0067242C"/>
    <w:rsid w:val="006737D7"/>
    <w:rsid w:val="006742C9"/>
    <w:rsid w:val="006748A3"/>
    <w:rsid w:val="00675B51"/>
    <w:rsid w:val="00675D80"/>
    <w:rsid w:val="00675E5D"/>
    <w:rsid w:val="006761F6"/>
    <w:rsid w:val="00676730"/>
    <w:rsid w:val="00676A85"/>
    <w:rsid w:val="00677009"/>
    <w:rsid w:val="00677B5F"/>
    <w:rsid w:val="00680488"/>
    <w:rsid w:val="00681227"/>
    <w:rsid w:val="00681533"/>
    <w:rsid w:val="00681B31"/>
    <w:rsid w:val="006824B8"/>
    <w:rsid w:val="00682D90"/>
    <w:rsid w:val="00682EC0"/>
    <w:rsid w:val="00683187"/>
    <w:rsid w:val="00683518"/>
    <w:rsid w:val="00683575"/>
    <w:rsid w:val="006839E0"/>
    <w:rsid w:val="00683A15"/>
    <w:rsid w:val="00683B78"/>
    <w:rsid w:val="00683BA7"/>
    <w:rsid w:val="00683DB4"/>
    <w:rsid w:val="0068427A"/>
    <w:rsid w:val="00684620"/>
    <w:rsid w:val="00684BE5"/>
    <w:rsid w:val="00684C91"/>
    <w:rsid w:val="00684C98"/>
    <w:rsid w:val="0068552D"/>
    <w:rsid w:val="006862A2"/>
    <w:rsid w:val="006865C6"/>
    <w:rsid w:val="00686691"/>
    <w:rsid w:val="00686767"/>
    <w:rsid w:val="00686B30"/>
    <w:rsid w:val="00686BF0"/>
    <w:rsid w:val="006870C3"/>
    <w:rsid w:val="00687191"/>
    <w:rsid w:val="00687389"/>
    <w:rsid w:val="00687E72"/>
    <w:rsid w:val="00691F6A"/>
    <w:rsid w:val="00692937"/>
    <w:rsid w:val="0069295D"/>
    <w:rsid w:val="0069303F"/>
    <w:rsid w:val="0069305A"/>
    <w:rsid w:val="006930FC"/>
    <w:rsid w:val="006931DC"/>
    <w:rsid w:val="00693CFF"/>
    <w:rsid w:val="00693D15"/>
    <w:rsid w:val="00694447"/>
    <w:rsid w:val="00694863"/>
    <w:rsid w:val="00694D9F"/>
    <w:rsid w:val="00695044"/>
    <w:rsid w:val="00695117"/>
    <w:rsid w:val="00695DFC"/>
    <w:rsid w:val="006967C7"/>
    <w:rsid w:val="0069725B"/>
    <w:rsid w:val="00697377"/>
    <w:rsid w:val="0069772D"/>
    <w:rsid w:val="006977C2"/>
    <w:rsid w:val="00697814"/>
    <w:rsid w:val="00697B3C"/>
    <w:rsid w:val="00697BC3"/>
    <w:rsid w:val="00697F3A"/>
    <w:rsid w:val="006A0345"/>
    <w:rsid w:val="006A0BFB"/>
    <w:rsid w:val="006A1215"/>
    <w:rsid w:val="006A12D8"/>
    <w:rsid w:val="006A1582"/>
    <w:rsid w:val="006A1B9A"/>
    <w:rsid w:val="006A2119"/>
    <w:rsid w:val="006A2173"/>
    <w:rsid w:val="006A25DE"/>
    <w:rsid w:val="006A2787"/>
    <w:rsid w:val="006A2976"/>
    <w:rsid w:val="006A2C38"/>
    <w:rsid w:val="006A3CCA"/>
    <w:rsid w:val="006A3DCC"/>
    <w:rsid w:val="006A422A"/>
    <w:rsid w:val="006A4DE2"/>
    <w:rsid w:val="006A51B5"/>
    <w:rsid w:val="006A6404"/>
    <w:rsid w:val="006A6514"/>
    <w:rsid w:val="006A7486"/>
    <w:rsid w:val="006A758D"/>
    <w:rsid w:val="006A781D"/>
    <w:rsid w:val="006A7C09"/>
    <w:rsid w:val="006A7EBA"/>
    <w:rsid w:val="006B08E8"/>
    <w:rsid w:val="006B0A68"/>
    <w:rsid w:val="006B117F"/>
    <w:rsid w:val="006B1302"/>
    <w:rsid w:val="006B3D84"/>
    <w:rsid w:val="006B4790"/>
    <w:rsid w:val="006B4E69"/>
    <w:rsid w:val="006B505C"/>
    <w:rsid w:val="006B6B44"/>
    <w:rsid w:val="006B6E7D"/>
    <w:rsid w:val="006B74A4"/>
    <w:rsid w:val="006B763E"/>
    <w:rsid w:val="006B7795"/>
    <w:rsid w:val="006B7911"/>
    <w:rsid w:val="006B7F06"/>
    <w:rsid w:val="006C07CB"/>
    <w:rsid w:val="006C116E"/>
    <w:rsid w:val="006C16D3"/>
    <w:rsid w:val="006C1CFD"/>
    <w:rsid w:val="006C1D0D"/>
    <w:rsid w:val="006C1D37"/>
    <w:rsid w:val="006C1E03"/>
    <w:rsid w:val="006C1F32"/>
    <w:rsid w:val="006C2C96"/>
    <w:rsid w:val="006C30BD"/>
    <w:rsid w:val="006C3116"/>
    <w:rsid w:val="006C3260"/>
    <w:rsid w:val="006C32AB"/>
    <w:rsid w:val="006C33BD"/>
    <w:rsid w:val="006C3BFE"/>
    <w:rsid w:val="006C3D1A"/>
    <w:rsid w:val="006C41F1"/>
    <w:rsid w:val="006C4D3F"/>
    <w:rsid w:val="006C502A"/>
    <w:rsid w:val="006C5592"/>
    <w:rsid w:val="006C5F70"/>
    <w:rsid w:val="006C61F7"/>
    <w:rsid w:val="006C6A90"/>
    <w:rsid w:val="006C74F7"/>
    <w:rsid w:val="006C79DC"/>
    <w:rsid w:val="006C7F32"/>
    <w:rsid w:val="006D0363"/>
    <w:rsid w:val="006D05E9"/>
    <w:rsid w:val="006D0C6A"/>
    <w:rsid w:val="006D19D2"/>
    <w:rsid w:val="006D1B50"/>
    <w:rsid w:val="006D2E63"/>
    <w:rsid w:val="006D31D4"/>
    <w:rsid w:val="006D38EC"/>
    <w:rsid w:val="006D3967"/>
    <w:rsid w:val="006D5882"/>
    <w:rsid w:val="006D59F6"/>
    <w:rsid w:val="006D6202"/>
    <w:rsid w:val="006D666A"/>
    <w:rsid w:val="006D6A33"/>
    <w:rsid w:val="006D6DDD"/>
    <w:rsid w:val="006D7233"/>
    <w:rsid w:val="006D749C"/>
    <w:rsid w:val="006D77CC"/>
    <w:rsid w:val="006D7D49"/>
    <w:rsid w:val="006D7E06"/>
    <w:rsid w:val="006E035A"/>
    <w:rsid w:val="006E11D6"/>
    <w:rsid w:val="006E13F8"/>
    <w:rsid w:val="006E1805"/>
    <w:rsid w:val="006E1EB2"/>
    <w:rsid w:val="006E1EF0"/>
    <w:rsid w:val="006E20B2"/>
    <w:rsid w:val="006E2E98"/>
    <w:rsid w:val="006E2F7C"/>
    <w:rsid w:val="006E30D6"/>
    <w:rsid w:val="006E31FB"/>
    <w:rsid w:val="006E3274"/>
    <w:rsid w:val="006E34DE"/>
    <w:rsid w:val="006E36EB"/>
    <w:rsid w:val="006E3954"/>
    <w:rsid w:val="006E42A5"/>
    <w:rsid w:val="006E47E8"/>
    <w:rsid w:val="006E4C13"/>
    <w:rsid w:val="006E4C53"/>
    <w:rsid w:val="006E4D5B"/>
    <w:rsid w:val="006E5099"/>
    <w:rsid w:val="006E5445"/>
    <w:rsid w:val="006E552D"/>
    <w:rsid w:val="006E5EDA"/>
    <w:rsid w:val="006E601F"/>
    <w:rsid w:val="006E634E"/>
    <w:rsid w:val="006E6586"/>
    <w:rsid w:val="006E6692"/>
    <w:rsid w:val="006E75CF"/>
    <w:rsid w:val="006E7A8E"/>
    <w:rsid w:val="006F0466"/>
    <w:rsid w:val="006F05D1"/>
    <w:rsid w:val="006F09DE"/>
    <w:rsid w:val="006F0F99"/>
    <w:rsid w:val="006F1162"/>
    <w:rsid w:val="006F1518"/>
    <w:rsid w:val="006F1999"/>
    <w:rsid w:val="006F1DBE"/>
    <w:rsid w:val="006F1F37"/>
    <w:rsid w:val="006F2300"/>
    <w:rsid w:val="006F27A1"/>
    <w:rsid w:val="006F27EB"/>
    <w:rsid w:val="006F2A1A"/>
    <w:rsid w:val="006F2B88"/>
    <w:rsid w:val="006F2EBC"/>
    <w:rsid w:val="006F30D7"/>
    <w:rsid w:val="006F320B"/>
    <w:rsid w:val="006F38A8"/>
    <w:rsid w:val="006F3C16"/>
    <w:rsid w:val="006F3C90"/>
    <w:rsid w:val="006F47EB"/>
    <w:rsid w:val="006F4B79"/>
    <w:rsid w:val="006F4CC2"/>
    <w:rsid w:val="006F4D11"/>
    <w:rsid w:val="006F4DED"/>
    <w:rsid w:val="006F53A3"/>
    <w:rsid w:val="006F53A6"/>
    <w:rsid w:val="006F5710"/>
    <w:rsid w:val="006F571C"/>
    <w:rsid w:val="006F59AE"/>
    <w:rsid w:val="006F5F66"/>
    <w:rsid w:val="006F624B"/>
    <w:rsid w:val="006F6C8D"/>
    <w:rsid w:val="006F6FE0"/>
    <w:rsid w:val="006F724F"/>
    <w:rsid w:val="006F74C3"/>
    <w:rsid w:val="0070050A"/>
    <w:rsid w:val="00700990"/>
    <w:rsid w:val="00700EC6"/>
    <w:rsid w:val="007012AE"/>
    <w:rsid w:val="00701598"/>
    <w:rsid w:val="0070199F"/>
    <w:rsid w:val="0070212E"/>
    <w:rsid w:val="007029CD"/>
    <w:rsid w:val="00702AD8"/>
    <w:rsid w:val="00703152"/>
    <w:rsid w:val="0070322E"/>
    <w:rsid w:val="0070377D"/>
    <w:rsid w:val="0070414D"/>
    <w:rsid w:val="007041E3"/>
    <w:rsid w:val="007042E8"/>
    <w:rsid w:val="007045D6"/>
    <w:rsid w:val="00704715"/>
    <w:rsid w:val="00704A29"/>
    <w:rsid w:val="00704AC6"/>
    <w:rsid w:val="0070532B"/>
    <w:rsid w:val="00705BF3"/>
    <w:rsid w:val="00706290"/>
    <w:rsid w:val="007063B7"/>
    <w:rsid w:val="00706A35"/>
    <w:rsid w:val="00706D63"/>
    <w:rsid w:val="00707FC6"/>
    <w:rsid w:val="007104B8"/>
    <w:rsid w:val="00710959"/>
    <w:rsid w:val="00711146"/>
    <w:rsid w:val="007125B3"/>
    <w:rsid w:val="00712A96"/>
    <w:rsid w:val="0071307E"/>
    <w:rsid w:val="007134C9"/>
    <w:rsid w:val="00713626"/>
    <w:rsid w:val="0071374D"/>
    <w:rsid w:val="00713949"/>
    <w:rsid w:val="00713DC0"/>
    <w:rsid w:val="0071429F"/>
    <w:rsid w:val="007148DD"/>
    <w:rsid w:val="00715626"/>
    <w:rsid w:val="0071577E"/>
    <w:rsid w:val="00715A38"/>
    <w:rsid w:val="00715D9C"/>
    <w:rsid w:val="00717991"/>
    <w:rsid w:val="00717C97"/>
    <w:rsid w:val="00720BE1"/>
    <w:rsid w:val="00721789"/>
    <w:rsid w:val="00721A42"/>
    <w:rsid w:val="00721D3D"/>
    <w:rsid w:val="00721F73"/>
    <w:rsid w:val="00722010"/>
    <w:rsid w:val="0072212F"/>
    <w:rsid w:val="007225F4"/>
    <w:rsid w:val="0072283A"/>
    <w:rsid w:val="00722AAD"/>
    <w:rsid w:val="00722EB3"/>
    <w:rsid w:val="007230CB"/>
    <w:rsid w:val="0072320E"/>
    <w:rsid w:val="00723303"/>
    <w:rsid w:val="007236BA"/>
    <w:rsid w:val="007241E9"/>
    <w:rsid w:val="0072441C"/>
    <w:rsid w:val="00725154"/>
    <w:rsid w:val="007252FC"/>
    <w:rsid w:val="00725368"/>
    <w:rsid w:val="007253B3"/>
    <w:rsid w:val="0072556C"/>
    <w:rsid w:val="00725C21"/>
    <w:rsid w:val="00726271"/>
    <w:rsid w:val="007263AF"/>
    <w:rsid w:val="00726F6C"/>
    <w:rsid w:val="007273B5"/>
    <w:rsid w:val="0072782B"/>
    <w:rsid w:val="00727984"/>
    <w:rsid w:val="00727C4B"/>
    <w:rsid w:val="00727EB7"/>
    <w:rsid w:val="00730030"/>
    <w:rsid w:val="007304F4"/>
    <w:rsid w:val="00730F91"/>
    <w:rsid w:val="007310B5"/>
    <w:rsid w:val="007310F5"/>
    <w:rsid w:val="00731213"/>
    <w:rsid w:val="0073129F"/>
    <w:rsid w:val="007322EC"/>
    <w:rsid w:val="0073274F"/>
    <w:rsid w:val="00732A95"/>
    <w:rsid w:val="00732AAC"/>
    <w:rsid w:val="00733FC2"/>
    <w:rsid w:val="0073407D"/>
    <w:rsid w:val="00734477"/>
    <w:rsid w:val="00734562"/>
    <w:rsid w:val="0073472B"/>
    <w:rsid w:val="00734942"/>
    <w:rsid w:val="00734A95"/>
    <w:rsid w:val="00734C0A"/>
    <w:rsid w:val="00734EFD"/>
    <w:rsid w:val="00735105"/>
    <w:rsid w:val="0073549A"/>
    <w:rsid w:val="0073560A"/>
    <w:rsid w:val="00735C5F"/>
    <w:rsid w:val="00735CC0"/>
    <w:rsid w:val="00735D95"/>
    <w:rsid w:val="007361C8"/>
    <w:rsid w:val="007364BF"/>
    <w:rsid w:val="0073671F"/>
    <w:rsid w:val="00736D6E"/>
    <w:rsid w:val="00736E3F"/>
    <w:rsid w:val="00737546"/>
    <w:rsid w:val="00737AC4"/>
    <w:rsid w:val="0074053D"/>
    <w:rsid w:val="00740EDE"/>
    <w:rsid w:val="00741114"/>
    <w:rsid w:val="007411EA"/>
    <w:rsid w:val="007419C0"/>
    <w:rsid w:val="007419F9"/>
    <w:rsid w:val="0074233F"/>
    <w:rsid w:val="00742595"/>
    <w:rsid w:val="00742DC3"/>
    <w:rsid w:val="00742E4E"/>
    <w:rsid w:val="00742E63"/>
    <w:rsid w:val="00743F2C"/>
    <w:rsid w:val="00744776"/>
    <w:rsid w:val="00745679"/>
    <w:rsid w:val="00746154"/>
    <w:rsid w:val="0074622B"/>
    <w:rsid w:val="00747503"/>
    <w:rsid w:val="0074752F"/>
    <w:rsid w:val="007479F9"/>
    <w:rsid w:val="00747A82"/>
    <w:rsid w:val="00747EA7"/>
    <w:rsid w:val="00747F23"/>
    <w:rsid w:val="00747FFD"/>
    <w:rsid w:val="00750373"/>
    <w:rsid w:val="0075068B"/>
    <w:rsid w:val="0075069B"/>
    <w:rsid w:val="007507C3"/>
    <w:rsid w:val="00750961"/>
    <w:rsid w:val="00750CCC"/>
    <w:rsid w:val="007511A0"/>
    <w:rsid w:val="007512FC"/>
    <w:rsid w:val="0075169A"/>
    <w:rsid w:val="0075179D"/>
    <w:rsid w:val="00751AD7"/>
    <w:rsid w:val="00751DA3"/>
    <w:rsid w:val="00751F8B"/>
    <w:rsid w:val="00752063"/>
    <w:rsid w:val="007524D7"/>
    <w:rsid w:val="0075281D"/>
    <w:rsid w:val="00752AAC"/>
    <w:rsid w:val="00753139"/>
    <w:rsid w:val="0075340E"/>
    <w:rsid w:val="007538E9"/>
    <w:rsid w:val="00753A3D"/>
    <w:rsid w:val="00753D74"/>
    <w:rsid w:val="00754163"/>
    <w:rsid w:val="00754894"/>
    <w:rsid w:val="0075567E"/>
    <w:rsid w:val="00756827"/>
    <w:rsid w:val="00756E99"/>
    <w:rsid w:val="00757500"/>
    <w:rsid w:val="00760140"/>
    <w:rsid w:val="0076057A"/>
    <w:rsid w:val="00760A71"/>
    <w:rsid w:val="00760B66"/>
    <w:rsid w:val="007613AF"/>
    <w:rsid w:val="007616DE"/>
    <w:rsid w:val="0076178E"/>
    <w:rsid w:val="00761EAB"/>
    <w:rsid w:val="007621B3"/>
    <w:rsid w:val="00762593"/>
    <w:rsid w:val="007630E0"/>
    <w:rsid w:val="007630EC"/>
    <w:rsid w:val="00763737"/>
    <w:rsid w:val="007639DD"/>
    <w:rsid w:val="0076412B"/>
    <w:rsid w:val="007642AB"/>
    <w:rsid w:val="007642D6"/>
    <w:rsid w:val="00764420"/>
    <w:rsid w:val="007645AE"/>
    <w:rsid w:val="00764700"/>
    <w:rsid w:val="00764AF4"/>
    <w:rsid w:val="00765384"/>
    <w:rsid w:val="00765E84"/>
    <w:rsid w:val="007660A0"/>
    <w:rsid w:val="0076637C"/>
    <w:rsid w:val="00766762"/>
    <w:rsid w:val="0076677F"/>
    <w:rsid w:val="007668F5"/>
    <w:rsid w:val="007669E1"/>
    <w:rsid w:val="00766BC1"/>
    <w:rsid w:val="00766CEF"/>
    <w:rsid w:val="00767834"/>
    <w:rsid w:val="0076794C"/>
    <w:rsid w:val="00767A75"/>
    <w:rsid w:val="00767ED3"/>
    <w:rsid w:val="00767F89"/>
    <w:rsid w:val="0077005C"/>
    <w:rsid w:val="007705C3"/>
    <w:rsid w:val="007709D5"/>
    <w:rsid w:val="00771042"/>
    <w:rsid w:val="00771183"/>
    <w:rsid w:val="007712A9"/>
    <w:rsid w:val="007713CC"/>
    <w:rsid w:val="00771BC1"/>
    <w:rsid w:val="00772D41"/>
    <w:rsid w:val="00772DCF"/>
    <w:rsid w:val="00772DEE"/>
    <w:rsid w:val="007730AA"/>
    <w:rsid w:val="00773149"/>
    <w:rsid w:val="00773240"/>
    <w:rsid w:val="00773647"/>
    <w:rsid w:val="0077382F"/>
    <w:rsid w:val="007740AE"/>
    <w:rsid w:val="00774524"/>
    <w:rsid w:val="00774742"/>
    <w:rsid w:val="00774C02"/>
    <w:rsid w:val="0077511A"/>
    <w:rsid w:val="007757F2"/>
    <w:rsid w:val="00775869"/>
    <w:rsid w:val="007758C5"/>
    <w:rsid w:val="00775D72"/>
    <w:rsid w:val="007762A1"/>
    <w:rsid w:val="00776D78"/>
    <w:rsid w:val="00777114"/>
    <w:rsid w:val="00777908"/>
    <w:rsid w:val="00777DE9"/>
    <w:rsid w:val="00780692"/>
    <w:rsid w:val="0078081B"/>
    <w:rsid w:val="00780BD9"/>
    <w:rsid w:val="00781024"/>
    <w:rsid w:val="007812FA"/>
    <w:rsid w:val="0078186A"/>
    <w:rsid w:val="0078195E"/>
    <w:rsid w:val="00781C1C"/>
    <w:rsid w:val="00782171"/>
    <w:rsid w:val="007828BB"/>
    <w:rsid w:val="00782E53"/>
    <w:rsid w:val="007834C7"/>
    <w:rsid w:val="00783D22"/>
    <w:rsid w:val="00784543"/>
    <w:rsid w:val="00784595"/>
    <w:rsid w:val="007847B1"/>
    <w:rsid w:val="00784991"/>
    <w:rsid w:val="00784BDA"/>
    <w:rsid w:val="00784D07"/>
    <w:rsid w:val="00784D2B"/>
    <w:rsid w:val="00784E76"/>
    <w:rsid w:val="00785031"/>
    <w:rsid w:val="00785E63"/>
    <w:rsid w:val="007862CF"/>
    <w:rsid w:val="0078676C"/>
    <w:rsid w:val="007869E9"/>
    <w:rsid w:val="00787B01"/>
    <w:rsid w:val="007900F4"/>
    <w:rsid w:val="00790972"/>
    <w:rsid w:val="00790AB5"/>
    <w:rsid w:val="00790E3C"/>
    <w:rsid w:val="007912AE"/>
    <w:rsid w:val="0079181A"/>
    <w:rsid w:val="00792304"/>
    <w:rsid w:val="00792DD0"/>
    <w:rsid w:val="00793266"/>
    <w:rsid w:val="0079363D"/>
    <w:rsid w:val="00794021"/>
    <w:rsid w:val="00794628"/>
    <w:rsid w:val="00794B06"/>
    <w:rsid w:val="00794CF2"/>
    <w:rsid w:val="00795703"/>
    <w:rsid w:val="00796011"/>
    <w:rsid w:val="00796272"/>
    <w:rsid w:val="00796289"/>
    <w:rsid w:val="00796464"/>
    <w:rsid w:val="00796F7B"/>
    <w:rsid w:val="007971D6"/>
    <w:rsid w:val="007976A4"/>
    <w:rsid w:val="00797BF6"/>
    <w:rsid w:val="007A01A9"/>
    <w:rsid w:val="007A050F"/>
    <w:rsid w:val="007A0635"/>
    <w:rsid w:val="007A0DB4"/>
    <w:rsid w:val="007A0F18"/>
    <w:rsid w:val="007A10EE"/>
    <w:rsid w:val="007A1386"/>
    <w:rsid w:val="007A1665"/>
    <w:rsid w:val="007A1FD0"/>
    <w:rsid w:val="007A1FDA"/>
    <w:rsid w:val="007A230A"/>
    <w:rsid w:val="007A26E6"/>
    <w:rsid w:val="007A3218"/>
    <w:rsid w:val="007A32C2"/>
    <w:rsid w:val="007A364E"/>
    <w:rsid w:val="007A3987"/>
    <w:rsid w:val="007A440E"/>
    <w:rsid w:val="007A4574"/>
    <w:rsid w:val="007A52EF"/>
    <w:rsid w:val="007A56C0"/>
    <w:rsid w:val="007A56F3"/>
    <w:rsid w:val="007A5A14"/>
    <w:rsid w:val="007A5D85"/>
    <w:rsid w:val="007A5D93"/>
    <w:rsid w:val="007A5EA8"/>
    <w:rsid w:val="007A6725"/>
    <w:rsid w:val="007A69ED"/>
    <w:rsid w:val="007A6EE9"/>
    <w:rsid w:val="007A7AC6"/>
    <w:rsid w:val="007B0019"/>
    <w:rsid w:val="007B04AA"/>
    <w:rsid w:val="007B1013"/>
    <w:rsid w:val="007B1480"/>
    <w:rsid w:val="007B1EF4"/>
    <w:rsid w:val="007B22D0"/>
    <w:rsid w:val="007B287C"/>
    <w:rsid w:val="007B2AD5"/>
    <w:rsid w:val="007B3704"/>
    <w:rsid w:val="007B386E"/>
    <w:rsid w:val="007B3C0E"/>
    <w:rsid w:val="007B4300"/>
    <w:rsid w:val="007B523D"/>
    <w:rsid w:val="007B52BF"/>
    <w:rsid w:val="007B62FF"/>
    <w:rsid w:val="007B639E"/>
    <w:rsid w:val="007B6C5C"/>
    <w:rsid w:val="007B6CFE"/>
    <w:rsid w:val="007B6EAF"/>
    <w:rsid w:val="007B756D"/>
    <w:rsid w:val="007B7BF3"/>
    <w:rsid w:val="007C010F"/>
    <w:rsid w:val="007C03F0"/>
    <w:rsid w:val="007C05C1"/>
    <w:rsid w:val="007C1A43"/>
    <w:rsid w:val="007C334A"/>
    <w:rsid w:val="007C3740"/>
    <w:rsid w:val="007C37BB"/>
    <w:rsid w:val="007C37F9"/>
    <w:rsid w:val="007C3AD5"/>
    <w:rsid w:val="007C45AD"/>
    <w:rsid w:val="007C48A8"/>
    <w:rsid w:val="007C4DE5"/>
    <w:rsid w:val="007C54FC"/>
    <w:rsid w:val="007C57B0"/>
    <w:rsid w:val="007C5FB4"/>
    <w:rsid w:val="007C653B"/>
    <w:rsid w:val="007C668C"/>
    <w:rsid w:val="007C6A64"/>
    <w:rsid w:val="007C6BAB"/>
    <w:rsid w:val="007C6CE5"/>
    <w:rsid w:val="007C7682"/>
    <w:rsid w:val="007C7F67"/>
    <w:rsid w:val="007D05D3"/>
    <w:rsid w:val="007D06E0"/>
    <w:rsid w:val="007D0AAD"/>
    <w:rsid w:val="007D0EE4"/>
    <w:rsid w:val="007D0F88"/>
    <w:rsid w:val="007D10F2"/>
    <w:rsid w:val="007D193A"/>
    <w:rsid w:val="007D1A97"/>
    <w:rsid w:val="007D1B58"/>
    <w:rsid w:val="007D2ACF"/>
    <w:rsid w:val="007D2D44"/>
    <w:rsid w:val="007D311B"/>
    <w:rsid w:val="007D347D"/>
    <w:rsid w:val="007D368E"/>
    <w:rsid w:val="007D3A3D"/>
    <w:rsid w:val="007D3A57"/>
    <w:rsid w:val="007D3B02"/>
    <w:rsid w:val="007D3B1D"/>
    <w:rsid w:val="007D3DDD"/>
    <w:rsid w:val="007D4353"/>
    <w:rsid w:val="007D476B"/>
    <w:rsid w:val="007D4A64"/>
    <w:rsid w:val="007D4C7E"/>
    <w:rsid w:val="007D4D9D"/>
    <w:rsid w:val="007D5019"/>
    <w:rsid w:val="007D577F"/>
    <w:rsid w:val="007D58F6"/>
    <w:rsid w:val="007D5926"/>
    <w:rsid w:val="007D708B"/>
    <w:rsid w:val="007D7984"/>
    <w:rsid w:val="007D7B63"/>
    <w:rsid w:val="007E10C2"/>
    <w:rsid w:val="007E1B45"/>
    <w:rsid w:val="007E1CD5"/>
    <w:rsid w:val="007E1D31"/>
    <w:rsid w:val="007E2995"/>
    <w:rsid w:val="007E2BAE"/>
    <w:rsid w:val="007E2C3F"/>
    <w:rsid w:val="007E2DF6"/>
    <w:rsid w:val="007E3212"/>
    <w:rsid w:val="007E3EA2"/>
    <w:rsid w:val="007E40A6"/>
    <w:rsid w:val="007E45F7"/>
    <w:rsid w:val="007E4DA0"/>
    <w:rsid w:val="007E5090"/>
    <w:rsid w:val="007E55EA"/>
    <w:rsid w:val="007E5688"/>
    <w:rsid w:val="007E5D66"/>
    <w:rsid w:val="007E6FCF"/>
    <w:rsid w:val="007E7008"/>
    <w:rsid w:val="007E732E"/>
    <w:rsid w:val="007E7801"/>
    <w:rsid w:val="007E7A08"/>
    <w:rsid w:val="007E7D5E"/>
    <w:rsid w:val="007F06E2"/>
    <w:rsid w:val="007F1105"/>
    <w:rsid w:val="007F134A"/>
    <w:rsid w:val="007F1515"/>
    <w:rsid w:val="007F16A8"/>
    <w:rsid w:val="007F20E3"/>
    <w:rsid w:val="007F22B3"/>
    <w:rsid w:val="007F251D"/>
    <w:rsid w:val="007F25D4"/>
    <w:rsid w:val="007F2706"/>
    <w:rsid w:val="007F27BE"/>
    <w:rsid w:val="007F2BC1"/>
    <w:rsid w:val="007F3207"/>
    <w:rsid w:val="007F358D"/>
    <w:rsid w:val="007F3769"/>
    <w:rsid w:val="007F3E19"/>
    <w:rsid w:val="007F3E93"/>
    <w:rsid w:val="007F3EA9"/>
    <w:rsid w:val="007F4C1C"/>
    <w:rsid w:val="007F4EE1"/>
    <w:rsid w:val="007F5768"/>
    <w:rsid w:val="007F5893"/>
    <w:rsid w:val="007F6188"/>
    <w:rsid w:val="007F638C"/>
    <w:rsid w:val="007F7334"/>
    <w:rsid w:val="007F76A4"/>
    <w:rsid w:val="00800CD5"/>
    <w:rsid w:val="00800E79"/>
    <w:rsid w:val="00800F4C"/>
    <w:rsid w:val="00801229"/>
    <w:rsid w:val="008013F3"/>
    <w:rsid w:val="008016A0"/>
    <w:rsid w:val="00801970"/>
    <w:rsid w:val="00801D9F"/>
    <w:rsid w:val="00802D61"/>
    <w:rsid w:val="00802FB7"/>
    <w:rsid w:val="00803D31"/>
    <w:rsid w:val="00804228"/>
    <w:rsid w:val="008043A0"/>
    <w:rsid w:val="0080478B"/>
    <w:rsid w:val="008049CD"/>
    <w:rsid w:val="00804C1F"/>
    <w:rsid w:val="00804C22"/>
    <w:rsid w:val="00804E38"/>
    <w:rsid w:val="00804E97"/>
    <w:rsid w:val="00804F30"/>
    <w:rsid w:val="00805221"/>
    <w:rsid w:val="00805627"/>
    <w:rsid w:val="0080593F"/>
    <w:rsid w:val="008061E7"/>
    <w:rsid w:val="008063A3"/>
    <w:rsid w:val="00806FE6"/>
    <w:rsid w:val="0080754E"/>
    <w:rsid w:val="00810187"/>
    <w:rsid w:val="00810A64"/>
    <w:rsid w:val="00811BA7"/>
    <w:rsid w:val="00811D9C"/>
    <w:rsid w:val="0081360F"/>
    <w:rsid w:val="008137B9"/>
    <w:rsid w:val="00815070"/>
    <w:rsid w:val="008153A3"/>
    <w:rsid w:val="00815C9B"/>
    <w:rsid w:val="00816506"/>
    <w:rsid w:val="00816949"/>
    <w:rsid w:val="00816B7A"/>
    <w:rsid w:val="00816DC0"/>
    <w:rsid w:val="00816E46"/>
    <w:rsid w:val="00817CEE"/>
    <w:rsid w:val="00820F9E"/>
    <w:rsid w:val="00821345"/>
    <w:rsid w:val="00821370"/>
    <w:rsid w:val="008213F3"/>
    <w:rsid w:val="00821BDF"/>
    <w:rsid w:val="00821D10"/>
    <w:rsid w:val="00821EC0"/>
    <w:rsid w:val="0082219C"/>
    <w:rsid w:val="008229B1"/>
    <w:rsid w:val="00823461"/>
    <w:rsid w:val="008234DF"/>
    <w:rsid w:val="00823614"/>
    <w:rsid w:val="00824207"/>
    <w:rsid w:val="00824808"/>
    <w:rsid w:val="008249B4"/>
    <w:rsid w:val="00824F99"/>
    <w:rsid w:val="0082551C"/>
    <w:rsid w:val="00825DED"/>
    <w:rsid w:val="00826093"/>
    <w:rsid w:val="00826842"/>
    <w:rsid w:val="00826E8A"/>
    <w:rsid w:val="00826FF8"/>
    <w:rsid w:val="00827050"/>
    <w:rsid w:val="00827191"/>
    <w:rsid w:val="0082723C"/>
    <w:rsid w:val="00827633"/>
    <w:rsid w:val="0082782E"/>
    <w:rsid w:val="00827C3B"/>
    <w:rsid w:val="0083009D"/>
    <w:rsid w:val="00830641"/>
    <w:rsid w:val="00831231"/>
    <w:rsid w:val="008313D0"/>
    <w:rsid w:val="008316C5"/>
    <w:rsid w:val="008317E2"/>
    <w:rsid w:val="00831904"/>
    <w:rsid w:val="0083251A"/>
    <w:rsid w:val="008326DA"/>
    <w:rsid w:val="0083310C"/>
    <w:rsid w:val="00833341"/>
    <w:rsid w:val="008334A2"/>
    <w:rsid w:val="0083366E"/>
    <w:rsid w:val="00833980"/>
    <w:rsid w:val="00833C4D"/>
    <w:rsid w:val="00833E25"/>
    <w:rsid w:val="00833F7A"/>
    <w:rsid w:val="00834034"/>
    <w:rsid w:val="008341BB"/>
    <w:rsid w:val="00835581"/>
    <w:rsid w:val="008357DB"/>
    <w:rsid w:val="00835A5F"/>
    <w:rsid w:val="00836DF8"/>
    <w:rsid w:val="0083704F"/>
    <w:rsid w:val="00837221"/>
    <w:rsid w:val="00837922"/>
    <w:rsid w:val="00837ED2"/>
    <w:rsid w:val="0084029F"/>
    <w:rsid w:val="008407E0"/>
    <w:rsid w:val="0084098A"/>
    <w:rsid w:val="00840E9D"/>
    <w:rsid w:val="00841109"/>
    <w:rsid w:val="00841223"/>
    <w:rsid w:val="0084164D"/>
    <w:rsid w:val="00841FC3"/>
    <w:rsid w:val="008422CD"/>
    <w:rsid w:val="00842DF4"/>
    <w:rsid w:val="00842F03"/>
    <w:rsid w:val="008430E3"/>
    <w:rsid w:val="00843228"/>
    <w:rsid w:val="00843965"/>
    <w:rsid w:val="008439B2"/>
    <w:rsid w:val="00843B65"/>
    <w:rsid w:val="00843D39"/>
    <w:rsid w:val="00845065"/>
    <w:rsid w:val="00845AAC"/>
    <w:rsid w:val="00845EDE"/>
    <w:rsid w:val="00845FF7"/>
    <w:rsid w:val="00845FFB"/>
    <w:rsid w:val="008462BC"/>
    <w:rsid w:val="00846BCD"/>
    <w:rsid w:val="00846F6F"/>
    <w:rsid w:val="00847193"/>
    <w:rsid w:val="008477CE"/>
    <w:rsid w:val="00847EC3"/>
    <w:rsid w:val="00850346"/>
    <w:rsid w:val="00851611"/>
    <w:rsid w:val="00853270"/>
    <w:rsid w:val="008534E4"/>
    <w:rsid w:val="00853FB5"/>
    <w:rsid w:val="00854135"/>
    <w:rsid w:val="00854624"/>
    <w:rsid w:val="00854719"/>
    <w:rsid w:val="008549F7"/>
    <w:rsid w:val="0085542B"/>
    <w:rsid w:val="00855ABB"/>
    <w:rsid w:val="00856C92"/>
    <w:rsid w:val="00857E1E"/>
    <w:rsid w:val="008618C8"/>
    <w:rsid w:val="00861990"/>
    <w:rsid w:val="00862638"/>
    <w:rsid w:val="00864661"/>
    <w:rsid w:val="00864924"/>
    <w:rsid w:val="0086534A"/>
    <w:rsid w:val="008665F6"/>
    <w:rsid w:val="00866797"/>
    <w:rsid w:val="008672E6"/>
    <w:rsid w:val="008675AA"/>
    <w:rsid w:val="008676AD"/>
    <w:rsid w:val="00867DEE"/>
    <w:rsid w:val="00867E33"/>
    <w:rsid w:val="0087067A"/>
    <w:rsid w:val="00870D48"/>
    <w:rsid w:val="008714FD"/>
    <w:rsid w:val="00871628"/>
    <w:rsid w:val="00871A0E"/>
    <w:rsid w:val="00871A9E"/>
    <w:rsid w:val="008724EF"/>
    <w:rsid w:val="00872D35"/>
    <w:rsid w:val="00872FB7"/>
    <w:rsid w:val="00873394"/>
    <w:rsid w:val="008734FE"/>
    <w:rsid w:val="00873A71"/>
    <w:rsid w:val="00873F85"/>
    <w:rsid w:val="0087404A"/>
    <w:rsid w:val="00874211"/>
    <w:rsid w:val="008744E7"/>
    <w:rsid w:val="00874FC3"/>
    <w:rsid w:val="008756CA"/>
    <w:rsid w:val="008756F1"/>
    <w:rsid w:val="00875729"/>
    <w:rsid w:val="008759C1"/>
    <w:rsid w:val="00876169"/>
    <w:rsid w:val="00876DF8"/>
    <w:rsid w:val="00876E10"/>
    <w:rsid w:val="00877FEF"/>
    <w:rsid w:val="0088018D"/>
    <w:rsid w:val="00880979"/>
    <w:rsid w:val="00881051"/>
    <w:rsid w:val="0088126A"/>
    <w:rsid w:val="00881BA3"/>
    <w:rsid w:val="00881CBF"/>
    <w:rsid w:val="00881D04"/>
    <w:rsid w:val="00881E2B"/>
    <w:rsid w:val="008821CB"/>
    <w:rsid w:val="008831FC"/>
    <w:rsid w:val="008834D9"/>
    <w:rsid w:val="00883984"/>
    <w:rsid w:val="00884413"/>
    <w:rsid w:val="00884C7C"/>
    <w:rsid w:val="008858B9"/>
    <w:rsid w:val="00885CED"/>
    <w:rsid w:val="00885D5F"/>
    <w:rsid w:val="00885FAB"/>
    <w:rsid w:val="008860A3"/>
    <w:rsid w:val="008869D7"/>
    <w:rsid w:val="00887279"/>
    <w:rsid w:val="008877DA"/>
    <w:rsid w:val="00887EDA"/>
    <w:rsid w:val="00890242"/>
    <w:rsid w:val="008903B8"/>
    <w:rsid w:val="00890AAE"/>
    <w:rsid w:val="00890FA5"/>
    <w:rsid w:val="008917F4"/>
    <w:rsid w:val="0089191C"/>
    <w:rsid w:val="00891C86"/>
    <w:rsid w:val="00891D66"/>
    <w:rsid w:val="008925CF"/>
    <w:rsid w:val="008928DE"/>
    <w:rsid w:val="00892A87"/>
    <w:rsid w:val="008937AD"/>
    <w:rsid w:val="008937E1"/>
    <w:rsid w:val="008937FE"/>
    <w:rsid w:val="00893A94"/>
    <w:rsid w:val="00893B7F"/>
    <w:rsid w:val="00894301"/>
    <w:rsid w:val="0089440D"/>
    <w:rsid w:val="0089443C"/>
    <w:rsid w:val="0089464C"/>
    <w:rsid w:val="008963AE"/>
    <w:rsid w:val="0089647D"/>
    <w:rsid w:val="0089706E"/>
    <w:rsid w:val="00897096"/>
    <w:rsid w:val="00897786"/>
    <w:rsid w:val="00897F7D"/>
    <w:rsid w:val="008A0262"/>
    <w:rsid w:val="008A06B4"/>
    <w:rsid w:val="008A0F9C"/>
    <w:rsid w:val="008A1D29"/>
    <w:rsid w:val="008A2B32"/>
    <w:rsid w:val="008A328A"/>
    <w:rsid w:val="008A3FBF"/>
    <w:rsid w:val="008A44BC"/>
    <w:rsid w:val="008A468D"/>
    <w:rsid w:val="008A4BF7"/>
    <w:rsid w:val="008A4F98"/>
    <w:rsid w:val="008A5C8D"/>
    <w:rsid w:val="008A615E"/>
    <w:rsid w:val="008A6B61"/>
    <w:rsid w:val="008A73EE"/>
    <w:rsid w:val="008B00A3"/>
    <w:rsid w:val="008B07DF"/>
    <w:rsid w:val="008B089F"/>
    <w:rsid w:val="008B105C"/>
    <w:rsid w:val="008B1288"/>
    <w:rsid w:val="008B12F5"/>
    <w:rsid w:val="008B159D"/>
    <w:rsid w:val="008B15F6"/>
    <w:rsid w:val="008B1620"/>
    <w:rsid w:val="008B163F"/>
    <w:rsid w:val="008B1CD3"/>
    <w:rsid w:val="008B2886"/>
    <w:rsid w:val="008B35E8"/>
    <w:rsid w:val="008B3C6A"/>
    <w:rsid w:val="008B3C81"/>
    <w:rsid w:val="008B3E9A"/>
    <w:rsid w:val="008B3FDA"/>
    <w:rsid w:val="008B4509"/>
    <w:rsid w:val="008B479F"/>
    <w:rsid w:val="008B4A73"/>
    <w:rsid w:val="008B4EBE"/>
    <w:rsid w:val="008B544B"/>
    <w:rsid w:val="008B5583"/>
    <w:rsid w:val="008B55FE"/>
    <w:rsid w:val="008B5B57"/>
    <w:rsid w:val="008B5B5A"/>
    <w:rsid w:val="008B5E15"/>
    <w:rsid w:val="008B5F87"/>
    <w:rsid w:val="008B65AC"/>
    <w:rsid w:val="008B65FC"/>
    <w:rsid w:val="008B6CF9"/>
    <w:rsid w:val="008B726C"/>
    <w:rsid w:val="008B735B"/>
    <w:rsid w:val="008B76A9"/>
    <w:rsid w:val="008B789A"/>
    <w:rsid w:val="008B7E38"/>
    <w:rsid w:val="008B7F85"/>
    <w:rsid w:val="008C0283"/>
    <w:rsid w:val="008C0A20"/>
    <w:rsid w:val="008C1551"/>
    <w:rsid w:val="008C1896"/>
    <w:rsid w:val="008C20D0"/>
    <w:rsid w:val="008C226F"/>
    <w:rsid w:val="008C2759"/>
    <w:rsid w:val="008C2D82"/>
    <w:rsid w:val="008C2ECB"/>
    <w:rsid w:val="008C34A3"/>
    <w:rsid w:val="008C356C"/>
    <w:rsid w:val="008C3938"/>
    <w:rsid w:val="008C39CD"/>
    <w:rsid w:val="008C3DDF"/>
    <w:rsid w:val="008C3FCB"/>
    <w:rsid w:val="008C42A6"/>
    <w:rsid w:val="008C46BC"/>
    <w:rsid w:val="008C5535"/>
    <w:rsid w:val="008C5A01"/>
    <w:rsid w:val="008C5F2B"/>
    <w:rsid w:val="008C60FF"/>
    <w:rsid w:val="008C6B06"/>
    <w:rsid w:val="008C6EC8"/>
    <w:rsid w:val="008C6F51"/>
    <w:rsid w:val="008C6FED"/>
    <w:rsid w:val="008C72F1"/>
    <w:rsid w:val="008C74C4"/>
    <w:rsid w:val="008C76CE"/>
    <w:rsid w:val="008C77B0"/>
    <w:rsid w:val="008C7AB6"/>
    <w:rsid w:val="008C7DE2"/>
    <w:rsid w:val="008D0059"/>
    <w:rsid w:val="008D01A8"/>
    <w:rsid w:val="008D0B3D"/>
    <w:rsid w:val="008D17A8"/>
    <w:rsid w:val="008D2060"/>
    <w:rsid w:val="008D211A"/>
    <w:rsid w:val="008D26F3"/>
    <w:rsid w:val="008D2B3A"/>
    <w:rsid w:val="008D36F2"/>
    <w:rsid w:val="008D3789"/>
    <w:rsid w:val="008D4028"/>
    <w:rsid w:val="008D4A7F"/>
    <w:rsid w:val="008D4E37"/>
    <w:rsid w:val="008D52FB"/>
    <w:rsid w:val="008D541A"/>
    <w:rsid w:val="008D544C"/>
    <w:rsid w:val="008D5BF5"/>
    <w:rsid w:val="008D5FC9"/>
    <w:rsid w:val="008D5FE1"/>
    <w:rsid w:val="008D602E"/>
    <w:rsid w:val="008D687A"/>
    <w:rsid w:val="008D6BCE"/>
    <w:rsid w:val="008D6EE7"/>
    <w:rsid w:val="008D7B72"/>
    <w:rsid w:val="008D7C28"/>
    <w:rsid w:val="008E02E6"/>
    <w:rsid w:val="008E08A3"/>
    <w:rsid w:val="008E0C95"/>
    <w:rsid w:val="008E124E"/>
    <w:rsid w:val="008E1F82"/>
    <w:rsid w:val="008E267F"/>
    <w:rsid w:val="008E2723"/>
    <w:rsid w:val="008E29E3"/>
    <w:rsid w:val="008E2A4C"/>
    <w:rsid w:val="008E2B63"/>
    <w:rsid w:val="008E3421"/>
    <w:rsid w:val="008E415D"/>
    <w:rsid w:val="008E42FD"/>
    <w:rsid w:val="008E4305"/>
    <w:rsid w:val="008E4455"/>
    <w:rsid w:val="008E449D"/>
    <w:rsid w:val="008E497B"/>
    <w:rsid w:val="008E4AAB"/>
    <w:rsid w:val="008E4B77"/>
    <w:rsid w:val="008E5165"/>
    <w:rsid w:val="008E526D"/>
    <w:rsid w:val="008E52FC"/>
    <w:rsid w:val="008E5ADA"/>
    <w:rsid w:val="008E5F8E"/>
    <w:rsid w:val="008E6479"/>
    <w:rsid w:val="008E6525"/>
    <w:rsid w:val="008E6810"/>
    <w:rsid w:val="008E6FE7"/>
    <w:rsid w:val="008E71CE"/>
    <w:rsid w:val="008E72F0"/>
    <w:rsid w:val="008E7937"/>
    <w:rsid w:val="008E79FA"/>
    <w:rsid w:val="008F031B"/>
    <w:rsid w:val="008F0A4E"/>
    <w:rsid w:val="008F0BC2"/>
    <w:rsid w:val="008F1FDE"/>
    <w:rsid w:val="008F2370"/>
    <w:rsid w:val="008F277F"/>
    <w:rsid w:val="008F27BF"/>
    <w:rsid w:val="008F2DC4"/>
    <w:rsid w:val="008F3564"/>
    <w:rsid w:val="008F388B"/>
    <w:rsid w:val="008F38D7"/>
    <w:rsid w:val="008F39EC"/>
    <w:rsid w:val="008F4728"/>
    <w:rsid w:val="008F4744"/>
    <w:rsid w:val="008F59FD"/>
    <w:rsid w:val="008F5BBA"/>
    <w:rsid w:val="008F605E"/>
    <w:rsid w:val="008F6367"/>
    <w:rsid w:val="008F6687"/>
    <w:rsid w:val="008F69A3"/>
    <w:rsid w:val="008F705E"/>
    <w:rsid w:val="008F76C0"/>
    <w:rsid w:val="008F78A3"/>
    <w:rsid w:val="008F7917"/>
    <w:rsid w:val="0090038C"/>
    <w:rsid w:val="0090055C"/>
    <w:rsid w:val="00901418"/>
    <w:rsid w:val="00901BA7"/>
    <w:rsid w:val="00901DAC"/>
    <w:rsid w:val="00901F01"/>
    <w:rsid w:val="00902BF9"/>
    <w:rsid w:val="00903026"/>
    <w:rsid w:val="009030D8"/>
    <w:rsid w:val="00903424"/>
    <w:rsid w:val="00903727"/>
    <w:rsid w:val="0090382D"/>
    <w:rsid w:val="00903CAC"/>
    <w:rsid w:val="0090432A"/>
    <w:rsid w:val="00904D83"/>
    <w:rsid w:val="0090531B"/>
    <w:rsid w:val="00905650"/>
    <w:rsid w:val="00905B11"/>
    <w:rsid w:val="00905CCA"/>
    <w:rsid w:val="009066BE"/>
    <w:rsid w:val="0090761B"/>
    <w:rsid w:val="0091037C"/>
    <w:rsid w:val="00910D25"/>
    <w:rsid w:val="00911C46"/>
    <w:rsid w:val="00912EDB"/>
    <w:rsid w:val="00912F38"/>
    <w:rsid w:val="0091328F"/>
    <w:rsid w:val="00913500"/>
    <w:rsid w:val="00914BC8"/>
    <w:rsid w:val="00914DC8"/>
    <w:rsid w:val="00914F15"/>
    <w:rsid w:val="009150ED"/>
    <w:rsid w:val="009151D2"/>
    <w:rsid w:val="009159A4"/>
    <w:rsid w:val="00915F52"/>
    <w:rsid w:val="0091625E"/>
    <w:rsid w:val="00916553"/>
    <w:rsid w:val="0091687F"/>
    <w:rsid w:val="00916E2A"/>
    <w:rsid w:val="009175A3"/>
    <w:rsid w:val="0092044B"/>
    <w:rsid w:val="0092061D"/>
    <w:rsid w:val="009206C7"/>
    <w:rsid w:val="009208DC"/>
    <w:rsid w:val="00920ED0"/>
    <w:rsid w:val="00921153"/>
    <w:rsid w:val="0092119B"/>
    <w:rsid w:val="0092154B"/>
    <w:rsid w:val="0092157B"/>
    <w:rsid w:val="009215AB"/>
    <w:rsid w:val="0092198C"/>
    <w:rsid w:val="009225A7"/>
    <w:rsid w:val="009227E0"/>
    <w:rsid w:val="00922C41"/>
    <w:rsid w:val="00922FC5"/>
    <w:rsid w:val="00923ADA"/>
    <w:rsid w:val="00923CE8"/>
    <w:rsid w:val="00923EDE"/>
    <w:rsid w:val="00925910"/>
    <w:rsid w:val="00925F43"/>
    <w:rsid w:val="00926202"/>
    <w:rsid w:val="009267DD"/>
    <w:rsid w:val="00926AF8"/>
    <w:rsid w:val="00926FB1"/>
    <w:rsid w:val="009271C5"/>
    <w:rsid w:val="0092758D"/>
    <w:rsid w:val="00927965"/>
    <w:rsid w:val="00927A5C"/>
    <w:rsid w:val="00927DB1"/>
    <w:rsid w:val="00927DBB"/>
    <w:rsid w:val="00927E94"/>
    <w:rsid w:val="00930117"/>
    <w:rsid w:val="009302B9"/>
    <w:rsid w:val="0093039F"/>
    <w:rsid w:val="009307B3"/>
    <w:rsid w:val="00930892"/>
    <w:rsid w:val="009318D1"/>
    <w:rsid w:val="00931BEA"/>
    <w:rsid w:val="009320FA"/>
    <w:rsid w:val="0093259A"/>
    <w:rsid w:val="00932C89"/>
    <w:rsid w:val="00932FB7"/>
    <w:rsid w:val="009334A3"/>
    <w:rsid w:val="00933E06"/>
    <w:rsid w:val="00934858"/>
    <w:rsid w:val="00934FA1"/>
    <w:rsid w:val="00935A5D"/>
    <w:rsid w:val="00936124"/>
    <w:rsid w:val="00936412"/>
    <w:rsid w:val="00936447"/>
    <w:rsid w:val="009370B5"/>
    <w:rsid w:val="00937263"/>
    <w:rsid w:val="00937337"/>
    <w:rsid w:val="009374FC"/>
    <w:rsid w:val="00937D4D"/>
    <w:rsid w:val="00937DB5"/>
    <w:rsid w:val="00937DD9"/>
    <w:rsid w:val="0094091F"/>
    <w:rsid w:val="009411A6"/>
    <w:rsid w:val="00941F76"/>
    <w:rsid w:val="00942340"/>
    <w:rsid w:val="00942C30"/>
    <w:rsid w:val="00943482"/>
    <w:rsid w:val="0094353E"/>
    <w:rsid w:val="0094374F"/>
    <w:rsid w:val="0094418C"/>
    <w:rsid w:val="009442EA"/>
    <w:rsid w:val="00944750"/>
    <w:rsid w:val="00945215"/>
    <w:rsid w:val="009452F6"/>
    <w:rsid w:val="00945979"/>
    <w:rsid w:val="00945A13"/>
    <w:rsid w:val="009465BA"/>
    <w:rsid w:val="009469EF"/>
    <w:rsid w:val="00947B0D"/>
    <w:rsid w:val="00947F16"/>
    <w:rsid w:val="009502A7"/>
    <w:rsid w:val="00950487"/>
    <w:rsid w:val="00950733"/>
    <w:rsid w:val="00950AD5"/>
    <w:rsid w:val="00951599"/>
    <w:rsid w:val="009519FD"/>
    <w:rsid w:val="00951A0F"/>
    <w:rsid w:val="00951A1C"/>
    <w:rsid w:val="00951AAA"/>
    <w:rsid w:val="00951B15"/>
    <w:rsid w:val="00951CDB"/>
    <w:rsid w:val="00952765"/>
    <w:rsid w:val="00952D00"/>
    <w:rsid w:val="00952F28"/>
    <w:rsid w:val="00952FD4"/>
    <w:rsid w:val="009530EB"/>
    <w:rsid w:val="00953F1B"/>
    <w:rsid w:val="00954B0C"/>
    <w:rsid w:val="00954D36"/>
    <w:rsid w:val="00955148"/>
    <w:rsid w:val="009555C4"/>
    <w:rsid w:val="0095594B"/>
    <w:rsid w:val="0095610C"/>
    <w:rsid w:val="009565DB"/>
    <w:rsid w:val="00956A85"/>
    <w:rsid w:val="00957111"/>
    <w:rsid w:val="00957F70"/>
    <w:rsid w:val="00960682"/>
    <w:rsid w:val="00960D33"/>
    <w:rsid w:val="00961766"/>
    <w:rsid w:val="009617C4"/>
    <w:rsid w:val="00961801"/>
    <w:rsid w:val="00962ABE"/>
    <w:rsid w:val="00962CCF"/>
    <w:rsid w:val="00962D0E"/>
    <w:rsid w:val="0096338F"/>
    <w:rsid w:val="00963D1E"/>
    <w:rsid w:val="00963D69"/>
    <w:rsid w:val="00964721"/>
    <w:rsid w:val="009648DD"/>
    <w:rsid w:val="0096490E"/>
    <w:rsid w:val="00965243"/>
    <w:rsid w:val="0096584F"/>
    <w:rsid w:val="00965D20"/>
    <w:rsid w:val="00965F62"/>
    <w:rsid w:val="009661EF"/>
    <w:rsid w:val="0096659C"/>
    <w:rsid w:val="00966782"/>
    <w:rsid w:val="009667B8"/>
    <w:rsid w:val="00966860"/>
    <w:rsid w:val="00966E49"/>
    <w:rsid w:val="009671D9"/>
    <w:rsid w:val="00967438"/>
    <w:rsid w:val="00967583"/>
    <w:rsid w:val="00967D50"/>
    <w:rsid w:val="00970285"/>
    <w:rsid w:val="00970321"/>
    <w:rsid w:val="009704CA"/>
    <w:rsid w:val="00970AF0"/>
    <w:rsid w:val="00970B02"/>
    <w:rsid w:val="00970F0E"/>
    <w:rsid w:val="00970F66"/>
    <w:rsid w:val="00971671"/>
    <w:rsid w:val="00971964"/>
    <w:rsid w:val="00971D12"/>
    <w:rsid w:val="00971EE7"/>
    <w:rsid w:val="00971EF1"/>
    <w:rsid w:val="00971F39"/>
    <w:rsid w:val="00972157"/>
    <w:rsid w:val="009722F0"/>
    <w:rsid w:val="009723E4"/>
    <w:rsid w:val="00972791"/>
    <w:rsid w:val="00972842"/>
    <w:rsid w:val="00972C47"/>
    <w:rsid w:val="0097304A"/>
    <w:rsid w:val="0097358B"/>
    <w:rsid w:val="00973DF7"/>
    <w:rsid w:val="00974274"/>
    <w:rsid w:val="009743EE"/>
    <w:rsid w:val="00974E20"/>
    <w:rsid w:val="00974FF9"/>
    <w:rsid w:val="0097516E"/>
    <w:rsid w:val="00975287"/>
    <w:rsid w:val="0097531F"/>
    <w:rsid w:val="00975C89"/>
    <w:rsid w:val="00975D70"/>
    <w:rsid w:val="00975FCF"/>
    <w:rsid w:val="0097665A"/>
    <w:rsid w:val="00976F59"/>
    <w:rsid w:val="0098062B"/>
    <w:rsid w:val="0098066F"/>
    <w:rsid w:val="00980DA9"/>
    <w:rsid w:val="00981096"/>
    <w:rsid w:val="009814D7"/>
    <w:rsid w:val="00981E6E"/>
    <w:rsid w:val="00981ED2"/>
    <w:rsid w:val="00982150"/>
    <w:rsid w:val="0098222C"/>
    <w:rsid w:val="0098302F"/>
    <w:rsid w:val="009832FF"/>
    <w:rsid w:val="009835EF"/>
    <w:rsid w:val="00983A83"/>
    <w:rsid w:val="00983D21"/>
    <w:rsid w:val="00983F8A"/>
    <w:rsid w:val="00984ABE"/>
    <w:rsid w:val="00985648"/>
    <w:rsid w:val="00985DBC"/>
    <w:rsid w:val="00985F8F"/>
    <w:rsid w:val="0098635F"/>
    <w:rsid w:val="0098684F"/>
    <w:rsid w:val="00986F33"/>
    <w:rsid w:val="00987356"/>
    <w:rsid w:val="00987F2D"/>
    <w:rsid w:val="0099017A"/>
    <w:rsid w:val="009908F4"/>
    <w:rsid w:val="00990A09"/>
    <w:rsid w:val="0099150F"/>
    <w:rsid w:val="009918FE"/>
    <w:rsid w:val="00991F2A"/>
    <w:rsid w:val="00992078"/>
    <w:rsid w:val="009925E2"/>
    <w:rsid w:val="00992615"/>
    <w:rsid w:val="00993015"/>
    <w:rsid w:val="00993824"/>
    <w:rsid w:val="009939DE"/>
    <w:rsid w:val="00993E6F"/>
    <w:rsid w:val="00994249"/>
    <w:rsid w:val="00994726"/>
    <w:rsid w:val="00994853"/>
    <w:rsid w:val="009955FC"/>
    <w:rsid w:val="0099577D"/>
    <w:rsid w:val="009957F8"/>
    <w:rsid w:val="00995B55"/>
    <w:rsid w:val="00997068"/>
    <w:rsid w:val="0099712F"/>
    <w:rsid w:val="009979FD"/>
    <w:rsid w:val="009A03C9"/>
    <w:rsid w:val="009A04BD"/>
    <w:rsid w:val="009A0E15"/>
    <w:rsid w:val="009A10B2"/>
    <w:rsid w:val="009A1DEA"/>
    <w:rsid w:val="009A1F1C"/>
    <w:rsid w:val="009A2154"/>
    <w:rsid w:val="009A3328"/>
    <w:rsid w:val="009A33BE"/>
    <w:rsid w:val="009A3866"/>
    <w:rsid w:val="009A426A"/>
    <w:rsid w:val="009A4A32"/>
    <w:rsid w:val="009A4AF3"/>
    <w:rsid w:val="009A53C8"/>
    <w:rsid w:val="009A5A75"/>
    <w:rsid w:val="009A5B21"/>
    <w:rsid w:val="009A5EB1"/>
    <w:rsid w:val="009A68EE"/>
    <w:rsid w:val="009A69EF"/>
    <w:rsid w:val="009A6D8B"/>
    <w:rsid w:val="009A727A"/>
    <w:rsid w:val="009B0009"/>
    <w:rsid w:val="009B0347"/>
    <w:rsid w:val="009B03D2"/>
    <w:rsid w:val="009B04A3"/>
    <w:rsid w:val="009B0EB8"/>
    <w:rsid w:val="009B159F"/>
    <w:rsid w:val="009B15AD"/>
    <w:rsid w:val="009B1F7F"/>
    <w:rsid w:val="009B2110"/>
    <w:rsid w:val="009B23BC"/>
    <w:rsid w:val="009B28B3"/>
    <w:rsid w:val="009B2C01"/>
    <w:rsid w:val="009B2C96"/>
    <w:rsid w:val="009B3289"/>
    <w:rsid w:val="009B3995"/>
    <w:rsid w:val="009B3A2E"/>
    <w:rsid w:val="009B3A30"/>
    <w:rsid w:val="009B3A50"/>
    <w:rsid w:val="009B416C"/>
    <w:rsid w:val="009B41C2"/>
    <w:rsid w:val="009B4677"/>
    <w:rsid w:val="009B4978"/>
    <w:rsid w:val="009B4C67"/>
    <w:rsid w:val="009B4D64"/>
    <w:rsid w:val="009B50AB"/>
    <w:rsid w:val="009B5275"/>
    <w:rsid w:val="009B54EB"/>
    <w:rsid w:val="009B6835"/>
    <w:rsid w:val="009B6B6B"/>
    <w:rsid w:val="009B7EF2"/>
    <w:rsid w:val="009B7FBE"/>
    <w:rsid w:val="009C01DC"/>
    <w:rsid w:val="009C06FF"/>
    <w:rsid w:val="009C084D"/>
    <w:rsid w:val="009C0AE0"/>
    <w:rsid w:val="009C0CEB"/>
    <w:rsid w:val="009C10D7"/>
    <w:rsid w:val="009C1650"/>
    <w:rsid w:val="009C1D44"/>
    <w:rsid w:val="009C1F8F"/>
    <w:rsid w:val="009C2007"/>
    <w:rsid w:val="009C29C3"/>
    <w:rsid w:val="009C407A"/>
    <w:rsid w:val="009C4229"/>
    <w:rsid w:val="009C44FE"/>
    <w:rsid w:val="009C4761"/>
    <w:rsid w:val="009C49FF"/>
    <w:rsid w:val="009C4BCE"/>
    <w:rsid w:val="009C532E"/>
    <w:rsid w:val="009C59D3"/>
    <w:rsid w:val="009C5DA8"/>
    <w:rsid w:val="009C60E6"/>
    <w:rsid w:val="009C6EC8"/>
    <w:rsid w:val="009C7402"/>
    <w:rsid w:val="009C74FE"/>
    <w:rsid w:val="009C753A"/>
    <w:rsid w:val="009C7B48"/>
    <w:rsid w:val="009D0653"/>
    <w:rsid w:val="009D09A2"/>
    <w:rsid w:val="009D15C5"/>
    <w:rsid w:val="009D197F"/>
    <w:rsid w:val="009D2100"/>
    <w:rsid w:val="009D33F1"/>
    <w:rsid w:val="009D3697"/>
    <w:rsid w:val="009D3776"/>
    <w:rsid w:val="009D3DDC"/>
    <w:rsid w:val="009D3E6D"/>
    <w:rsid w:val="009D4405"/>
    <w:rsid w:val="009D44DA"/>
    <w:rsid w:val="009D4689"/>
    <w:rsid w:val="009D4838"/>
    <w:rsid w:val="009D50B1"/>
    <w:rsid w:val="009D55DD"/>
    <w:rsid w:val="009D56F7"/>
    <w:rsid w:val="009D5AC5"/>
    <w:rsid w:val="009D608B"/>
    <w:rsid w:val="009D6314"/>
    <w:rsid w:val="009D6BAD"/>
    <w:rsid w:val="009D6D9A"/>
    <w:rsid w:val="009D6E5F"/>
    <w:rsid w:val="009D762F"/>
    <w:rsid w:val="009D7DC0"/>
    <w:rsid w:val="009E0774"/>
    <w:rsid w:val="009E0AA0"/>
    <w:rsid w:val="009E0EE1"/>
    <w:rsid w:val="009E113B"/>
    <w:rsid w:val="009E237E"/>
    <w:rsid w:val="009E245F"/>
    <w:rsid w:val="009E286B"/>
    <w:rsid w:val="009E2E35"/>
    <w:rsid w:val="009E2E67"/>
    <w:rsid w:val="009E323E"/>
    <w:rsid w:val="009E3294"/>
    <w:rsid w:val="009E36E2"/>
    <w:rsid w:val="009E3740"/>
    <w:rsid w:val="009E3BA4"/>
    <w:rsid w:val="009E3DA2"/>
    <w:rsid w:val="009E4FEB"/>
    <w:rsid w:val="009E5EA9"/>
    <w:rsid w:val="009E62C2"/>
    <w:rsid w:val="009E657B"/>
    <w:rsid w:val="009E7E59"/>
    <w:rsid w:val="009F05E9"/>
    <w:rsid w:val="009F06FD"/>
    <w:rsid w:val="009F1936"/>
    <w:rsid w:val="009F1D15"/>
    <w:rsid w:val="009F1F2D"/>
    <w:rsid w:val="009F1F7F"/>
    <w:rsid w:val="009F2022"/>
    <w:rsid w:val="009F2798"/>
    <w:rsid w:val="009F3143"/>
    <w:rsid w:val="009F416F"/>
    <w:rsid w:val="009F4447"/>
    <w:rsid w:val="009F4528"/>
    <w:rsid w:val="009F4810"/>
    <w:rsid w:val="009F49E8"/>
    <w:rsid w:val="009F4D6A"/>
    <w:rsid w:val="009F5726"/>
    <w:rsid w:val="009F5B7D"/>
    <w:rsid w:val="009F5C57"/>
    <w:rsid w:val="009F5DE2"/>
    <w:rsid w:val="009F631F"/>
    <w:rsid w:val="009F6D58"/>
    <w:rsid w:val="009F707C"/>
    <w:rsid w:val="009F7D6B"/>
    <w:rsid w:val="00A002D0"/>
    <w:rsid w:val="00A004C5"/>
    <w:rsid w:val="00A00B8D"/>
    <w:rsid w:val="00A00D6A"/>
    <w:rsid w:val="00A0108A"/>
    <w:rsid w:val="00A01483"/>
    <w:rsid w:val="00A017C1"/>
    <w:rsid w:val="00A01E05"/>
    <w:rsid w:val="00A0214C"/>
    <w:rsid w:val="00A02622"/>
    <w:rsid w:val="00A02ACB"/>
    <w:rsid w:val="00A02FC7"/>
    <w:rsid w:val="00A037D3"/>
    <w:rsid w:val="00A039CE"/>
    <w:rsid w:val="00A03B1D"/>
    <w:rsid w:val="00A03E62"/>
    <w:rsid w:val="00A04607"/>
    <w:rsid w:val="00A04DAB"/>
    <w:rsid w:val="00A05230"/>
    <w:rsid w:val="00A054CE"/>
    <w:rsid w:val="00A055FB"/>
    <w:rsid w:val="00A05809"/>
    <w:rsid w:val="00A05A70"/>
    <w:rsid w:val="00A05D5D"/>
    <w:rsid w:val="00A05E6D"/>
    <w:rsid w:val="00A05EB5"/>
    <w:rsid w:val="00A06280"/>
    <w:rsid w:val="00A063F9"/>
    <w:rsid w:val="00A067C2"/>
    <w:rsid w:val="00A06D3B"/>
    <w:rsid w:val="00A0709B"/>
    <w:rsid w:val="00A07DD2"/>
    <w:rsid w:val="00A1016A"/>
    <w:rsid w:val="00A10A9E"/>
    <w:rsid w:val="00A1130F"/>
    <w:rsid w:val="00A114D7"/>
    <w:rsid w:val="00A12A4C"/>
    <w:rsid w:val="00A12D56"/>
    <w:rsid w:val="00A1307B"/>
    <w:rsid w:val="00A13351"/>
    <w:rsid w:val="00A134F7"/>
    <w:rsid w:val="00A13573"/>
    <w:rsid w:val="00A13913"/>
    <w:rsid w:val="00A14171"/>
    <w:rsid w:val="00A14740"/>
    <w:rsid w:val="00A148BB"/>
    <w:rsid w:val="00A148F0"/>
    <w:rsid w:val="00A14BBB"/>
    <w:rsid w:val="00A14D5A"/>
    <w:rsid w:val="00A1503F"/>
    <w:rsid w:val="00A15AF0"/>
    <w:rsid w:val="00A15C0C"/>
    <w:rsid w:val="00A16100"/>
    <w:rsid w:val="00A1633D"/>
    <w:rsid w:val="00A16427"/>
    <w:rsid w:val="00A1662E"/>
    <w:rsid w:val="00A173A7"/>
    <w:rsid w:val="00A17557"/>
    <w:rsid w:val="00A17973"/>
    <w:rsid w:val="00A17CA5"/>
    <w:rsid w:val="00A17F16"/>
    <w:rsid w:val="00A2005C"/>
    <w:rsid w:val="00A2085E"/>
    <w:rsid w:val="00A209A0"/>
    <w:rsid w:val="00A214CC"/>
    <w:rsid w:val="00A21620"/>
    <w:rsid w:val="00A21D05"/>
    <w:rsid w:val="00A21D78"/>
    <w:rsid w:val="00A220F8"/>
    <w:rsid w:val="00A2258A"/>
    <w:rsid w:val="00A22DA7"/>
    <w:rsid w:val="00A23067"/>
    <w:rsid w:val="00A23983"/>
    <w:rsid w:val="00A23A4C"/>
    <w:rsid w:val="00A24467"/>
    <w:rsid w:val="00A24A6D"/>
    <w:rsid w:val="00A24BF9"/>
    <w:rsid w:val="00A25C69"/>
    <w:rsid w:val="00A25C84"/>
    <w:rsid w:val="00A25CF5"/>
    <w:rsid w:val="00A264C1"/>
    <w:rsid w:val="00A26C27"/>
    <w:rsid w:val="00A26D4C"/>
    <w:rsid w:val="00A277B4"/>
    <w:rsid w:val="00A27B5E"/>
    <w:rsid w:val="00A308DC"/>
    <w:rsid w:val="00A30E7D"/>
    <w:rsid w:val="00A316FF"/>
    <w:rsid w:val="00A31855"/>
    <w:rsid w:val="00A31EA7"/>
    <w:rsid w:val="00A31F02"/>
    <w:rsid w:val="00A322F7"/>
    <w:rsid w:val="00A3302F"/>
    <w:rsid w:val="00A3362C"/>
    <w:rsid w:val="00A33EF9"/>
    <w:rsid w:val="00A33F13"/>
    <w:rsid w:val="00A33FD1"/>
    <w:rsid w:val="00A343EE"/>
    <w:rsid w:val="00A34AB4"/>
    <w:rsid w:val="00A34B2A"/>
    <w:rsid w:val="00A3525A"/>
    <w:rsid w:val="00A35C4D"/>
    <w:rsid w:val="00A36FAE"/>
    <w:rsid w:val="00A3708C"/>
    <w:rsid w:val="00A3714B"/>
    <w:rsid w:val="00A37228"/>
    <w:rsid w:val="00A3745E"/>
    <w:rsid w:val="00A37A94"/>
    <w:rsid w:val="00A37C18"/>
    <w:rsid w:val="00A37EBF"/>
    <w:rsid w:val="00A40381"/>
    <w:rsid w:val="00A404EE"/>
    <w:rsid w:val="00A40D06"/>
    <w:rsid w:val="00A40D79"/>
    <w:rsid w:val="00A4115F"/>
    <w:rsid w:val="00A41651"/>
    <w:rsid w:val="00A41864"/>
    <w:rsid w:val="00A41B5B"/>
    <w:rsid w:val="00A41CC1"/>
    <w:rsid w:val="00A41E21"/>
    <w:rsid w:val="00A420B7"/>
    <w:rsid w:val="00A429C7"/>
    <w:rsid w:val="00A432A6"/>
    <w:rsid w:val="00A44045"/>
    <w:rsid w:val="00A4412D"/>
    <w:rsid w:val="00A44705"/>
    <w:rsid w:val="00A44CC8"/>
    <w:rsid w:val="00A451C8"/>
    <w:rsid w:val="00A4571D"/>
    <w:rsid w:val="00A45970"/>
    <w:rsid w:val="00A45B24"/>
    <w:rsid w:val="00A45BB3"/>
    <w:rsid w:val="00A45DF1"/>
    <w:rsid w:val="00A45ECC"/>
    <w:rsid w:val="00A461B4"/>
    <w:rsid w:val="00A46251"/>
    <w:rsid w:val="00A46E2D"/>
    <w:rsid w:val="00A47290"/>
    <w:rsid w:val="00A47389"/>
    <w:rsid w:val="00A50102"/>
    <w:rsid w:val="00A50616"/>
    <w:rsid w:val="00A50752"/>
    <w:rsid w:val="00A509B0"/>
    <w:rsid w:val="00A50D67"/>
    <w:rsid w:val="00A51204"/>
    <w:rsid w:val="00A51BB3"/>
    <w:rsid w:val="00A529E6"/>
    <w:rsid w:val="00A52C68"/>
    <w:rsid w:val="00A52DFB"/>
    <w:rsid w:val="00A537AB"/>
    <w:rsid w:val="00A53ABD"/>
    <w:rsid w:val="00A53B5D"/>
    <w:rsid w:val="00A53E9A"/>
    <w:rsid w:val="00A53F9F"/>
    <w:rsid w:val="00A54281"/>
    <w:rsid w:val="00A54422"/>
    <w:rsid w:val="00A5452A"/>
    <w:rsid w:val="00A54D39"/>
    <w:rsid w:val="00A54EEA"/>
    <w:rsid w:val="00A552D8"/>
    <w:rsid w:val="00A55F17"/>
    <w:rsid w:val="00A564C5"/>
    <w:rsid w:val="00A564ED"/>
    <w:rsid w:val="00A5722B"/>
    <w:rsid w:val="00A572E8"/>
    <w:rsid w:val="00A57367"/>
    <w:rsid w:val="00A57828"/>
    <w:rsid w:val="00A579C7"/>
    <w:rsid w:val="00A57A3E"/>
    <w:rsid w:val="00A57CE5"/>
    <w:rsid w:val="00A604BB"/>
    <w:rsid w:val="00A61887"/>
    <w:rsid w:val="00A61B06"/>
    <w:rsid w:val="00A61DB5"/>
    <w:rsid w:val="00A61DEF"/>
    <w:rsid w:val="00A62431"/>
    <w:rsid w:val="00A62DE2"/>
    <w:rsid w:val="00A63479"/>
    <w:rsid w:val="00A63671"/>
    <w:rsid w:val="00A63BF0"/>
    <w:rsid w:val="00A63C16"/>
    <w:rsid w:val="00A63FB5"/>
    <w:rsid w:val="00A6463E"/>
    <w:rsid w:val="00A64A87"/>
    <w:rsid w:val="00A64C59"/>
    <w:rsid w:val="00A64E88"/>
    <w:rsid w:val="00A6506F"/>
    <w:rsid w:val="00A65077"/>
    <w:rsid w:val="00A6510C"/>
    <w:rsid w:val="00A65A40"/>
    <w:rsid w:val="00A65A5D"/>
    <w:rsid w:val="00A65F63"/>
    <w:rsid w:val="00A66791"/>
    <w:rsid w:val="00A673DB"/>
    <w:rsid w:val="00A67CE6"/>
    <w:rsid w:val="00A7030D"/>
    <w:rsid w:val="00A716B9"/>
    <w:rsid w:val="00A71770"/>
    <w:rsid w:val="00A721CA"/>
    <w:rsid w:val="00A72915"/>
    <w:rsid w:val="00A72A88"/>
    <w:rsid w:val="00A72B62"/>
    <w:rsid w:val="00A72DDC"/>
    <w:rsid w:val="00A73385"/>
    <w:rsid w:val="00A734CE"/>
    <w:rsid w:val="00A73651"/>
    <w:rsid w:val="00A73E0F"/>
    <w:rsid w:val="00A742F9"/>
    <w:rsid w:val="00A746B3"/>
    <w:rsid w:val="00A74AB0"/>
    <w:rsid w:val="00A74C80"/>
    <w:rsid w:val="00A75741"/>
    <w:rsid w:val="00A75D85"/>
    <w:rsid w:val="00A75DDB"/>
    <w:rsid w:val="00A75DEF"/>
    <w:rsid w:val="00A75F60"/>
    <w:rsid w:val="00A7624A"/>
    <w:rsid w:val="00A762E0"/>
    <w:rsid w:val="00A767BA"/>
    <w:rsid w:val="00A77182"/>
    <w:rsid w:val="00A77487"/>
    <w:rsid w:val="00A77ACA"/>
    <w:rsid w:val="00A77F88"/>
    <w:rsid w:val="00A805FE"/>
    <w:rsid w:val="00A806A5"/>
    <w:rsid w:val="00A808A9"/>
    <w:rsid w:val="00A80D8B"/>
    <w:rsid w:val="00A8161F"/>
    <w:rsid w:val="00A81642"/>
    <w:rsid w:val="00A81772"/>
    <w:rsid w:val="00A81FCF"/>
    <w:rsid w:val="00A82A17"/>
    <w:rsid w:val="00A83B52"/>
    <w:rsid w:val="00A83FB6"/>
    <w:rsid w:val="00A84482"/>
    <w:rsid w:val="00A8495C"/>
    <w:rsid w:val="00A85283"/>
    <w:rsid w:val="00A8745C"/>
    <w:rsid w:val="00A87564"/>
    <w:rsid w:val="00A876F2"/>
    <w:rsid w:val="00A87A4C"/>
    <w:rsid w:val="00A902B0"/>
    <w:rsid w:val="00A9098D"/>
    <w:rsid w:val="00A91E63"/>
    <w:rsid w:val="00A92019"/>
    <w:rsid w:val="00A92C39"/>
    <w:rsid w:val="00A93883"/>
    <w:rsid w:val="00A938E4"/>
    <w:rsid w:val="00A93959"/>
    <w:rsid w:val="00A93D1C"/>
    <w:rsid w:val="00A94007"/>
    <w:rsid w:val="00A9477E"/>
    <w:rsid w:val="00A94EC1"/>
    <w:rsid w:val="00A94FB5"/>
    <w:rsid w:val="00A95380"/>
    <w:rsid w:val="00A95D5D"/>
    <w:rsid w:val="00A95D6B"/>
    <w:rsid w:val="00A961EC"/>
    <w:rsid w:val="00A965F8"/>
    <w:rsid w:val="00A9735B"/>
    <w:rsid w:val="00A978C5"/>
    <w:rsid w:val="00A97E11"/>
    <w:rsid w:val="00AA0BD9"/>
    <w:rsid w:val="00AA133E"/>
    <w:rsid w:val="00AA19C2"/>
    <w:rsid w:val="00AA20D0"/>
    <w:rsid w:val="00AA2CF1"/>
    <w:rsid w:val="00AA3041"/>
    <w:rsid w:val="00AA3202"/>
    <w:rsid w:val="00AA322A"/>
    <w:rsid w:val="00AA323C"/>
    <w:rsid w:val="00AA32A7"/>
    <w:rsid w:val="00AA3A46"/>
    <w:rsid w:val="00AA4B06"/>
    <w:rsid w:val="00AA4BC6"/>
    <w:rsid w:val="00AA4C7A"/>
    <w:rsid w:val="00AA550A"/>
    <w:rsid w:val="00AA570C"/>
    <w:rsid w:val="00AA57DD"/>
    <w:rsid w:val="00AA5D46"/>
    <w:rsid w:val="00AA6668"/>
    <w:rsid w:val="00AA6BE3"/>
    <w:rsid w:val="00AA7085"/>
    <w:rsid w:val="00AA72D6"/>
    <w:rsid w:val="00AA7529"/>
    <w:rsid w:val="00AA7F60"/>
    <w:rsid w:val="00AB0A5D"/>
    <w:rsid w:val="00AB0C62"/>
    <w:rsid w:val="00AB0E81"/>
    <w:rsid w:val="00AB1332"/>
    <w:rsid w:val="00AB14AE"/>
    <w:rsid w:val="00AB14C1"/>
    <w:rsid w:val="00AB18A9"/>
    <w:rsid w:val="00AB2370"/>
    <w:rsid w:val="00AB257C"/>
    <w:rsid w:val="00AB29E1"/>
    <w:rsid w:val="00AB2E84"/>
    <w:rsid w:val="00AB2F33"/>
    <w:rsid w:val="00AB328E"/>
    <w:rsid w:val="00AB35EB"/>
    <w:rsid w:val="00AB3C1A"/>
    <w:rsid w:val="00AB3FD6"/>
    <w:rsid w:val="00AB456B"/>
    <w:rsid w:val="00AB4586"/>
    <w:rsid w:val="00AB4639"/>
    <w:rsid w:val="00AB4F05"/>
    <w:rsid w:val="00AB5D8F"/>
    <w:rsid w:val="00AB61F2"/>
    <w:rsid w:val="00AB6D3B"/>
    <w:rsid w:val="00AB719E"/>
    <w:rsid w:val="00AB74E7"/>
    <w:rsid w:val="00AB763B"/>
    <w:rsid w:val="00AB76C5"/>
    <w:rsid w:val="00AB78AE"/>
    <w:rsid w:val="00AB7953"/>
    <w:rsid w:val="00AC00B1"/>
    <w:rsid w:val="00AC067D"/>
    <w:rsid w:val="00AC0C5A"/>
    <w:rsid w:val="00AC1437"/>
    <w:rsid w:val="00AC14DA"/>
    <w:rsid w:val="00AC1628"/>
    <w:rsid w:val="00AC1C4C"/>
    <w:rsid w:val="00AC1CD1"/>
    <w:rsid w:val="00AC1D62"/>
    <w:rsid w:val="00AC1E38"/>
    <w:rsid w:val="00AC223D"/>
    <w:rsid w:val="00AC226D"/>
    <w:rsid w:val="00AC23E2"/>
    <w:rsid w:val="00AC2A52"/>
    <w:rsid w:val="00AC3135"/>
    <w:rsid w:val="00AC334D"/>
    <w:rsid w:val="00AC3734"/>
    <w:rsid w:val="00AC3A55"/>
    <w:rsid w:val="00AC4508"/>
    <w:rsid w:val="00AC4931"/>
    <w:rsid w:val="00AC496E"/>
    <w:rsid w:val="00AC5105"/>
    <w:rsid w:val="00AC517C"/>
    <w:rsid w:val="00AC531C"/>
    <w:rsid w:val="00AC56BA"/>
    <w:rsid w:val="00AC5810"/>
    <w:rsid w:val="00AC5B97"/>
    <w:rsid w:val="00AC69E5"/>
    <w:rsid w:val="00AC6A0C"/>
    <w:rsid w:val="00AC6A7D"/>
    <w:rsid w:val="00AC7387"/>
    <w:rsid w:val="00AC76F3"/>
    <w:rsid w:val="00AC7BE2"/>
    <w:rsid w:val="00AD00B3"/>
    <w:rsid w:val="00AD06B9"/>
    <w:rsid w:val="00AD0D93"/>
    <w:rsid w:val="00AD12DA"/>
    <w:rsid w:val="00AD1A25"/>
    <w:rsid w:val="00AD1EB2"/>
    <w:rsid w:val="00AD21BC"/>
    <w:rsid w:val="00AD2464"/>
    <w:rsid w:val="00AD24EC"/>
    <w:rsid w:val="00AD2628"/>
    <w:rsid w:val="00AD3279"/>
    <w:rsid w:val="00AD3B6B"/>
    <w:rsid w:val="00AD3E30"/>
    <w:rsid w:val="00AD4B8C"/>
    <w:rsid w:val="00AD4CFC"/>
    <w:rsid w:val="00AD58D3"/>
    <w:rsid w:val="00AD5DE4"/>
    <w:rsid w:val="00AD6E01"/>
    <w:rsid w:val="00AD6E3E"/>
    <w:rsid w:val="00AD701C"/>
    <w:rsid w:val="00AD73E9"/>
    <w:rsid w:val="00AD74AF"/>
    <w:rsid w:val="00AE00BA"/>
    <w:rsid w:val="00AE079C"/>
    <w:rsid w:val="00AE0BB9"/>
    <w:rsid w:val="00AE0E52"/>
    <w:rsid w:val="00AE1981"/>
    <w:rsid w:val="00AE1CA1"/>
    <w:rsid w:val="00AE20C1"/>
    <w:rsid w:val="00AE21D8"/>
    <w:rsid w:val="00AE2299"/>
    <w:rsid w:val="00AE2312"/>
    <w:rsid w:val="00AE2784"/>
    <w:rsid w:val="00AE27B6"/>
    <w:rsid w:val="00AE27BB"/>
    <w:rsid w:val="00AE2B30"/>
    <w:rsid w:val="00AE3301"/>
    <w:rsid w:val="00AE4159"/>
    <w:rsid w:val="00AE46EC"/>
    <w:rsid w:val="00AE4EA1"/>
    <w:rsid w:val="00AE4ECE"/>
    <w:rsid w:val="00AE4FD5"/>
    <w:rsid w:val="00AE5228"/>
    <w:rsid w:val="00AE63E1"/>
    <w:rsid w:val="00AE6AF1"/>
    <w:rsid w:val="00AE733C"/>
    <w:rsid w:val="00AE7B24"/>
    <w:rsid w:val="00AF01D4"/>
    <w:rsid w:val="00AF053A"/>
    <w:rsid w:val="00AF0668"/>
    <w:rsid w:val="00AF08D2"/>
    <w:rsid w:val="00AF0C6D"/>
    <w:rsid w:val="00AF0DC6"/>
    <w:rsid w:val="00AF1DBA"/>
    <w:rsid w:val="00AF228D"/>
    <w:rsid w:val="00AF39FA"/>
    <w:rsid w:val="00AF4887"/>
    <w:rsid w:val="00AF4EE2"/>
    <w:rsid w:val="00AF5593"/>
    <w:rsid w:val="00AF578C"/>
    <w:rsid w:val="00AF585F"/>
    <w:rsid w:val="00AF5A7B"/>
    <w:rsid w:val="00AF7550"/>
    <w:rsid w:val="00AF7A99"/>
    <w:rsid w:val="00AF7F02"/>
    <w:rsid w:val="00B0038D"/>
    <w:rsid w:val="00B00538"/>
    <w:rsid w:val="00B00E02"/>
    <w:rsid w:val="00B014B9"/>
    <w:rsid w:val="00B01CD4"/>
    <w:rsid w:val="00B01E2B"/>
    <w:rsid w:val="00B01E56"/>
    <w:rsid w:val="00B01F98"/>
    <w:rsid w:val="00B02381"/>
    <w:rsid w:val="00B02982"/>
    <w:rsid w:val="00B02A28"/>
    <w:rsid w:val="00B0386C"/>
    <w:rsid w:val="00B03B9C"/>
    <w:rsid w:val="00B045A9"/>
    <w:rsid w:val="00B049A3"/>
    <w:rsid w:val="00B04D3F"/>
    <w:rsid w:val="00B05891"/>
    <w:rsid w:val="00B05A9A"/>
    <w:rsid w:val="00B06B60"/>
    <w:rsid w:val="00B07101"/>
    <w:rsid w:val="00B07C43"/>
    <w:rsid w:val="00B07E54"/>
    <w:rsid w:val="00B10574"/>
    <w:rsid w:val="00B10854"/>
    <w:rsid w:val="00B108C7"/>
    <w:rsid w:val="00B108D8"/>
    <w:rsid w:val="00B109C8"/>
    <w:rsid w:val="00B10AF0"/>
    <w:rsid w:val="00B11148"/>
    <w:rsid w:val="00B11384"/>
    <w:rsid w:val="00B11435"/>
    <w:rsid w:val="00B122F9"/>
    <w:rsid w:val="00B12781"/>
    <w:rsid w:val="00B12F79"/>
    <w:rsid w:val="00B13133"/>
    <w:rsid w:val="00B1329C"/>
    <w:rsid w:val="00B137B2"/>
    <w:rsid w:val="00B137D6"/>
    <w:rsid w:val="00B13D43"/>
    <w:rsid w:val="00B14217"/>
    <w:rsid w:val="00B14608"/>
    <w:rsid w:val="00B14926"/>
    <w:rsid w:val="00B14AC4"/>
    <w:rsid w:val="00B151B2"/>
    <w:rsid w:val="00B1527D"/>
    <w:rsid w:val="00B15459"/>
    <w:rsid w:val="00B154E4"/>
    <w:rsid w:val="00B156D1"/>
    <w:rsid w:val="00B15B7B"/>
    <w:rsid w:val="00B16120"/>
    <w:rsid w:val="00B16492"/>
    <w:rsid w:val="00B175F0"/>
    <w:rsid w:val="00B17AB4"/>
    <w:rsid w:val="00B2058E"/>
    <w:rsid w:val="00B20DCD"/>
    <w:rsid w:val="00B21280"/>
    <w:rsid w:val="00B213E6"/>
    <w:rsid w:val="00B213F8"/>
    <w:rsid w:val="00B217F5"/>
    <w:rsid w:val="00B21B3D"/>
    <w:rsid w:val="00B21B95"/>
    <w:rsid w:val="00B223BA"/>
    <w:rsid w:val="00B228BF"/>
    <w:rsid w:val="00B23ABC"/>
    <w:rsid w:val="00B23CB1"/>
    <w:rsid w:val="00B240D7"/>
    <w:rsid w:val="00B244B9"/>
    <w:rsid w:val="00B24771"/>
    <w:rsid w:val="00B24EB8"/>
    <w:rsid w:val="00B24FA1"/>
    <w:rsid w:val="00B25201"/>
    <w:rsid w:val="00B25B18"/>
    <w:rsid w:val="00B2614D"/>
    <w:rsid w:val="00B26312"/>
    <w:rsid w:val="00B27BAF"/>
    <w:rsid w:val="00B27C4E"/>
    <w:rsid w:val="00B300DC"/>
    <w:rsid w:val="00B30161"/>
    <w:rsid w:val="00B303D9"/>
    <w:rsid w:val="00B305DD"/>
    <w:rsid w:val="00B30D34"/>
    <w:rsid w:val="00B30DDD"/>
    <w:rsid w:val="00B31727"/>
    <w:rsid w:val="00B31D34"/>
    <w:rsid w:val="00B3262C"/>
    <w:rsid w:val="00B32782"/>
    <w:rsid w:val="00B32D50"/>
    <w:rsid w:val="00B33301"/>
    <w:rsid w:val="00B3360F"/>
    <w:rsid w:val="00B33C20"/>
    <w:rsid w:val="00B33CB2"/>
    <w:rsid w:val="00B33D3A"/>
    <w:rsid w:val="00B33E26"/>
    <w:rsid w:val="00B345F4"/>
    <w:rsid w:val="00B34C15"/>
    <w:rsid w:val="00B34D18"/>
    <w:rsid w:val="00B34D6F"/>
    <w:rsid w:val="00B35217"/>
    <w:rsid w:val="00B356EE"/>
    <w:rsid w:val="00B35D60"/>
    <w:rsid w:val="00B36340"/>
    <w:rsid w:val="00B365B5"/>
    <w:rsid w:val="00B37051"/>
    <w:rsid w:val="00B37432"/>
    <w:rsid w:val="00B374BA"/>
    <w:rsid w:val="00B374F9"/>
    <w:rsid w:val="00B3755B"/>
    <w:rsid w:val="00B37D9F"/>
    <w:rsid w:val="00B37FA5"/>
    <w:rsid w:val="00B40470"/>
    <w:rsid w:val="00B4069E"/>
    <w:rsid w:val="00B40BF1"/>
    <w:rsid w:val="00B415B7"/>
    <w:rsid w:val="00B417EB"/>
    <w:rsid w:val="00B41C6A"/>
    <w:rsid w:val="00B41EAA"/>
    <w:rsid w:val="00B41ECC"/>
    <w:rsid w:val="00B42719"/>
    <w:rsid w:val="00B42F5E"/>
    <w:rsid w:val="00B43438"/>
    <w:rsid w:val="00B43CD5"/>
    <w:rsid w:val="00B43F46"/>
    <w:rsid w:val="00B44700"/>
    <w:rsid w:val="00B448E8"/>
    <w:rsid w:val="00B44B1F"/>
    <w:rsid w:val="00B4509C"/>
    <w:rsid w:val="00B45A52"/>
    <w:rsid w:val="00B45B19"/>
    <w:rsid w:val="00B46264"/>
    <w:rsid w:val="00B464B2"/>
    <w:rsid w:val="00B47109"/>
    <w:rsid w:val="00B4725F"/>
    <w:rsid w:val="00B4728D"/>
    <w:rsid w:val="00B472E2"/>
    <w:rsid w:val="00B47344"/>
    <w:rsid w:val="00B4763F"/>
    <w:rsid w:val="00B476A4"/>
    <w:rsid w:val="00B47B21"/>
    <w:rsid w:val="00B505F7"/>
    <w:rsid w:val="00B513C9"/>
    <w:rsid w:val="00B51619"/>
    <w:rsid w:val="00B516CE"/>
    <w:rsid w:val="00B5184F"/>
    <w:rsid w:val="00B51D60"/>
    <w:rsid w:val="00B528D1"/>
    <w:rsid w:val="00B5377D"/>
    <w:rsid w:val="00B537BA"/>
    <w:rsid w:val="00B547BA"/>
    <w:rsid w:val="00B54A16"/>
    <w:rsid w:val="00B54D1C"/>
    <w:rsid w:val="00B54EC2"/>
    <w:rsid w:val="00B553D8"/>
    <w:rsid w:val="00B553EE"/>
    <w:rsid w:val="00B55441"/>
    <w:rsid w:val="00B55458"/>
    <w:rsid w:val="00B5621B"/>
    <w:rsid w:val="00B56470"/>
    <w:rsid w:val="00B56B01"/>
    <w:rsid w:val="00B56E2E"/>
    <w:rsid w:val="00B57195"/>
    <w:rsid w:val="00B5722E"/>
    <w:rsid w:val="00B57597"/>
    <w:rsid w:val="00B5793C"/>
    <w:rsid w:val="00B57CB2"/>
    <w:rsid w:val="00B60758"/>
    <w:rsid w:val="00B60F71"/>
    <w:rsid w:val="00B610CB"/>
    <w:rsid w:val="00B616B0"/>
    <w:rsid w:val="00B616CB"/>
    <w:rsid w:val="00B61BB4"/>
    <w:rsid w:val="00B62DF0"/>
    <w:rsid w:val="00B63D1E"/>
    <w:rsid w:val="00B63D89"/>
    <w:rsid w:val="00B64042"/>
    <w:rsid w:val="00B6404E"/>
    <w:rsid w:val="00B64360"/>
    <w:rsid w:val="00B64397"/>
    <w:rsid w:val="00B64641"/>
    <w:rsid w:val="00B65425"/>
    <w:rsid w:val="00B65E7F"/>
    <w:rsid w:val="00B6650E"/>
    <w:rsid w:val="00B66B37"/>
    <w:rsid w:val="00B66FBB"/>
    <w:rsid w:val="00B6782F"/>
    <w:rsid w:val="00B67980"/>
    <w:rsid w:val="00B67B7E"/>
    <w:rsid w:val="00B7019F"/>
    <w:rsid w:val="00B701C5"/>
    <w:rsid w:val="00B71187"/>
    <w:rsid w:val="00B7139D"/>
    <w:rsid w:val="00B7234D"/>
    <w:rsid w:val="00B72D14"/>
    <w:rsid w:val="00B7315F"/>
    <w:rsid w:val="00B73A79"/>
    <w:rsid w:val="00B74EE0"/>
    <w:rsid w:val="00B75478"/>
    <w:rsid w:val="00B75719"/>
    <w:rsid w:val="00B7629D"/>
    <w:rsid w:val="00B763B0"/>
    <w:rsid w:val="00B76C00"/>
    <w:rsid w:val="00B77353"/>
    <w:rsid w:val="00B7738E"/>
    <w:rsid w:val="00B77737"/>
    <w:rsid w:val="00B779B9"/>
    <w:rsid w:val="00B77DA9"/>
    <w:rsid w:val="00B77FEA"/>
    <w:rsid w:val="00B800B8"/>
    <w:rsid w:val="00B80416"/>
    <w:rsid w:val="00B8111A"/>
    <w:rsid w:val="00B81266"/>
    <w:rsid w:val="00B81C78"/>
    <w:rsid w:val="00B81DFC"/>
    <w:rsid w:val="00B8226A"/>
    <w:rsid w:val="00B823F7"/>
    <w:rsid w:val="00B82B3E"/>
    <w:rsid w:val="00B82E07"/>
    <w:rsid w:val="00B8318A"/>
    <w:rsid w:val="00B83481"/>
    <w:rsid w:val="00B83CDB"/>
    <w:rsid w:val="00B83FA5"/>
    <w:rsid w:val="00B840B7"/>
    <w:rsid w:val="00B84193"/>
    <w:rsid w:val="00B8440F"/>
    <w:rsid w:val="00B84465"/>
    <w:rsid w:val="00B84882"/>
    <w:rsid w:val="00B84B6A"/>
    <w:rsid w:val="00B84E30"/>
    <w:rsid w:val="00B85050"/>
    <w:rsid w:val="00B85E78"/>
    <w:rsid w:val="00B866BC"/>
    <w:rsid w:val="00B86B82"/>
    <w:rsid w:val="00B87619"/>
    <w:rsid w:val="00B87806"/>
    <w:rsid w:val="00B87D07"/>
    <w:rsid w:val="00B87EF9"/>
    <w:rsid w:val="00B87FE1"/>
    <w:rsid w:val="00B905F7"/>
    <w:rsid w:val="00B90B32"/>
    <w:rsid w:val="00B90B3C"/>
    <w:rsid w:val="00B9180D"/>
    <w:rsid w:val="00B920D2"/>
    <w:rsid w:val="00B927A3"/>
    <w:rsid w:val="00B92974"/>
    <w:rsid w:val="00B92BF8"/>
    <w:rsid w:val="00B92E70"/>
    <w:rsid w:val="00B93212"/>
    <w:rsid w:val="00B9326E"/>
    <w:rsid w:val="00B932F2"/>
    <w:rsid w:val="00B9348E"/>
    <w:rsid w:val="00B93A7F"/>
    <w:rsid w:val="00B93DCC"/>
    <w:rsid w:val="00B947B5"/>
    <w:rsid w:val="00B94958"/>
    <w:rsid w:val="00B949C4"/>
    <w:rsid w:val="00B95CCA"/>
    <w:rsid w:val="00B96044"/>
    <w:rsid w:val="00B9654B"/>
    <w:rsid w:val="00B96AB6"/>
    <w:rsid w:val="00B96DA5"/>
    <w:rsid w:val="00B97038"/>
    <w:rsid w:val="00B973E8"/>
    <w:rsid w:val="00B97836"/>
    <w:rsid w:val="00BA0084"/>
    <w:rsid w:val="00BA0586"/>
    <w:rsid w:val="00BA0E29"/>
    <w:rsid w:val="00BA0F45"/>
    <w:rsid w:val="00BA116F"/>
    <w:rsid w:val="00BA18B5"/>
    <w:rsid w:val="00BA19A6"/>
    <w:rsid w:val="00BA19D7"/>
    <w:rsid w:val="00BA1AAC"/>
    <w:rsid w:val="00BA1DDA"/>
    <w:rsid w:val="00BA1E6F"/>
    <w:rsid w:val="00BA2178"/>
    <w:rsid w:val="00BA25A4"/>
    <w:rsid w:val="00BA2742"/>
    <w:rsid w:val="00BA2B48"/>
    <w:rsid w:val="00BA35CE"/>
    <w:rsid w:val="00BA35D2"/>
    <w:rsid w:val="00BA37A8"/>
    <w:rsid w:val="00BA37CD"/>
    <w:rsid w:val="00BA3F14"/>
    <w:rsid w:val="00BA4D9A"/>
    <w:rsid w:val="00BA503E"/>
    <w:rsid w:val="00BA5D0A"/>
    <w:rsid w:val="00BA5E8E"/>
    <w:rsid w:val="00BA6BC3"/>
    <w:rsid w:val="00BA6DC9"/>
    <w:rsid w:val="00BA737B"/>
    <w:rsid w:val="00BA76E8"/>
    <w:rsid w:val="00BA7A6D"/>
    <w:rsid w:val="00BA7CF2"/>
    <w:rsid w:val="00BA7FB5"/>
    <w:rsid w:val="00BB00CF"/>
    <w:rsid w:val="00BB0594"/>
    <w:rsid w:val="00BB0852"/>
    <w:rsid w:val="00BB0F63"/>
    <w:rsid w:val="00BB1045"/>
    <w:rsid w:val="00BB108C"/>
    <w:rsid w:val="00BB19F9"/>
    <w:rsid w:val="00BB1CC8"/>
    <w:rsid w:val="00BB1D43"/>
    <w:rsid w:val="00BB1EBB"/>
    <w:rsid w:val="00BB2E31"/>
    <w:rsid w:val="00BB34A1"/>
    <w:rsid w:val="00BB368E"/>
    <w:rsid w:val="00BB369E"/>
    <w:rsid w:val="00BB3F40"/>
    <w:rsid w:val="00BB4019"/>
    <w:rsid w:val="00BB4A34"/>
    <w:rsid w:val="00BB58D0"/>
    <w:rsid w:val="00BB5FFA"/>
    <w:rsid w:val="00BB6300"/>
    <w:rsid w:val="00BB6337"/>
    <w:rsid w:val="00BB680E"/>
    <w:rsid w:val="00BB6A5F"/>
    <w:rsid w:val="00BB752C"/>
    <w:rsid w:val="00BB760D"/>
    <w:rsid w:val="00BB7B34"/>
    <w:rsid w:val="00BB7F11"/>
    <w:rsid w:val="00BC03E4"/>
    <w:rsid w:val="00BC03F4"/>
    <w:rsid w:val="00BC0F9D"/>
    <w:rsid w:val="00BC104C"/>
    <w:rsid w:val="00BC19E1"/>
    <w:rsid w:val="00BC1B47"/>
    <w:rsid w:val="00BC1B7C"/>
    <w:rsid w:val="00BC1D19"/>
    <w:rsid w:val="00BC1D62"/>
    <w:rsid w:val="00BC2526"/>
    <w:rsid w:val="00BC3064"/>
    <w:rsid w:val="00BC32E9"/>
    <w:rsid w:val="00BC351A"/>
    <w:rsid w:val="00BC3A05"/>
    <w:rsid w:val="00BC3A78"/>
    <w:rsid w:val="00BC41E5"/>
    <w:rsid w:val="00BC4695"/>
    <w:rsid w:val="00BC4778"/>
    <w:rsid w:val="00BC479F"/>
    <w:rsid w:val="00BC48CE"/>
    <w:rsid w:val="00BC4C6B"/>
    <w:rsid w:val="00BC4D7C"/>
    <w:rsid w:val="00BC6139"/>
    <w:rsid w:val="00BC65A7"/>
    <w:rsid w:val="00BC6E04"/>
    <w:rsid w:val="00BC6EB2"/>
    <w:rsid w:val="00BC746E"/>
    <w:rsid w:val="00BC7B50"/>
    <w:rsid w:val="00BD036E"/>
    <w:rsid w:val="00BD03B0"/>
    <w:rsid w:val="00BD0697"/>
    <w:rsid w:val="00BD07EE"/>
    <w:rsid w:val="00BD2042"/>
    <w:rsid w:val="00BD24B6"/>
    <w:rsid w:val="00BD27AF"/>
    <w:rsid w:val="00BD2AA1"/>
    <w:rsid w:val="00BD31FF"/>
    <w:rsid w:val="00BD380F"/>
    <w:rsid w:val="00BD3866"/>
    <w:rsid w:val="00BD4074"/>
    <w:rsid w:val="00BD4854"/>
    <w:rsid w:val="00BD4E4A"/>
    <w:rsid w:val="00BD5018"/>
    <w:rsid w:val="00BD5084"/>
    <w:rsid w:val="00BD5635"/>
    <w:rsid w:val="00BD5748"/>
    <w:rsid w:val="00BD59DD"/>
    <w:rsid w:val="00BD6723"/>
    <w:rsid w:val="00BD6746"/>
    <w:rsid w:val="00BD67AA"/>
    <w:rsid w:val="00BD6979"/>
    <w:rsid w:val="00BD6ECE"/>
    <w:rsid w:val="00BD6F97"/>
    <w:rsid w:val="00BD72B4"/>
    <w:rsid w:val="00BD76C8"/>
    <w:rsid w:val="00BD7F76"/>
    <w:rsid w:val="00BE09F0"/>
    <w:rsid w:val="00BE0A5B"/>
    <w:rsid w:val="00BE20F7"/>
    <w:rsid w:val="00BE27CC"/>
    <w:rsid w:val="00BE2935"/>
    <w:rsid w:val="00BE2ECC"/>
    <w:rsid w:val="00BE32CF"/>
    <w:rsid w:val="00BE5F08"/>
    <w:rsid w:val="00BE6EF4"/>
    <w:rsid w:val="00BE7323"/>
    <w:rsid w:val="00BE74BD"/>
    <w:rsid w:val="00BE7CD3"/>
    <w:rsid w:val="00BF0033"/>
    <w:rsid w:val="00BF0A04"/>
    <w:rsid w:val="00BF1AF8"/>
    <w:rsid w:val="00BF25F6"/>
    <w:rsid w:val="00BF26A4"/>
    <w:rsid w:val="00BF4007"/>
    <w:rsid w:val="00BF44B6"/>
    <w:rsid w:val="00BF4B8F"/>
    <w:rsid w:val="00BF4FC6"/>
    <w:rsid w:val="00BF5230"/>
    <w:rsid w:val="00BF528F"/>
    <w:rsid w:val="00BF59A2"/>
    <w:rsid w:val="00BF5C18"/>
    <w:rsid w:val="00BF5EA3"/>
    <w:rsid w:val="00BF60CA"/>
    <w:rsid w:val="00BF6287"/>
    <w:rsid w:val="00BF648C"/>
    <w:rsid w:val="00BF67F5"/>
    <w:rsid w:val="00BF6829"/>
    <w:rsid w:val="00BF6B83"/>
    <w:rsid w:val="00BF6EAB"/>
    <w:rsid w:val="00BF7230"/>
    <w:rsid w:val="00BF780D"/>
    <w:rsid w:val="00BF7C06"/>
    <w:rsid w:val="00BF7F1C"/>
    <w:rsid w:val="00C0042C"/>
    <w:rsid w:val="00C0075D"/>
    <w:rsid w:val="00C00FDE"/>
    <w:rsid w:val="00C017FD"/>
    <w:rsid w:val="00C01BFA"/>
    <w:rsid w:val="00C01C21"/>
    <w:rsid w:val="00C01C53"/>
    <w:rsid w:val="00C01CFD"/>
    <w:rsid w:val="00C01D4D"/>
    <w:rsid w:val="00C0209A"/>
    <w:rsid w:val="00C0219C"/>
    <w:rsid w:val="00C02752"/>
    <w:rsid w:val="00C02AAE"/>
    <w:rsid w:val="00C031C3"/>
    <w:rsid w:val="00C036B0"/>
    <w:rsid w:val="00C039DF"/>
    <w:rsid w:val="00C03C56"/>
    <w:rsid w:val="00C0401C"/>
    <w:rsid w:val="00C0457F"/>
    <w:rsid w:val="00C0477D"/>
    <w:rsid w:val="00C050FA"/>
    <w:rsid w:val="00C05186"/>
    <w:rsid w:val="00C05401"/>
    <w:rsid w:val="00C05941"/>
    <w:rsid w:val="00C062E0"/>
    <w:rsid w:val="00C068EC"/>
    <w:rsid w:val="00C07DE6"/>
    <w:rsid w:val="00C07F95"/>
    <w:rsid w:val="00C1067B"/>
    <w:rsid w:val="00C10A65"/>
    <w:rsid w:val="00C10C0B"/>
    <w:rsid w:val="00C10D2A"/>
    <w:rsid w:val="00C11397"/>
    <w:rsid w:val="00C114B2"/>
    <w:rsid w:val="00C114E7"/>
    <w:rsid w:val="00C1160A"/>
    <w:rsid w:val="00C11EC6"/>
    <w:rsid w:val="00C12C14"/>
    <w:rsid w:val="00C132CA"/>
    <w:rsid w:val="00C13359"/>
    <w:rsid w:val="00C13B2E"/>
    <w:rsid w:val="00C13C7D"/>
    <w:rsid w:val="00C13DC5"/>
    <w:rsid w:val="00C14B71"/>
    <w:rsid w:val="00C14B9C"/>
    <w:rsid w:val="00C14BDF"/>
    <w:rsid w:val="00C1544F"/>
    <w:rsid w:val="00C16939"/>
    <w:rsid w:val="00C16EC1"/>
    <w:rsid w:val="00C1731C"/>
    <w:rsid w:val="00C176D0"/>
    <w:rsid w:val="00C20142"/>
    <w:rsid w:val="00C203C1"/>
    <w:rsid w:val="00C21340"/>
    <w:rsid w:val="00C21349"/>
    <w:rsid w:val="00C21679"/>
    <w:rsid w:val="00C22BB3"/>
    <w:rsid w:val="00C2363E"/>
    <w:rsid w:val="00C2369E"/>
    <w:rsid w:val="00C23816"/>
    <w:rsid w:val="00C240F2"/>
    <w:rsid w:val="00C25305"/>
    <w:rsid w:val="00C25798"/>
    <w:rsid w:val="00C257BB"/>
    <w:rsid w:val="00C258FC"/>
    <w:rsid w:val="00C25994"/>
    <w:rsid w:val="00C26BC4"/>
    <w:rsid w:val="00C26BE2"/>
    <w:rsid w:val="00C26CA4"/>
    <w:rsid w:val="00C272B7"/>
    <w:rsid w:val="00C300C7"/>
    <w:rsid w:val="00C30596"/>
    <w:rsid w:val="00C3070C"/>
    <w:rsid w:val="00C30942"/>
    <w:rsid w:val="00C30DAE"/>
    <w:rsid w:val="00C314CA"/>
    <w:rsid w:val="00C3168A"/>
    <w:rsid w:val="00C31CC7"/>
    <w:rsid w:val="00C327D1"/>
    <w:rsid w:val="00C33D22"/>
    <w:rsid w:val="00C33D61"/>
    <w:rsid w:val="00C34119"/>
    <w:rsid w:val="00C34531"/>
    <w:rsid w:val="00C3462C"/>
    <w:rsid w:val="00C3492A"/>
    <w:rsid w:val="00C3522B"/>
    <w:rsid w:val="00C356ED"/>
    <w:rsid w:val="00C357C4"/>
    <w:rsid w:val="00C35E46"/>
    <w:rsid w:val="00C35EC7"/>
    <w:rsid w:val="00C35FFB"/>
    <w:rsid w:val="00C36084"/>
    <w:rsid w:val="00C3624D"/>
    <w:rsid w:val="00C36299"/>
    <w:rsid w:val="00C36486"/>
    <w:rsid w:val="00C36554"/>
    <w:rsid w:val="00C368B9"/>
    <w:rsid w:val="00C373C1"/>
    <w:rsid w:val="00C3740A"/>
    <w:rsid w:val="00C37443"/>
    <w:rsid w:val="00C376AD"/>
    <w:rsid w:val="00C3773E"/>
    <w:rsid w:val="00C379B7"/>
    <w:rsid w:val="00C40239"/>
    <w:rsid w:val="00C408EC"/>
    <w:rsid w:val="00C40A76"/>
    <w:rsid w:val="00C40D9B"/>
    <w:rsid w:val="00C416F7"/>
    <w:rsid w:val="00C417B8"/>
    <w:rsid w:val="00C41951"/>
    <w:rsid w:val="00C41A5B"/>
    <w:rsid w:val="00C41AA3"/>
    <w:rsid w:val="00C41EC1"/>
    <w:rsid w:val="00C42235"/>
    <w:rsid w:val="00C425F5"/>
    <w:rsid w:val="00C42885"/>
    <w:rsid w:val="00C42F08"/>
    <w:rsid w:val="00C4320A"/>
    <w:rsid w:val="00C43216"/>
    <w:rsid w:val="00C438CB"/>
    <w:rsid w:val="00C43A87"/>
    <w:rsid w:val="00C43B59"/>
    <w:rsid w:val="00C445E9"/>
    <w:rsid w:val="00C450E6"/>
    <w:rsid w:val="00C462D6"/>
    <w:rsid w:val="00C4654B"/>
    <w:rsid w:val="00C47606"/>
    <w:rsid w:val="00C47B8D"/>
    <w:rsid w:val="00C47DA0"/>
    <w:rsid w:val="00C47E86"/>
    <w:rsid w:val="00C51479"/>
    <w:rsid w:val="00C51628"/>
    <w:rsid w:val="00C51882"/>
    <w:rsid w:val="00C518E2"/>
    <w:rsid w:val="00C51D27"/>
    <w:rsid w:val="00C52510"/>
    <w:rsid w:val="00C53952"/>
    <w:rsid w:val="00C54AD7"/>
    <w:rsid w:val="00C54D42"/>
    <w:rsid w:val="00C54DCD"/>
    <w:rsid w:val="00C5529E"/>
    <w:rsid w:val="00C555CD"/>
    <w:rsid w:val="00C55AD1"/>
    <w:rsid w:val="00C55B02"/>
    <w:rsid w:val="00C55C88"/>
    <w:rsid w:val="00C567D7"/>
    <w:rsid w:val="00C56FD0"/>
    <w:rsid w:val="00C571F8"/>
    <w:rsid w:val="00C577C0"/>
    <w:rsid w:val="00C577CC"/>
    <w:rsid w:val="00C5783E"/>
    <w:rsid w:val="00C6004C"/>
    <w:rsid w:val="00C607E4"/>
    <w:rsid w:val="00C60961"/>
    <w:rsid w:val="00C60B2A"/>
    <w:rsid w:val="00C61CBE"/>
    <w:rsid w:val="00C61FA7"/>
    <w:rsid w:val="00C6229A"/>
    <w:rsid w:val="00C6249F"/>
    <w:rsid w:val="00C62683"/>
    <w:rsid w:val="00C6276D"/>
    <w:rsid w:val="00C627BD"/>
    <w:rsid w:val="00C62C59"/>
    <w:rsid w:val="00C63A6A"/>
    <w:rsid w:val="00C64402"/>
    <w:rsid w:val="00C64CB4"/>
    <w:rsid w:val="00C64D5B"/>
    <w:rsid w:val="00C65345"/>
    <w:rsid w:val="00C6545A"/>
    <w:rsid w:val="00C65681"/>
    <w:rsid w:val="00C65756"/>
    <w:rsid w:val="00C65A4D"/>
    <w:rsid w:val="00C65CD0"/>
    <w:rsid w:val="00C65E55"/>
    <w:rsid w:val="00C65E62"/>
    <w:rsid w:val="00C664C2"/>
    <w:rsid w:val="00C6718F"/>
    <w:rsid w:val="00C701C6"/>
    <w:rsid w:val="00C70696"/>
    <w:rsid w:val="00C70BC5"/>
    <w:rsid w:val="00C70CF6"/>
    <w:rsid w:val="00C70FFB"/>
    <w:rsid w:val="00C71014"/>
    <w:rsid w:val="00C71469"/>
    <w:rsid w:val="00C73853"/>
    <w:rsid w:val="00C73BDB"/>
    <w:rsid w:val="00C740C8"/>
    <w:rsid w:val="00C7421A"/>
    <w:rsid w:val="00C7437D"/>
    <w:rsid w:val="00C74987"/>
    <w:rsid w:val="00C74C80"/>
    <w:rsid w:val="00C74C8B"/>
    <w:rsid w:val="00C753CB"/>
    <w:rsid w:val="00C75C04"/>
    <w:rsid w:val="00C76271"/>
    <w:rsid w:val="00C762C1"/>
    <w:rsid w:val="00C76E7C"/>
    <w:rsid w:val="00C774AB"/>
    <w:rsid w:val="00C77F17"/>
    <w:rsid w:val="00C804E1"/>
    <w:rsid w:val="00C804EB"/>
    <w:rsid w:val="00C806A7"/>
    <w:rsid w:val="00C80F1E"/>
    <w:rsid w:val="00C80FB9"/>
    <w:rsid w:val="00C81440"/>
    <w:rsid w:val="00C81AC3"/>
    <w:rsid w:val="00C81F6C"/>
    <w:rsid w:val="00C8243F"/>
    <w:rsid w:val="00C82BBA"/>
    <w:rsid w:val="00C82C1B"/>
    <w:rsid w:val="00C83CB7"/>
    <w:rsid w:val="00C84099"/>
    <w:rsid w:val="00C8418F"/>
    <w:rsid w:val="00C844A9"/>
    <w:rsid w:val="00C84FC9"/>
    <w:rsid w:val="00C857A0"/>
    <w:rsid w:val="00C8721C"/>
    <w:rsid w:val="00C87375"/>
    <w:rsid w:val="00C87430"/>
    <w:rsid w:val="00C87446"/>
    <w:rsid w:val="00C87671"/>
    <w:rsid w:val="00C87A38"/>
    <w:rsid w:val="00C87E2D"/>
    <w:rsid w:val="00C87EBD"/>
    <w:rsid w:val="00C90509"/>
    <w:rsid w:val="00C90DEB"/>
    <w:rsid w:val="00C91539"/>
    <w:rsid w:val="00C91D80"/>
    <w:rsid w:val="00C924B3"/>
    <w:rsid w:val="00C92E4A"/>
    <w:rsid w:val="00C92FC3"/>
    <w:rsid w:val="00C93065"/>
    <w:rsid w:val="00C930BA"/>
    <w:rsid w:val="00C933CC"/>
    <w:rsid w:val="00C936D6"/>
    <w:rsid w:val="00C94AE6"/>
    <w:rsid w:val="00C94D5D"/>
    <w:rsid w:val="00C959D9"/>
    <w:rsid w:val="00C95D1C"/>
    <w:rsid w:val="00C960CD"/>
    <w:rsid w:val="00C960D4"/>
    <w:rsid w:val="00C96440"/>
    <w:rsid w:val="00C968A8"/>
    <w:rsid w:val="00C972E7"/>
    <w:rsid w:val="00C976CA"/>
    <w:rsid w:val="00C97910"/>
    <w:rsid w:val="00C97BC6"/>
    <w:rsid w:val="00CA03D1"/>
    <w:rsid w:val="00CA0B8B"/>
    <w:rsid w:val="00CA0D1A"/>
    <w:rsid w:val="00CA1167"/>
    <w:rsid w:val="00CA1A29"/>
    <w:rsid w:val="00CA1CB3"/>
    <w:rsid w:val="00CA1EF0"/>
    <w:rsid w:val="00CA21CE"/>
    <w:rsid w:val="00CA253D"/>
    <w:rsid w:val="00CA2669"/>
    <w:rsid w:val="00CA286B"/>
    <w:rsid w:val="00CA28B2"/>
    <w:rsid w:val="00CA2DF0"/>
    <w:rsid w:val="00CA446A"/>
    <w:rsid w:val="00CA4A7E"/>
    <w:rsid w:val="00CA4D08"/>
    <w:rsid w:val="00CA4F90"/>
    <w:rsid w:val="00CA4FCB"/>
    <w:rsid w:val="00CA560B"/>
    <w:rsid w:val="00CA6A0D"/>
    <w:rsid w:val="00CA75EE"/>
    <w:rsid w:val="00CA7AB5"/>
    <w:rsid w:val="00CB037E"/>
    <w:rsid w:val="00CB085A"/>
    <w:rsid w:val="00CB0B0D"/>
    <w:rsid w:val="00CB123F"/>
    <w:rsid w:val="00CB1466"/>
    <w:rsid w:val="00CB178F"/>
    <w:rsid w:val="00CB2236"/>
    <w:rsid w:val="00CB2325"/>
    <w:rsid w:val="00CB3417"/>
    <w:rsid w:val="00CB386E"/>
    <w:rsid w:val="00CB3B57"/>
    <w:rsid w:val="00CB3F76"/>
    <w:rsid w:val="00CB4084"/>
    <w:rsid w:val="00CB4C38"/>
    <w:rsid w:val="00CB5672"/>
    <w:rsid w:val="00CB5E02"/>
    <w:rsid w:val="00CB6203"/>
    <w:rsid w:val="00CB6B5E"/>
    <w:rsid w:val="00CB76C7"/>
    <w:rsid w:val="00CB7F3C"/>
    <w:rsid w:val="00CC0846"/>
    <w:rsid w:val="00CC0983"/>
    <w:rsid w:val="00CC09C3"/>
    <w:rsid w:val="00CC0BE8"/>
    <w:rsid w:val="00CC0C2C"/>
    <w:rsid w:val="00CC1622"/>
    <w:rsid w:val="00CC1F14"/>
    <w:rsid w:val="00CC3092"/>
    <w:rsid w:val="00CC32D9"/>
    <w:rsid w:val="00CC3345"/>
    <w:rsid w:val="00CC3822"/>
    <w:rsid w:val="00CC39A2"/>
    <w:rsid w:val="00CC3ADE"/>
    <w:rsid w:val="00CC3E56"/>
    <w:rsid w:val="00CC45FD"/>
    <w:rsid w:val="00CC4602"/>
    <w:rsid w:val="00CC485A"/>
    <w:rsid w:val="00CC4EFA"/>
    <w:rsid w:val="00CC56BD"/>
    <w:rsid w:val="00CC6419"/>
    <w:rsid w:val="00CC6692"/>
    <w:rsid w:val="00CC66E1"/>
    <w:rsid w:val="00CC70E7"/>
    <w:rsid w:val="00CC7C9C"/>
    <w:rsid w:val="00CD071B"/>
    <w:rsid w:val="00CD0CB6"/>
    <w:rsid w:val="00CD0FED"/>
    <w:rsid w:val="00CD1922"/>
    <w:rsid w:val="00CD22DF"/>
    <w:rsid w:val="00CD2E48"/>
    <w:rsid w:val="00CD32EF"/>
    <w:rsid w:val="00CD34DB"/>
    <w:rsid w:val="00CD34F8"/>
    <w:rsid w:val="00CD3993"/>
    <w:rsid w:val="00CD490E"/>
    <w:rsid w:val="00CD4F38"/>
    <w:rsid w:val="00CD5564"/>
    <w:rsid w:val="00CD65E4"/>
    <w:rsid w:val="00CD7371"/>
    <w:rsid w:val="00CD7673"/>
    <w:rsid w:val="00CD77C9"/>
    <w:rsid w:val="00CE030F"/>
    <w:rsid w:val="00CE0587"/>
    <w:rsid w:val="00CE0A40"/>
    <w:rsid w:val="00CE0B73"/>
    <w:rsid w:val="00CE0C8D"/>
    <w:rsid w:val="00CE0EC4"/>
    <w:rsid w:val="00CE0F67"/>
    <w:rsid w:val="00CE1BEB"/>
    <w:rsid w:val="00CE1FA0"/>
    <w:rsid w:val="00CE2034"/>
    <w:rsid w:val="00CE264E"/>
    <w:rsid w:val="00CE2A4C"/>
    <w:rsid w:val="00CE2F54"/>
    <w:rsid w:val="00CE2F9D"/>
    <w:rsid w:val="00CE32B1"/>
    <w:rsid w:val="00CE3621"/>
    <w:rsid w:val="00CE375C"/>
    <w:rsid w:val="00CE3804"/>
    <w:rsid w:val="00CE3BEC"/>
    <w:rsid w:val="00CE4003"/>
    <w:rsid w:val="00CE4043"/>
    <w:rsid w:val="00CE4394"/>
    <w:rsid w:val="00CE458C"/>
    <w:rsid w:val="00CE4D04"/>
    <w:rsid w:val="00CE5376"/>
    <w:rsid w:val="00CE54AC"/>
    <w:rsid w:val="00CE584D"/>
    <w:rsid w:val="00CE5CFF"/>
    <w:rsid w:val="00CE63C1"/>
    <w:rsid w:val="00CE66F8"/>
    <w:rsid w:val="00CE6C2E"/>
    <w:rsid w:val="00CE6C53"/>
    <w:rsid w:val="00CE7BF3"/>
    <w:rsid w:val="00CE7E2E"/>
    <w:rsid w:val="00CF0366"/>
    <w:rsid w:val="00CF036E"/>
    <w:rsid w:val="00CF0E9E"/>
    <w:rsid w:val="00CF1231"/>
    <w:rsid w:val="00CF16EF"/>
    <w:rsid w:val="00CF1BB2"/>
    <w:rsid w:val="00CF1E03"/>
    <w:rsid w:val="00CF25AC"/>
    <w:rsid w:val="00CF2671"/>
    <w:rsid w:val="00CF29FE"/>
    <w:rsid w:val="00CF2EA6"/>
    <w:rsid w:val="00CF2F51"/>
    <w:rsid w:val="00CF3628"/>
    <w:rsid w:val="00CF3BAB"/>
    <w:rsid w:val="00CF3F27"/>
    <w:rsid w:val="00CF4236"/>
    <w:rsid w:val="00CF4960"/>
    <w:rsid w:val="00CF5021"/>
    <w:rsid w:val="00CF599B"/>
    <w:rsid w:val="00CF5CEF"/>
    <w:rsid w:val="00CF5FE9"/>
    <w:rsid w:val="00CF6CB7"/>
    <w:rsid w:val="00CF7813"/>
    <w:rsid w:val="00CF7EB7"/>
    <w:rsid w:val="00CF7F64"/>
    <w:rsid w:val="00D00110"/>
    <w:rsid w:val="00D00124"/>
    <w:rsid w:val="00D004F7"/>
    <w:rsid w:val="00D0085E"/>
    <w:rsid w:val="00D00C83"/>
    <w:rsid w:val="00D011E0"/>
    <w:rsid w:val="00D0138F"/>
    <w:rsid w:val="00D01AF0"/>
    <w:rsid w:val="00D025CE"/>
    <w:rsid w:val="00D02883"/>
    <w:rsid w:val="00D02B89"/>
    <w:rsid w:val="00D02C53"/>
    <w:rsid w:val="00D02FC3"/>
    <w:rsid w:val="00D03531"/>
    <w:rsid w:val="00D03E8A"/>
    <w:rsid w:val="00D03FA5"/>
    <w:rsid w:val="00D04057"/>
    <w:rsid w:val="00D042F7"/>
    <w:rsid w:val="00D0442A"/>
    <w:rsid w:val="00D0450B"/>
    <w:rsid w:val="00D0494B"/>
    <w:rsid w:val="00D04965"/>
    <w:rsid w:val="00D04CAB"/>
    <w:rsid w:val="00D04E7A"/>
    <w:rsid w:val="00D0502B"/>
    <w:rsid w:val="00D05317"/>
    <w:rsid w:val="00D06D03"/>
    <w:rsid w:val="00D07439"/>
    <w:rsid w:val="00D075BC"/>
    <w:rsid w:val="00D075FD"/>
    <w:rsid w:val="00D101AA"/>
    <w:rsid w:val="00D101F5"/>
    <w:rsid w:val="00D10AC5"/>
    <w:rsid w:val="00D10B9D"/>
    <w:rsid w:val="00D10DC6"/>
    <w:rsid w:val="00D11268"/>
    <w:rsid w:val="00D1132A"/>
    <w:rsid w:val="00D11A75"/>
    <w:rsid w:val="00D11D36"/>
    <w:rsid w:val="00D11D9A"/>
    <w:rsid w:val="00D123A8"/>
    <w:rsid w:val="00D131BC"/>
    <w:rsid w:val="00D13792"/>
    <w:rsid w:val="00D13CAC"/>
    <w:rsid w:val="00D14189"/>
    <w:rsid w:val="00D14253"/>
    <w:rsid w:val="00D14398"/>
    <w:rsid w:val="00D1445B"/>
    <w:rsid w:val="00D14A37"/>
    <w:rsid w:val="00D15C33"/>
    <w:rsid w:val="00D1618A"/>
    <w:rsid w:val="00D163B9"/>
    <w:rsid w:val="00D164E6"/>
    <w:rsid w:val="00D168CC"/>
    <w:rsid w:val="00D16AF8"/>
    <w:rsid w:val="00D16CE0"/>
    <w:rsid w:val="00D16F2C"/>
    <w:rsid w:val="00D173BB"/>
    <w:rsid w:val="00D17CF1"/>
    <w:rsid w:val="00D17D5F"/>
    <w:rsid w:val="00D211D4"/>
    <w:rsid w:val="00D21213"/>
    <w:rsid w:val="00D21362"/>
    <w:rsid w:val="00D219B1"/>
    <w:rsid w:val="00D21D11"/>
    <w:rsid w:val="00D2224B"/>
    <w:rsid w:val="00D2230A"/>
    <w:rsid w:val="00D22D33"/>
    <w:rsid w:val="00D23104"/>
    <w:rsid w:val="00D23481"/>
    <w:rsid w:val="00D23616"/>
    <w:rsid w:val="00D239FE"/>
    <w:rsid w:val="00D23CD0"/>
    <w:rsid w:val="00D23DBA"/>
    <w:rsid w:val="00D24DC4"/>
    <w:rsid w:val="00D2546C"/>
    <w:rsid w:val="00D26799"/>
    <w:rsid w:val="00D26ADE"/>
    <w:rsid w:val="00D26AEB"/>
    <w:rsid w:val="00D274EF"/>
    <w:rsid w:val="00D27D03"/>
    <w:rsid w:val="00D302DC"/>
    <w:rsid w:val="00D30BF1"/>
    <w:rsid w:val="00D30DD3"/>
    <w:rsid w:val="00D310E8"/>
    <w:rsid w:val="00D311AB"/>
    <w:rsid w:val="00D318DB"/>
    <w:rsid w:val="00D32763"/>
    <w:rsid w:val="00D32848"/>
    <w:rsid w:val="00D32E3C"/>
    <w:rsid w:val="00D33834"/>
    <w:rsid w:val="00D33ADA"/>
    <w:rsid w:val="00D33BDE"/>
    <w:rsid w:val="00D34C77"/>
    <w:rsid w:val="00D34D9C"/>
    <w:rsid w:val="00D35776"/>
    <w:rsid w:val="00D357D0"/>
    <w:rsid w:val="00D35CF6"/>
    <w:rsid w:val="00D36299"/>
    <w:rsid w:val="00D36FBA"/>
    <w:rsid w:val="00D407B2"/>
    <w:rsid w:val="00D407B4"/>
    <w:rsid w:val="00D40856"/>
    <w:rsid w:val="00D40D40"/>
    <w:rsid w:val="00D412C1"/>
    <w:rsid w:val="00D41ACE"/>
    <w:rsid w:val="00D41E0A"/>
    <w:rsid w:val="00D4317B"/>
    <w:rsid w:val="00D4361A"/>
    <w:rsid w:val="00D43C00"/>
    <w:rsid w:val="00D44007"/>
    <w:rsid w:val="00D44384"/>
    <w:rsid w:val="00D44569"/>
    <w:rsid w:val="00D453FF"/>
    <w:rsid w:val="00D45544"/>
    <w:rsid w:val="00D45C46"/>
    <w:rsid w:val="00D46944"/>
    <w:rsid w:val="00D472AB"/>
    <w:rsid w:val="00D473DB"/>
    <w:rsid w:val="00D47ACD"/>
    <w:rsid w:val="00D47AEE"/>
    <w:rsid w:val="00D47B6D"/>
    <w:rsid w:val="00D47F7E"/>
    <w:rsid w:val="00D50FBC"/>
    <w:rsid w:val="00D52DD5"/>
    <w:rsid w:val="00D52E18"/>
    <w:rsid w:val="00D534CA"/>
    <w:rsid w:val="00D53B61"/>
    <w:rsid w:val="00D53ED6"/>
    <w:rsid w:val="00D5498C"/>
    <w:rsid w:val="00D549D2"/>
    <w:rsid w:val="00D54BB9"/>
    <w:rsid w:val="00D55317"/>
    <w:rsid w:val="00D55ECF"/>
    <w:rsid w:val="00D5616E"/>
    <w:rsid w:val="00D56522"/>
    <w:rsid w:val="00D5657F"/>
    <w:rsid w:val="00D56D10"/>
    <w:rsid w:val="00D57188"/>
    <w:rsid w:val="00D57C04"/>
    <w:rsid w:val="00D57DD7"/>
    <w:rsid w:val="00D6140A"/>
    <w:rsid w:val="00D615C1"/>
    <w:rsid w:val="00D61BB5"/>
    <w:rsid w:val="00D62488"/>
    <w:rsid w:val="00D63140"/>
    <w:rsid w:val="00D632AB"/>
    <w:rsid w:val="00D637F2"/>
    <w:rsid w:val="00D639F9"/>
    <w:rsid w:val="00D63DBC"/>
    <w:rsid w:val="00D63ED2"/>
    <w:rsid w:val="00D64014"/>
    <w:rsid w:val="00D648D3"/>
    <w:rsid w:val="00D64ACA"/>
    <w:rsid w:val="00D64D5E"/>
    <w:rsid w:val="00D654A1"/>
    <w:rsid w:val="00D662BC"/>
    <w:rsid w:val="00D66764"/>
    <w:rsid w:val="00D66778"/>
    <w:rsid w:val="00D66851"/>
    <w:rsid w:val="00D66DEA"/>
    <w:rsid w:val="00D67254"/>
    <w:rsid w:val="00D67B7A"/>
    <w:rsid w:val="00D7072D"/>
    <w:rsid w:val="00D70D75"/>
    <w:rsid w:val="00D71B2F"/>
    <w:rsid w:val="00D72420"/>
    <w:rsid w:val="00D72677"/>
    <w:rsid w:val="00D72CFA"/>
    <w:rsid w:val="00D72F88"/>
    <w:rsid w:val="00D736A9"/>
    <w:rsid w:val="00D737BD"/>
    <w:rsid w:val="00D738C6"/>
    <w:rsid w:val="00D73954"/>
    <w:rsid w:val="00D73E3E"/>
    <w:rsid w:val="00D73F61"/>
    <w:rsid w:val="00D74083"/>
    <w:rsid w:val="00D744B1"/>
    <w:rsid w:val="00D746AD"/>
    <w:rsid w:val="00D74741"/>
    <w:rsid w:val="00D75C1A"/>
    <w:rsid w:val="00D763B1"/>
    <w:rsid w:val="00D764F6"/>
    <w:rsid w:val="00D76CEC"/>
    <w:rsid w:val="00D76E18"/>
    <w:rsid w:val="00D77158"/>
    <w:rsid w:val="00D77410"/>
    <w:rsid w:val="00D777EF"/>
    <w:rsid w:val="00D8004A"/>
    <w:rsid w:val="00D8044A"/>
    <w:rsid w:val="00D807BC"/>
    <w:rsid w:val="00D8085D"/>
    <w:rsid w:val="00D8088C"/>
    <w:rsid w:val="00D81155"/>
    <w:rsid w:val="00D81D3D"/>
    <w:rsid w:val="00D825E9"/>
    <w:rsid w:val="00D83797"/>
    <w:rsid w:val="00D83E1A"/>
    <w:rsid w:val="00D84208"/>
    <w:rsid w:val="00D8432F"/>
    <w:rsid w:val="00D846DD"/>
    <w:rsid w:val="00D848CE"/>
    <w:rsid w:val="00D84A82"/>
    <w:rsid w:val="00D84C4A"/>
    <w:rsid w:val="00D85094"/>
    <w:rsid w:val="00D850EA"/>
    <w:rsid w:val="00D8524D"/>
    <w:rsid w:val="00D85936"/>
    <w:rsid w:val="00D85A0B"/>
    <w:rsid w:val="00D860FB"/>
    <w:rsid w:val="00D86C86"/>
    <w:rsid w:val="00D871F3"/>
    <w:rsid w:val="00D87CED"/>
    <w:rsid w:val="00D905E3"/>
    <w:rsid w:val="00D90E5B"/>
    <w:rsid w:val="00D90EE9"/>
    <w:rsid w:val="00D9154C"/>
    <w:rsid w:val="00D91C84"/>
    <w:rsid w:val="00D922EB"/>
    <w:rsid w:val="00D9266B"/>
    <w:rsid w:val="00D92735"/>
    <w:rsid w:val="00D93247"/>
    <w:rsid w:val="00D93A47"/>
    <w:rsid w:val="00D93BA7"/>
    <w:rsid w:val="00D93C6F"/>
    <w:rsid w:val="00D94332"/>
    <w:rsid w:val="00D943E9"/>
    <w:rsid w:val="00D945FC"/>
    <w:rsid w:val="00D9505F"/>
    <w:rsid w:val="00D95278"/>
    <w:rsid w:val="00D956A1"/>
    <w:rsid w:val="00D9585B"/>
    <w:rsid w:val="00D95C4E"/>
    <w:rsid w:val="00D95D7F"/>
    <w:rsid w:val="00D95DE1"/>
    <w:rsid w:val="00D95E8D"/>
    <w:rsid w:val="00D9682E"/>
    <w:rsid w:val="00D96BE1"/>
    <w:rsid w:val="00D96F44"/>
    <w:rsid w:val="00D9705A"/>
    <w:rsid w:val="00D97672"/>
    <w:rsid w:val="00D97839"/>
    <w:rsid w:val="00D97872"/>
    <w:rsid w:val="00D978D6"/>
    <w:rsid w:val="00DA0CBC"/>
    <w:rsid w:val="00DA0D47"/>
    <w:rsid w:val="00DA0FE2"/>
    <w:rsid w:val="00DA1572"/>
    <w:rsid w:val="00DA1E21"/>
    <w:rsid w:val="00DA2B98"/>
    <w:rsid w:val="00DA3C75"/>
    <w:rsid w:val="00DA4512"/>
    <w:rsid w:val="00DA4B3F"/>
    <w:rsid w:val="00DA4CB7"/>
    <w:rsid w:val="00DA4D04"/>
    <w:rsid w:val="00DA5364"/>
    <w:rsid w:val="00DA5714"/>
    <w:rsid w:val="00DA5C90"/>
    <w:rsid w:val="00DA5F49"/>
    <w:rsid w:val="00DA73B7"/>
    <w:rsid w:val="00DA796B"/>
    <w:rsid w:val="00DA7D0B"/>
    <w:rsid w:val="00DA7EE2"/>
    <w:rsid w:val="00DB0091"/>
    <w:rsid w:val="00DB0383"/>
    <w:rsid w:val="00DB0742"/>
    <w:rsid w:val="00DB0E98"/>
    <w:rsid w:val="00DB1853"/>
    <w:rsid w:val="00DB1863"/>
    <w:rsid w:val="00DB1C3B"/>
    <w:rsid w:val="00DB1F70"/>
    <w:rsid w:val="00DB1FC8"/>
    <w:rsid w:val="00DB213F"/>
    <w:rsid w:val="00DB26B2"/>
    <w:rsid w:val="00DB2A16"/>
    <w:rsid w:val="00DB2F14"/>
    <w:rsid w:val="00DB3815"/>
    <w:rsid w:val="00DB3B62"/>
    <w:rsid w:val="00DB476C"/>
    <w:rsid w:val="00DB4CF1"/>
    <w:rsid w:val="00DB4D5A"/>
    <w:rsid w:val="00DB4E48"/>
    <w:rsid w:val="00DB5432"/>
    <w:rsid w:val="00DB5E8C"/>
    <w:rsid w:val="00DB5F47"/>
    <w:rsid w:val="00DB6077"/>
    <w:rsid w:val="00DB63DB"/>
    <w:rsid w:val="00DB68EC"/>
    <w:rsid w:val="00DB6AC6"/>
    <w:rsid w:val="00DB738D"/>
    <w:rsid w:val="00DB76DA"/>
    <w:rsid w:val="00DC12BE"/>
    <w:rsid w:val="00DC18F4"/>
    <w:rsid w:val="00DC2616"/>
    <w:rsid w:val="00DC267F"/>
    <w:rsid w:val="00DC3283"/>
    <w:rsid w:val="00DC3495"/>
    <w:rsid w:val="00DC3B90"/>
    <w:rsid w:val="00DC3FA3"/>
    <w:rsid w:val="00DC420D"/>
    <w:rsid w:val="00DC456C"/>
    <w:rsid w:val="00DC480E"/>
    <w:rsid w:val="00DC4F4B"/>
    <w:rsid w:val="00DC53A5"/>
    <w:rsid w:val="00DC55AB"/>
    <w:rsid w:val="00DC5FB9"/>
    <w:rsid w:val="00DC6619"/>
    <w:rsid w:val="00DC6A8F"/>
    <w:rsid w:val="00DC6E5F"/>
    <w:rsid w:val="00DC7467"/>
    <w:rsid w:val="00DC7889"/>
    <w:rsid w:val="00DC78AF"/>
    <w:rsid w:val="00DC79C4"/>
    <w:rsid w:val="00DC79E5"/>
    <w:rsid w:val="00DC7D6D"/>
    <w:rsid w:val="00DD0730"/>
    <w:rsid w:val="00DD0AE0"/>
    <w:rsid w:val="00DD115E"/>
    <w:rsid w:val="00DD198A"/>
    <w:rsid w:val="00DD1BB2"/>
    <w:rsid w:val="00DD1DE8"/>
    <w:rsid w:val="00DD1E54"/>
    <w:rsid w:val="00DD3300"/>
    <w:rsid w:val="00DD4207"/>
    <w:rsid w:val="00DD4B29"/>
    <w:rsid w:val="00DD4EA9"/>
    <w:rsid w:val="00DD4EC7"/>
    <w:rsid w:val="00DD565C"/>
    <w:rsid w:val="00DD5C1B"/>
    <w:rsid w:val="00DD5DE9"/>
    <w:rsid w:val="00DD6577"/>
    <w:rsid w:val="00DD6822"/>
    <w:rsid w:val="00DD6A02"/>
    <w:rsid w:val="00DD6C99"/>
    <w:rsid w:val="00DD6D83"/>
    <w:rsid w:val="00DD7C6C"/>
    <w:rsid w:val="00DE01F4"/>
    <w:rsid w:val="00DE066D"/>
    <w:rsid w:val="00DE0698"/>
    <w:rsid w:val="00DE07D7"/>
    <w:rsid w:val="00DE0F9F"/>
    <w:rsid w:val="00DE1490"/>
    <w:rsid w:val="00DE14DA"/>
    <w:rsid w:val="00DE1C4E"/>
    <w:rsid w:val="00DE21F0"/>
    <w:rsid w:val="00DE23FD"/>
    <w:rsid w:val="00DE27D8"/>
    <w:rsid w:val="00DE38A9"/>
    <w:rsid w:val="00DE4350"/>
    <w:rsid w:val="00DE4399"/>
    <w:rsid w:val="00DE4A48"/>
    <w:rsid w:val="00DE4DC8"/>
    <w:rsid w:val="00DE56F9"/>
    <w:rsid w:val="00DE5787"/>
    <w:rsid w:val="00DE5886"/>
    <w:rsid w:val="00DE594B"/>
    <w:rsid w:val="00DE5A9B"/>
    <w:rsid w:val="00DE5B1E"/>
    <w:rsid w:val="00DE6303"/>
    <w:rsid w:val="00DE78C9"/>
    <w:rsid w:val="00DE79B0"/>
    <w:rsid w:val="00DE7E55"/>
    <w:rsid w:val="00DF03A5"/>
    <w:rsid w:val="00DF0CE3"/>
    <w:rsid w:val="00DF0F44"/>
    <w:rsid w:val="00DF1120"/>
    <w:rsid w:val="00DF13E4"/>
    <w:rsid w:val="00DF2153"/>
    <w:rsid w:val="00DF2783"/>
    <w:rsid w:val="00DF2C98"/>
    <w:rsid w:val="00DF3384"/>
    <w:rsid w:val="00DF33D5"/>
    <w:rsid w:val="00DF33E9"/>
    <w:rsid w:val="00DF3512"/>
    <w:rsid w:val="00DF3591"/>
    <w:rsid w:val="00DF3B48"/>
    <w:rsid w:val="00DF426A"/>
    <w:rsid w:val="00DF4BF9"/>
    <w:rsid w:val="00DF5412"/>
    <w:rsid w:val="00DF5A97"/>
    <w:rsid w:val="00DF5EDB"/>
    <w:rsid w:val="00DF5F54"/>
    <w:rsid w:val="00DF6870"/>
    <w:rsid w:val="00DF74E0"/>
    <w:rsid w:val="00DF786C"/>
    <w:rsid w:val="00DF7970"/>
    <w:rsid w:val="00DF799A"/>
    <w:rsid w:val="00E0004B"/>
    <w:rsid w:val="00E00482"/>
    <w:rsid w:val="00E0048B"/>
    <w:rsid w:val="00E014E1"/>
    <w:rsid w:val="00E01553"/>
    <w:rsid w:val="00E0171E"/>
    <w:rsid w:val="00E01F67"/>
    <w:rsid w:val="00E02108"/>
    <w:rsid w:val="00E02300"/>
    <w:rsid w:val="00E028A1"/>
    <w:rsid w:val="00E02D4B"/>
    <w:rsid w:val="00E03A68"/>
    <w:rsid w:val="00E03A9C"/>
    <w:rsid w:val="00E05070"/>
    <w:rsid w:val="00E0538A"/>
    <w:rsid w:val="00E054CB"/>
    <w:rsid w:val="00E05A6A"/>
    <w:rsid w:val="00E05A90"/>
    <w:rsid w:val="00E060EB"/>
    <w:rsid w:val="00E06431"/>
    <w:rsid w:val="00E06700"/>
    <w:rsid w:val="00E06C87"/>
    <w:rsid w:val="00E06E77"/>
    <w:rsid w:val="00E06F03"/>
    <w:rsid w:val="00E070AF"/>
    <w:rsid w:val="00E07665"/>
    <w:rsid w:val="00E0774F"/>
    <w:rsid w:val="00E07C16"/>
    <w:rsid w:val="00E1047C"/>
    <w:rsid w:val="00E10A20"/>
    <w:rsid w:val="00E10BE9"/>
    <w:rsid w:val="00E10C9C"/>
    <w:rsid w:val="00E10F9A"/>
    <w:rsid w:val="00E1106C"/>
    <w:rsid w:val="00E1173B"/>
    <w:rsid w:val="00E11B30"/>
    <w:rsid w:val="00E11BC4"/>
    <w:rsid w:val="00E11C2E"/>
    <w:rsid w:val="00E12386"/>
    <w:rsid w:val="00E124A7"/>
    <w:rsid w:val="00E127D5"/>
    <w:rsid w:val="00E1287E"/>
    <w:rsid w:val="00E12FC6"/>
    <w:rsid w:val="00E145CE"/>
    <w:rsid w:val="00E145E3"/>
    <w:rsid w:val="00E148ED"/>
    <w:rsid w:val="00E1498D"/>
    <w:rsid w:val="00E15011"/>
    <w:rsid w:val="00E15702"/>
    <w:rsid w:val="00E15DB0"/>
    <w:rsid w:val="00E160DF"/>
    <w:rsid w:val="00E1619B"/>
    <w:rsid w:val="00E1624B"/>
    <w:rsid w:val="00E1651C"/>
    <w:rsid w:val="00E1731E"/>
    <w:rsid w:val="00E17456"/>
    <w:rsid w:val="00E175F9"/>
    <w:rsid w:val="00E212C2"/>
    <w:rsid w:val="00E212CC"/>
    <w:rsid w:val="00E2153D"/>
    <w:rsid w:val="00E21ECD"/>
    <w:rsid w:val="00E22D6D"/>
    <w:rsid w:val="00E237BF"/>
    <w:rsid w:val="00E2454B"/>
    <w:rsid w:val="00E24A2A"/>
    <w:rsid w:val="00E25065"/>
    <w:rsid w:val="00E251BC"/>
    <w:rsid w:val="00E25482"/>
    <w:rsid w:val="00E2675D"/>
    <w:rsid w:val="00E269B0"/>
    <w:rsid w:val="00E26A0F"/>
    <w:rsid w:val="00E26C96"/>
    <w:rsid w:val="00E26D69"/>
    <w:rsid w:val="00E275E7"/>
    <w:rsid w:val="00E27623"/>
    <w:rsid w:val="00E276A2"/>
    <w:rsid w:val="00E277C1"/>
    <w:rsid w:val="00E27BFF"/>
    <w:rsid w:val="00E27C22"/>
    <w:rsid w:val="00E30CB1"/>
    <w:rsid w:val="00E30DC0"/>
    <w:rsid w:val="00E314CD"/>
    <w:rsid w:val="00E314EA"/>
    <w:rsid w:val="00E31619"/>
    <w:rsid w:val="00E31C77"/>
    <w:rsid w:val="00E31E0F"/>
    <w:rsid w:val="00E3222C"/>
    <w:rsid w:val="00E32A7C"/>
    <w:rsid w:val="00E32BA0"/>
    <w:rsid w:val="00E32D64"/>
    <w:rsid w:val="00E32DF9"/>
    <w:rsid w:val="00E32F92"/>
    <w:rsid w:val="00E3319D"/>
    <w:rsid w:val="00E3373A"/>
    <w:rsid w:val="00E33865"/>
    <w:rsid w:val="00E33A87"/>
    <w:rsid w:val="00E3458F"/>
    <w:rsid w:val="00E34661"/>
    <w:rsid w:val="00E35C80"/>
    <w:rsid w:val="00E36045"/>
    <w:rsid w:val="00E36446"/>
    <w:rsid w:val="00E36622"/>
    <w:rsid w:val="00E3723D"/>
    <w:rsid w:val="00E373E5"/>
    <w:rsid w:val="00E37993"/>
    <w:rsid w:val="00E4006D"/>
    <w:rsid w:val="00E4015C"/>
    <w:rsid w:val="00E4019D"/>
    <w:rsid w:val="00E401DF"/>
    <w:rsid w:val="00E4026D"/>
    <w:rsid w:val="00E40A16"/>
    <w:rsid w:val="00E40A9A"/>
    <w:rsid w:val="00E41243"/>
    <w:rsid w:val="00E418EE"/>
    <w:rsid w:val="00E4194A"/>
    <w:rsid w:val="00E41B2F"/>
    <w:rsid w:val="00E41DEB"/>
    <w:rsid w:val="00E41E28"/>
    <w:rsid w:val="00E42901"/>
    <w:rsid w:val="00E42EE1"/>
    <w:rsid w:val="00E43CE4"/>
    <w:rsid w:val="00E440A4"/>
    <w:rsid w:val="00E44344"/>
    <w:rsid w:val="00E4437C"/>
    <w:rsid w:val="00E44390"/>
    <w:rsid w:val="00E449F4"/>
    <w:rsid w:val="00E451AD"/>
    <w:rsid w:val="00E4565C"/>
    <w:rsid w:val="00E45748"/>
    <w:rsid w:val="00E45794"/>
    <w:rsid w:val="00E4646B"/>
    <w:rsid w:val="00E464DC"/>
    <w:rsid w:val="00E46857"/>
    <w:rsid w:val="00E46A6C"/>
    <w:rsid w:val="00E47066"/>
    <w:rsid w:val="00E4761E"/>
    <w:rsid w:val="00E47996"/>
    <w:rsid w:val="00E47D96"/>
    <w:rsid w:val="00E50191"/>
    <w:rsid w:val="00E5061F"/>
    <w:rsid w:val="00E506F7"/>
    <w:rsid w:val="00E50981"/>
    <w:rsid w:val="00E512AC"/>
    <w:rsid w:val="00E51331"/>
    <w:rsid w:val="00E51A20"/>
    <w:rsid w:val="00E51DBE"/>
    <w:rsid w:val="00E52488"/>
    <w:rsid w:val="00E525EB"/>
    <w:rsid w:val="00E525FB"/>
    <w:rsid w:val="00E52B63"/>
    <w:rsid w:val="00E52BE6"/>
    <w:rsid w:val="00E52E1E"/>
    <w:rsid w:val="00E53554"/>
    <w:rsid w:val="00E535B6"/>
    <w:rsid w:val="00E53867"/>
    <w:rsid w:val="00E53BFF"/>
    <w:rsid w:val="00E54405"/>
    <w:rsid w:val="00E54C4B"/>
    <w:rsid w:val="00E556DC"/>
    <w:rsid w:val="00E55D67"/>
    <w:rsid w:val="00E55DEA"/>
    <w:rsid w:val="00E55DF0"/>
    <w:rsid w:val="00E56101"/>
    <w:rsid w:val="00E5718A"/>
    <w:rsid w:val="00E57D00"/>
    <w:rsid w:val="00E57D31"/>
    <w:rsid w:val="00E57F3E"/>
    <w:rsid w:val="00E60162"/>
    <w:rsid w:val="00E60351"/>
    <w:rsid w:val="00E60553"/>
    <w:rsid w:val="00E60C34"/>
    <w:rsid w:val="00E60D3B"/>
    <w:rsid w:val="00E60FC8"/>
    <w:rsid w:val="00E61374"/>
    <w:rsid w:val="00E61CE6"/>
    <w:rsid w:val="00E61FD2"/>
    <w:rsid w:val="00E6259D"/>
    <w:rsid w:val="00E63590"/>
    <w:rsid w:val="00E6371E"/>
    <w:rsid w:val="00E6387D"/>
    <w:rsid w:val="00E63C1D"/>
    <w:rsid w:val="00E63CBE"/>
    <w:rsid w:val="00E63DDC"/>
    <w:rsid w:val="00E63EEC"/>
    <w:rsid w:val="00E64418"/>
    <w:rsid w:val="00E6472B"/>
    <w:rsid w:val="00E64B7E"/>
    <w:rsid w:val="00E64BFF"/>
    <w:rsid w:val="00E64E2D"/>
    <w:rsid w:val="00E64ECD"/>
    <w:rsid w:val="00E65D2A"/>
    <w:rsid w:val="00E65D6A"/>
    <w:rsid w:val="00E65DE3"/>
    <w:rsid w:val="00E65EA2"/>
    <w:rsid w:val="00E6603A"/>
    <w:rsid w:val="00E660B8"/>
    <w:rsid w:val="00E664E0"/>
    <w:rsid w:val="00E66502"/>
    <w:rsid w:val="00E66912"/>
    <w:rsid w:val="00E67141"/>
    <w:rsid w:val="00E67C65"/>
    <w:rsid w:val="00E67D1A"/>
    <w:rsid w:val="00E7011A"/>
    <w:rsid w:val="00E70460"/>
    <w:rsid w:val="00E70B9F"/>
    <w:rsid w:val="00E70C98"/>
    <w:rsid w:val="00E70D7E"/>
    <w:rsid w:val="00E70E20"/>
    <w:rsid w:val="00E70FED"/>
    <w:rsid w:val="00E7165B"/>
    <w:rsid w:val="00E716C2"/>
    <w:rsid w:val="00E721FD"/>
    <w:rsid w:val="00E723C6"/>
    <w:rsid w:val="00E72B3C"/>
    <w:rsid w:val="00E72C85"/>
    <w:rsid w:val="00E73DAF"/>
    <w:rsid w:val="00E740D9"/>
    <w:rsid w:val="00E7426D"/>
    <w:rsid w:val="00E742D1"/>
    <w:rsid w:val="00E74F43"/>
    <w:rsid w:val="00E757A8"/>
    <w:rsid w:val="00E7597C"/>
    <w:rsid w:val="00E76117"/>
    <w:rsid w:val="00E76A4E"/>
    <w:rsid w:val="00E76B67"/>
    <w:rsid w:val="00E76D40"/>
    <w:rsid w:val="00E76E43"/>
    <w:rsid w:val="00E77523"/>
    <w:rsid w:val="00E80090"/>
    <w:rsid w:val="00E800E8"/>
    <w:rsid w:val="00E80F11"/>
    <w:rsid w:val="00E814E1"/>
    <w:rsid w:val="00E81575"/>
    <w:rsid w:val="00E82CED"/>
    <w:rsid w:val="00E83281"/>
    <w:rsid w:val="00E8347E"/>
    <w:rsid w:val="00E8459D"/>
    <w:rsid w:val="00E8535C"/>
    <w:rsid w:val="00E85B73"/>
    <w:rsid w:val="00E86ADE"/>
    <w:rsid w:val="00E86C7E"/>
    <w:rsid w:val="00E86EB3"/>
    <w:rsid w:val="00E87422"/>
    <w:rsid w:val="00E8745C"/>
    <w:rsid w:val="00E877C5"/>
    <w:rsid w:val="00E87C3D"/>
    <w:rsid w:val="00E87F98"/>
    <w:rsid w:val="00E9000D"/>
    <w:rsid w:val="00E901C1"/>
    <w:rsid w:val="00E90330"/>
    <w:rsid w:val="00E90750"/>
    <w:rsid w:val="00E908D5"/>
    <w:rsid w:val="00E909BF"/>
    <w:rsid w:val="00E91077"/>
    <w:rsid w:val="00E9121E"/>
    <w:rsid w:val="00E9168C"/>
    <w:rsid w:val="00E91893"/>
    <w:rsid w:val="00E921DB"/>
    <w:rsid w:val="00E92483"/>
    <w:rsid w:val="00E92486"/>
    <w:rsid w:val="00E926BD"/>
    <w:rsid w:val="00E92ADD"/>
    <w:rsid w:val="00E930AA"/>
    <w:rsid w:val="00E93C59"/>
    <w:rsid w:val="00E94829"/>
    <w:rsid w:val="00E94B8E"/>
    <w:rsid w:val="00E94BCD"/>
    <w:rsid w:val="00E951F7"/>
    <w:rsid w:val="00E952DD"/>
    <w:rsid w:val="00E95316"/>
    <w:rsid w:val="00E95AF5"/>
    <w:rsid w:val="00E95DD1"/>
    <w:rsid w:val="00E964FC"/>
    <w:rsid w:val="00EA0366"/>
    <w:rsid w:val="00EA0B6B"/>
    <w:rsid w:val="00EA185E"/>
    <w:rsid w:val="00EA1C12"/>
    <w:rsid w:val="00EA1C17"/>
    <w:rsid w:val="00EA1E1B"/>
    <w:rsid w:val="00EA2998"/>
    <w:rsid w:val="00EA336B"/>
    <w:rsid w:val="00EA34AB"/>
    <w:rsid w:val="00EA44D6"/>
    <w:rsid w:val="00EA44DD"/>
    <w:rsid w:val="00EA4C58"/>
    <w:rsid w:val="00EA4DDD"/>
    <w:rsid w:val="00EA59C3"/>
    <w:rsid w:val="00EA6FE9"/>
    <w:rsid w:val="00EA71FE"/>
    <w:rsid w:val="00EA7499"/>
    <w:rsid w:val="00EB0066"/>
    <w:rsid w:val="00EB1439"/>
    <w:rsid w:val="00EB1833"/>
    <w:rsid w:val="00EB1B38"/>
    <w:rsid w:val="00EB20D9"/>
    <w:rsid w:val="00EB3040"/>
    <w:rsid w:val="00EB34B8"/>
    <w:rsid w:val="00EB3D27"/>
    <w:rsid w:val="00EB3E56"/>
    <w:rsid w:val="00EB45F5"/>
    <w:rsid w:val="00EB493E"/>
    <w:rsid w:val="00EB4A3C"/>
    <w:rsid w:val="00EB4B1A"/>
    <w:rsid w:val="00EB537F"/>
    <w:rsid w:val="00EB59D3"/>
    <w:rsid w:val="00EB59E3"/>
    <w:rsid w:val="00EB5A08"/>
    <w:rsid w:val="00EB5DF3"/>
    <w:rsid w:val="00EB625B"/>
    <w:rsid w:val="00EB6320"/>
    <w:rsid w:val="00EB6ACE"/>
    <w:rsid w:val="00EB6D15"/>
    <w:rsid w:val="00EB72DD"/>
    <w:rsid w:val="00EB73A7"/>
    <w:rsid w:val="00EB7F3F"/>
    <w:rsid w:val="00EC0346"/>
    <w:rsid w:val="00EC0412"/>
    <w:rsid w:val="00EC0532"/>
    <w:rsid w:val="00EC06D3"/>
    <w:rsid w:val="00EC0917"/>
    <w:rsid w:val="00EC1133"/>
    <w:rsid w:val="00EC19B1"/>
    <w:rsid w:val="00EC1D34"/>
    <w:rsid w:val="00EC1E06"/>
    <w:rsid w:val="00EC23B3"/>
    <w:rsid w:val="00EC2580"/>
    <w:rsid w:val="00EC277B"/>
    <w:rsid w:val="00EC2A62"/>
    <w:rsid w:val="00EC2C15"/>
    <w:rsid w:val="00EC39E1"/>
    <w:rsid w:val="00EC43BC"/>
    <w:rsid w:val="00EC47F7"/>
    <w:rsid w:val="00EC4B37"/>
    <w:rsid w:val="00EC53C3"/>
    <w:rsid w:val="00EC56F6"/>
    <w:rsid w:val="00EC57DF"/>
    <w:rsid w:val="00EC58D1"/>
    <w:rsid w:val="00EC6293"/>
    <w:rsid w:val="00EC6369"/>
    <w:rsid w:val="00EC6597"/>
    <w:rsid w:val="00EC6836"/>
    <w:rsid w:val="00EC6C3D"/>
    <w:rsid w:val="00EC6E43"/>
    <w:rsid w:val="00EC7099"/>
    <w:rsid w:val="00EC7EBC"/>
    <w:rsid w:val="00EC7EF2"/>
    <w:rsid w:val="00EC7F19"/>
    <w:rsid w:val="00ED017A"/>
    <w:rsid w:val="00ED09B5"/>
    <w:rsid w:val="00ED0CD2"/>
    <w:rsid w:val="00ED1C75"/>
    <w:rsid w:val="00ED1E9D"/>
    <w:rsid w:val="00ED2764"/>
    <w:rsid w:val="00ED2AAC"/>
    <w:rsid w:val="00ED3253"/>
    <w:rsid w:val="00ED3636"/>
    <w:rsid w:val="00ED455C"/>
    <w:rsid w:val="00ED4B45"/>
    <w:rsid w:val="00ED5AE0"/>
    <w:rsid w:val="00ED5DE9"/>
    <w:rsid w:val="00ED5F52"/>
    <w:rsid w:val="00ED642F"/>
    <w:rsid w:val="00ED683D"/>
    <w:rsid w:val="00ED6FB5"/>
    <w:rsid w:val="00ED72ED"/>
    <w:rsid w:val="00ED7884"/>
    <w:rsid w:val="00ED7976"/>
    <w:rsid w:val="00EE0196"/>
    <w:rsid w:val="00EE022B"/>
    <w:rsid w:val="00EE04D2"/>
    <w:rsid w:val="00EE1078"/>
    <w:rsid w:val="00EE1157"/>
    <w:rsid w:val="00EE12F8"/>
    <w:rsid w:val="00EE22CB"/>
    <w:rsid w:val="00EE230E"/>
    <w:rsid w:val="00EE2F43"/>
    <w:rsid w:val="00EE3390"/>
    <w:rsid w:val="00EE3693"/>
    <w:rsid w:val="00EE36DE"/>
    <w:rsid w:val="00EE3FF3"/>
    <w:rsid w:val="00EE501A"/>
    <w:rsid w:val="00EE556E"/>
    <w:rsid w:val="00EE60E9"/>
    <w:rsid w:val="00EE6280"/>
    <w:rsid w:val="00EE69EB"/>
    <w:rsid w:val="00EE755F"/>
    <w:rsid w:val="00EE7657"/>
    <w:rsid w:val="00EF0218"/>
    <w:rsid w:val="00EF025C"/>
    <w:rsid w:val="00EF0576"/>
    <w:rsid w:val="00EF0A84"/>
    <w:rsid w:val="00EF14C4"/>
    <w:rsid w:val="00EF1755"/>
    <w:rsid w:val="00EF17D3"/>
    <w:rsid w:val="00EF1E80"/>
    <w:rsid w:val="00EF210E"/>
    <w:rsid w:val="00EF2140"/>
    <w:rsid w:val="00EF21BE"/>
    <w:rsid w:val="00EF2A9B"/>
    <w:rsid w:val="00EF2C85"/>
    <w:rsid w:val="00EF2EEF"/>
    <w:rsid w:val="00EF3113"/>
    <w:rsid w:val="00EF3356"/>
    <w:rsid w:val="00EF35F3"/>
    <w:rsid w:val="00EF3A13"/>
    <w:rsid w:val="00EF3BC1"/>
    <w:rsid w:val="00EF4AE1"/>
    <w:rsid w:val="00EF4D19"/>
    <w:rsid w:val="00EF4DF8"/>
    <w:rsid w:val="00EF50B5"/>
    <w:rsid w:val="00EF512E"/>
    <w:rsid w:val="00EF56D3"/>
    <w:rsid w:val="00EF5851"/>
    <w:rsid w:val="00EF58A7"/>
    <w:rsid w:val="00EF5ACD"/>
    <w:rsid w:val="00EF61AC"/>
    <w:rsid w:val="00EF6365"/>
    <w:rsid w:val="00EF65FA"/>
    <w:rsid w:val="00EF66D8"/>
    <w:rsid w:val="00EF66E3"/>
    <w:rsid w:val="00EF6AB6"/>
    <w:rsid w:val="00EF6D23"/>
    <w:rsid w:val="00EF6EDB"/>
    <w:rsid w:val="00EF741A"/>
    <w:rsid w:val="00EF7805"/>
    <w:rsid w:val="00F000E8"/>
    <w:rsid w:val="00F005D4"/>
    <w:rsid w:val="00F00C43"/>
    <w:rsid w:val="00F014B9"/>
    <w:rsid w:val="00F01669"/>
    <w:rsid w:val="00F0280A"/>
    <w:rsid w:val="00F029A3"/>
    <w:rsid w:val="00F02D99"/>
    <w:rsid w:val="00F02DC8"/>
    <w:rsid w:val="00F0307F"/>
    <w:rsid w:val="00F03914"/>
    <w:rsid w:val="00F03F56"/>
    <w:rsid w:val="00F0457F"/>
    <w:rsid w:val="00F059E3"/>
    <w:rsid w:val="00F05D39"/>
    <w:rsid w:val="00F05E72"/>
    <w:rsid w:val="00F05FCC"/>
    <w:rsid w:val="00F06325"/>
    <w:rsid w:val="00F066D7"/>
    <w:rsid w:val="00F06852"/>
    <w:rsid w:val="00F07435"/>
    <w:rsid w:val="00F0771B"/>
    <w:rsid w:val="00F07EAA"/>
    <w:rsid w:val="00F1003C"/>
    <w:rsid w:val="00F10357"/>
    <w:rsid w:val="00F1036C"/>
    <w:rsid w:val="00F103CE"/>
    <w:rsid w:val="00F105B5"/>
    <w:rsid w:val="00F10EBF"/>
    <w:rsid w:val="00F11352"/>
    <w:rsid w:val="00F11A58"/>
    <w:rsid w:val="00F11AF3"/>
    <w:rsid w:val="00F1229E"/>
    <w:rsid w:val="00F126EB"/>
    <w:rsid w:val="00F1274E"/>
    <w:rsid w:val="00F12B72"/>
    <w:rsid w:val="00F131B7"/>
    <w:rsid w:val="00F132FB"/>
    <w:rsid w:val="00F14242"/>
    <w:rsid w:val="00F14E54"/>
    <w:rsid w:val="00F153F0"/>
    <w:rsid w:val="00F155A3"/>
    <w:rsid w:val="00F162BE"/>
    <w:rsid w:val="00F1659F"/>
    <w:rsid w:val="00F1681E"/>
    <w:rsid w:val="00F17042"/>
    <w:rsid w:val="00F170A2"/>
    <w:rsid w:val="00F17D8E"/>
    <w:rsid w:val="00F17DC2"/>
    <w:rsid w:val="00F17DF3"/>
    <w:rsid w:val="00F17F47"/>
    <w:rsid w:val="00F20118"/>
    <w:rsid w:val="00F203CF"/>
    <w:rsid w:val="00F20544"/>
    <w:rsid w:val="00F20918"/>
    <w:rsid w:val="00F20CB1"/>
    <w:rsid w:val="00F2108F"/>
    <w:rsid w:val="00F21514"/>
    <w:rsid w:val="00F21B9D"/>
    <w:rsid w:val="00F226BE"/>
    <w:rsid w:val="00F2290A"/>
    <w:rsid w:val="00F22C87"/>
    <w:rsid w:val="00F22D3B"/>
    <w:rsid w:val="00F234D3"/>
    <w:rsid w:val="00F23723"/>
    <w:rsid w:val="00F241F8"/>
    <w:rsid w:val="00F24671"/>
    <w:rsid w:val="00F24723"/>
    <w:rsid w:val="00F24E65"/>
    <w:rsid w:val="00F251F6"/>
    <w:rsid w:val="00F2544D"/>
    <w:rsid w:val="00F25583"/>
    <w:rsid w:val="00F25C49"/>
    <w:rsid w:val="00F25F04"/>
    <w:rsid w:val="00F261AD"/>
    <w:rsid w:val="00F26377"/>
    <w:rsid w:val="00F26770"/>
    <w:rsid w:val="00F26B40"/>
    <w:rsid w:val="00F26F40"/>
    <w:rsid w:val="00F271E7"/>
    <w:rsid w:val="00F27F48"/>
    <w:rsid w:val="00F30395"/>
    <w:rsid w:val="00F30CE0"/>
    <w:rsid w:val="00F3117B"/>
    <w:rsid w:val="00F3269A"/>
    <w:rsid w:val="00F327CD"/>
    <w:rsid w:val="00F330A2"/>
    <w:rsid w:val="00F3405E"/>
    <w:rsid w:val="00F348BB"/>
    <w:rsid w:val="00F35444"/>
    <w:rsid w:val="00F35505"/>
    <w:rsid w:val="00F3647A"/>
    <w:rsid w:val="00F3693F"/>
    <w:rsid w:val="00F36EAA"/>
    <w:rsid w:val="00F373B7"/>
    <w:rsid w:val="00F37988"/>
    <w:rsid w:val="00F37E20"/>
    <w:rsid w:val="00F40B97"/>
    <w:rsid w:val="00F411C2"/>
    <w:rsid w:val="00F41375"/>
    <w:rsid w:val="00F419A5"/>
    <w:rsid w:val="00F419E2"/>
    <w:rsid w:val="00F41F4E"/>
    <w:rsid w:val="00F41F99"/>
    <w:rsid w:val="00F41FCD"/>
    <w:rsid w:val="00F42D01"/>
    <w:rsid w:val="00F430A3"/>
    <w:rsid w:val="00F43526"/>
    <w:rsid w:val="00F43529"/>
    <w:rsid w:val="00F435DE"/>
    <w:rsid w:val="00F437DA"/>
    <w:rsid w:val="00F43ADB"/>
    <w:rsid w:val="00F43B42"/>
    <w:rsid w:val="00F43F0F"/>
    <w:rsid w:val="00F44A12"/>
    <w:rsid w:val="00F44A7B"/>
    <w:rsid w:val="00F452FE"/>
    <w:rsid w:val="00F4581C"/>
    <w:rsid w:val="00F45E4D"/>
    <w:rsid w:val="00F45FDC"/>
    <w:rsid w:val="00F462F6"/>
    <w:rsid w:val="00F4648C"/>
    <w:rsid w:val="00F46D65"/>
    <w:rsid w:val="00F47C65"/>
    <w:rsid w:val="00F47D27"/>
    <w:rsid w:val="00F504F9"/>
    <w:rsid w:val="00F50CF7"/>
    <w:rsid w:val="00F513A1"/>
    <w:rsid w:val="00F52083"/>
    <w:rsid w:val="00F52664"/>
    <w:rsid w:val="00F52954"/>
    <w:rsid w:val="00F52966"/>
    <w:rsid w:val="00F5316F"/>
    <w:rsid w:val="00F53769"/>
    <w:rsid w:val="00F53A59"/>
    <w:rsid w:val="00F53C61"/>
    <w:rsid w:val="00F53DA3"/>
    <w:rsid w:val="00F54382"/>
    <w:rsid w:val="00F54572"/>
    <w:rsid w:val="00F547A6"/>
    <w:rsid w:val="00F54C61"/>
    <w:rsid w:val="00F54CB2"/>
    <w:rsid w:val="00F5503D"/>
    <w:rsid w:val="00F55158"/>
    <w:rsid w:val="00F55D87"/>
    <w:rsid w:val="00F56414"/>
    <w:rsid w:val="00F5703E"/>
    <w:rsid w:val="00F57A56"/>
    <w:rsid w:val="00F57C00"/>
    <w:rsid w:val="00F605BE"/>
    <w:rsid w:val="00F60CE2"/>
    <w:rsid w:val="00F61045"/>
    <w:rsid w:val="00F614FA"/>
    <w:rsid w:val="00F61C3B"/>
    <w:rsid w:val="00F62044"/>
    <w:rsid w:val="00F62339"/>
    <w:rsid w:val="00F62598"/>
    <w:rsid w:val="00F6274A"/>
    <w:rsid w:val="00F62CFC"/>
    <w:rsid w:val="00F63427"/>
    <w:rsid w:val="00F63670"/>
    <w:rsid w:val="00F636B0"/>
    <w:rsid w:val="00F6389E"/>
    <w:rsid w:val="00F6415F"/>
    <w:rsid w:val="00F64779"/>
    <w:rsid w:val="00F64C21"/>
    <w:rsid w:val="00F64CD6"/>
    <w:rsid w:val="00F655F1"/>
    <w:rsid w:val="00F6580D"/>
    <w:rsid w:val="00F6599C"/>
    <w:rsid w:val="00F65D56"/>
    <w:rsid w:val="00F66058"/>
    <w:rsid w:val="00F66AA0"/>
    <w:rsid w:val="00F66ACD"/>
    <w:rsid w:val="00F67408"/>
    <w:rsid w:val="00F677D8"/>
    <w:rsid w:val="00F67D12"/>
    <w:rsid w:val="00F67DC0"/>
    <w:rsid w:val="00F67EFE"/>
    <w:rsid w:val="00F705EC"/>
    <w:rsid w:val="00F708F9"/>
    <w:rsid w:val="00F70FB3"/>
    <w:rsid w:val="00F71126"/>
    <w:rsid w:val="00F7125C"/>
    <w:rsid w:val="00F7194E"/>
    <w:rsid w:val="00F71BC7"/>
    <w:rsid w:val="00F71F5D"/>
    <w:rsid w:val="00F720AD"/>
    <w:rsid w:val="00F7225C"/>
    <w:rsid w:val="00F728DB"/>
    <w:rsid w:val="00F72B44"/>
    <w:rsid w:val="00F72C2C"/>
    <w:rsid w:val="00F72DF8"/>
    <w:rsid w:val="00F72EDB"/>
    <w:rsid w:val="00F7337B"/>
    <w:rsid w:val="00F74B40"/>
    <w:rsid w:val="00F7529A"/>
    <w:rsid w:val="00F7591A"/>
    <w:rsid w:val="00F760CE"/>
    <w:rsid w:val="00F7658D"/>
    <w:rsid w:val="00F7667C"/>
    <w:rsid w:val="00F76937"/>
    <w:rsid w:val="00F769EA"/>
    <w:rsid w:val="00F7708F"/>
    <w:rsid w:val="00F779A5"/>
    <w:rsid w:val="00F77DB1"/>
    <w:rsid w:val="00F80010"/>
    <w:rsid w:val="00F80298"/>
    <w:rsid w:val="00F8045F"/>
    <w:rsid w:val="00F80A74"/>
    <w:rsid w:val="00F80C23"/>
    <w:rsid w:val="00F80E76"/>
    <w:rsid w:val="00F8169A"/>
    <w:rsid w:val="00F81990"/>
    <w:rsid w:val="00F81B8B"/>
    <w:rsid w:val="00F81C9E"/>
    <w:rsid w:val="00F81F52"/>
    <w:rsid w:val="00F82FA1"/>
    <w:rsid w:val="00F835E7"/>
    <w:rsid w:val="00F83851"/>
    <w:rsid w:val="00F83A63"/>
    <w:rsid w:val="00F83F39"/>
    <w:rsid w:val="00F83FC3"/>
    <w:rsid w:val="00F847B3"/>
    <w:rsid w:val="00F85505"/>
    <w:rsid w:val="00F85A81"/>
    <w:rsid w:val="00F85AFE"/>
    <w:rsid w:val="00F85BF9"/>
    <w:rsid w:val="00F86021"/>
    <w:rsid w:val="00F86463"/>
    <w:rsid w:val="00F8666B"/>
    <w:rsid w:val="00F86CF1"/>
    <w:rsid w:val="00F86FD9"/>
    <w:rsid w:val="00F87002"/>
    <w:rsid w:val="00F870D5"/>
    <w:rsid w:val="00F8763D"/>
    <w:rsid w:val="00F87974"/>
    <w:rsid w:val="00F87B61"/>
    <w:rsid w:val="00F90AB5"/>
    <w:rsid w:val="00F90B6B"/>
    <w:rsid w:val="00F917D6"/>
    <w:rsid w:val="00F91E8A"/>
    <w:rsid w:val="00F924DC"/>
    <w:rsid w:val="00F92DF8"/>
    <w:rsid w:val="00F9397F"/>
    <w:rsid w:val="00F93D7A"/>
    <w:rsid w:val="00F94FCB"/>
    <w:rsid w:val="00F95746"/>
    <w:rsid w:val="00F95B9C"/>
    <w:rsid w:val="00F95FCC"/>
    <w:rsid w:val="00F961D1"/>
    <w:rsid w:val="00F962F5"/>
    <w:rsid w:val="00F968F8"/>
    <w:rsid w:val="00F96C6D"/>
    <w:rsid w:val="00F97902"/>
    <w:rsid w:val="00F97E42"/>
    <w:rsid w:val="00FA0338"/>
    <w:rsid w:val="00FA0CCB"/>
    <w:rsid w:val="00FA0E2A"/>
    <w:rsid w:val="00FA0EE5"/>
    <w:rsid w:val="00FA146D"/>
    <w:rsid w:val="00FA2105"/>
    <w:rsid w:val="00FA2DF8"/>
    <w:rsid w:val="00FA38EC"/>
    <w:rsid w:val="00FA3C76"/>
    <w:rsid w:val="00FA40C8"/>
    <w:rsid w:val="00FA45DF"/>
    <w:rsid w:val="00FA48E8"/>
    <w:rsid w:val="00FA50FF"/>
    <w:rsid w:val="00FA5E0C"/>
    <w:rsid w:val="00FA5F6F"/>
    <w:rsid w:val="00FA5FC8"/>
    <w:rsid w:val="00FA60C0"/>
    <w:rsid w:val="00FA6624"/>
    <w:rsid w:val="00FA669F"/>
    <w:rsid w:val="00FA6FA1"/>
    <w:rsid w:val="00FA70DB"/>
    <w:rsid w:val="00FA7BD5"/>
    <w:rsid w:val="00FA7F59"/>
    <w:rsid w:val="00FB0163"/>
    <w:rsid w:val="00FB08CA"/>
    <w:rsid w:val="00FB0E41"/>
    <w:rsid w:val="00FB0FFE"/>
    <w:rsid w:val="00FB1D5E"/>
    <w:rsid w:val="00FB25C1"/>
    <w:rsid w:val="00FB3434"/>
    <w:rsid w:val="00FB3C54"/>
    <w:rsid w:val="00FB4059"/>
    <w:rsid w:val="00FB4178"/>
    <w:rsid w:val="00FB46D4"/>
    <w:rsid w:val="00FB484C"/>
    <w:rsid w:val="00FB4B27"/>
    <w:rsid w:val="00FB4D72"/>
    <w:rsid w:val="00FB4EB0"/>
    <w:rsid w:val="00FB4FEE"/>
    <w:rsid w:val="00FB5618"/>
    <w:rsid w:val="00FB583F"/>
    <w:rsid w:val="00FB5C62"/>
    <w:rsid w:val="00FB6568"/>
    <w:rsid w:val="00FB6A6E"/>
    <w:rsid w:val="00FB6DC1"/>
    <w:rsid w:val="00FB72C0"/>
    <w:rsid w:val="00FB7708"/>
    <w:rsid w:val="00FB7CD4"/>
    <w:rsid w:val="00FB7DF0"/>
    <w:rsid w:val="00FC02A1"/>
    <w:rsid w:val="00FC02DA"/>
    <w:rsid w:val="00FC0FE0"/>
    <w:rsid w:val="00FC1130"/>
    <w:rsid w:val="00FC1755"/>
    <w:rsid w:val="00FC1BE4"/>
    <w:rsid w:val="00FC1C9B"/>
    <w:rsid w:val="00FC1F91"/>
    <w:rsid w:val="00FC275C"/>
    <w:rsid w:val="00FC2894"/>
    <w:rsid w:val="00FC2CD0"/>
    <w:rsid w:val="00FC335E"/>
    <w:rsid w:val="00FC394A"/>
    <w:rsid w:val="00FC414D"/>
    <w:rsid w:val="00FC449A"/>
    <w:rsid w:val="00FC4561"/>
    <w:rsid w:val="00FC4838"/>
    <w:rsid w:val="00FC492D"/>
    <w:rsid w:val="00FC54AF"/>
    <w:rsid w:val="00FC5AC0"/>
    <w:rsid w:val="00FC5B9F"/>
    <w:rsid w:val="00FC605F"/>
    <w:rsid w:val="00FC63F1"/>
    <w:rsid w:val="00FC64C9"/>
    <w:rsid w:val="00FC6B6E"/>
    <w:rsid w:val="00FC6F16"/>
    <w:rsid w:val="00FC70F2"/>
    <w:rsid w:val="00FC73A7"/>
    <w:rsid w:val="00FC7A72"/>
    <w:rsid w:val="00FC7D53"/>
    <w:rsid w:val="00FC7FAC"/>
    <w:rsid w:val="00FD01D6"/>
    <w:rsid w:val="00FD0A73"/>
    <w:rsid w:val="00FD14DD"/>
    <w:rsid w:val="00FD173E"/>
    <w:rsid w:val="00FD1921"/>
    <w:rsid w:val="00FD1B1E"/>
    <w:rsid w:val="00FD1F7D"/>
    <w:rsid w:val="00FD291D"/>
    <w:rsid w:val="00FD3F3F"/>
    <w:rsid w:val="00FD4BCD"/>
    <w:rsid w:val="00FD50DB"/>
    <w:rsid w:val="00FD58C6"/>
    <w:rsid w:val="00FD5F62"/>
    <w:rsid w:val="00FD5FAE"/>
    <w:rsid w:val="00FD7239"/>
    <w:rsid w:val="00FE003D"/>
    <w:rsid w:val="00FE02D8"/>
    <w:rsid w:val="00FE02F3"/>
    <w:rsid w:val="00FE039D"/>
    <w:rsid w:val="00FE089D"/>
    <w:rsid w:val="00FE1541"/>
    <w:rsid w:val="00FE172F"/>
    <w:rsid w:val="00FE19D2"/>
    <w:rsid w:val="00FE28EE"/>
    <w:rsid w:val="00FE2A48"/>
    <w:rsid w:val="00FE2C8D"/>
    <w:rsid w:val="00FE413B"/>
    <w:rsid w:val="00FE424A"/>
    <w:rsid w:val="00FE42FB"/>
    <w:rsid w:val="00FE4E9E"/>
    <w:rsid w:val="00FE5030"/>
    <w:rsid w:val="00FE5274"/>
    <w:rsid w:val="00FE5A60"/>
    <w:rsid w:val="00FE5EAE"/>
    <w:rsid w:val="00FE5F1D"/>
    <w:rsid w:val="00FE60C3"/>
    <w:rsid w:val="00FE666F"/>
    <w:rsid w:val="00FE7322"/>
    <w:rsid w:val="00FE7B1B"/>
    <w:rsid w:val="00FF039B"/>
    <w:rsid w:val="00FF0AC2"/>
    <w:rsid w:val="00FF1C1F"/>
    <w:rsid w:val="00FF1EB3"/>
    <w:rsid w:val="00FF21F4"/>
    <w:rsid w:val="00FF25B3"/>
    <w:rsid w:val="00FF2A25"/>
    <w:rsid w:val="00FF2CD5"/>
    <w:rsid w:val="00FF41D4"/>
    <w:rsid w:val="00FF4200"/>
    <w:rsid w:val="00FF4515"/>
    <w:rsid w:val="00FF4C16"/>
    <w:rsid w:val="00FF514B"/>
    <w:rsid w:val="00FF520E"/>
    <w:rsid w:val="00FF5421"/>
    <w:rsid w:val="00FF5C3B"/>
    <w:rsid w:val="00FF6188"/>
    <w:rsid w:val="00FF7126"/>
    <w:rsid w:val="00FF7808"/>
    <w:rsid w:val="014F5F86"/>
    <w:rsid w:val="028F96F3"/>
    <w:rsid w:val="03AD2F2B"/>
    <w:rsid w:val="049B9CFF"/>
    <w:rsid w:val="04FD83ED"/>
    <w:rsid w:val="05DCD6BD"/>
    <w:rsid w:val="05F5E379"/>
    <w:rsid w:val="05FA5E0A"/>
    <w:rsid w:val="0693B187"/>
    <w:rsid w:val="06D9C6C8"/>
    <w:rsid w:val="07945EF7"/>
    <w:rsid w:val="079A1C0E"/>
    <w:rsid w:val="07D27CE4"/>
    <w:rsid w:val="08039DC1"/>
    <w:rsid w:val="09B0D342"/>
    <w:rsid w:val="0B6B428C"/>
    <w:rsid w:val="0BCF36FD"/>
    <w:rsid w:val="0C4CEB48"/>
    <w:rsid w:val="0D7AD85E"/>
    <w:rsid w:val="0D962C53"/>
    <w:rsid w:val="0F42D5AF"/>
    <w:rsid w:val="0FA37E77"/>
    <w:rsid w:val="100FC787"/>
    <w:rsid w:val="10775AC0"/>
    <w:rsid w:val="10827BAE"/>
    <w:rsid w:val="116036CD"/>
    <w:rsid w:val="127C3A1D"/>
    <w:rsid w:val="12B042EE"/>
    <w:rsid w:val="136CB368"/>
    <w:rsid w:val="1463D4F6"/>
    <w:rsid w:val="14712014"/>
    <w:rsid w:val="14C3B247"/>
    <w:rsid w:val="15A1B677"/>
    <w:rsid w:val="166C2AF5"/>
    <w:rsid w:val="16EE56DE"/>
    <w:rsid w:val="16F6AC7D"/>
    <w:rsid w:val="17DF8B25"/>
    <w:rsid w:val="18B297E5"/>
    <w:rsid w:val="193D5A05"/>
    <w:rsid w:val="1A113605"/>
    <w:rsid w:val="1A96F5FE"/>
    <w:rsid w:val="1AA3D0FC"/>
    <w:rsid w:val="1AD67B0A"/>
    <w:rsid w:val="1B130209"/>
    <w:rsid w:val="1B31EB19"/>
    <w:rsid w:val="1C45DE6D"/>
    <w:rsid w:val="1CB3ADF2"/>
    <w:rsid w:val="1DEFD7EC"/>
    <w:rsid w:val="1E4E3078"/>
    <w:rsid w:val="1E96DAD5"/>
    <w:rsid w:val="1F9BA66C"/>
    <w:rsid w:val="1F9F4D97"/>
    <w:rsid w:val="1FD81D3C"/>
    <w:rsid w:val="1FFA914D"/>
    <w:rsid w:val="204C041C"/>
    <w:rsid w:val="2059E721"/>
    <w:rsid w:val="21972C8F"/>
    <w:rsid w:val="2297B7F5"/>
    <w:rsid w:val="22E76379"/>
    <w:rsid w:val="23325384"/>
    <w:rsid w:val="240C802F"/>
    <w:rsid w:val="25083422"/>
    <w:rsid w:val="25490A06"/>
    <w:rsid w:val="254BC950"/>
    <w:rsid w:val="2641FF53"/>
    <w:rsid w:val="2694B82F"/>
    <w:rsid w:val="2706A52C"/>
    <w:rsid w:val="2708640C"/>
    <w:rsid w:val="27ACC097"/>
    <w:rsid w:val="2841EE25"/>
    <w:rsid w:val="290A262A"/>
    <w:rsid w:val="2961D4EF"/>
    <w:rsid w:val="296E6B3D"/>
    <w:rsid w:val="2A976F90"/>
    <w:rsid w:val="2AC44056"/>
    <w:rsid w:val="2DC1F542"/>
    <w:rsid w:val="2E5D3AB9"/>
    <w:rsid w:val="2ED5FC36"/>
    <w:rsid w:val="2F7BB080"/>
    <w:rsid w:val="30AC2544"/>
    <w:rsid w:val="30C239BD"/>
    <w:rsid w:val="31657CCC"/>
    <w:rsid w:val="329F3634"/>
    <w:rsid w:val="345C4A0C"/>
    <w:rsid w:val="34DB2348"/>
    <w:rsid w:val="36D33120"/>
    <w:rsid w:val="37626149"/>
    <w:rsid w:val="37B598A4"/>
    <w:rsid w:val="37B61BAF"/>
    <w:rsid w:val="3823A8DA"/>
    <w:rsid w:val="386FE9FD"/>
    <w:rsid w:val="3A5013E0"/>
    <w:rsid w:val="3A79F2E1"/>
    <w:rsid w:val="3AB000C2"/>
    <w:rsid w:val="3AE81BB8"/>
    <w:rsid w:val="3B8BA898"/>
    <w:rsid w:val="3BDEA022"/>
    <w:rsid w:val="3C7C9926"/>
    <w:rsid w:val="3D60CF4C"/>
    <w:rsid w:val="3DFF873C"/>
    <w:rsid w:val="3E6D6DD4"/>
    <w:rsid w:val="3E72B723"/>
    <w:rsid w:val="3EBE8971"/>
    <w:rsid w:val="3EC645BB"/>
    <w:rsid w:val="3EE9B05D"/>
    <w:rsid w:val="3EF31320"/>
    <w:rsid w:val="3F46F584"/>
    <w:rsid w:val="40F80640"/>
    <w:rsid w:val="425DD5CE"/>
    <w:rsid w:val="42C7136B"/>
    <w:rsid w:val="43187BB5"/>
    <w:rsid w:val="43459412"/>
    <w:rsid w:val="4386CF4B"/>
    <w:rsid w:val="43A30984"/>
    <w:rsid w:val="43CDAF64"/>
    <w:rsid w:val="4456EB1C"/>
    <w:rsid w:val="4513E81B"/>
    <w:rsid w:val="45DDA321"/>
    <w:rsid w:val="45EC78C6"/>
    <w:rsid w:val="486EDEFF"/>
    <w:rsid w:val="494E4381"/>
    <w:rsid w:val="49B6DD73"/>
    <w:rsid w:val="49EF34E8"/>
    <w:rsid w:val="4A02ADC7"/>
    <w:rsid w:val="4A5E05D0"/>
    <w:rsid w:val="4A75CDAB"/>
    <w:rsid w:val="4AED5327"/>
    <w:rsid w:val="4B460390"/>
    <w:rsid w:val="4B7AD614"/>
    <w:rsid w:val="4B9727F3"/>
    <w:rsid w:val="4BFA6F33"/>
    <w:rsid w:val="4C6D43CC"/>
    <w:rsid w:val="4D99942D"/>
    <w:rsid w:val="4E6507AB"/>
    <w:rsid w:val="4FD6115B"/>
    <w:rsid w:val="5228D47A"/>
    <w:rsid w:val="5374223F"/>
    <w:rsid w:val="540D87EA"/>
    <w:rsid w:val="54211F77"/>
    <w:rsid w:val="5492529A"/>
    <w:rsid w:val="5664719A"/>
    <w:rsid w:val="5737FF4F"/>
    <w:rsid w:val="577655A0"/>
    <w:rsid w:val="5A1093A9"/>
    <w:rsid w:val="5A2043A2"/>
    <w:rsid w:val="5B9DA1D5"/>
    <w:rsid w:val="5C0E1A8C"/>
    <w:rsid w:val="5C2F6DE4"/>
    <w:rsid w:val="5C30C3E8"/>
    <w:rsid w:val="5C393CE7"/>
    <w:rsid w:val="5C728739"/>
    <w:rsid w:val="5D8FB046"/>
    <w:rsid w:val="5F0E6B00"/>
    <w:rsid w:val="5FA8F35D"/>
    <w:rsid w:val="5FABE828"/>
    <w:rsid w:val="5FBFA81B"/>
    <w:rsid w:val="60078835"/>
    <w:rsid w:val="612A2BC1"/>
    <w:rsid w:val="6231DC49"/>
    <w:rsid w:val="62A29EDD"/>
    <w:rsid w:val="62A69AEC"/>
    <w:rsid w:val="62B42F20"/>
    <w:rsid w:val="6331D155"/>
    <w:rsid w:val="634E6B90"/>
    <w:rsid w:val="63BC3C15"/>
    <w:rsid w:val="63EFB5AC"/>
    <w:rsid w:val="63F6AD08"/>
    <w:rsid w:val="641DB11D"/>
    <w:rsid w:val="665DCD53"/>
    <w:rsid w:val="673808B4"/>
    <w:rsid w:val="67658AFA"/>
    <w:rsid w:val="678772ED"/>
    <w:rsid w:val="68F6502B"/>
    <w:rsid w:val="69618479"/>
    <w:rsid w:val="696EB726"/>
    <w:rsid w:val="6972CBD1"/>
    <w:rsid w:val="69746AE1"/>
    <w:rsid w:val="6AF3F315"/>
    <w:rsid w:val="6B7838DD"/>
    <w:rsid w:val="6CFBF2FE"/>
    <w:rsid w:val="6D90E5D8"/>
    <w:rsid w:val="6E6E2AD3"/>
    <w:rsid w:val="6FA9A5E2"/>
    <w:rsid w:val="719060E5"/>
    <w:rsid w:val="71B8EFDC"/>
    <w:rsid w:val="71D30CAF"/>
    <w:rsid w:val="71E0BBC9"/>
    <w:rsid w:val="74082CA2"/>
    <w:rsid w:val="74280802"/>
    <w:rsid w:val="7470DDBD"/>
    <w:rsid w:val="74B6E45E"/>
    <w:rsid w:val="74E8FDC6"/>
    <w:rsid w:val="75340721"/>
    <w:rsid w:val="755A04A0"/>
    <w:rsid w:val="76515F93"/>
    <w:rsid w:val="78316306"/>
    <w:rsid w:val="78A58901"/>
    <w:rsid w:val="79129B13"/>
    <w:rsid w:val="7AB7FA8E"/>
    <w:rsid w:val="7C072B72"/>
    <w:rsid w:val="7C660D08"/>
    <w:rsid w:val="7CCDD4B6"/>
    <w:rsid w:val="7D37D7AA"/>
    <w:rsid w:val="7E01145E"/>
    <w:rsid w:val="7E599F32"/>
    <w:rsid w:val="7ED3FAE6"/>
    <w:rsid w:val="7F746BB5"/>
    <w:rsid w:val="7FD148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6AF28E"/>
  <w15:chartTrackingRefBased/>
  <w15:docId w15:val="{2A8D63DD-513E-4DDD-B8CC-2A0895848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Normal"/>
    <w:link w:val="Heading1Char"/>
    <w:qFormat/>
    <w:rsid w:val="00A578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7B001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F388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0A08F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954B0C"/>
    <w:pPr>
      <w:keepNext/>
      <w:keepLines/>
      <w:tabs>
        <w:tab w:val="num" w:pos="3600"/>
      </w:tabs>
      <w:spacing w:before="40" w:after="0"/>
      <w:ind w:left="3600" w:hanging="3600"/>
      <w:jc w:val="both"/>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00045E"/>
    <w:pPr>
      <w:keepNext/>
      <w:keepLines/>
      <w:tabs>
        <w:tab w:val="num" w:pos="4320"/>
      </w:tabs>
      <w:spacing w:before="40" w:after="0"/>
      <w:ind w:left="4320" w:hanging="36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Text"/>
    <w:link w:val="Heading7Char"/>
    <w:qFormat/>
    <w:rsid w:val="00BF5EA3"/>
    <w:pPr>
      <w:keepNext/>
      <w:keepLines/>
      <w:tabs>
        <w:tab w:val="num" w:pos="5040"/>
      </w:tabs>
      <w:spacing w:before="40" w:after="0"/>
      <w:ind w:left="5040" w:hanging="36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qFormat/>
    <w:rsid w:val="00BF5EA3"/>
    <w:pPr>
      <w:keepNext/>
      <w:keepLines/>
      <w:tabs>
        <w:tab w:val="num" w:pos="5760"/>
      </w:tabs>
      <w:spacing w:before="40" w:after="0"/>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BF5EA3"/>
    <w:pPr>
      <w:keepNext/>
      <w:keepLines/>
      <w:tabs>
        <w:tab w:val="num" w:pos="6480"/>
      </w:tabs>
      <w:spacing w:before="40" w:after="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F0C49"/>
    <w:pPr>
      <w:ind w:left="720"/>
      <w:contextualSpacing/>
    </w:pPr>
  </w:style>
  <w:style w:type="character" w:customStyle="1" w:styleId="Heading1Char">
    <w:name w:val="Heading 1 Char"/>
    <w:basedOn w:val="DefaultParagraphFont"/>
    <w:link w:val="Heading1"/>
    <w:rsid w:val="002F0C49"/>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qFormat/>
    <w:rsid w:val="002F0C4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F0C49"/>
    <w:rPr>
      <w:rFonts w:asciiTheme="majorHAnsi" w:eastAsiaTheme="majorEastAsia" w:hAnsiTheme="majorHAnsi" w:cstheme="majorBidi"/>
      <w:spacing w:val="-10"/>
      <w:kern w:val="28"/>
      <w:sz w:val="56"/>
      <w:szCs w:val="56"/>
    </w:rPr>
  </w:style>
  <w:style w:type="paragraph" w:customStyle="1" w:styleId="Default">
    <w:name w:val="Default"/>
    <w:rsid w:val="002F0C49"/>
    <w:pPr>
      <w:autoSpaceDE w:val="0"/>
      <w:autoSpaceDN w:val="0"/>
      <w:adjustRightInd w:val="0"/>
      <w:spacing w:after="0" w:line="240" w:lineRule="auto"/>
    </w:pPr>
    <w:rPr>
      <w:rFonts w:ascii="Arial" w:hAnsi="Arial" w:cs="Arial"/>
      <w:color w:val="000000"/>
      <w:sz w:val="24"/>
      <w:szCs w:val="24"/>
    </w:rPr>
  </w:style>
  <w:style w:type="character" w:customStyle="1" w:styleId="Heading2Char">
    <w:name w:val="Heading 2 Char"/>
    <w:basedOn w:val="DefaultParagraphFont"/>
    <w:link w:val="Heading2"/>
    <w:rsid w:val="002C56D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A220F8"/>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nhideWhenUsed/>
    <w:rsid w:val="0002374A"/>
    <w:pPr>
      <w:tabs>
        <w:tab w:val="center" w:pos="4513"/>
        <w:tab w:val="right" w:pos="9026"/>
      </w:tabs>
      <w:spacing w:after="0" w:line="240" w:lineRule="auto"/>
    </w:pPr>
  </w:style>
  <w:style w:type="character" w:customStyle="1" w:styleId="HeaderChar">
    <w:name w:val="Header Char"/>
    <w:basedOn w:val="DefaultParagraphFont"/>
    <w:link w:val="Header"/>
    <w:rsid w:val="0002374A"/>
  </w:style>
  <w:style w:type="paragraph" w:styleId="Footer">
    <w:name w:val="footer"/>
    <w:basedOn w:val="Normal"/>
    <w:link w:val="FooterChar"/>
    <w:uiPriority w:val="99"/>
    <w:unhideWhenUsed/>
    <w:rsid w:val="000237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02374A"/>
  </w:style>
  <w:style w:type="character" w:customStyle="1" w:styleId="Heading5Char">
    <w:name w:val="Heading 5 Char"/>
    <w:basedOn w:val="DefaultParagraphFont"/>
    <w:link w:val="Heading5"/>
    <w:rsid w:val="00954B0C"/>
    <w:rPr>
      <w:rFonts w:asciiTheme="majorHAnsi" w:eastAsiaTheme="majorEastAsia" w:hAnsiTheme="majorHAnsi" w:cstheme="majorBidi"/>
      <w:color w:val="2F5496" w:themeColor="accent1" w:themeShade="BF"/>
    </w:rPr>
  </w:style>
  <w:style w:type="paragraph" w:styleId="NoSpacing">
    <w:name w:val="No Spacing"/>
    <w:link w:val="NoSpacingChar"/>
    <w:uiPriority w:val="1"/>
    <w:qFormat/>
    <w:rsid w:val="00F07435"/>
    <w:pPr>
      <w:pBdr>
        <w:top w:val="nil"/>
        <w:left w:val="nil"/>
        <w:bottom w:val="nil"/>
        <w:right w:val="nil"/>
        <w:between w:val="nil"/>
        <w:bar w:val="nil"/>
      </w:pBdr>
      <w:spacing w:after="0" w:line="240" w:lineRule="auto"/>
    </w:pPr>
    <w:rPr>
      <w:rFonts w:ascii="Calibri" w:eastAsia="Calibri" w:hAnsi="Calibri" w:cs="Calibri"/>
      <w:color w:val="000000"/>
      <w:u w:color="000000"/>
      <w:bdr w:val="nil"/>
      <w:lang w:val="en-US" w:eastAsia="zh-CN"/>
    </w:rPr>
  </w:style>
  <w:style w:type="numbering" w:customStyle="1" w:styleId="ImportedStyle2">
    <w:name w:val="Imported Style 2"/>
    <w:rsid w:val="00F07435"/>
    <w:pPr>
      <w:numPr>
        <w:numId w:val="1"/>
      </w:numPr>
    </w:pPr>
  </w:style>
  <w:style w:type="table" w:styleId="TableGrid">
    <w:name w:val="Table Grid"/>
    <w:basedOn w:val="TableNormal"/>
    <w:uiPriority w:val="39"/>
    <w:rsid w:val="000B45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44FEE"/>
    <w:rPr>
      <w:sz w:val="16"/>
      <w:szCs w:val="16"/>
    </w:rPr>
  </w:style>
  <w:style w:type="paragraph" w:styleId="CommentText">
    <w:name w:val="annotation text"/>
    <w:basedOn w:val="Normal"/>
    <w:link w:val="CommentTextChar"/>
    <w:uiPriority w:val="99"/>
    <w:unhideWhenUsed/>
    <w:rsid w:val="00644FEE"/>
    <w:pPr>
      <w:spacing w:line="240" w:lineRule="auto"/>
    </w:pPr>
    <w:rPr>
      <w:sz w:val="20"/>
      <w:szCs w:val="20"/>
    </w:rPr>
  </w:style>
  <w:style w:type="character" w:customStyle="1" w:styleId="CommentTextChar">
    <w:name w:val="Comment Text Char"/>
    <w:basedOn w:val="DefaultParagraphFont"/>
    <w:link w:val="CommentText"/>
    <w:uiPriority w:val="99"/>
    <w:rsid w:val="00644FEE"/>
    <w:rPr>
      <w:sz w:val="20"/>
      <w:szCs w:val="20"/>
    </w:rPr>
  </w:style>
  <w:style w:type="paragraph" w:styleId="CommentSubject">
    <w:name w:val="annotation subject"/>
    <w:basedOn w:val="CommentText"/>
    <w:next w:val="CommentText"/>
    <w:link w:val="CommentSubjectChar"/>
    <w:semiHidden/>
    <w:unhideWhenUsed/>
    <w:rsid w:val="00C34119"/>
    <w:rPr>
      <w:b/>
      <w:bCs/>
    </w:rPr>
  </w:style>
  <w:style w:type="character" w:customStyle="1" w:styleId="CommentSubjectChar">
    <w:name w:val="Comment Subject Char"/>
    <w:basedOn w:val="CommentTextChar"/>
    <w:link w:val="CommentSubject"/>
    <w:semiHidden/>
    <w:rsid w:val="00C34119"/>
    <w:rPr>
      <w:b/>
      <w:bCs/>
      <w:sz w:val="20"/>
      <w:szCs w:val="20"/>
    </w:rPr>
  </w:style>
  <w:style w:type="paragraph" w:customStyle="1" w:styleId="EndNoteBibliographyTitle">
    <w:name w:val="EndNote Bibliography Title"/>
    <w:basedOn w:val="Normal"/>
    <w:link w:val="EndNoteBibliographyTitleChar"/>
    <w:rsid w:val="00113ECC"/>
    <w:pPr>
      <w:spacing w:after="0"/>
      <w:jc w:val="center"/>
    </w:pPr>
    <w:rPr>
      <w:rFonts w:ascii="Calibri" w:hAnsi="Calibri" w:cs="Calibri"/>
      <w:noProof/>
      <w:lang w:val="en-US"/>
    </w:rPr>
  </w:style>
  <w:style w:type="character" w:customStyle="1" w:styleId="ListParagraphChar">
    <w:name w:val="List Paragraph Char"/>
    <w:basedOn w:val="DefaultParagraphFont"/>
    <w:link w:val="ListParagraph"/>
    <w:uiPriority w:val="34"/>
    <w:rsid w:val="00113ECC"/>
  </w:style>
  <w:style w:type="character" w:customStyle="1" w:styleId="EndNoteBibliographyTitleChar">
    <w:name w:val="EndNote Bibliography Title Char"/>
    <w:basedOn w:val="ListParagraphChar"/>
    <w:link w:val="EndNoteBibliographyTitle"/>
    <w:rsid w:val="00113ECC"/>
    <w:rPr>
      <w:rFonts w:ascii="Calibri" w:hAnsi="Calibri" w:cs="Calibri"/>
      <w:noProof/>
      <w:lang w:val="en-US"/>
    </w:rPr>
  </w:style>
  <w:style w:type="paragraph" w:customStyle="1" w:styleId="EndNoteBibliography">
    <w:name w:val="EndNote Bibliography"/>
    <w:basedOn w:val="Normal"/>
    <w:link w:val="EndNoteBibliographyChar"/>
    <w:rsid w:val="000B2A8A"/>
    <w:pPr>
      <w:spacing w:line="240" w:lineRule="auto"/>
    </w:pPr>
    <w:rPr>
      <w:rFonts w:ascii="Calibri" w:hAnsi="Calibri" w:cs="Calibri"/>
      <w:noProof/>
      <w:lang w:val="en-US"/>
    </w:rPr>
  </w:style>
  <w:style w:type="character" w:customStyle="1" w:styleId="EndNoteBibliographyChar">
    <w:name w:val="EndNote Bibliography Char"/>
    <w:basedOn w:val="ListParagraphChar"/>
    <w:link w:val="EndNoteBibliography"/>
    <w:rsid w:val="00113ECC"/>
    <w:rPr>
      <w:rFonts w:ascii="Calibri" w:hAnsi="Calibri" w:cs="Calibri"/>
      <w:noProof/>
      <w:lang w:val="en-US"/>
    </w:rPr>
  </w:style>
  <w:style w:type="paragraph" w:styleId="Caption">
    <w:name w:val="caption"/>
    <w:basedOn w:val="Normal"/>
    <w:next w:val="Normal"/>
    <w:uiPriority w:val="35"/>
    <w:unhideWhenUsed/>
    <w:qFormat/>
    <w:rsid w:val="0046106D"/>
    <w:pPr>
      <w:keepNext/>
      <w:spacing w:after="0" w:line="240" w:lineRule="auto"/>
    </w:pPr>
    <w:rPr>
      <w:i/>
      <w:iCs/>
      <w:color w:val="44546A" w:themeColor="text2"/>
    </w:rPr>
  </w:style>
  <w:style w:type="character" w:customStyle="1" w:styleId="Heading4Char">
    <w:name w:val="Heading 4 Char"/>
    <w:basedOn w:val="DefaultParagraphFont"/>
    <w:link w:val="Heading4"/>
    <w:rsid w:val="00DF5EDB"/>
    <w:rPr>
      <w:rFonts w:asciiTheme="majorHAnsi" w:eastAsiaTheme="majorEastAsia" w:hAnsiTheme="majorHAnsi" w:cstheme="majorBidi"/>
      <w:i/>
      <w:iCs/>
      <w:color w:val="2F5496" w:themeColor="accent1" w:themeShade="BF"/>
    </w:rPr>
  </w:style>
  <w:style w:type="paragraph" w:styleId="NormalIndent">
    <w:name w:val="Normal Indent"/>
    <w:basedOn w:val="Normal"/>
    <w:link w:val="NormalIndentChar"/>
    <w:rsid w:val="00DF5EDB"/>
    <w:pPr>
      <w:spacing w:after="120" w:line="240" w:lineRule="auto"/>
      <w:ind w:left="720"/>
      <w:jc w:val="both"/>
    </w:pPr>
    <w:rPr>
      <w:rFonts w:ascii="Arial" w:eastAsia="Times New Roman" w:hAnsi="Arial" w:cs="Times New Roman"/>
      <w:szCs w:val="20"/>
    </w:rPr>
  </w:style>
  <w:style w:type="character" w:customStyle="1" w:styleId="NormalIndentChar">
    <w:name w:val="Normal Indent Char"/>
    <w:basedOn w:val="DefaultParagraphFont"/>
    <w:link w:val="NormalIndent"/>
    <w:rsid w:val="00DF5EDB"/>
    <w:rPr>
      <w:rFonts w:ascii="Arial" w:eastAsia="Times New Roman" w:hAnsi="Arial" w:cs="Times New Roman"/>
      <w:szCs w:val="20"/>
    </w:rPr>
  </w:style>
  <w:style w:type="character" w:styleId="Hyperlink">
    <w:name w:val="Hyperlink"/>
    <w:basedOn w:val="DefaultParagraphFont"/>
    <w:uiPriority w:val="99"/>
    <w:unhideWhenUsed/>
    <w:rsid w:val="00DF5EDB"/>
    <w:rPr>
      <w:color w:val="0000FF"/>
      <w:u w:val="single"/>
    </w:rPr>
  </w:style>
  <w:style w:type="paragraph" w:customStyle="1" w:styleId="NormalBullet">
    <w:name w:val="Normal Bullet"/>
    <w:basedOn w:val="NormalIndent"/>
    <w:link w:val="NormalBulletChar"/>
    <w:rsid w:val="00DF5EDB"/>
    <w:pPr>
      <w:numPr>
        <w:numId w:val="9"/>
      </w:numPr>
    </w:pPr>
  </w:style>
  <w:style w:type="character" w:styleId="Emphasis">
    <w:name w:val="Emphasis"/>
    <w:basedOn w:val="DefaultParagraphFont"/>
    <w:uiPriority w:val="20"/>
    <w:qFormat/>
    <w:rsid w:val="00DF5EDB"/>
    <w:rPr>
      <w:i/>
      <w:iCs/>
    </w:rPr>
  </w:style>
  <w:style w:type="paragraph" w:styleId="NormalWeb">
    <w:name w:val="Normal (Web)"/>
    <w:basedOn w:val="Normal"/>
    <w:semiHidden/>
    <w:unhideWhenUsed/>
    <w:rsid w:val="00DF5EDB"/>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GridTable1Light-Accent3">
    <w:name w:val="Grid Table 1 Light Accent 3"/>
    <w:basedOn w:val="TableNormal"/>
    <w:uiPriority w:val="46"/>
    <w:rsid w:val="00DF5ED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unhideWhenUsed/>
    <w:rsid w:val="00DF5EDB"/>
    <w:rPr>
      <w:color w:val="605E5C"/>
      <w:shd w:val="clear" w:color="auto" w:fill="E1DFDD"/>
    </w:rPr>
  </w:style>
  <w:style w:type="table" w:styleId="PlainTable2">
    <w:name w:val="Plain Table 2"/>
    <w:basedOn w:val="TableNormal"/>
    <w:uiPriority w:val="42"/>
    <w:rsid w:val="00DF5ED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FollowedHyperlink">
    <w:name w:val="FollowedHyperlink"/>
    <w:basedOn w:val="DefaultParagraphFont"/>
    <w:unhideWhenUsed/>
    <w:rsid w:val="004B080F"/>
    <w:rPr>
      <w:color w:val="954F72" w:themeColor="followedHyperlink"/>
      <w:u w:val="single"/>
    </w:rPr>
  </w:style>
  <w:style w:type="character" w:customStyle="1" w:styleId="Heading6Char">
    <w:name w:val="Heading 6 Char"/>
    <w:basedOn w:val="DefaultParagraphFont"/>
    <w:link w:val="Heading6"/>
    <w:rsid w:val="0000045E"/>
    <w:rPr>
      <w:rFonts w:asciiTheme="majorHAnsi" w:eastAsiaTheme="majorEastAsia" w:hAnsiTheme="majorHAnsi" w:cstheme="majorBidi"/>
      <w:color w:val="1F3763" w:themeColor="accent1" w:themeShade="7F"/>
    </w:rPr>
  </w:style>
  <w:style w:type="character" w:customStyle="1" w:styleId="stratlabel">
    <w:name w:val="stratlabel"/>
    <w:basedOn w:val="DefaultParagraphFont"/>
    <w:rsid w:val="0000045E"/>
  </w:style>
  <w:style w:type="character" w:customStyle="1" w:styleId="stratn">
    <w:name w:val="stratn"/>
    <w:basedOn w:val="DefaultParagraphFont"/>
    <w:rsid w:val="0000045E"/>
  </w:style>
  <w:style w:type="character" w:customStyle="1" w:styleId="varlabel">
    <w:name w:val="varlabel"/>
    <w:basedOn w:val="DefaultParagraphFont"/>
    <w:rsid w:val="0000045E"/>
  </w:style>
  <w:style w:type="character" w:customStyle="1" w:styleId="varunits">
    <w:name w:val="varunits"/>
    <w:basedOn w:val="DefaultParagraphFont"/>
    <w:rsid w:val="0000045E"/>
  </w:style>
  <w:style w:type="table" w:styleId="TableGridLight">
    <w:name w:val="Grid Table Light"/>
    <w:basedOn w:val="TableNormal"/>
    <w:uiPriority w:val="40"/>
    <w:rsid w:val="000004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ide">
    <w:name w:val="hide"/>
    <w:basedOn w:val="DefaultParagraphFont"/>
    <w:rsid w:val="0000045E"/>
  </w:style>
  <w:style w:type="character" w:styleId="Mention">
    <w:name w:val="Mention"/>
    <w:basedOn w:val="DefaultParagraphFont"/>
    <w:uiPriority w:val="99"/>
    <w:unhideWhenUsed/>
    <w:rsid w:val="0000045E"/>
    <w:rPr>
      <w:color w:val="2B579A"/>
      <w:shd w:val="clear" w:color="auto" w:fill="E1DFDD"/>
    </w:rPr>
  </w:style>
  <w:style w:type="table" w:styleId="PlainTable5">
    <w:name w:val="Plain Table 5"/>
    <w:basedOn w:val="TableNormal"/>
    <w:uiPriority w:val="45"/>
    <w:rsid w:val="000004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OCHeading">
    <w:name w:val="TOC Heading"/>
    <w:basedOn w:val="Heading1"/>
    <w:next w:val="Normal"/>
    <w:uiPriority w:val="39"/>
    <w:unhideWhenUsed/>
    <w:qFormat/>
    <w:rsid w:val="008E08A3"/>
    <w:pPr>
      <w:outlineLvl w:val="9"/>
    </w:pPr>
    <w:rPr>
      <w:lang w:val="en-US"/>
    </w:rPr>
  </w:style>
  <w:style w:type="paragraph" w:styleId="TOC1">
    <w:name w:val="toc 1"/>
    <w:basedOn w:val="Normal"/>
    <w:next w:val="Normal"/>
    <w:autoRedefine/>
    <w:uiPriority w:val="39"/>
    <w:unhideWhenUsed/>
    <w:rsid w:val="00FC7A72"/>
    <w:pPr>
      <w:tabs>
        <w:tab w:val="right" w:leader="dot" w:pos="9016"/>
      </w:tabs>
      <w:spacing w:after="100"/>
    </w:pPr>
  </w:style>
  <w:style w:type="paragraph" w:styleId="TOC2">
    <w:name w:val="toc 2"/>
    <w:basedOn w:val="Normal"/>
    <w:next w:val="Normal"/>
    <w:autoRedefine/>
    <w:uiPriority w:val="39"/>
    <w:unhideWhenUsed/>
    <w:rsid w:val="008E08A3"/>
    <w:pPr>
      <w:spacing w:after="100"/>
      <w:ind w:left="220"/>
    </w:pPr>
  </w:style>
  <w:style w:type="paragraph" w:styleId="TOC3">
    <w:name w:val="toc 3"/>
    <w:basedOn w:val="Normal"/>
    <w:next w:val="Normal"/>
    <w:autoRedefine/>
    <w:uiPriority w:val="39"/>
    <w:unhideWhenUsed/>
    <w:rsid w:val="008E08A3"/>
    <w:pPr>
      <w:spacing w:after="100"/>
      <w:ind w:left="440"/>
    </w:pPr>
  </w:style>
  <w:style w:type="paragraph" w:styleId="TOC4">
    <w:name w:val="toc 4"/>
    <w:basedOn w:val="Normal"/>
    <w:next w:val="Normal"/>
    <w:autoRedefine/>
    <w:uiPriority w:val="39"/>
    <w:unhideWhenUsed/>
    <w:rsid w:val="008E08A3"/>
    <w:pPr>
      <w:spacing w:after="100"/>
      <w:ind w:left="660"/>
    </w:pPr>
    <w:rPr>
      <w:rFonts w:eastAsiaTheme="minorEastAsia"/>
      <w:lang w:eastAsia="en-GB"/>
    </w:rPr>
  </w:style>
  <w:style w:type="paragraph" w:styleId="TOC5">
    <w:name w:val="toc 5"/>
    <w:basedOn w:val="Normal"/>
    <w:next w:val="Normal"/>
    <w:autoRedefine/>
    <w:uiPriority w:val="39"/>
    <w:unhideWhenUsed/>
    <w:rsid w:val="008E08A3"/>
    <w:pPr>
      <w:spacing w:after="100"/>
      <w:ind w:left="880"/>
    </w:pPr>
    <w:rPr>
      <w:rFonts w:eastAsiaTheme="minorEastAsia"/>
      <w:lang w:eastAsia="en-GB"/>
    </w:rPr>
  </w:style>
  <w:style w:type="paragraph" w:styleId="TOC6">
    <w:name w:val="toc 6"/>
    <w:basedOn w:val="Normal"/>
    <w:next w:val="Normal"/>
    <w:autoRedefine/>
    <w:uiPriority w:val="39"/>
    <w:unhideWhenUsed/>
    <w:rsid w:val="008E08A3"/>
    <w:pPr>
      <w:spacing w:after="100"/>
      <w:ind w:left="1100"/>
    </w:pPr>
    <w:rPr>
      <w:rFonts w:eastAsiaTheme="minorEastAsia"/>
      <w:lang w:eastAsia="en-GB"/>
    </w:rPr>
  </w:style>
  <w:style w:type="paragraph" w:styleId="TOC7">
    <w:name w:val="toc 7"/>
    <w:basedOn w:val="Normal"/>
    <w:next w:val="Normal"/>
    <w:autoRedefine/>
    <w:uiPriority w:val="39"/>
    <w:unhideWhenUsed/>
    <w:rsid w:val="008E08A3"/>
    <w:pPr>
      <w:spacing w:after="100"/>
      <w:ind w:left="1320"/>
    </w:pPr>
    <w:rPr>
      <w:rFonts w:eastAsiaTheme="minorEastAsia"/>
      <w:lang w:eastAsia="en-GB"/>
    </w:rPr>
  </w:style>
  <w:style w:type="paragraph" w:styleId="TOC8">
    <w:name w:val="toc 8"/>
    <w:basedOn w:val="Normal"/>
    <w:next w:val="Normal"/>
    <w:autoRedefine/>
    <w:uiPriority w:val="39"/>
    <w:unhideWhenUsed/>
    <w:rsid w:val="008E08A3"/>
    <w:pPr>
      <w:spacing w:after="100"/>
      <w:ind w:left="1540"/>
    </w:pPr>
    <w:rPr>
      <w:rFonts w:eastAsiaTheme="minorEastAsia"/>
      <w:lang w:eastAsia="en-GB"/>
    </w:rPr>
  </w:style>
  <w:style w:type="paragraph" w:styleId="TOC9">
    <w:name w:val="toc 9"/>
    <w:basedOn w:val="Normal"/>
    <w:next w:val="Normal"/>
    <w:autoRedefine/>
    <w:uiPriority w:val="39"/>
    <w:unhideWhenUsed/>
    <w:rsid w:val="008E08A3"/>
    <w:pPr>
      <w:spacing w:after="100"/>
      <w:ind w:left="1760"/>
    </w:pPr>
    <w:rPr>
      <w:rFonts w:eastAsiaTheme="minorEastAsia"/>
      <w:lang w:eastAsia="en-GB"/>
    </w:rPr>
  </w:style>
  <w:style w:type="paragraph" w:styleId="TableofFigures">
    <w:name w:val="table of figures"/>
    <w:basedOn w:val="Normal"/>
    <w:next w:val="Normal"/>
    <w:uiPriority w:val="99"/>
    <w:unhideWhenUsed/>
    <w:rsid w:val="0078676C"/>
    <w:pPr>
      <w:spacing w:after="0"/>
    </w:pPr>
  </w:style>
  <w:style w:type="character" w:customStyle="1" w:styleId="highlightedmodterm">
    <w:name w:val="highlightedmodterm"/>
    <w:basedOn w:val="DefaultParagraphFont"/>
    <w:rsid w:val="00740EDE"/>
  </w:style>
  <w:style w:type="paragraph" w:styleId="BalloonText">
    <w:name w:val="Balloon Text"/>
    <w:basedOn w:val="Normal"/>
    <w:link w:val="BalloonTextChar"/>
    <w:semiHidden/>
    <w:unhideWhenUsed/>
    <w:rsid w:val="00DB07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B0742"/>
    <w:rPr>
      <w:rFonts w:ascii="Segoe UI" w:hAnsi="Segoe UI" w:cs="Segoe UI"/>
      <w:sz w:val="18"/>
      <w:szCs w:val="18"/>
    </w:rPr>
  </w:style>
  <w:style w:type="character" w:customStyle="1" w:styleId="Strong1">
    <w:name w:val="Strong1"/>
    <w:basedOn w:val="DefaultParagraphFont"/>
    <w:uiPriority w:val="1"/>
    <w:qFormat/>
    <w:rsid w:val="00DB0742"/>
    <w:rPr>
      <w:b/>
    </w:rPr>
  </w:style>
  <w:style w:type="paragraph" w:customStyle="1" w:styleId="centered">
    <w:name w:val="centered"/>
    <w:basedOn w:val="Normal"/>
    <w:qFormat/>
    <w:rsid w:val="00DB0742"/>
    <w:pPr>
      <w:spacing w:after="0" w:line="240" w:lineRule="auto"/>
      <w:jc w:val="center"/>
    </w:pPr>
    <w:rPr>
      <w:rFonts w:eastAsiaTheme="minorEastAsia"/>
      <w:sz w:val="24"/>
      <w:szCs w:val="24"/>
      <w:lang w:val="en-US"/>
    </w:rPr>
  </w:style>
  <w:style w:type="table" w:customStyle="1" w:styleId="tabletemplate">
    <w:name w:val="table_template"/>
    <w:basedOn w:val="TableNormal"/>
    <w:uiPriority w:val="59"/>
    <w:rsid w:val="00DB0742"/>
    <w:pPr>
      <w:spacing w:after="0" w:line="240" w:lineRule="auto"/>
      <w:jc w:val="right"/>
    </w:pPr>
    <w:rPr>
      <w:rFonts w:eastAsiaTheme="minorEastAsia"/>
      <w:sz w:val="24"/>
      <w:szCs w:val="24"/>
      <w:lang w:val="en-US"/>
    </w:rPr>
    <w:tblPr>
      <w:jc w:val="center"/>
      <w:tblBorders>
        <w:top w:val="single" w:sz="8" w:space="0" w:color="auto"/>
        <w:bottom w:val="single" w:sz="8" w:space="0" w:color="auto"/>
        <w:insideH w:val="single" w:sz="8" w:space="0" w:color="auto"/>
      </w:tblBorders>
    </w:tblPr>
    <w:trPr>
      <w:jc w:val="center"/>
    </w:trPr>
    <w:tblStylePr w:type="firstRow">
      <w:rPr>
        <w:b/>
      </w:rPr>
      <w:tblPr/>
      <w:tcPr>
        <w:tcBorders>
          <w:top w:val="nil"/>
          <w:left w:val="nil"/>
          <w:bottom w:val="single" w:sz="18" w:space="0" w:color="auto"/>
          <w:right w:val="nil"/>
          <w:insideH w:val="nil"/>
          <w:insideV w:val="nil"/>
          <w:tl2br w:val="nil"/>
          <w:tr2bl w:val="nil"/>
        </w:tcBorders>
      </w:tcPr>
    </w:tblStylePr>
  </w:style>
  <w:style w:type="table" w:styleId="LightList-Accent2">
    <w:name w:val="Light List Accent 2"/>
    <w:basedOn w:val="TableNormal"/>
    <w:uiPriority w:val="61"/>
    <w:rsid w:val="00DB0742"/>
    <w:pPr>
      <w:spacing w:after="0" w:line="240" w:lineRule="auto"/>
    </w:pPr>
    <w:rPr>
      <w:rFonts w:eastAsiaTheme="minorEastAsia"/>
      <w:sz w:val="24"/>
      <w:szCs w:val="24"/>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ImageCaption">
    <w:name w:val="Image Caption"/>
    <w:basedOn w:val="Normal"/>
    <w:qFormat/>
    <w:rsid w:val="00DB0742"/>
    <w:pPr>
      <w:spacing w:after="0" w:line="240" w:lineRule="auto"/>
      <w:jc w:val="center"/>
    </w:pPr>
    <w:rPr>
      <w:rFonts w:eastAsiaTheme="minorEastAsia"/>
      <w:b/>
      <w:i/>
      <w:sz w:val="24"/>
      <w:szCs w:val="24"/>
      <w:lang w:val="en-US"/>
    </w:rPr>
  </w:style>
  <w:style w:type="paragraph" w:customStyle="1" w:styleId="TableCaption">
    <w:name w:val="Table Caption"/>
    <w:basedOn w:val="ImageCaption"/>
    <w:qFormat/>
    <w:rsid w:val="00DB0742"/>
  </w:style>
  <w:style w:type="table" w:styleId="TableProfessional">
    <w:name w:val="Table Professional"/>
    <w:basedOn w:val="TableNormal"/>
    <w:semiHidden/>
    <w:unhideWhenUsed/>
    <w:rsid w:val="00DB0742"/>
    <w:pPr>
      <w:spacing w:after="0" w:line="240" w:lineRule="auto"/>
    </w:pPr>
    <w:rPr>
      <w:rFonts w:eastAsiaTheme="minorEastAsia"/>
      <w:sz w:val="24"/>
      <w:szCs w:val="24"/>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character" w:customStyle="1" w:styleId="referenceid">
    <w:name w:val="reference_id"/>
    <w:basedOn w:val="DefaultParagraphFont"/>
    <w:uiPriority w:val="1"/>
    <w:rsid w:val="00DB0742"/>
    <w:rPr>
      <w:vertAlign w:val="superscript"/>
    </w:rPr>
  </w:style>
  <w:style w:type="paragraph" w:customStyle="1" w:styleId="graphictitle">
    <w:name w:val="graphic title"/>
    <w:basedOn w:val="ImageCaption"/>
    <w:next w:val="Normal"/>
    <w:rsid w:val="00DB0742"/>
  </w:style>
  <w:style w:type="paragraph" w:customStyle="1" w:styleId="tabletitle">
    <w:name w:val="table title"/>
    <w:basedOn w:val="TableCaption"/>
    <w:next w:val="Normal"/>
    <w:rsid w:val="00DB0742"/>
  </w:style>
  <w:style w:type="character" w:styleId="Strong">
    <w:name w:val="Strong"/>
    <w:basedOn w:val="DefaultParagraphFont"/>
    <w:qFormat/>
    <w:rsid w:val="00DB0742"/>
    <w:rPr>
      <w:b/>
      <w:bCs/>
    </w:rPr>
  </w:style>
  <w:style w:type="paragraph" w:styleId="Subtitle">
    <w:name w:val="Subtitle"/>
    <w:basedOn w:val="Normal"/>
    <w:next w:val="Normal"/>
    <w:link w:val="SubtitleChar"/>
    <w:qFormat/>
    <w:rsid w:val="00DB0742"/>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rsid w:val="00DB0742"/>
    <w:rPr>
      <w:rFonts w:eastAsiaTheme="minorEastAsia"/>
      <w:color w:val="5A5A5A" w:themeColor="text1" w:themeTint="A5"/>
      <w:spacing w:val="15"/>
    </w:rPr>
  </w:style>
  <w:style w:type="paragraph" w:styleId="FootnoteText">
    <w:name w:val="footnote text"/>
    <w:basedOn w:val="Normal"/>
    <w:link w:val="FootnoteTextChar"/>
    <w:semiHidden/>
    <w:unhideWhenUsed/>
    <w:rsid w:val="00DB0742"/>
    <w:pPr>
      <w:spacing w:after="0" w:line="240" w:lineRule="auto"/>
    </w:pPr>
    <w:rPr>
      <w:sz w:val="20"/>
      <w:szCs w:val="20"/>
    </w:rPr>
  </w:style>
  <w:style w:type="character" w:customStyle="1" w:styleId="FootnoteTextChar">
    <w:name w:val="Footnote Text Char"/>
    <w:basedOn w:val="DefaultParagraphFont"/>
    <w:link w:val="FootnoteText"/>
    <w:semiHidden/>
    <w:rsid w:val="00DB0742"/>
    <w:rPr>
      <w:sz w:val="20"/>
      <w:szCs w:val="20"/>
    </w:rPr>
  </w:style>
  <w:style w:type="character" w:styleId="FootnoteReference">
    <w:name w:val="footnote reference"/>
    <w:basedOn w:val="DefaultParagraphFont"/>
    <w:semiHidden/>
    <w:unhideWhenUsed/>
    <w:rsid w:val="00DB0742"/>
    <w:rPr>
      <w:vertAlign w:val="superscript"/>
    </w:rPr>
  </w:style>
  <w:style w:type="character" w:customStyle="1" w:styleId="UnresolvedMention1">
    <w:name w:val="Unresolved Mention1"/>
    <w:basedOn w:val="DefaultParagraphFont"/>
    <w:uiPriority w:val="99"/>
    <w:semiHidden/>
    <w:unhideWhenUsed/>
    <w:rsid w:val="00DB0742"/>
    <w:rPr>
      <w:color w:val="605E5C"/>
      <w:shd w:val="clear" w:color="auto" w:fill="E1DFDD"/>
    </w:rPr>
  </w:style>
  <w:style w:type="paragraph" w:styleId="Bibliography">
    <w:name w:val="Bibliography"/>
    <w:basedOn w:val="Normal"/>
    <w:next w:val="Normal"/>
    <w:uiPriority w:val="37"/>
    <w:unhideWhenUsed/>
    <w:rsid w:val="00DB0742"/>
  </w:style>
  <w:style w:type="paragraph" w:styleId="EndnoteText">
    <w:name w:val="endnote text"/>
    <w:basedOn w:val="Normal"/>
    <w:link w:val="EndnoteTextChar"/>
    <w:semiHidden/>
    <w:unhideWhenUsed/>
    <w:rsid w:val="00DB0742"/>
    <w:pPr>
      <w:spacing w:after="0" w:line="240" w:lineRule="auto"/>
    </w:pPr>
    <w:rPr>
      <w:sz w:val="20"/>
      <w:szCs w:val="20"/>
    </w:rPr>
  </w:style>
  <w:style w:type="character" w:customStyle="1" w:styleId="EndnoteTextChar">
    <w:name w:val="Endnote Text Char"/>
    <w:basedOn w:val="DefaultParagraphFont"/>
    <w:link w:val="EndnoteText"/>
    <w:semiHidden/>
    <w:rsid w:val="00DB0742"/>
    <w:rPr>
      <w:sz w:val="20"/>
      <w:szCs w:val="20"/>
    </w:rPr>
  </w:style>
  <w:style w:type="character" w:styleId="EndnoteReference">
    <w:name w:val="endnote reference"/>
    <w:basedOn w:val="DefaultParagraphFont"/>
    <w:semiHidden/>
    <w:unhideWhenUsed/>
    <w:rsid w:val="00DB0742"/>
    <w:rPr>
      <w:vertAlign w:val="superscript"/>
    </w:rPr>
  </w:style>
  <w:style w:type="paragraph" w:styleId="Revision">
    <w:name w:val="Revision"/>
    <w:hidden/>
    <w:uiPriority w:val="99"/>
    <w:semiHidden/>
    <w:rsid w:val="00DB0742"/>
    <w:pPr>
      <w:spacing w:after="0" w:line="240" w:lineRule="auto"/>
    </w:pPr>
  </w:style>
  <w:style w:type="table" w:styleId="LightShading-Accent4">
    <w:name w:val="Light Shading Accent 4"/>
    <w:basedOn w:val="TableNormal"/>
    <w:uiPriority w:val="60"/>
    <w:rsid w:val="00DB0742"/>
    <w:pPr>
      <w:spacing w:after="0" w:line="240" w:lineRule="auto"/>
    </w:pPr>
    <w:rPr>
      <w:rFonts w:ascii="Tahoma" w:eastAsia="Tahoma" w:hAnsi="Tahoma" w:cs="Tahoma"/>
      <w:color w:val="5F497A"/>
      <w:sz w:val="20"/>
      <w:szCs w:val="20"/>
      <w:lang w:eastAsia="zh-CN"/>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normaltextrun">
    <w:name w:val="normaltextrun"/>
    <w:basedOn w:val="DefaultParagraphFont"/>
    <w:rsid w:val="00A762E0"/>
  </w:style>
  <w:style w:type="paragraph" w:customStyle="1" w:styleId="cl-456ff42e">
    <w:name w:val="cl-456ff42e"/>
    <w:basedOn w:val="Normal"/>
    <w:rsid w:val="007B756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l-456e949e">
    <w:name w:val="cl-456e949e"/>
    <w:basedOn w:val="DefaultParagraphFont"/>
    <w:rsid w:val="007B756D"/>
  </w:style>
  <w:style w:type="paragraph" w:customStyle="1" w:styleId="cl-456ff42f">
    <w:name w:val="cl-456ff42f"/>
    <w:basedOn w:val="Normal"/>
    <w:rsid w:val="007B756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l-456e949f">
    <w:name w:val="cl-456e949f"/>
    <w:basedOn w:val="DefaultParagraphFont"/>
    <w:rsid w:val="007B756D"/>
  </w:style>
  <w:style w:type="table" w:styleId="GridTable1Light">
    <w:name w:val="Grid Table 1 Light"/>
    <w:basedOn w:val="TableNormal"/>
    <w:uiPriority w:val="46"/>
    <w:rsid w:val="0027163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DC3283"/>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5">
    <w:name w:val="xl65"/>
    <w:basedOn w:val="Normal"/>
    <w:rsid w:val="00DC3283"/>
    <w:pPr>
      <w:pBdr>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n-GB"/>
    </w:rPr>
  </w:style>
  <w:style w:type="paragraph" w:customStyle="1" w:styleId="xl66">
    <w:name w:val="xl66"/>
    <w:basedOn w:val="Normal"/>
    <w:rsid w:val="00DC3283"/>
    <w:pPr>
      <w:pBdr>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en-GB"/>
    </w:rPr>
  </w:style>
  <w:style w:type="paragraph" w:customStyle="1" w:styleId="xl67">
    <w:name w:val="xl67"/>
    <w:basedOn w:val="Normal"/>
    <w:rsid w:val="00DC328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n-GB"/>
    </w:rPr>
  </w:style>
  <w:style w:type="paragraph" w:customStyle="1" w:styleId="xl68">
    <w:name w:val="xl68"/>
    <w:basedOn w:val="Normal"/>
    <w:rsid w:val="00DC3283"/>
    <w:pPr>
      <w:pBdr>
        <w:right w:val="single" w:sz="8"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color w:val="000000"/>
      <w:sz w:val="18"/>
      <w:szCs w:val="18"/>
      <w:lang w:eastAsia="en-GB"/>
    </w:rPr>
  </w:style>
  <w:style w:type="paragraph" w:customStyle="1" w:styleId="xl69">
    <w:name w:val="xl69"/>
    <w:basedOn w:val="Normal"/>
    <w:rsid w:val="00DC328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GB"/>
    </w:rPr>
  </w:style>
  <w:style w:type="paragraph" w:customStyle="1" w:styleId="xl70">
    <w:name w:val="xl70"/>
    <w:basedOn w:val="Normal"/>
    <w:rsid w:val="00DC3283"/>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GB"/>
    </w:rPr>
  </w:style>
  <w:style w:type="paragraph" w:customStyle="1" w:styleId="xl71">
    <w:name w:val="xl71"/>
    <w:basedOn w:val="Normal"/>
    <w:rsid w:val="00DC3283"/>
    <w:pPr>
      <w:pBdr>
        <w:bottom w:val="single" w:sz="12" w:space="0" w:color="000000"/>
        <w:right w:val="single" w:sz="8"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color w:val="000000"/>
      <w:sz w:val="18"/>
      <w:szCs w:val="18"/>
      <w:lang w:eastAsia="en-GB"/>
    </w:rPr>
  </w:style>
  <w:style w:type="paragraph" w:customStyle="1" w:styleId="xl72">
    <w:name w:val="xl72"/>
    <w:basedOn w:val="Normal"/>
    <w:rsid w:val="00DC3283"/>
    <w:pPr>
      <w:pBdr>
        <w:bottom w:val="single" w:sz="12"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GB"/>
    </w:rPr>
  </w:style>
  <w:style w:type="paragraph" w:customStyle="1" w:styleId="xl73">
    <w:name w:val="xl73"/>
    <w:basedOn w:val="Normal"/>
    <w:rsid w:val="00DC3283"/>
    <w:pPr>
      <w:pBdr>
        <w:bottom w:val="single" w:sz="12" w:space="0" w:color="000000"/>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GB"/>
    </w:rPr>
  </w:style>
  <w:style w:type="paragraph" w:customStyle="1" w:styleId="xl74">
    <w:name w:val="xl74"/>
    <w:basedOn w:val="Normal"/>
    <w:rsid w:val="00DC3283"/>
    <w:pPr>
      <w:pBdr>
        <w:top w:val="single" w:sz="12" w:space="0" w:color="000000"/>
        <w:left w:val="single" w:sz="8" w:space="0" w:color="auto"/>
        <w:bottom w:val="single" w:sz="12"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75">
    <w:name w:val="xl75"/>
    <w:basedOn w:val="Normal"/>
    <w:rsid w:val="00DC3283"/>
    <w:pPr>
      <w:pBdr>
        <w:top w:val="single" w:sz="12" w:space="0" w:color="000000"/>
        <w:bottom w:val="single" w:sz="12"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76">
    <w:name w:val="xl76"/>
    <w:basedOn w:val="Normal"/>
    <w:rsid w:val="00DC3283"/>
    <w:pPr>
      <w:pBdr>
        <w:top w:val="single" w:sz="12" w:space="0" w:color="000000"/>
        <w:bottom w:val="single" w:sz="12" w:space="0" w:color="000000"/>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77">
    <w:name w:val="xl77"/>
    <w:basedOn w:val="Normal"/>
    <w:rsid w:val="00DC3283"/>
    <w:pPr>
      <w:pBdr>
        <w:top w:val="single" w:sz="12" w:space="0" w:color="000000"/>
        <w:bottom w:val="single" w:sz="12" w:space="0" w:color="000000"/>
        <w:right w:val="single" w:sz="8"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78">
    <w:name w:val="xl78"/>
    <w:basedOn w:val="Normal"/>
    <w:rsid w:val="00DC3283"/>
    <w:pPr>
      <w:pBdr>
        <w:lef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79">
    <w:name w:val="xl79"/>
    <w:basedOn w:val="Normal"/>
    <w:rsid w:val="00DC3283"/>
    <w:pP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0">
    <w:name w:val="xl80"/>
    <w:basedOn w:val="Normal"/>
    <w:rsid w:val="00DC3283"/>
    <w:pPr>
      <w:pBdr>
        <w:righ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1">
    <w:name w:val="xl81"/>
    <w:basedOn w:val="Normal"/>
    <w:rsid w:val="00DC3283"/>
    <w:pPr>
      <w:pBdr>
        <w:left w:val="single" w:sz="8" w:space="0" w:color="auto"/>
        <w:bottom w:val="single" w:sz="8" w:space="0" w:color="000000"/>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2">
    <w:name w:val="xl82"/>
    <w:basedOn w:val="Normal"/>
    <w:rsid w:val="00DC3283"/>
    <w:pPr>
      <w:pBdr>
        <w:bottom w:val="single" w:sz="8" w:space="0" w:color="000000"/>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3">
    <w:name w:val="xl83"/>
    <w:basedOn w:val="Normal"/>
    <w:rsid w:val="00DC3283"/>
    <w:pPr>
      <w:pBdr>
        <w:bottom w:val="single" w:sz="8" w:space="0" w:color="000000"/>
        <w:righ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4">
    <w:name w:val="xl84"/>
    <w:basedOn w:val="Normal"/>
    <w:rsid w:val="00DC3283"/>
    <w:pPr>
      <w:pBdr>
        <w:bottom w:val="single" w:sz="8" w:space="0" w:color="auto"/>
        <w:righ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5">
    <w:name w:val="xl85"/>
    <w:basedOn w:val="Normal"/>
    <w:rsid w:val="00DC3283"/>
    <w:pPr>
      <w:pBdr>
        <w:top w:val="single" w:sz="12" w:space="0" w:color="000000"/>
        <w:righ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6">
    <w:name w:val="xl86"/>
    <w:basedOn w:val="Normal"/>
    <w:rsid w:val="00DC3283"/>
    <w:pPr>
      <w:pBdr>
        <w:top w:val="single" w:sz="12" w:space="0" w:color="000000"/>
        <w:right w:val="single" w:sz="8"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GB"/>
    </w:rPr>
  </w:style>
  <w:style w:type="paragraph" w:customStyle="1" w:styleId="xl87">
    <w:name w:val="xl87"/>
    <w:basedOn w:val="Normal"/>
    <w:rsid w:val="00DC3283"/>
    <w:pPr>
      <w:shd w:val="clear" w:color="000000" w:fill="E7E6E6"/>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88">
    <w:name w:val="xl88"/>
    <w:basedOn w:val="Normal"/>
    <w:rsid w:val="00DC3283"/>
    <w:pPr>
      <w:pBdr>
        <w:bottom w:val="single" w:sz="8" w:space="0" w:color="000000"/>
      </w:pBdr>
      <w:shd w:val="clear" w:color="000000" w:fill="E7E6E6"/>
      <w:spacing w:before="100" w:beforeAutospacing="1" w:after="100" w:afterAutospacing="1" w:line="240" w:lineRule="auto"/>
      <w:textAlignment w:val="center"/>
    </w:pPr>
    <w:rPr>
      <w:rFonts w:ascii="Times New Roman" w:eastAsia="Times New Roman" w:hAnsi="Times New Roman" w:cs="Times New Roman"/>
      <w:sz w:val="24"/>
      <w:szCs w:val="24"/>
      <w:lang w:eastAsia="en-GB"/>
    </w:rPr>
  </w:style>
  <w:style w:type="paragraph" w:customStyle="1" w:styleId="xl89">
    <w:name w:val="xl89"/>
    <w:basedOn w:val="Normal"/>
    <w:rsid w:val="00DC3283"/>
    <w:pP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character" w:customStyle="1" w:styleId="Heading7Char">
    <w:name w:val="Heading 7 Char"/>
    <w:basedOn w:val="DefaultParagraphFont"/>
    <w:link w:val="Heading7"/>
    <w:rsid w:val="0065749A"/>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rsid w:val="0065749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rsid w:val="0065749A"/>
    <w:rPr>
      <w:rFonts w:asciiTheme="majorHAnsi" w:eastAsiaTheme="majorEastAsia" w:hAnsiTheme="majorHAnsi" w:cstheme="majorBidi"/>
      <w:i/>
      <w:iCs/>
      <w:color w:val="272727" w:themeColor="text1" w:themeTint="D8"/>
      <w:sz w:val="21"/>
      <w:szCs w:val="21"/>
    </w:rPr>
  </w:style>
  <w:style w:type="character" w:customStyle="1" w:styleId="NoSpacingChar">
    <w:name w:val="No Spacing Char"/>
    <w:basedOn w:val="DefaultParagraphFont"/>
    <w:link w:val="NoSpacing"/>
    <w:uiPriority w:val="1"/>
    <w:rsid w:val="0065749A"/>
    <w:rPr>
      <w:rFonts w:ascii="Calibri" w:eastAsia="Calibri" w:hAnsi="Calibri" w:cs="Calibri"/>
      <w:color w:val="000000"/>
      <w:u w:color="000000"/>
      <w:bdr w:val="nil"/>
      <w:lang w:val="en-US" w:eastAsia="zh-CN"/>
    </w:rPr>
  </w:style>
  <w:style w:type="character" w:customStyle="1" w:styleId="apple-converted-space">
    <w:name w:val="apple-converted-space"/>
    <w:basedOn w:val="DefaultParagraphFont"/>
    <w:rsid w:val="0065749A"/>
  </w:style>
  <w:style w:type="table" w:customStyle="1" w:styleId="TableGrid1">
    <w:name w:val="Table Grid1"/>
    <w:basedOn w:val="TableNormal"/>
    <w:next w:val="TableGrid"/>
    <w:uiPriority w:val="39"/>
    <w:rsid w:val="006574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5749A"/>
    <w:rPr>
      <w:color w:val="808080"/>
    </w:rPr>
  </w:style>
  <w:style w:type="character" w:customStyle="1" w:styleId="eop">
    <w:name w:val="eop"/>
    <w:basedOn w:val="DefaultParagraphFont"/>
    <w:rsid w:val="0065749A"/>
  </w:style>
  <w:style w:type="paragraph" w:styleId="PlainText">
    <w:name w:val="Plain Text"/>
    <w:aliases w:val="Plain Text Char1,Plain Text Char Char,Plain Text Char2 Char Char,P..."/>
    <w:basedOn w:val="Normal"/>
    <w:link w:val="PlainTextChar"/>
    <w:unhideWhenUsed/>
    <w:rsid w:val="0065749A"/>
    <w:pPr>
      <w:spacing w:after="0" w:line="240" w:lineRule="auto"/>
    </w:pPr>
    <w:rPr>
      <w:rFonts w:ascii="Calibri" w:hAnsi="Calibri"/>
      <w:szCs w:val="21"/>
    </w:rPr>
  </w:style>
  <w:style w:type="character" w:customStyle="1" w:styleId="PlainTextChar">
    <w:name w:val="Plain Text Char"/>
    <w:aliases w:val="Plain Text Char1 Char,Plain Text Char Char Char,Plain Text Char2 Char Char Char,P... Char"/>
    <w:basedOn w:val="DefaultParagraphFont"/>
    <w:link w:val="PlainText"/>
    <w:rsid w:val="0065749A"/>
    <w:rPr>
      <w:rFonts w:ascii="Calibri" w:hAnsi="Calibri"/>
      <w:szCs w:val="21"/>
    </w:rPr>
  </w:style>
  <w:style w:type="character" w:styleId="PageNumber">
    <w:name w:val="page number"/>
    <w:basedOn w:val="DefaultParagraphFont"/>
    <w:rsid w:val="0065749A"/>
  </w:style>
  <w:style w:type="paragraph" w:customStyle="1" w:styleId="tracmac">
    <w:name w:val="tracmac"/>
    <w:basedOn w:val="Normal"/>
    <w:rsid w:val="0065749A"/>
    <w:pPr>
      <w:spacing w:before="60" w:after="60" w:line="240" w:lineRule="auto"/>
    </w:pPr>
    <w:rPr>
      <w:rFonts w:ascii="Arial" w:eastAsia="Times New Roman" w:hAnsi="Arial" w:cs="Times New Roman"/>
      <w:sz w:val="24"/>
      <w:szCs w:val="20"/>
    </w:rPr>
  </w:style>
  <w:style w:type="paragraph" w:customStyle="1" w:styleId="NumberNormal">
    <w:name w:val="Number Normal"/>
    <w:basedOn w:val="NormalIndent"/>
    <w:rsid w:val="00BF5EA3"/>
    <w:pPr>
      <w:numPr>
        <w:numId w:val="54"/>
      </w:numPr>
    </w:pPr>
    <w:rPr>
      <w:lang w:eastAsia="en-GB"/>
    </w:rPr>
  </w:style>
  <w:style w:type="paragraph" w:customStyle="1" w:styleId="Authors">
    <w:name w:val="Authors"/>
    <w:basedOn w:val="Normal"/>
    <w:rsid w:val="0065749A"/>
    <w:pPr>
      <w:keepNext/>
      <w:spacing w:before="240" w:after="0" w:line="240" w:lineRule="auto"/>
    </w:pPr>
    <w:rPr>
      <w:rFonts w:ascii="Arial" w:eastAsia="Times New Roman" w:hAnsi="Arial" w:cs="Times New Roman"/>
      <w:szCs w:val="20"/>
    </w:rPr>
  </w:style>
  <w:style w:type="paragraph" w:customStyle="1" w:styleId="CommentChar">
    <w:name w:val="Comment Char"/>
    <w:basedOn w:val="Normal"/>
    <w:next w:val="Text"/>
    <w:link w:val="CommentCharChar"/>
    <w:rsid w:val="0065749A"/>
    <w:pPr>
      <w:keepLines/>
      <w:spacing w:before="120" w:after="0" w:line="240" w:lineRule="auto"/>
      <w:jc w:val="both"/>
    </w:pPr>
    <w:rPr>
      <w:rFonts w:ascii="Arial" w:eastAsia="Times New Roman" w:hAnsi="Arial" w:cs="Times New Roman"/>
      <w:i/>
      <w:color w:val="BF30B5"/>
      <w:szCs w:val="24"/>
    </w:rPr>
  </w:style>
  <w:style w:type="paragraph" w:customStyle="1" w:styleId="Compound">
    <w:name w:val="Compound"/>
    <w:basedOn w:val="Normal"/>
    <w:rsid w:val="0065749A"/>
    <w:pPr>
      <w:keepNext/>
      <w:spacing w:before="720" w:after="0" w:line="240" w:lineRule="auto"/>
      <w:jc w:val="center"/>
    </w:pPr>
    <w:rPr>
      <w:rFonts w:ascii="Arial" w:eastAsia="Times New Roman" w:hAnsi="Arial" w:cs="Times New Roman"/>
      <w:sz w:val="32"/>
      <w:szCs w:val="20"/>
    </w:rPr>
  </w:style>
  <w:style w:type="paragraph" w:customStyle="1" w:styleId="Dedicatednumber">
    <w:name w:val="Dedicatednumber"/>
    <w:basedOn w:val="Normal"/>
    <w:rsid w:val="0065749A"/>
    <w:pPr>
      <w:keepNext/>
      <w:spacing w:before="720" w:after="0" w:line="240" w:lineRule="auto"/>
      <w:jc w:val="center"/>
    </w:pPr>
    <w:rPr>
      <w:rFonts w:ascii="Arial" w:eastAsia="Times New Roman" w:hAnsi="Arial" w:cs="Times New Roman"/>
      <w:sz w:val="28"/>
      <w:szCs w:val="20"/>
    </w:rPr>
  </w:style>
  <w:style w:type="paragraph" w:customStyle="1" w:styleId="Department">
    <w:name w:val="Department"/>
    <w:basedOn w:val="Normal"/>
    <w:rsid w:val="0065749A"/>
    <w:pPr>
      <w:keepNext/>
      <w:spacing w:before="360" w:after="0" w:line="240" w:lineRule="auto"/>
      <w:jc w:val="center"/>
    </w:pPr>
    <w:rPr>
      <w:rFonts w:ascii="Arial" w:eastAsia="Times New Roman" w:hAnsi="Arial" w:cs="Times New Roman"/>
      <w:sz w:val="28"/>
      <w:szCs w:val="20"/>
    </w:rPr>
  </w:style>
  <w:style w:type="paragraph" w:customStyle="1" w:styleId="Docstatus">
    <w:name w:val="Docstatus"/>
    <w:basedOn w:val="Normal"/>
    <w:rsid w:val="0065749A"/>
    <w:pPr>
      <w:keepNext/>
      <w:spacing w:before="240" w:after="0" w:line="240" w:lineRule="auto"/>
    </w:pPr>
    <w:rPr>
      <w:rFonts w:ascii="Arial" w:eastAsia="Times New Roman" w:hAnsi="Arial" w:cs="Times New Roman"/>
      <w:szCs w:val="20"/>
    </w:rPr>
  </w:style>
  <w:style w:type="paragraph" w:customStyle="1" w:styleId="Doctype">
    <w:name w:val="Doctype"/>
    <w:basedOn w:val="Dedicatednumber"/>
    <w:rsid w:val="0065749A"/>
    <w:pPr>
      <w:spacing w:before="240"/>
      <w:jc w:val="left"/>
    </w:pPr>
    <w:rPr>
      <w:sz w:val="24"/>
    </w:rPr>
  </w:style>
  <w:style w:type="paragraph" w:customStyle="1" w:styleId="Firstpageinfo">
    <w:name w:val="Firstpageinfo"/>
    <w:basedOn w:val="Heading5"/>
    <w:rsid w:val="0065749A"/>
  </w:style>
  <w:style w:type="paragraph" w:customStyle="1" w:styleId="Listlevel1">
    <w:name w:val="List level 1"/>
    <w:basedOn w:val="Normal"/>
    <w:rsid w:val="0065749A"/>
    <w:pPr>
      <w:spacing w:before="40" w:after="20" w:line="240" w:lineRule="auto"/>
      <w:ind w:left="425" w:hanging="425"/>
    </w:pPr>
    <w:rPr>
      <w:rFonts w:ascii="Arial" w:eastAsia="Times New Roman" w:hAnsi="Arial" w:cs="Times New Roman"/>
      <w:szCs w:val="20"/>
    </w:rPr>
  </w:style>
  <w:style w:type="paragraph" w:customStyle="1" w:styleId="Listlevel2">
    <w:name w:val="List level 2"/>
    <w:basedOn w:val="Listlevel1"/>
    <w:rsid w:val="0065749A"/>
    <w:pPr>
      <w:ind w:left="850"/>
    </w:pPr>
  </w:style>
  <w:style w:type="paragraph" w:customStyle="1" w:styleId="Non-proportional">
    <w:name w:val="Non-proportional"/>
    <w:basedOn w:val="Normal"/>
    <w:rsid w:val="0065749A"/>
    <w:pPr>
      <w:spacing w:after="0" w:line="240" w:lineRule="atLeast"/>
      <w:jc w:val="both"/>
    </w:pPr>
    <w:rPr>
      <w:rFonts w:ascii="Courier New" w:eastAsia="Times New Roman" w:hAnsi="Courier New" w:cs="Times New Roman"/>
      <w:spacing w:val="-10"/>
      <w:sz w:val="18"/>
      <w:szCs w:val="20"/>
    </w:rPr>
  </w:style>
  <w:style w:type="paragraph" w:customStyle="1" w:styleId="Nottoc-headingsChar">
    <w:name w:val="Not toc-headings Char"/>
    <w:basedOn w:val="Normal"/>
    <w:next w:val="Text"/>
    <w:link w:val="Nottoc-headingsCharChar"/>
    <w:rsid w:val="0065749A"/>
    <w:pPr>
      <w:keepNext/>
      <w:keepLines/>
      <w:spacing w:before="240" w:after="60" w:line="240" w:lineRule="auto"/>
      <w:ind w:left="1701" w:hanging="1701"/>
    </w:pPr>
    <w:rPr>
      <w:rFonts w:ascii="Arial" w:eastAsia="Times New Roman" w:hAnsi="Arial" w:cs="Times New Roman"/>
      <w:b/>
      <w:szCs w:val="20"/>
    </w:rPr>
  </w:style>
  <w:style w:type="paragraph" w:customStyle="1" w:styleId="Numberofpages">
    <w:name w:val="Numberofpages"/>
    <w:basedOn w:val="Normal"/>
    <w:rsid w:val="0065749A"/>
    <w:pPr>
      <w:keepNext/>
      <w:spacing w:before="240" w:after="0" w:line="240" w:lineRule="auto"/>
    </w:pPr>
    <w:rPr>
      <w:rFonts w:ascii="Arial" w:eastAsia="Times New Roman" w:hAnsi="Arial" w:cs="Times New Roman"/>
      <w:szCs w:val="20"/>
    </w:rPr>
  </w:style>
  <w:style w:type="paragraph" w:customStyle="1" w:styleId="Propertystatement">
    <w:name w:val="Propertystatement"/>
    <w:basedOn w:val="Numberofpages"/>
    <w:rsid w:val="0065749A"/>
    <w:pPr>
      <w:keepNext w:val="0"/>
      <w:spacing w:before="1200"/>
      <w:jc w:val="center"/>
    </w:pPr>
    <w:rPr>
      <w:sz w:val="20"/>
    </w:rPr>
  </w:style>
  <w:style w:type="paragraph" w:customStyle="1" w:styleId="Reference">
    <w:name w:val="Reference"/>
    <w:basedOn w:val="Normal"/>
    <w:rsid w:val="0065749A"/>
    <w:pPr>
      <w:spacing w:before="80" w:after="60" w:line="240" w:lineRule="auto"/>
    </w:pPr>
    <w:rPr>
      <w:rFonts w:ascii="Arial" w:eastAsia="Times New Roman" w:hAnsi="Arial" w:cs="Times New Roman"/>
      <w:szCs w:val="20"/>
    </w:rPr>
  </w:style>
  <w:style w:type="paragraph" w:customStyle="1" w:styleId="Releasedate">
    <w:name w:val="Releasedate"/>
    <w:basedOn w:val="Docstatus"/>
    <w:rsid w:val="0065749A"/>
  </w:style>
  <w:style w:type="paragraph" w:customStyle="1" w:styleId="Table">
    <w:name w:val="Table"/>
    <w:basedOn w:val="Nottoc-headingsChar"/>
    <w:link w:val="TableChar"/>
    <w:rsid w:val="0065749A"/>
    <w:pPr>
      <w:keepNext w:val="0"/>
      <w:tabs>
        <w:tab w:val="left" w:pos="284"/>
      </w:tabs>
      <w:spacing w:before="40" w:after="20"/>
      <w:ind w:left="0" w:firstLine="0"/>
    </w:pPr>
    <w:rPr>
      <w:b w:val="0"/>
      <w:sz w:val="20"/>
    </w:rPr>
  </w:style>
  <w:style w:type="paragraph" w:customStyle="1" w:styleId="Text">
    <w:name w:val="Text"/>
    <w:basedOn w:val="Normal"/>
    <w:rsid w:val="0065749A"/>
    <w:pPr>
      <w:spacing w:before="120" w:after="0" w:line="240" w:lineRule="auto"/>
      <w:jc w:val="both"/>
    </w:pPr>
    <w:rPr>
      <w:rFonts w:ascii="Arial" w:eastAsia="Times New Roman" w:hAnsi="Arial" w:cs="Times New Roman"/>
      <w:szCs w:val="20"/>
    </w:rPr>
  </w:style>
  <w:style w:type="paragraph" w:customStyle="1" w:styleId="Synopsis">
    <w:name w:val="Synopsis"/>
    <w:basedOn w:val="Text"/>
    <w:rsid w:val="0065749A"/>
    <w:rPr>
      <w:sz w:val="20"/>
    </w:rPr>
  </w:style>
  <w:style w:type="numbering" w:styleId="111111">
    <w:name w:val="Outline List 2"/>
    <w:basedOn w:val="NoList"/>
    <w:semiHidden/>
    <w:rsid w:val="00BF5EA3"/>
    <w:pPr>
      <w:numPr>
        <w:numId w:val="55"/>
      </w:numPr>
    </w:pPr>
  </w:style>
  <w:style w:type="paragraph" w:customStyle="1" w:styleId="SAStext">
    <w:name w:val="SAS text"/>
    <w:link w:val="SAStextChar"/>
    <w:rsid w:val="0065749A"/>
    <w:pPr>
      <w:spacing w:after="0" w:line="240" w:lineRule="auto"/>
    </w:pPr>
    <w:rPr>
      <w:rFonts w:ascii="Courier New" w:eastAsia="Times New Roman" w:hAnsi="Courier New" w:cs="Times New Roman"/>
      <w:spacing w:val="-10"/>
      <w:sz w:val="24"/>
      <w:szCs w:val="20"/>
      <w:lang w:val="en-US"/>
    </w:rPr>
  </w:style>
  <w:style w:type="paragraph" w:customStyle="1" w:styleId="TOCEntry">
    <w:name w:val="TOC Entry"/>
    <w:basedOn w:val="Heading2"/>
    <w:next w:val="Text"/>
    <w:rsid w:val="0065749A"/>
  </w:style>
  <w:style w:type="numbering" w:styleId="1ai">
    <w:name w:val="Outline List 1"/>
    <w:basedOn w:val="NoList"/>
    <w:semiHidden/>
    <w:rsid w:val="00BF5EA3"/>
    <w:pPr>
      <w:numPr>
        <w:numId w:val="56"/>
      </w:numPr>
    </w:pPr>
  </w:style>
  <w:style w:type="numbering" w:styleId="ArticleSection">
    <w:name w:val="Outline List 3"/>
    <w:basedOn w:val="NoList"/>
    <w:semiHidden/>
    <w:rsid w:val="00BF5EA3"/>
    <w:pPr>
      <w:numPr>
        <w:numId w:val="57"/>
      </w:numPr>
    </w:pPr>
  </w:style>
  <w:style w:type="paragraph" w:styleId="BlockText">
    <w:name w:val="Block Text"/>
    <w:basedOn w:val="Normal"/>
    <w:semiHidden/>
    <w:rsid w:val="0065749A"/>
    <w:pPr>
      <w:spacing w:after="120" w:line="240" w:lineRule="auto"/>
      <w:ind w:left="1440" w:right="1440"/>
    </w:pPr>
    <w:rPr>
      <w:rFonts w:ascii="Arial" w:eastAsia="Times New Roman" w:hAnsi="Arial" w:cs="Times New Roman"/>
      <w:szCs w:val="20"/>
    </w:rPr>
  </w:style>
  <w:style w:type="paragraph" w:styleId="BodyText">
    <w:name w:val="Body Text"/>
    <w:basedOn w:val="Normal"/>
    <w:link w:val="BodyTextChar"/>
    <w:semiHidden/>
    <w:rsid w:val="0065749A"/>
    <w:pPr>
      <w:spacing w:after="120" w:line="240" w:lineRule="auto"/>
    </w:pPr>
    <w:rPr>
      <w:rFonts w:ascii="Arial" w:eastAsia="Times New Roman" w:hAnsi="Arial" w:cs="Times New Roman"/>
      <w:szCs w:val="20"/>
    </w:rPr>
  </w:style>
  <w:style w:type="character" w:customStyle="1" w:styleId="BodyTextChar">
    <w:name w:val="Body Text Char"/>
    <w:basedOn w:val="DefaultParagraphFont"/>
    <w:link w:val="BodyText"/>
    <w:semiHidden/>
    <w:rsid w:val="0065749A"/>
    <w:rPr>
      <w:rFonts w:ascii="Arial" w:eastAsia="Times New Roman" w:hAnsi="Arial" w:cs="Times New Roman"/>
      <w:szCs w:val="20"/>
    </w:rPr>
  </w:style>
  <w:style w:type="paragraph" w:styleId="BodyText2">
    <w:name w:val="Body Text 2"/>
    <w:basedOn w:val="Normal"/>
    <w:link w:val="BodyText2Char"/>
    <w:semiHidden/>
    <w:rsid w:val="0065749A"/>
    <w:pPr>
      <w:spacing w:after="120" w:line="480" w:lineRule="auto"/>
    </w:pPr>
    <w:rPr>
      <w:rFonts w:ascii="Arial" w:eastAsia="Times New Roman" w:hAnsi="Arial" w:cs="Times New Roman"/>
      <w:szCs w:val="20"/>
    </w:rPr>
  </w:style>
  <w:style w:type="character" w:customStyle="1" w:styleId="BodyText2Char">
    <w:name w:val="Body Text 2 Char"/>
    <w:basedOn w:val="DefaultParagraphFont"/>
    <w:link w:val="BodyText2"/>
    <w:semiHidden/>
    <w:rsid w:val="0065749A"/>
    <w:rPr>
      <w:rFonts w:ascii="Arial" w:eastAsia="Times New Roman" w:hAnsi="Arial" w:cs="Times New Roman"/>
      <w:szCs w:val="20"/>
    </w:rPr>
  </w:style>
  <w:style w:type="paragraph" w:styleId="BodyText3">
    <w:name w:val="Body Text 3"/>
    <w:basedOn w:val="Normal"/>
    <w:link w:val="BodyText3Char"/>
    <w:semiHidden/>
    <w:rsid w:val="0065749A"/>
    <w:pPr>
      <w:spacing w:after="120" w:line="240" w:lineRule="auto"/>
    </w:pPr>
    <w:rPr>
      <w:rFonts w:ascii="Arial" w:eastAsia="Times New Roman" w:hAnsi="Arial" w:cs="Times New Roman"/>
      <w:sz w:val="16"/>
      <w:szCs w:val="16"/>
    </w:rPr>
  </w:style>
  <w:style w:type="character" w:customStyle="1" w:styleId="BodyText3Char">
    <w:name w:val="Body Text 3 Char"/>
    <w:basedOn w:val="DefaultParagraphFont"/>
    <w:link w:val="BodyText3"/>
    <w:semiHidden/>
    <w:rsid w:val="0065749A"/>
    <w:rPr>
      <w:rFonts w:ascii="Arial" w:eastAsia="Times New Roman" w:hAnsi="Arial" w:cs="Times New Roman"/>
      <w:sz w:val="16"/>
      <w:szCs w:val="16"/>
    </w:rPr>
  </w:style>
  <w:style w:type="paragraph" w:styleId="BodyTextFirstIndent">
    <w:name w:val="Body Text First Indent"/>
    <w:basedOn w:val="BodyText"/>
    <w:link w:val="BodyTextFirstIndentChar"/>
    <w:semiHidden/>
    <w:rsid w:val="0065749A"/>
    <w:pPr>
      <w:ind w:firstLine="210"/>
    </w:pPr>
  </w:style>
  <w:style w:type="character" w:customStyle="1" w:styleId="BodyTextFirstIndentChar">
    <w:name w:val="Body Text First Indent Char"/>
    <w:basedOn w:val="BodyTextChar"/>
    <w:link w:val="BodyTextFirstIndent"/>
    <w:semiHidden/>
    <w:rsid w:val="0065749A"/>
    <w:rPr>
      <w:rFonts w:ascii="Arial" w:eastAsia="Times New Roman" w:hAnsi="Arial" w:cs="Times New Roman"/>
      <w:szCs w:val="20"/>
    </w:rPr>
  </w:style>
  <w:style w:type="paragraph" w:styleId="BodyTextIndent">
    <w:name w:val="Body Text Indent"/>
    <w:basedOn w:val="Normal"/>
    <w:link w:val="BodyTextIndentChar"/>
    <w:semiHidden/>
    <w:rsid w:val="0065749A"/>
    <w:pPr>
      <w:spacing w:after="120" w:line="240" w:lineRule="auto"/>
      <w:ind w:left="360"/>
    </w:pPr>
    <w:rPr>
      <w:rFonts w:ascii="Arial" w:eastAsia="Times New Roman" w:hAnsi="Arial" w:cs="Times New Roman"/>
      <w:szCs w:val="20"/>
    </w:rPr>
  </w:style>
  <w:style w:type="character" w:customStyle="1" w:styleId="BodyTextIndentChar">
    <w:name w:val="Body Text Indent Char"/>
    <w:basedOn w:val="DefaultParagraphFont"/>
    <w:link w:val="BodyTextIndent"/>
    <w:semiHidden/>
    <w:rsid w:val="0065749A"/>
    <w:rPr>
      <w:rFonts w:ascii="Arial" w:eastAsia="Times New Roman" w:hAnsi="Arial" w:cs="Times New Roman"/>
      <w:szCs w:val="20"/>
    </w:rPr>
  </w:style>
  <w:style w:type="paragraph" w:styleId="BodyTextFirstIndent2">
    <w:name w:val="Body Text First Indent 2"/>
    <w:basedOn w:val="BodyTextIndent"/>
    <w:link w:val="BodyTextFirstIndent2Char"/>
    <w:semiHidden/>
    <w:rsid w:val="0065749A"/>
    <w:pPr>
      <w:ind w:firstLine="210"/>
    </w:pPr>
  </w:style>
  <w:style w:type="character" w:customStyle="1" w:styleId="BodyTextFirstIndent2Char">
    <w:name w:val="Body Text First Indent 2 Char"/>
    <w:basedOn w:val="BodyTextIndentChar"/>
    <w:link w:val="BodyTextFirstIndent2"/>
    <w:semiHidden/>
    <w:rsid w:val="0065749A"/>
    <w:rPr>
      <w:rFonts w:ascii="Arial" w:eastAsia="Times New Roman" w:hAnsi="Arial" w:cs="Times New Roman"/>
      <w:szCs w:val="20"/>
    </w:rPr>
  </w:style>
  <w:style w:type="paragraph" w:styleId="BodyTextIndent2">
    <w:name w:val="Body Text Indent 2"/>
    <w:basedOn w:val="Normal"/>
    <w:link w:val="BodyTextIndent2Char"/>
    <w:semiHidden/>
    <w:rsid w:val="0065749A"/>
    <w:pPr>
      <w:spacing w:after="120" w:line="480" w:lineRule="auto"/>
      <w:ind w:left="360"/>
    </w:pPr>
    <w:rPr>
      <w:rFonts w:ascii="Arial" w:eastAsia="Times New Roman" w:hAnsi="Arial" w:cs="Times New Roman"/>
      <w:szCs w:val="20"/>
    </w:rPr>
  </w:style>
  <w:style w:type="character" w:customStyle="1" w:styleId="BodyTextIndent2Char">
    <w:name w:val="Body Text Indent 2 Char"/>
    <w:basedOn w:val="DefaultParagraphFont"/>
    <w:link w:val="BodyTextIndent2"/>
    <w:semiHidden/>
    <w:rsid w:val="0065749A"/>
    <w:rPr>
      <w:rFonts w:ascii="Arial" w:eastAsia="Times New Roman" w:hAnsi="Arial" w:cs="Times New Roman"/>
      <w:szCs w:val="20"/>
    </w:rPr>
  </w:style>
  <w:style w:type="paragraph" w:styleId="BodyTextIndent3">
    <w:name w:val="Body Text Indent 3"/>
    <w:basedOn w:val="Normal"/>
    <w:link w:val="BodyTextIndent3Char"/>
    <w:semiHidden/>
    <w:rsid w:val="0065749A"/>
    <w:pPr>
      <w:spacing w:after="120" w:line="240" w:lineRule="auto"/>
      <w:ind w:left="360"/>
    </w:pPr>
    <w:rPr>
      <w:rFonts w:ascii="Arial" w:eastAsia="Times New Roman" w:hAnsi="Arial" w:cs="Times New Roman"/>
      <w:sz w:val="16"/>
      <w:szCs w:val="16"/>
    </w:rPr>
  </w:style>
  <w:style w:type="character" w:customStyle="1" w:styleId="BodyTextIndent3Char">
    <w:name w:val="Body Text Indent 3 Char"/>
    <w:basedOn w:val="DefaultParagraphFont"/>
    <w:link w:val="BodyTextIndent3"/>
    <w:semiHidden/>
    <w:rsid w:val="0065749A"/>
    <w:rPr>
      <w:rFonts w:ascii="Arial" w:eastAsia="Times New Roman" w:hAnsi="Arial" w:cs="Times New Roman"/>
      <w:sz w:val="16"/>
      <w:szCs w:val="16"/>
    </w:rPr>
  </w:style>
  <w:style w:type="paragraph" w:styleId="Closing">
    <w:name w:val="Closing"/>
    <w:basedOn w:val="Normal"/>
    <w:link w:val="ClosingChar"/>
    <w:semiHidden/>
    <w:rsid w:val="0065749A"/>
    <w:pPr>
      <w:spacing w:after="0" w:line="240" w:lineRule="auto"/>
      <w:ind w:left="4320"/>
    </w:pPr>
    <w:rPr>
      <w:rFonts w:ascii="Arial" w:eastAsia="Times New Roman" w:hAnsi="Arial" w:cs="Times New Roman"/>
      <w:szCs w:val="20"/>
    </w:rPr>
  </w:style>
  <w:style w:type="character" w:customStyle="1" w:styleId="ClosingChar">
    <w:name w:val="Closing Char"/>
    <w:basedOn w:val="DefaultParagraphFont"/>
    <w:link w:val="Closing"/>
    <w:semiHidden/>
    <w:rsid w:val="0065749A"/>
    <w:rPr>
      <w:rFonts w:ascii="Arial" w:eastAsia="Times New Roman" w:hAnsi="Arial" w:cs="Times New Roman"/>
      <w:szCs w:val="20"/>
    </w:rPr>
  </w:style>
  <w:style w:type="paragraph" w:styleId="Date">
    <w:name w:val="Date"/>
    <w:basedOn w:val="Normal"/>
    <w:next w:val="Normal"/>
    <w:link w:val="DateChar"/>
    <w:semiHidden/>
    <w:rsid w:val="0065749A"/>
    <w:pPr>
      <w:spacing w:after="0" w:line="240" w:lineRule="auto"/>
    </w:pPr>
    <w:rPr>
      <w:rFonts w:ascii="Arial" w:eastAsia="Times New Roman" w:hAnsi="Arial" w:cs="Times New Roman"/>
      <w:szCs w:val="20"/>
    </w:rPr>
  </w:style>
  <w:style w:type="character" w:customStyle="1" w:styleId="DateChar">
    <w:name w:val="Date Char"/>
    <w:basedOn w:val="DefaultParagraphFont"/>
    <w:link w:val="Date"/>
    <w:semiHidden/>
    <w:rsid w:val="0065749A"/>
    <w:rPr>
      <w:rFonts w:ascii="Arial" w:eastAsia="Times New Roman" w:hAnsi="Arial" w:cs="Times New Roman"/>
      <w:szCs w:val="20"/>
    </w:rPr>
  </w:style>
  <w:style w:type="paragraph" w:styleId="E-mailSignature">
    <w:name w:val="E-mail Signature"/>
    <w:basedOn w:val="Normal"/>
    <w:link w:val="E-mailSignatureChar"/>
    <w:semiHidden/>
    <w:rsid w:val="0065749A"/>
    <w:pPr>
      <w:spacing w:after="0" w:line="240" w:lineRule="auto"/>
    </w:pPr>
    <w:rPr>
      <w:rFonts w:ascii="Arial" w:eastAsia="Times New Roman" w:hAnsi="Arial" w:cs="Times New Roman"/>
      <w:szCs w:val="20"/>
    </w:rPr>
  </w:style>
  <w:style w:type="character" w:customStyle="1" w:styleId="E-mailSignatureChar">
    <w:name w:val="E-mail Signature Char"/>
    <w:basedOn w:val="DefaultParagraphFont"/>
    <w:link w:val="E-mailSignature"/>
    <w:semiHidden/>
    <w:rsid w:val="0065749A"/>
    <w:rPr>
      <w:rFonts w:ascii="Arial" w:eastAsia="Times New Roman" w:hAnsi="Arial" w:cs="Times New Roman"/>
      <w:szCs w:val="20"/>
    </w:rPr>
  </w:style>
  <w:style w:type="paragraph" w:styleId="EnvelopeAddress">
    <w:name w:val="envelope address"/>
    <w:basedOn w:val="Normal"/>
    <w:semiHidden/>
    <w:rsid w:val="0065749A"/>
    <w:pPr>
      <w:framePr w:w="7920" w:h="1980" w:hRule="exact" w:hSpace="180" w:wrap="auto" w:hAnchor="page" w:xAlign="center" w:yAlign="bottom"/>
      <w:spacing w:after="0" w:line="240" w:lineRule="auto"/>
      <w:ind w:left="2880"/>
    </w:pPr>
    <w:rPr>
      <w:rFonts w:ascii="Arial" w:eastAsia="Times New Roman" w:hAnsi="Arial" w:cs="Arial"/>
      <w:szCs w:val="24"/>
    </w:rPr>
  </w:style>
  <w:style w:type="paragraph" w:styleId="EnvelopeReturn">
    <w:name w:val="envelope return"/>
    <w:basedOn w:val="Normal"/>
    <w:semiHidden/>
    <w:rsid w:val="0065749A"/>
    <w:pPr>
      <w:spacing w:after="0" w:line="240" w:lineRule="auto"/>
    </w:pPr>
    <w:rPr>
      <w:rFonts w:ascii="Arial" w:eastAsia="Times New Roman" w:hAnsi="Arial" w:cs="Arial"/>
      <w:sz w:val="20"/>
      <w:szCs w:val="20"/>
    </w:rPr>
  </w:style>
  <w:style w:type="character" w:styleId="HTMLAcronym">
    <w:name w:val="HTML Acronym"/>
    <w:basedOn w:val="DefaultParagraphFont"/>
    <w:semiHidden/>
    <w:rsid w:val="0065749A"/>
  </w:style>
  <w:style w:type="paragraph" w:styleId="HTMLAddress">
    <w:name w:val="HTML Address"/>
    <w:basedOn w:val="Normal"/>
    <w:link w:val="HTMLAddressChar"/>
    <w:semiHidden/>
    <w:rsid w:val="0065749A"/>
    <w:pPr>
      <w:spacing w:after="0" w:line="240" w:lineRule="auto"/>
    </w:pPr>
    <w:rPr>
      <w:rFonts w:ascii="Arial" w:eastAsia="Times New Roman" w:hAnsi="Arial" w:cs="Times New Roman"/>
      <w:i/>
      <w:iCs/>
      <w:szCs w:val="20"/>
    </w:rPr>
  </w:style>
  <w:style w:type="character" w:customStyle="1" w:styleId="HTMLAddressChar">
    <w:name w:val="HTML Address Char"/>
    <w:basedOn w:val="DefaultParagraphFont"/>
    <w:link w:val="HTMLAddress"/>
    <w:semiHidden/>
    <w:rsid w:val="0065749A"/>
    <w:rPr>
      <w:rFonts w:ascii="Arial" w:eastAsia="Times New Roman" w:hAnsi="Arial" w:cs="Times New Roman"/>
      <w:i/>
      <w:iCs/>
      <w:szCs w:val="20"/>
    </w:rPr>
  </w:style>
  <w:style w:type="character" w:styleId="HTMLCite">
    <w:name w:val="HTML Cite"/>
    <w:basedOn w:val="DefaultParagraphFont"/>
    <w:semiHidden/>
    <w:rsid w:val="0065749A"/>
    <w:rPr>
      <w:i/>
      <w:iCs/>
    </w:rPr>
  </w:style>
  <w:style w:type="character" w:styleId="HTMLCode">
    <w:name w:val="HTML Code"/>
    <w:basedOn w:val="DefaultParagraphFont"/>
    <w:semiHidden/>
    <w:rsid w:val="0065749A"/>
    <w:rPr>
      <w:rFonts w:ascii="Courier New" w:hAnsi="Courier New" w:cs="Courier New"/>
      <w:sz w:val="20"/>
      <w:szCs w:val="20"/>
    </w:rPr>
  </w:style>
  <w:style w:type="character" w:styleId="HTMLDefinition">
    <w:name w:val="HTML Definition"/>
    <w:basedOn w:val="DefaultParagraphFont"/>
    <w:semiHidden/>
    <w:rsid w:val="0065749A"/>
    <w:rPr>
      <w:i/>
      <w:iCs/>
    </w:rPr>
  </w:style>
  <w:style w:type="character" w:styleId="HTMLKeyboard">
    <w:name w:val="HTML Keyboard"/>
    <w:basedOn w:val="DefaultParagraphFont"/>
    <w:semiHidden/>
    <w:rsid w:val="0065749A"/>
    <w:rPr>
      <w:rFonts w:ascii="Courier New" w:hAnsi="Courier New" w:cs="Courier New"/>
      <w:sz w:val="20"/>
      <w:szCs w:val="20"/>
    </w:rPr>
  </w:style>
  <w:style w:type="paragraph" w:styleId="HTMLPreformatted">
    <w:name w:val="HTML Preformatted"/>
    <w:basedOn w:val="Normal"/>
    <w:link w:val="HTMLPreformattedChar"/>
    <w:semiHidden/>
    <w:rsid w:val="0065749A"/>
    <w:pPr>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semiHidden/>
    <w:rsid w:val="0065749A"/>
    <w:rPr>
      <w:rFonts w:ascii="Courier New" w:eastAsia="Times New Roman" w:hAnsi="Courier New" w:cs="Courier New"/>
      <w:sz w:val="20"/>
      <w:szCs w:val="20"/>
    </w:rPr>
  </w:style>
  <w:style w:type="character" w:styleId="HTMLSample">
    <w:name w:val="HTML Sample"/>
    <w:basedOn w:val="DefaultParagraphFont"/>
    <w:semiHidden/>
    <w:rsid w:val="0065749A"/>
    <w:rPr>
      <w:rFonts w:ascii="Courier New" w:hAnsi="Courier New" w:cs="Courier New"/>
    </w:rPr>
  </w:style>
  <w:style w:type="character" w:styleId="HTMLTypewriter">
    <w:name w:val="HTML Typewriter"/>
    <w:basedOn w:val="DefaultParagraphFont"/>
    <w:semiHidden/>
    <w:rsid w:val="0065749A"/>
    <w:rPr>
      <w:rFonts w:ascii="Courier New" w:hAnsi="Courier New" w:cs="Courier New"/>
      <w:sz w:val="20"/>
      <w:szCs w:val="20"/>
    </w:rPr>
  </w:style>
  <w:style w:type="character" w:styleId="HTMLVariable">
    <w:name w:val="HTML Variable"/>
    <w:basedOn w:val="DefaultParagraphFont"/>
    <w:semiHidden/>
    <w:rsid w:val="0065749A"/>
    <w:rPr>
      <w:i/>
      <w:iCs/>
    </w:rPr>
  </w:style>
  <w:style w:type="character" w:styleId="LineNumber">
    <w:name w:val="line number"/>
    <w:basedOn w:val="DefaultParagraphFont"/>
    <w:semiHidden/>
    <w:rsid w:val="0065749A"/>
  </w:style>
  <w:style w:type="paragraph" w:styleId="List">
    <w:name w:val="List"/>
    <w:basedOn w:val="Normal"/>
    <w:semiHidden/>
    <w:rsid w:val="0065749A"/>
    <w:pPr>
      <w:spacing w:after="0" w:line="240" w:lineRule="auto"/>
      <w:ind w:left="360" w:hanging="360"/>
    </w:pPr>
    <w:rPr>
      <w:rFonts w:ascii="Arial" w:eastAsia="Times New Roman" w:hAnsi="Arial" w:cs="Times New Roman"/>
      <w:szCs w:val="20"/>
    </w:rPr>
  </w:style>
  <w:style w:type="paragraph" w:styleId="List2">
    <w:name w:val="List 2"/>
    <w:basedOn w:val="Normal"/>
    <w:semiHidden/>
    <w:rsid w:val="0065749A"/>
    <w:pPr>
      <w:spacing w:after="0" w:line="240" w:lineRule="auto"/>
      <w:ind w:left="720" w:hanging="360"/>
    </w:pPr>
    <w:rPr>
      <w:rFonts w:ascii="Arial" w:eastAsia="Times New Roman" w:hAnsi="Arial" w:cs="Times New Roman"/>
      <w:szCs w:val="20"/>
    </w:rPr>
  </w:style>
  <w:style w:type="paragraph" w:styleId="List3">
    <w:name w:val="List 3"/>
    <w:basedOn w:val="Normal"/>
    <w:semiHidden/>
    <w:rsid w:val="0065749A"/>
    <w:pPr>
      <w:spacing w:after="0" w:line="240" w:lineRule="auto"/>
      <w:ind w:left="1080" w:hanging="360"/>
    </w:pPr>
    <w:rPr>
      <w:rFonts w:ascii="Arial" w:eastAsia="Times New Roman" w:hAnsi="Arial" w:cs="Times New Roman"/>
      <w:szCs w:val="20"/>
    </w:rPr>
  </w:style>
  <w:style w:type="paragraph" w:styleId="List4">
    <w:name w:val="List 4"/>
    <w:basedOn w:val="Normal"/>
    <w:semiHidden/>
    <w:rsid w:val="0065749A"/>
    <w:pPr>
      <w:spacing w:after="0" w:line="240" w:lineRule="auto"/>
      <w:ind w:left="1440" w:hanging="360"/>
    </w:pPr>
    <w:rPr>
      <w:rFonts w:ascii="Arial" w:eastAsia="Times New Roman" w:hAnsi="Arial" w:cs="Times New Roman"/>
      <w:szCs w:val="20"/>
    </w:rPr>
  </w:style>
  <w:style w:type="paragraph" w:styleId="List5">
    <w:name w:val="List 5"/>
    <w:basedOn w:val="Normal"/>
    <w:semiHidden/>
    <w:rsid w:val="0065749A"/>
    <w:pPr>
      <w:spacing w:after="0" w:line="240" w:lineRule="auto"/>
      <w:ind w:left="1800" w:hanging="360"/>
    </w:pPr>
    <w:rPr>
      <w:rFonts w:ascii="Arial" w:eastAsia="Times New Roman" w:hAnsi="Arial" w:cs="Times New Roman"/>
      <w:szCs w:val="20"/>
    </w:rPr>
  </w:style>
  <w:style w:type="paragraph" w:styleId="ListBullet">
    <w:name w:val="List Bullet"/>
    <w:basedOn w:val="Normal"/>
    <w:autoRedefine/>
    <w:semiHidden/>
    <w:rsid w:val="0065749A"/>
    <w:pPr>
      <w:tabs>
        <w:tab w:val="num" w:pos="360"/>
      </w:tabs>
      <w:spacing w:after="0" w:line="240" w:lineRule="auto"/>
      <w:ind w:left="360" w:hanging="360"/>
    </w:pPr>
    <w:rPr>
      <w:rFonts w:ascii="Arial" w:eastAsia="Times New Roman" w:hAnsi="Arial" w:cs="Times New Roman"/>
      <w:szCs w:val="20"/>
    </w:rPr>
  </w:style>
  <w:style w:type="paragraph" w:styleId="ListBullet2">
    <w:name w:val="List Bullet 2"/>
    <w:basedOn w:val="Normal"/>
    <w:autoRedefine/>
    <w:semiHidden/>
    <w:rsid w:val="0065749A"/>
    <w:pPr>
      <w:tabs>
        <w:tab w:val="num" w:pos="720"/>
      </w:tabs>
      <w:spacing w:after="0" w:line="240" w:lineRule="auto"/>
      <w:ind w:left="720" w:hanging="360"/>
    </w:pPr>
    <w:rPr>
      <w:rFonts w:ascii="Arial" w:eastAsia="Times New Roman" w:hAnsi="Arial" w:cs="Times New Roman"/>
      <w:szCs w:val="20"/>
    </w:rPr>
  </w:style>
  <w:style w:type="paragraph" w:styleId="ListBullet3">
    <w:name w:val="List Bullet 3"/>
    <w:basedOn w:val="Normal"/>
    <w:autoRedefine/>
    <w:semiHidden/>
    <w:rsid w:val="0065749A"/>
    <w:pPr>
      <w:tabs>
        <w:tab w:val="num" w:pos="1080"/>
      </w:tabs>
      <w:spacing w:after="0" w:line="240" w:lineRule="auto"/>
      <w:ind w:left="1080" w:hanging="360"/>
    </w:pPr>
    <w:rPr>
      <w:rFonts w:ascii="Arial" w:eastAsia="Times New Roman" w:hAnsi="Arial" w:cs="Times New Roman"/>
      <w:szCs w:val="20"/>
    </w:rPr>
  </w:style>
  <w:style w:type="paragraph" w:styleId="ListBullet4">
    <w:name w:val="List Bullet 4"/>
    <w:basedOn w:val="Normal"/>
    <w:autoRedefine/>
    <w:semiHidden/>
    <w:rsid w:val="0065749A"/>
    <w:pPr>
      <w:tabs>
        <w:tab w:val="num" w:pos="1440"/>
      </w:tabs>
      <w:spacing w:after="0" w:line="240" w:lineRule="auto"/>
      <w:ind w:left="1440" w:hanging="360"/>
    </w:pPr>
    <w:rPr>
      <w:rFonts w:ascii="Arial" w:eastAsia="Times New Roman" w:hAnsi="Arial" w:cs="Times New Roman"/>
      <w:szCs w:val="20"/>
    </w:rPr>
  </w:style>
  <w:style w:type="paragraph" w:styleId="ListBullet5">
    <w:name w:val="List Bullet 5"/>
    <w:basedOn w:val="Normal"/>
    <w:autoRedefine/>
    <w:semiHidden/>
    <w:rsid w:val="0065749A"/>
    <w:pPr>
      <w:tabs>
        <w:tab w:val="num" w:pos="1800"/>
      </w:tabs>
      <w:spacing w:after="0" w:line="240" w:lineRule="auto"/>
      <w:ind w:left="1800" w:hanging="360"/>
    </w:pPr>
    <w:rPr>
      <w:rFonts w:ascii="Arial" w:eastAsia="Times New Roman" w:hAnsi="Arial" w:cs="Times New Roman"/>
      <w:szCs w:val="20"/>
    </w:rPr>
  </w:style>
  <w:style w:type="paragraph" w:styleId="ListContinue">
    <w:name w:val="List Continue"/>
    <w:basedOn w:val="Normal"/>
    <w:semiHidden/>
    <w:rsid w:val="0065749A"/>
    <w:pPr>
      <w:spacing w:after="120" w:line="240" w:lineRule="auto"/>
      <w:ind w:left="360"/>
    </w:pPr>
    <w:rPr>
      <w:rFonts w:ascii="Arial" w:eastAsia="Times New Roman" w:hAnsi="Arial" w:cs="Times New Roman"/>
      <w:szCs w:val="20"/>
    </w:rPr>
  </w:style>
  <w:style w:type="paragraph" w:styleId="ListContinue2">
    <w:name w:val="List Continue 2"/>
    <w:basedOn w:val="Normal"/>
    <w:semiHidden/>
    <w:rsid w:val="0065749A"/>
    <w:pPr>
      <w:spacing w:after="120" w:line="240" w:lineRule="auto"/>
      <w:ind w:left="720"/>
    </w:pPr>
    <w:rPr>
      <w:rFonts w:ascii="Arial" w:eastAsia="Times New Roman" w:hAnsi="Arial" w:cs="Times New Roman"/>
      <w:szCs w:val="20"/>
    </w:rPr>
  </w:style>
  <w:style w:type="paragraph" w:styleId="ListContinue3">
    <w:name w:val="List Continue 3"/>
    <w:basedOn w:val="Normal"/>
    <w:semiHidden/>
    <w:rsid w:val="0065749A"/>
    <w:pPr>
      <w:spacing w:after="120" w:line="240" w:lineRule="auto"/>
      <w:ind w:left="1080"/>
    </w:pPr>
    <w:rPr>
      <w:rFonts w:ascii="Arial" w:eastAsia="Times New Roman" w:hAnsi="Arial" w:cs="Times New Roman"/>
      <w:szCs w:val="20"/>
    </w:rPr>
  </w:style>
  <w:style w:type="paragraph" w:styleId="ListContinue4">
    <w:name w:val="List Continue 4"/>
    <w:basedOn w:val="Normal"/>
    <w:semiHidden/>
    <w:rsid w:val="0065749A"/>
    <w:pPr>
      <w:spacing w:after="120" w:line="240" w:lineRule="auto"/>
      <w:ind w:left="1440"/>
    </w:pPr>
    <w:rPr>
      <w:rFonts w:ascii="Arial" w:eastAsia="Times New Roman" w:hAnsi="Arial" w:cs="Times New Roman"/>
      <w:szCs w:val="20"/>
    </w:rPr>
  </w:style>
  <w:style w:type="paragraph" w:styleId="ListContinue5">
    <w:name w:val="List Continue 5"/>
    <w:basedOn w:val="Normal"/>
    <w:semiHidden/>
    <w:rsid w:val="0065749A"/>
    <w:pPr>
      <w:spacing w:after="120" w:line="240" w:lineRule="auto"/>
      <w:ind w:left="1800"/>
    </w:pPr>
    <w:rPr>
      <w:rFonts w:ascii="Arial" w:eastAsia="Times New Roman" w:hAnsi="Arial" w:cs="Times New Roman"/>
      <w:szCs w:val="20"/>
    </w:rPr>
  </w:style>
  <w:style w:type="paragraph" w:styleId="ListNumber">
    <w:name w:val="List Number"/>
    <w:basedOn w:val="Normal"/>
    <w:semiHidden/>
    <w:rsid w:val="0065749A"/>
    <w:pPr>
      <w:tabs>
        <w:tab w:val="num" w:pos="360"/>
      </w:tabs>
      <w:spacing w:after="0" w:line="240" w:lineRule="auto"/>
      <w:ind w:left="360" w:hanging="360"/>
    </w:pPr>
    <w:rPr>
      <w:rFonts w:ascii="Arial" w:eastAsia="Times New Roman" w:hAnsi="Arial" w:cs="Times New Roman"/>
      <w:szCs w:val="20"/>
    </w:rPr>
  </w:style>
  <w:style w:type="paragraph" w:styleId="ListNumber2">
    <w:name w:val="List Number 2"/>
    <w:basedOn w:val="Normal"/>
    <w:semiHidden/>
    <w:rsid w:val="0065749A"/>
    <w:pPr>
      <w:tabs>
        <w:tab w:val="num" w:pos="720"/>
      </w:tabs>
      <w:spacing w:after="0" w:line="240" w:lineRule="auto"/>
      <w:ind w:left="720" w:hanging="360"/>
    </w:pPr>
    <w:rPr>
      <w:rFonts w:ascii="Arial" w:eastAsia="Times New Roman" w:hAnsi="Arial" w:cs="Times New Roman"/>
      <w:szCs w:val="20"/>
    </w:rPr>
  </w:style>
  <w:style w:type="paragraph" w:styleId="ListNumber3">
    <w:name w:val="List Number 3"/>
    <w:basedOn w:val="Normal"/>
    <w:semiHidden/>
    <w:rsid w:val="0065749A"/>
    <w:pPr>
      <w:tabs>
        <w:tab w:val="num" w:pos="1080"/>
      </w:tabs>
      <w:spacing w:after="0" w:line="240" w:lineRule="auto"/>
      <w:ind w:left="1080" w:hanging="360"/>
    </w:pPr>
    <w:rPr>
      <w:rFonts w:ascii="Arial" w:eastAsia="Times New Roman" w:hAnsi="Arial" w:cs="Times New Roman"/>
      <w:szCs w:val="20"/>
    </w:rPr>
  </w:style>
  <w:style w:type="paragraph" w:styleId="ListNumber4">
    <w:name w:val="List Number 4"/>
    <w:basedOn w:val="Normal"/>
    <w:semiHidden/>
    <w:rsid w:val="0065749A"/>
    <w:pPr>
      <w:tabs>
        <w:tab w:val="num" w:pos="1440"/>
      </w:tabs>
      <w:spacing w:after="0" w:line="240" w:lineRule="auto"/>
      <w:ind w:left="1440" w:hanging="360"/>
    </w:pPr>
    <w:rPr>
      <w:rFonts w:ascii="Arial" w:eastAsia="Times New Roman" w:hAnsi="Arial" w:cs="Times New Roman"/>
      <w:szCs w:val="20"/>
    </w:rPr>
  </w:style>
  <w:style w:type="paragraph" w:styleId="ListNumber5">
    <w:name w:val="List Number 5"/>
    <w:basedOn w:val="Normal"/>
    <w:semiHidden/>
    <w:rsid w:val="0065749A"/>
    <w:pPr>
      <w:tabs>
        <w:tab w:val="num" w:pos="1800"/>
      </w:tabs>
      <w:spacing w:after="0" w:line="240" w:lineRule="auto"/>
      <w:ind w:left="1800" w:hanging="360"/>
    </w:pPr>
    <w:rPr>
      <w:rFonts w:ascii="Arial" w:eastAsia="Times New Roman" w:hAnsi="Arial" w:cs="Times New Roman"/>
      <w:szCs w:val="20"/>
    </w:rPr>
  </w:style>
  <w:style w:type="paragraph" w:styleId="MessageHeader">
    <w:name w:val="Message Header"/>
    <w:basedOn w:val="Normal"/>
    <w:link w:val="MessageHeaderChar"/>
    <w:semiHidden/>
    <w:rsid w:val="0065749A"/>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Arial"/>
      <w:szCs w:val="24"/>
    </w:rPr>
  </w:style>
  <w:style w:type="character" w:customStyle="1" w:styleId="MessageHeaderChar">
    <w:name w:val="Message Header Char"/>
    <w:basedOn w:val="DefaultParagraphFont"/>
    <w:link w:val="MessageHeader"/>
    <w:semiHidden/>
    <w:rsid w:val="0065749A"/>
    <w:rPr>
      <w:rFonts w:ascii="Arial" w:eastAsia="Times New Roman" w:hAnsi="Arial" w:cs="Arial"/>
      <w:szCs w:val="24"/>
      <w:shd w:val="pct20" w:color="auto" w:fill="auto"/>
    </w:rPr>
  </w:style>
  <w:style w:type="paragraph" w:styleId="NoteHeading">
    <w:name w:val="Note Heading"/>
    <w:basedOn w:val="Normal"/>
    <w:next w:val="Normal"/>
    <w:link w:val="NoteHeadingChar"/>
    <w:semiHidden/>
    <w:rsid w:val="0065749A"/>
    <w:pPr>
      <w:spacing w:after="0" w:line="240" w:lineRule="auto"/>
    </w:pPr>
    <w:rPr>
      <w:rFonts w:ascii="Arial" w:eastAsia="Times New Roman" w:hAnsi="Arial" w:cs="Times New Roman"/>
      <w:szCs w:val="20"/>
    </w:rPr>
  </w:style>
  <w:style w:type="character" w:customStyle="1" w:styleId="NoteHeadingChar">
    <w:name w:val="Note Heading Char"/>
    <w:basedOn w:val="DefaultParagraphFont"/>
    <w:link w:val="NoteHeading"/>
    <w:semiHidden/>
    <w:rsid w:val="0065749A"/>
    <w:rPr>
      <w:rFonts w:ascii="Arial" w:eastAsia="Times New Roman" w:hAnsi="Arial" w:cs="Times New Roman"/>
      <w:szCs w:val="20"/>
    </w:rPr>
  </w:style>
  <w:style w:type="paragraph" w:styleId="Salutation">
    <w:name w:val="Salutation"/>
    <w:basedOn w:val="Normal"/>
    <w:next w:val="Normal"/>
    <w:link w:val="SalutationChar"/>
    <w:semiHidden/>
    <w:rsid w:val="0065749A"/>
    <w:pPr>
      <w:spacing w:after="0" w:line="240" w:lineRule="auto"/>
    </w:pPr>
    <w:rPr>
      <w:rFonts w:ascii="Arial" w:eastAsia="Times New Roman" w:hAnsi="Arial" w:cs="Times New Roman"/>
      <w:szCs w:val="20"/>
    </w:rPr>
  </w:style>
  <w:style w:type="character" w:customStyle="1" w:styleId="SalutationChar">
    <w:name w:val="Salutation Char"/>
    <w:basedOn w:val="DefaultParagraphFont"/>
    <w:link w:val="Salutation"/>
    <w:semiHidden/>
    <w:rsid w:val="0065749A"/>
    <w:rPr>
      <w:rFonts w:ascii="Arial" w:eastAsia="Times New Roman" w:hAnsi="Arial" w:cs="Times New Roman"/>
      <w:szCs w:val="20"/>
    </w:rPr>
  </w:style>
  <w:style w:type="paragraph" w:styleId="Signature">
    <w:name w:val="Signature"/>
    <w:basedOn w:val="Normal"/>
    <w:link w:val="SignatureChar"/>
    <w:semiHidden/>
    <w:rsid w:val="0065749A"/>
    <w:pPr>
      <w:spacing w:after="0" w:line="240" w:lineRule="auto"/>
      <w:ind w:left="4320"/>
    </w:pPr>
    <w:rPr>
      <w:rFonts w:ascii="Arial" w:eastAsia="Times New Roman" w:hAnsi="Arial" w:cs="Times New Roman"/>
      <w:szCs w:val="20"/>
    </w:rPr>
  </w:style>
  <w:style w:type="character" w:customStyle="1" w:styleId="SignatureChar">
    <w:name w:val="Signature Char"/>
    <w:basedOn w:val="DefaultParagraphFont"/>
    <w:link w:val="Signature"/>
    <w:semiHidden/>
    <w:rsid w:val="0065749A"/>
    <w:rPr>
      <w:rFonts w:ascii="Arial" w:eastAsia="Times New Roman" w:hAnsi="Arial" w:cs="Times New Roman"/>
      <w:szCs w:val="20"/>
    </w:rPr>
  </w:style>
  <w:style w:type="table" w:styleId="Table3Deffects1">
    <w:name w:val="Table 3D effects 1"/>
    <w:basedOn w:val="TableNormal"/>
    <w:semiHidden/>
    <w:rsid w:val="0065749A"/>
    <w:pPr>
      <w:spacing w:after="0" w:line="240" w:lineRule="auto"/>
    </w:pPr>
    <w:rPr>
      <w:rFonts w:ascii="Times New Roman" w:eastAsia="Times New Roman" w:hAnsi="Times New Roman" w:cs="Times New Roman"/>
      <w:sz w:val="20"/>
      <w:szCs w:val="20"/>
      <w:lang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5749A"/>
    <w:pPr>
      <w:spacing w:after="0" w:line="240" w:lineRule="auto"/>
    </w:pPr>
    <w:rPr>
      <w:rFonts w:ascii="Times New Roman" w:eastAsia="Times New Roman" w:hAnsi="Times New Roman" w:cs="Times New Roman"/>
      <w:color w:val="000080"/>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5749A"/>
    <w:pPr>
      <w:spacing w:after="0" w:line="240" w:lineRule="auto"/>
    </w:pPr>
    <w:rPr>
      <w:rFonts w:ascii="Times New Roman" w:eastAsia="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5749A"/>
    <w:pPr>
      <w:spacing w:after="0" w:line="240" w:lineRule="auto"/>
    </w:pPr>
    <w:rPr>
      <w:rFonts w:ascii="Times New Roman" w:eastAsia="Times New Roman" w:hAnsi="Times New Roman" w:cs="Times New Roman"/>
      <w:sz w:val="20"/>
      <w:szCs w:val="20"/>
      <w:lang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5749A"/>
    <w:pPr>
      <w:spacing w:after="0" w:line="240" w:lineRule="auto"/>
    </w:pPr>
    <w:rPr>
      <w:rFonts w:ascii="Times New Roman" w:eastAsia="Times New Roman" w:hAnsi="Times New Roman" w:cs="Times New Roman"/>
      <w:b/>
      <w:bCs/>
      <w:sz w:val="20"/>
      <w:szCs w:val="20"/>
      <w:lang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5749A"/>
    <w:pPr>
      <w:spacing w:after="0" w:line="240" w:lineRule="auto"/>
    </w:pPr>
    <w:rPr>
      <w:rFonts w:ascii="Times New Roman" w:eastAsia="Times New Roman" w:hAnsi="Times New Roman" w:cs="Times New Roman"/>
      <w:b/>
      <w:bCs/>
      <w:sz w:val="20"/>
      <w:szCs w:val="20"/>
      <w:lang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5749A"/>
    <w:pPr>
      <w:spacing w:after="0" w:line="240" w:lineRule="auto"/>
    </w:pPr>
    <w:rPr>
      <w:rFonts w:ascii="Times New Roman" w:eastAsia="Times New Roman" w:hAnsi="Times New Roman" w:cs="Times New Roman"/>
      <w:b/>
      <w:bCs/>
      <w:sz w:val="20"/>
      <w:szCs w:val="20"/>
      <w:lang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5749A"/>
    <w:pPr>
      <w:spacing w:after="0" w:line="240" w:lineRule="auto"/>
    </w:pPr>
    <w:rPr>
      <w:rFonts w:ascii="Times New Roman" w:eastAsia="Times New Roman" w:hAnsi="Times New Roman" w:cs="Times New Roman"/>
      <w:sz w:val="20"/>
      <w:szCs w:val="20"/>
      <w:lang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5749A"/>
    <w:pPr>
      <w:spacing w:after="0" w:line="240" w:lineRule="auto"/>
    </w:pPr>
    <w:rPr>
      <w:rFonts w:ascii="Times New Roman" w:eastAsia="Times New Roman" w:hAnsi="Times New Roman" w:cs="Times New Roman"/>
      <w:sz w:val="20"/>
      <w:szCs w:val="20"/>
      <w:lang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5749A"/>
    <w:pPr>
      <w:spacing w:after="0" w:line="240" w:lineRule="auto"/>
    </w:pPr>
    <w:rPr>
      <w:rFonts w:ascii="Times New Roman" w:eastAsia="Times New Roman" w:hAnsi="Times New Roman" w:cs="Times New Roman"/>
      <w:sz w:val="20"/>
      <w:szCs w:val="20"/>
      <w:lang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5749A"/>
    <w:pPr>
      <w:spacing w:after="0" w:line="240" w:lineRule="auto"/>
    </w:pPr>
    <w:rPr>
      <w:rFonts w:ascii="Times New Roman" w:eastAsia="Times New Roman" w:hAnsi="Times New Roman" w:cs="Times New Roman"/>
      <w:sz w:val="20"/>
      <w:szCs w:val="20"/>
      <w:lang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5749A"/>
    <w:pPr>
      <w:spacing w:after="0" w:line="240" w:lineRule="auto"/>
    </w:pPr>
    <w:rPr>
      <w:rFonts w:ascii="Times New Roman" w:eastAsia="Times New Roman" w:hAnsi="Times New Roman" w:cs="Times New Roman"/>
      <w:b/>
      <w:bCs/>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1">
    <w:name w:val="Table Simple 1"/>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5749A"/>
    <w:pPr>
      <w:spacing w:after="0" w:line="240" w:lineRule="auto"/>
    </w:pPr>
    <w:rPr>
      <w:rFonts w:ascii="Times New Roman" w:eastAsia="Times New Roman" w:hAnsi="Times New Roman" w:cs="Times New Roman"/>
      <w:sz w:val="20"/>
      <w:szCs w:val="20"/>
      <w:lang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5749A"/>
    <w:pPr>
      <w:spacing w:after="0" w:line="240" w:lineRule="auto"/>
    </w:pPr>
    <w:rPr>
      <w:rFonts w:ascii="Times New Roman" w:eastAsia="Times New Roman" w:hAnsi="Times New Roman" w:cs="Times New Roman"/>
      <w:sz w:val="20"/>
      <w:szCs w:val="20"/>
      <w:lang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5749A"/>
    <w:pPr>
      <w:spacing w:after="0" w:line="240" w:lineRule="auto"/>
    </w:pPr>
    <w:rPr>
      <w:rFonts w:ascii="Times New Roman" w:eastAsia="Times New Roman" w:hAnsi="Times New Roman" w:cs="Times New Roman"/>
      <w:sz w:val="20"/>
      <w:szCs w:val="20"/>
      <w:lang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5749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5749A"/>
    <w:pPr>
      <w:spacing w:after="0" w:line="240" w:lineRule="auto"/>
    </w:pPr>
    <w:rPr>
      <w:rFonts w:ascii="Times New Roman" w:eastAsia="Times New Roman" w:hAnsi="Times New Roman" w:cs="Times New Roman"/>
      <w:sz w:val="20"/>
      <w:szCs w:val="20"/>
      <w:lang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5749A"/>
    <w:pPr>
      <w:spacing w:after="0" w:line="240" w:lineRule="auto"/>
    </w:pPr>
    <w:rPr>
      <w:rFonts w:ascii="Times New Roman" w:eastAsia="Times New Roman" w:hAnsi="Times New Roman" w:cs="Times New Roman"/>
      <w:sz w:val="20"/>
      <w:szCs w:val="20"/>
      <w:lang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5749A"/>
    <w:pPr>
      <w:spacing w:after="0" w:line="240" w:lineRule="auto"/>
    </w:pPr>
    <w:rPr>
      <w:rFonts w:ascii="Times New Roman" w:eastAsia="Times New Roman" w:hAnsi="Times New Roman" w:cs="Times New Roman"/>
      <w:sz w:val="20"/>
      <w:szCs w:val="20"/>
      <w:lang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extCharChar">
    <w:name w:val="Text Char Char"/>
    <w:basedOn w:val="Normal"/>
    <w:link w:val="TextCharCharChar"/>
    <w:rsid w:val="0065749A"/>
    <w:pPr>
      <w:spacing w:before="120" w:after="0" w:line="240" w:lineRule="auto"/>
      <w:jc w:val="both"/>
    </w:pPr>
    <w:rPr>
      <w:rFonts w:ascii="Arial" w:eastAsia="Times New Roman" w:hAnsi="Arial" w:cs="Times New Roman"/>
      <w:szCs w:val="20"/>
    </w:rPr>
  </w:style>
  <w:style w:type="character" w:customStyle="1" w:styleId="Nottoc-headingsCharChar">
    <w:name w:val="Not toc-headings Char Char"/>
    <w:basedOn w:val="DefaultParagraphFont"/>
    <w:link w:val="Nottoc-headingsChar"/>
    <w:rsid w:val="0065749A"/>
    <w:rPr>
      <w:rFonts w:ascii="Arial" w:eastAsia="Times New Roman" w:hAnsi="Arial" w:cs="Times New Roman"/>
      <w:b/>
      <w:szCs w:val="20"/>
    </w:rPr>
  </w:style>
  <w:style w:type="character" w:customStyle="1" w:styleId="TextCharCharChar">
    <w:name w:val="Text Char Char Char"/>
    <w:basedOn w:val="DefaultParagraphFont"/>
    <w:link w:val="TextCharChar"/>
    <w:rsid w:val="0065749A"/>
    <w:rPr>
      <w:rFonts w:ascii="Arial" w:eastAsia="Times New Roman" w:hAnsi="Arial" w:cs="Times New Roman"/>
      <w:szCs w:val="20"/>
    </w:rPr>
  </w:style>
  <w:style w:type="character" w:customStyle="1" w:styleId="CommentCharChar">
    <w:name w:val="Comment Char Char"/>
    <w:basedOn w:val="DefaultParagraphFont"/>
    <w:link w:val="CommentChar"/>
    <w:rsid w:val="0065749A"/>
    <w:rPr>
      <w:rFonts w:ascii="Arial" w:eastAsia="Times New Roman" w:hAnsi="Arial" w:cs="Times New Roman"/>
      <w:i/>
      <w:color w:val="BF30B5"/>
      <w:szCs w:val="24"/>
    </w:rPr>
  </w:style>
  <w:style w:type="paragraph" w:customStyle="1" w:styleId="TextChar">
    <w:name w:val="Text Char"/>
    <w:basedOn w:val="Normal"/>
    <w:rsid w:val="0065749A"/>
    <w:pPr>
      <w:spacing w:before="120" w:after="0" w:line="240" w:lineRule="auto"/>
      <w:jc w:val="both"/>
    </w:pPr>
    <w:rPr>
      <w:rFonts w:ascii="Arial" w:eastAsia="Times New Roman" w:hAnsi="Arial" w:cs="Times New Roman"/>
      <w:szCs w:val="20"/>
    </w:rPr>
  </w:style>
  <w:style w:type="character" w:customStyle="1" w:styleId="Heading2Char1">
    <w:name w:val="Heading 2 Char1"/>
    <w:basedOn w:val="DefaultParagraphFont"/>
    <w:rsid w:val="0065749A"/>
    <w:rPr>
      <w:rFonts w:ascii="Arial" w:eastAsia="Times New Roman" w:hAnsi="Arial" w:cs="Times New Roman"/>
      <w:b/>
      <w:szCs w:val="20"/>
      <w:lang w:eastAsia="en-US"/>
    </w:rPr>
  </w:style>
  <w:style w:type="character" w:customStyle="1" w:styleId="PlainText1">
    <w:name w:val="Plain Text1"/>
    <w:aliases w:val="Plain Text Char11,Plain Text Char Char1,Plain Text Char2 Char Char1,Plain Text Char1 Char1 Char Char1,Plain Text Char Char Char1 Char Char1,Plain Text Char1 Char Char Char Char Char1,Plain Text Char Char Char Char Char Char Char1"/>
    <w:basedOn w:val="DefaultParagraphFont"/>
    <w:rsid w:val="0065749A"/>
    <w:rPr>
      <w:rFonts w:ascii="Courier New" w:hAnsi="Courier New" w:cs="Courier New"/>
      <w:lang w:val="en-US" w:eastAsia="en-US" w:bidi="ar-SA"/>
    </w:rPr>
  </w:style>
  <w:style w:type="character" w:customStyle="1" w:styleId="TextChar1">
    <w:name w:val="Text Char1"/>
    <w:basedOn w:val="DefaultParagraphFont"/>
    <w:rsid w:val="0065749A"/>
    <w:rPr>
      <w:sz w:val="24"/>
      <w:lang w:val="en-US" w:eastAsia="en-US" w:bidi="ar-SA"/>
    </w:rPr>
  </w:style>
  <w:style w:type="character" w:customStyle="1" w:styleId="PlainTextChar1Char1">
    <w:name w:val="Plain Text Char1 Char1"/>
    <w:aliases w:val="Plain Text Char Char Char1,Plain Text Char2 Char Char Char1,Plain Text Char1 Char1 Char Char Char1,Plain Text Char Char Char1 Char Char Char,Plain Text Char1 Char Char Char Char Char Char,Plain Text Char Char2"/>
    <w:basedOn w:val="DefaultParagraphFont"/>
    <w:rsid w:val="0065749A"/>
    <w:rPr>
      <w:rFonts w:ascii="Courier New" w:hAnsi="Courier New"/>
      <w:sz w:val="24"/>
      <w:lang w:val="en-US" w:eastAsia="fr-FR" w:bidi="ar-SA"/>
    </w:rPr>
  </w:style>
  <w:style w:type="character" w:customStyle="1" w:styleId="SAStextChar">
    <w:name w:val="SAS text Char"/>
    <w:basedOn w:val="DefaultParagraphFont"/>
    <w:link w:val="SAStext"/>
    <w:rsid w:val="0065749A"/>
    <w:rPr>
      <w:rFonts w:ascii="Courier New" w:eastAsia="Times New Roman" w:hAnsi="Courier New" w:cs="Times New Roman"/>
      <w:spacing w:val="-10"/>
      <w:sz w:val="24"/>
      <w:szCs w:val="20"/>
      <w:lang w:val="en-US"/>
    </w:rPr>
  </w:style>
  <w:style w:type="paragraph" w:customStyle="1" w:styleId="Comment">
    <w:name w:val="Comment"/>
    <w:basedOn w:val="Normal"/>
    <w:next w:val="Text"/>
    <w:rsid w:val="0065749A"/>
    <w:pPr>
      <w:keepLines/>
      <w:spacing w:before="120" w:after="0" w:line="240" w:lineRule="auto"/>
      <w:jc w:val="both"/>
    </w:pPr>
    <w:rPr>
      <w:rFonts w:ascii="Arial" w:eastAsia="Times New Roman" w:hAnsi="Arial" w:cs="Times New Roman"/>
      <w:i/>
      <w:color w:val="BF30B5"/>
      <w:szCs w:val="24"/>
    </w:rPr>
  </w:style>
  <w:style w:type="paragraph" w:customStyle="1" w:styleId="Nottoc-headings">
    <w:name w:val="Not toc-headings"/>
    <w:basedOn w:val="Normal"/>
    <w:next w:val="Text"/>
    <w:rsid w:val="0065749A"/>
    <w:pPr>
      <w:keepNext/>
      <w:keepLines/>
      <w:spacing w:before="240" w:after="60" w:line="240" w:lineRule="auto"/>
      <w:ind w:left="1701" w:hanging="1701"/>
    </w:pPr>
    <w:rPr>
      <w:rFonts w:ascii="Arial" w:eastAsia="Times New Roman" w:hAnsi="Arial" w:cs="Times New Roman"/>
      <w:b/>
      <w:szCs w:val="20"/>
    </w:rPr>
  </w:style>
  <w:style w:type="character" w:customStyle="1" w:styleId="TableChar">
    <w:name w:val="Table Char"/>
    <w:basedOn w:val="DefaultParagraphFont"/>
    <w:link w:val="Table"/>
    <w:rsid w:val="0065749A"/>
    <w:rPr>
      <w:rFonts w:ascii="Arial" w:eastAsia="Times New Roman" w:hAnsi="Arial" w:cs="Times New Roman"/>
      <w:sz w:val="20"/>
      <w:szCs w:val="20"/>
    </w:rPr>
  </w:style>
  <w:style w:type="paragraph" w:customStyle="1" w:styleId="SignatureJobTitle">
    <w:name w:val="Signature Job Title"/>
    <w:basedOn w:val="Signature"/>
    <w:rsid w:val="0065749A"/>
  </w:style>
  <w:style w:type="paragraph" w:customStyle="1" w:styleId="SignatureCompany">
    <w:name w:val="Signature Company"/>
    <w:basedOn w:val="Signature"/>
    <w:rsid w:val="0065749A"/>
  </w:style>
  <w:style w:type="paragraph" w:customStyle="1" w:styleId="Byline">
    <w:name w:val="Byline"/>
    <w:basedOn w:val="BodyText"/>
    <w:rsid w:val="0065749A"/>
  </w:style>
  <w:style w:type="paragraph" w:styleId="DocumentMap">
    <w:name w:val="Document Map"/>
    <w:basedOn w:val="Normal"/>
    <w:link w:val="DocumentMapChar"/>
    <w:semiHidden/>
    <w:rsid w:val="0065749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65749A"/>
    <w:rPr>
      <w:rFonts w:ascii="Tahoma" w:eastAsia="Times New Roman" w:hAnsi="Tahoma" w:cs="Tahoma"/>
      <w:sz w:val="20"/>
      <w:szCs w:val="20"/>
      <w:shd w:val="clear" w:color="auto" w:fill="000080"/>
    </w:rPr>
  </w:style>
  <w:style w:type="paragraph" w:customStyle="1" w:styleId="Instruction">
    <w:name w:val="Instruction"/>
    <w:basedOn w:val="Text"/>
    <w:rsid w:val="0065749A"/>
    <w:rPr>
      <w:i/>
    </w:rPr>
  </w:style>
  <w:style w:type="character" w:customStyle="1" w:styleId="citation">
    <w:name w:val="citation"/>
    <w:basedOn w:val="DefaultParagraphFont"/>
    <w:rsid w:val="0065749A"/>
    <w:rPr>
      <w:i w:val="0"/>
      <w:iCs w:val="0"/>
    </w:rPr>
  </w:style>
  <w:style w:type="paragraph" w:customStyle="1" w:styleId="StyleTableBold">
    <w:name w:val="Style Table + Bold"/>
    <w:basedOn w:val="Table"/>
    <w:link w:val="StyleTableBoldChar"/>
    <w:rsid w:val="0065749A"/>
    <w:pPr>
      <w:jc w:val="center"/>
    </w:pPr>
    <w:rPr>
      <w:b/>
      <w:bCs/>
    </w:rPr>
  </w:style>
  <w:style w:type="character" w:customStyle="1" w:styleId="StyleTableBoldChar">
    <w:name w:val="Style Table + Bold Char"/>
    <w:basedOn w:val="TableChar"/>
    <w:link w:val="StyleTableBold"/>
    <w:rsid w:val="0065749A"/>
    <w:rPr>
      <w:rFonts w:ascii="Arial" w:eastAsia="Times New Roman" w:hAnsi="Arial" w:cs="Times New Roman"/>
      <w:b/>
      <w:bCs/>
      <w:sz w:val="20"/>
      <w:szCs w:val="20"/>
    </w:rPr>
  </w:style>
  <w:style w:type="paragraph" w:customStyle="1" w:styleId="StyleNormalIndentLeft381cmHanging007cm">
    <w:name w:val="Style Normal Indent + Left:  3.81 cm Hanging:  0.07 cm"/>
    <w:basedOn w:val="NormalIndent"/>
    <w:rsid w:val="0065749A"/>
    <w:pPr>
      <w:ind w:left="2160"/>
    </w:pPr>
  </w:style>
  <w:style w:type="paragraph" w:customStyle="1" w:styleId="bullet2">
    <w:name w:val="bullet2"/>
    <w:basedOn w:val="ListBullet"/>
    <w:rsid w:val="0065749A"/>
    <w:pPr>
      <w:numPr>
        <w:numId w:val="58"/>
      </w:numPr>
      <w:tabs>
        <w:tab w:val="num" w:pos="1440"/>
      </w:tabs>
      <w:jc w:val="both"/>
    </w:pPr>
    <w:rPr>
      <w:rFonts w:cs="Arial"/>
      <w:b/>
      <w:bCs/>
      <w:sz w:val="24"/>
      <w:szCs w:val="24"/>
      <w:lang w:val="en-US"/>
    </w:rPr>
  </w:style>
  <w:style w:type="paragraph" w:customStyle="1" w:styleId="Stylebullet2Italic">
    <w:name w:val="Style bullet2 + Italic"/>
    <w:basedOn w:val="bullet2"/>
    <w:rsid w:val="0065749A"/>
    <w:pPr>
      <w:ind w:left="1247" w:right="170" w:hanging="340"/>
    </w:pPr>
    <w:rPr>
      <w:rFonts w:ascii="Times New Roman" w:hAnsi="Times New Roman"/>
      <w:b w:val="0"/>
      <w:iCs/>
    </w:rPr>
  </w:style>
  <w:style w:type="paragraph" w:customStyle="1" w:styleId="References">
    <w:name w:val="References"/>
    <w:basedOn w:val="Normal"/>
    <w:rsid w:val="0065749A"/>
    <w:pPr>
      <w:numPr>
        <w:numId w:val="59"/>
      </w:numPr>
      <w:spacing w:after="0" w:line="240" w:lineRule="auto"/>
      <w:jc w:val="both"/>
    </w:pPr>
    <w:rPr>
      <w:rFonts w:ascii="Times New Roman" w:eastAsia="Times New Roman" w:hAnsi="Times New Roman" w:cs="Times New Roman"/>
      <w:sz w:val="24"/>
      <w:szCs w:val="20"/>
      <w:lang w:val="es-ES"/>
    </w:rPr>
  </w:style>
  <w:style w:type="paragraph" w:customStyle="1" w:styleId="Style1">
    <w:name w:val="Style1"/>
    <w:basedOn w:val="NormalIndent"/>
    <w:link w:val="Style1Char"/>
    <w:qFormat/>
    <w:rsid w:val="0065749A"/>
    <w:pPr>
      <w:jc w:val="left"/>
    </w:pPr>
  </w:style>
  <w:style w:type="character" w:customStyle="1" w:styleId="Style1Char">
    <w:name w:val="Style1 Char"/>
    <w:basedOn w:val="NormalIndentChar"/>
    <w:link w:val="Style1"/>
    <w:rsid w:val="0065749A"/>
    <w:rPr>
      <w:rFonts w:ascii="Arial" w:eastAsia="Times New Roman" w:hAnsi="Arial" w:cs="Times New Roman"/>
      <w:szCs w:val="20"/>
    </w:rPr>
  </w:style>
  <w:style w:type="paragraph" w:customStyle="1" w:styleId="Body">
    <w:name w:val="Body"/>
    <w:rsid w:val="0065749A"/>
    <w:pPr>
      <w:pBdr>
        <w:top w:val="nil"/>
        <w:left w:val="nil"/>
        <w:bottom w:val="nil"/>
        <w:right w:val="nil"/>
        <w:between w:val="nil"/>
        <w:bar w:val="nil"/>
      </w:pBdr>
      <w:spacing w:after="120" w:line="300" w:lineRule="exact"/>
    </w:pPr>
    <w:rPr>
      <w:rFonts w:ascii="Arial" w:eastAsia="Arial Unicode MS" w:hAnsi="Arial Unicode MS" w:cs="Arial Unicode MS"/>
      <w:color w:val="000000"/>
      <w:u w:color="000000"/>
      <w:bdr w:val="nil"/>
      <w:lang w:eastAsia="en-GB"/>
    </w:rPr>
  </w:style>
  <w:style w:type="character" w:customStyle="1" w:styleId="NormalBulletChar">
    <w:name w:val="Normal Bullet Char"/>
    <w:basedOn w:val="NormalIndentChar"/>
    <w:link w:val="NormalBullet"/>
    <w:rsid w:val="0065749A"/>
    <w:rPr>
      <w:rFonts w:ascii="Arial" w:eastAsia="Times New Roman" w:hAnsi="Arial" w:cs="Times New Roman"/>
      <w:szCs w:val="20"/>
    </w:rPr>
  </w:style>
  <w:style w:type="character" w:customStyle="1" w:styleId="label">
    <w:name w:val="label"/>
    <w:basedOn w:val="DefaultParagraphFont"/>
    <w:rsid w:val="0065749A"/>
  </w:style>
  <w:style w:type="table" w:styleId="PlainTable3">
    <w:name w:val="Plain Table 3"/>
    <w:basedOn w:val="TableNormal"/>
    <w:uiPriority w:val="43"/>
    <w:rsid w:val="00567FC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567FC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567FC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umber">
    <w:name w:val="number"/>
    <w:basedOn w:val="DefaultParagraphFont"/>
    <w:rsid w:val="00AC4508"/>
  </w:style>
  <w:style w:type="paragraph" w:customStyle="1" w:styleId="paragraph">
    <w:name w:val="paragraph"/>
    <w:basedOn w:val="Normal"/>
    <w:rsid w:val="00F64CD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tabchar">
    <w:name w:val="tabchar"/>
    <w:basedOn w:val="DefaultParagraphFont"/>
    <w:rsid w:val="00F64C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3595">
      <w:bodyDiv w:val="1"/>
      <w:marLeft w:val="0"/>
      <w:marRight w:val="0"/>
      <w:marTop w:val="0"/>
      <w:marBottom w:val="0"/>
      <w:divBdr>
        <w:top w:val="none" w:sz="0" w:space="0" w:color="auto"/>
        <w:left w:val="none" w:sz="0" w:space="0" w:color="auto"/>
        <w:bottom w:val="none" w:sz="0" w:space="0" w:color="auto"/>
        <w:right w:val="none" w:sz="0" w:space="0" w:color="auto"/>
      </w:divBdr>
    </w:div>
    <w:div w:id="44331496">
      <w:bodyDiv w:val="1"/>
      <w:marLeft w:val="0"/>
      <w:marRight w:val="0"/>
      <w:marTop w:val="0"/>
      <w:marBottom w:val="0"/>
      <w:divBdr>
        <w:top w:val="none" w:sz="0" w:space="0" w:color="auto"/>
        <w:left w:val="none" w:sz="0" w:space="0" w:color="auto"/>
        <w:bottom w:val="none" w:sz="0" w:space="0" w:color="auto"/>
        <w:right w:val="none" w:sz="0" w:space="0" w:color="auto"/>
      </w:divBdr>
      <w:divsChild>
        <w:div w:id="800149144">
          <w:marLeft w:val="446"/>
          <w:marRight w:val="0"/>
          <w:marTop w:val="0"/>
          <w:marBottom w:val="0"/>
          <w:divBdr>
            <w:top w:val="none" w:sz="0" w:space="0" w:color="auto"/>
            <w:left w:val="none" w:sz="0" w:space="0" w:color="auto"/>
            <w:bottom w:val="none" w:sz="0" w:space="0" w:color="auto"/>
            <w:right w:val="none" w:sz="0" w:space="0" w:color="auto"/>
          </w:divBdr>
        </w:div>
        <w:div w:id="1219895802">
          <w:marLeft w:val="446"/>
          <w:marRight w:val="0"/>
          <w:marTop w:val="0"/>
          <w:marBottom w:val="0"/>
          <w:divBdr>
            <w:top w:val="none" w:sz="0" w:space="0" w:color="auto"/>
            <w:left w:val="none" w:sz="0" w:space="0" w:color="auto"/>
            <w:bottom w:val="none" w:sz="0" w:space="0" w:color="auto"/>
            <w:right w:val="none" w:sz="0" w:space="0" w:color="auto"/>
          </w:divBdr>
        </w:div>
      </w:divsChild>
    </w:div>
    <w:div w:id="78449160">
      <w:bodyDiv w:val="1"/>
      <w:marLeft w:val="0"/>
      <w:marRight w:val="0"/>
      <w:marTop w:val="0"/>
      <w:marBottom w:val="0"/>
      <w:divBdr>
        <w:top w:val="none" w:sz="0" w:space="0" w:color="auto"/>
        <w:left w:val="none" w:sz="0" w:space="0" w:color="auto"/>
        <w:bottom w:val="none" w:sz="0" w:space="0" w:color="auto"/>
        <w:right w:val="none" w:sz="0" w:space="0" w:color="auto"/>
      </w:divBdr>
    </w:div>
    <w:div w:id="108597052">
      <w:bodyDiv w:val="1"/>
      <w:marLeft w:val="0"/>
      <w:marRight w:val="0"/>
      <w:marTop w:val="0"/>
      <w:marBottom w:val="0"/>
      <w:divBdr>
        <w:top w:val="none" w:sz="0" w:space="0" w:color="auto"/>
        <w:left w:val="none" w:sz="0" w:space="0" w:color="auto"/>
        <w:bottom w:val="none" w:sz="0" w:space="0" w:color="auto"/>
        <w:right w:val="none" w:sz="0" w:space="0" w:color="auto"/>
      </w:divBdr>
    </w:div>
    <w:div w:id="109402256">
      <w:bodyDiv w:val="1"/>
      <w:marLeft w:val="0"/>
      <w:marRight w:val="0"/>
      <w:marTop w:val="0"/>
      <w:marBottom w:val="0"/>
      <w:divBdr>
        <w:top w:val="none" w:sz="0" w:space="0" w:color="auto"/>
        <w:left w:val="none" w:sz="0" w:space="0" w:color="auto"/>
        <w:bottom w:val="none" w:sz="0" w:space="0" w:color="auto"/>
        <w:right w:val="none" w:sz="0" w:space="0" w:color="auto"/>
      </w:divBdr>
    </w:div>
    <w:div w:id="255598328">
      <w:bodyDiv w:val="1"/>
      <w:marLeft w:val="0"/>
      <w:marRight w:val="0"/>
      <w:marTop w:val="0"/>
      <w:marBottom w:val="0"/>
      <w:divBdr>
        <w:top w:val="none" w:sz="0" w:space="0" w:color="auto"/>
        <w:left w:val="none" w:sz="0" w:space="0" w:color="auto"/>
        <w:bottom w:val="none" w:sz="0" w:space="0" w:color="auto"/>
        <w:right w:val="none" w:sz="0" w:space="0" w:color="auto"/>
      </w:divBdr>
    </w:div>
    <w:div w:id="288752533">
      <w:bodyDiv w:val="1"/>
      <w:marLeft w:val="0"/>
      <w:marRight w:val="0"/>
      <w:marTop w:val="0"/>
      <w:marBottom w:val="0"/>
      <w:divBdr>
        <w:top w:val="none" w:sz="0" w:space="0" w:color="auto"/>
        <w:left w:val="none" w:sz="0" w:space="0" w:color="auto"/>
        <w:bottom w:val="none" w:sz="0" w:space="0" w:color="auto"/>
        <w:right w:val="none" w:sz="0" w:space="0" w:color="auto"/>
      </w:divBdr>
    </w:div>
    <w:div w:id="290526014">
      <w:bodyDiv w:val="1"/>
      <w:marLeft w:val="0"/>
      <w:marRight w:val="0"/>
      <w:marTop w:val="0"/>
      <w:marBottom w:val="0"/>
      <w:divBdr>
        <w:top w:val="none" w:sz="0" w:space="0" w:color="auto"/>
        <w:left w:val="none" w:sz="0" w:space="0" w:color="auto"/>
        <w:bottom w:val="none" w:sz="0" w:space="0" w:color="auto"/>
        <w:right w:val="none" w:sz="0" w:space="0" w:color="auto"/>
      </w:divBdr>
    </w:div>
    <w:div w:id="299309369">
      <w:bodyDiv w:val="1"/>
      <w:marLeft w:val="0"/>
      <w:marRight w:val="0"/>
      <w:marTop w:val="0"/>
      <w:marBottom w:val="0"/>
      <w:divBdr>
        <w:top w:val="none" w:sz="0" w:space="0" w:color="auto"/>
        <w:left w:val="none" w:sz="0" w:space="0" w:color="auto"/>
        <w:bottom w:val="none" w:sz="0" w:space="0" w:color="auto"/>
        <w:right w:val="none" w:sz="0" w:space="0" w:color="auto"/>
      </w:divBdr>
      <w:divsChild>
        <w:div w:id="513374202">
          <w:marLeft w:val="446"/>
          <w:marRight w:val="0"/>
          <w:marTop w:val="0"/>
          <w:marBottom w:val="0"/>
          <w:divBdr>
            <w:top w:val="none" w:sz="0" w:space="0" w:color="auto"/>
            <w:left w:val="none" w:sz="0" w:space="0" w:color="auto"/>
            <w:bottom w:val="none" w:sz="0" w:space="0" w:color="auto"/>
            <w:right w:val="none" w:sz="0" w:space="0" w:color="auto"/>
          </w:divBdr>
        </w:div>
        <w:div w:id="1071270967">
          <w:marLeft w:val="446"/>
          <w:marRight w:val="0"/>
          <w:marTop w:val="0"/>
          <w:marBottom w:val="0"/>
          <w:divBdr>
            <w:top w:val="none" w:sz="0" w:space="0" w:color="auto"/>
            <w:left w:val="none" w:sz="0" w:space="0" w:color="auto"/>
            <w:bottom w:val="none" w:sz="0" w:space="0" w:color="auto"/>
            <w:right w:val="none" w:sz="0" w:space="0" w:color="auto"/>
          </w:divBdr>
        </w:div>
        <w:div w:id="1652561098">
          <w:marLeft w:val="446"/>
          <w:marRight w:val="0"/>
          <w:marTop w:val="0"/>
          <w:marBottom w:val="0"/>
          <w:divBdr>
            <w:top w:val="none" w:sz="0" w:space="0" w:color="auto"/>
            <w:left w:val="none" w:sz="0" w:space="0" w:color="auto"/>
            <w:bottom w:val="none" w:sz="0" w:space="0" w:color="auto"/>
            <w:right w:val="none" w:sz="0" w:space="0" w:color="auto"/>
          </w:divBdr>
        </w:div>
      </w:divsChild>
    </w:div>
    <w:div w:id="323551503">
      <w:bodyDiv w:val="1"/>
      <w:marLeft w:val="0"/>
      <w:marRight w:val="0"/>
      <w:marTop w:val="0"/>
      <w:marBottom w:val="0"/>
      <w:divBdr>
        <w:top w:val="none" w:sz="0" w:space="0" w:color="auto"/>
        <w:left w:val="none" w:sz="0" w:space="0" w:color="auto"/>
        <w:bottom w:val="none" w:sz="0" w:space="0" w:color="auto"/>
        <w:right w:val="none" w:sz="0" w:space="0" w:color="auto"/>
      </w:divBdr>
    </w:div>
    <w:div w:id="343367580">
      <w:bodyDiv w:val="1"/>
      <w:marLeft w:val="0"/>
      <w:marRight w:val="0"/>
      <w:marTop w:val="0"/>
      <w:marBottom w:val="0"/>
      <w:divBdr>
        <w:top w:val="none" w:sz="0" w:space="0" w:color="auto"/>
        <w:left w:val="none" w:sz="0" w:space="0" w:color="auto"/>
        <w:bottom w:val="none" w:sz="0" w:space="0" w:color="auto"/>
        <w:right w:val="none" w:sz="0" w:space="0" w:color="auto"/>
      </w:divBdr>
    </w:div>
    <w:div w:id="383255373">
      <w:bodyDiv w:val="1"/>
      <w:marLeft w:val="0"/>
      <w:marRight w:val="0"/>
      <w:marTop w:val="0"/>
      <w:marBottom w:val="0"/>
      <w:divBdr>
        <w:top w:val="none" w:sz="0" w:space="0" w:color="auto"/>
        <w:left w:val="none" w:sz="0" w:space="0" w:color="auto"/>
        <w:bottom w:val="none" w:sz="0" w:space="0" w:color="auto"/>
        <w:right w:val="none" w:sz="0" w:space="0" w:color="auto"/>
      </w:divBdr>
    </w:div>
    <w:div w:id="400954097">
      <w:bodyDiv w:val="1"/>
      <w:marLeft w:val="0"/>
      <w:marRight w:val="0"/>
      <w:marTop w:val="0"/>
      <w:marBottom w:val="0"/>
      <w:divBdr>
        <w:top w:val="none" w:sz="0" w:space="0" w:color="auto"/>
        <w:left w:val="none" w:sz="0" w:space="0" w:color="auto"/>
        <w:bottom w:val="none" w:sz="0" w:space="0" w:color="auto"/>
        <w:right w:val="none" w:sz="0" w:space="0" w:color="auto"/>
      </w:divBdr>
    </w:div>
    <w:div w:id="410202408">
      <w:bodyDiv w:val="1"/>
      <w:marLeft w:val="0"/>
      <w:marRight w:val="0"/>
      <w:marTop w:val="0"/>
      <w:marBottom w:val="0"/>
      <w:divBdr>
        <w:top w:val="none" w:sz="0" w:space="0" w:color="auto"/>
        <w:left w:val="none" w:sz="0" w:space="0" w:color="auto"/>
        <w:bottom w:val="none" w:sz="0" w:space="0" w:color="auto"/>
        <w:right w:val="none" w:sz="0" w:space="0" w:color="auto"/>
      </w:divBdr>
    </w:div>
    <w:div w:id="442724707">
      <w:bodyDiv w:val="1"/>
      <w:marLeft w:val="0"/>
      <w:marRight w:val="0"/>
      <w:marTop w:val="0"/>
      <w:marBottom w:val="0"/>
      <w:divBdr>
        <w:top w:val="none" w:sz="0" w:space="0" w:color="auto"/>
        <w:left w:val="none" w:sz="0" w:space="0" w:color="auto"/>
        <w:bottom w:val="none" w:sz="0" w:space="0" w:color="auto"/>
        <w:right w:val="none" w:sz="0" w:space="0" w:color="auto"/>
      </w:divBdr>
    </w:div>
    <w:div w:id="449055624">
      <w:bodyDiv w:val="1"/>
      <w:marLeft w:val="0"/>
      <w:marRight w:val="0"/>
      <w:marTop w:val="0"/>
      <w:marBottom w:val="0"/>
      <w:divBdr>
        <w:top w:val="none" w:sz="0" w:space="0" w:color="auto"/>
        <w:left w:val="none" w:sz="0" w:space="0" w:color="auto"/>
        <w:bottom w:val="none" w:sz="0" w:space="0" w:color="auto"/>
        <w:right w:val="none" w:sz="0" w:space="0" w:color="auto"/>
      </w:divBdr>
    </w:div>
    <w:div w:id="470829271">
      <w:bodyDiv w:val="1"/>
      <w:marLeft w:val="0"/>
      <w:marRight w:val="0"/>
      <w:marTop w:val="0"/>
      <w:marBottom w:val="0"/>
      <w:divBdr>
        <w:top w:val="none" w:sz="0" w:space="0" w:color="auto"/>
        <w:left w:val="none" w:sz="0" w:space="0" w:color="auto"/>
        <w:bottom w:val="none" w:sz="0" w:space="0" w:color="auto"/>
        <w:right w:val="none" w:sz="0" w:space="0" w:color="auto"/>
      </w:divBdr>
    </w:div>
    <w:div w:id="560209684">
      <w:bodyDiv w:val="1"/>
      <w:marLeft w:val="0"/>
      <w:marRight w:val="0"/>
      <w:marTop w:val="0"/>
      <w:marBottom w:val="0"/>
      <w:divBdr>
        <w:top w:val="none" w:sz="0" w:space="0" w:color="auto"/>
        <w:left w:val="none" w:sz="0" w:space="0" w:color="auto"/>
        <w:bottom w:val="none" w:sz="0" w:space="0" w:color="auto"/>
        <w:right w:val="none" w:sz="0" w:space="0" w:color="auto"/>
      </w:divBdr>
    </w:div>
    <w:div w:id="560752271">
      <w:bodyDiv w:val="1"/>
      <w:marLeft w:val="0"/>
      <w:marRight w:val="0"/>
      <w:marTop w:val="0"/>
      <w:marBottom w:val="0"/>
      <w:divBdr>
        <w:top w:val="none" w:sz="0" w:space="0" w:color="auto"/>
        <w:left w:val="none" w:sz="0" w:space="0" w:color="auto"/>
        <w:bottom w:val="none" w:sz="0" w:space="0" w:color="auto"/>
        <w:right w:val="none" w:sz="0" w:space="0" w:color="auto"/>
      </w:divBdr>
    </w:div>
    <w:div w:id="573859408">
      <w:bodyDiv w:val="1"/>
      <w:marLeft w:val="0"/>
      <w:marRight w:val="0"/>
      <w:marTop w:val="0"/>
      <w:marBottom w:val="0"/>
      <w:divBdr>
        <w:top w:val="none" w:sz="0" w:space="0" w:color="auto"/>
        <w:left w:val="none" w:sz="0" w:space="0" w:color="auto"/>
        <w:bottom w:val="none" w:sz="0" w:space="0" w:color="auto"/>
        <w:right w:val="none" w:sz="0" w:space="0" w:color="auto"/>
      </w:divBdr>
      <w:divsChild>
        <w:div w:id="86586664">
          <w:marLeft w:val="446"/>
          <w:marRight w:val="0"/>
          <w:marTop w:val="0"/>
          <w:marBottom w:val="0"/>
          <w:divBdr>
            <w:top w:val="none" w:sz="0" w:space="0" w:color="auto"/>
            <w:left w:val="none" w:sz="0" w:space="0" w:color="auto"/>
            <w:bottom w:val="none" w:sz="0" w:space="0" w:color="auto"/>
            <w:right w:val="none" w:sz="0" w:space="0" w:color="auto"/>
          </w:divBdr>
        </w:div>
        <w:div w:id="479539375">
          <w:marLeft w:val="446"/>
          <w:marRight w:val="0"/>
          <w:marTop w:val="0"/>
          <w:marBottom w:val="0"/>
          <w:divBdr>
            <w:top w:val="none" w:sz="0" w:space="0" w:color="auto"/>
            <w:left w:val="none" w:sz="0" w:space="0" w:color="auto"/>
            <w:bottom w:val="none" w:sz="0" w:space="0" w:color="auto"/>
            <w:right w:val="none" w:sz="0" w:space="0" w:color="auto"/>
          </w:divBdr>
        </w:div>
        <w:div w:id="1606310108">
          <w:marLeft w:val="446"/>
          <w:marRight w:val="0"/>
          <w:marTop w:val="0"/>
          <w:marBottom w:val="0"/>
          <w:divBdr>
            <w:top w:val="none" w:sz="0" w:space="0" w:color="auto"/>
            <w:left w:val="none" w:sz="0" w:space="0" w:color="auto"/>
            <w:bottom w:val="none" w:sz="0" w:space="0" w:color="auto"/>
            <w:right w:val="none" w:sz="0" w:space="0" w:color="auto"/>
          </w:divBdr>
        </w:div>
        <w:div w:id="2082408917">
          <w:marLeft w:val="446"/>
          <w:marRight w:val="0"/>
          <w:marTop w:val="0"/>
          <w:marBottom w:val="0"/>
          <w:divBdr>
            <w:top w:val="none" w:sz="0" w:space="0" w:color="auto"/>
            <w:left w:val="none" w:sz="0" w:space="0" w:color="auto"/>
            <w:bottom w:val="none" w:sz="0" w:space="0" w:color="auto"/>
            <w:right w:val="none" w:sz="0" w:space="0" w:color="auto"/>
          </w:divBdr>
        </w:div>
      </w:divsChild>
    </w:div>
    <w:div w:id="577910054">
      <w:bodyDiv w:val="1"/>
      <w:marLeft w:val="0"/>
      <w:marRight w:val="0"/>
      <w:marTop w:val="0"/>
      <w:marBottom w:val="0"/>
      <w:divBdr>
        <w:top w:val="none" w:sz="0" w:space="0" w:color="auto"/>
        <w:left w:val="none" w:sz="0" w:space="0" w:color="auto"/>
        <w:bottom w:val="none" w:sz="0" w:space="0" w:color="auto"/>
        <w:right w:val="none" w:sz="0" w:space="0" w:color="auto"/>
      </w:divBdr>
      <w:divsChild>
        <w:div w:id="615523872">
          <w:marLeft w:val="0"/>
          <w:marRight w:val="0"/>
          <w:marTop w:val="0"/>
          <w:marBottom w:val="0"/>
          <w:divBdr>
            <w:top w:val="none" w:sz="0" w:space="0" w:color="auto"/>
            <w:left w:val="none" w:sz="0" w:space="0" w:color="auto"/>
            <w:bottom w:val="none" w:sz="0" w:space="0" w:color="auto"/>
            <w:right w:val="none" w:sz="0" w:space="0" w:color="auto"/>
          </w:divBdr>
        </w:div>
        <w:div w:id="1018652897">
          <w:marLeft w:val="0"/>
          <w:marRight w:val="0"/>
          <w:marTop w:val="0"/>
          <w:marBottom w:val="0"/>
          <w:divBdr>
            <w:top w:val="none" w:sz="0" w:space="0" w:color="auto"/>
            <w:left w:val="none" w:sz="0" w:space="0" w:color="auto"/>
            <w:bottom w:val="none" w:sz="0" w:space="0" w:color="auto"/>
            <w:right w:val="none" w:sz="0" w:space="0" w:color="auto"/>
          </w:divBdr>
        </w:div>
        <w:div w:id="1312901118">
          <w:marLeft w:val="0"/>
          <w:marRight w:val="0"/>
          <w:marTop w:val="0"/>
          <w:marBottom w:val="0"/>
          <w:divBdr>
            <w:top w:val="none" w:sz="0" w:space="0" w:color="auto"/>
            <w:left w:val="none" w:sz="0" w:space="0" w:color="auto"/>
            <w:bottom w:val="none" w:sz="0" w:space="0" w:color="auto"/>
            <w:right w:val="none" w:sz="0" w:space="0" w:color="auto"/>
          </w:divBdr>
        </w:div>
        <w:div w:id="1708142907">
          <w:marLeft w:val="0"/>
          <w:marRight w:val="0"/>
          <w:marTop w:val="0"/>
          <w:marBottom w:val="0"/>
          <w:divBdr>
            <w:top w:val="none" w:sz="0" w:space="0" w:color="auto"/>
            <w:left w:val="none" w:sz="0" w:space="0" w:color="auto"/>
            <w:bottom w:val="none" w:sz="0" w:space="0" w:color="auto"/>
            <w:right w:val="none" w:sz="0" w:space="0" w:color="auto"/>
          </w:divBdr>
        </w:div>
      </w:divsChild>
    </w:div>
    <w:div w:id="593053918">
      <w:bodyDiv w:val="1"/>
      <w:marLeft w:val="0"/>
      <w:marRight w:val="0"/>
      <w:marTop w:val="0"/>
      <w:marBottom w:val="0"/>
      <w:divBdr>
        <w:top w:val="none" w:sz="0" w:space="0" w:color="auto"/>
        <w:left w:val="none" w:sz="0" w:space="0" w:color="auto"/>
        <w:bottom w:val="none" w:sz="0" w:space="0" w:color="auto"/>
        <w:right w:val="none" w:sz="0" w:space="0" w:color="auto"/>
      </w:divBdr>
    </w:div>
    <w:div w:id="610282730">
      <w:bodyDiv w:val="1"/>
      <w:marLeft w:val="0"/>
      <w:marRight w:val="0"/>
      <w:marTop w:val="0"/>
      <w:marBottom w:val="0"/>
      <w:divBdr>
        <w:top w:val="none" w:sz="0" w:space="0" w:color="auto"/>
        <w:left w:val="none" w:sz="0" w:space="0" w:color="auto"/>
        <w:bottom w:val="none" w:sz="0" w:space="0" w:color="auto"/>
        <w:right w:val="none" w:sz="0" w:space="0" w:color="auto"/>
      </w:divBdr>
    </w:div>
    <w:div w:id="616833401">
      <w:bodyDiv w:val="1"/>
      <w:marLeft w:val="0"/>
      <w:marRight w:val="0"/>
      <w:marTop w:val="0"/>
      <w:marBottom w:val="0"/>
      <w:divBdr>
        <w:top w:val="none" w:sz="0" w:space="0" w:color="auto"/>
        <w:left w:val="none" w:sz="0" w:space="0" w:color="auto"/>
        <w:bottom w:val="none" w:sz="0" w:space="0" w:color="auto"/>
        <w:right w:val="none" w:sz="0" w:space="0" w:color="auto"/>
      </w:divBdr>
    </w:div>
    <w:div w:id="640427371">
      <w:bodyDiv w:val="1"/>
      <w:marLeft w:val="0"/>
      <w:marRight w:val="0"/>
      <w:marTop w:val="0"/>
      <w:marBottom w:val="0"/>
      <w:divBdr>
        <w:top w:val="none" w:sz="0" w:space="0" w:color="auto"/>
        <w:left w:val="none" w:sz="0" w:space="0" w:color="auto"/>
        <w:bottom w:val="none" w:sz="0" w:space="0" w:color="auto"/>
        <w:right w:val="none" w:sz="0" w:space="0" w:color="auto"/>
      </w:divBdr>
      <w:divsChild>
        <w:div w:id="1443569090">
          <w:marLeft w:val="446"/>
          <w:marRight w:val="0"/>
          <w:marTop w:val="0"/>
          <w:marBottom w:val="0"/>
          <w:divBdr>
            <w:top w:val="none" w:sz="0" w:space="0" w:color="auto"/>
            <w:left w:val="none" w:sz="0" w:space="0" w:color="auto"/>
            <w:bottom w:val="none" w:sz="0" w:space="0" w:color="auto"/>
            <w:right w:val="none" w:sz="0" w:space="0" w:color="auto"/>
          </w:divBdr>
        </w:div>
        <w:div w:id="1732342938">
          <w:marLeft w:val="446"/>
          <w:marRight w:val="0"/>
          <w:marTop w:val="0"/>
          <w:marBottom w:val="0"/>
          <w:divBdr>
            <w:top w:val="none" w:sz="0" w:space="0" w:color="auto"/>
            <w:left w:val="none" w:sz="0" w:space="0" w:color="auto"/>
            <w:bottom w:val="none" w:sz="0" w:space="0" w:color="auto"/>
            <w:right w:val="none" w:sz="0" w:space="0" w:color="auto"/>
          </w:divBdr>
        </w:div>
        <w:div w:id="1945729080">
          <w:marLeft w:val="446"/>
          <w:marRight w:val="0"/>
          <w:marTop w:val="0"/>
          <w:marBottom w:val="0"/>
          <w:divBdr>
            <w:top w:val="none" w:sz="0" w:space="0" w:color="auto"/>
            <w:left w:val="none" w:sz="0" w:space="0" w:color="auto"/>
            <w:bottom w:val="none" w:sz="0" w:space="0" w:color="auto"/>
            <w:right w:val="none" w:sz="0" w:space="0" w:color="auto"/>
          </w:divBdr>
        </w:div>
      </w:divsChild>
    </w:div>
    <w:div w:id="641348727">
      <w:bodyDiv w:val="1"/>
      <w:marLeft w:val="0"/>
      <w:marRight w:val="0"/>
      <w:marTop w:val="0"/>
      <w:marBottom w:val="0"/>
      <w:divBdr>
        <w:top w:val="none" w:sz="0" w:space="0" w:color="auto"/>
        <w:left w:val="none" w:sz="0" w:space="0" w:color="auto"/>
        <w:bottom w:val="none" w:sz="0" w:space="0" w:color="auto"/>
        <w:right w:val="none" w:sz="0" w:space="0" w:color="auto"/>
      </w:divBdr>
    </w:div>
    <w:div w:id="654146081">
      <w:bodyDiv w:val="1"/>
      <w:marLeft w:val="0"/>
      <w:marRight w:val="0"/>
      <w:marTop w:val="0"/>
      <w:marBottom w:val="0"/>
      <w:divBdr>
        <w:top w:val="none" w:sz="0" w:space="0" w:color="auto"/>
        <w:left w:val="none" w:sz="0" w:space="0" w:color="auto"/>
        <w:bottom w:val="none" w:sz="0" w:space="0" w:color="auto"/>
        <w:right w:val="none" w:sz="0" w:space="0" w:color="auto"/>
      </w:divBdr>
    </w:div>
    <w:div w:id="721514762">
      <w:bodyDiv w:val="1"/>
      <w:marLeft w:val="0"/>
      <w:marRight w:val="0"/>
      <w:marTop w:val="0"/>
      <w:marBottom w:val="0"/>
      <w:divBdr>
        <w:top w:val="none" w:sz="0" w:space="0" w:color="auto"/>
        <w:left w:val="none" w:sz="0" w:space="0" w:color="auto"/>
        <w:bottom w:val="none" w:sz="0" w:space="0" w:color="auto"/>
        <w:right w:val="none" w:sz="0" w:space="0" w:color="auto"/>
      </w:divBdr>
      <w:divsChild>
        <w:div w:id="1447774174">
          <w:marLeft w:val="446"/>
          <w:marRight w:val="0"/>
          <w:marTop w:val="0"/>
          <w:marBottom w:val="0"/>
          <w:divBdr>
            <w:top w:val="none" w:sz="0" w:space="0" w:color="auto"/>
            <w:left w:val="none" w:sz="0" w:space="0" w:color="auto"/>
            <w:bottom w:val="none" w:sz="0" w:space="0" w:color="auto"/>
            <w:right w:val="none" w:sz="0" w:space="0" w:color="auto"/>
          </w:divBdr>
        </w:div>
        <w:div w:id="1476140794">
          <w:marLeft w:val="446"/>
          <w:marRight w:val="0"/>
          <w:marTop w:val="0"/>
          <w:marBottom w:val="0"/>
          <w:divBdr>
            <w:top w:val="none" w:sz="0" w:space="0" w:color="auto"/>
            <w:left w:val="none" w:sz="0" w:space="0" w:color="auto"/>
            <w:bottom w:val="none" w:sz="0" w:space="0" w:color="auto"/>
            <w:right w:val="none" w:sz="0" w:space="0" w:color="auto"/>
          </w:divBdr>
        </w:div>
        <w:div w:id="1777166562">
          <w:marLeft w:val="446"/>
          <w:marRight w:val="0"/>
          <w:marTop w:val="0"/>
          <w:marBottom w:val="0"/>
          <w:divBdr>
            <w:top w:val="none" w:sz="0" w:space="0" w:color="auto"/>
            <w:left w:val="none" w:sz="0" w:space="0" w:color="auto"/>
            <w:bottom w:val="none" w:sz="0" w:space="0" w:color="auto"/>
            <w:right w:val="none" w:sz="0" w:space="0" w:color="auto"/>
          </w:divBdr>
        </w:div>
      </w:divsChild>
    </w:div>
    <w:div w:id="723598113">
      <w:bodyDiv w:val="1"/>
      <w:marLeft w:val="0"/>
      <w:marRight w:val="0"/>
      <w:marTop w:val="0"/>
      <w:marBottom w:val="0"/>
      <w:divBdr>
        <w:top w:val="none" w:sz="0" w:space="0" w:color="auto"/>
        <w:left w:val="none" w:sz="0" w:space="0" w:color="auto"/>
        <w:bottom w:val="none" w:sz="0" w:space="0" w:color="auto"/>
        <w:right w:val="none" w:sz="0" w:space="0" w:color="auto"/>
      </w:divBdr>
    </w:div>
    <w:div w:id="743382595">
      <w:bodyDiv w:val="1"/>
      <w:marLeft w:val="0"/>
      <w:marRight w:val="0"/>
      <w:marTop w:val="0"/>
      <w:marBottom w:val="0"/>
      <w:divBdr>
        <w:top w:val="none" w:sz="0" w:space="0" w:color="auto"/>
        <w:left w:val="none" w:sz="0" w:space="0" w:color="auto"/>
        <w:bottom w:val="none" w:sz="0" w:space="0" w:color="auto"/>
        <w:right w:val="none" w:sz="0" w:space="0" w:color="auto"/>
      </w:divBdr>
      <w:divsChild>
        <w:div w:id="1989430208">
          <w:marLeft w:val="1080"/>
          <w:marRight w:val="0"/>
          <w:marTop w:val="100"/>
          <w:marBottom w:val="0"/>
          <w:divBdr>
            <w:top w:val="none" w:sz="0" w:space="0" w:color="auto"/>
            <w:left w:val="none" w:sz="0" w:space="0" w:color="auto"/>
            <w:bottom w:val="none" w:sz="0" w:space="0" w:color="auto"/>
            <w:right w:val="none" w:sz="0" w:space="0" w:color="auto"/>
          </w:divBdr>
        </w:div>
      </w:divsChild>
    </w:div>
    <w:div w:id="748842881">
      <w:bodyDiv w:val="1"/>
      <w:marLeft w:val="0"/>
      <w:marRight w:val="0"/>
      <w:marTop w:val="0"/>
      <w:marBottom w:val="0"/>
      <w:divBdr>
        <w:top w:val="none" w:sz="0" w:space="0" w:color="auto"/>
        <w:left w:val="none" w:sz="0" w:space="0" w:color="auto"/>
        <w:bottom w:val="none" w:sz="0" w:space="0" w:color="auto"/>
        <w:right w:val="none" w:sz="0" w:space="0" w:color="auto"/>
      </w:divBdr>
    </w:div>
    <w:div w:id="749542033">
      <w:bodyDiv w:val="1"/>
      <w:marLeft w:val="0"/>
      <w:marRight w:val="0"/>
      <w:marTop w:val="0"/>
      <w:marBottom w:val="0"/>
      <w:divBdr>
        <w:top w:val="none" w:sz="0" w:space="0" w:color="auto"/>
        <w:left w:val="none" w:sz="0" w:space="0" w:color="auto"/>
        <w:bottom w:val="none" w:sz="0" w:space="0" w:color="auto"/>
        <w:right w:val="none" w:sz="0" w:space="0" w:color="auto"/>
      </w:divBdr>
    </w:div>
    <w:div w:id="789203451">
      <w:bodyDiv w:val="1"/>
      <w:marLeft w:val="0"/>
      <w:marRight w:val="0"/>
      <w:marTop w:val="0"/>
      <w:marBottom w:val="0"/>
      <w:divBdr>
        <w:top w:val="none" w:sz="0" w:space="0" w:color="auto"/>
        <w:left w:val="none" w:sz="0" w:space="0" w:color="auto"/>
        <w:bottom w:val="none" w:sz="0" w:space="0" w:color="auto"/>
        <w:right w:val="none" w:sz="0" w:space="0" w:color="auto"/>
      </w:divBdr>
      <w:divsChild>
        <w:div w:id="1296911840">
          <w:marLeft w:val="1080"/>
          <w:marRight w:val="0"/>
          <w:marTop w:val="100"/>
          <w:marBottom w:val="0"/>
          <w:divBdr>
            <w:top w:val="none" w:sz="0" w:space="0" w:color="auto"/>
            <w:left w:val="none" w:sz="0" w:space="0" w:color="auto"/>
            <w:bottom w:val="none" w:sz="0" w:space="0" w:color="auto"/>
            <w:right w:val="none" w:sz="0" w:space="0" w:color="auto"/>
          </w:divBdr>
        </w:div>
      </w:divsChild>
    </w:div>
    <w:div w:id="797066277">
      <w:bodyDiv w:val="1"/>
      <w:marLeft w:val="0"/>
      <w:marRight w:val="0"/>
      <w:marTop w:val="0"/>
      <w:marBottom w:val="0"/>
      <w:divBdr>
        <w:top w:val="none" w:sz="0" w:space="0" w:color="auto"/>
        <w:left w:val="none" w:sz="0" w:space="0" w:color="auto"/>
        <w:bottom w:val="none" w:sz="0" w:space="0" w:color="auto"/>
        <w:right w:val="none" w:sz="0" w:space="0" w:color="auto"/>
      </w:divBdr>
    </w:div>
    <w:div w:id="813916530">
      <w:bodyDiv w:val="1"/>
      <w:marLeft w:val="0"/>
      <w:marRight w:val="0"/>
      <w:marTop w:val="0"/>
      <w:marBottom w:val="0"/>
      <w:divBdr>
        <w:top w:val="none" w:sz="0" w:space="0" w:color="auto"/>
        <w:left w:val="none" w:sz="0" w:space="0" w:color="auto"/>
        <w:bottom w:val="none" w:sz="0" w:space="0" w:color="auto"/>
        <w:right w:val="none" w:sz="0" w:space="0" w:color="auto"/>
      </w:divBdr>
    </w:div>
    <w:div w:id="823619392">
      <w:bodyDiv w:val="1"/>
      <w:marLeft w:val="0"/>
      <w:marRight w:val="0"/>
      <w:marTop w:val="0"/>
      <w:marBottom w:val="0"/>
      <w:divBdr>
        <w:top w:val="none" w:sz="0" w:space="0" w:color="auto"/>
        <w:left w:val="none" w:sz="0" w:space="0" w:color="auto"/>
        <w:bottom w:val="none" w:sz="0" w:space="0" w:color="auto"/>
        <w:right w:val="none" w:sz="0" w:space="0" w:color="auto"/>
      </w:divBdr>
    </w:div>
    <w:div w:id="848372888">
      <w:bodyDiv w:val="1"/>
      <w:marLeft w:val="0"/>
      <w:marRight w:val="0"/>
      <w:marTop w:val="0"/>
      <w:marBottom w:val="0"/>
      <w:divBdr>
        <w:top w:val="none" w:sz="0" w:space="0" w:color="auto"/>
        <w:left w:val="none" w:sz="0" w:space="0" w:color="auto"/>
        <w:bottom w:val="none" w:sz="0" w:space="0" w:color="auto"/>
        <w:right w:val="none" w:sz="0" w:space="0" w:color="auto"/>
      </w:divBdr>
    </w:div>
    <w:div w:id="859709863">
      <w:bodyDiv w:val="1"/>
      <w:marLeft w:val="0"/>
      <w:marRight w:val="0"/>
      <w:marTop w:val="0"/>
      <w:marBottom w:val="0"/>
      <w:divBdr>
        <w:top w:val="none" w:sz="0" w:space="0" w:color="auto"/>
        <w:left w:val="none" w:sz="0" w:space="0" w:color="auto"/>
        <w:bottom w:val="none" w:sz="0" w:space="0" w:color="auto"/>
        <w:right w:val="none" w:sz="0" w:space="0" w:color="auto"/>
      </w:divBdr>
    </w:div>
    <w:div w:id="947813678">
      <w:bodyDiv w:val="1"/>
      <w:marLeft w:val="0"/>
      <w:marRight w:val="0"/>
      <w:marTop w:val="0"/>
      <w:marBottom w:val="0"/>
      <w:divBdr>
        <w:top w:val="none" w:sz="0" w:space="0" w:color="auto"/>
        <w:left w:val="none" w:sz="0" w:space="0" w:color="auto"/>
        <w:bottom w:val="none" w:sz="0" w:space="0" w:color="auto"/>
        <w:right w:val="none" w:sz="0" w:space="0" w:color="auto"/>
      </w:divBdr>
      <w:divsChild>
        <w:div w:id="1348487938">
          <w:marLeft w:val="1080"/>
          <w:marRight w:val="0"/>
          <w:marTop w:val="100"/>
          <w:marBottom w:val="0"/>
          <w:divBdr>
            <w:top w:val="none" w:sz="0" w:space="0" w:color="auto"/>
            <w:left w:val="none" w:sz="0" w:space="0" w:color="auto"/>
            <w:bottom w:val="none" w:sz="0" w:space="0" w:color="auto"/>
            <w:right w:val="none" w:sz="0" w:space="0" w:color="auto"/>
          </w:divBdr>
        </w:div>
      </w:divsChild>
    </w:div>
    <w:div w:id="1016156035">
      <w:bodyDiv w:val="1"/>
      <w:marLeft w:val="0"/>
      <w:marRight w:val="0"/>
      <w:marTop w:val="0"/>
      <w:marBottom w:val="0"/>
      <w:divBdr>
        <w:top w:val="none" w:sz="0" w:space="0" w:color="auto"/>
        <w:left w:val="none" w:sz="0" w:space="0" w:color="auto"/>
        <w:bottom w:val="none" w:sz="0" w:space="0" w:color="auto"/>
        <w:right w:val="none" w:sz="0" w:space="0" w:color="auto"/>
      </w:divBdr>
    </w:div>
    <w:div w:id="1048989911">
      <w:bodyDiv w:val="1"/>
      <w:marLeft w:val="0"/>
      <w:marRight w:val="0"/>
      <w:marTop w:val="0"/>
      <w:marBottom w:val="0"/>
      <w:divBdr>
        <w:top w:val="none" w:sz="0" w:space="0" w:color="auto"/>
        <w:left w:val="none" w:sz="0" w:space="0" w:color="auto"/>
        <w:bottom w:val="none" w:sz="0" w:space="0" w:color="auto"/>
        <w:right w:val="none" w:sz="0" w:space="0" w:color="auto"/>
      </w:divBdr>
    </w:div>
    <w:div w:id="1056006079">
      <w:bodyDiv w:val="1"/>
      <w:marLeft w:val="0"/>
      <w:marRight w:val="0"/>
      <w:marTop w:val="0"/>
      <w:marBottom w:val="0"/>
      <w:divBdr>
        <w:top w:val="none" w:sz="0" w:space="0" w:color="auto"/>
        <w:left w:val="none" w:sz="0" w:space="0" w:color="auto"/>
        <w:bottom w:val="none" w:sz="0" w:space="0" w:color="auto"/>
        <w:right w:val="none" w:sz="0" w:space="0" w:color="auto"/>
      </w:divBdr>
    </w:div>
    <w:div w:id="1159344804">
      <w:bodyDiv w:val="1"/>
      <w:marLeft w:val="0"/>
      <w:marRight w:val="0"/>
      <w:marTop w:val="0"/>
      <w:marBottom w:val="0"/>
      <w:divBdr>
        <w:top w:val="none" w:sz="0" w:space="0" w:color="auto"/>
        <w:left w:val="none" w:sz="0" w:space="0" w:color="auto"/>
        <w:bottom w:val="none" w:sz="0" w:space="0" w:color="auto"/>
        <w:right w:val="none" w:sz="0" w:space="0" w:color="auto"/>
      </w:divBdr>
      <w:divsChild>
        <w:div w:id="684088549">
          <w:marLeft w:val="446"/>
          <w:marRight w:val="0"/>
          <w:marTop w:val="0"/>
          <w:marBottom w:val="0"/>
          <w:divBdr>
            <w:top w:val="none" w:sz="0" w:space="0" w:color="auto"/>
            <w:left w:val="none" w:sz="0" w:space="0" w:color="auto"/>
            <w:bottom w:val="none" w:sz="0" w:space="0" w:color="auto"/>
            <w:right w:val="none" w:sz="0" w:space="0" w:color="auto"/>
          </w:divBdr>
        </w:div>
        <w:div w:id="1035734696">
          <w:marLeft w:val="446"/>
          <w:marRight w:val="0"/>
          <w:marTop w:val="0"/>
          <w:marBottom w:val="0"/>
          <w:divBdr>
            <w:top w:val="none" w:sz="0" w:space="0" w:color="auto"/>
            <w:left w:val="none" w:sz="0" w:space="0" w:color="auto"/>
            <w:bottom w:val="none" w:sz="0" w:space="0" w:color="auto"/>
            <w:right w:val="none" w:sz="0" w:space="0" w:color="auto"/>
          </w:divBdr>
        </w:div>
        <w:div w:id="1362779793">
          <w:marLeft w:val="446"/>
          <w:marRight w:val="0"/>
          <w:marTop w:val="0"/>
          <w:marBottom w:val="0"/>
          <w:divBdr>
            <w:top w:val="none" w:sz="0" w:space="0" w:color="auto"/>
            <w:left w:val="none" w:sz="0" w:space="0" w:color="auto"/>
            <w:bottom w:val="none" w:sz="0" w:space="0" w:color="auto"/>
            <w:right w:val="none" w:sz="0" w:space="0" w:color="auto"/>
          </w:divBdr>
        </w:div>
      </w:divsChild>
    </w:div>
    <w:div w:id="1175463088">
      <w:bodyDiv w:val="1"/>
      <w:marLeft w:val="0"/>
      <w:marRight w:val="0"/>
      <w:marTop w:val="0"/>
      <w:marBottom w:val="0"/>
      <w:divBdr>
        <w:top w:val="none" w:sz="0" w:space="0" w:color="auto"/>
        <w:left w:val="none" w:sz="0" w:space="0" w:color="auto"/>
        <w:bottom w:val="none" w:sz="0" w:space="0" w:color="auto"/>
        <w:right w:val="none" w:sz="0" w:space="0" w:color="auto"/>
      </w:divBdr>
    </w:div>
    <w:div w:id="1203714111">
      <w:bodyDiv w:val="1"/>
      <w:marLeft w:val="0"/>
      <w:marRight w:val="0"/>
      <w:marTop w:val="0"/>
      <w:marBottom w:val="0"/>
      <w:divBdr>
        <w:top w:val="none" w:sz="0" w:space="0" w:color="auto"/>
        <w:left w:val="none" w:sz="0" w:space="0" w:color="auto"/>
        <w:bottom w:val="none" w:sz="0" w:space="0" w:color="auto"/>
        <w:right w:val="none" w:sz="0" w:space="0" w:color="auto"/>
      </w:divBdr>
    </w:div>
    <w:div w:id="1238982330">
      <w:bodyDiv w:val="1"/>
      <w:marLeft w:val="0"/>
      <w:marRight w:val="0"/>
      <w:marTop w:val="0"/>
      <w:marBottom w:val="0"/>
      <w:divBdr>
        <w:top w:val="none" w:sz="0" w:space="0" w:color="auto"/>
        <w:left w:val="none" w:sz="0" w:space="0" w:color="auto"/>
        <w:bottom w:val="none" w:sz="0" w:space="0" w:color="auto"/>
        <w:right w:val="none" w:sz="0" w:space="0" w:color="auto"/>
      </w:divBdr>
    </w:div>
    <w:div w:id="1259826940">
      <w:bodyDiv w:val="1"/>
      <w:marLeft w:val="0"/>
      <w:marRight w:val="0"/>
      <w:marTop w:val="0"/>
      <w:marBottom w:val="0"/>
      <w:divBdr>
        <w:top w:val="none" w:sz="0" w:space="0" w:color="auto"/>
        <w:left w:val="none" w:sz="0" w:space="0" w:color="auto"/>
        <w:bottom w:val="none" w:sz="0" w:space="0" w:color="auto"/>
        <w:right w:val="none" w:sz="0" w:space="0" w:color="auto"/>
      </w:divBdr>
    </w:div>
    <w:div w:id="1300918348">
      <w:bodyDiv w:val="1"/>
      <w:marLeft w:val="0"/>
      <w:marRight w:val="0"/>
      <w:marTop w:val="0"/>
      <w:marBottom w:val="0"/>
      <w:divBdr>
        <w:top w:val="none" w:sz="0" w:space="0" w:color="auto"/>
        <w:left w:val="none" w:sz="0" w:space="0" w:color="auto"/>
        <w:bottom w:val="none" w:sz="0" w:space="0" w:color="auto"/>
        <w:right w:val="none" w:sz="0" w:space="0" w:color="auto"/>
      </w:divBdr>
      <w:divsChild>
        <w:div w:id="344286444">
          <w:marLeft w:val="0"/>
          <w:marRight w:val="0"/>
          <w:marTop w:val="0"/>
          <w:marBottom w:val="0"/>
          <w:divBdr>
            <w:top w:val="none" w:sz="0" w:space="0" w:color="auto"/>
            <w:left w:val="none" w:sz="0" w:space="0" w:color="auto"/>
            <w:bottom w:val="none" w:sz="0" w:space="0" w:color="auto"/>
            <w:right w:val="none" w:sz="0" w:space="0" w:color="auto"/>
          </w:divBdr>
        </w:div>
        <w:div w:id="549801275">
          <w:marLeft w:val="0"/>
          <w:marRight w:val="0"/>
          <w:marTop w:val="0"/>
          <w:marBottom w:val="0"/>
          <w:divBdr>
            <w:top w:val="none" w:sz="0" w:space="0" w:color="auto"/>
            <w:left w:val="none" w:sz="0" w:space="0" w:color="auto"/>
            <w:bottom w:val="none" w:sz="0" w:space="0" w:color="auto"/>
            <w:right w:val="none" w:sz="0" w:space="0" w:color="auto"/>
          </w:divBdr>
        </w:div>
        <w:div w:id="856651538">
          <w:marLeft w:val="0"/>
          <w:marRight w:val="0"/>
          <w:marTop w:val="0"/>
          <w:marBottom w:val="0"/>
          <w:divBdr>
            <w:top w:val="none" w:sz="0" w:space="0" w:color="auto"/>
            <w:left w:val="none" w:sz="0" w:space="0" w:color="auto"/>
            <w:bottom w:val="none" w:sz="0" w:space="0" w:color="auto"/>
            <w:right w:val="none" w:sz="0" w:space="0" w:color="auto"/>
          </w:divBdr>
        </w:div>
        <w:div w:id="969938378">
          <w:marLeft w:val="0"/>
          <w:marRight w:val="0"/>
          <w:marTop w:val="0"/>
          <w:marBottom w:val="0"/>
          <w:divBdr>
            <w:top w:val="none" w:sz="0" w:space="0" w:color="auto"/>
            <w:left w:val="none" w:sz="0" w:space="0" w:color="auto"/>
            <w:bottom w:val="none" w:sz="0" w:space="0" w:color="auto"/>
            <w:right w:val="none" w:sz="0" w:space="0" w:color="auto"/>
          </w:divBdr>
        </w:div>
        <w:div w:id="1445344731">
          <w:marLeft w:val="0"/>
          <w:marRight w:val="0"/>
          <w:marTop w:val="0"/>
          <w:marBottom w:val="0"/>
          <w:divBdr>
            <w:top w:val="none" w:sz="0" w:space="0" w:color="auto"/>
            <w:left w:val="none" w:sz="0" w:space="0" w:color="auto"/>
            <w:bottom w:val="none" w:sz="0" w:space="0" w:color="auto"/>
            <w:right w:val="none" w:sz="0" w:space="0" w:color="auto"/>
          </w:divBdr>
        </w:div>
        <w:div w:id="1682584471">
          <w:marLeft w:val="0"/>
          <w:marRight w:val="0"/>
          <w:marTop w:val="0"/>
          <w:marBottom w:val="0"/>
          <w:divBdr>
            <w:top w:val="none" w:sz="0" w:space="0" w:color="auto"/>
            <w:left w:val="none" w:sz="0" w:space="0" w:color="auto"/>
            <w:bottom w:val="none" w:sz="0" w:space="0" w:color="auto"/>
            <w:right w:val="none" w:sz="0" w:space="0" w:color="auto"/>
          </w:divBdr>
        </w:div>
        <w:div w:id="2123694286">
          <w:marLeft w:val="0"/>
          <w:marRight w:val="0"/>
          <w:marTop w:val="0"/>
          <w:marBottom w:val="0"/>
          <w:divBdr>
            <w:top w:val="none" w:sz="0" w:space="0" w:color="auto"/>
            <w:left w:val="none" w:sz="0" w:space="0" w:color="auto"/>
            <w:bottom w:val="none" w:sz="0" w:space="0" w:color="auto"/>
            <w:right w:val="none" w:sz="0" w:space="0" w:color="auto"/>
          </w:divBdr>
        </w:div>
        <w:div w:id="2131043338">
          <w:marLeft w:val="0"/>
          <w:marRight w:val="0"/>
          <w:marTop w:val="0"/>
          <w:marBottom w:val="0"/>
          <w:divBdr>
            <w:top w:val="none" w:sz="0" w:space="0" w:color="auto"/>
            <w:left w:val="none" w:sz="0" w:space="0" w:color="auto"/>
            <w:bottom w:val="none" w:sz="0" w:space="0" w:color="auto"/>
            <w:right w:val="none" w:sz="0" w:space="0" w:color="auto"/>
          </w:divBdr>
        </w:div>
      </w:divsChild>
    </w:div>
    <w:div w:id="1320035545">
      <w:bodyDiv w:val="1"/>
      <w:marLeft w:val="0"/>
      <w:marRight w:val="0"/>
      <w:marTop w:val="0"/>
      <w:marBottom w:val="0"/>
      <w:divBdr>
        <w:top w:val="none" w:sz="0" w:space="0" w:color="auto"/>
        <w:left w:val="none" w:sz="0" w:space="0" w:color="auto"/>
        <w:bottom w:val="none" w:sz="0" w:space="0" w:color="auto"/>
        <w:right w:val="none" w:sz="0" w:space="0" w:color="auto"/>
      </w:divBdr>
      <w:divsChild>
        <w:div w:id="2101676715">
          <w:marLeft w:val="446"/>
          <w:marRight w:val="0"/>
          <w:marTop w:val="0"/>
          <w:marBottom w:val="0"/>
          <w:divBdr>
            <w:top w:val="none" w:sz="0" w:space="0" w:color="auto"/>
            <w:left w:val="none" w:sz="0" w:space="0" w:color="auto"/>
            <w:bottom w:val="none" w:sz="0" w:space="0" w:color="auto"/>
            <w:right w:val="none" w:sz="0" w:space="0" w:color="auto"/>
          </w:divBdr>
        </w:div>
      </w:divsChild>
    </w:div>
    <w:div w:id="1369258403">
      <w:bodyDiv w:val="1"/>
      <w:marLeft w:val="0"/>
      <w:marRight w:val="0"/>
      <w:marTop w:val="0"/>
      <w:marBottom w:val="0"/>
      <w:divBdr>
        <w:top w:val="none" w:sz="0" w:space="0" w:color="auto"/>
        <w:left w:val="none" w:sz="0" w:space="0" w:color="auto"/>
        <w:bottom w:val="none" w:sz="0" w:space="0" w:color="auto"/>
        <w:right w:val="none" w:sz="0" w:space="0" w:color="auto"/>
      </w:divBdr>
    </w:div>
    <w:div w:id="1420834142">
      <w:bodyDiv w:val="1"/>
      <w:marLeft w:val="0"/>
      <w:marRight w:val="0"/>
      <w:marTop w:val="0"/>
      <w:marBottom w:val="0"/>
      <w:divBdr>
        <w:top w:val="none" w:sz="0" w:space="0" w:color="auto"/>
        <w:left w:val="none" w:sz="0" w:space="0" w:color="auto"/>
        <w:bottom w:val="none" w:sz="0" w:space="0" w:color="auto"/>
        <w:right w:val="none" w:sz="0" w:space="0" w:color="auto"/>
      </w:divBdr>
    </w:div>
    <w:div w:id="1454863169">
      <w:bodyDiv w:val="1"/>
      <w:marLeft w:val="0"/>
      <w:marRight w:val="0"/>
      <w:marTop w:val="0"/>
      <w:marBottom w:val="0"/>
      <w:divBdr>
        <w:top w:val="none" w:sz="0" w:space="0" w:color="auto"/>
        <w:left w:val="none" w:sz="0" w:space="0" w:color="auto"/>
        <w:bottom w:val="none" w:sz="0" w:space="0" w:color="auto"/>
        <w:right w:val="none" w:sz="0" w:space="0" w:color="auto"/>
      </w:divBdr>
      <w:divsChild>
        <w:div w:id="10191">
          <w:marLeft w:val="0"/>
          <w:marRight w:val="0"/>
          <w:marTop w:val="0"/>
          <w:marBottom w:val="0"/>
          <w:divBdr>
            <w:top w:val="none" w:sz="0" w:space="0" w:color="auto"/>
            <w:left w:val="none" w:sz="0" w:space="0" w:color="auto"/>
            <w:bottom w:val="none" w:sz="0" w:space="0" w:color="auto"/>
            <w:right w:val="none" w:sz="0" w:space="0" w:color="auto"/>
          </w:divBdr>
          <w:divsChild>
            <w:div w:id="1360593400">
              <w:marLeft w:val="0"/>
              <w:marRight w:val="0"/>
              <w:marTop w:val="0"/>
              <w:marBottom w:val="0"/>
              <w:divBdr>
                <w:top w:val="none" w:sz="0" w:space="0" w:color="auto"/>
                <w:left w:val="none" w:sz="0" w:space="0" w:color="auto"/>
                <w:bottom w:val="none" w:sz="0" w:space="0" w:color="auto"/>
                <w:right w:val="none" w:sz="0" w:space="0" w:color="auto"/>
              </w:divBdr>
            </w:div>
          </w:divsChild>
        </w:div>
        <w:div w:id="22486210">
          <w:marLeft w:val="0"/>
          <w:marRight w:val="0"/>
          <w:marTop w:val="0"/>
          <w:marBottom w:val="0"/>
          <w:divBdr>
            <w:top w:val="none" w:sz="0" w:space="0" w:color="auto"/>
            <w:left w:val="none" w:sz="0" w:space="0" w:color="auto"/>
            <w:bottom w:val="none" w:sz="0" w:space="0" w:color="auto"/>
            <w:right w:val="none" w:sz="0" w:space="0" w:color="auto"/>
          </w:divBdr>
          <w:divsChild>
            <w:div w:id="1746145711">
              <w:marLeft w:val="0"/>
              <w:marRight w:val="0"/>
              <w:marTop w:val="0"/>
              <w:marBottom w:val="0"/>
              <w:divBdr>
                <w:top w:val="none" w:sz="0" w:space="0" w:color="auto"/>
                <w:left w:val="none" w:sz="0" w:space="0" w:color="auto"/>
                <w:bottom w:val="none" w:sz="0" w:space="0" w:color="auto"/>
                <w:right w:val="none" w:sz="0" w:space="0" w:color="auto"/>
              </w:divBdr>
            </w:div>
          </w:divsChild>
        </w:div>
        <w:div w:id="24254129">
          <w:marLeft w:val="0"/>
          <w:marRight w:val="0"/>
          <w:marTop w:val="0"/>
          <w:marBottom w:val="0"/>
          <w:divBdr>
            <w:top w:val="none" w:sz="0" w:space="0" w:color="auto"/>
            <w:left w:val="none" w:sz="0" w:space="0" w:color="auto"/>
            <w:bottom w:val="none" w:sz="0" w:space="0" w:color="auto"/>
            <w:right w:val="none" w:sz="0" w:space="0" w:color="auto"/>
          </w:divBdr>
          <w:divsChild>
            <w:div w:id="1533030010">
              <w:marLeft w:val="0"/>
              <w:marRight w:val="0"/>
              <w:marTop w:val="0"/>
              <w:marBottom w:val="0"/>
              <w:divBdr>
                <w:top w:val="none" w:sz="0" w:space="0" w:color="auto"/>
                <w:left w:val="none" w:sz="0" w:space="0" w:color="auto"/>
                <w:bottom w:val="none" w:sz="0" w:space="0" w:color="auto"/>
                <w:right w:val="none" w:sz="0" w:space="0" w:color="auto"/>
              </w:divBdr>
            </w:div>
          </w:divsChild>
        </w:div>
        <w:div w:id="27415920">
          <w:marLeft w:val="0"/>
          <w:marRight w:val="0"/>
          <w:marTop w:val="0"/>
          <w:marBottom w:val="0"/>
          <w:divBdr>
            <w:top w:val="none" w:sz="0" w:space="0" w:color="auto"/>
            <w:left w:val="none" w:sz="0" w:space="0" w:color="auto"/>
            <w:bottom w:val="none" w:sz="0" w:space="0" w:color="auto"/>
            <w:right w:val="none" w:sz="0" w:space="0" w:color="auto"/>
          </w:divBdr>
          <w:divsChild>
            <w:div w:id="1217429319">
              <w:marLeft w:val="0"/>
              <w:marRight w:val="0"/>
              <w:marTop w:val="0"/>
              <w:marBottom w:val="0"/>
              <w:divBdr>
                <w:top w:val="none" w:sz="0" w:space="0" w:color="auto"/>
                <w:left w:val="none" w:sz="0" w:space="0" w:color="auto"/>
                <w:bottom w:val="none" w:sz="0" w:space="0" w:color="auto"/>
                <w:right w:val="none" w:sz="0" w:space="0" w:color="auto"/>
              </w:divBdr>
            </w:div>
          </w:divsChild>
        </w:div>
        <w:div w:id="43873022">
          <w:marLeft w:val="0"/>
          <w:marRight w:val="0"/>
          <w:marTop w:val="0"/>
          <w:marBottom w:val="0"/>
          <w:divBdr>
            <w:top w:val="none" w:sz="0" w:space="0" w:color="auto"/>
            <w:left w:val="none" w:sz="0" w:space="0" w:color="auto"/>
            <w:bottom w:val="none" w:sz="0" w:space="0" w:color="auto"/>
            <w:right w:val="none" w:sz="0" w:space="0" w:color="auto"/>
          </w:divBdr>
          <w:divsChild>
            <w:div w:id="330374176">
              <w:marLeft w:val="0"/>
              <w:marRight w:val="0"/>
              <w:marTop w:val="0"/>
              <w:marBottom w:val="0"/>
              <w:divBdr>
                <w:top w:val="none" w:sz="0" w:space="0" w:color="auto"/>
                <w:left w:val="none" w:sz="0" w:space="0" w:color="auto"/>
                <w:bottom w:val="none" w:sz="0" w:space="0" w:color="auto"/>
                <w:right w:val="none" w:sz="0" w:space="0" w:color="auto"/>
              </w:divBdr>
            </w:div>
          </w:divsChild>
        </w:div>
        <w:div w:id="44182572">
          <w:marLeft w:val="0"/>
          <w:marRight w:val="0"/>
          <w:marTop w:val="0"/>
          <w:marBottom w:val="0"/>
          <w:divBdr>
            <w:top w:val="none" w:sz="0" w:space="0" w:color="auto"/>
            <w:left w:val="none" w:sz="0" w:space="0" w:color="auto"/>
            <w:bottom w:val="none" w:sz="0" w:space="0" w:color="auto"/>
            <w:right w:val="none" w:sz="0" w:space="0" w:color="auto"/>
          </w:divBdr>
          <w:divsChild>
            <w:div w:id="698166962">
              <w:marLeft w:val="0"/>
              <w:marRight w:val="0"/>
              <w:marTop w:val="0"/>
              <w:marBottom w:val="0"/>
              <w:divBdr>
                <w:top w:val="none" w:sz="0" w:space="0" w:color="auto"/>
                <w:left w:val="none" w:sz="0" w:space="0" w:color="auto"/>
                <w:bottom w:val="none" w:sz="0" w:space="0" w:color="auto"/>
                <w:right w:val="none" w:sz="0" w:space="0" w:color="auto"/>
              </w:divBdr>
            </w:div>
          </w:divsChild>
        </w:div>
        <w:div w:id="89593156">
          <w:marLeft w:val="0"/>
          <w:marRight w:val="0"/>
          <w:marTop w:val="0"/>
          <w:marBottom w:val="0"/>
          <w:divBdr>
            <w:top w:val="none" w:sz="0" w:space="0" w:color="auto"/>
            <w:left w:val="none" w:sz="0" w:space="0" w:color="auto"/>
            <w:bottom w:val="none" w:sz="0" w:space="0" w:color="auto"/>
            <w:right w:val="none" w:sz="0" w:space="0" w:color="auto"/>
          </w:divBdr>
          <w:divsChild>
            <w:div w:id="1296714977">
              <w:marLeft w:val="0"/>
              <w:marRight w:val="0"/>
              <w:marTop w:val="0"/>
              <w:marBottom w:val="0"/>
              <w:divBdr>
                <w:top w:val="none" w:sz="0" w:space="0" w:color="auto"/>
                <w:left w:val="none" w:sz="0" w:space="0" w:color="auto"/>
                <w:bottom w:val="none" w:sz="0" w:space="0" w:color="auto"/>
                <w:right w:val="none" w:sz="0" w:space="0" w:color="auto"/>
              </w:divBdr>
            </w:div>
          </w:divsChild>
        </w:div>
        <w:div w:id="93014579">
          <w:marLeft w:val="0"/>
          <w:marRight w:val="0"/>
          <w:marTop w:val="0"/>
          <w:marBottom w:val="0"/>
          <w:divBdr>
            <w:top w:val="none" w:sz="0" w:space="0" w:color="auto"/>
            <w:left w:val="none" w:sz="0" w:space="0" w:color="auto"/>
            <w:bottom w:val="none" w:sz="0" w:space="0" w:color="auto"/>
            <w:right w:val="none" w:sz="0" w:space="0" w:color="auto"/>
          </w:divBdr>
          <w:divsChild>
            <w:div w:id="16855911">
              <w:marLeft w:val="0"/>
              <w:marRight w:val="0"/>
              <w:marTop w:val="0"/>
              <w:marBottom w:val="0"/>
              <w:divBdr>
                <w:top w:val="none" w:sz="0" w:space="0" w:color="auto"/>
                <w:left w:val="none" w:sz="0" w:space="0" w:color="auto"/>
                <w:bottom w:val="none" w:sz="0" w:space="0" w:color="auto"/>
                <w:right w:val="none" w:sz="0" w:space="0" w:color="auto"/>
              </w:divBdr>
            </w:div>
          </w:divsChild>
        </w:div>
        <w:div w:id="109251340">
          <w:marLeft w:val="0"/>
          <w:marRight w:val="0"/>
          <w:marTop w:val="0"/>
          <w:marBottom w:val="0"/>
          <w:divBdr>
            <w:top w:val="none" w:sz="0" w:space="0" w:color="auto"/>
            <w:left w:val="none" w:sz="0" w:space="0" w:color="auto"/>
            <w:bottom w:val="none" w:sz="0" w:space="0" w:color="auto"/>
            <w:right w:val="none" w:sz="0" w:space="0" w:color="auto"/>
          </w:divBdr>
          <w:divsChild>
            <w:div w:id="355692919">
              <w:marLeft w:val="0"/>
              <w:marRight w:val="0"/>
              <w:marTop w:val="0"/>
              <w:marBottom w:val="0"/>
              <w:divBdr>
                <w:top w:val="none" w:sz="0" w:space="0" w:color="auto"/>
                <w:left w:val="none" w:sz="0" w:space="0" w:color="auto"/>
                <w:bottom w:val="none" w:sz="0" w:space="0" w:color="auto"/>
                <w:right w:val="none" w:sz="0" w:space="0" w:color="auto"/>
              </w:divBdr>
            </w:div>
          </w:divsChild>
        </w:div>
        <w:div w:id="111096495">
          <w:marLeft w:val="0"/>
          <w:marRight w:val="0"/>
          <w:marTop w:val="0"/>
          <w:marBottom w:val="0"/>
          <w:divBdr>
            <w:top w:val="none" w:sz="0" w:space="0" w:color="auto"/>
            <w:left w:val="none" w:sz="0" w:space="0" w:color="auto"/>
            <w:bottom w:val="none" w:sz="0" w:space="0" w:color="auto"/>
            <w:right w:val="none" w:sz="0" w:space="0" w:color="auto"/>
          </w:divBdr>
          <w:divsChild>
            <w:div w:id="1699232719">
              <w:marLeft w:val="0"/>
              <w:marRight w:val="0"/>
              <w:marTop w:val="0"/>
              <w:marBottom w:val="0"/>
              <w:divBdr>
                <w:top w:val="none" w:sz="0" w:space="0" w:color="auto"/>
                <w:left w:val="none" w:sz="0" w:space="0" w:color="auto"/>
                <w:bottom w:val="none" w:sz="0" w:space="0" w:color="auto"/>
                <w:right w:val="none" w:sz="0" w:space="0" w:color="auto"/>
              </w:divBdr>
            </w:div>
          </w:divsChild>
        </w:div>
        <w:div w:id="121269825">
          <w:marLeft w:val="0"/>
          <w:marRight w:val="0"/>
          <w:marTop w:val="0"/>
          <w:marBottom w:val="0"/>
          <w:divBdr>
            <w:top w:val="none" w:sz="0" w:space="0" w:color="auto"/>
            <w:left w:val="none" w:sz="0" w:space="0" w:color="auto"/>
            <w:bottom w:val="none" w:sz="0" w:space="0" w:color="auto"/>
            <w:right w:val="none" w:sz="0" w:space="0" w:color="auto"/>
          </w:divBdr>
          <w:divsChild>
            <w:div w:id="208616152">
              <w:marLeft w:val="0"/>
              <w:marRight w:val="0"/>
              <w:marTop w:val="0"/>
              <w:marBottom w:val="0"/>
              <w:divBdr>
                <w:top w:val="none" w:sz="0" w:space="0" w:color="auto"/>
                <w:left w:val="none" w:sz="0" w:space="0" w:color="auto"/>
                <w:bottom w:val="none" w:sz="0" w:space="0" w:color="auto"/>
                <w:right w:val="none" w:sz="0" w:space="0" w:color="auto"/>
              </w:divBdr>
            </w:div>
          </w:divsChild>
        </w:div>
        <w:div w:id="145126588">
          <w:marLeft w:val="0"/>
          <w:marRight w:val="0"/>
          <w:marTop w:val="0"/>
          <w:marBottom w:val="0"/>
          <w:divBdr>
            <w:top w:val="none" w:sz="0" w:space="0" w:color="auto"/>
            <w:left w:val="none" w:sz="0" w:space="0" w:color="auto"/>
            <w:bottom w:val="none" w:sz="0" w:space="0" w:color="auto"/>
            <w:right w:val="none" w:sz="0" w:space="0" w:color="auto"/>
          </w:divBdr>
          <w:divsChild>
            <w:div w:id="643042078">
              <w:marLeft w:val="0"/>
              <w:marRight w:val="0"/>
              <w:marTop w:val="0"/>
              <w:marBottom w:val="0"/>
              <w:divBdr>
                <w:top w:val="none" w:sz="0" w:space="0" w:color="auto"/>
                <w:left w:val="none" w:sz="0" w:space="0" w:color="auto"/>
                <w:bottom w:val="none" w:sz="0" w:space="0" w:color="auto"/>
                <w:right w:val="none" w:sz="0" w:space="0" w:color="auto"/>
              </w:divBdr>
            </w:div>
          </w:divsChild>
        </w:div>
        <w:div w:id="164782470">
          <w:marLeft w:val="0"/>
          <w:marRight w:val="0"/>
          <w:marTop w:val="0"/>
          <w:marBottom w:val="0"/>
          <w:divBdr>
            <w:top w:val="none" w:sz="0" w:space="0" w:color="auto"/>
            <w:left w:val="none" w:sz="0" w:space="0" w:color="auto"/>
            <w:bottom w:val="none" w:sz="0" w:space="0" w:color="auto"/>
            <w:right w:val="none" w:sz="0" w:space="0" w:color="auto"/>
          </w:divBdr>
          <w:divsChild>
            <w:div w:id="311444328">
              <w:marLeft w:val="0"/>
              <w:marRight w:val="0"/>
              <w:marTop w:val="0"/>
              <w:marBottom w:val="0"/>
              <w:divBdr>
                <w:top w:val="none" w:sz="0" w:space="0" w:color="auto"/>
                <w:left w:val="none" w:sz="0" w:space="0" w:color="auto"/>
                <w:bottom w:val="none" w:sz="0" w:space="0" w:color="auto"/>
                <w:right w:val="none" w:sz="0" w:space="0" w:color="auto"/>
              </w:divBdr>
            </w:div>
          </w:divsChild>
        </w:div>
        <w:div w:id="176432252">
          <w:marLeft w:val="0"/>
          <w:marRight w:val="0"/>
          <w:marTop w:val="0"/>
          <w:marBottom w:val="0"/>
          <w:divBdr>
            <w:top w:val="none" w:sz="0" w:space="0" w:color="auto"/>
            <w:left w:val="none" w:sz="0" w:space="0" w:color="auto"/>
            <w:bottom w:val="none" w:sz="0" w:space="0" w:color="auto"/>
            <w:right w:val="none" w:sz="0" w:space="0" w:color="auto"/>
          </w:divBdr>
          <w:divsChild>
            <w:div w:id="1237934063">
              <w:marLeft w:val="0"/>
              <w:marRight w:val="0"/>
              <w:marTop w:val="0"/>
              <w:marBottom w:val="0"/>
              <w:divBdr>
                <w:top w:val="none" w:sz="0" w:space="0" w:color="auto"/>
                <w:left w:val="none" w:sz="0" w:space="0" w:color="auto"/>
                <w:bottom w:val="none" w:sz="0" w:space="0" w:color="auto"/>
                <w:right w:val="none" w:sz="0" w:space="0" w:color="auto"/>
              </w:divBdr>
            </w:div>
          </w:divsChild>
        </w:div>
        <w:div w:id="176816830">
          <w:marLeft w:val="0"/>
          <w:marRight w:val="0"/>
          <w:marTop w:val="0"/>
          <w:marBottom w:val="0"/>
          <w:divBdr>
            <w:top w:val="none" w:sz="0" w:space="0" w:color="auto"/>
            <w:left w:val="none" w:sz="0" w:space="0" w:color="auto"/>
            <w:bottom w:val="none" w:sz="0" w:space="0" w:color="auto"/>
            <w:right w:val="none" w:sz="0" w:space="0" w:color="auto"/>
          </w:divBdr>
          <w:divsChild>
            <w:div w:id="1014305607">
              <w:marLeft w:val="0"/>
              <w:marRight w:val="0"/>
              <w:marTop w:val="0"/>
              <w:marBottom w:val="0"/>
              <w:divBdr>
                <w:top w:val="none" w:sz="0" w:space="0" w:color="auto"/>
                <w:left w:val="none" w:sz="0" w:space="0" w:color="auto"/>
                <w:bottom w:val="none" w:sz="0" w:space="0" w:color="auto"/>
                <w:right w:val="none" w:sz="0" w:space="0" w:color="auto"/>
              </w:divBdr>
            </w:div>
          </w:divsChild>
        </w:div>
        <w:div w:id="182136062">
          <w:marLeft w:val="0"/>
          <w:marRight w:val="0"/>
          <w:marTop w:val="0"/>
          <w:marBottom w:val="0"/>
          <w:divBdr>
            <w:top w:val="none" w:sz="0" w:space="0" w:color="auto"/>
            <w:left w:val="none" w:sz="0" w:space="0" w:color="auto"/>
            <w:bottom w:val="none" w:sz="0" w:space="0" w:color="auto"/>
            <w:right w:val="none" w:sz="0" w:space="0" w:color="auto"/>
          </w:divBdr>
          <w:divsChild>
            <w:div w:id="469708820">
              <w:marLeft w:val="0"/>
              <w:marRight w:val="0"/>
              <w:marTop w:val="0"/>
              <w:marBottom w:val="0"/>
              <w:divBdr>
                <w:top w:val="none" w:sz="0" w:space="0" w:color="auto"/>
                <w:left w:val="none" w:sz="0" w:space="0" w:color="auto"/>
                <w:bottom w:val="none" w:sz="0" w:space="0" w:color="auto"/>
                <w:right w:val="none" w:sz="0" w:space="0" w:color="auto"/>
              </w:divBdr>
            </w:div>
          </w:divsChild>
        </w:div>
        <w:div w:id="216818323">
          <w:marLeft w:val="0"/>
          <w:marRight w:val="0"/>
          <w:marTop w:val="0"/>
          <w:marBottom w:val="0"/>
          <w:divBdr>
            <w:top w:val="none" w:sz="0" w:space="0" w:color="auto"/>
            <w:left w:val="none" w:sz="0" w:space="0" w:color="auto"/>
            <w:bottom w:val="none" w:sz="0" w:space="0" w:color="auto"/>
            <w:right w:val="none" w:sz="0" w:space="0" w:color="auto"/>
          </w:divBdr>
          <w:divsChild>
            <w:div w:id="1190678430">
              <w:marLeft w:val="0"/>
              <w:marRight w:val="0"/>
              <w:marTop w:val="0"/>
              <w:marBottom w:val="0"/>
              <w:divBdr>
                <w:top w:val="none" w:sz="0" w:space="0" w:color="auto"/>
                <w:left w:val="none" w:sz="0" w:space="0" w:color="auto"/>
                <w:bottom w:val="none" w:sz="0" w:space="0" w:color="auto"/>
                <w:right w:val="none" w:sz="0" w:space="0" w:color="auto"/>
              </w:divBdr>
            </w:div>
          </w:divsChild>
        </w:div>
        <w:div w:id="217858001">
          <w:marLeft w:val="0"/>
          <w:marRight w:val="0"/>
          <w:marTop w:val="0"/>
          <w:marBottom w:val="0"/>
          <w:divBdr>
            <w:top w:val="none" w:sz="0" w:space="0" w:color="auto"/>
            <w:left w:val="none" w:sz="0" w:space="0" w:color="auto"/>
            <w:bottom w:val="none" w:sz="0" w:space="0" w:color="auto"/>
            <w:right w:val="none" w:sz="0" w:space="0" w:color="auto"/>
          </w:divBdr>
          <w:divsChild>
            <w:div w:id="1944460891">
              <w:marLeft w:val="0"/>
              <w:marRight w:val="0"/>
              <w:marTop w:val="0"/>
              <w:marBottom w:val="0"/>
              <w:divBdr>
                <w:top w:val="none" w:sz="0" w:space="0" w:color="auto"/>
                <w:left w:val="none" w:sz="0" w:space="0" w:color="auto"/>
                <w:bottom w:val="none" w:sz="0" w:space="0" w:color="auto"/>
                <w:right w:val="none" w:sz="0" w:space="0" w:color="auto"/>
              </w:divBdr>
            </w:div>
          </w:divsChild>
        </w:div>
        <w:div w:id="225410452">
          <w:marLeft w:val="0"/>
          <w:marRight w:val="0"/>
          <w:marTop w:val="0"/>
          <w:marBottom w:val="0"/>
          <w:divBdr>
            <w:top w:val="none" w:sz="0" w:space="0" w:color="auto"/>
            <w:left w:val="none" w:sz="0" w:space="0" w:color="auto"/>
            <w:bottom w:val="none" w:sz="0" w:space="0" w:color="auto"/>
            <w:right w:val="none" w:sz="0" w:space="0" w:color="auto"/>
          </w:divBdr>
          <w:divsChild>
            <w:div w:id="479734947">
              <w:marLeft w:val="0"/>
              <w:marRight w:val="0"/>
              <w:marTop w:val="0"/>
              <w:marBottom w:val="0"/>
              <w:divBdr>
                <w:top w:val="none" w:sz="0" w:space="0" w:color="auto"/>
                <w:left w:val="none" w:sz="0" w:space="0" w:color="auto"/>
                <w:bottom w:val="none" w:sz="0" w:space="0" w:color="auto"/>
                <w:right w:val="none" w:sz="0" w:space="0" w:color="auto"/>
              </w:divBdr>
            </w:div>
          </w:divsChild>
        </w:div>
        <w:div w:id="237789717">
          <w:marLeft w:val="0"/>
          <w:marRight w:val="0"/>
          <w:marTop w:val="0"/>
          <w:marBottom w:val="0"/>
          <w:divBdr>
            <w:top w:val="none" w:sz="0" w:space="0" w:color="auto"/>
            <w:left w:val="none" w:sz="0" w:space="0" w:color="auto"/>
            <w:bottom w:val="none" w:sz="0" w:space="0" w:color="auto"/>
            <w:right w:val="none" w:sz="0" w:space="0" w:color="auto"/>
          </w:divBdr>
          <w:divsChild>
            <w:div w:id="668797873">
              <w:marLeft w:val="0"/>
              <w:marRight w:val="0"/>
              <w:marTop w:val="0"/>
              <w:marBottom w:val="0"/>
              <w:divBdr>
                <w:top w:val="none" w:sz="0" w:space="0" w:color="auto"/>
                <w:left w:val="none" w:sz="0" w:space="0" w:color="auto"/>
                <w:bottom w:val="none" w:sz="0" w:space="0" w:color="auto"/>
                <w:right w:val="none" w:sz="0" w:space="0" w:color="auto"/>
              </w:divBdr>
            </w:div>
          </w:divsChild>
        </w:div>
        <w:div w:id="237984140">
          <w:marLeft w:val="0"/>
          <w:marRight w:val="0"/>
          <w:marTop w:val="0"/>
          <w:marBottom w:val="0"/>
          <w:divBdr>
            <w:top w:val="none" w:sz="0" w:space="0" w:color="auto"/>
            <w:left w:val="none" w:sz="0" w:space="0" w:color="auto"/>
            <w:bottom w:val="none" w:sz="0" w:space="0" w:color="auto"/>
            <w:right w:val="none" w:sz="0" w:space="0" w:color="auto"/>
          </w:divBdr>
          <w:divsChild>
            <w:div w:id="1295137883">
              <w:marLeft w:val="0"/>
              <w:marRight w:val="0"/>
              <w:marTop w:val="0"/>
              <w:marBottom w:val="0"/>
              <w:divBdr>
                <w:top w:val="none" w:sz="0" w:space="0" w:color="auto"/>
                <w:left w:val="none" w:sz="0" w:space="0" w:color="auto"/>
                <w:bottom w:val="none" w:sz="0" w:space="0" w:color="auto"/>
                <w:right w:val="none" w:sz="0" w:space="0" w:color="auto"/>
              </w:divBdr>
            </w:div>
          </w:divsChild>
        </w:div>
        <w:div w:id="239407289">
          <w:marLeft w:val="0"/>
          <w:marRight w:val="0"/>
          <w:marTop w:val="0"/>
          <w:marBottom w:val="0"/>
          <w:divBdr>
            <w:top w:val="none" w:sz="0" w:space="0" w:color="auto"/>
            <w:left w:val="none" w:sz="0" w:space="0" w:color="auto"/>
            <w:bottom w:val="none" w:sz="0" w:space="0" w:color="auto"/>
            <w:right w:val="none" w:sz="0" w:space="0" w:color="auto"/>
          </w:divBdr>
          <w:divsChild>
            <w:div w:id="870151523">
              <w:marLeft w:val="0"/>
              <w:marRight w:val="0"/>
              <w:marTop w:val="0"/>
              <w:marBottom w:val="0"/>
              <w:divBdr>
                <w:top w:val="none" w:sz="0" w:space="0" w:color="auto"/>
                <w:left w:val="none" w:sz="0" w:space="0" w:color="auto"/>
                <w:bottom w:val="none" w:sz="0" w:space="0" w:color="auto"/>
                <w:right w:val="none" w:sz="0" w:space="0" w:color="auto"/>
              </w:divBdr>
            </w:div>
          </w:divsChild>
        </w:div>
        <w:div w:id="247033657">
          <w:marLeft w:val="0"/>
          <w:marRight w:val="0"/>
          <w:marTop w:val="0"/>
          <w:marBottom w:val="0"/>
          <w:divBdr>
            <w:top w:val="none" w:sz="0" w:space="0" w:color="auto"/>
            <w:left w:val="none" w:sz="0" w:space="0" w:color="auto"/>
            <w:bottom w:val="none" w:sz="0" w:space="0" w:color="auto"/>
            <w:right w:val="none" w:sz="0" w:space="0" w:color="auto"/>
          </w:divBdr>
          <w:divsChild>
            <w:div w:id="89199828">
              <w:marLeft w:val="0"/>
              <w:marRight w:val="0"/>
              <w:marTop w:val="0"/>
              <w:marBottom w:val="0"/>
              <w:divBdr>
                <w:top w:val="none" w:sz="0" w:space="0" w:color="auto"/>
                <w:left w:val="none" w:sz="0" w:space="0" w:color="auto"/>
                <w:bottom w:val="none" w:sz="0" w:space="0" w:color="auto"/>
                <w:right w:val="none" w:sz="0" w:space="0" w:color="auto"/>
              </w:divBdr>
            </w:div>
          </w:divsChild>
        </w:div>
        <w:div w:id="252208470">
          <w:marLeft w:val="0"/>
          <w:marRight w:val="0"/>
          <w:marTop w:val="0"/>
          <w:marBottom w:val="0"/>
          <w:divBdr>
            <w:top w:val="none" w:sz="0" w:space="0" w:color="auto"/>
            <w:left w:val="none" w:sz="0" w:space="0" w:color="auto"/>
            <w:bottom w:val="none" w:sz="0" w:space="0" w:color="auto"/>
            <w:right w:val="none" w:sz="0" w:space="0" w:color="auto"/>
          </w:divBdr>
          <w:divsChild>
            <w:div w:id="1096557958">
              <w:marLeft w:val="0"/>
              <w:marRight w:val="0"/>
              <w:marTop w:val="0"/>
              <w:marBottom w:val="0"/>
              <w:divBdr>
                <w:top w:val="none" w:sz="0" w:space="0" w:color="auto"/>
                <w:left w:val="none" w:sz="0" w:space="0" w:color="auto"/>
                <w:bottom w:val="none" w:sz="0" w:space="0" w:color="auto"/>
                <w:right w:val="none" w:sz="0" w:space="0" w:color="auto"/>
              </w:divBdr>
            </w:div>
          </w:divsChild>
        </w:div>
        <w:div w:id="281302669">
          <w:marLeft w:val="0"/>
          <w:marRight w:val="0"/>
          <w:marTop w:val="0"/>
          <w:marBottom w:val="0"/>
          <w:divBdr>
            <w:top w:val="none" w:sz="0" w:space="0" w:color="auto"/>
            <w:left w:val="none" w:sz="0" w:space="0" w:color="auto"/>
            <w:bottom w:val="none" w:sz="0" w:space="0" w:color="auto"/>
            <w:right w:val="none" w:sz="0" w:space="0" w:color="auto"/>
          </w:divBdr>
          <w:divsChild>
            <w:div w:id="197474368">
              <w:marLeft w:val="0"/>
              <w:marRight w:val="0"/>
              <w:marTop w:val="0"/>
              <w:marBottom w:val="0"/>
              <w:divBdr>
                <w:top w:val="none" w:sz="0" w:space="0" w:color="auto"/>
                <w:left w:val="none" w:sz="0" w:space="0" w:color="auto"/>
                <w:bottom w:val="none" w:sz="0" w:space="0" w:color="auto"/>
                <w:right w:val="none" w:sz="0" w:space="0" w:color="auto"/>
              </w:divBdr>
            </w:div>
          </w:divsChild>
        </w:div>
        <w:div w:id="318853938">
          <w:marLeft w:val="0"/>
          <w:marRight w:val="0"/>
          <w:marTop w:val="0"/>
          <w:marBottom w:val="0"/>
          <w:divBdr>
            <w:top w:val="none" w:sz="0" w:space="0" w:color="auto"/>
            <w:left w:val="none" w:sz="0" w:space="0" w:color="auto"/>
            <w:bottom w:val="none" w:sz="0" w:space="0" w:color="auto"/>
            <w:right w:val="none" w:sz="0" w:space="0" w:color="auto"/>
          </w:divBdr>
          <w:divsChild>
            <w:div w:id="471099897">
              <w:marLeft w:val="0"/>
              <w:marRight w:val="0"/>
              <w:marTop w:val="0"/>
              <w:marBottom w:val="0"/>
              <w:divBdr>
                <w:top w:val="none" w:sz="0" w:space="0" w:color="auto"/>
                <w:left w:val="none" w:sz="0" w:space="0" w:color="auto"/>
                <w:bottom w:val="none" w:sz="0" w:space="0" w:color="auto"/>
                <w:right w:val="none" w:sz="0" w:space="0" w:color="auto"/>
              </w:divBdr>
            </w:div>
          </w:divsChild>
        </w:div>
        <w:div w:id="325523410">
          <w:marLeft w:val="0"/>
          <w:marRight w:val="0"/>
          <w:marTop w:val="0"/>
          <w:marBottom w:val="0"/>
          <w:divBdr>
            <w:top w:val="none" w:sz="0" w:space="0" w:color="auto"/>
            <w:left w:val="none" w:sz="0" w:space="0" w:color="auto"/>
            <w:bottom w:val="none" w:sz="0" w:space="0" w:color="auto"/>
            <w:right w:val="none" w:sz="0" w:space="0" w:color="auto"/>
          </w:divBdr>
          <w:divsChild>
            <w:div w:id="1620333854">
              <w:marLeft w:val="0"/>
              <w:marRight w:val="0"/>
              <w:marTop w:val="0"/>
              <w:marBottom w:val="0"/>
              <w:divBdr>
                <w:top w:val="none" w:sz="0" w:space="0" w:color="auto"/>
                <w:left w:val="none" w:sz="0" w:space="0" w:color="auto"/>
                <w:bottom w:val="none" w:sz="0" w:space="0" w:color="auto"/>
                <w:right w:val="none" w:sz="0" w:space="0" w:color="auto"/>
              </w:divBdr>
            </w:div>
          </w:divsChild>
        </w:div>
        <w:div w:id="329452245">
          <w:marLeft w:val="0"/>
          <w:marRight w:val="0"/>
          <w:marTop w:val="0"/>
          <w:marBottom w:val="0"/>
          <w:divBdr>
            <w:top w:val="none" w:sz="0" w:space="0" w:color="auto"/>
            <w:left w:val="none" w:sz="0" w:space="0" w:color="auto"/>
            <w:bottom w:val="none" w:sz="0" w:space="0" w:color="auto"/>
            <w:right w:val="none" w:sz="0" w:space="0" w:color="auto"/>
          </w:divBdr>
          <w:divsChild>
            <w:div w:id="271548098">
              <w:marLeft w:val="0"/>
              <w:marRight w:val="0"/>
              <w:marTop w:val="0"/>
              <w:marBottom w:val="0"/>
              <w:divBdr>
                <w:top w:val="none" w:sz="0" w:space="0" w:color="auto"/>
                <w:left w:val="none" w:sz="0" w:space="0" w:color="auto"/>
                <w:bottom w:val="none" w:sz="0" w:space="0" w:color="auto"/>
                <w:right w:val="none" w:sz="0" w:space="0" w:color="auto"/>
              </w:divBdr>
            </w:div>
          </w:divsChild>
        </w:div>
        <w:div w:id="333456627">
          <w:marLeft w:val="0"/>
          <w:marRight w:val="0"/>
          <w:marTop w:val="0"/>
          <w:marBottom w:val="0"/>
          <w:divBdr>
            <w:top w:val="none" w:sz="0" w:space="0" w:color="auto"/>
            <w:left w:val="none" w:sz="0" w:space="0" w:color="auto"/>
            <w:bottom w:val="none" w:sz="0" w:space="0" w:color="auto"/>
            <w:right w:val="none" w:sz="0" w:space="0" w:color="auto"/>
          </w:divBdr>
          <w:divsChild>
            <w:div w:id="1921981973">
              <w:marLeft w:val="0"/>
              <w:marRight w:val="0"/>
              <w:marTop w:val="0"/>
              <w:marBottom w:val="0"/>
              <w:divBdr>
                <w:top w:val="none" w:sz="0" w:space="0" w:color="auto"/>
                <w:left w:val="none" w:sz="0" w:space="0" w:color="auto"/>
                <w:bottom w:val="none" w:sz="0" w:space="0" w:color="auto"/>
                <w:right w:val="none" w:sz="0" w:space="0" w:color="auto"/>
              </w:divBdr>
            </w:div>
          </w:divsChild>
        </w:div>
        <w:div w:id="350961213">
          <w:marLeft w:val="0"/>
          <w:marRight w:val="0"/>
          <w:marTop w:val="0"/>
          <w:marBottom w:val="0"/>
          <w:divBdr>
            <w:top w:val="none" w:sz="0" w:space="0" w:color="auto"/>
            <w:left w:val="none" w:sz="0" w:space="0" w:color="auto"/>
            <w:bottom w:val="none" w:sz="0" w:space="0" w:color="auto"/>
            <w:right w:val="none" w:sz="0" w:space="0" w:color="auto"/>
          </w:divBdr>
          <w:divsChild>
            <w:div w:id="840392938">
              <w:marLeft w:val="0"/>
              <w:marRight w:val="0"/>
              <w:marTop w:val="0"/>
              <w:marBottom w:val="0"/>
              <w:divBdr>
                <w:top w:val="none" w:sz="0" w:space="0" w:color="auto"/>
                <w:left w:val="none" w:sz="0" w:space="0" w:color="auto"/>
                <w:bottom w:val="none" w:sz="0" w:space="0" w:color="auto"/>
                <w:right w:val="none" w:sz="0" w:space="0" w:color="auto"/>
              </w:divBdr>
            </w:div>
          </w:divsChild>
        </w:div>
        <w:div w:id="358434311">
          <w:marLeft w:val="0"/>
          <w:marRight w:val="0"/>
          <w:marTop w:val="0"/>
          <w:marBottom w:val="0"/>
          <w:divBdr>
            <w:top w:val="none" w:sz="0" w:space="0" w:color="auto"/>
            <w:left w:val="none" w:sz="0" w:space="0" w:color="auto"/>
            <w:bottom w:val="none" w:sz="0" w:space="0" w:color="auto"/>
            <w:right w:val="none" w:sz="0" w:space="0" w:color="auto"/>
          </w:divBdr>
          <w:divsChild>
            <w:div w:id="178348219">
              <w:marLeft w:val="0"/>
              <w:marRight w:val="0"/>
              <w:marTop w:val="0"/>
              <w:marBottom w:val="0"/>
              <w:divBdr>
                <w:top w:val="none" w:sz="0" w:space="0" w:color="auto"/>
                <w:left w:val="none" w:sz="0" w:space="0" w:color="auto"/>
                <w:bottom w:val="none" w:sz="0" w:space="0" w:color="auto"/>
                <w:right w:val="none" w:sz="0" w:space="0" w:color="auto"/>
              </w:divBdr>
            </w:div>
          </w:divsChild>
        </w:div>
        <w:div w:id="364260638">
          <w:marLeft w:val="0"/>
          <w:marRight w:val="0"/>
          <w:marTop w:val="0"/>
          <w:marBottom w:val="0"/>
          <w:divBdr>
            <w:top w:val="none" w:sz="0" w:space="0" w:color="auto"/>
            <w:left w:val="none" w:sz="0" w:space="0" w:color="auto"/>
            <w:bottom w:val="none" w:sz="0" w:space="0" w:color="auto"/>
            <w:right w:val="none" w:sz="0" w:space="0" w:color="auto"/>
          </w:divBdr>
          <w:divsChild>
            <w:div w:id="1204635804">
              <w:marLeft w:val="0"/>
              <w:marRight w:val="0"/>
              <w:marTop w:val="0"/>
              <w:marBottom w:val="0"/>
              <w:divBdr>
                <w:top w:val="none" w:sz="0" w:space="0" w:color="auto"/>
                <w:left w:val="none" w:sz="0" w:space="0" w:color="auto"/>
                <w:bottom w:val="none" w:sz="0" w:space="0" w:color="auto"/>
                <w:right w:val="none" w:sz="0" w:space="0" w:color="auto"/>
              </w:divBdr>
            </w:div>
          </w:divsChild>
        </w:div>
        <w:div w:id="381173172">
          <w:marLeft w:val="0"/>
          <w:marRight w:val="0"/>
          <w:marTop w:val="0"/>
          <w:marBottom w:val="0"/>
          <w:divBdr>
            <w:top w:val="none" w:sz="0" w:space="0" w:color="auto"/>
            <w:left w:val="none" w:sz="0" w:space="0" w:color="auto"/>
            <w:bottom w:val="none" w:sz="0" w:space="0" w:color="auto"/>
            <w:right w:val="none" w:sz="0" w:space="0" w:color="auto"/>
          </w:divBdr>
          <w:divsChild>
            <w:div w:id="954288751">
              <w:marLeft w:val="0"/>
              <w:marRight w:val="0"/>
              <w:marTop w:val="0"/>
              <w:marBottom w:val="0"/>
              <w:divBdr>
                <w:top w:val="none" w:sz="0" w:space="0" w:color="auto"/>
                <w:left w:val="none" w:sz="0" w:space="0" w:color="auto"/>
                <w:bottom w:val="none" w:sz="0" w:space="0" w:color="auto"/>
                <w:right w:val="none" w:sz="0" w:space="0" w:color="auto"/>
              </w:divBdr>
            </w:div>
          </w:divsChild>
        </w:div>
        <w:div w:id="405887025">
          <w:marLeft w:val="0"/>
          <w:marRight w:val="0"/>
          <w:marTop w:val="0"/>
          <w:marBottom w:val="0"/>
          <w:divBdr>
            <w:top w:val="none" w:sz="0" w:space="0" w:color="auto"/>
            <w:left w:val="none" w:sz="0" w:space="0" w:color="auto"/>
            <w:bottom w:val="none" w:sz="0" w:space="0" w:color="auto"/>
            <w:right w:val="none" w:sz="0" w:space="0" w:color="auto"/>
          </w:divBdr>
          <w:divsChild>
            <w:div w:id="1074817939">
              <w:marLeft w:val="0"/>
              <w:marRight w:val="0"/>
              <w:marTop w:val="0"/>
              <w:marBottom w:val="0"/>
              <w:divBdr>
                <w:top w:val="none" w:sz="0" w:space="0" w:color="auto"/>
                <w:left w:val="none" w:sz="0" w:space="0" w:color="auto"/>
                <w:bottom w:val="none" w:sz="0" w:space="0" w:color="auto"/>
                <w:right w:val="none" w:sz="0" w:space="0" w:color="auto"/>
              </w:divBdr>
            </w:div>
          </w:divsChild>
        </w:div>
        <w:div w:id="414595505">
          <w:marLeft w:val="0"/>
          <w:marRight w:val="0"/>
          <w:marTop w:val="0"/>
          <w:marBottom w:val="0"/>
          <w:divBdr>
            <w:top w:val="none" w:sz="0" w:space="0" w:color="auto"/>
            <w:left w:val="none" w:sz="0" w:space="0" w:color="auto"/>
            <w:bottom w:val="none" w:sz="0" w:space="0" w:color="auto"/>
            <w:right w:val="none" w:sz="0" w:space="0" w:color="auto"/>
          </w:divBdr>
          <w:divsChild>
            <w:div w:id="1594046935">
              <w:marLeft w:val="0"/>
              <w:marRight w:val="0"/>
              <w:marTop w:val="0"/>
              <w:marBottom w:val="0"/>
              <w:divBdr>
                <w:top w:val="none" w:sz="0" w:space="0" w:color="auto"/>
                <w:left w:val="none" w:sz="0" w:space="0" w:color="auto"/>
                <w:bottom w:val="none" w:sz="0" w:space="0" w:color="auto"/>
                <w:right w:val="none" w:sz="0" w:space="0" w:color="auto"/>
              </w:divBdr>
            </w:div>
          </w:divsChild>
        </w:div>
        <w:div w:id="439227751">
          <w:marLeft w:val="0"/>
          <w:marRight w:val="0"/>
          <w:marTop w:val="0"/>
          <w:marBottom w:val="0"/>
          <w:divBdr>
            <w:top w:val="none" w:sz="0" w:space="0" w:color="auto"/>
            <w:left w:val="none" w:sz="0" w:space="0" w:color="auto"/>
            <w:bottom w:val="none" w:sz="0" w:space="0" w:color="auto"/>
            <w:right w:val="none" w:sz="0" w:space="0" w:color="auto"/>
          </w:divBdr>
          <w:divsChild>
            <w:div w:id="171528368">
              <w:marLeft w:val="0"/>
              <w:marRight w:val="0"/>
              <w:marTop w:val="0"/>
              <w:marBottom w:val="0"/>
              <w:divBdr>
                <w:top w:val="none" w:sz="0" w:space="0" w:color="auto"/>
                <w:left w:val="none" w:sz="0" w:space="0" w:color="auto"/>
                <w:bottom w:val="none" w:sz="0" w:space="0" w:color="auto"/>
                <w:right w:val="none" w:sz="0" w:space="0" w:color="auto"/>
              </w:divBdr>
            </w:div>
          </w:divsChild>
        </w:div>
        <w:div w:id="447044115">
          <w:marLeft w:val="0"/>
          <w:marRight w:val="0"/>
          <w:marTop w:val="0"/>
          <w:marBottom w:val="0"/>
          <w:divBdr>
            <w:top w:val="none" w:sz="0" w:space="0" w:color="auto"/>
            <w:left w:val="none" w:sz="0" w:space="0" w:color="auto"/>
            <w:bottom w:val="none" w:sz="0" w:space="0" w:color="auto"/>
            <w:right w:val="none" w:sz="0" w:space="0" w:color="auto"/>
          </w:divBdr>
          <w:divsChild>
            <w:div w:id="526918385">
              <w:marLeft w:val="0"/>
              <w:marRight w:val="0"/>
              <w:marTop w:val="0"/>
              <w:marBottom w:val="0"/>
              <w:divBdr>
                <w:top w:val="none" w:sz="0" w:space="0" w:color="auto"/>
                <w:left w:val="none" w:sz="0" w:space="0" w:color="auto"/>
                <w:bottom w:val="none" w:sz="0" w:space="0" w:color="auto"/>
                <w:right w:val="none" w:sz="0" w:space="0" w:color="auto"/>
              </w:divBdr>
            </w:div>
          </w:divsChild>
        </w:div>
        <w:div w:id="475923857">
          <w:marLeft w:val="0"/>
          <w:marRight w:val="0"/>
          <w:marTop w:val="0"/>
          <w:marBottom w:val="0"/>
          <w:divBdr>
            <w:top w:val="none" w:sz="0" w:space="0" w:color="auto"/>
            <w:left w:val="none" w:sz="0" w:space="0" w:color="auto"/>
            <w:bottom w:val="none" w:sz="0" w:space="0" w:color="auto"/>
            <w:right w:val="none" w:sz="0" w:space="0" w:color="auto"/>
          </w:divBdr>
          <w:divsChild>
            <w:div w:id="1370179353">
              <w:marLeft w:val="0"/>
              <w:marRight w:val="0"/>
              <w:marTop w:val="0"/>
              <w:marBottom w:val="0"/>
              <w:divBdr>
                <w:top w:val="none" w:sz="0" w:space="0" w:color="auto"/>
                <w:left w:val="none" w:sz="0" w:space="0" w:color="auto"/>
                <w:bottom w:val="none" w:sz="0" w:space="0" w:color="auto"/>
                <w:right w:val="none" w:sz="0" w:space="0" w:color="auto"/>
              </w:divBdr>
            </w:div>
          </w:divsChild>
        </w:div>
        <w:div w:id="485517965">
          <w:marLeft w:val="0"/>
          <w:marRight w:val="0"/>
          <w:marTop w:val="0"/>
          <w:marBottom w:val="0"/>
          <w:divBdr>
            <w:top w:val="none" w:sz="0" w:space="0" w:color="auto"/>
            <w:left w:val="none" w:sz="0" w:space="0" w:color="auto"/>
            <w:bottom w:val="none" w:sz="0" w:space="0" w:color="auto"/>
            <w:right w:val="none" w:sz="0" w:space="0" w:color="auto"/>
          </w:divBdr>
          <w:divsChild>
            <w:div w:id="156726741">
              <w:marLeft w:val="0"/>
              <w:marRight w:val="0"/>
              <w:marTop w:val="0"/>
              <w:marBottom w:val="0"/>
              <w:divBdr>
                <w:top w:val="none" w:sz="0" w:space="0" w:color="auto"/>
                <w:left w:val="none" w:sz="0" w:space="0" w:color="auto"/>
                <w:bottom w:val="none" w:sz="0" w:space="0" w:color="auto"/>
                <w:right w:val="none" w:sz="0" w:space="0" w:color="auto"/>
              </w:divBdr>
            </w:div>
          </w:divsChild>
        </w:div>
        <w:div w:id="534578922">
          <w:marLeft w:val="0"/>
          <w:marRight w:val="0"/>
          <w:marTop w:val="0"/>
          <w:marBottom w:val="0"/>
          <w:divBdr>
            <w:top w:val="none" w:sz="0" w:space="0" w:color="auto"/>
            <w:left w:val="none" w:sz="0" w:space="0" w:color="auto"/>
            <w:bottom w:val="none" w:sz="0" w:space="0" w:color="auto"/>
            <w:right w:val="none" w:sz="0" w:space="0" w:color="auto"/>
          </w:divBdr>
          <w:divsChild>
            <w:div w:id="1710715643">
              <w:marLeft w:val="0"/>
              <w:marRight w:val="0"/>
              <w:marTop w:val="0"/>
              <w:marBottom w:val="0"/>
              <w:divBdr>
                <w:top w:val="none" w:sz="0" w:space="0" w:color="auto"/>
                <w:left w:val="none" w:sz="0" w:space="0" w:color="auto"/>
                <w:bottom w:val="none" w:sz="0" w:space="0" w:color="auto"/>
                <w:right w:val="none" w:sz="0" w:space="0" w:color="auto"/>
              </w:divBdr>
            </w:div>
          </w:divsChild>
        </w:div>
        <w:div w:id="552346376">
          <w:marLeft w:val="0"/>
          <w:marRight w:val="0"/>
          <w:marTop w:val="0"/>
          <w:marBottom w:val="0"/>
          <w:divBdr>
            <w:top w:val="none" w:sz="0" w:space="0" w:color="auto"/>
            <w:left w:val="none" w:sz="0" w:space="0" w:color="auto"/>
            <w:bottom w:val="none" w:sz="0" w:space="0" w:color="auto"/>
            <w:right w:val="none" w:sz="0" w:space="0" w:color="auto"/>
          </w:divBdr>
          <w:divsChild>
            <w:div w:id="634793204">
              <w:marLeft w:val="0"/>
              <w:marRight w:val="0"/>
              <w:marTop w:val="0"/>
              <w:marBottom w:val="0"/>
              <w:divBdr>
                <w:top w:val="none" w:sz="0" w:space="0" w:color="auto"/>
                <w:left w:val="none" w:sz="0" w:space="0" w:color="auto"/>
                <w:bottom w:val="none" w:sz="0" w:space="0" w:color="auto"/>
                <w:right w:val="none" w:sz="0" w:space="0" w:color="auto"/>
              </w:divBdr>
            </w:div>
          </w:divsChild>
        </w:div>
        <w:div w:id="556865018">
          <w:marLeft w:val="0"/>
          <w:marRight w:val="0"/>
          <w:marTop w:val="0"/>
          <w:marBottom w:val="0"/>
          <w:divBdr>
            <w:top w:val="none" w:sz="0" w:space="0" w:color="auto"/>
            <w:left w:val="none" w:sz="0" w:space="0" w:color="auto"/>
            <w:bottom w:val="none" w:sz="0" w:space="0" w:color="auto"/>
            <w:right w:val="none" w:sz="0" w:space="0" w:color="auto"/>
          </w:divBdr>
          <w:divsChild>
            <w:div w:id="1235970490">
              <w:marLeft w:val="0"/>
              <w:marRight w:val="0"/>
              <w:marTop w:val="0"/>
              <w:marBottom w:val="0"/>
              <w:divBdr>
                <w:top w:val="none" w:sz="0" w:space="0" w:color="auto"/>
                <w:left w:val="none" w:sz="0" w:space="0" w:color="auto"/>
                <w:bottom w:val="none" w:sz="0" w:space="0" w:color="auto"/>
                <w:right w:val="none" w:sz="0" w:space="0" w:color="auto"/>
              </w:divBdr>
            </w:div>
          </w:divsChild>
        </w:div>
        <w:div w:id="558129595">
          <w:marLeft w:val="0"/>
          <w:marRight w:val="0"/>
          <w:marTop w:val="0"/>
          <w:marBottom w:val="0"/>
          <w:divBdr>
            <w:top w:val="none" w:sz="0" w:space="0" w:color="auto"/>
            <w:left w:val="none" w:sz="0" w:space="0" w:color="auto"/>
            <w:bottom w:val="none" w:sz="0" w:space="0" w:color="auto"/>
            <w:right w:val="none" w:sz="0" w:space="0" w:color="auto"/>
          </w:divBdr>
          <w:divsChild>
            <w:div w:id="753284227">
              <w:marLeft w:val="0"/>
              <w:marRight w:val="0"/>
              <w:marTop w:val="0"/>
              <w:marBottom w:val="0"/>
              <w:divBdr>
                <w:top w:val="none" w:sz="0" w:space="0" w:color="auto"/>
                <w:left w:val="none" w:sz="0" w:space="0" w:color="auto"/>
                <w:bottom w:val="none" w:sz="0" w:space="0" w:color="auto"/>
                <w:right w:val="none" w:sz="0" w:space="0" w:color="auto"/>
              </w:divBdr>
            </w:div>
          </w:divsChild>
        </w:div>
        <w:div w:id="581791001">
          <w:marLeft w:val="0"/>
          <w:marRight w:val="0"/>
          <w:marTop w:val="0"/>
          <w:marBottom w:val="0"/>
          <w:divBdr>
            <w:top w:val="none" w:sz="0" w:space="0" w:color="auto"/>
            <w:left w:val="none" w:sz="0" w:space="0" w:color="auto"/>
            <w:bottom w:val="none" w:sz="0" w:space="0" w:color="auto"/>
            <w:right w:val="none" w:sz="0" w:space="0" w:color="auto"/>
          </w:divBdr>
          <w:divsChild>
            <w:div w:id="1639728684">
              <w:marLeft w:val="0"/>
              <w:marRight w:val="0"/>
              <w:marTop w:val="0"/>
              <w:marBottom w:val="0"/>
              <w:divBdr>
                <w:top w:val="none" w:sz="0" w:space="0" w:color="auto"/>
                <w:left w:val="none" w:sz="0" w:space="0" w:color="auto"/>
                <w:bottom w:val="none" w:sz="0" w:space="0" w:color="auto"/>
                <w:right w:val="none" w:sz="0" w:space="0" w:color="auto"/>
              </w:divBdr>
            </w:div>
          </w:divsChild>
        </w:div>
        <w:div w:id="596332310">
          <w:marLeft w:val="0"/>
          <w:marRight w:val="0"/>
          <w:marTop w:val="0"/>
          <w:marBottom w:val="0"/>
          <w:divBdr>
            <w:top w:val="none" w:sz="0" w:space="0" w:color="auto"/>
            <w:left w:val="none" w:sz="0" w:space="0" w:color="auto"/>
            <w:bottom w:val="none" w:sz="0" w:space="0" w:color="auto"/>
            <w:right w:val="none" w:sz="0" w:space="0" w:color="auto"/>
          </w:divBdr>
          <w:divsChild>
            <w:div w:id="1250889640">
              <w:marLeft w:val="0"/>
              <w:marRight w:val="0"/>
              <w:marTop w:val="0"/>
              <w:marBottom w:val="0"/>
              <w:divBdr>
                <w:top w:val="none" w:sz="0" w:space="0" w:color="auto"/>
                <w:left w:val="none" w:sz="0" w:space="0" w:color="auto"/>
                <w:bottom w:val="none" w:sz="0" w:space="0" w:color="auto"/>
                <w:right w:val="none" w:sz="0" w:space="0" w:color="auto"/>
              </w:divBdr>
            </w:div>
          </w:divsChild>
        </w:div>
        <w:div w:id="604266087">
          <w:marLeft w:val="0"/>
          <w:marRight w:val="0"/>
          <w:marTop w:val="0"/>
          <w:marBottom w:val="0"/>
          <w:divBdr>
            <w:top w:val="none" w:sz="0" w:space="0" w:color="auto"/>
            <w:left w:val="none" w:sz="0" w:space="0" w:color="auto"/>
            <w:bottom w:val="none" w:sz="0" w:space="0" w:color="auto"/>
            <w:right w:val="none" w:sz="0" w:space="0" w:color="auto"/>
          </w:divBdr>
          <w:divsChild>
            <w:div w:id="1313176012">
              <w:marLeft w:val="0"/>
              <w:marRight w:val="0"/>
              <w:marTop w:val="0"/>
              <w:marBottom w:val="0"/>
              <w:divBdr>
                <w:top w:val="none" w:sz="0" w:space="0" w:color="auto"/>
                <w:left w:val="none" w:sz="0" w:space="0" w:color="auto"/>
                <w:bottom w:val="none" w:sz="0" w:space="0" w:color="auto"/>
                <w:right w:val="none" w:sz="0" w:space="0" w:color="auto"/>
              </w:divBdr>
            </w:div>
          </w:divsChild>
        </w:div>
        <w:div w:id="648440611">
          <w:marLeft w:val="0"/>
          <w:marRight w:val="0"/>
          <w:marTop w:val="0"/>
          <w:marBottom w:val="0"/>
          <w:divBdr>
            <w:top w:val="none" w:sz="0" w:space="0" w:color="auto"/>
            <w:left w:val="none" w:sz="0" w:space="0" w:color="auto"/>
            <w:bottom w:val="none" w:sz="0" w:space="0" w:color="auto"/>
            <w:right w:val="none" w:sz="0" w:space="0" w:color="auto"/>
          </w:divBdr>
          <w:divsChild>
            <w:div w:id="1025792901">
              <w:marLeft w:val="0"/>
              <w:marRight w:val="0"/>
              <w:marTop w:val="0"/>
              <w:marBottom w:val="0"/>
              <w:divBdr>
                <w:top w:val="none" w:sz="0" w:space="0" w:color="auto"/>
                <w:left w:val="none" w:sz="0" w:space="0" w:color="auto"/>
                <w:bottom w:val="none" w:sz="0" w:space="0" w:color="auto"/>
                <w:right w:val="none" w:sz="0" w:space="0" w:color="auto"/>
              </w:divBdr>
            </w:div>
          </w:divsChild>
        </w:div>
        <w:div w:id="663437505">
          <w:marLeft w:val="0"/>
          <w:marRight w:val="0"/>
          <w:marTop w:val="0"/>
          <w:marBottom w:val="0"/>
          <w:divBdr>
            <w:top w:val="none" w:sz="0" w:space="0" w:color="auto"/>
            <w:left w:val="none" w:sz="0" w:space="0" w:color="auto"/>
            <w:bottom w:val="none" w:sz="0" w:space="0" w:color="auto"/>
            <w:right w:val="none" w:sz="0" w:space="0" w:color="auto"/>
          </w:divBdr>
          <w:divsChild>
            <w:div w:id="1211503541">
              <w:marLeft w:val="0"/>
              <w:marRight w:val="0"/>
              <w:marTop w:val="0"/>
              <w:marBottom w:val="0"/>
              <w:divBdr>
                <w:top w:val="none" w:sz="0" w:space="0" w:color="auto"/>
                <w:left w:val="none" w:sz="0" w:space="0" w:color="auto"/>
                <w:bottom w:val="none" w:sz="0" w:space="0" w:color="auto"/>
                <w:right w:val="none" w:sz="0" w:space="0" w:color="auto"/>
              </w:divBdr>
            </w:div>
          </w:divsChild>
        </w:div>
        <w:div w:id="667632539">
          <w:marLeft w:val="0"/>
          <w:marRight w:val="0"/>
          <w:marTop w:val="0"/>
          <w:marBottom w:val="0"/>
          <w:divBdr>
            <w:top w:val="none" w:sz="0" w:space="0" w:color="auto"/>
            <w:left w:val="none" w:sz="0" w:space="0" w:color="auto"/>
            <w:bottom w:val="none" w:sz="0" w:space="0" w:color="auto"/>
            <w:right w:val="none" w:sz="0" w:space="0" w:color="auto"/>
          </w:divBdr>
          <w:divsChild>
            <w:div w:id="835263127">
              <w:marLeft w:val="0"/>
              <w:marRight w:val="0"/>
              <w:marTop w:val="0"/>
              <w:marBottom w:val="0"/>
              <w:divBdr>
                <w:top w:val="none" w:sz="0" w:space="0" w:color="auto"/>
                <w:left w:val="none" w:sz="0" w:space="0" w:color="auto"/>
                <w:bottom w:val="none" w:sz="0" w:space="0" w:color="auto"/>
                <w:right w:val="none" w:sz="0" w:space="0" w:color="auto"/>
              </w:divBdr>
            </w:div>
          </w:divsChild>
        </w:div>
        <w:div w:id="672032151">
          <w:marLeft w:val="0"/>
          <w:marRight w:val="0"/>
          <w:marTop w:val="0"/>
          <w:marBottom w:val="0"/>
          <w:divBdr>
            <w:top w:val="none" w:sz="0" w:space="0" w:color="auto"/>
            <w:left w:val="none" w:sz="0" w:space="0" w:color="auto"/>
            <w:bottom w:val="none" w:sz="0" w:space="0" w:color="auto"/>
            <w:right w:val="none" w:sz="0" w:space="0" w:color="auto"/>
          </w:divBdr>
          <w:divsChild>
            <w:div w:id="1018966367">
              <w:marLeft w:val="0"/>
              <w:marRight w:val="0"/>
              <w:marTop w:val="0"/>
              <w:marBottom w:val="0"/>
              <w:divBdr>
                <w:top w:val="none" w:sz="0" w:space="0" w:color="auto"/>
                <w:left w:val="none" w:sz="0" w:space="0" w:color="auto"/>
                <w:bottom w:val="none" w:sz="0" w:space="0" w:color="auto"/>
                <w:right w:val="none" w:sz="0" w:space="0" w:color="auto"/>
              </w:divBdr>
            </w:div>
          </w:divsChild>
        </w:div>
        <w:div w:id="686369135">
          <w:marLeft w:val="0"/>
          <w:marRight w:val="0"/>
          <w:marTop w:val="0"/>
          <w:marBottom w:val="0"/>
          <w:divBdr>
            <w:top w:val="none" w:sz="0" w:space="0" w:color="auto"/>
            <w:left w:val="none" w:sz="0" w:space="0" w:color="auto"/>
            <w:bottom w:val="none" w:sz="0" w:space="0" w:color="auto"/>
            <w:right w:val="none" w:sz="0" w:space="0" w:color="auto"/>
          </w:divBdr>
          <w:divsChild>
            <w:div w:id="2143107511">
              <w:marLeft w:val="0"/>
              <w:marRight w:val="0"/>
              <w:marTop w:val="0"/>
              <w:marBottom w:val="0"/>
              <w:divBdr>
                <w:top w:val="none" w:sz="0" w:space="0" w:color="auto"/>
                <w:left w:val="none" w:sz="0" w:space="0" w:color="auto"/>
                <w:bottom w:val="none" w:sz="0" w:space="0" w:color="auto"/>
                <w:right w:val="none" w:sz="0" w:space="0" w:color="auto"/>
              </w:divBdr>
            </w:div>
          </w:divsChild>
        </w:div>
        <w:div w:id="691809692">
          <w:marLeft w:val="0"/>
          <w:marRight w:val="0"/>
          <w:marTop w:val="0"/>
          <w:marBottom w:val="0"/>
          <w:divBdr>
            <w:top w:val="none" w:sz="0" w:space="0" w:color="auto"/>
            <w:left w:val="none" w:sz="0" w:space="0" w:color="auto"/>
            <w:bottom w:val="none" w:sz="0" w:space="0" w:color="auto"/>
            <w:right w:val="none" w:sz="0" w:space="0" w:color="auto"/>
          </w:divBdr>
          <w:divsChild>
            <w:div w:id="322045667">
              <w:marLeft w:val="0"/>
              <w:marRight w:val="0"/>
              <w:marTop w:val="0"/>
              <w:marBottom w:val="0"/>
              <w:divBdr>
                <w:top w:val="none" w:sz="0" w:space="0" w:color="auto"/>
                <w:left w:val="none" w:sz="0" w:space="0" w:color="auto"/>
                <w:bottom w:val="none" w:sz="0" w:space="0" w:color="auto"/>
                <w:right w:val="none" w:sz="0" w:space="0" w:color="auto"/>
              </w:divBdr>
            </w:div>
          </w:divsChild>
        </w:div>
        <w:div w:id="713890152">
          <w:marLeft w:val="0"/>
          <w:marRight w:val="0"/>
          <w:marTop w:val="0"/>
          <w:marBottom w:val="0"/>
          <w:divBdr>
            <w:top w:val="none" w:sz="0" w:space="0" w:color="auto"/>
            <w:left w:val="none" w:sz="0" w:space="0" w:color="auto"/>
            <w:bottom w:val="none" w:sz="0" w:space="0" w:color="auto"/>
            <w:right w:val="none" w:sz="0" w:space="0" w:color="auto"/>
          </w:divBdr>
          <w:divsChild>
            <w:div w:id="668172081">
              <w:marLeft w:val="0"/>
              <w:marRight w:val="0"/>
              <w:marTop w:val="0"/>
              <w:marBottom w:val="0"/>
              <w:divBdr>
                <w:top w:val="none" w:sz="0" w:space="0" w:color="auto"/>
                <w:left w:val="none" w:sz="0" w:space="0" w:color="auto"/>
                <w:bottom w:val="none" w:sz="0" w:space="0" w:color="auto"/>
                <w:right w:val="none" w:sz="0" w:space="0" w:color="auto"/>
              </w:divBdr>
            </w:div>
          </w:divsChild>
        </w:div>
        <w:div w:id="714739898">
          <w:marLeft w:val="0"/>
          <w:marRight w:val="0"/>
          <w:marTop w:val="0"/>
          <w:marBottom w:val="0"/>
          <w:divBdr>
            <w:top w:val="none" w:sz="0" w:space="0" w:color="auto"/>
            <w:left w:val="none" w:sz="0" w:space="0" w:color="auto"/>
            <w:bottom w:val="none" w:sz="0" w:space="0" w:color="auto"/>
            <w:right w:val="none" w:sz="0" w:space="0" w:color="auto"/>
          </w:divBdr>
          <w:divsChild>
            <w:div w:id="1655915626">
              <w:marLeft w:val="0"/>
              <w:marRight w:val="0"/>
              <w:marTop w:val="0"/>
              <w:marBottom w:val="0"/>
              <w:divBdr>
                <w:top w:val="none" w:sz="0" w:space="0" w:color="auto"/>
                <w:left w:val="none" w:sz="0" w:space="0" w:color="auto"/>
                <w:bottom w:val="none" w:sz="0" w:space="0" w:color="auto"/>
                <w:right w:val="none" w:sz="0" w:space="0" w:color="auto"/>
              </w:divBdr>
            </w:div>
          </w:divsChild>
        </w:div>
        <w:div w:id="721290480">
          <w:marLeft w:val="0"/>
          <w:marRight w:val="0"/>
          <w:marTop w:val="0"/>
          <w:marBottom w:val="0"/>
          <w:divBdr>
            <w:top w:val="none" w:sz="0" w:space="0" w:color="auto"/>
            <w:left w:val="none" w:sz="0" w:space="0" w:color="auto"/>
            <w:bottom w:val="none" w:sz="0" w:space="0" w:color="auto"/>
            <w:right w:val="none" w:sz="0" w:space="0" w:color="auto"/>
          </w:divBdr>
          <w:divsChild>
            <w:div w:id="1694958934">
              <w:marLeft w:val="0"/>
              <w:marRight w:val="0"/>
              <w:marTop w:val="0"/>
              <w:marBottom w:val="0"/>
              <w:divBdr>
                <w:top w:val="none" w:sz="0" w:space="0" w:color="auto"/>
                <w:left w:val="none" w:sz="0" w:space="0" w:color="auto"/>
                <w:bottom w:val="none" w:sz="0" w:space="0" w:color="auto"/>
                <w:right w:val="none" w:sz="0" w:space="0" w:color="auto"/>
              </w:divBdr>
            </w:div>
          </w:divsChild>
        </w:div>
        <w:div w:id="726614691">
          <w:marLeft w:val="0"/>
          <w:marRight w:val="0"/>
          <w:marTop w:val="0"/>
          <w:marBottom w:val="0"/>
          <w:divBdr>
            <w:top w:val="none" w:sz="0" w:space="0" w:color="auto"/>
            <w:left w:val="none" w:sz="0" w:space="0" w:color="auto"/>
            <w:bottom w:val="none" w:sz="0" w:space="0" w:color="auto"/>
            <w:right w:val="none" w:sz="0" w:space="0" w:color="auto"/>
          </w:divBdr>
          <w:divsChild>
            <w:div w:id="1949893189">
              <w:marLeft w:val="0"/>
              <w:marRight w:val="0"/>
              <w:marTop w:val="0"/>
              <w:marBottom w:val="0"/>
              <w:divBdr>
                <w:top w:val="none" w:sz="0" w:space="0" w:color="auto"/>
                <w:left w:val="none" w:sz="0" w:space="0" w:color="auto"/>
                <w:bottom w:val="none" w:sz="0" w:space="0" w:color="auto"/>
                <w:right w:val="none" w:sz="0" w:space="0" w:color="auto"/>
              </w:divBdr>
            </w:div>
          </w:divsChild>
        </w:div>
        <w:div w:id="736980253">
          <w:marLeft w:val="0"/>
          <w:marRight w:val="0"/>
          <w:marTop w:val="0"/>
          <w:marBottom w:val="0"/>
          <w:divBdr>
            <w:top w:val="none" w:sz="0" w:space="0" w:color="auto"/>
            <w:left w:val="none" w:sz="0" w:space="0" w:color="auto"/>
            <w:bottom w:val="none" w:sz="0" w:space="0" w:color="auto"/>
            <w:right w:val="none" w:sz="0" w:space="0" w:color="auto"/>
          </w:divBdr>
          <w:divsChild>
            <w:div w:id="1713991135">
              <w:marLeft w:val="0"/>
              <w:marRight w:val="0"/>
              <w:marTop w:val="0"/>
              <w:marBottom w:val="0"/>
              <w:divBdr>
                <w:top w:val="none" w:sz="0" w:space="0" w:color="auto"/>
                <w:left w:val="none" w:sz="0" w:space="0" w:color="auto"/>
                <w:bottom w:val="none" w:sz="0" w:space="0" w:color="auto"/>
                <w:right w:val="none" w:sz="0" w:space="0" w:color="auto"/>
              </w:divBdr>
            </w:div>
          </w:divsChild>
        </w:div>
        <w:div w:id="741875568">
          <w:marLeft w:val="0"/>
          <w:marRight w:val="0"/>
          <w:marTop w:val="0"/>
          <w:marBottom w:val="0"/>
          <w:divBdr>
            <w:top w:val="none" w:sz="0" w:space="0" w:color="auto"/>
            <w:left w:val="none" w:sz="0" w:space="0" w:color="auto"/>
            <w:bottom w:val="none" w:sz="0" w:space="0" w:color="auto"/>
            <w:right w:val="none" w:sz="0" w:space="0" w:color="auto"/>
          </w:divBdr>
          <w:divsChild>
            <w:div w:id="1432119131">
              <w:marLeft w:val="0"/>
              <w:marRight w:val="0"/>
              <w:marTop w:val="0"/>
              <w:marBottom w:val="0"/>
              <w:divBdr>
                <w:top w:val="none" w:sz="0" w:space="0" w:color="auto"/>
                <w:left w:val="none" w:sz="0" w:space="0" w:color="auto"/>
                <w:bottom w:val="none" w:sz="0" w:space="0" w:color="auto"/>
                <w:right w:val="none" w:sz="0" w:space="0" w:color="auto"/>
              </w:divBdr>
            </w:div>
          </w:divsChild>
        </w:div>
        <w:div w:id="742139574">
          <w:marLeft w:val="0"/>
          <w:marRight w:val="0"/>
          <w:marTop w:val="0"/>
          <w:marBottom w:val="0"/>
          <w:divBdr>
            <w:top w:val="none" w:sz="0" w:space="0" w:color="auto"/>
            <w:left w:val="none" w:sz="0" w:space="0" w:color="auto"/>
            <w:bottom w:val="none" w:sz="0" w:space="0" w:color="auto"/>
            <w:right w:val="none" w:sz="0" w:space="0" w:color="auto"/>
          </w:divBdr>
          <w:divsChild>
            <w:div w:id="92284128">
              <w:marLeft w:val="0"/>
              <w:marRight w:val="0"/>
              <w:marTop w:val="0"/>
              <w:marBottom w:val="0"/>
              <w:divBdr>
                <w:top w:val="none" w:sz="0" w:space="0" w:color="auto"/>
                <w:left w:val="none" w:sz="0" w:space="0" w:color="auto"/>
                <w:bottom w:val="none" w:sz="0" w:space="0" w:color="auto"/>
                <w:right w:val="none" w:sz="0" w:space="0" w:color="auto"/>
              </w:divBdr>
            </w:div>
          </w:divsChild>
        </w:div>
        <w:div w:id="751395804">
          <w:marLeft w:val="0"/>
          <w:marRight w:val="0"/>
          <w:marTop w:val="0"/>
          <w:marBottom w:val="0"/>
          <w:divBdr>
            <w:top w:val="none" w:sz="0" w:space="0" w:color="auto"/>
            <w:left w:val="none" w:sz="0" w:space="0" w:color="auto"/>
            <w:bottom w:val="none" w:sz="0" w:space="0" w:color="auto"/>
            <w:right w:val="none" w:sz="0" w:space="0" w:color="auto"/>
          </w:divBdr>
          <w:divsChild>
            <w:div w:id="1282490944">
              <w:marLeft w:val="0"/>
              <w:marRight w:val="0"/>
              <w:marTop w:val="0"/>
              <w:marBottom w:val="0"/>
              <w:divBdr>
                <w:top w:val="none" w:sz="0" w:space="0" w:color="auto"/>
                <w:left w:val="none" w:sz="0" w:space="0" w:color="auto"/>
                <w:bottom w:val="none" w:sz="0" w:space="0" w:color="auto"/>
                <w:right w:val="none" w:sz="0" w:space="0" w:color="auto"/>
              </w:divBdr>
            </w:div>
          </w:divsChild>
        </w:div>
        <w:div w:id="765921712">
          <w:marLeft w:val="0"/>
          <w:marRight w:val="0"/>
          <w:marTop w:val="0"/>
          <w:marBottom w:val="0"/>
          <w:divBdr>
            <w:top w:val="none" w:sz="0" w:space="0" w:color="auto"/>
            <w:left w:val="none" w:sz="0" w:space="0" w:color="auto"/>
            <w:bottom w:val="none" w:sz="0" w:space="0" w:color="auto"/>
            <w:right w:val="none" w:sz="0" w:space="0" w:color="auto"/>
          </w:divBdr>
          <w:divsChild>
            <w:div w:id="533467852">
              <w:marLeft w:val="0"/>
              <w:marRight w:val="0"/>
              <w:marTop w:val="0"/>
              <w:marBottom w:val="0"/>
              <w:divBdr>
                <w:top w:val="none" w:sz="0" w:space="0" w:color="auto"/>
                <w:left w:val="none" w:sz="0" w:space="0" w:color="auto"/>
                <w:bottom w:val="none" w:sz="0" w:space="0" w:color="auto"/>
                <w:right w:val="none" w:sz="0" w:space="0" w:color="auto"/>
              </w:divBdr>
            </w:div>
          </w:divsChild>
        </w:div>
        <w:div w:id="766853538">
          <w:marLeft w:val="0"/>
          <w:marRight w:val="0"/>
          <w:marTop w:val="0"/>
          <w:marBottom w:val="0"/>
          <w:divBdr>
            <w:top w:val="none" w:sz="0" w:space="0" w:color="auto"/>
            <w:left w:val="none" w:sz="0" w:space="0" w:color="auto"/>
            <w:bottom w:val="none" w:sz="0" w:space="0" w:color="auto"/>
            <w:right w:val="none" w:sz="0" w:space="0" w:color="auto"/>
          </w:divBdr>
          <w:divsChild>
            <w:div w:id="2046828681">
              <w:marLeft w:val="0"/>
              <w:marRight w:val="0"/>
              <w:marTop w:val="0"/>
              <w:marBottom w:val="0"/>
              <w:divBdr>
                <w:top w:val="none" w:sz="0" w:space="0" w:color="auto"/>
                <w:left w:val="none" w:sz="0" w:space="0" w:color="auto"/>
                <w:bottom w:val="none" w:sz="0" w:space="0" w:color="auto"/>
                <w:right w:val="none" w:sz="0" w:space="0" w:color="auto"/>
              </w:divBdr>
            </w:div>
          </w:divsChild>
        </w:div>
        <w:div w:id="768543720">
          <w:marLeft w:val="0"/>
          <w:marRight w:val="0"/>
          <w:marTop w:val="0"/>
          <w:marBottom w:val="0"/>
          <w:divBdr>
            <w:top w:val="none" w:sz="0" w:space="0" w:color="auto"/>
            <w:left w:val="none" w:sz="0" w:space="0" w:color="auto"/>
            <w:bottom w:val="none" w:sz="0" w:space="0" w:color="auto"/>
            <w:right w:val="none" w:sz="0" w:space="0" w:color="auto"/>
          </w:divBdr>
          <w:divsChild>
            <w:div w:id="1344940980">
              <w:marLeft w:val="0"/>
              <w:marRight w:val="0"/>
              <w:marTop w:val="0"/>
              <w:marBottom w:val="0"/>
              <w:divBdr>
                <w:top w:val="none" w:sz="0" w:space="0" w:color="auto"/>
                <w:left w:val="none" w:sz="0" w:space="0" w:color="auto"/>
                <w:bottom w:val="none" w:sz="0" w:space="0" w:color="auto"/>
                <w:right w:val="none" w:sz="0" w:space="0" w:color="auto"/>
              </w:divBdr>
            </w:div>
          </w:divsChild>
        </w:div>
        <w:div w:id="775518824">
          <w:marLeft w:val="0"/>
          <w:marRight w:val="0"/>
          <w:marTop w:val="0"/>
          <w:marBottom w:val="0"/>
          <w:divBdr>
            <w:top w:val="none" w:sz="0" w:space="0" w:color="auto"/>
            <w:left w:val="none" w:sz="0" w:space="0" w:color="auto"/>
            <w:bottom w:val="none" w:sz="0" w:space="0" w:color="auto"/>
            <w:right w:val="none" w:sz="0" w:space="0" w:color="auto"/>
          </w:divBdr>
          <w:divsChild>
            <w:div w:id="308369896">
              <w:marLeft w:val="0"/>
              <w:marRight w:val="0"/>
              <w:marTop w:val="0"/>
              <w:marBottom w:val="0"/>
              <w:divBdr>
                <w:top w:val="none" w:sz="0" w:space="0" w:color="auto"/>
                <w:left w:val="none" w:sz="0" w:space="0" w:color="auto"/>
                <w:bottom w:val="none" w:sz="0" w:space="0" w:color="auto"/>
                <w:right w:val="none" w:sz="0" w:space="0" w:color="auto"/>
              </w:divBdr>
            </w:div>
          </w:divsChild>
        </w:div>
        <w:div w:id="792751526">
          <w:marLeft w:val="0"/>
          <w:marRight w:val="0"/>
          <w:marTop w:val="0"/>
          <w:marBottom w:val="0"/>
          <w:divBdr>
            <w:top w:val="none" w:sz="0" w:space="0" w:color="auto"/>
            <w:left w:val="none" w:sz="0" w:space="0" w:color="auto"/>
            <w:bottom w:val="none" w:sz="0" w:space="0" w:color="auto"/>
            <w:right w:val="none" w:sz="0" w:space="0" w:color="auto"/>
          </w:divBdr>
          <w:divsChild>
            <w:div w:id="54591646">
              <w:marLeft w:val="0"/>
              <w:marRight w:val="0"/>
              <w:marTop w:val="0"/>
              <w:marBottom w:val="0"/>
              <w:divBdr>
                <w:top w:val="none" w:sz="0" w:space="0" w:color="auto"/>
                <w:left w:val="none" w:sz="0" w:space="0" w:color="auto"/>
                <w:bottom w:val="none" w:sz="0" w:space="0" w:color="auto"/>
                <w:right w:val="none" w:sz="0" w:space="0" w:color="auto"/>
              </w:divBdr>
            </w:div>
          </w:divsChild>
        </w:div>
        <w:div w:id="801576975">
          <w:marLeft w:val="0"/>
          <w:marRight w:val="0"/>
          <w:marTop w:val="0"/>
          <w:marBottom w:val="0"/>
          <w:divBdr>
            <w:top w:val="none" w:sz="0" w:space="0" w:color="auto"/>
            <w:left w:val="none" w:sz="0" w:space="0" w:color="auto"/>
            <w:bottom w:val="none" w:sz="0" w:space="0" w:color="auto"/>
            <w:right w:val="none" w:sz="0" w:space="0" w:color="auto"/>
          </w:divBdr>
          <w:divsChild>
            <w:div w:id="684600955">
              <w:marLeft w:val="0"/>
              <w:marRight w:val="0"/>
              <w:marTop w:val="0"/>
              <w:marBottom w:val="0"/>
              <w:divBdr>
                <w:top w:val="none" w:sz="0" w:space="0" w:color="auto"/>
                <w:left w:val="none" w:sz="0" w:space="0" w:color="auto"/>
                <w:bottom w:val="none" w:sz="0" w:space="0" w:color="auto"/>
                <w:right w:val="none" w:sz="0" w:space="0" w:color="auto"/>
              </w:divBdr>
            </w:div>
          </w:divsChild>
        </w:div>
        <w:div w:id="839278120">
          <w:marLeft w:val="0"/>
          <w:marRight w:val="0"/>
          <w:marTop w:val="0"/>
          <w:marBottom w:val="0"/>
          <w:divBdr>
            <w:top w:val="none" w:sz="0" w:space="0" w:color="auto"/>
            <w:left w:val="none" w:sz="0" w:space="0" w:color="auto"/>
            <w:bottom w:val="none" w:sz="0" w:space="0" w:color="auto"/>
            <w:right w:val="none" w:sz="0" w:space="0" w:color="auto"/>
          </w:divBdr>
          <w:divsChild>
            <w:div w:id="1552695932">
              <w:marLeft w:val="0"/>
              <w:marRight w:val="0"/>
              <w:marTop w:val="0"/>
              <w:marBottom w:val="0"/>
              <w:divBdr>
                <w:top w:val="none" w:sz="0" w:space="0" w:color="auto"/>
                <w:left w:val="none" w:sz="0" w:space="0" w:color="auto"/>
                <w:bottom w:val="none" w:sz="0" w:space="0" w:color="auto"/>
                <w:right w:val="none" w:sz="0" w:space="0" w:color="auto"/>
              </w:divBdr>
            </w:div>
          </w:divsChild>
        </w:div>
        <w:div w:id="870534972">
          <w:marLeft w:val="0"/>
          <w:marRight w:val="0"/>
          <w:marTop w:val="0"/>
          <w:marBottom w:val="0"/>
          <w:divBdr>
            <w:top w:val="none" w:sz="0" w:space="0" w:color="auto"/>
            <w:left w:val="none" w:sz="0" w:space="0" w:color="auto"/>
            <w:bottom w:val="none" w:sz="0" w:space="0" w:color="auto"/>
            <w:right w:val="none" w:sz="0" w:space="0" w:color="auto"/>
          </w:divBdr>
          <w:divsChild>
            <w:div w:id="1040596300">
              <w:marLeft w:val="0"/>
              <w:marRight w:val="0"/>
              <w:marTop w:val="0"/>
              <w:marBottom w:val="0"/>
              <w:divBdr>
                <w:top w:val="none" w:sz="0" w:space="0" w:color="auto"/>
                <w:left w:val="none" w:sz="0" w:space="0" w:color="auto"/>
                <w:bottom w:val="none" w:sz="0" w:space="0" w:color="auto"/>
                <w:right w:val="none" w:sz="0" w:space="0" w:color="auto"/>
              </w:divBdr>
            </w:div>
          </w:divsChild>
        </w:div>
        <w:div w:id="877398586">
          <w:marLeft w:val="0"/>
          <w:marRight w:val="0"/>
          <w:marTop w:val="0"/>
          <w:marBottom w:val="0"/>
          <w:divBdr>
            <w:top w:val="none" w:sz="0" w:space="0" w:color="auto"/>
            <w:left w:val="none" w:sz="0" w:space="0" w:color="auto"/>
            <w:bottom w:val="none" w:sz="0" w:space="0" w:color="auto"/>
            <w:right w:val="none" w:sz="0" w:space="0" w:color="auto"/>
          </w:divBdr>
          <w:divsChild>
            <w:div w:id="1041982065">
              <w:marLeft w:val="0"/>
              <w:marRight w:val="0"/>
              <w:marTop w:val="0"/>
              <w:marBottom w:val="0"/>
              <w:divBdr>
                <w:top w:val="none" w:sz="0" w:space="0" w:color="auto"/>
                <w:left w:val="none" w:sz="0" w:space="0" w:color="auto"/>
                <w:bottom w:val="none" w:sz="0" w:space="0" w:color="auto"/>
                <w:right w:val="none" w:sz="0" w:space="0" w:color="auto"/>
              </w:divBdr>
            </w:div>
          </w:divsChild>
        </w:div>
        <w:div w:id="877855535">
          <w:marLeft w:val="0"/>
          <w:marRight w:val="0"/>
          <w:marTop w:val="0"/>
          <w:marBottom w:val="0"/>
          <w:divBdr>
            <w:top w:val="none" w:sz="0" w:space="0" w:color="auto"/>
            <w:left w:val="none" w:sz="0" w:space="0" w:color="auto"/>
            <w:bottom w:val="none" w:sz="0" w:space="0" w:color="auto"/>
            <w:right w:val="none" w:sz="0" w:space="0" w:color="auto"/>
          </w:divBdr>
          <w:divsChild>
            <w:div w:id="319702406">
              <w:marLeft w:val="0"/>
              <w:marRight w:val="0"/>
              <w:marTop w:val="0"/>
              <w:marBottom w:val="0"/>
              <w:divBdr>
                <w:top w:val="none" w:sz="0" w:space="0" w:color="auto"/>
                <w:left w:val="none" w:sz="0" w:space="0" w:color="auto"/>
                <w:bottom w:val="none" w:sz="0" w:space="0" w:color="auto"/>
                <w:right w:val="none" w:sz="0" w:space="0" w:color="auto"/>
              </w:divBdr>
            </w:div>
          </w:divsChild>
        </w:div>
        <w:div w:id="900092988">
          <w:marLeft w:val="0"/>
          <w:marRight w:val="0"/>
          <w:marTop w:val="0"/>
          <w:marBottom w:val="0"/>
          <w:divBdr>
            <w:top w:val="none" w:sz="0" w:space="0" w:color="auto"/>
            <w:left w:val="none" w:sz="0" w:space="0" w:color="auto"/>
            <w:bottom w:val="none" w:sz="0" w:space="0" w:color="auto"/>
            <w:right w:val="none" w:sz="0" w:space="0" w:color="auto"/>
          </w:divBdr>
          <w:divsChild>
            <w:div w:id="1282569542">
              <w:marLeft w:val="0"/>
              <w:marRight w:val="0"/>
              <w:marTop w:val="0"/>
              <w:marBottom w:val="0"/>
              <w:divBdr>
                <w:top w:val="none" w:sz="0" w:space="0" w:color="auto"/>
                <w:left w:val="none" w:sz="0" w:space="0" w:color="auto"/>
                <w:bottom w:val="none" w:sz="0" w:space="0" w:color="auto"/>
                <w:right w:val="none" w:sz="0" w:space="0" w:color="auto"/>
              </w:divBdr>
            </w:div>
          </w:divsChild>
        </w:div>
        <w:div w:id="906956692">
          <w:marLeft w:val="0"/>
          <w:marRight w:val="0"/>
          <w:marTop w:val="0"/>
          <w:marBottom w:val="0"/>
          <w:divBdr>
            <w:top w:val="none" w:sz="0" w:space="0" w:color="auto"/>
            <w:left w:val="none" w:sz="0" w:space="0" w:color="auto"/>
            <w:bottom w:val="none" w:sz="0" w:space="0" w:color="auto"/>
            <w:right w:val="none" w:sz="0" w:space="0" w:color="auto"/>
          </w:divBdr>
          <w:divsChild>
            <w:div w:id="2109887011">
              <w:marLeft w:val="0"/>
              <w:marRight w:val="0"/>
              <w:marTop w:val="0"/>
              <w:marBottom w:val="0"/>
              <w:divBdr>
                <w:top w:val="none" w:sz="0" w:space="0" w:color="auto"/>
                <w:left w:val="none" w:sz="0" w:space="0" w:color="auto"/>
                <w:bottom w:val="none" w:sz="0" w:space="0" w:color="auto"/>
                <w:right w:val="none" w:sz="0" w:space="0" w:color="auto"/>
              </w:divBdr>
            </w:div>
          </w:divsChild>
        </w:div>
        <w:div w:id="908685846">
          <w:marLeft w:val="0"/>
          <w:marRight w:val="0"/>
          <w:marTop w:val="0"/>
          <w:marBottom w:val="0"/>
          <w:divBdr>
            <w:top w:val="none" w:sz="0" w:space="0" w:color="auto"/>
            <w:left w:val="none" w:sz="0" w:space="0" w:color="auto"/>
            <w:bottom w:val="none" w:sz="0" w:space="0" w:color="auto"/>
            <w:right w:val="none" w:sz="0" w:space="0" w:color="auto"/>
          </w:divBdr>
          <w:divsChild>
            <w:div w:id="1494645216">
              <w:marLeft w:val="0"/>
              <w:marRight w:val="0"/>
              <w:marTop w:val="0"/>
              <w:marBottom w:val="0"/>
              <w:divBdr>
                <w:top w:val="none" w:sz="0" w:space="0" w:color="auto"/>
                <w:left w:val="none" w:sz="0" w:space="0" w:color="auto"/>
                <w:bottom w:val="none" w:sz="0" w:space="0" w:color="auto"/>
                <w:right w:val="none" w:sz="0" w:space="0" w:color="auto"/>
              </w:divBdr>
            </w:div>
          </w:divsChild>
        </w:div>
        <w:div w:id="924342889">
          <w:marLeft w:val="0"/>
          <w:marRight w:val="0"/>
          <w:marTop w:val="0"/>
          <w:marBottom w:val="0"/>
          <w:divBdr>
            <w:top w:val="none" w:sz="0" w:space="0" w:color="auto"/>
            <w:left w:val="none" w:sz="0" w:space="0" w:color="auto"/>
            <w:bottom w:val="none" w:sz="0" w:space="0" w:color="auto"/>
            <w:right w:val="none" w:sz="0" w:space="0" w:color="auto"/>
          </w:divBdr>
          <w:divsChild>
            <w:div w:id="382294704">
              <w:marLeft w:val="0"/>
              <w:marRight w:val="0"/>
              <w:marTop w:val="0"/>
              <w:marBottom w:val="0"/>
              <w:divBdr>
                <w:top w:val="none" w:sz="0" w:space="0" w:color="auto"/>
                <w:left w:val="none" w:sz="0" w:space="0" w:color="auto"/>
                <w:bottom w:val="none" w:sz="0" w:space="0" w:color="auto"/>
                <w:right w:val="none" w:sz="0" w:space="0" w:color="auto"/>
              </w:divBdr>
            </w:div>
          </w:divsChild>
        </w:div>
        <w:div w:id="928587486">
          <w:marLeft w:val="0"/>
          <w:marRight w:val="0"/>
          <w:marTop w:val="0"/>
          <w:marBottom w:val="0"/>
          <w:divBdr>
            <w:top w:val="none" w:sz="0" w:space="0" w:color="auto"/>
            <w:left w:val="none" w:sz="0" w:space="0" w:color="auto"/>
            <w:bottom w:val="none" w:sz="0" w:space="0" w:color="auto"/>
            <w:right w:val="none" w:sz="0" w:space="0" w:color="auto"/>
          </w:divBdr>
          <w:divsChild>
            <w:div w:id="1078864900">
              <w:marLeft w:val="0"/>
              <w:marRight w:val="0"/>
              <w:marTop w:val="0"/>
              <w:marBottom w:val="0"/>
              <w:divBdr>
                <w:top w:val="none" w:sz="0" w:space="0" w:color="auto"/>
                <w:left w:val="none" w:sz="0" w:space="0" w:color="auto"/>
                <w:bottom w:val="none" w:sz="0" w:space="0" w:color="auto"/>
                <w:right w:val="none" w:sz="0" w:space="0" w:color="auto"/>
              </w:divBdr>
            </w:div>
          </w:divsChild>
        </w:div>
        <w:div w:id="944996251">
          <w:marLeft w:val="0"/>
          <w:marRight w:val="0"/>
          <w:marTop w:val="0"/>
          <w:marBottom w:val="0"/>
          <w:divBdr>
            <w:top w:val="none" w:sz="0" w:space="0" w:color="auto"/>
            <w:left w:val="none" w:sz="0" w:space="0" w:color="auto"/>
            <w:bottom w:val="none" w:sz="0" w:space="0" w:color="auto"/>
            <w:right w:val="none" w:sz="0" w:space="0" w:color="auto"/>
          </w:divBdr>
          <w:divsChild>
            <w:div w:id="202597951">
              <w:marLeft w:val="0"/>
              <w:marRight w:val="0"/>
              <w:marTop w:val="0"/>
              <w:marBottom w:val="0"/>
              <w:divBdr>
                <w:top w:val="none" w:sz="0" w:space="0" w:color="auto"/>
                <w:left w:val="none" w:sz="0" w:space="0" w:color="auto"/>
                <w:bottom w:val="none" w:sz="0" w:space="0" w:color="auto"/>
                <w:right w:val="none" w:sz="0" w:space="0" w:color="auto"/>
              </w:divBdr>
            </w:div>
            <w:div w:id="677004506">
              <w:marLeft w:val="0"/>
              <w:marRight w:val="0"/>
              <w:marTop w:val="0"/>
              <w:marBottom w:val="0"/>
              <w:divBdr>
                <w:top w:val="none" w:sz="0" w:space="0" w:color="auto"/>
                <w:left w:val="none" w:sz="0" w:space="0" w:color="auto"/>
                <w:bottom w:val="none" w:sz="0" w:space="0" w:color="auto"/>
                <w:right w:val="none" w:sz="0" w:space="0" w:color="auto"/>
              </w:divBdr>
            </w:div>
          </w:divsChild>
        </w:div>
        <w:div w:id="948048265">
          <w:marLeft w:val="0"/>
          <w:marRight w:val="0"/>
          <w:marTop w:val="0"/>
          <w:marBottom w:val="0"/>
          <w:divBdr>
            <w:top w:val="none" w:sz="0" w:space="0" w:color="auto"/>
            <w:left w:val="none" w:sz="0" w:space="0" w:color="auto"/>
            <w:bottom w:val="none" w:sz="0" w:space="0" w:color="auto"/>
            <w:right w:val="none" w:sz="0" w:space="0" w:color="auto"/>
          </w:divBdr>
          <w:divsChild>
            <w:div w:id="1223366382">
              <w:marLeft w:val="0"/>
              <w:marRight w:val="0"/>
              <w:marTop w:val="0"/>
              <w:marBottom w:val="0"/>
              <w:divBdr>
                <w:top w:val="none" w:sz="0" w:space="0" w:color="auto"/>
                <w:left w:val="none" w:sz="0" w:space="0" w:color="auto"/>
                <w:bottom w:val="none" w:sz="0" w:space="0" w:color="auto"/>
                <w:right w:val="none" w:sz="0" w:space="0" w:color="auto"/>
              </w:divBdr>
            </w:div>
          </w:divsChild>
        </w:div>
        <w:div w:id="951521159">
          <w:marLeft w:val="0"/>
          <w:marRight w:val="0"/>
          <w:marTop w:val="0"/>
          <w:marBottom w:val="0"/>
          <w:divBdr>
            <w:top w:val="none" w:sz="0" w:space="0" w:color="auto"/>
            <w:left w:val="none" w:sz="0" w:space="0" w:color="auto"/>
            <w:bottom w:val="none" w:sz="0" w:space="0" w:color="auto"/>
            <w:right w:val="none" w:sz="0" w:space="0" w:color="auto"/>
          </w:divBdr>
          <w:divsChild>
            <w:div w:id="1343703824">
              <w:marLeft w:val="0"/>
              <w:marRight w:val="0"/>
              <w:marTop w:val="0"/>
              <w:marBottom w:val="0"/>
              <w:divBdr>
                <w:top w:val="none" w:sz="0" w:space="0" w:color="auto"/>
                <w:left w:val="none" w:sz="0" w:space="0" w:color="auto"/>
                <w:bottom w:val="none" w:sz="0" w:space="0" w:color="auto"/>
                <w:right w:val="none" w:sz="0" w:space="0" w:color="auto"/>
              </w:divBdr>
            </w:div>
          </w:divsChild>
        </w:div>
        <w:div w:id="977105649">
          <w:marLeft w:val="0"/>
          <w:marRight w:val="0"/>
          <w:marTop w:val="0"/>
          <w:marBottom w:val="0"/>
          <w:divBdr>
            <w:top w:val="none" w:sz="0" w:space="0" w:color="auto"/>
            <w:left w:val="none" w:sz="0" w:space="0" w:color="auto"/>
            <w:bottom w:val="none" w:sz="0" w:space="0" w:color="auto"/>
            <w:right w:val="none" w:sz="0" w:space="0" w:color="auto"/>
          </w:divBdr>
          <w:divsChild>
            <w:div w:id="679047521">
              <w:marLeft w:val="0"/>
              <w:marRight w:val="0"/>
              <w:marTop w:val="0"/>
              <w:marBottom w:val="0"/>
              <w:divBdr>
                <w:top w:val="none" w:sz="0" w:space="0" w:color="auto"/>
                <w:left w:val="none" w:sz="0" w:space="0" w:color="auto"/>
                <w:bottom w:val="none" w:sz="0" w:space="0" w:color="auto"/>
                <w:right w:val="none" w:sz="0" w:space="0" w:color="auto"/>
              </w:divBdr>
            </w:div>
          </w:divsChild>
        </w:div>
        <w:div w:id="987395483">
          <w:marLeft w:val="0"/>
          <w:marRight w:val="0"/>
          <w:marTop w:val="0"/>
          <w:marBottom w:val="0"/>
          <w:divBdr>
            <w:top w:val="none" w:sz="0" w:space="0" w:color="auto"/>
            <w:left w:val="none" w:sz="0" w:space="0" w:color="auto"/>
            <w:bottom w:val="none" w:sz="0" w:space="0" w:color="auto"/>
            <w:right w:val="none" w:sz="0" w:space="0" w:color="auto"/>
          </w:divBdr>
          <w:divsChild>
            <w:div w:id="73552436">
              <w:marLeft w:val="0"/>
              <w:marRight w:val="0"/>
              <w:marTop w:val="0"/>
              <w:marBottom w:val="0"/>
              <w:divBdr>
                <w:top w:val="none" w:sz="0" w:space="0" w:color="auto"/>
                <w:left w:val="none" w:sz="0" w:space="0" w:color="auto"/>
                <w:bottom w:val="none" w:sz="0" w:space="0" w:color="auto"/>
                <w:right w:val="none" w:sz="0" w:space="0" w:color="auto"/>
              </w:divBdr>
            </w:div>
          </w:divsChild>
        </w:div>
        <w:div w:id="997343976">
          <w:marLeft w:val="0"/>
          <w:marRight w:val="0"/>
          <w:marTop w:val="0"/>
          <w:marBottom w:val="0"/>
          <w:divBdr>
            <w:top w:val="none" w:sz="0" w:space="0" w:color="auto"/>
            <w:left w:val="none" w:sz="0" w:space="0" w:color="auto"/>
            <w:bottom w:val="none" w:sz="0" w:space="0" w:color="auto"/>
            <w:right w:val="none" w:sz="0" w:space="0" w:color="auto"/>
          </w:divBdr>
          <w:divsChild>
            <w:div w:id="848561627">
              <w:marLeft w:val="0"/>
              <w:marRight w:val="0"/>
              <w:marTop w:val="0"/>
              <w:marBottom w:val="0"/>
              <w:divBdr>
                <w:top w:val="none" w:sz="0" w:space="0" w:color="auto"/>
                <w:left w:val="none" w:sz="0" w:space="0" w:color="auto"/>
                <w:bottom w:val="none" w:sz="0" w:space="0" w:color="auto"/>
                <w:right w:val="none" w:sz="0" w:space="0" w:color="auto"/>
              </w:divBdr>
            </w:div>
          </w:divsChild>
        </w:div>
        <w:div w:id="999307760">
          <w:marLeft w:val="0"/>
          <w:marRight w:val="0"/>
          <w:marTop w:val="0"/>
          <w:marBottom w:val="0"/>
          <w:divBdr>
            <w:top w:val="none" w:sz="0" w:space="0" w:color="auto"/>
            <w:left w:val="none" w:sz="0" w:space="0" w:color="auto"/>
            <w:bottom w:val="none" w:sz="0" w:space="0" w:color="auto"/>
            <w:right w:val="none" w:sz="0" w:space="0" w:color="auto"/>
          </w:divBdr>
          <w:divsChild>
            <w:div w:id="2121803490">
              <w:marLeft w:val="0"/>
              <w:marRight w:val="0"/>
              <w:marTop w:val="0"/>
              <w:marBottom w:val="0"/>
              <w:divBdr>
                <w:top w:val="none" w:sz="0" w:space="0" w:color="auto"/>
                <w:left w:val="none" w:sz="0" w:space="0" w:color="auto"/>
                <w:bottom w:val="none" w:sz="0" w:space="0" w:color="auto"/>
                <w:right w:val="none" w:sz="0" w:space="0" w:color="auto"/>
              </w:divBdr>
            </w:div>
          </w:divsChild>
        </w:div>
        <w:div w:id="1013414012">
          <w:marLeft w:val="0"/>
          <w:marRight w:val="0"/>
          <w:marTop w:val="0"/>
          <w:marBottom w:val="0"/>
          <w:divBdr>
            <w:top w:val="none" w:sz="0" w:space="0" w:color="auto"/>
            <w:left w:val="none" w:sz="0" w:space="0" w:color="auto"/>
            <w:bottom w:val="none" w:sz="0" w:space="0" w:color="auto"/>
            <w:right w:val="none" w:sz="0" w:space="0" w:color="auto"/>
          </w:divBdr>
          <w:divsChild>
            <w:div w:id="984431031">
              <w:marLeft w:val="0"/>
              <w:marRight w:val="0"/>
              <w:marTop w:val="0"/>
              <w:marBottom w:val="0"/>
              <w:divBdr>
                <w:top w:val="none" w:sz="0" w:space="0" w:color="auto"/>
                <w:left w:val="none" w:sz="0" w:space="0" w:color="auto"/>
                <w:bottom w:val="none" w:sz="0" w:space="0" w:color="auto"/>
                <w:right w:val="none" w:sz="0" w:space="0" w:color="auto"/>
              </w:divBdr>
            </w:div>
          </w:divsChild>
        </w:div>
        <w:div w:id="1041977768">
          <w:marLeft w:val="0"/>
          <w:marRight w:val="0"/>
          <w:marTop w:val="0"/>
          <w:marBottom w:val="0"/>
          <w:divBdr>
            <w:top w:val="none" w:sz="0" w:space="0" w:color="auto"/>
            <w:left w:val="none" w:sz="0" w:space="0" w:color="auto"/>
            <w:bottom w:val="none" w:sz="0" w:space="0" w:color="auto"/>
            <w:right w:val="none" w:sz="0" w:space="0" w:color="auto"/>
          </w:divBdr>
          <w:divsChild>
            <w:div w:id="1604265391">
              <w:marLeft w:val="0"/>
              <w:marRight w:val="0"/>
              <w:marTop w:val="0"/>
              <w:marBottom w:val="0"/>
              <w:divBdr>
                <w:top w:val="none" w:sz="0" w:space="0" w:color="auto"/>
                <w:left w:val="none" w:sz="0" w:space="0" w:color="auto"/>
                <w:bottom w:val="none" w:sz="0" w:space="0" w:color="auto"/>
                <w:right w:val="none" w:sz="0" w:space="0" w:color="auto"/>
              </w:divBdr>
            </w:div>
          </w:divsChild>
        </w:div>
        <w:div w:id="1046838229">
          <w:marLeft w:val="0"/>
          <w:marRight w:val="0"/>
          <w:marTop w:val="0"/>
          <w:marBottom w:val="0"/>
          <w:divBdr>
            <w:top w:val="none" w:sz="0" w:space="0" w:color="auto"/>
            <w:left w:val="none" w:sz="0" w:space="0" w:color="auto"/>
            <w:bottom w:val="none" w:sz="0" w:space="0" w:color="auto"/>
            <w:right w:val="none" w:sz="0" w:space="0" w:color="auto"/>
          </w:divBdr>
          <w:divsChild>
            <w:div w:id="137919431">
              <w:marLeft w:val="0"/>
              <w:marRight w:val="0"/>
              <w:marTop w:val="0"/>
              <w:marBottom w:val="0"/>
              <w:divBdr>
                <w:top w:val="none" w:sz="0" w:space="0" w:color="auto"/>
                <w:left w:val="none" w:sz="0" w:space="0" w:color="auto"/>
                <w:bottom w:val="none" w:sz="0" w:space="0" w:color="auto"/>
                <w:right w:val="none" w:sz="0" w:space="0" w:color="auto"/>
              </w:divBdr>
            </w:div>
          </w:divsChild>
        </w:div>
        <w:div w:id="1050421372">
          <w:marLeft w:val="0"/>
          <w:marRight w:val="0"/>
          <w:marTop w:val="0"/>
          <w:marBottom w:val="0"/>
          <w:divBdr>
            <w:top w:val="none" w:sz="0" w:space="0" w:color="auto"/>
            <w:left w:val="none" w:sz="0" w:space="0" w:color="auto"/>
            <w:bottom w:val="none" w:sz="0" w:space="0" w:color="auto"/>
            <w:right w:val="none" w:sz="0" w:space="0" w:color="auto"/>
          </w:divBdr>
          <w:divsChild>
            <w:div w:id="596057829">
              <w:marLeft w:val="0"/>
              <w:marRight w:val="0"/>
              <w:marTop w:val="0"/>
              <w:marBottom w:val="0"/>
              <w:divBdr>
                <w:top w:val="none" w:sz="0" w:space="0" w:color="auto"/>
                <w:left w:val="none" w:sz="0" w:space="0" w:color="auto"/>
                <w:bottom w:val="none" w:sz="0" w:space="0" w:color="auto"/>
                <w:right w:val="none" w:sz="0" w:space="0" w:color="auto"/>
              </w:divBdr>
            </w:div>
          </w:divsChild>
        </w:div>
        <w:div w:id="1063722580">
          <w:marLeft w:val="0"/>
          <w:marRight w:val="0"/>
          <w:marTop w:val="0"/>
          <w:marBottom w:val="0"/>
          <w:divBdr>
            <w:top w:val="none" w:sz="0" w:space="0" w:color="auto"/>
            <w:left w:val="none" w:sz="0" w:space="0" w:color="auto"/>
            <w:bottom w:val="none" w:sz="0" w:space="0" w:color="auto"/>
            <w:right w:val="none" w:sz="0" w:space="0" w:color="auto"/>
          </w:divBdr>
          <w:divsChild>
            <w:div w:id="1579822468">
              <w:marLeft w:val="0"/>
              <w:marRight w:val="0"/>
              <w:marTop w:val="0"/>
              <w:marBottom w:val="0"/>
              <w:divBdr>
                <w:top w:val="none" w:sz="0" w:space="0" w:color="auto"/>
                <w:left w:val="none" w:sz="0" w:space="0" w:color="auto"/>
                <w:bottom w:val="none" w:sz="0" w:space="0" w:color="auto"/>
                <w:right w:val="none" w:sz="0" w:space="0" w:color="auto"/>
              </w:divBdr>
            </w:div>
          </w:divsChild>
        </w:div>
        <w:div w:id="1123382394">
          <w:marLeft w:val="0"/>
          <w:marRight w:val="0"/>
          <w:marTop w:val="0"/>
          <w:marBottom w:val="0"/>
          <w:divBdr>
            <w:top w:val="none" w:sz="0" w:space="0" w:color="auto"/>
            <w:left w:val="none" w:sz="0" w:space="0" w:color="auto"/>
            <w:bottom w:val="none" w:sz="0" w:space="0" w:color="auto"/>
            <w:right w:val="none" w:sz="0" w:space="0" w:color="auto"/>
          </w:divBdr>
          <w:divsChild>
            <w:div w:id="1183589797">
              <w:marLeft w:val="0"/>
              <w:marRight w:val="0"/>
              <w:marTop w:val="0"/>
              <w:marBottom w:val="0"/>
              <w:divBdr>
                <w:top w:val="none" w:sz="0" w:space="0" w:color="auto"/>
                <w:left w:val="none" w:sz="0" w:space="0" w:color="auto"/>
                <w:bottom w:val="none" w:sz="0" w:space="0" w:color="auto"/>
                <w:right w:val="none" w:sz="0" w:space="0" w:color="auto"/>
              </w:divBdr>
            </w:div>
          </w:divsChild>
        </w:div>
        <w:div w:id="1125122392">
          <w:marLeft w:val="0"/>
          <w:marRight w:val="0"/>
          <w:marTop w:val="0"/>
          <w:marBottom w:val="0"/>
          <w:divBdr>
            <w:top w:val="none" w:sz="0" w:space="0" w:color="auto"/>
            <w:left w:val="none" w:sz="0" w:space="0" w:color="auto"/>
            <w:bottom w:val="none" w:sz="0" w:space="0" w:color="auto"/>
            <w:right w:val="none" w:sz="0" w:space="0" w:color="auto"/>
          </w:divBdr>
          <w:divsChild>
            <w:div w:id="635764908">
              <w:marLeft w:val="0"/>
              <w:marRight w:val="0"/>
              <w:marTop w:val="0"/>
              <w:marBottom w:val="0"/>
              <w:divBdr>
                <w:top w:val="none" w:sz="0" w:space="0" w:color="auto"/>
                <w:left w:val="none" w:sz="0" w:space="0" w:color="auto"/>
                <w:bottom w:val="none" w:sz="0" w:space="0" w:color="auto"/>
                <w:right w:val="none" w:sz="0" w:space="0" w:color="auto"/>
              </w:divBdr>
            </w:div>
          </w:divsChild>
        </w:div>
        <w:div w:id="1125924540">
          <w:marLeft w:val="0"/>
          <w:marRight w:val="0"/>
          <w:marTop w:val="0"/>
          <w:marBottom w:val="0"/>
          <w:divBdr>
            <w:top w:val="none" w:sz="0" w:space="0" w:color="auto"/>
            <w:left w:val="none" w:sz="0" w:space="0" w:color="auto"/>
            <w:bottom w:val="none" w:sz="0" w:space="0" w:color="auto"/>
            <w:right w:val="none" w:sz="0" w:space="0" w:color="auto"/>
          </w:divBdr>
          <w:divsChild>
            <w:div w:id="1299802421">
              <w:marLeft w:val="0"/>
              <w:marRight w:val="0"/>
              <w:marTop w:val="0"/>
              <w:marBottom w:val="0"/>
              <w:divBdr>
                <w:top w:val="none" w:sz="0" w:space="0" w:color="auto"/>
                <w:left w:val="none" w:sz="0" w:space="0" w:color="auto"/>
                <w:bottom w:val="none" w:sz="0" w:space="0" w:color="auto"/>
                <w:right w:val="none" w:sz="0" w:space="0" w:color="auto"/>
              </w:divBdr>
            </w:div>
          </w:divsChild>
        </w:div>
        <w:div w:id="1138382015">
          <w:marLeft w:val="0"/>
          <w:marRight w:val="0"/>
          <w:marTop w:val="0"/>
          <w:marBottom w:val="0"/>
          <w:divBdr>
            <w:top w:val="none" w:sz="0" w:space="0" w:color="auto"/>
            <w:left w:val="none" w:sz="0" w:space="0" w:color="auto"/>
            <w:bottom w:val="none" w:sz="0" w:space="0" w:color="auto"/>
            <w:right w:val="none" w:sz="0" w:space="0" w:color="auto"/>
          </w:divBdr>
          <w:divsChild>
            <w:div w:id="687802313">
              <w:marLeft w:val="0"/>
              <w:marRight w:val="0"/>
              <w:marTop w:val="0"/>
              <w:marBottom w:val="0"/>
              <w:divBdr>
                <w:top w:val="none" w:sz="0" w:space="0" w:color="auto"/>
                <w:left w:val="none" w:sz="0" w:space="0" w:color="auto"/>
                <w:bottom w:val="none" w:sz="0" w:space="0" w:color="auto"/>
                <w:right w:val="none" w:sz="0" w:space="0" w:color="auto"/>
              </w:divBdr>
            </w:div>
          </w:divsChild>
        </w:div>
        <w:div w:id="1138497783">
          <w:marLeft w:val="0"/>
          <w:marRight w:val="0"/>
          <w:marTop w:val="0"/>
          <w:marBottom w:val="0"/>
          <w:divBdr>
            <w:top w:val="none" w:sz="0" w:space="0" w:color="auto"/>
            <w:left w:val="none" w:sz="0" w:space="0" w:color="auto"/>
            <w:bottom w:val="none" w:sz="0" w:space="0" w:color="auto"/>
            <w:right w:val="none" w:sz="0" w:space="0" w:color="auto"/>
          </w:divBdr>
          <w:divsChild>
            <w:div w:id="1988588974">
              <w:marLeft w:val="0"/>
              <w:marRight w:val="0"/>
              <w:marTop w:val="0"/>
              <w:marBottom w:val="0"/>
              <w:divBdr>
                <w:top w:val="none" w:sz="0" w:space="0" w:color="auto"/>
                <w:left w:val="none" w:sz="0" w:space="0" w:color="auto"/>
                <w:bottom w:val="none" w:sz="0" w:space="0" w:color="auto"/>
                <w:right w:val="none" w:sz="0" w:space="0" w:color="auto"/>
              </w:divBdr>
            </w:div>
          </w:divsChild>
        </w:div>
        <w:div w:id="1148135956">
          <w:marLeft w:val="0"/>
          <w:marRight w:val="0"/>
          <w:marTop w:val="0"/>
          <w:marBottom w:val="0"/>
          <w:divBdr>
            <w:top w:val="none" w:sz="0" w:space="0" w:color="auto"/>
            <w:left w:val="none" w:sz="0" w:space="0" w:color="auto"/>
            <w:bottom w:val="none" w:sz="0" w:space="0" w:color="auto"/>
            <w:right w:val="none" w:sz="0" w:space="0" w:color="auto"/>
          </w:divBdr>
          <w:divsChild>
            <w:div w:id="378094468">
              <w:marLeft w:val="0"/>
              <w:marRight w:val="0"/>
              <w:marTop w:val="0"/>
              <w:marBottom w:val="0"/>
              <w:divBdr>
                <w:top w:val="none" w:sz="0" w:space="0" w:color="auto"/>
                <w:left w:val="none" w:sz="0" w:space="0" w:color="auto"/>
                <w:bottom w:val="none" w:sz="0" w:space="0" w:color="auto"/>
                <w:right w:val="none" w:sz="0" w:space="0" w:color="auto"/>
              </w:divBdr>
            </w:div>
          </w:divsChild>
        </w:div>
        <w:div w:id="1168446981">
          <w:marLeft w:val="0"/>
          <w:marRight w:val="0"/>
          <w:marTop w:val="0"/>
          <w:marBottom w:val="0"/>
          <w:divBdr>
            <w:top w:val="none" w:sz="0" w:space="0" w:color="auto"/>
            <w:left w:val="none" w:sz="0" w:space="0" w:color="auto"/>
            <w:bottom w:val="none" w:sz="0" w:space="0" w:color="auto"/>
            <w:right w:val="none" w:sz="0" w:space="0" w:color="auto"/>
          </w:divBdr>
          <w:divsChild>
            <w:div w:id="1234513858">
              <w:marLeft w:val="0"/>
              <w:marRight w:val="0"/>
              <w:marTop w:val="0"/>
              <w:marBottom w:val="0"/>
              <w:divBdr>
                <w:top w:val="none" w:sz="0" w:space="0" w:color="auto"/>
                <w:left w:val="none" w:sz="0" w:space="0" w:color="auto"/>
                <w:bottom w:val="none" w:sz="0" w:space="0" w:color="auto"/>
                <w:right w:val="none" w:sz="0" w:space="0" w:color="auto"/>
              </w:divBdr>
            </w:div>
          </w:divsChild>
        </w:div>
        <w:div w:id="1170297174">
          <w:marLeft w:val="0"/>
          <w:marRight w:val="0"/>
          <w:marTop w:val="0"/>
          <w:marBottom w:val="0"/>
          <w:divBdr>
            <w:top w:val="none" w:sz="0" w:space="0" w:color="auto"/>
            <w:left w:val="none" w:sz="0" w:space="0" w:color="auto"/>
            <w:bottom w:val="none" w:sz="0" w:space="0" w:color="auto"/>
            <w:right w:val="none" w:sz="0" w:space="0" w:color="auto"/>
          </w:divBdr>
          <w:divsChild>
            <w:div w:id="238565779">
              <w:marLeft w:val="0"/>
              <w:marRight w:val="0"/>
              <w:marTop w:val="0"/>
              <w:marBottom w:val="0"/>
              <w:divBdr>
                <w:top w:val="none" w:sz="0" w:space="0" w:color="auto"/>
                <w:left w:val="none" w:sz="0" w:space="0" w:color="auto"/>
                <w:bottom w:val="none" w:sz="0" w:space="0" w:color="auto"/>
                <w:right w:val="none" w:sz="0" w:space="0" w:color="auto"/>
              </w:divBdr>
            </w:div>
          </w:divsChild>
        </w:div>
        <w:div w:id="1182209139">
          <w:marLeft w:val="0"/>
          <w:marRight w:val="0"/>
          <w:marTop w:val="0"/>
          <w:marBottom w:val="0"/>
          <w:divBdr>
            <w:top w:val="none" w:sz="0" w:space="0" w:color="auto"/>
            <w:left w:val="none" w:sz="0" w:space="0" w:color="auto"/>
            <w:bottom w:val="none" w:sz="0" w:space="0" w:color="auto"/>
            <w:right w:val="none" w:sz="0" w:space="0" w:color="auto"/>
          </w:divBdr>
          <w:divsChild>
            <w:div w:id="1490705860">
              <w:marLeft w:val="0"/>
              <w:marRight w:val="0"/>
              <w:marTop w:val="0"/>
              <w:marBottom w:val="0"/>
              <w:divBdr>
                <w:top w:val="none" w:sz="0" w:space="0" w:color="auto"/>
                <w:left w:val="none" w:sz="0" w:space="0" w:color="auto"/>
                <w:bottom w:val="none" w:sz="0" w:space="0" w:color="auto"/>
                <w:right w:val="none" w:sz="0" w:space="0" w:color="auto"/>
              </w:divBdr>
            </w:div>
          </w:divsChild>
        </w:div>
        <w:div w:id="1207991434">
          <w:marLeft w:val="0"/>
          <w:marRight w:val="0"/>
          <w:marTop w:val="0"/>
          <w:marBottom w:val="0"/>
          <w:divBdr>
            <w:top w:val="none" w:sz="0" w:space="0" w:color="auto"/>
            <w:left w:val="none" w:sz="0" w:space="0" w:color="auto"/>
            <w:bottom w:val="none" w:sz="0" w:space="0" w:color="auto"/>
            <w:right w:val="none" w:sz="0" w:space="0" w:color="auto"/>
          </w:divBdr>
          <w:divsChild>
            <w:div w:id="418794770">
              <w:marLeft w:val="0"/>
              <w:marRight w:val="0"/>
              <w:marTop w:val="0"/>
              <w:marBottom w:val="0"/>
              <w:divBdr>
                <w:top w:val="none" w:sz="0" w:space="0" w:color="auto"/>
                <w:left w:val="none" w:sz="0" w:space="0" w:color="auto"/>
                <w:bottom w:val="none" w:sz="0" w:space="0" w:color="auto"/>
                <w:right w:val="none" w:sz="0" w:space="0" w:color="auto"/>
              </w:divBdr>
            </w:div>
          </w:divsChild>
        </w:div>
        <w:div w:id="1213269101">
          <w:marLeft w:val="0"/>
          <w:marRight w:val="0"/>
          <w:marTop w:val="0"/>
          <w:marBottom w:val="0"/>
          <w:divBdr>
            <w:top w:val="none" w:sz="0" w:space="0" w:color="auto"/>
            <w:left w:val="none" w:sz="0" w:space="0" w:color="auto"/>
            <w:bottom w:val="none" w:sz="0" w:space="0" w:color="auto"/>
            <w:right w:val="none" w:sz="0" w:space="0" w:color="auto"/>
          </w:divBdr>
          <w:divsChild>
            <w:div w:id="1354648116">
              <w:marLeft w:val="0"/>
              <w:marRight w:val="0"/>
              <w:marTop w:val="0"/>
              <w:marBottom w:val="0"/>
              <w:divBdr>
                <w:top w:val="none" w:sz="0" w:space="0" w:color="auto"/>
                <w:left w:val="none" w:sz="0" w:space="0" w:color="auto"/>
                <w:bottom w:val="none" w:sz="0" w:space="0" w:color="auto"/>
                <w:right w:val="none" w:sz="0" w:space="0" w:color="auto"/>
              </w:divBdr>
            </w:div>
          </w:divsChild>
        </w:div>
        <w:div w:id="1216431463">
          <w:marLeft w:val="0"/>
          <w:marRight w:val="0"/>
          <w:marTop w:val="0"/>
          <w:marBottom w:val="0"/>
          <w:divBdr>
            <w:top w:val="none" w:sz="0" w:space="0" w:color="auto"/>
            <w:left w:val="none" w:sz="0" w:space="0" w:color="auto"/>
            <w:bottom w:val="none" w:sz="0" w:space="0" w:color="auto"/>
            <w:right w:val="none" w:sz="0" w:space="0" w:color="auto"/>
          </w:divBdr>
          <w:divsChild>
            <w:div w:id="364059325">
              <w:marLeft w:val="0"/>
              <w:marRight w:val="0"/>
              <w:marTop w:val="0"/>
              <w:marBottom w:val="0"/>
              <w:divBdr>
                <w:top w:val="none" w:sz="0" w:space="0" w:color="auto"/>
                <w:left w:val="none" w:sz="0" w:space="0" w:color="auto"/>
                <w:bottom w:val="none" w:sz="0" w:space="0" w:color="auto"/>
                <w:right w:val="none" w:sz="0" w:space="0" w:color="auto"/>
              </w:divBdr>
            </w:div>
          </w:divsChild>
        </w:div>
        <w:div w:id="1225025999">
          <w:marLeft w:val="0"/>
          <w:marRight w:val="0"/>
          <w:marTop w:val="0"/>
          <w:marBottom w:val="0"/>
          <w:divBdr>
            <w:top w:val="none" w:sz="0" w:space="0" w:color="auto"/>
            <w:left w:val="none" w:sz="0" w:space="0" w:color="auto"/>
            <w:bottom w:val="none" w:sz="0" w:space="0" w:color="auto"/>
            <w:right w:val="none" w:sz="0" w:space="0" w:color="auto"/>
          </w:divBdr>
          <w:divsChild>
            <w:div w:id="1291666412">
              <w:marLeft w:val="0"/>
              <w:marRight w:val="0"/>
              <w:marTop w:val="0"/>
              <w:marBottom w:val="0"/>
              <w:divBdr>
                <w:top w:val="none" w:sz="0" w:space="0" w:color="auto"/>
                <w:left w:val="none" w:sz="0" w:space="0" w:color="auto"/>
                <w:bottom w:val="none" w:sz="0" w:space="0" w:color="auto"/>
                <w:right w:val="none" w:sz="0" w:space="0" w:color="auto"/>
              </w:divBdr>
            </w:div>
          </w:divsChild>
        </w:div>
        <w:div w:id="1240554265">
          <w:marLeft w:val="0"/>
          <w:marRight w:val="0"/>
          <w:marTop w:val="0"/>
          <w:marBottom w:val="0"/>
          <w:divBdr>
            <w:top w:val="none" w:sz="0" w:space="0" w:color="auto"/>
            <w:left w:val="none" w:sz="0" w:space="0" w:color="auto"/>
            <w:bottom w:val="none" w:sz="0" w:space="0" w:color="auto"/>
            <w:right w:val="none" w:sz="0" w:space="0" w:color="auto"/>
          </w:divBdr>
          <w:divsChild>
            <w:div w:id="1325476068">
              <w:marLeft w:val="0"/>
              <w:marRight w:val="0"/>
              <w:marTop w:val="0"/>
              <w:marBottom w:val="0"/>
              <w:divBdr>
                <w:top w:val="none" w:sz="0" w:space="0" w:color="auto"/>
                <w:left w:val="none" w:sz="0" w:space="0" w:color="auto"/>
                <w:bottom w:val="none" w:sz="0" w:space="0" w:color="auto"/>
                <w:right w:val="none" w:sz="0" w:space="0" w:color="auto"/>
              </w:divBdr>
            </w:div>
          </w:divsChild>
        </w:div>
        <w:div w:id="1252157321">
          <w:marLeft w:val="0"/>
          <w:marRight w:val="0"/>
          <w:marTop w:val="0"/>
          <w:marBottom w:val="0"/>
          <w:divBdr>
            <w:top w:val="none" w:sz="0" w:space="0" w:color="auto"/>
            <w:left w:val="none" w:sz="0" w:space="0" w:color="auto"/>
            <w:bottom w:val="none" w:sz="0" w:space="0" w:color="auto"/>
            <w:right w:val="none" w:sz="0" w:space="0" w:color="auto"/>
          </w:divBdr>
          <w:divsChild>
            <w:div w:id="1473399268">
              <w:marLeft w:val="0"/>
              <w:marRight w:val="0"/>
              <w:marTop w:val="0"/>
              <w:marBottom w:val="0"/>
              <w:divBdr>
                <w:top w:val="none" w:sz="0" w:space="0" w:color="auto"/>
                <w:left w:val="none" w:sz="0" w:space="0" w:color="auto"/>
                <w:bottom w:val="none" w:sz="0" w:space="0" w:color="auto"/>
                <w:right w:val="none" w:sz="0" w:space="0" w:color="auto"/>
              </w:divBdr>
            </w:div>
          </w:divsChild>
        </w:div>
        <w:div w:id="1262880913">
          <w:marLeft w:val="0"/>
          <w:marRight w:val="0"/>
          <w:marTop w:val="0"/>
          <w:marBottom w:val="0"/>
          <w:divBdr>
            <w:top w:val="none" w:sz="0" w:space="0" w:color="auto"/>
            <w:left w:val="none" w:sz="0" w:space="0" w:color="auto"/>
            <w:bottom w:val="none" w:sz="0" w:space="0" w:color="auto"/>
            <w:right w:val="none" w:sz="0" w:space="0" w:color="auto"/>
          </w:divBdr>
          <w:divsChild>
            <w:div w:id="1421560145">
              <w:marLeft w:val="0"/>
              <w:marRight w:val="0"/>
              <w:marTop w:val="0"/>
              <w:marBottom w:val="0"/>
              <w:divBdr>
                <w:top w:val="none" w:sz="0" w:space="0" w:color="auto"/>
                <w:left w:val="none" w:sz="0" w:space="0" w:color="auto"/>
                <w:bottom w:val="none" w:sz="0" w:space="0" w:color="auto"/>
                <w:right w:val="none" w:sz="0" w:space="0" w:color="auto"/>
              </w:divBdr>
            </w:div>
          </w:divsChild>
        </w:div>
        <w:div w:id="1271545859">
          <w:marLeft w:val="0"/>
          <w:marRight w:val="0"/>
          <w:marTop w:val="0"/>
          <w:marBottom w:val="0"/>
          <w:divBdr>
            <w:top w:val="none" w:sz="0" w:space="0" w:color="auto"/>
            <w:left w:val="none" w:sz="0" w:space="0" w:color="auto"/>
            <w:bottom w:val="none" w:sz="0" w:space="0" w:color="auto"/>
            <w:right w:val="none" w:sz="0" w:space="0" w:color="auto"/>
          </w:divBdr>
          <w:divsChild>
            <w:div w:id="310672201">
              <w:marLeft w:val="0"/>
              <w:marRight w:val="0"/>
              <w:marTop w:val="0"/>
              <w:marBottom w:val="0"/>
              <w:divBdr>
                <w:top w:val="none" w:sz="0" w:space="0" w:color="auto"/>
                <w:left w:val="none" w:sz="0" w:space="0" w:color="auto"/>
                <w:bottom w:val="none" w:sz="0" w:space="0" w:color="auto"/>
                <w:right w:val="none" w:sz="0" w:space="0" w:color="auto"/>
              </w:divBdr>
            </w:div>
          </w:divsChild>
        </w:div>
        <w:div w:id="1300108686">
          <w:marLeft w:val="0"/>
          <w:marRight w:val="0"/>
          <w:marTop w:val="0"/>
          <w:marBottom w:val="0"/>
          <w:divBdr>
            <w:top w:val="none" w:sz="0" w:space="0" w:color="auto"/>
            <w:left w:val="none" w:sz="0" w:space="0" w:color="auto"/>
            <w:bottom w:val="none" w:sz="0" w:space="0" w:color="auto"/>
            <w:right w:val="none" w:sz="0" w:space="0" w:color="auto"/>
          </w:divBdr>
          <w:divsChild>
            <w:div w:id="840121941">
              <w:marLeft w:val="0"/>
              <w:marRight w:val="0"/>
              <w:marTop w:val="0"/>
              <w:marBottom w:val="0"/>
              <w:divBdr>
                <w:top w:val="none" w:sz="0" w:space="0" w:color="auto"/>
                <w:left w:val="none" w:sz="0" w:space="0" w:color="auto"/>
                <w:bottom w:val="none" w:sz="0" w:space="0" w:color="auto"/>
                <w:right w:val="none" w:sz="0" w:space="0" w:color="auto"/>
              </w:divBdr>
            </w:div>
          </w:divsChild>
        </w:div>
        <w:div w:id="1347319645">
          <w:marLeft w:val="0"/>
          <w:marRight w:val="0"/>
          <w:marTop w:val="0"/>
          <w:marBottom w:val="0"/>
          <w:divBdr>
            <w:top w:val="none" w:sz="0" w:space="0" w:color="auto"/>
            <w:left w:val="none" w:sz="0" w:space="0" w:color="auto"/>
            <w:bottom w:val="none" w:sz="0" w:space="0" w:color="auto"/>
            <w:right w:val="none" w:sz="0" w:space="0" w:color="auto"/>
          </w:divBdr>
          <w:divsChild>
            <w:div w:id="1893345648">
              <w:marLeft w:val="0"/>
              <w:marRight w:val="0"/>
              <w:marTop w:val="0"/>
              <w:marBottom w:val="0"/>
              <w:divBdr>
                <w:top w:val="none" w:sz="0" w:space="0" w:color="auto"/>
                <w:left w:val="none" w:sz="0" w:space="0" w:color="auto"/>
                <w:bottom w:val="none" w:sz="0" w:space="0" w:color="auto"/>
                <w:right w:val="none" w:sz="0" w:space="0" w:color="auto"/>
              </w:divBdr>
            </w:div>
          </w:divsChild>
        </w:div>
        <w:div w:id="1393118682">
          <w:marLeft w:val="0"/>
          <w:marRight w:val="0"/>
          <w:marTop w:val="0"/>
          <w:marBottom w:val="0"/>
          <w:divBdr>
            <w:top w:val="none" w:sz="0" w:space="0" w:color="auto"/>
            <w:left w:val="none" w:sz="0" w:space="0" w:color="auto"/>
            <w:bottom w:val="none" w:sz="0" w:space="0" w:color="auto"/>
            <w:right w:val="none" w:sz="0" w:space="0" w:color="auto"/>
          </w:divBdr>
          <w:divsChild>
            <w:div w:id="1213420545">
              <w:marLeft w:val="0"/>
              <w:marRight w:val="0"/>
              <w:marTop w:val="0"/>
              <w:marBottom w:val="0"/>
              <w:divBdr>
                <w:top w:val="none" w:sz="0" w:space="0" w:color="auto"/>
                <w:left w:val="none" w:sz="0" w:space="0" w:color="auto"/>
                <w:bottom w:val="none" w:sz="0" w:space="0" w:color="auto"/>
                <w:right w:val="none" w:sz="0" w:space="0" w:color="auto"/>
              </w:divBdr>
            </w:div>
          </w:divsChild>
        </w:div>
        <w:div w:id="1400446420">
          <w:marLeft w:val="0"/>
          <w:marRight w:val="0"/>
          <w:marTop w:val="0"/>
          <w:marBottom w:val="0"/>
          <w:divBdr>
            <w:top w:val="none" w:sz="0" w:space="0" w:color="auto"/>
            <w:left w:val="none" w:sz="0" w:space="0" w:color="auto"/>
            <w:bottom w:val="none" w:sz="0" w:space="0" w:color="auto"/>
            <w:right w:val="none" w:sz="0" w:space="0" w:color="auto"/>
          </w:divBdr>
          <w:divsChild>
            <w:div w:id="2057731450">
              <w:marLeft w:val="0"/>
              <w:marRight w:val="0"/>
              <w:marTop w:val="0"/>
              <w:marBottom w:val="0"/>
              <w:divBdr>
                <w:top w:val="none" w:sz="0" w:space="0" w:color="auto"/>
                <w:left w:val="none" w:sz="0" w:space="0" w:color="auto"/>
                <w:bottom w:val="none" w:sz="0" w:space="0" w:color="auto"/>
                <w:right w:val="none" w:sz="0" w:space="0" w:color="auto"/>
              </w:divBdr>
            </w:div>
          </w:divsChild>
        </w:div>
        <w:div w:id="1402214619">
          <w:marLeft w:val="0"/>
          <w:marRight w:val="0"/>
          <w:marTop w:val="0"/>
          <w:marBottom w:val="0"/>
          <w:divBdr>
            <w:top w:val="none" w:sz="0" w:space="0" w:color="auto"/>
            <w:left w:val="none" w:sz="0" w:space="0" w:color="auto"/>
            <w:bottom w:val="none" w:sz="0" w:space="0" w:color="auto"/>
            <w:right w:val="none" w:sz="0" w:space="0" w:color="auto"/>
          </w:divBdr>
          <w:divsChild>
            <w:div w:id="761874889">
              <w:marLeft w:val="0"/>
              <w:marRight w:val="0"/>
              <w:marTop w:val="0"/>
              <w:marBottom w:val="0"/>
              <w:divBdr>
                <w:top w:val="none" w:sz="0" w:space="0" w:color="auto"/>
                <w:left w:val="none" w:sz="0" w:space="0" w:color="auto"/>
                <w:bottom w:val="none" w:sz="0" w:space="0" w:color="auto"/>
                <w:right w:val="none" w:sz="0" w:space="0" w:color="auto"/>
              </w:divBdr>
            </w:div>
          </w:divsChild>
        </w:div>
        <w:div w:id="1403217403">
          <w:marLeft w:val="0"/>
          <w:marRight w:val="0"/>
          <w:marTop w:val="0"/>
          <w:marBottom w:val="0"/>
          <w:divBdr>
            <w:top w:val="none" w:sz="0" w:space="0" w:color="auto"/>
            <w:left w:val="none" w:sz="0" w:space="0" w:color="auto"/>
            <w:bottom w:val="none" w:sz="0" w:space="0" w:color="auto"/>
            <w:right w:val="none" w:sz="0" w:space="0" w:color="auto"/>
          </w:divBdr>
          <w:divsChild>
            <w:div w:id="346323975">
              <w:marLeft w:val="0"/>
              <w:marRight w:val="0"/>
              <w:marTop w:val="0"/>
              <w:marBottom w:val="0"/>
              <w:divBdr>
                <w:top w:val="none" w:sz="0" w:space="0" w:color="auto"/>
                <w:left w:val="none" w:sz="0" w:space="0" w:color="auto"/>
                <w:bottom w:val="none" w:sz="0" w:space="0" w:color="auto"/>
                <w:right w:val="none" w:sz="0" w:space="0" w:color="auto"/>
              </w:divBdr>
            </w:div>
          </w:divsChild>
        </w:div>
        <w:div w:id="1414277968">
          <w:marLeft w:val="0"/>
          <w:marRight w:val="0"/>
          <w:marTop w:val="0"/>
          <w:marBottom w:val="0"/>
          <w:divBdr>
            <w:top w:val="none" w:sz="0" w:space="0" w:color="auto"/>
            <w:left w:val="none" w:sz="0" w:space="0" w:color="auto"/>
            <w:bottom w:val="none" w:sz="0" w:space="0" w:color="auto"/>
            <w:right w:val="none" w:sz="0" w:space="0" w:color="auto"/>
          </w:divBdr>
          <w:divsChild>
            <w:div w:id="1796292518">
              <w:marLeft w:val="0"/>
              <w:marRight w:val="0"/>
              <w:marTop w:val="0"/>
              <w:marBottom w:val="0"/>
              <w:divBdr>
                <w:top w:val="none" w:sz="0" w:space="0" w:color="auto"/>
                <w:left w:val="none" w:sz="0" w:space="0" w:color="auto"/>
                <w:bottom w:val="none" w:sz="0" w:space="0" w:color="auto"/>
                <w:right w:val="none" w:sz="0" w:space="0" w:color="auto"/>
              </w:divBdr>
            </w:div>
          </w:divsChild>
        </w:div>
        <w:div w:id="1415976254">
          <w:marLeft w:val="0"/>
          <w:marRight w:val="0"/>
          <w:marTop w:val="0"/>
          <w:marBottom w:val="0"/>
          <w:divBdr>
            <w:top w:val="none" w:sz="0" w:space="0" w:color="auto"/>
            <w:left w:val="none" w:sz="0" w:space="0" w:color="auto"/>
            <w:bottom w:val="none" w:sz="0" w:space="0" w:color="auto"/>
            <w:right w:val="none" w:sz="0" w:space="0" w:color="auto"/>
          </w:divBdr>
          <w:divsChild>
            <w:div w:id="1062292124">
              <w:marLeft w:val="0"/>
              <w:marRight w:val="0"/>
              <w:marTop w:val="0"/>
              <w:marBottom w:val="0"/>
              <w:divBdr>
                <w:top w:val="none" w:sz="0" w:space="0" w:color="auto"/>
                <w:left w:val="none" w:sz="0" w:space="0" w:color="auto"/>
                <w:bottom w:val="none" w:sz="0" w:space="0" w:color="auto"/>
                <w:right w:val="none" w:sz="0" w:space="0" w:color="auto"/>
              </w:divBdr>
            </w:div>
          </w:divsChild>
        </w:div>
        <w:div w:id="1431852218">
          <w:marLeft w:val="0"/>
          <w:marRight w:val="0"/>
          <w:marTop w:val="0"/>
          <w:marBottom w:val="0"/>
          <w:divBdr>
            <w:top w:val="none" w:sz="0" w:space="0" w:color="auto"/>
            <w:left w:val="none" w:sz="0" w:space="0" w:color="auto"/>
            <w:bottom w:val="none" w:sz="0" w:space="0" w:color="auto"/>
            <w:right w:val="none" w:sz="0" w:space="0" w:color="auto"/>
          </w:divBdr>
          <w:divsChild>
            <w:div w:id="179853757">
              <w:marLeft w:val="0"/>
              <w:marRight w:val="0"/>
              <w:marTop w:val="0"/>
              <w:marBottom w:val="0"/>
              <w:divBdr>
                <w:top w:val="none" w:sz="0" w:space="0" w:color="auto"/>
                <w:left w:val="none" w:sz="0" w:space="0" w:color="auto"/>
                <w:bottom w:val="none" w:sz="0" w:space="0" w:color="auto"/>
                <w:right w:val="none" w:sz="0" w:space="0" w:color="auto"/>
              </w:divBdr>
            </w:div>
          </w:divsChild>
        </w:div>
        <w:div w:id="1456144721">
          <w:marLeft w:val="0"/>
          <w:marRight w:val="0"/>
          <w:marTop w:val="0"/>
          <w:marBottom w:val="0"/>
          <w:divBdr>
            <w:top w:val="none" w:sz="0" w:space="0" w:color="auto"/>
            <w:left w:val="none" w:sz="0" w:space="0" w:color="auto"/>
            <w:bottom w:val="none" w:sz="0" w:space="0" w:color="auto"/>
            <w:right w:val="none" w:sz="0" w:space="0" w:color="auto"/>
          </w:divBdr>
          <w:divsChild>
            <w:div w:id="1266886631">
              <w:marLeft w:val="0"/>
              <w:marRight w:val="0"/>
              <w:marTop w:val="0"/>
              <w:marBottom w:val="0"/>
              <w:divBdr>
                <w:top w:val="none" w:sz="0" w:space="0" w:color="auto"/>
                <w:left w:val="none" w:sz="0" w:space="0" w:color="auto"/>
                <w:bottom w:val="none" w:sz="0" w:space="0" w:color="auto"/>
                <w:right w:val="none" w:sz="0" w:space="0" w:color="auto"/>
              </w:divBdr>
            </w:div>
          </w:divsChild>
        </w:div>
        <w:div w:id="1458185321">
          <w:marLeft w:val="0"/>
          <w:marRight w:val="0"/>
          <w:marTop w:val="0"/>
          <w:marBottom w:val="0"/>
          <w:divBdr>
            <w:top w:val="none" w:sz="0" w:space="0" w:color="auto"/>
            <w:left w:val="none" w:sz="0" w:space="0" w:color="auto"/>
            <w:bottom w:val="none" w:sz="0" w:space="0" w:color="auto"/>
            <w:right w:val="none" w:sz="0" w:space="0" w:color="auto"/>
          </w:divBdr>
          <w:divsChild>
            <w:div w:id="456726051">
              <w:marLeft w:val="0"/>
              <w:marRight w:val="0"/>
              <w:marTop w:val="0"/>
              <w:marBottom w:val="0"/>
              <w:divBdr>
                <w:top w:val="none" w:sz="0" w:space="0" w:color="auto"/>
                <w:left w:val="none" w:sz="0" w:space="0" w:color="auto"/>
                <w:bottom w:val="none" w:sz="0" w:space="0" w:color="auto"/>
                <w:right w:val="none" w:sz="0" w:space="0" w:color="auto"/>
              </w:divBdr>
            </w:div>
          </w:divsChild>
        </w:div>
        <w:div w:id="1458793867">
          <w:marLeft w:val="0"/>
          <w:marRight w:val="0"/>
          <w:marTop w:val="0"/>
          <w:marBottom w:val="0"/>
          <w:divBdr>
            <w:top w:val="none" w:sz="0" w:space="0" w:color="auto"/>
            <w:left w:val="none" w:sz="0" w:space="0" w:color="auto"/>
            <w:bottom w:val="none" w:sz="0" w:space="0" w:color="auto"/>
            <w:right w:val="none" w:sz="0" w:space="0" w:color="auto"/>
          </w:divBdr>
          <w:divsChild>
            <w:div w:id="280302595">
              <w:marLeft w:val="0"/>
              <w:marRight w:val="0"/>
              <w:marTop w:val="0"/>
              <w:marBottom w:val="0"/>
              <w:divBdr>
                <w:top w:val="none" w:sz="0" w:space="0" w:color="auto"/>
                <w:left w:val="none" w:sz="0" w:space="0" w:color="auto"/>
                <w:bottom w:val="none" w:sz="0" w:space="0" w:color="auto"/>
                <w:right w:val="none" w:sz="0" w:space="0" w:color="auto"/>
              </w:divBdr>
            </w:div>
          </w:divsChild>
        </w:div>
        <w:div w:id="1472792588">
          <w:marLeft w:val="0"/>
          <w:marRight w:val="0"/>
          <w:marTop w:val="0"/>
          <w:marBottom w:val="0"/>
          <w:divBdr>
            <w:top w:val="none" w:sz="0" w:space="0" w:color="auto"/>
            <w:left w:val="none" w:sz="0" w:space="0" w:color="auto"/>
            <w:bottom w:val="none" w:sz="0" w:space="0" w:color="auto"/>
            <w:right w:val="none" w:sz="0" w:space="0" w:color="auto"/>
          </w:divBdr>
          <w:divsChild>
            <w:div w:id="1193959299">
              <w:marLeft w:val="0"/>
              <w:marRight w:val="0"/>
              <w:marTop w:val="0"/>
              <w:marBottom w:val="0"/>
              <w:divBdr>
                <w:top w:val="none" w:sz="0" w:space="0" w:color="auto"/>
                <w:left w:val="none" w:sz="0" w:space="0" w:color="auto"/>
                <w:bottom w:val="none" w:sz="0" w:space="0" w:color="auto"/>
                <w:right w:val="none" w:sz="0" w:space="0" w:color="auto"/>
              </w:divBdr>
            </w:div>
          </w:divsChild>
        </w:div>
        <w:div w:id="1489176415">
          <w:marLeft w:val="0"/>
          <w:marRight w:val="0"/>
          <w:marTop w:val="0"/>
          <w:marBottom w:val="0"/>
          <w:divBdr>
            <w:top w:val="none" w:sz="0" w:space="0" w:color="auto"/>
            <w:left w:val="none" w:sz="0" w:space="0" w:color="auto"/>
            <w:bottom w:val="none" w:sz="0" w:space="0" w:color="auto"/>
            <w:right w:val="none" w:sz="0" w:space="0" w:color="auto"/>
          </w:divBdr>
          <w:divsChild>
            <w:div w:id="134184597">
              <w:marLeft w:val="0"/>
              <w:marRight w:val="0"/>
              <w:marTop w:val="0"/>
              <w:marBottom w:val="0"/>
              <w:divBdr>
                <w:top w:val="none" w:sz="0" w:space="0" w:color="auto"/>
                <w:left w:val="none" w:sz="0" w:space="0" w:color="auto"/>
                <w:bottom w:val="none" w:sz="0" w:space="0" w:color="auto"/>
                <w:right w:val="none" w:sz="0" w:space="0" w:color="auto"/>
              </w:divBdr>
            </w:div>
          </w:divsChild>
        </w:div>
        <w:div w:id="1495954275">
          <w:marLeft w:val="0"/>
          <w:marRight w:val="0"/>
          <w:marTop w:val="0"/>
          <w:marBottom w:val="0"/>
          <w:divBdr>
            <w:top w:val="none" w:sz="0" w:space="0" w:color="auto"/>
            <w:left w:val="none" w:sz="0" w:space="0" w:color="auto"/>
            <w:bottom w:val="none" w:sz="0" w:space="0" w:color="auto"/>
            <w:right w:val="none" w:sz="0" w:space="0" w:color="auto"/>
          </w:divBdr>
          <w:divsChild>
            <w:div w:id="151989814">
              <w:marLeft w:val="0"/>
              <w:marRight w:val="0"/>
              <w:marTop w:val="0"/>
              <w:marBottom w:val="0"/>
              <w:divBdr>
                <w:top w:val="none" w:sz="0" w:space="0" w:color="auto"/>
                <w:left w:val="none" w:sz="0" w:space="0" w:color="auto"/>
                <w:bottom w:val="none" w:sz="0" w:space="0" w:color="auto"/>
                <w:right w:val="none" w:sz="0" w:space="0" w:color="auto"/>
              </w:divBdr>
            </w:div>
          </w:divsChild>
        </w:div>
        <w:div w:id="1503541920">
          <w:marLeft w:val="0"/>
          <w:marRight w:val="0"/>
          <w:marTop w:val="0"/>
          <w:marBottom w:val="0"/>
          <w:divBdr>
            <w:top w:val="none" w:sz="0" w:space="0" w:color="auto"/>
            <w:left w:val="none" w:sz="0" w:space="0" w:color="auto"/>
            <w:bottom w:val="none" w:sz="0" w:space="0" w:color="auto"/>
            <w:right w:val="none" w:sz="0" w:space="0" w:color="auto"/>
          </w:divBdr>
          <w:divsChild>
            <w:div w:id="536547184">
              <w:marLeft w:val="0"/>
              <w:marRight w:val="0"/>
              <w:marTop w:val="0"/>
              <w:marBottom w:val="0"/>
              <w:divBdr>
                <w:top w:val="none" w:sz="0" w:space="0" w:color="auto"/>
                <w:left w:val="none" w:sz="0" w:space="0" w:color="auto"/>
                <w:bottom w:val="none" w:sz="0" w:space="0" w:color="auto"/>
                <w:right w:val="none" w:sz="0" w:space="0" w:color="auto"/>
              </w:divBdr>
            </w:div>
          </w:divsChild>
        </w:div>
        <w:div w:id="1515731457">
          <w:marLeft w:val="0"/>
          <w:marRight w:val="0"/>
          <w:marTop w:val="0"/>
          <w:marBottom w:val="0"/>
          <w:divBdr>
            <w:top w:val="none" w:sz="0" w:space="0" w:color="auto"/>
            <w:left w:val="none" w:sz="0" w:space="0" w:color="auto"/>
            <w:bottom w:val="none" w:sz="0" w:space="0" w:color="auto"/>
            <w:right w:val="none" w:sz="0" w:space="0" w:color="auto"/>
          </w:divBdr>
          <w:divsChild>
            <w:div w:id="1209608047">
              <w:marLeft w:val="0"/>
              <w:marRight w:val="0"/>
              <w:marTop w:val="0"/>
              <w:marBottom w:val="0"/>
              <w:divBdr>
                <w:top w:val="none" w:sz="0" w:space="0" w:color="auto"/>
                <w:left w:val="none" w:sz="0" w:space="0" w:color="auto"/>
                <w:bottom w:val="none" w:sz="0" w:space="0" w:color="auto"/>
                <w:right w:val="none" w:sz="0" w:space="0" w:color="auto"/>
              </w:divBdr>
            </w:div>
          </w:divsChild>
        </w:div>
        <w:div w:id="1539470924">
          <w:marLeft w:val="0"/>
          <w:marRight w:val="0"/>
          <w:marTop w:val="0"/>
          <w:marBottom w:val="0"/>
          <w:divBdr>
            <w:top w:val="none" w:sz="0" w:space="0" w:color="auto"/>
            <w:left w:val="none" w:sz="0" w:space="0" w:color="auto"/>
            <w:bottom w:val="none" w:sz="0" w:space="0" w:color="auto"/>
            <w:right w:val="none" w:sz="0" w:space="0" w:color="auto"/>
          </w:divBdr>
          <w:divsChild>
            <w:div w:id="280067563">
              <w:marLeft w:val="0"/>
              <w:marRight w:val="0"/>
              <w:marTop w:val="0"/>
              <w:marBottom w:val="0"/>
              <w:divBdr>
                <w:top w:val="none" w:sz="0" w:space="0" w:color="auto"/>
                <w:left w:val="none" w:sz="0" w:space="0" w:color="auto"/>
                <w:bottom w:val="none" w:sz="0" w:space="0" w:color="auto"/>
                <w:right w:val="none" w:sz="0" w:space="0" w:color="auto"/>
              </w:divBdr>
            </w:div>
          </w:divsChild>
        </w:div>
        <w:div w:id="1545094337">
          <w:marLeft w:val="0"/>
          <w:marRight w:val="0"/>
          <w:marTop w:val="0"/>
          <w:marBottom w:val="0"/>
          <w:divBdr>
            <w:top w:val="none" w:sz="0" w:space="0" w:color="auto"/>
            <w:left w:val="none" w:sz="0" w:space="0" w:color="auto"/>
            <w:bottom w:val="none" w:sz="0" w:space="0" w:color="auto"/>
            <w:right w:val="none" w:sz="0" w:space="0" w:color="auto"/>
          </w:divBdr>
          <w:divsChild>
            <w:div w:id="26150661">
              <w:marLeft w:val="0"/>
              <w:marRight w:val="0"/>
              <w:marTop w:val="0"/>
              <w:marBottom w:val="0"/>
              <w:divBdr>
                <w:top w:val="none" w:sz="0" w:space="0" w:color="auto"/>
                <w:left w:val="none" w:sz="0" w:space="0" w:color="auto"/>
                <w:bottom w:val="none" w:sz="0" w:space="0" w:color="auto"/>
                <w:right w:val="none" w:sz="0" w:space="0" w:color="auto"/>
              </w:divBdr>
            </w:div>
          </w:divsChild>
        </w:div>
        <w:div w:id="1565994870">
          <w:marLeft w:val="0"/>
          <w:marRight w:val="0"/>
          <w:marTop w:val="0"/>
          <w:marBottom w:val="0"/>
          <w:divBdr>
            <w:top w:val="none" w:sz="0" w:space="0" w:color="auto"/>
            <w:left w:val="none" w:sz="0" w:space="0" w:color="auto"/>
            <w:bottom w:val="none" w:sz="0" w:space="0" w:color="auto"/>
            <w:right w:val="none" w:sz="0" w:space="0" w:color="auto"/>
          </w:divBdr>
          <w:divsChild>
            <w:div w:id="1208758214">
              <w:marLeft w:val="0"/>
              <w:marRight w:val="0"/>
              <w:marTop w:val="0"/>
              <w:marBottom w:val="0"/>
              <w:divBdr>
                <w:top w:val="none" w:sz="0" w:space="0" w:color="auto"/>
                <w:left w:val="none" w:sz="0" w:space="0" w:color="auto"/>
                <w:bottom w:val="none" w:sz="0" w:space="0" w:color="auto"/>
                <w:right w:val="none" w:sz="0" w:space="0" w:color="auto"/>
              </w:divBdr>
            </w:div>
          </w:divsChild>
        </w:div>
        <w:div w:id="1567448700">
          <w:marLeft w:val="0"/>
          <w:marRight w:val="0"/>
          <w:marTop w:val="0"/>
          <w:marBottom w:val="0"/>
          <w:divBdr>
            <w:top w:val="none" w:sz="0" w:space="0" w:color="auto"/>
            <w:left w:val="none" w:sz="0" w:space="0" w:color="auto"/>
            <w:bottom w:val="none" w:sz="0" w:space="0" w:color="auto"/>
            <w:right w:val="none" w:sz="0" w:space="0" w:color="auto"/>
          </w:divBdr>
          <w:divsChild>
            <w:div w:id="512959810">
              <w:marLeft w:val="0"/>
              <w:marRight w:val="0"/>
              <w:marTop w:val="0"/>
              <w:marBottom w:val="0"/>
              <w:divBdr>
                <w:top w:val="none" w:sz="0" w:space="0" w:color="auto"/>
                <w:left w:val="none" w:sz="0" w:space="0" w:color="auto"/>
                <w:bottom w:val="none" w:sz="0" w:space="0" w:color="auto"/>
                <w:right w:val="none" w:sz="0" w:space="0" w:color="auto"/>
              </w:divBdr>
            </w:div>
          </w:divsChild>
        </w:div>
        <w:div w:id="1602300641">
          <w:marLeft w:val="0"/>
          <w:marRight w:val="0"/>
          <w:marTop w:val="0"/>
          <w:marBottom w:val="0"/>
          <w:divBdr>
            <w:top w:val="none" w:sz="0" w:space="0" w:color="auto"/>
            <w:left w:val="none" w:sz="0" w:space="0" w:color="auto"/>
            <w:bottom w:val="none" w:sz="0" w:space="0" w:color="auto"/>
            <w:right w:val="none" w:sz="0" w:space="0" w:color="auto"/>
          </w:divBdr>
          <w:divsChild>
            <w:div w:id="1233588855">
              <w:marLeft w:val="0"/>
              <w:marRight w:val="0"/>
              <w:marTop w:val="0"/>
              <w:marBottom w:val="0"/>
              <w:divBdr>
                <w:top w:val="none" w:sz="0" w:space="0" w:color="auto"/>
                <w:left w:val="none" w:sz="0" w:space="0" w:color="auto"/>
                <w:bottom w:val="none" w:sz="0" w:space="0" w:color="auto"/>
                <w:right w:val="none" w:sz="0" w:space="0" w:color="auto"/>
              </w:divBdr>
            </w:div>
          </w:divsChild>
        </w:div>
        <w:div w:id="1603608403">
          <w:marLeft w:val="0"/>
          <w:marRight w:val="0"/>
          <w:marTop w:val="0"/>
          <w:marBottom w:val="0"/>
          <w:divBdr>
            <w:top w:val="none" w:sz="0" w:space="0" w:color="auto"/>
            <w:left w:val="none" w:sz="0" w:space="0" w:color="auto"/>
            <w:bottom w:val="none" w:sz="0" w:space="0" w:color="auto"/>
            <w:right w:val="none" w:sz="0" w:space="0" w:color="auto"/>
          </w:divBdr>
          <w:divsChild>
            <w:div w:id="1764372429">
              <w:marLeft w:val="0"/>
              <w:marRight w:val="0"/>
              <w:marTop w:val="0"/>
              <w:marBottom w:val="0"/>
              <w:divBdr>
                <w:top w:val="none" w:sz="0" w:space="0" w:color="auto"/>
                <w:left w:val="none" w:sz="0" w:space="0" w:color="auto"/>
                <w:bottom w:val="none" w:sz="0" w:space="0" w:color="auto"/>
                <w:right w:val="none" w:sz="0" w:space="0" w:color="auto"/>
              </w:divBdr>
            </w:div>
          </w:divsChild>
        </w:div>
        <w:div w:id="1622687682">
          <w:marLeft w:val="0"/>
          <w:marRight w:val="0"/>
          <w:marTop w:val="0"/>
          <w:marBottom w:val="0"/>
          <w:divBdr>
            <w:top w:val="none" w:sz="0" w:space="0" w:color="auto"/>
            <w:left w:val="none" w:sz="0" w:space="0" w:color="auto"/>
            <w:bottom w:val="none" w:sz="0" w:space="0" w:color="auto"/>
            <w:right w:val="none" w:sz="0" w:space="0" w:color="auto"/>
          </w:divBdr>
          <w:divsChild>
            <w:div w:id="723138406">
              <w:marLeft w:val="0"/>
              <w:marRight w:val="0"/>
              <w:marTop w:val="0"/>
              <w:marBottom w:val="0"/>
              <w:divBdr>
                <w:top w:val="none" w:sz="0" w:space="0" w:color="auto"/>
                <w:left w:val="none" w:sz="0" w:space="0" w:color="auto"/>
                <w:bottom w:val="none" w:sz="0" w:space="0" w:color="auto"/>
                <w:right w:val="none" w:sz="0" w:space="0" w:color="auto"/>
              </w:divBdr>
            </w:div>
          </w:divsChild>
        </w:div>
        <w:div w:id="1660696688">
          <w:marLeft w:val="0"/>
          <w:marRight w:val="0"/>
          <w:marTop w:val="0"/>
          <w:marBottom w:val="0"/>
          <w:divBdr>
            <w:top w:val="none" w:sz="0" w:space="0" w:color="auto"/>
            <w:left w:val="none" w:sz="0" w:space="0" w:color="auto"/>
            <w:bottom w:val="none" w:sz="0" w:space="0" w:color="auto"/>
            <w:right w:val="none" w:sz="0" w:space="0" w:color="auto"/>
          </w:divBdr>
          <w:divsChild>
            <w:div w:id="1279750808">
              <w:marLeft w:val="0"/>
              <w:marRight w:val="0"/>
              <w:marTop w:val="0"/>
              <w:marBottom w:val="0"/>
              <w:divBdr>
                <w:top w:val="none" w:sz="0" w:space="0" w:color="auto"/>
                <w:left w:val="none" w:sz="0" w:space="0" w:color="auto"/>
                <w:bottom w:val="none" w:sz="0" w:space="0" w:color="auto"/>
                <w:right w:val="none" w:sz="0" w:space="0" w:color="auto"/>
              </w:divBdr>
            </w:div>
          </w:divsChild>
        </w:div>
        <w:div w:id="1682511397">
          <w:marLeft w:val="0"/>
          <w:marRight w:val="0"/>
          <w:marTop w:val="0"/>
          <w:marBottom w:val="0"/>
          <w:divBdr>
            <w:top w:val="none" w:sz="0" w:space="0" w:color="auto"/>
            <w:left w:val="none" w:sz="0" w:space="0" w:color="auto"/>
            <w:bottom w:val="none" w:sz="0" w:space="0" w:color="auto"/>
            <w:right w:val="none" w:sz="0" w:space="0" w:color="auto"/>
          </w:divBdr>
          <w:divsChild>
            <w:div w:id="1558512456">
              <w:marLeft w:val="0"/>
              <w:marRight w:val="0"/>
              <w:marTop w:val="0"/>
              <w:marBottom w:val="0"/>
              <w:divBdr>
                <w:top w:val="none" w:sz="0" w:space="0" w:color="auto"/>
                <w:left w:val="none" w:sz="0" w:space="0" w:color="auto"/>
                <w:bottom w:val="none" w:sz="0" w:space="0" w:color="auto"/>
                <w:right w:val="none" w:sz="0" w:space="0" w:color="auto"/>
              </w:divBdr>
            </w:div>
          </w:divsChild>
        </w:div>
        <w:div w:id="1698896054">
          <w:marLeft w:val="0"/>
          <w:marRight w:val="0"/>
          <w:marTop w:val="0"/>
          <w:marBottom w:val="0"/>
          <w:divBdr>
            <w:top w:val="none" w:sz="0" w:space="0" w:color="auto"/>
            <w:left w:val="none" w:sz="0" w:space="0" w:color="auto"/>
            <w:bottom w:val="none" w:sz="0" w:space="0" w:color="auto"/>
            <w:right w:val="none" w:sz="0" w:space="0" w:color="auto"/>
          </w:divBdr>
          <w:divsChild>
            <w:div w:id="362026535">
              <w:marLeft w:val="0"/>
              <w:marRight w:val="0"/>
              <w:marTop w:val="0"/>
              <w:marBottom w:val="0"/>
              <w:divBdr>
                <w:top w:val="none" w:sz="0" w:space="0" w:color="auto"/>
                <w:left w:val="none" w:sz="0" w:space="0" w:color="auto"/>
                <w:bottom w:val="none" w:sz="0" w:space="0" w:color="auto"/>
                <w:right w:val="none" w:sz="0" w:space="0" w:color="auto"/>
              </w:divBdr>
            </w:div>
          </w:divsChild>
        </w:div>
        <w:div w:id="1706910152">
          <w:marLeft w:val="0"/>
          <w:marRight w:val="0"/>
          <w:marTop w:val="0"/>
          <w:marBottom w:val="0"/>
          <w:divBdr>
            <w:top w:val="none" w:sz="0" w:space="0" w:color="auto"/>
            <w:left w:val="none" w:sz="0" w:space="0" w:color="auto"/>
            <w:bottom w:val="none" w:sz="0" w:space="0" w:color="auto"/>
            <w:right w:val="none" w:sz="0" w:space="0" w:color="auto"/>
          </w:divBdr>
          <w:divsChild>
            <w:div w:id="1315918119">
              <w:marLeft w:val="0"/>
              <w:marRight w:val="0"/>
              <w:marTop w:val="0"/>
              <w:marBottom w:val="0"/>
              <w:divBdr>
                <w:top w:val="none" w:sz="0" w:space="0" w:color="auto"/>
                <w:left w:val="none" w:sz="0" w:space="0" w:color="auto"/>
                <w:bottom w:val="none" w:sz="0" w:space="0" w:color="auto"/>
                <w:right w:val="none" w:sz="0" w:space="0" w:color="auto"/>
              </w:divBdr>
            </w:div>
          </w:divsChild>
        </w:div>
        <w:div w:id="1744447616">
          <w:marLeft w:val="0"/>
          <w:marRight w:val="0"/>
          <w:marTop w:val="0"/>
          <w:marBottom w:val="0"/>
          <w:divBdr>
            <w:top w:val="none" w:sz="0" w:space="0" w:color="auto"/>
            <w:left w:val="none" w:sz="0" w:space="0" w:color="auto"/>
            <w:bottom w:val="none" w:sz="0" w:space="0" w:color="auto"/>
            <w:right w:val="none" w:sz="0" w:space="0" w:color="auto"/>
          </w:divBdr>
          <w:divsChild>
            <w:div w:id="1165366076">
              <w:marLeft w:val="0"/>
              <w:marRight w:val="0"/>
              <w:marTop w:val="0"/>
              <w:marBottom w:val="0"/>
              <w:divBdr>
                <w:top w:val="none" w:sz="0" w:space="0" w:color="auto"/>
                <w:left w:val="none" w:sz="0" w:space="0" w:color="auto"/>
                <w:bottom w:val="none" w:sz="0" w:space="0" w:color="auto"/>
                <w:right w:val="none" w:sz="0" w:space="0" w:color="auto"/>
              </w:divBdr>
            </w:div>
          </w:divsChild>
        </w:div>
        <w:div w:id="1755006795">
          <w:marLeft w:val="0"/>
          <w:marRight w:val="0"/>
          <w:marTop w:val="0"/>
          <w:marBottom w:val="0"/>
          <w:divBdr>
            <w:top w:val="none" w:sz="0" w:space="0" w:color="auto"/>
            <w:left w:val="none" w:sz="0" w:space="0" w:color="auto"/>
            <w:bottom w:val="none" w:sz="0" w:space="0" w:color="auto"/>
            <w:right w:val="none" w:sz="0" w:space="0" w:color="auto"/>
          </w:divBdr>
          <w:divsChild>
            <w:div w:id="2134865767">
              <w:marLeft w:val="0"/>
              <w:marRight w:val="0"/>
              <w:marTop w:val="0"/>
              <w:marBottom w:val="0"/>
              <w:divBdr>
                <w:top w:val="none" w:sz="0" w:space="0" w:color="auto"/>
                <w:left w:val="none" w:sz="0" w:space="0" w:color="auto"/>
                <w:bottom w:val="none" w:sz="0" w:space="0" w:color="auto"/>
                <w:right w:val="none" w:sz="0" w:space="0" w:color="auto"/>
              </w:divBdr>
            </w:div>
          </w:divsChild>
        </w:div>
        <w:div w:id="1756516104">
          <w:marLeft w:val="0"/>
          <w:marRight w:val="0"/>
          <w:marTop w:val="0"/>
          <w:marBottom w:val="0"/>
          <w:divBdr>
            <w:top w:val="none" w:sz="0" w:space="0" w:color="auto"/>
            <w:left w:val="none" w:sz="0" w:space="0" w:color="auto"/>
            <w:bottom w:val="none" w:sz="0" w:space="0" w:color="auto"/>
            <w:right w:val="none" w:sz="0" w:space="0" w:color="auto"/>
          </w:divBdr>
          <w:divsChild>
            <w:div w:id="1378046527">
              <w:marLeft w:val="0"/>
              <w:marRight w:val="0"/>
              <w:marTop w:val="0"/>
              <w:marBottom w:val="0"/>
              <w:divBdr>
                <w:top w:val="none" w:sz="0" w:space="0" w:color="auto"/>
                <w:left w:val="none" w:sz="0" w:space="0" w:color="auto"/>
                <w:bottom w:val="none" w:sz="0" w:space="0" w:color="auto"/>
                <w:right w:val="none" w:sz="0" w:space="0" w:color="auto"/>
              </w:divBdr>
            </w:div>
          </w:divsChild>
        </w:div>
        <w:div w:id="1765153559">
          <w:marLeft w:val="0"/>
          <w:marRight w:val="0"/>
          <w:marTop w:val="0"/>
          <w:marBottom w:val="0"/>
          <w:divBdr>
            <w:top w:val="none" w:sz="0" w:space="0" w:color="auto"/>
            <w:left w:val="none" w:sz="0" w:space="0" w:color="auto"/>
            <w:bottom w:val="none" w:sz="0" w:space="0" w:color="auto"/>
            <w:right w:val="none" w:sz="0" w:space="0" w:color="auto"/>
          </w:divBdr>
          <w:divsChild>
            <w:div w:id="1277636494">
              <w:marLeft w:val="0"/>
              <w:marRight w:val="0"/>
              <w:marTop w:val="0"/>
              <w:marBottom w:val="0"/>
              <w:divBdr>
                <w:top w:val="none" w:sz="0" w:space="0" w:color="auto"/>
                <w:left w:val="none" w:sz="0" w:space="0" w:color="auto"/>
                <w:bottom w:val="none" w:sz="0" w:space="0" w:color="auto"/>
                <w:right w:val="none" w:sz="0" w:space="0" w:color="auto"/>
              </w:divBdr>
            </w:div>
          </w:divsChild>
        </w:div>
        <w:div w:id="1771465176">
          <w:marLeft w:val="0"/>
          <w:marRight w:val="0"/>
          <w:marTop w:val="0"/>
          <w:marBottom w:val="0"/>
          <w:divBdr>
            <w:top w:val="none" w:sz="0" w:space="0" w:color="auto"/>
            <w:left w:val="none" w:sz="0" w:space="0" w:color="auto"/>
            <w:bottom w:val="none" w:sz="0" w:space="0" w:color="auto"/>
            <w:right w:val="none" w:sz="0" w:space="0" w:color="auto"/>
          </w:divBdr>
          <w:divsChild>
            <w:div w:id="1616595492">
              <w:marLeft w:val="0"/>
              <w:marRight w:val="0"/>
              <w:marTop w:val="0"/>
              <w:marBottom w:val="0"/>
              <w:divBdr>
                <w:top w:val="none" w:sz="0" w:space="0" w:color="auto"/>
                <w:left w:val="none" w:sz="0" w:space="0" w:color="auto"/>
                <w:bottom w:val="none" w:sz="0" w:space="0" w:color="auto"/>
                <w:right w:val="none" w:sz="0" w:space="0" w:color="auto"/>
              </w:divBdr>
            </w:div>
          </w:divsChild>
        </w:div>
        <w:div w:id="1781989539">
          <w:marLeft w:val="0"/>
          <w:marRight w:val="0"/>
          <w:marTop w:val="0"/>
          <w:marBottom w:val="0"/>
          <w:divBdr>
            <w:top w:val="none" w:sz="0" w:space="0" w:color="auto"/>
            <w:left w:val="none" w:sz="0" w:space="0" w:color="auto"/>
            <w:bottom w:val="none" w:sz="0" w:space="0" w:color="auto"/>
            <w:right w:val="none" w:sz="0" w:space="0" w:color="auto"/>
          </w:divBdr>
          <w:divsChild>
            <w:div w:id="1957173476">
              <w:marLeft w:val="0"/>
              <w:marRight w:val="0"/>
              <w:marTop w:val="0"/>
              <w:marBottom w:val="0"/>
              <w:divBdr>
                <w:top w:val="none" w:sz="0" w:space="0" w:color="auto"/>
                <w:left w:val="none" w:sz="0" w:space="0" w:color="auto"/>
                <w:bottom w:val="none" w:sz="0" w:space="0" w:color="auto"/>
                <w:right w:val="none" w:sz="0" w:space="0" w:color="auto"/>
              </w:divBdr>
            </w:div>
          </w:divsChild>
        </w:div>
        <w:div w:id="1854294361">
          <w:marLeft w:val="0"/>
          <w:marRight w:val="0"/>
          <w:marTop w:val="0"/>
          <w:marBottom w:val="0"/>
          <w:divBdr>
            <w:top w:val="none" w:sz="0" w:space="0" w:color="auto"/>
            <w:left w:val="none" w:sz="0" w:space="0" w:color="auto"/>
            <w:bottom w:val="none" w:sz="0" w:space="0" w:color="auto"/>
            <w:right w:val="none" w:sz="0" w:space="0" w:color="auto"/>
          </w:divBdr>
          <w:divsChild>
            <w:div w:id="832991880">
              <w:marLeft w:val="0"/>
              <w:marRight w:val="0"/>
              <w:marTop w:val="0"/>
              <w:marBottom w:val="0"/>
              <w:divBdr>
                <w:top w:val="none" w:sz="0" w:space="0" w:color="auto"/>
                <w:left w:val="none" w:sz="0" w:space="0" w:color="auto"/>
                <w:bottom w:val="none" w:sz="0" w:space="0" w:color="auto"/>
                <w:right w:val="none" w:sz="0" w:space="0" w:color="auto"/>
              </w:divBdr>
            </w:div>
          </w:divsChild>
        </w:div>
        <w:div w:id="1859660482">
          <w:marLeft w:val="0"/>
          <w:marRight w:val="0"/>
          <w:marTop w:val="0"/>
          <w:marBottom w:val="0"/>
          <w:divBdr>
            <w:top w:val="none" w:sz="0" w:space="0" w:color="auto"/>
            <w:left w:val="none" w:sz="0" w:space="0" w:color="auto"/>
            <w:bottom w:val="none" w:sz="0" w:space="0" w:color="auto"/>
            <w:right w:val="none" w:sz="0" w:space="0" w:color="auto"/>
          </w:divBdr>
          <w:divsChild>
            <w:div w:id="701326052">
              <w:marLeft w:val="0"/>
              <w:marRight w:val="0"/>
              <w:marTop w:val="0"/>
              <w:marBottom w:val="0"/>
              <w:divBdr>
                <w:top w:val="none" w:sz="0" w:space="0" w:color="auto"/>
                <w:left w:val="none" w:sz="0" w:space="0" w:color="auto"/>
                <w:bottom w:val="none" w:sz="0" w:space="0" w:color="auto"/>
                <w:right w:val="none" w:sz="0" w:space="0" w:color="auto"/>
              </w:divBdr>
            </w:div>
          </w:divsChild>
        </w:div>
        <w:div w:id="1860005280">
          <w:marLeft w:val="0"/>
          <w:marRight w:val="0"/>
          <w:marTop w:val="0"/>
          <w:marBottom w:val="0"/>
          <w:divBdr>
            <w:top w:val="none" w:sz="0" w:space="0" w:color="auto"/>
            <w:left w:val="none" w:sz="0" w:space="0" w:color="auto"/>
            <w:bottom w:val="none" w:sz="0" w:space="0" w:color="auto"/>
            <w:right w:val="none" w:sz="0" w:space="0" w:color="auto"/>
          </w:divBdr>
          <w:divsChild>
            <w:div w:id="1914074550">
              <w:marLeft w:val="0"/>
              <w:marRight w:val="0"/>
              <w:marTop w:val="0"/>
              <w:marBottom w:val="0"/>
              <w:divBdr>
                <w:top w:val="none" w:sz="0" w:space="0" w:color="auto"/>
                <w:left w:val="none" w:sz="0" w:space="0" w:color="auto"/>
                <w:bottom w:val="none" w:sz="0" w:space="0" w:color="auto"/>
                <w:right w:val="none" w:sz="0" w:space="0" w:color="auto"/>
              </w:divBdr>
            </w:div>
          </w:divsChild>
        </w:div>
        <w:div w:id="1880120211">
          <w:marLeft w:val="0"/>
          <w:marRight w:val="0"/>
          <w:marTop w:val="0"/>
          <w:marBottom w:val="0"/>
          <w:divBdr>
            <w:top w:val="none" w:sz="0" w:space="0" w:color="auto"/>
            <w:left w:val="none" w:sz="0" w:space="0" w:color="auto"/>
            <w:bottom w:val="none" w:sz="0" w:space="0" w:color="auto"/>
            <w:right w:val="none" w:sz="0" w:space="0" w:color="auto"/>
          </w:divBdr>
          <w:divsChild>
            <w:div w:id="1114205314">
              <w:marLeft w:val="0"/>
              <w:marRight w:val="0"/>
              <w:marTop w:val="0"/>
              <w:marBottom w:val="0"/>
              <w:divBdr>
                <w:top w:val="none" w:sz="0" w:space="0" w:color="auto"/>
                <w:left w:val="none" w:sz="0" w:space="0" w:color="auto"/>
                <w:bottom w:val="none" w:sz="0" w:space="0" w:color="auto"/>
                <w:right w:val="none" w:sz="0" w:space="0" w:color="auto"/>
              </w:divBdr>
            </w:div>
          </w:divsChild>
        </w:div>
        <w:div w:id="1883321062">
          <w:marLeft w:val="0"/>
          <w:marRight w:val="0"/>
          <w:marTop w:val="0"/>
          <w:marBottom w:val="0"/>
          <w:divBdr>
            <w:top w:val="none" w:sz="0" w:space="0" w:color="auto"/>
            <w:left w:val="none" w:sz="0" w:space="0" w:color="auto"/>
            <w:bottom w:val="none" w:sz="0" w:space="0" w:color="auto"/>
            <w:right w:val="none" w:sz="0" w:space="0" w:color="auto"/>
          </w:divBdr>
          <w:divsChild>
            <w:div w:id="1294823281">
              <w:marLeft w:val="0"/>
              <w:marRight w:val="0"/>
              <w:marTop w:val="0"/>
              <w:marBottom w:val="0"/>
              <w:divBdr>
                <w:top w:val="none" w:sz="0" w:space="0" w:color="auto"/>
                <w:left w:val="none" w:sz="0" w:space="0" w:color="auto"/>
                <w:bottom w:val="none" w:sz="0" w:space="0" w:color="auto"/>
                <w:right w:val="none" w:sz="0" w:space="0" w:color="auto"/>
              </w:divBdr>
            </w:div>
          </w:divsChild>
        </w:div>
        <w:div w:id="1883321657">
          <w:marLeft w:val="0"/>
          <w:marRight w:val="0"/>
          <w:marTop w:val="0"/>
          <w:marBottom w:val="0"/>
          <w:divBdr>
            <w:top w:val="none" w:sz="0" w:space="0" w:color="auto"/>
            <w:left w:val="none" w:sz="0" w:space="0" w:color="auto"/>
            <w:bottom w:val="none" w:sz="0" w:space="0" w:color="auto"/>
            <w:right w:val="none" w:sz="0" w:space="0" w:color="auto"/>
          </w:divBdr>
          <w:divsChild>
            <w:div w:id="2057657994">
              <w:marLeft w:val="0"/>
              <w:marRight w:val="0"/>
              <w:marTop w:val="0"/>
              <w:marBottom w:val="0"/>
              <w:divBdr>
                <w:top w:val="none" w:sz="0" w:space="0" w:color="auto"/>
                <w:left w:val="none" w:sz="0" w:space="0" w:color="auto"/>
                <w:bottom w:val="none" w:sz="0" w:space="0" w:color="auto"/>
                <w:right w:val="none" w:sz="0" w:space="0" w:color="auto"/>
              </w:divBdr>
            </w:div>
          </w:divsChild>
        </w:div>
        <w:div w:id="1884975078">
          <w:marLeft w:val="0"/>
          <w:marRight w:val="0"/>
          <w:marTop w:val="0"/>
          <w:marBottom w:val="0"/>
          <w:divBdr>
            <w:top w:val="none" w:sz="0" w:space="0" w:color="auto"/>
            <w:left w:val="none" w:sz="0" w:space="0" w:color="auto"/>
            <w:bottom w:val="none" w:sz="0" w:space="0" w:color="auto"/>
            <w:right w:val="none" w:sz="0" w:space="0" w:color="auto"/>
          </w:divBdr>
          <w:divsChild>
            <w:div w:id="1592592374">
              <w:marLeft w:val="0"/>
              <w:marRight w:val="0"/>
              <w:marTop w:val="0"/>
              <w:marBottom w:val="0"/>
              <w:divBdr>
                <w:top w:val="none" w:sz="0" w:space="0" w:color="auto"/>
                <w:left w:val="none" w:sz="0" w:space="0" w:color="auto"/>
                <w:bottom w:val="none" w:sz="0" w:space="0" w:color="auto"/>
                <w:right w:val="none" w:sz="0" w:space="0" w:color="auto"/>
              </w:divBdr>
            </w:div>
          </w:divsChild>
        </w:div>
        <w:div w:id="1887057345">
          <w:marLeft w:val="0"/>
          <w:marRight w:val="0"/>
          <w:marTop w:val="0"/>
          <w:marBottom w:val="0"/>
          <w:divBdr>
            <w:top w:val="none" w:sz="0" w:space="0" w:color="auto"/>
            <w:left w:val="none" w:sz="0" w:space="0" w:color="auto"/>
            <w:bottom w:val="none" w:sz="0" w:space="0" w:color="auto"/>
            <w:right w:val="none" w:sz="0" w:space="0" w:color="auto"/>
          </w:divBdr>
          <w:divsChild>
            <w:div w:id="2064405236">
              <w:marLeft w:val="0"/>
              <w:marRight w:val="0"/>
              <w:marTop w:val="0"/>
              <w:marBottom w:val="0"/>
              <w:divBdr>
                <w:top w:val="none" w:sz="0" w:space="0" w:color="auto"/>
                <w:left w:val="none" w:sz="0" w:space="0" w:color="auto"/>
                <w:bottom w:val="none" w:sz="0" w:space="0" w:color="auto"/>
                <w:right w:val="none" w:sz="0" w:space="0" w:color="auto"/>
              </w:divBdr>
            </w:div>
          </w:divsChild>
        </w:div>
        <w:div w:id="1900633080">
          <w:marLeft w:val="0"/>
          <w:marRight w:val="0"/>
          <w:marTop w:val="0"/>
          <w:marBottom w:val="0"/>
          <w:divBdr>
            <w:top w:val="none" w:sz="0" w:space="0" w:color="auto"/>
            <w:left w:val="none" w:sz="0" w:space="0" w:color="auto"/>
            <w:bottom w:val="none" w:sz="0" w:space="0" w:color="auto"/>
            <w:right w:val="none" w:sz="0" w:space="0" w:color="auto"/>
          </w:divBdr>
          <w:divsChild>
            <w:div w:id="1661345957">
              <w:marLeft w:val="0"/>
              <w:marRight w:val="0"/>
              <w:marTop w:val="0"/>
              <w:marBottom w:val="0"/>
              <w:divBdr>
                <w:top w:val="none" w:sz="0" w:space="0" w:color="auto"/>
                <w:left w:val="none" w:sz="0" w:space="0" w:color="auto"/>
                <w:bottom w:val="none" w:sz="0" w:space="0" w:color="auto"/>
                <w:right w:val="none" w:sz="0" w:space="0" w:color="auto"/>
              </w:divBdr>
            </w:div>
          </w:divsChild>
        </w:div>
        <w:div w:id="1924602047">
          <w:marLeft w:val="0"/>
          <w:marRight w:val="0"/>
          <w:marTop w:val="0"/>
          <w:marBottom w:val="0"/>
          <w:divBdr>
            <w:top w:val="none" w:sz="0" w:space="0" w:color="auto"/>
            <w:left w:val="none" w:sz="0" w:space="0" w:color="auto"/>
            <w:bottom w:val="none" w:sz="0" w:space="0" w:color="auto"/>
            <w:right w:val="none" w:sz="0" w:space="0" w:color="auto"/>
          </w:divBdr>
          <w:divsChild>
            <w:div w:id="1452817635">
              <w:marLeft w:val="0"/>
              <w:marRight w:val="0"/>
              <w:marTop w:val="0"/>
              <w:marBottom w:val="0"/>
              <w:divBdr>
                <w:top w:val="none" w:sz="0" w:space="0" w:color="auto"/>
                <w:left w:val="none" w:sz="0" w:space="0" w:color="auto"/>
                <w:bottom w:val="none" w:sz="0" w:space="0" w:color="auto"/>
                <w:right w:val="none" w:sz="0" w:space="0" w:color="auto"/>
              </w:divBdr>
            </w:div>
          </w:divsChild>
        </w:div>
        <w:div w:id="1933397045">
          <w:marLeft w:val="0"/>
          <w:marRight w:val="0"/>
          <w:marTop w:val="0"/>
          <w:marBottom w:val="0"/>
          <w:divBdr>
            <w:top w:val="none" w:sz="0" w:space="0" w:color="auto"/>
            <w:left w:val="none" w:sz="0" w:space="0" w:color="auto"/>
            <w:bottom w:val="none" w:sz="0" w:space="0" w:color="auto"/>
            <w:right w:val="none" w:sz="0" w:space="0" w:color="auto"/>
          </w:divBdr>
          <w:divsChild>
            <w:div w:id="1417941833">
              <w:marLeft w:val="0"/>
              <w:marRight w:val="0"/>
              <w:marTop w:val="0"/>
              <w:marBottom w:val="0"/>
              <w:divBdr>
                <w:top w:val="none" w:sz="0" w:space="0" w:color="auto"/>
                <w:left w:val="none" w:sz="0" w:space="0" w:color="auto"/>
                <w:bottom w:val="none" w:sz="0" w:space="0" w:color="auto"/>
                <w:right w:val="none" w:sz="0" w:space="0" w:color="auto"/>
              </w:divBdr>
            </w:div>
          </w:divsChild>
        </w:div>
        <w:div w:id="1939560805">
          <w:marLeft w:val="0"/>
          <w:marRight w:val="0"/>
          <w:marTop w:val="0"/>
          <w:marBottom w:val="0"/>
          <w:divBdr>
            <w:top w:val="none" w:sz="0" w:space="0" w:color="auto"/>
            <w:left w:val="none" w:sz="0" w:space="0" w:color="auto"/>
            <w:bottom w:val="none" w:sz="0" w:space="0" w:color="auto"/>
            <w:right w:val="none" w:sz="0" w:space="0" w:color="auto"/>
          </w:divBdr>
          <w:divsChild>
            <w:div w:id="1170557216">
              <w:marLeft w:val="0"/>
              <w:marRight w:val="0"/>
              <w:marTop w:val="0"/>
              <w:marBottom w:val="0"/>
              <w:divBdr>
                <w:top w:val="none" w:sz="0" w:space="0" w:color="auto"/>
                <w:left w:val="none" w:sz="0" w:space="0" w:color="auto"/>
                <w:bottom w:val="none" w:sz="0" w:space="0" w:color="auto"/>
                <w:right w:val="none" w:sz="0" w:space="0" w:color="auto"/>
              </w:divBdr>
            </w:div>
          </w:divsChild>
        </w:div>
        <w:div w:id="1959216638">
          <w:marLeft w:val="0"/>
          <w:marRight w:val="0"/>
          <w:marTop w:val="0"/>
          <w:marBottom w:val="0"/>
          <w:divBdr>
            <w:top w:val="none" w:sz="0" w:space="0" w:color="auto"/>
            <w:left w:val="none" w:sz="0" w:space="0" w:color="auto"/>
            <w:bottom w:val="none" w:sz="0" w:space="0" w:color="auto"/>
            <w:right w:val="none" w:sz="0" w:space="0" w:color="auto"/>
          </w:divBdr>
          <w:divsChild>
            <w:div w:id="1151293609">
              <w:marLeft w:val="0"/>
              <w:marRight w:val="0"/>
              <w:marTop w:val="0"/>
              <w:marBottom w:val="0"/>
              <w:divBdr>
                <w:top w:val="none" w:sz="0" w:space="0" w:color="auto"/>
                <w:left w:val="none" w:sz="0" w:space="0" w:color="auto"/>
                <w:bottom w:val="none" w:sz="0" w:space="0" w:color="auto"/>
                <w:right w:val="none" w:sz="0" w:space="0" w:color="auto"/>
              </w:divBdr>
            </w:div>
          </w:divsChild>
        </w:div>
        <w:div w:id="1963727616">
          <w:marLeft w:val="0"/>
          <w:marRight w:val="0"/>
          <w:marTop w:val="0"/>
          <w:marBottom w:val="0"/>
          <w:divBdr>
            <w:top w:val="none" w:sz="0" w:space="0" w:color="auto"/>
            <w:left w:val="none" w:sz="0" w:space="0" w:color="auto"/>
            <w:bottom w:val="none" w:sz="0" w:space="0" w:color="auto"/>
            <w:right w:val="none" w:sz="0" w:space="0" w:color="auto"/>
          </w:divBdr>
          <w:divsChild>
            <w:div w:id="1507286372">
              <w:marLeft w:val="0"/>
              <w:marRight w:val="0"/>
              <w:marTop w:val="0"/>
              <w:marBottom w:val="0"/>
              <w:divBdr>
                <w:top w:val="none" w:sz="0" w:space="0" w:color="auto"/>
                <w:left w:val="none" w:sz="0" w:space="0" w:color="auto"/>
                <w:bottom w:val="none" w:sz="0" w:space="0" w:color="auto"/>
                <w:right w:val="none" w:sz="0" w:space="0" w:color="auto"/>
              </w:divBdr>
            </w:div>
          </w:divsChild>
        </w:div>
        <w:div w:id="1971402311">
          <w:marLeft w:val="0"/>
          <w:marRight w:val="0"/>
          <w:marTop w:val="0"/>
          <w:marBottom w:val="0"/>
          <w:divBdr>
            <w:top w:val="none" w:sz="0" w:space="0" w:color="auto"/>
            <w:left w:val="none" w:sz="0" w:space="0" w:color="auto"/>
            <w:bottom w:val="none" w:sz="0" w:space="0" w:color="auto"/>
            <w:right w:val="none" w:sz="0" w:space="0" w:color="auto"/>
          </w:divBdr>
          <w:divsChild>
            <w:div w:id="351881221">
              <w:marLeft w:val="0"/>
              <w:marRight w:val="0"/>
              <w:marTop w:val="0"/>
              <w:marBottom w:val="0"/>
              <w:divBdr>
                <w:top w:val="none" w:sz="0" w:space="0" w:color="auto"/>
                <w:left w:val="none" w:sz="0" w:space="0" w:color="auto"/>
                <w:bottom w:val="none" w:sz="0" w:space="0" w:color="auto"/>
                <w:right w:val="none" w:sz="0" w:space="0" w:color="auto"/>
              </w:divBdr>
            </w:div>
          </w:divsChild>
        </w:div>
        <w:div w:id="1974485985">
          <w:marLeft w:val="0"/>
          <w:marRight w:val="0"/>
          <w:marTop w:val="0"/>
          <w:marBottom w:val="0"/>
          <w:divBdr>
            <w:top w:val="none" w:sz="0" w:space="0" w:color="auto"/>
            <w:left w:val="none" w:sz="0" w:space="0" w:color="auto"/>
            <w:bottom w:val="none" w:sz="0" w:space="0" w:color="auto"/>
            <w:right w:val="none" w:sz="0" w:space="0" w:color="auto"/>
          </w:divBdr>
          <w:divsChild>
            <w:div w:id="1399131060">
              <w:marLeft w:val="0"/>
              <w:marRight w:val="0"/>
              <w:marTop w:val="0"/>
              <w:marBottom w:val="0"/>
              <w:divBdr>
                <w:top w:val="none" w:sz="0" w:space="0" w:color="auto"/>
                <w:left w:val="none" w:sz="0" w:space="0" w:color="auto"/>
                <w:bottom w:val="none" w:sz="0" w:space="0" w:color="auto"/>
                <w:right w:val="none" w:sz="0" w:space="0" w:color="auto"/>
              </w:divBdr>
            </w:div>
          </w:divsChild>
        </w:div>
        <w:div w:id="1979726230">
          <w:marLeft w:val="0"/>
          <w:marRight w:val="0"/>
          <w:marTop w:val="0"/>
          <w:marBottom w:val="0"/>
          <w:divBdr>
            <w:top w:val="none" w:sz="0" w:space="0" w:color="auto"/>
            <w:left w:val="none" w:sz="0" w:space="0" w:color="auto"/>
            <w:bottom w:val="none" w:sz="0" w:space="0" w:color="auto"/>
            <w:right w:val="none" w:sz="0" w:space="0" w:color="auto"/>
          </w:divBdr>
          <w:divsChild>
            <w:div w:id="956521788">
              <w:marLeft w:val="0"/>
              <w:marRight w:val="0"/>
              <w:marTop w:val="0"/>
              <w:marBottom w:val="0"/>
              <w:divBdr>
                <w:top w:val="none" w:sz="0" w:space="0" w:color="auto"/>
                <w:left w:val="none" w:sz="0" w:space="0" w:color="auto"/>
                <w:bottom w:val="none" w:sz="0" w:space="0" w:color="auto"/>
                <w:right w:val="none" w:sz="0" w:space="0" w:color="auto"/>
              </w:divBdr>
            </w:div>
          </w:divsChild>
        </w:div>
        <w:div w:id="1988439080">
          <w:marLeft w:val="0"/>
          <w:marRight w:val="0"/>
          <w:marTop w:val="0"/>
          <w:marBottom w:val="0"/>
          <w:divBdr>
            <w:top w:val="none" w:sz="0" w:space="0" w:color="auto"/>
            <w:left w:val="none" w:sz="0" w:space="0" w:color="auto"/>
            <w:bottom w:val="none" w:sz="0" w:space="0" w:color="auto"/>
            <w:right w:val="none" w:sz="0" w:space="0" w:color="auto"/>
          </w:divBdr>
          <w:divsChild>
            <w:div w:id="1281496749">
              <w:marLeft w:val="0"/>
              <w:marRight w:val="0"/>
              <w:marTop w:val="0"/>
              <w:marBottom w:val="0"/>
              <w:divBdr>
                <w:top w:val="none" w:sz="0" w:space="0" w:color="auto"/>
                <w:left w:val="none" w:sz="0" w:space="0" w:color="auto"/>
                <w:bottom w:val="none" w:sz="0" w:space="0" w:color="auto"/>
                <w:right w:val="none" w:sz="0" w:space="0" w:color="auto"/>
              </w:divBdr>
            </w:div>
          </w:divsChild>
        </w:div>
        <w:div w:id="2018650803">
          <w:marLeft w:val="0"/>
          <w:marRight w:val="0"/>
          <w:marTop w:val="0"/>
          <w:marBottom w:val="0"/>
          <w:divBdr>
            <w:top w:val="none" w:sz="0" w:space="0" w:color="auto"/>
            <w:left w:val="none" w:sz="0" w:space="0" w:color="auto"/>
            <w:bottom w:val="none" w:sz="0" w:space="0" w:color="auto"/>
            <w:right w:val="none" w:sz="0" w:space="0" w:color="auto"/>
          </w:divBdr>
          <w:divsChild>
            <w:div w:id="1067344382">
              <w:marLeft w:val="0"/>
              <w:marRight w:val="0"/>
              <w:marTop w:val="0"/>
              <w:marBottom w:val="0"/>
              <w:divBdr>
                <w:top w:val="none" w:sz="0" w:space="0" w:color="auto"/>
                <w:left w:val="none" w:sz="0" w:space="0" w:color="auto"/>
                <w:bottom w:val="none" w:sz="0" w:space="0" w:color="auto"/>
                <w:right w:val="none" w:sz="0" w:space="0" w:color="auto"/>
              </w:divBdr>
            </w:div>
          </w:divsChild>
        </w:div>
        <w:div w:id="2030981387">
          <w:marLeft w:val="0"/>
          <w:marRight w:val="0"/>
          <w:marTop w:val="0"/>
          <w:marBottom w:val="0"/>
          <w:divBdr>
            <w:top w:val="none" w:sz="0" w:space="0" w:color="auto"/>
            <w:left w:val="none" w:sz="0" w:space="0" w:color="auto"/>
            <w:bottom w:val="none" w:sz="0" w:space="0" w:color="auto"/>
            <w:right w:val="none" w:sz="0" w:space="0" w:color="auto"/>
          </w:divBdr>
          <w:divsChild>
            <w:div w:id="1672876710">
              <w:marLeft w:val="0"/>
              <w:marRight w:val="0"/>
              <w:marTop w:val="0"/>
              <w:marBottom w:val="0"/>
              <w:divBdr>
                <w:top w:val="none" w:sz="0" w:space="0" w:color="auto"/>
                <w:left w:val="none" w:sz="0" w:space="0" w:color="auto"/>
                <w:bottom w:val="none" w:sz="0" w:space="0" w:color="auto"/>
                <w:right w:val="none" w:sz="0" w:space="0" w:color="auto"/>
              </w:divBdr>
            </w:div>
          </w:divsChild>
        </w:div>
        <w:div w:id="2032487405">
          <w:marLeft w:val="0"/>
          <w:marRight w:val="0"/>
          <w:marTop w:val="0"/>
          <w:marBottom w:val="0"/>
          <w:divBdr>
            <w:top w:val="none" w:sz="0" w:space="0" w:color="auto"/>
            <w:left w:val="none" w:sz="0" w:space="0" w:color="auto"/>
            <w:bottom w:val="none" w:sz="0" w:space="0" w:color="auto"/>
            <w:right w:val="none" w:sz="0" w:space="0" w:color="auto"/>
          </w:divBdr>
          <w:divsChild>
            <w:div w:id="1296637053">
              <w:marLeft w:val="0"/>
              <w:marRight w:val="0"/>
              <w:marTop w:val="0"/>
              <w:marBottom w:val="0"/>
              <w:divBdr>
                <w:top w:val="none" w:sz="0" w:space="0" w:color="auto"/>
                <w:left w:val="none" w:sz="0" w:space="0" w:color="auto"/>
                <w:bottom w:val="none" w:sz="0" w:space="0" w:color="auto"/>
                <w:right w:val="none" w:sz="0" w:space="0" w:color="auto"/>
              </w:divBdr>
            </w:div>
          </w:divsChild>
        </w:div>
        <w:div w:id="2036269563">
          <w:marLeft w:val="0"/>
          <w:marRight w:val="0"/>
          <w:marTop w:val="0"/>
          <w:marBottom w:val="0"/>
          <w:divBdr>
            <w:top w:val="none" w:sz="0" w:space="0" w:color="auto"/>
            <w:left w:val="none" w:sz="0" w:space="0" w:color="auto"/>
            <w:bottom w:val="none" w:sz="0" w:space="0" w:color="auto"/>
            <w:right w:val="none" w:sz="0" w:space="0" w:color="auto"/>
          </w:divBdr>
          <w:divsChild>
            <w:div w:id="697387423">
              <w:marLeft w:val="0"/>
              <w:marRight w:val="0"/>
              <w:marTop w:val="0"/>
              <w:marBottom w:val="0"/>
              <w:divBdr>
                <w:top w:val="none" w:sz="0" w:space="0" w:color="auto"/>
                <w:left w:val="none" w:sz="0" w:space="0" w:color="auto"/>
                <w:bottom w:val="none" w:sz="0" w:space="0" w:color="auto"/>
                <w:right w:val="none" w:sz="0" w:space="0" w:color="auto"/>
              </w:divBdr>
            </w:div>
          </w:divsChild>
        </w:div>
        <w:div w:id="2050761045">
          <w:marLeft w:val="0"/>
          <w:marRight w:val="0"/>
          <w:marTop w:val="0"/>
          <w:marBottom w:val="0"/>
          <w:divBdr>
            <w:top w:val="none" w:sz="0" w:space="0" w:color="auto"/>
            <w:left w:val="none" w:sz="0" w:space="0" w:color="auto"/>
            <w:bottom w:val="none" w:sz="0" w:space="0" w:color="auto"/>
            <w:right w:val="none" w:sz="0" w:space="0" w:color="auto"/>
          </w:divBdr>
          <w:divsChild>
            <w:div w:id="1250624388">
              <w:marLeft w:val="0"/>
              <w:marRight w:val="0"/>
              <w:marTop w:val="0"/>
              <w:marBottom w:val="0"/>
              <w:divBdr>
                <w:top w:val="none" w:sz="0" w:space="0" w:color="auto"/>
                <w:left w:val="none" w:sz="0" w:space="0" w:color="auto"/>
                <w:bottom w:val="none" w:sz="0" w:space="0" w:color="auto"/>
                <w:right w:val="none" w:sz="0" w:space="0" w:color="auto"/>
              </w:divBdr>
            </w:div>
          </w:divsChild>
        </w:div>
        <w:div w:id="2066758255">
          <w:marLeft w:val="0"/>
          <w:marRight w:val="0"/>
          <w:marTop w:val="0"/>
          <w:marBottom w:val="0"/>
          <w:divBdr>
            <w:top w:val="none" w:sz="0" w:space="0" w:color="auto"/>
            <w:left w:val="none" w:sz="0" w:space="0" w:color="auto"/>
            <w:bottom w:val="none" w:sz="0" w:space="0" w:color="auto"/>
            <w:right w:val="none" w:sz="0" w:space="0" w:color="auto"/>
          </w:divBdr>
          <w:divsChild>
            <w:div w:id="1008823624">
              <w:marLeft w:val="0"/>
              <w:marRight w:val="0"/>
              <w:marTop w:val="0"/>
              <w:marBottom w:val="0"/>
              <w:divBdr>
                <w:top w:val="none" w:sz="0" w:space="0" w:color="auto"/>
                <w:left w:val="none" w:sz="0" w:space="0" w:color="auto"/>
                <w:bottom w:val="none" w:sz="0" w:space="0" w:color="auto"/>
                <w:right w:val="none" w:sz="0" w:space="0" w:color="auto"/>
              </w:divBdr>
            </w:div>
          </w:divsChild>
        </w:div>
        <w:div w:id="2066760378">
          <w:marLeft w:val="0"/>
          <w:marRight w:val="0"/>
          <w:marTop w:val="0"/>
          <w:marBottom w:val="0"/>
          <w:divBdr>
            <w:top w:val="none" w:sz="0" w:space="0" w:color="auto"/>
            <w:left w:val="none" w:sz="0" w:space="0" w:color="auto"/>
            <w:bottom w:val="none" w:sz="0" w:space="0" w:color="auto"/>
            <w:right w:val="none" w:sz="0" w:space="0" w:color="auto"/>
          </w:divBdr>
          <w:divsChild>
            <w:div w:id="550458787">
              <w:marLeft w:val="0"/>
              <w:marRight w:val="0"/>
              <w:marTop w:val="0"/>
              <w:marBottom w:val="0"/>
              <w:divBdr>
                <w:top w:val="none" w:sz="0" w:space="0" w:color="auto"/>
                <w:left w:val="none" w:sz="0" w:space="0" w:color="auto"/>
                <w:bottom w:val="none" w:sz="0" w:space="0" w:color="auto"/>
                <w:right w:val="none" w:sz="0" w:space="0" w:color="auto"/>
              </w:divBdr>
            </w:div>
          </w:divsChild>
        </w:div>
        <w:div w:id="2067600786">
          <w:marLeft w:val="0"/>
          <w:marRight w:val="0"/>
          <w:marTop w:val="0"/>
          <w:marBottom w:val="0"/>
          <w:divBdr>
            <w:top w:val="none" w:sz="0" w:space="0" w:color="auto"/>
            <w:left w:val="none" w:sz="0" w:space="0" w:color="auto"/>
            <w:bottom w:val="none" w:sz="0" w:space="0" w:color="auto"/>
            <w:right w:val="none" w:sz="0" w:space="0" w:color="auto"/>
          </w:divBdr>
          <w:divsChild>
            <w:div w:id="1914508319">
              <w:marLeft w:val="0"/>
              <w:marRight w:val="0"/>
              <w:marTop w:val="0"/>
              <w:marBottom w:val="0"/>
              <w:divBdr>
                <w:top w:val="none" w:sz="0" w:space="0" w:color="auto"/>
                <w:left w:val="none" w:sz="0" w:space="0" w:color="auto"/>
                <w:bottom w:val="none" w:sz="0" w:space="0" w:color="auto"/>
                <w:right w:val="none" w:sz="0" w:space="0" w:color="auto"/>
              </w:divBdr>
            </w:div>
          </w:divsChild>
        </w:div>
        <w:div w:id="2075425064">
          <w:marLeft w:val="0"/>
          <w:marRight w:val="0"/>
          <w:marTop w:val="0"/>
          <w:marBottom w:val="0"/>
          <w:divBdr>
            <w:top w:val="none" w:sz="0" w:space="0" w:color="auto"/>
            <w:left w:val="none" w:sz="0" w:space="0" w:color="auto"/>
            <w:bottom w:val="none" w:sz="0" w:space="0" w:color="auto"/>
            <w:right w:val="none" w:sz="0" w:space="0" w:color="auto"/>
          </w:divBdr>
          <w:divsChild>
            <w:div w:id="998845987">
              <w:marLeft w:val="0"/>
              <w:marRight w:val="0"/>
              <w:marTop w:val="0"/>
              <w:marBottom w:val="0"/>
              <w:divBdr>
                <w:top w:val="none" w:sz="0" w:space="0" w:color="auto"/>
                <w:left w:val="none" w:sz="0" w:space="0" w:color="auto"/>
                <w:bottom w:val="none" w:sz="0" w:space="0" w:color="auto"/>
                <w:right w:val="none" w:sz="0" w:space="0" w:color="auto"/>
              </w:divBdr>
            </w:div>
          </w:divsChild>
        </w:div>
        <w:div w:id="2082753335">
          <w:marLeft w:val="0"/>
          <w:marRight w:val="0"/>
          <w:marTop w:val="0"/>
          <w:marBottom w:val="0"/>
          <w:divBdr>
            <w:top w:val="none" w:sz="0" w:space="0" w:color="auto"/>
            <w:left w:val="none" w:sz="0" w:space="0" w:color="auto"/>
            <w:bottom w:val="none" w:sz="0" w:space="0" w:color="auto"/>
            <w:right w:val="none" w:sz="0" w:space="0" w:color="auto"/>
          </w:divBdr>
          <w:divsChild>
            <w:div w:id="1223062216">
              <w:marLeft w:val="0"/>
              <w:marRight w:val="0"/>
              <w:marTop w:val="0"/>
              <w:marBottom w:val="0"/>
              <w:divBdr>
                <w:top w:val="none" w:sz="0" w:space="0" w:color="auto"/>
                <w:left w:val="none" w:sz="0" w:space="0" w:color="auto"/>
                <w:bottom w:val="none" w:sz="0" w:space="0" w:color="auto"/>
                <w:right w:val="none" w:sz="0" w:space="0" w:color="auto"/>
              </w:divBdr>
            </w:div>
          </w:divsChild>
        </w:div>
        <w:div w:id="2093695110">
          <w:marLeft w:val="0"/>
          <w:marRight w:val="0"/>
          <w:marTop w:val="0"/>
          <w:marBottom w:val="0"/>
          <w:divBdr>
            <w:top w:val="none" w:sz="0" w:space="0" w:color="auto"/>
            <w:left w:val="none" w:sz="0" w:space="0" w:color="auto"/>
            <w:bottom w:val="none" w:sz="0" w:space="0" w:color="auto"/>
            <w:right w:val="none" w:sz="0" w:space="0" w:color="auto"/>
          </w:divBdr>
          <w:divsChild>
            <w:div w:id="1555773420">
              <w:marLeft w:val="0"/>
              <w:marRight w:val="0"/>
              <w:marTop w:val="0"/>
              <w:marBottom w:val="0"/>
              <w:divBdr>
                <w:top w:val="none" w:sz="0" w:space="0" w:color="auto"/>
                <w:left w:val="none" w:sz="0" w:space="0" w:color="auto"/>
                <w:bottom w:val="none" w:sz="0" w:space="0" w:color="auto"/>
                <w:right w:val="none" w:sz="0" w:space="0" w:color="auto"/>
              </w:divBdr>
            </w:div>
          </w:divsChild>
        </w:div>
        <w:div w:id="2101367824">
          <w:marLeft w:val="0"/>
          <w:marRight w:val="0"/>
          <w:marTop w:val="0"/>
          <w:marBottom w:val="0"/>
          <w:divBdr>
            <w:top w:val="none" w:sz="0" w:space="0" w:color="auto"/>
            <w:left w:val="none" w:sz="0" w:space="0" w:color="auto"/>
            <w:bottom w:val="none" w:sz="0" w:space="0" w:color="auto"/>
            <w:right w:val="none" w:sz="0" w:space="0" w:color="auto"/>
          </w:divBdr>
          <w:divsChild>
            <w:div w:id="202600849">
              <w:marLeft w:val="0"/>
              <w:marRight w:val="0"/>
              <w:marTop w:val="0"/>
              <w:marBottom w:val="0"/>
              <w:divBdr>
                <w:top w:val="none" w:sz="0" w:space="0" w:color="auto"/>
                <w:left w:val="none" w:sz="0" w:space="0" w:color="auto"/>
                <w:bottom w:val="none" w:sz="0" w:space="0" w:color="auto"/>
                <w:right w:val="none" w:sz="0" w:space="0" w:color="auto"/>
              </w:divBdr>
            </w:div>
          </w:divsChild>
        </w:div>
        <w:div w:id="2102292334">
          <w:marLeft w:val="0"/>
          <w:marRight w:val="0"/>
          <w:marTop w:val="0"/>
          <w:marBottom w:val="0"/>
          <w:divBdr>
            <w:top w:val="none" w:sz="0" w:space="0" w:color="auto"/>
            <w:left w:val="none" w:sz="0" w:space="0" w:color="auto"/>
            <w:bottom w:val="none" w:sz="0" w:space="0" w:color="auto"/>
            <w:right w:val="none" w:sz="0" w:space="0" w:color="auto"/>
          </w:divBdr>
          <w:divsChild>
            <w:div w:id="962734019">
              <w:marLeft w:val="0"/>
              <w:marRight w:val="0"/>
              <w:marTop w:val="0"/>
              <w:marBottom w:val="0"/>
              <w:divBdr>
                <w:top w:val="none" w:sz="0" w:space="0" w:color="auto"/>
                <w:left w:val="none" w:sz="0" w:space="0" w:color="auto"/>
                <w:bottom w:val="none" w:sz="0" w:space="0" w:color="auto"/>
                <w:right w:val="none" w:sz="0" w:space="0" w:color="auto"/>
              </w:divBdr>
            </w:div>
          </w:divsChild>
        </w:div>
        <w:div w:id="2104304814">
          <w:marLeft w:val="0"/>
          <w:marRight w:val="0"/>
          <w:marTop w:val="0"/>
          <w:marBottom w:val="0"/>
          <w:divBdr>
            <w:top w:val="none" w:sz="0" w:space="0" w:color="auto"/>
            <w:left w:val="none" w:sz="0" w:space="0" w:color="auto"/>
            <w:bottom w:val="none" w:sz="0" w:space="0" w:color="auto"/>
            <w:right w:val="none" w:sz="0" w:space="0" w:color="auto"/>
          </w:divBdr>
          <w:divsChild>
            <w:div w:id="330109353">
              <w:marLeft w:val="0"/>
              <w:marRight w:val="0"/>
              <w:marTop w:val="0"/>
              <w:marBottom w:val="0"/>
              <w:divBdr>
                <w:top w:val="none" w:sz="0" w:space="0" w:color="auto"/>
                <w:left w:val="none" w:sz="0" w:space="0" w:color="auto"/>
                <w:bottom w:val="none" w:sz="0" w:space="0" w:color="auto"/>
                <w:right w:val="none" w:sz="0" w:space="0" w:color="auto"/>
              </w:divBdr>
            </w:div>
          </w:divsChild>
        </w:div>
        <w:div w:id="2105345837">
          <w:marLeft w:val="0"/>
          <w:marRight w:val="0"/>
          <w:marTop w:val="0"/>
          <w:marBottom w:val="0"/>
          <w:divBdr>
            <w:top w:val="none" w:sz="0" w:space="0" w:color="auto"/>
            <w:left w:val="none" w:sz="0" w:space="0" w:color="auto"/>
            <w:bottom w:val="none" w:sz="0" w:space="0" w:color="auto"/>
            <w:right w:val="none" w:sz="0" w:space="0" w:color="auto"/>
          </w:divBdr>
          <w:divsChild>
            <w:div w:id="1283003116">
              <w:marLeft w:val="0"/>
              <w:marRight w:val="0"/>
              <w:marTop w:val="0"/>
              <w:marBottom w:val="0"/>
              <w:divBdr>
                <w:top w:val="none" w:sz="0" w:space="0" w:color="auto"/>
                <w:left w:val="none" w:sz="0" w:space="0" w:color="auto"/>
                <w:bottom w:val="none" w:sz="0" w:space="0" w:color="auto"/>
                <w:right w:val="none" w:sz="0" w:space="0" w:color="auto"/>
              </w:divBdr>
            </w:div>
          </w:divsChild>
        </w:div>
        <w:div w:id="2136629546">
          <w:marLeft w:val="0"/>
          <w:marRight w:val="0"/>
          <w:marTop w:val="0"/>
          <w:marBottom w:val="0"/>
          <w:divBdr>
            <w:top w:val="none" w:sz="0" w:space="0" w:color="auto"/>
            <w:left w:val="none" w:sz="0" w:space="0" w:color="auto"/>
            <w:bottom w:val="none" w:sz="0" w:space="0" w:color="auto"/>
            <w:right w:val="none" w:sz="0" w:space="0" w:color="auto"/>
          </w:divBdr>
          <w:divsChild>
            <w:div w:id="869728696">
              <w:marLeft w:val="0"/>
              <w:marRight w:val="0"/>
              <w:marTop w:val="0"/>
              <w:marBottom w:val="0"/>
              <w:divBdr>
                <w:top w:val="none" w:sz="0" w:space="0" w:color="auto"/>
                <w:left w:val="none" w:sz="0" w:space="0" w:color="auto"/>
                <w:bottom w:val="none" w:sz="0" w:space="0" w:color="auto"/>
                <w:right w:val="none" w:sz="0" w:space="0" w:color="auto"/>
              </w:divBdr>
            </w:div>
          </w:divsChild>
        </w:div>
        <w:div w:id="2137137141">
          <w:marLeft w:val="0"/>
          <w:marRight w:val="0"/>
          <w:marTop w:val="0"/>
          <w:marBottom w:val="0"/>
          <w:divBdr>
            <w:top w:val="none" w:sz="0" w:space="0" w:color="auto"/>
            <w:left w:val="none" w:sz="0" w:space="0" w:color="auto"/>
            <w:bottom w:val="none" w:sz="0" w:space="0" w:color="auto"/>
            <w:right w:val="none" w:sz="0" w:space="0" w:color="auto"/>
          </w:divBdr>
          <w:divsChild>
            <w:div w:id="17021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988574">
      <w:bodyDiv w:val="1"/>
      <w:marLeft w:val="0"/>
      <w:marRight w:val="0"/>
      <w:marTop w:val="0"/>
      <w:marBottom w:val="0"/>
      <w:divBdr>
        <w:top w:val="none" w:sz="0" w:space="0" w:color="auto"/>
        <w:left w:val="none" w:sz="0" w:space="0" w:color="auto"/>
        <w:bottom w:val="none" w:sz="0" w:space="0" w:color="auto"/>
        <w:right w:val="none" w:sz="0" w:space="0" w:color="auto"/>
      </w:divBdr>
    </w:div>
    <w:div w:id="1534460278">
      <w:bodyDiv w:val="1"/>
      <w:marLeft w:val="0"/>
      <w:marRight w:val="0"/>
      <w:marTop w:val="0"/>
      <w:marBottom w:val="0"/>
      <w:divBdr>
        <w:top w:val="none" w:sz="0" w:space="0" w:color="auto"/>
        <w:left w:val="none" w:sz="0" w:space="0" w:color="auto"/>
        <w:bottom w:val="none" w:sz="0" w:space="0" w:color="auto"/>
        <w:right w:val="none" w:sz="0" w:space="0" w:color="auto"/>
      </w:divBdr>
      <w:divsChild>
        <w:div w:id="120811910">
          <w:marLeft w:val="446"/>
          <w:marRight w:val="0"/>
          <w:marTop w:val="0"/>
          <w:marBottom w:val="0"/>
          <w:divBdr>
            <w:top w:val="none" w:sz="0" w:space="0" w:color="auto"/>
            <w:left w:val="none" w:sz="0" w:space="0" w:color="auto"/>
            <w:bottom w:val="none" w:sz="0" w:space="0" w:color="auto"/>
            <w:right w:val="none" w:sz="0" w:space="0" w:color="auto"/>
          </w:divBdr>
        </w:div>
        <w:div w:id="384915270">
          <w:marLeft w:val="446"/>
          <w:marRight w:val="0"/>
          <w:marTop w:val="0"/>
          <w:marBottom w:val="0"/>
          <w:divBdr>
            <w:top w:val="none" w:sz="0" w:space="0" w:color="auto"/>
            <w:left w:val="none" w:sz="0" w:space="0" w:color="auto"/>
            <w:bottom w:val="none" w:sz="0" w:space="0" w:color="auto"/>
            <w:right w:val="none" w:sz="0" w:space="0" w:color="auto"/>
          </w:divBdr>
        </w:div>
        <w:div w:id="1835758552">
          <w:marLeft w:val="446"/>
          <w:marRight w:val="0"/>
          <w:marTop w:val="0"/>
          <w:marBottom w:val="0"/>
          <w:divBdr>
            <w:top w:val="none" w:sz="0" w:space="0" w:color="auto"/>
            <w:left w:val="none" w:sz="0" w:space="0" w:color="auto"/>
            <w:bottom w:val="none" w:sz="0" w:space="0" w:color="auto"/>
            <w:right w:val="none" w:sz="0" w:space="0" w:color="auto"/>
          </w:divBdr>
        </w:div>
        <w:div w:id="2024671627">
          <w:marLeft w:val="446"/>
          <w:marRight w:val="0"/>
          <w:marTop w:val="0"/>
          <w:marBottom w:val="0"/>
          <w:divBdr>
            <w:top w:val="none" w:sz="0" w:space="0" w:color="auto"/>
            <w:left w:val="none" w:sz="0" w:space="0" w:color="auto"/>
            <w:bottom w:val="none" w:sz="0" w:space="0" w:color="auto"/>
            <w:right w:val="none" w:sz="0" w:space="0" w:color="auto"/>
          </w:divBdr>
        </w:div>
      </w:divsChild>
    </w:div>
    <w:div w:id="1534881021">
      <w:bodyDiv w:val="1"/>
      <w:marLeft w:val="0"/>
      <w:marRight w:val="0"/>
      <w:marTop w:val="0"/>
      <w:marBottom w:val="0"/>
      <w:divBdr>
        <w:top w:val="none" w:sz="0" w:space="0" w:color="auto"/>
        <w:left w:val="none" w:sz="0" w:space="0" w:color="auto"/>
        <w:bottom w:val="none" w:sz="0" w:space="0" w:color="auto"/>
        <w:right w:val="none" w:sz="0" w:space="0" w:color="auto"/>
      </w:divBdr>
    </w:div>
    <w:div w:id="1560089815">
      <w:bodyDiv w:val="1"/>
      <w:marLeft w:val="0"/>
      <w:marRight w:val="0"/>
      <w:marTop w:val="0"/>
      <w:marBottom w:val="0"/>
      <w:divBdr>
        <w:top w:val="none" w:sz="0" w:space="0" w:color="auto"/>
        <w:left w:val="none" w:sz="0" w:space="0" w:color="auto"/>
        <w:bottom w:val="none" w:sz="0" w:space="0" w:color="auto"/>
        <w:right w:val="none" w:sz="0" w:space="0" w:color="auto"/>
      </w:divBdr>
    </w:div>
    <w:div w:id="1569681606">
      <w:bodyDiv w:val="1"/>
      <w:marLeft w:val="0"/>
      <w:marRight w:val="0"/>
      <w:marTop w:val="0"/>
      <w:marBottom w:val="0"/>
      <w:divBdr>
        <w:top w:val="none" w:sz="0" w:space="0" w:color="auto"/>
        <w:left w:val="none" w:sz="0" w:space="0" w:color="auto"/>
        <w:bottom w:val="none" w:sz="0" w:space="0" w:color="auto"/>
        <w:right w:val="none" w:sz="0" w:space="0" w:color="auto"/>
      </w:divBdr>
    </w:div>
    <w:div w:id="1575385077">
      <w:bodyDiv w:val="1"/>
      <w:marLeft w:val="0"/>
      <w:marRight w:val="0"/>
      <w:marTop w:val="0"/>
      <w:marBottom w:val="0"/>
      <w:divBdr>
        <w:top w:val="none" w:sz="0" w:space="0" w:color="auto"/>
        <w:left w:val="none" w:sz="0" w:space="0" w:color="auto"/>
        <w:bottom w:val="none" w:sz="0" w:space="0" w:color="auto"/>
        <w:right w:val="none" w:sz="0" w:space="0" w:color="auto"/>
      </w:divBdr>
    </w:div>
    <w:div w:id="1594436167">
      <w:bodyDiv w:val="1"/>
      <w:marLeft w:val="0"/>
      <w:marRight w:val="0"/>
      <w:marTop w:val="0"/>
      <w:marBottom w:val="0"/>
      <w:divBdr>
        <w:top w:val="none" w:sz="0" w:space="0" w:color="auto"/>
        <w:left w:val="none" w:sz="0" w:space="0" w:color="auto"/>
        <w:bottom w:val="none" w:sz="0" w:space="0" w:color="auto"/>
        <w:right w:val="none" w:sz="0" w:space="0" w:color="auto"/>
      </w:divBdr>
    </w:div>
    <w:div w:id="1631282347">
      <w:bodyDiv w:val="1"/>
      <w:marLeft w:val="0"/>
      <w:marRight w:val="0"/>
      <w:marTop w:val="0"/>
      <w:marBottom w:val="0"/>
      <w:divBdr>
        <w:top w:val="none" w:sz="0" w:space="0" w:color="auto"/>
        <w:left w:val="none" w:sz="0" w:space="0" w:color="auto"/>
        <w:bottom w:val="none" w:sz="0" w:space="0" w:color="auto"/>
        <w:right w:val="none" w:sz="0" w:space="0" w:color="auto"/>
      </w:divBdr>
    </w:div>
    <w:div w:id="1637222214">
      <w:bodyDiv w:val="1"/>
      <w:marLeft w:val="0"/>
      <w:marRight w:val="0"/>
      <w:marTop w:val="0"/>
      <w:marBottom w:val="0"/>
      <w:divBdr>
        <w:top w:val="none" w:sz="0" w:space="0" w:color="auto"/>
        <w:left w:val="none" w:sz="0" w:space="0" w:color="auto"/>
        <w:bottom w:val="none" w:sz="0" w:space="0" w:color="auto"/>
        <w:right w:val="none" w:sz="0" w:space="0" w:color="auto"/>
      </w:divBdr>
    </w:div>
    <w:div w:id="1639603234">
      <w:bodyDiv w:val="1"/>
      <w:marLeft w:val="0"/>
      <w:marRight w:val="0"/>
      <w:marTop w:val="0"/>
      <w:marBottom w:val="0"/>
      <w:divBdr>
        <w:top w:val="none" w:sz="0" w:space="0" w:color="auto"/>
        <w:left w:val="none" w:sz="0" w:space="0" w:color="auto"/>
        <w:bottom w:val="none" w:sz="0" w:space="0" w:color="auto"/>
        <w:right w:val="none" w:sz="0" w:space="0" w:color="auto"/>
      </w:divBdr>
    </w:div>
    <w:div w:id="1640648205">
      <w:bodyDiv w:val="1"/>
      <w:marLeft w:val="0"/>
      <w:marRight w:val="0"/>
      <w:marTop w:val="0"/>
      <w:marBottom w:val="0"/>
      <w:divBdr>
        <w:top w:val="none" w:sz="0" w:space="0" w:color="auto"/>
        <w:left w:val="none" w:sz="0" w:space="0" w:color="auto"/>
        <w:bottom w:val="none" w:sz="0" w:space="0" w:color="auto"/>
        <w:right w:val="none" w:sz="0" w:space="0" w:color="auto"/>
      </w:divBdr>
    </w:div>
    <w:div w:id="1696035111">
      <w:bodyDiv w:val="1"/>
      <w:marLeft w:val="0"/>
      <w:marRight w:val="0"/>
      <w:marTop w:val="0"/>
      <w:marBottom w:val="0"/>
      <w:divBdr>
        <w:top w:val="none" w:sz="0" w:space="0" w:color="auto"/>
        <w:left w:val="none" w:sz="0" w:space="0" w:color="auto"/>
        <w:bottom w:val="none" w:sz="0" w:space="0" w:color="auto"/>
        <w:right w:val="none" w:sz="0" w:space="0" w:color="auto"/>
      </w:divBdr>
    </w:div>
    <w:div w:id="1704595920">
      <w:bodyDiv w:val="1"/>
      <w:marLeft w:val="0"/>
      <w:marRight w:val="0"/>
      <w:marTop w:val="0"/>
      <w:marBottom w:val="0"/>
      <w:divBdr>
        <w:top w:val="none" w:sz="0" w:space="0" w:color="auto"/>
        <w:left w:val="none" w:sz="0" w:space="0" w:color="auto"/>
        <w:bottom w:val="none" w:sz="0" w:space="0" w:color="auto"/>
        <w:right w:val="none" w:sz="0" w:space="0" w:color="auto"/>
      </w:divBdr>
      <w:divsChild>
        <w:div w:id="192884985">
          <w:marLeft w:val="446"/>
          <w:marRight w:val="0"/>
          <w:marTop w:val="0"/>
          <w:marBottom w:val="0"/>
          <w:divBdr>
            <w:top w:val="none" w:sz="0" w:space="0" w:color="auto"/>
            <w:left w:val="none" w:sz="0" w:space="0" w:color="auto"/>
            <w:bottom w:val="none" w:sz="0" w:space="0" w:color="auto"/>
            <w:right w:val="none" w:sz="0" w:space="0" w:color="auto"/>
          </w:divBdr>
        </w:div>
        <w:div w:id="245387302">
          <w:marLeft w:val="446"/>
          <w:marRight w:val="0"/>
          <w:marTop w:val="0"/>
          <w:marBottom w:val="0"/>
          <w:divBdr>
            <w:top w:val="none" w:sz="0" w:space="0" w:color="auto"/>
            <w:left w:val="none" w:sz="0" w:space="0" w:color="auto"/>
            <w:bottom w:val="none" w:sz="0" w:space="0" w:color="auto"/>
            <w:right w:val="none" w:sz="0" w:space="0" w:color="auto"/>
          </w:divBdr>
        </w:div>
        <w:div w:id="326246330">
          <w:marLeft w:val="446"/>
          <w:marRight w:val="0"/>
          <w:marTop w:val="0"/>
          <w:marBottom w:val="0"/>
          <w:divBdr>
            <w:top w:val="none" w:sz="0" w:space="0" w:color="auto"/>
            <w:left w:val="none" w:sz="0" w:space="0" w:color="auto"/>
            <w:bottom w:val="none" w:sz="0" w:space="0" w:color="auto"/>
            <w:right w:val="none" w:sz="0" w:space="0" w:color="auto"/>
          </w:divBdr>
        </w:div>
        <w:div w:id="1353609733">
          <w:marLeft w:val="446"/>
          <w:marRight w:val="0"/>
          <w:marTop w:val="0"/>
          <w:marBottom w:val="0"/>
          <w:divBdr>
            <w:top w:val="none" w:sz="0" w:space="0" w:color="auto"/>
            <w:left w:val="none" w:sz="0" w:space="0" w:color="auto"/>
            <w:bottom w:val="none" w:sz="0" w:space="0" w:color="auto"/>
            <w:right w:val="none" w:sz="0" w:space="0" w:color="auto"/>
          </w:divBdr>
        </w:div>
      </w:divsChild>
    </w:div>
    <w:div w:id="1724937593">
      <w:bodyDiv w:val="1"/>
      <w:marLeft w:val="0"/>
      <w:marRight w:val="0"/>
      <w:marTop w:val="0"/>
      <w:marBottom w:val="0"/>
      <w:divBdr>
        <w:top w:val="none" w:sz="0" w:space="0" w:color="auto"/>
        <w:left w:val="none" w:sz="0" w:space="0" w:color="auto"/>
        <w:bottom w:val="none" w:sz="0" w:space="0" w:color="auto"/>
        <w:right w:val="none" w:sz="0" w:space="0" w:color="auto"/>
      </w:divBdr>
    </w:div>
    <w:div w:id="1738479417">
      <w:bodyDiv w:val="1"/>
      <w:marLeft w:val="0"/>
      <w:marRight w:val="0"/>
      <w:marTop w:val="0"/>
      <w:marBottom w:val="0"/>
      <w:divBdr>
        <w:top w:val="none" w:sz="0" w:space="0" w:color="auto"/>
        <w:left w:val="none" w:sz="0" w:space="0" w:color="auto"/>
        <w:bottom w:val="none" w:sz="0" w:space="0" w:color="auto"/>
        <w:right w:val="none" w:sz="0" w:space="0" w:color="auto"/>
      </w:divBdr>
      <w:divsChild>
        <w:div w:id="343097061">
          <w:marLeft w:val="446"/>
          <w:marRight w:val="0"/>
          <w:marTop w:val="0"/>
          <w:marBottom w:val="0"/>
          <w:divBdr>
            <w:top w:val="none" w:sz="0" w:space="0" w:color="auto"/>
            <w:left w:val="none" w:sz="0" w:space="0" w:color="auto"/>
            <w:bottom w:val="none" w:sz="0" w:space="0" w:color="auto"/>
            <w:right w:val="none" w:sz="0" w:space="0" w:color="auto"/>
          </w:divBdr>
        </w:div>
        <w:div w:id="1617520899">
          <w:marLeft w:val="446"/>
          <w:marRight w:val="0"/>
          <w:marTop w:val="0"/>
          <w:marBottom w:val="0"/>
          <w:divBdr>
            <w:top w:val="none" w:sz="0" w:space="0" w:color="auto"/>
            <w:left w:val="none" w:sz="0" w:space="0" w:color="auto"/>
            <w:bottom w:val="none" w:sz="0" w:space="0" w:color="auto"/>
            <w:right w:val="none" w:sz="0" w:space="0" w:color="auto"/>
          </w:divBdr>
        </w:div>
        <w:div w:id="1747334189">
          <w:marLeft w:val="446"/>
          <w:marRight w:val="0"/>
          <w:marTop w:val="0"/>
          <w:marBottom w:val="0"/>
          <w:divBdr>
            <w:top w:val="none" w:sz="0" w:space="0" w:color="auto"/>
            <w:left w:val="none" w:sz="0" w:space="0" w:color="auto"/>
            <w:bottom w:val="none" w:sz="0" w:space="0" w:color="auto"/>
            <w:right w:val="none" w:sz="0" w:space="0" w:color="auto"/>
          </w:divBdr>
        </w:div>
        <w:div w:id="2083599597">
          <w:marLeft w:val="446"/>
          <w:marRight w:val="0"/>
          <w:marTop w:val="0"/>
          <w:marBottom w:val="0"/>
          <w:divBdr>
            <w:top w:val="none" w:sz="0" w:space="0" w:color="auto"/>
            <w:left w:val="none" w:sz="0" w:space="0" w:color="auto"/>
            <w:bottom w:val="none" w:sz="0" w:space="0" w:color="auto"/>
            <w:right w:val="none" w:sz="0" w:space="0" w:color="auto"/>
          </w:divBdr>
        </w:div>
      </w:divsChild>
    </w:div>
    <w:div w:id="1739666374">
      <w:bodyDiv w:val="1"/>
      <w:marLeft w:val="0"/>
      <w:marRight w:val="0"/>
      <w:marTop w:val="0"/>
      <w:marBottom w:val="0"/>
      <w:divBdr>
        <w:top w:val="none" w:sz="0" w:space="0" w:color="auto"/>
        <w:left w:val="none" w:sz="0" w:space="0" w:color="auto"/>
        <w:bottom w:val="none" w:sz="0" w:space="0" w:color="auto"/>
        <w:right w:val="none" w:sz="0" w:space="0" w:color="auto"/>
      </w:divBdr>
    </w:div>
    <w:div w:id="1763910023">
      <w:bodyDiv w:val="1"/>
      <w:marLeft w:val="0"/>
      <w:marRight w:val="0"/>
      <w:marTop w:val="0"/>
      <w:marBottom w:val="0"/>
      <w:divBdr>
        <w:top w:val="none" w:sz="0" w:space="0" w:color="auto"/>
        <w:left w:val="none" w:sz="0" w:space="0" w:color="auto"/>
        <w:bottom w:val="none" w:sz="0" w:space="0" w:color="auto"/>
        <w:right w:val="none" w:sz="0" w:space="0" w:color="auto"/>
      </w:divBdr>
    </w:div>
    <w:div w:id="1765222861">
      <w:bodyDiv w:val="1"/>
      <w:marLeft w:val="0"/>
      <w:marRight w:val="0"/>
      <w:marTop w:val="0"/>
      <w:marBottom w:val="0"/>
      <w:divBdr>
        <w:top w:val="none" w:sz="0" w:space="0" w:color="auto"/>
        <w:left w:val="none" w:sz="0" w:space="0" w:color="auto"/>
        <w:bottom w:val="none" w:sz="0" w:space="0" w:color="auto"/>
        <w:right w:val="none" w:sz="0" w:space="0" w:color="auto"/>
      </w:divBdr>
    </w:div>
    <w:div w:id="1833520570">
      <w:bodyDiv w:val="1"/>
      <w:marLeft w:val="0"/>
      <w:marRight w:val="0"/>
      <w:marTop w:val="0"/>
      <w:marBottom w:val="0"/>
      <w:divBdr>
        <w:top w:val="none" w:sz="0" w:space="0" w:color="auto"/>
        <w:left w:val="none" w:sz="0" w:space="0" w:color="auto"/>
        <w:bottom w:val="none" w:sz="0" w:space="0" w:color="auto"/>
        <w:right w:val="none" w:sz="0" w:space="0" w:color="auto"/>
      </w:divBdr>
      <w:divsChild>
        <w:div w:id="1034039476">
          <w:marLeft w:val="446"/>
          <w:marRight w:val="0"/>
          <w:marTop w:val="0"/>
          <w:marBottom w:val="0"/>
          <w:divBdr>
            <w:top w:val="none" w:sz="0" w:space="0" w:color="auto"/>
            <w:left w:val="none" w:sz="0" w:space="0" w:color="auto"/>
            <w:bottom w:val="none" w:sz="0" w:space="0" w:color="auto"/>
            <w:right w:val="none" w:sz="0" w:space="0" w:color="auto"/>
          </w:divBdr>
        </w:div>
        <w:div w:id="1099956350">
          <w:marLeft w:val="446"/>
          <w:marRight w:val="0"/>
          <w:marTop w:val="0"/>
          <w:marBottom w:val="0"/>
          <w:divBdr>
            <w:top w:val="none" w:sz="0" w:space="0" w:color="auto"/>
            <w:left w:val="none" w:sz="0" w:space="0" w:color="auto"/>
            <w:bottom w:val="none" w:sz="0" w:space="0" w:color="auto"/>
            <w:right w:val="none" w:sz="0" w:space="0" w:color="auto"/>
          </w:divBdr>
        </w:div>
      </w:divsChild>
    </w:div>
    <w:div w:id="1883325871">
      <w:bodyDiv w:val="1"/>
      <w:marLeft w:val="0"/>
      <w:marRight w:val="0"/>
      <w:marTop w:val="0"/>
      <w:marBottom w:val="0"/>
      <w:divBdr>
        <w:top w:val="none" w:sz="0" w:space="0" w:color="auto"/>
        <w:left w:val="none" w:sz="0" w:space="0" w:color="auto"/>
        <w:bottom w:val="none" w:sz="0" w:space="0" w:color="auto"/>
        <w:right w:val="none" w:sz="0" w:space="0" w:color="auto"/>
      </w:divBdr>
    </w:div>
    <w:div w:id="1894347537">
      <w:bodyDiv w:val="1"/>
      <w:marLeft w:val="0"/>
      <w:marRight w:val="0"/>
      <w:marTop w:val="0"/>
      <w:marBottom w:val="0"/>
      <w:divBdr>
        <w:top w:val="none" w:sz="0" w:space="0" w:color="auto"/>
        <w:left w:val="none" w:sz="0" w:space="0" w:color="auto"/>
        <w:bottom w:val="none" w:sz="0" w:space="0" w:color="auto"/>
        <w:right w:val="none" w:sz="0" w:space="0" w:color="auto"/>
      </w:divBdr>
      <w:divsChild>
        <w:div w:id="31737457">
          <w:marLeft w:val="446"/>
          <w:marRight w:val="0"/>
          <w:marTop w:val="0"/>
          <w:marBottom w:val="0"/>
          <w:divBdr>
            <w:top w:val="none" w:sz="0" w:space="0" w:color="auto"/>
            <w:left w:val="none" w:sz="0" w:space="0" w:color="auto"/>
            <w:bottom w:val="none" w:sz="0" w:space="0" w:color="auto"/>
            <w:right w:val="none" w:sz="0" w:space="0" w:color="auto"/>
          </w:divBdr>
        </w:div>
        <w:div w:id="212086588">
          <w:marLeft w:val="446"/>
          <w:marRight w:val="0"/>
          <w:marTop w:val="0"/>
          <w:marBottom w:val="0"/>
          <w:divBdr>
            <w:top w:val="none" w:sz="0" w:space="0" w:color="auto"/>
            <w:left w:val="none" w:sz="0" w:space="0" w:color="auto"/>
            <w:bottom w:val="none" w:sz="0" w:space="0" w:color="auto"/>
            <w:right w:val="none" w:sz="0" w:space="0" w:color="auto"/>
          </w:divBdr>
        </w:div>
      </w:divsChild>
    </w:div>
    <w:div w:id="1916697637">
      <w:bodyDiv w:val="1"/>
      <w:marLeft w:val="0"/>
      <w:marRight w:val="0"/>
      <w:marTop w:val="0"/>
      <w:marBottom w:val="0"/>
      <w:divBdr>
        <w:top w:val="none" w:sz="0" w:space="0" w:color="auto"/>
        <w:left w:val="none" w:sz="0" w:space="0" w:color="auto"/>
        <w:bottom w:val="none" w:sz="0" w:space="0" w:color="auto"/>
        <w:right w:val="none" w:sz="0" w:space="0" w:color="auto"/>
      </w:divBdr>
    </w:div>
    <w:div w:id="1949845086">
      <w:bodyDiv w:val="1"/>
      <w:marLeft w:val="0"/>
      <w:marRight w:val="0"/>
      <w:marTop w:val="0"/>
      <w:marBottom w:val="0"/>
      <w:divBdr>
        <w:top w:val="none" w:sz="0" w:space="0" w:color="auto"/>
        <w:left w:val="none" w:sz="0" w:space="0" w:color="auto"/>
        <w:bottom w:val="none" w:sz="0" w:space="0" w:color="auto"/>
        <w:right w:val="none" w:sz="0" w:space="0" w:color="auto"/>
      </w:divBdr>
    </w:div>
    <w:div w:id="1950042765">
      <w:bodyDiv w:val="1"/>
      <w:marLeft w:val="0"/>
      <w:marRight w:val="0"/>
      <w:marTop w:val="0"/>
      <w:marBottom w:val="0"/>
      <w:divBdr>
        <w:top w:val="none" w:sz="0" w:space="0" w:color="auto"/>
        <w:left w:val="none" w:sz="0" w:space="0" w:color="auto"/>
        <w:bottom w:val="none" w:sz="0" w:space="0" w:color="auto"/>
        <w:right w:val="none" w:sz="0" w:space="0" w:color="auto"/>
      </w:divBdr>
    </w:div>
    <w:div w:id="1955941574">
      <w:bodyDiv w:val="1"/>
      <w:marLeft w:val="0"/>
      <w:marRight w:val="0"/>
      <w:marTop w:val="0"/>
      <w:marBottom w:val="0"/>
      <w:divBdr>
        <w:top w:val="none" w:sz="0" w:space="0" w:color="auto"/>
        <w:left w:val="none" w:sz="0" w:space="0" w:color="auto"/>
        <w:bottom w:val="none" w:sz="0" w:space="0" w:color="auto"/>
        <w:right w:val="none" w:sz="0" w:space="0" w:color="auto"/>
      </w:divBdr>
      <w:divsChild>
        <w:div w:id="479230331">
          <w:marLeft w:val="446"/>
          <w:marRight w:val="0"/>
          <w:marTop w:val="0"/>
          <w:marBottom w:val="0"/>
          <w:divBdr>
            <w:top w:val="none" w:sz="0" w:space="0" w:color="auto"/>
            <w:left w:val="none" w:sz="0" w:space="0" w:color="auto"/>
            <w:bottom w:val="none" w:sz="0" w:space="0" w:color="auto"/>
            <w:right w:val="none" w:sz="0" w:space="0" w:color="auto"/>
          </w:divBdr>
        </w:div>
        <w:div w:id="1172258216">
          <w:marLeft w:val="446"/>
          <w:marRight w:val="0"/>
          <w:marTop w:val="0"/>
          <w:marBottom w:val="0"/>
          <w:divBdr>
            <w:top w:val="none" w:sz="0" w:space="0" w:color="auto"/>
            <w:left w:val="none" w:sz="0" w:space="0" w:color="auto"/>
            <w:bottom w:val="none" w:sz="0" w:space="0" w:color="auto"/>
            <w:right w:val="none" w:sz="0" w:space="0" w:color="auto"/>
          </w:divBdr>
        </w:div>
        <w:div w:id="1860924046">
          <w:marLeft w:val="446"/>
          <w:marRight w:val="0"/>
          <w:marTop w:val="0"/>
          <w:marBottom w:val="0"/>
          <w:divBdr>
            <w:top w:val="none" w:sz="0" w:space="0" w:color="auto"/>
            <w:left w:val="none" w:sz="0" w:space="0" w:color="auto"/>
            <w:bottom w:val="none" w:sz="0" w:space="0" w:color="auto"/>
            <w:right w:val="none" w:sz="0" w:space="0" w:color="auto"/>
          </w:divBdr>
        </w:div>
        <w:div w:id="2014061413">
          <w:marLeft w:val="446"/>
          <w:marRight w:val="0"/>
          <w:marTop w:val="0"/>
          <w:marBottom w:val="0"/>
          <w:divBdr>
            <w:top w:val="none" w:sz="0" w:space="0" w:color="auto"/>
            <w:left w:val="none" w:sz="0" w:space="0" w:color="auto"/>
            <w:bottom w:val="none" w:sz="0" w:space="0" w:color="auto"/>
            <w:right w:val="none" w:sz="0" w:space="0" w:color="auto"/>
          </w:divBdr>
        </w:div>
      </w:divsChild>
    </w:div>
    <w:div w:id="1982953036">
      <w:bodyDiv w:val="1"/>
      <w:marLeft w:val="0"/>
      <w:marRight w:val="0"/>
      <w:marTop w:val="0"/>
      <w:marBottom w:val="0"/>
      <w:divBdr>
        <w:top w:val="none" w:sz="0" w:space="0" w:color="auto"/>
        <w:left w:val="none" w:sz="0" w:space="0" w:color="auto"/>
        <w:bottom w:val="none" w:sz="0" w:space="0" w:color="auto"/>
        <w:right w:val="none" w:sz="0" w:space="0" w:color="auto"/>
      </w:divBdr>
      <w:divsChild>
        <w:div w:id="476189730">
          <w:marLeft w:val="446"/>
          <w:marRight w:val="0"/>
          <w:marTop w:val="0"/>
          <w:marBottom w:val="0"/>
          <w:divBdr>
            <w:top w:val="none" w:sz="0" w:space="0" w:color="auto"/>
            <w:left w:val="none" w:sz="0" w:space="0" w:color="auto"/>
            <w:bottom w:val="none" w:sz="0" w:space="0" w:color="auto"/>
            <w:right w:val="none" w:sz="0" w:space="0" w:color="auto"/>
          </w:divBdr>
        </w:div>
        <w:div w:id="774446836">
          <w:marLeft w:val="446"/>
          <w:marRight w:val="0"/>
          <w:marTop w:val="0"/>
          <w:marBottom w:val="0"/>
          <w:divBdr>
            <w:top w:val="none" w:sz="0" w:space="0" w:color="auto"/>
            <w:left w:val="none" w:sz="0" w:space="0" w:color="auto"/>
            <w:bottom w:val="none" w:sz="0" w:space="0" w:color="auto"/>
            <w:right w:val="none" w:sz="0" w:space="0" w:color="auto"/>
          </w:divBdr>
        </w:div>
        <w:div w:id="911158710">
          <w:marLeft w:val="446"/>
          <w:marRight w:val="0"/>
          <w:marTop w:val="0"/>
          <w:marBottom w:val="0"/>
          <w:divBdr>
            <w:top w:val="none" w:sz="0" w:space="0" w:color="auto"/>
            <w:left w:val="none" w:sz="0" w:space="0" w:color="auto"/>
            <w:bottom w:val="none" w:sz="0" w:space="0" w:color="auto"/>
            <w:right w:val="none" w:sz="0" w:space="0" w:color="auto"/>
          </w:divBdr>
        </w:div>
        <w:div w:id="1037773472">
          <w:marLeft w:val="446"/>
          <w:marRight w:val="0"/>
          <w:marTop w:val="0"/>
          <w:marBottom w:val="0"/>
          <w:divBdr>
            <w:top w:val="none" w:sz="0" w:space="0" w:color="auto"/>
            <w:left w:val="none" w:sz="0" w:space="0" w:color="auto"/>
            <w:bottom w:val="none" w:sz="0" w:space="0" w:color="auto"/>
            <w:right w:val="none" w:sz="0" w:space="0" w:color="auto"/>
          </w:divBdr>
        </w:div>
      </w:divsChild>
    </w:div>
    <w:div w:id="2012679056">
      <w:bodyDiv w:val="1"/>
      <w:marLeft w:val="0"/>
      <w:marRight w:val="0"/>
      <w:marTop w:val="0"/>
      <w:marBottom w:val="0"/>
      <w:divBdr>
        <w:top w:val="none" w:sz="0" w:space="0" w:color="auto"/>
        <w:left w:val="none" w:sz="0" w:space="0" w:color="auto"/>
        <w:bottom w:val="none" w:sz="0" w:space="0" w:color="auto"/>
        <w:right w:val="none" w:sz="0" w:space="0" w:color="auto"/>
      </w:divBdr>
    </w:div>
    <w:div w:id="2017877941">
      <w:bodyDiv w:val="1"/>
      <w:marLeft w:val="0"/>
      <w:marRight w:val="0"/>
      <w:marTop w:val="0"/>
      <w:marBottom w:val="0"/>
      <w:divBdr>
        <w:top w:val="none" w:sz="0" w:space="0" w:color="auto"/>
        <w:left w:val="none" w:sz="0" w:space="0" w:color="auto"/>
        <w:bottom w:val="none" w:sz="0" w:space="0" w:color="auto"/>
        <w:right w:val="none" w:sz="0" w:space="0" w:color="auto"/>
      </w:divBdr>
      <w:divsChild>
        <w:div w:id="769811132">
          <w:marLeft w:val="446"/>
          <w:marRight w:val="0"/>
          <w:marTop w:val="0"/>
          <w:marBottom w:val="0"/>
          <w:divBdr>
            <w:top w:val="none" w:sz="0" w:space="0" w:color="auto"/>
            <w:left w:val="none" w:sz="0" w:space="0" w:color="auto"/>
            <w:bottom w:val="none" w:sz="0" w:space="0" w:color="auto"/>
            <w:right w:val="none" w:sz="0" w:space="0" w:color="auto"/>
          </w:divBdr>
        </w:div>
      </w:divsChild>
    </w:div>
    <w:div w:id="2082754148">
      <w:bodyDiv w:val="1"/>
      <w:marLeft w:val="0"/>
      <w:marRight w:val="0"/>
      <w:marTop w:val="0"/>
      <w:marBottom w:val="0"/>
      <w:divBdr>
        <w:top w:val="none" w:sz="0" w:space="0" w:color="auto"/>
        <w:left w:val="none" w:sz="0" w:space="0" w:color="auto"/>
        <w:bottom w:val="none" w:sz="0" w:space="0" w:color="auto"/>
        <w:right w:val="none" w:sz="0" w:space="0" w:color="auto"/>
      </w:divBdr>
    </w:div>
    <w:div w:id="2100054539">
      <w:bodyDiv w:val="1"/>
      <w:marLeft w:val="0"/>
      <w:marRight w:val="0"/>
      <w:marTop w:val="0"/>
      <w:marBottom w:val="0"/>
      <w:divBdr>
        <w:top w:val="none" w:sz="0" w:space="0" w:color="auto"/>
        <w:left w:val="none" w:sz="0" w:space="0" w:color="auto"/>
        <w:bottom w:val="none" w:sz="0" w:space="0" w:color="auto"/>
        <w:right w:val="none" w:sz="0" w:space="0" w:color="auto"/>
      </w:divBdr>
    </w:div>
    <w:div w:id="2101633224">
      <w:bodyDiv w:val="1"/>
      <w:marLeft w:val="0"/>
      <w:marRight w:val="0"/>
      <w:marTop w:val="0"/>
      <w:marBottom w:val="0"/>
      <w:divBdr>
        <w:top w:val="none" w:sz="0" w:space="0" w:color="auto"/>
        <w:left w:val="none" w:sz="0" w:space="0" w:color="auto"/>
        <w:bottom w:val="none" w:sz="0" w:space="0" w:color="auto"/>
        <w:right w:val="none" w:sz="0" w:space="0" w:color="auto"/>
      </w:divBdr>
    </w:div>
    <w:div w:id="2138332545">
      <w:bodyDiv w:val="1"/>
      <w:marLeft w:val="0"/>
      <w:marRight w:val="0"/>
      <w:marTop w:val="0"/>
      <w:marBottom w:val="0"/>
      <w:divBdr>
        <w:top w:val="none" w:sz="0" w:space="0" w:color="auto"/>
        <w:left w:val="none" w:sz="0" w:space="0" w:color="auto"/>
        <w:bottom w:val="none" w:sz="0" w:space="0" w:color="auto"/>
        <w:right w:val="none" w:sz="0" w:space="0" w:color="auto"/>
      </w:divBdr>
    </w:div>
    <w:div w:id="2141531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7326/0003-4819-147-5-200709040-00003" TargetMode="External"/><Relationship Id="rId299" Type="http://schemas.openxmlformats.org/officeDocument/2006/relationships/hyperlink" Target="https://doi.org/https://dx.doi.org/10.1136/archdischild-2016-311544" TargetMode="External"/><Relationship Id="rId21" Type="http://schemas.openxmlformats.org/officeDocument/2006/relationships/image" Target="media/image5.emf"/><Relationship Id="rId63" Type="http://schemas.openxmlformats.org/officeDocument/2006/relationships/hyperlink" Target="https://doi.org/10.1177/2050640613502788" TargetMode="External"/><Relationship Id="rId159" Type="http://schemas.openxmlformats.org/officeDocument/2006/relationships/hyperlink" Target="https://doi.org/10.1177/000456320003700406" TargetMode="External"/><Relationship Id="rId324" Type="http://schemas.openxmlformats.org/officeDocument/2006/relationships/hyperlink" Target="https://doi.org/http://dx.doi.org/10.1136/annrheumdis-2014-eular.1238" TargetMode="External"/><Relationship Id="rId366" Type="http://schemas.openxmlformats.org/officeDocument/2006/relationships/hyperlink" Target="https://doi.org/http://dx.doi.org/10.1093/humrep/det209" TargetMode="External"/><Relationship Id="rId170" Type="http://schemas.openxmlformats.org/officeDocument/2006/relationships/hyperlink" Target="https://doi.org/https://doi.org/10.1111/j.1651-2227.1995.tb13631.x" TargetMode="External"/><Relationship Id="rId226" Type="http://schemas.openxmlformats.org/officeDocument/2006/relationships/hyperlink" Target="https://doi.org/10.1186/1471-230X-7-8" TargetMode="External"/><Relationship Id="rId433" Type="http://schemas.openxmlformats.org/officeDocument/2006/relationships/image" Target="media/image56.png"/><Relationship Id="rId268" Type="http://schemas.openxmlformats.org/officeDocument/2006/relationships/hyperlink" Target="https://doi.org/10.1053/j.gastro.2017.11.006" TargetMode="External"/><Relationship Id="rId32" Type="http://schemas.openxmlformats.org/officeDocument/2006/relationships/image" Target="media/image14.png"/><Relationship Id="rId74" Type="http://schemas.openxmlformats.org/officeDocument/2006/relationships/hyperlink" Target="https://doi.org/10.7326/0003-4819-155-8-201110180-00009" TargetMode="External"/><Relationship Id="rId128" Type="http://schemas.openxmlformats.org/officeDocument/2006/relationships/hyperlink" Target="https://doi.org/http://dx.doi.org/10.1111/j.1365-2036.2008.03652.x" TargetMode="External"/><Relationship Id="rId335" Type="http://schemas.openxmlformats.org/officeDocument/2006/relationships/hyperlink" Target="https://doi.org/http://dx.doi.org/10.5114/pg.2013.36333" TargetMode="External"/><Relationship Id="rId377" Type="http://schemas.openxmlformats.org/officeDocument/2006/relationships/hyperlink" Target="https://doi.org/10.1111/j.1742-1241.2007.01619.x" TargetMode="External"/><Relationship Id="rId5" Type="http://schemas.openxmlformats.org/officeDocument/2006/relationships/numbering" Target="numbering.xml"/><Relationship Id="rId181" Type="http://schemas.openxmlformats.org/officeDocument/2006/relationships/hyperlink" Target="https://www.videoscribe.co/en/" TargetMode="External"/><Relationship Id="rId237" Type="http://schemas.openxmlformats.org/officeDocument/2006/relationships/hyperlink" Target="https://doi.org/10.1177/0962280211419832" TargetMode="External"/><Relationship Id="rId402" Type="http://schemas.openxmlformats.org/officeDocument/2006/relationships/hyperlink" Target="https://doi.org/http://dx.doi.org/10.1111/j.1365-2265.2005.02214.x" TargetMode="External"/><Relationship Id="rId279" Type="http://schemas.openxmlformats.org/officeDocument/2006/relationships/hyperlink" Target="https://doi.org/http://dx.doi.org/10.1016/S0016-5085%2819%2939262-5" TargetMode="External"/><Relationship Id="rId444" Type="http://schemas.openxmlformats.org/officeDocument/2006/relationships/image" Target="media/image67.png"/><Relationship Id="rId43" Type="http://schemas.openxmlformats.org/officeDocument/2006/relationships/image" Target="media/image22.png"/><Relationship Id="rId139" Type="http://schemas.openxmlformats.org/officeDocument/2006/relationships/hyperlink" Target="https://doi.org/https://dx.doi.org/10.1111/j.1651-2227.2010.02124.x" TargetMode="External"/><Relationship Id="rId290" Type="http://schemas.openxmlformats.org/officeDocument/2006/relationships/hyperlink" Target="https://doi.org/http://dx.doi.org/10.1080/08035250510025879" TargetMode="External"/><Relationship Id="rId304" Type="http://schemas.openxmlformats.org/officeDocument/2006/relationships/hyperlink" Target="https://doi.org/http://dx.doi.org/10.3906/sag-1502-130" TargetMode="External"/><Relationship Id="rId346" Type="http://schemas.openxmlformats.org/officeDocument/2006/relationships/hyperlink" Target="https://doi.org/http://dx.doi.org/10.3109/00365529709002997" TargetMode="External"/><Relationship Id="rId388" Type="http://schemas.openxmlformats.org/officeDocument/2006/relationships/hyperlink" Target="https://doi.org/http://dx.doi.org/10.1111/apa.12823" TargetMode="External"/><Relationship Id="rId85" Type="http://schemas.openxmlformats.org/officeDocument/2006/relationships/hyperlink" Target="https://doi.org/10.7326/L15-5093-2" TargetMode="External"/><Relationship Id="rId150" Type="http://schemas.openxmlformats.org/officeDocument/2006/relationships/hyperlink" Target="https://doi.org/http://dx.doi.org/10.1016/j.cgh.2007.01.003" TargetMode="External"/><Relationship Id="rId192" Type="http://schemas.openxmlformats.org/officeDocument/2006/relationships/hyperlink" Target="https://doi.org/10.1097/MCG.0b013e318187311d" TargetMode="External"/><Relationship Id="rId206" Type="http://schemas.openxmlformats.org/officeDocument/2006/relationships/hyperlink" Target="https://doi.org/10.1136/gut.2010.219030" TargetMode="External"/><Relationship Id="rId413" Type="http://schemas.openxmlformats.org/officeDocument/2006/relationships/image" Target="media/image36.png"/><Relationship Id="rId248" Type="http://schemas.openxmlformats.org/officeDocument/2006/relationships/hyperlink" Target="https://doi.org/http://dx.doi.org/10.1007/s11892-014-0517-x" TargetMode="External"/><Relationship Id="rId12" Type="http://schemas.openxmlformats.org/officeDocument/2006/relationships/header" Target="header2.xml"/><Relationship Id="rId108" Type="http://schemas.openxmlformats.org/officeDocument/2006/relationships/hyperlink" Target="https://doi.org/http://dx.doi.org/10.1016/j.cgh.2017.04.025" TargetMode="External"/><Relationship Id="rId315" Type="http://schemas.openxmlformats.org/officeDocument/2006/relationships/hyperlink" Target="https://doi.org/http://dx.doi.org/10.1016/S0887-8994%2800%2900129-6" TargetMode="External"/><Relationship Id="rId357" Type="http://schemas.openxmlformats.org/officeDocument/2006/relationships/hyperlink" Target="https://doi.org/http://dx.doi.org/10.1159/000369615" TargetMode="External"/><Relationship Id="rId54" Type="http://schemas.openxmlformats.org/officeDocument/2006/relationships/hyperlink" Target="https://doi.org/10.1038/ajg.2014.55" TargetMode="External"/><Relationship Id="rId96" Type="http://schemas.openxmlformats.org/officeDocument/2006/relationships/hyperlink" Target="https://doi.org/10.1046/j.1365-3016.2001.00325.x" TargetMode="External"/><Relationship Id="rId161" Type="http://schemas.openxmlformats.org/officeDocument/2006/relationships/hyperlink" Target="https://doi.org/10.5001/omj.2013.68" TargetMode="External"/><Relationship Id="rId217" Type="http://schemas.openxmlformats.org/officeDocument/2006/relationships/hyperlink" Target="https://doi.org/10.1007/s001980050107" TargetMode="External"/><Relationship Id="rId399" Type="http://schemas.openxmlformats.org/officeDocument/2006/relationships/hyperlink" Target="https://doi.org/10.4183/aeb.2017.174" TargetMode="External"/><Relationship Id="rId259" Type="http://schemas.openxmlformats.org/officeDocument/2006/relationships/hyperlink" Target="https://doi.org/10.1038/ajg.2015.296" TargetMode="External"/><Relationship Id="rId424" Type="http://schemas.openxmlformats.org/officeDocument/2006/relationships/image" Target="media/image47.png"/><Relationship Id="rId23" Type="http://schemas.openxmlformats.org/officeDocument/2006/relationships/footer" Target="footer4.xml"/><Relationship Id="rId119" Type="http://schemas.openxmlformats.org/officeDocument/2006/relationships/hyperlink" Target="https://doi.org/http://dx.doi.org/10.1016/j.cgh.2007.12.008" TargetMode="External"/><Relationship Id="rId270" Type="http://schemas.openxmlformats.org/officeDocument/2006/relationships/hyperlink" Target="https://doi.org/http://dx.doi.org/10.1016/j.cgh.2015.05.014" TargetMode="External"/><Relationship Id="rId326" Type="http://schemas.openxmlformats.org/officeDocument/2006/relationships/hyperlink" Target="https://doi.org/http://dx.doi.org/10.3390/nu10070849" TargetMode="External"/><Relationship Id="rId65" Type="http://schemas.openxmlformats.org/officeDocument/2006/relationships/hyperlink" Target="https://doi.org/https://doi.org/10.1016/S0140-6736(17)31796-8" TargetMode="External"/><Relationship Id="rId130" Type="http://schemas.openxmlformats.org/officeDocument/2006/relationships/hyperlink" Target="https://doi.org/http://dx.doi.org/10.3748/wjg.v16.i25.3144" TargetMode="External"/><Relationship Id="rId368" Type="http://schemas.openxmlformats.org/officeDocument/2006/relationships/hyperlink" Target="https://doi.org/http://dx.doi.org/10.1111/aji.13127" TargetMode="External"/><Relationship Id="rId172" Type="http://schemas.openxmlformats.org/officeDocument/2006/relationships/hyperlink" Target="https://doi.org/10.3109/00365529409096837" TargetMode="External"/><Relationship Id="rId228" Type="http://schemas.openxmlformats.org/officeDocument/2006/relationships/hyperlink" Target="https://wwwonsgovuk/peoplepopulationandcommunity/birthsdeathsandmarriages/lifeexpectancies/datasets/nationallifetablesunitedkingdomreferencetables" TargetMode="External"/><Relationship Id="rId435" Type="http://schemas.openxmlformats.org/officeDocument/2006/relationships/image" Target="media/image58.png"/><Relationship Id="rId281" Type="http://schemas.openxmlformats.org/officeDocument/2006/relationships/hyperlink" Target="https://doi.org/http://dx.doi.org/10.1097/01.meg.0000059104.41030.1c" TargetMode="External"/><Relationship Id="rId337" Type="http://schemas.openxmlformats.org/officeDocument/2006/relationships/hyperlink" Target="https://doi.org/http://dx.doi.org/10.1053/j.gastro.2011.06.084" TargetMode="External"/><Relationship Id="rId34" Type="http://schemas.openxmlformats.org/officeDocument/2006/relationships/image" Target="media/image16.png"/><Relationship Id="rId76" Type="http://schemas.openxmlformats.org/officeDocument/2006/relationships/hyperlink" Target="https://doi.org/10.1016/j.jclinepi.2006.06.011" TargetMode="External"/><Relationship Id="rId141" Type="http://schemas.openxmlformats.org/officeDocument/2006/relationships/hyperlink" Target="https://doi.org/http://dx.doi.org/10.1097/MCG.0b013e31802fc1e3" TargetMode="External"/><Relationship Id="rId379" Type="http://schemas.openxmlformats.org/officeDocument/2006/relationships/hyperlink" Target="https://doi.org/http://dx.doi.org/10.1111/dme.12163" TargetMode="External"/><Relationship Id="rId7" Type="http://schemas.openxmlformats.org/officeDocument/2006/relationships/settings" Target="settings.xml"/><Relationship Id="rId183" Type="http://schemas.openxmlformats.org/officeDocument/2006/relationships/hyperlink" Target="https://youtu.be/_PVLGDVSL3E" TargetMode="External"/><Relationship Id="rId239" Type="http://schemas.openxmlformats.org/officeDocument/2006/relationships/hyperlink" Target="https://doi.org/10.1177/0272989X15575286" TargetMode="External"/><Relationship Id="rId390" Type="http://schemas.openxmlformats.org/officeDocument/2006/relationships/hyperlink" Target="https://doi.org/http://dx.doi.org/10.4318/tjg.2010.0093" TargetMode="External"/><Relationship Id="rId404" Type="http://schemas.openxmlformats.org/officeDocument/2006/relationships/hyperlink" Target="https://doi.org/http://dx.doi.org/10.1007/s10654-006-9002-4" TargetMode="External"/><Relationship Id="rId446" Type="http://schemas.openxmlformats.org/officeDocument/2006/relationships/image" Target="media/image69.png"/><Relationship Id="rId250" Type="http://schemas.openxmlformats.org/officeDocument/2006/relationships/hyperlink" Target="https://doi.org/10.1053/j.gastro.2018.04.016" TargetMode="External"/><Relationship Id="rId292" Type="http://schemas.openxmlformats.org/officeDocument/2006/relationships/hyperlink" Target="https://doi.org/http://dx.doi.org/10.1007/s13312-018-1223-6" TargetMode="External"/><Relationship Id="rId306" Type="http://schemas.openxmlformats.org/officeDocument/2006/relationships/hyperlink" Target="https://doi.org/http://dx.doi.org/10.1006/clim.2000.4983" TargetMode="External"/><Relationship Id="rId45" Type="http://schemas.openxmlformats.org/officeDocument/2006/relationships/image" Target="media/image24.png"/><Relationship Id="rId87" Type="http://schemas.openxmlformats.org/officeDocument/2006/relationships/hyperlink" Target="https://doi.org/10.48329/7308-xf35" TargetMode="External"/><Relationship Id="rId110" Type="http://schemas.openxmlformats.org/officeDocument/2006/relationships/hyperlink" Target="https://doi.org/https://dx.doi.org/10.5001/omj.2013.68" TargetMode="External"/><Relationship Id="rId348" Type="http://schemas.openxmlformats.org/officeDocument/2006/relationships/hyperlink" Target="https://doi.org/http://dx.doi.org/10.1093/tropej/fmq057" TargetMode="External"/><Relationship Id="rId152" Type="http://schemas.openxmlformats.org/officeDocument/2006/relationships/hyperlink" Target="https://doi.org/http://dx.doi.org/10.1515/CCLM.2011.518" TargetMode="External"/><Relationship Id="rId194" Type="http://schemas.openxmlformats.org/officeDocument/2006/relationships/hyperlink" Target="https://doi.org/10.1007/s10198-012-0441-4" TargetMode="External"/><Relationship Id="rId208" Type="http://schemas.openxmlformats.org/officeDocument/2006/relationships/hyperlink" Target="https://doi.org/10.1111/apt.15109" TargetMode="External"/><Relationship Id="rId415" Type="http://schemas.openxmlformats.org/officeDocument/2006/relationships/image" Target="media/image38.png"/><Relationship Id="rId261" Type="http://schemas.openxmlformats.org/officeDocument/2006/relationships/hyperlink" Target="https://doi.org/http://dx.doi.org/10.3748/wjg.v20.i42.15830" TargetMode="External"/><Relationship Id="rId14" Type="http://schemas.openxmlformats.org/officeDocument/2006/relationships/footer" Target="footer2.xml"/><Relationship Id="rId56" Type="http://schemas.openxmlformats.org/officeDocument/2006/relationships/hyperlink" Target="https://doi.org/10.1016/S0140-6736(03)14027-5" TargetMode="External"/><Relationship Id="rId317" Type="http://schemas.openxmlformats.org/officeDocument/2006/relationships/hyperlink" Target="https://doi.org/http://dx.doi.org/10.1007/s12664-019-00990-3" TargetMode="External"/><Relationship Id="rId359" Type="http://schemas.openxmlformats.org/officeDocument/2006/relationships/hyperlink" Target="https://doi.org/http://dx.doi.org/10.1111/ajd.13308" TargetMode="External"/><Relationship Id="rId98" Type="http://schemas.openxmlformats.org/officeDocument/2006/relationships/hyperlink" Target="https://doi.org/10.1093/ije/dys066" TargetMode="External"/><Relationship Id="rId121" Type="http://schemas.openxmlformats.org/officeDocument/2006/relationships/hyperlink" Target="https://doi.org/http://dx.doi.org/10.1038/s41395-018-0143-3" TargetMode="External"/><Relationship Id="rId163" Type="http://schemas.openxmlformats.org/officeDocument/2006/relationships/hyperlink" Target="https://doi.org/http://dx.doi.org/10.1097/00042737-199706000-00002" TargetMode="External"/><Relationship Id="rId219" Type="http://schemas.openxmlformats.org/officeDocument/2006/relationships/hyperlink" Target="https://doi.org/10.1007/978-94-007-7596-1_3" TargetMode="External"/><Relationship Id="rId370" Type="http://schemas.openxmlformats.org/officeDocument/2006/relationships/hyperlink" Target="https://doi.org/http://dx.doi.org/10.1111/j.0001-6349.2004.00592.x" TargetMode="External"/><Relationship Id="rId426" Type="http://schemas.openxmlformats.org/officeDocument/2006/relationships/image" Target="media/image49.png"/><Relationship Id="rId230" Type="http://schemas.openxmlformats.org/officeDocument/2006/relationships/hyperlink" Target="https://bnf.nice.org.uk/" TargetMode="External"/><Relationship Id="rId25" Type="http://schemas.openxmlformats.org/officeDocument/2006/relationships/image" Target="media/image8.png"/><Relationship Id="rId67" Type="http://schemas.openxmlformats.org/officeDocument/2006/relationships/hyperlink" Target="https://doi.org/10.1097/MPG.0b013e31821a23d0" TargetMode="External"/><Relationship Id="rId272" Type="http://schemas.openxmlformats.org/officeDocument/2006/relationships/hyperlink" Target="https://doi.org/http://dx.doi.org/10.1111/apt.14625" TargetMode="External"/><Relationship Id="rId328" Type="http://schemas.openxmlformats.org/officeDocument/2006/relationships/hyperlink" Target="https://doi.org/http://dx.doi.org/10.1136/gut.52.7.960" TargetMode="External"/><Relationship Id="rId132" Type="http://schemas.openxmlformats.org/officeDocument/2006/relationships/hyperlink" Target="https://doi.org/http://dx.doi.org/10.1046/j.1365-2036.2003.01595.x" TargetMode="External"/><Relationship Id="rId174" Type="http://schemas.openxmlformats.org/officeDocument/2006/relationships/hyperlink" Target="https://doi.org/10.1136/gutjnl-2013-304907.059" TargetMode="External"/><Relationship Id="rId381" Type="http://schemas.openxmlformats.org/officeDocument/2006/relationships/hyperlink" Target="https://doi.org/http://dx.doi.org/10.1371/journal.pone.0157510" TargetMode="External"/><Relationship Id="rId241" Type="http://schemas.openxmlformats.org/officeDocument/2006/relationships/hyperlink" Target="https://www.ons.gov.uk/peoplepopulationandcommunity/populationandmigration/populationestimates" TargetMode="External"/><Relationship Id="rId437" Type="http://schemas.openxmlformats.org/officeDocument/2006/relationships/image" Target="media/image60.tiff"/><Relationship Id="rId36" Type="http://schemas.openxmlformats.org/officeDocument/2006/relationships/image" Target="media/image18.png"/><Relationship Id="rId283" Type="http://schemas.openxmlformats.org/officeDocument/2006/relationships/hyperlink" Target="https://doi.org/http://dx.doi.org/10.1007/s12664-015-0586-z" TargetMode="External"/><Relationship Id="rId339" Type="http://schemas.openxmlformats.org/officeDocument/2006/relationships/hyperlink" Target="https://doi.org/http://dx.doi.org/10.1111/1751-2980.12587" TargetMode="External"/><Relationship Id="rId78" Type="http://schemas.openxmlformats.org/officeDocument/2006/relationships/hyperlink" Target="https://doi.org/10.1016/j.cgh.2017.06.037" TargetMode="External"/><Relationship Id="rId101" Type="http://schemas.openxmlformats.org/officeDocument/2006/relationships/hyperlink" Target="https://doi.org/10.1093/biomet/80.1.27" TargetMode="External"/><Relationship Id="rId143" Type="http://schemas.openxmlformats.org/officeDocument/2006/relationships/hyperlink" Target="https://doi.org/http://dx.doi.org/10.1111/j.1600-0463.2011.02817.x" TargetMode="External"/><Relationship Id="rId185" Type="http://schemas.openxmlformats.org/officeDocument/2006/relationships/hyperlink" Target="https://doi.org/10.1111/j.1365-2036.2009.04220.x" TargetMode="External"/><Relationship Id="rId350" Type="http://schemas.openxmlformats.org/officeDocument/2006/relationships/hyperlink" Target="https://doi.org/https://dx.doi.org/10.1177/0883073816630088" TargetMode="External"/><Relationship Id="rId406" Type="http://schemas.openxmlformats.org/officeDocument/2006/relationships/hyperlink" Target="https://doi.org/http://dx.doi.org/10.1007/s10620-008-0437-1" TargetMode="External"/><Relationship Id="rId9" Type="http://schemas.openxmlformats.org/officeDocument/2006/relationships/footnotes" Target="footnotes.xml"/><Relationship Id="rId210" Type="http://schemas.openxmlformats.org/officeDocument/2006/relationships/hyperlink" Target="https://doi.org/10.1097/meg.0000000000000841" TargetMode="External"/><Relationship Id="rId392" Type="http://schemas.openxmlformats.org/officeDocument/2006/relationships/hyperlink" Target="https://doi.org/10.1007/s001250051593" TargetMode="External"/><Relationship Id="rId448" Type="http://schemas.openxmlformats.org/officeDocument/2006/relationships/theme" Target="theme/theme1.xml"/><Relationship Id="rId252" Type="http://schemas.openxmlformats.org/officeDocument/2006/relationships/hyperlink" Target="https://doi.org/http://dx.doi.org/10.1097/MCG.0000000000000285" TargetMode="External"/><Relationship Id="rId294" Type="http://schemas.openxmlformats.org/officeDocument/2006/relationships/hyperlink" Target="https://doi.org/http://dx.doi.org/10.1023/B:DDAS.0000007875.72256.e8" TargetMode="External"/><Relationship Id="rId308" Type="http://schemas.openxmlformats.org/officeDocument/2006/relationships/hyperlink" Target="https://doi.org/http://dx.doi.org/10.1016/S1542-3565%2804%2900778-5" TargetMode="External"/><Relationship Id="rId47" Type="http://schemas.openxmlformats.org/officeDocument/2006/relationships/image" Target="media/image26.png"/><Relationship Id="rId89" Type="http://schemas.openxmlformats.org/officeDocument/2006/relationships/hyperlink" Target="https://doi.org/10.1371/journal.pone.0041308" TargetMode="External"/><Relationship Id="rId112" Type="http://schemas.openxmlformats.org/officeDocument/2006/relationships/hyperlink" Target="https://doi.org/http://dx.doi.org/10.1055/s-0033-1359200" TargetMode="External"/><Relationship Id="rId154" Type="http://schemas.openxmlformats.org/officeDocument/2006/relationships/hyperlink" Target="https://doi.org/http://dx.doi.org/10.1542/peds.2004-1392" TargetMode="External"/><Relationship Id="rId361" Type="http://schemas.openxmlformats.org/officeDocument/2006/relationships/hyperlink" Target="https://doi.org/https://dx.doi.org/10.1111/j.1365-2230.2010.03980.x" TargetMode="External"/><Relationship Id="rId196" Type="http://schemas.openxmlformats.org/officeDocument/2006/relationships/hyperlink" Target="https://doi.org/10.1016/j.cgh.2015.03.022" TargetMode="External"/><Relationship Id="rId417" Type="http://schemas.openxmlformats.org/officeDocument/2006/relationships/image" Target="media/image40.png"/><Relationship Id="rId16" Type="http://schemas.openxmlformats.org/officeDocument/2006/relationships/footer" Target="footer3.xml"/><Relationship Id="rId221" Type="http://schemas.openxmlformats.org/officeDocument/2006/relationships/hyperlink" Target="https://doi.org/10.3748/wjg.14.46" TargetMode="External"/><Relationship Id="rId263" Type="http://schemas.openxmlformats.org/officeDocument/2006/relationships/hyperlink" Target="https://doi.org/10.1136/gutjnl-2012-304110" TargetMode="External"/><Relationship Id="rId319" Type="http://schemas.openxmlformats.org/officeDocument/2006/relationships/hyperlink" Target="https://doi.org/http://dx.doi.org/10.1001/archinte.163.3.286" TargetMode="External"/><Relationship Id="rId58" Type="http://schemas.openxmlformats.org/officeDocument/2006/relationships/hyperlink" Target="https://doi.org/10.1186/s12876-021-01737-1" TargetMode="External"/><Relationship Id="rId123" Type="http://schemas.openxmlformats.org/officeDocument/2006/relationships/hyperlink" Target="https://doi.org/http://dx.doi.org/10.1016/j.cgh.2015.01.010" TargetMode="External"/><Relationship Id="rId330" Type="http://schemas.openxmlformats.org/officeDocument/2006/relationships/hyperlink" Target="https://doi.org/http://dx.doi.org/10.1053/j.gastro.2010.04.007" TargetMode="External"/><Relationship Id="rId165" Type="http://schemas.openxmlformats.org/officeDocument/2006/relationships/hyperlink" Target="https://doi.org/10.1136/bmj.303.6811.1163" TargetMode="External"/><Relationship Id="rId372" Type="http://schemas.openxmlformats.org/officeDocument/2006/relationships/hyperlink" Target="https://doi.org/http://dx.doi.org/10.1093/humrep/dei314" TargetMode="External"/><Relationship Id="rId428" Type="http://schemas.openxmlformats.org/officeDocument/2006/relationships/image" Target="media/image51.png"/><Relationship Id="rId232" Type="http://schemas.openxmlformats.org/officeDocument/2006/relationships/hyperlink" Target="https://doi.org/10.1007/s40258-021-00664-2" TargetMode="External"/><Relationship Id="rId274" Type="http://schemas.openxmlformats.org/officeDocument/2006/relationships/hyperlink" Target="https://doi.org/10.1097/00005176-200109000-00004" TargetMode="External"/><Relationship Id="rId27" Type="http://schemas.openxmlformats.org/officeDocument/2006/relationships/image" Target="media/image10.png"/><Relationship Id="rId69" Type="http://schemas.openxmlformats.org/officeDocument/2006/relationships/hyperlink" Target="https://doi.org/10.1001/jama.2017.19163" TargetMode="External"/><Relationship Id="rId134" Type="http://schemas.openxmlformats.org/officeDocument/2006/relationships/hyperlink" Target="https://doi.org/10.1136/gut.48.suppl_1.A77" TargetMode="External"/><Relationship Id="rId80" Type="http://schemas.openxmlformats.org/officeDocument/2006/relationships/hyperlink" Target="https://doi.org/10.1136/gutjnl-2013-306578" TargetMode="External"/><Relationship Id="rId176" Type="http://schemas.openxmlformats.org/officeDocument/2006/relationships/hyperlink" Target="https://doi.org/http://dx.doi.org/10.1097/MPG.0b013e3181b477a6" TargetMode="External"/><Relationship Id="rId341" Type="http://schemas.openxmlformats.org/officeDocument/2006/relationships/hyperlink" Target="https://doi.org/http://dx.doi.org/10.1016/S0140-6736%2801%2906581-3" TargetMode="External"/><Relationship Id="rId383" Type="http://schemas.openxmlformats.org/officeDocument/2006/relationships/hyperlink" Target="https://doi.org/http://dx.doi.org/10.1111/pedi.12200" TargetMode="External"/><Relationship Id="rId439" Type="http://schemas.openxmlformats.org/officeDocument/2006/relationships/image" Target="media/image62.png"/><Relationship Id="rId201" Type="http://schemas.openxmlformats.org/officeDocument/2006/relationships/hyperlink" Target="https://doi.org/10.1159/000489394" TargetMode="External"/><Relationship Id="rId243" Type="http://schemas.openxmlformats.org/officeDocument/2006/relationships/hyperlink" Target="https://doi.org/10.2147/CCID.S69127" TargetMode="External"/><Relationship Id="rId285" Type="http://schemas.openxmlformats.org/officeDocument/2006/relationships/hyperlink" Target="https://doi.org/http://dx.doi.org/10.1016/j.rgmx.2016.12.008" TargetMode="External"/><Relationship Id="rId38" Type="http://schemas.openxmlformats.org/officeDocument/2006/relationships/footer" Target="footer6.xml"/><Relationship Id="rId103" Type="http://schemas.openxmlformats.org/officeDocument/2006/relationships/hyperlink" Target="https://doi.org/10.1016/j.jclinepi.2013.05.014" TargetMode="External"/><Relationship Id="rId310" Type="http://schemas.openxmlformats.org/officeDocument/2006/relationships/hyperlink" Target="https://doi.org/http://dx.doi.org/10.1016/j.pediatrneurol.2006.11.011" TargetMode="External"/><Relationship Id="rId91" Type="http://schemas.openxmlformats.org/officeDocument/2006/relationships/hyperlink" Target="https://doi.org/10.1186/1471-2288-8-48" TargetMode="External"/><Relationship Id="rId145" Type="http://schemas.openxmlformats.org/officeDocument/2006/relationships/hyperlink" Target="https://doi.org/http://dx.doi.org/10.1007/s12098-017-2323-3" TargetMode="External"/><Relationship Id="rId187" Type="http://schemas.openxmlformats.org/officeDocument/2006/relationships/hyperlink" Target="https://doi.org/10.1023/a:1012396408370" TargetMode="External"/><Relationship Id="rId352" Type="http://schemas.openxmlformats.org/officeDocument/2006/relationships/hyperlink" Target="https://doi.org/http://dx.doi.org/10.4318/tjg.2011.0153" TargetMode="External"/><Relationship Id="rId394" Type="http://schemas.openxmlformats.org/officeDocument/2006/relationships/hyperlink" Target="https://doi.org/http://dx.doi.org/10.4318/tjg.2010.0045" TargetMode="External"/><Relationship Id="rId408" Type="http://schemas.openxmlformats.org/officeDocument/2006/relationships/image" Target="media/image31.png"/><Relationship Id="rId212" Type="http://schemas.openxmlformats.org/officeDocument/2006/relationships/hyperlink" Target="https://www.pssru.ac.uk/research/354" TargetMode="External"/><Relationship Id="rId254" Type="http://schemas.openxmlformats.org/officeDocument/2006/relationships/hyperlink" Target="https://doi.org/http://dx.doi.org/10.1111/j.1365-2036.2011.04685.x" TargetMode="External"/><Relationship Id="rId49" Type="http://schemas.openxmlformats.org/officeDocument/2006/relationships/image" Target="media/image28.png"/><Relationship Id="rId114" Type="http://schemas.openxmlformats.org/officeDocument/2006/relationships/hyperlink" Target="https://doi.org/http://dx.doi.org/10.1007/s10620-009-0789-1" TargetMode="External"/><Relationship Id="rId296" Type="http://schemas.openxmlformats.org/officeDocument/2006/relationships/hyperlink" Target="https://doi.org/http://dx.doi.org/10.1002/jbmr.2380" TargetMode="External"/><Relationship Id="rId60" Type="http://schemas.openxmlformats.org/officeDocument/2006/relationships/hyperlink" Target="https://doi.org/http://dx.doi.org/10.1097/MPG.0000000000002497" TargetMode="External"/><Relationship Id="rId156" Type="http://schemas.openxmlformats.org/officeDocument/2006/relationships/hyperlink" Target="https://doi.org/http://dx.doi.org/10.1002/eji.200990286" TargetMode="External"/><Relationship Id="rId198" Type="http://schemas.openxmlformats.org/officeDocument/2006/relationships/hyperlink" Target="https://www.coeliac.org.uk/healthcare-professionals/management/ongoing-symptoms-and-complications/" TargetMode="External"/><Relationship Id="rId321" Type="http://schemas.openxmlformats.org/officeDocument/2006/relationships/hyperlink" Target="https://doi.org/10.1016/j.humimm.2006.04.009" TargetMode="External"/><Relationship Id="rId363" Type="http://schemas.openxmlformats.org/officeDocument/2006/relationships/hyperlink" Target="https://doi.org/http://dx.doi.org/10.1191/0961203304lu1004oa" TargetMode="External"/><Relationship Id="rId419" Type="http://schemas.openxmlformats.org/officeDocument/2006/relationships/image" Target="media/image42.png"/><Relationship Id="rId223" Type="http://schemas.openxmlformats.org/officeDocument/2006/relationships/hyperlink" Target="https://doi.org/10.1007/s00277-017-3147-y" TargetMode="External"/><Relationship Id="rId430" Type="http://schemas.openxmlformats.org/officeDocument/2006/relationships/image" Target="media/image53.png"/><Relationship Id="rId18" Type="http://schemas.openxmlformats.org/officeDocument/2006/relationships/image" Target="media/image2.png"/><Relationship Id="rId39" Type="http://schemas.openxmlformats.org/officeDocument/2006/relationships/header" Target="header5.xml"/><Relationship Id="rId265" Type="http://schemas.openxmlformats.org/officeDocument/2006/relationships/hyperlink" Target="https://doi.org/10.3399/bjgp13X660733" TargetMode="External"/><Relationship Id="rId286" Type="http://schemas.openxmlformats.org/officeDocument/2006/relationships/hyperlink" Target="https://doi.org/https://dx.doi.org/10.20452/pamw.15094" TargetMode="External"/><Relationship Id="rId50" Type="http://schemas.openxmlformats.org/officeDocument/2006/relationships/image" Target="media/image29.png"/><Relationship Id="rId104" Type="http://schemas.openxmlformats.org/officeDocument/2006/relationships/hyperlink" Target="https://doi.org/10.1097/MCG.0000000000001081" TargetMode="External"/><Relationship Id="rId125" Type="http://schemas.openxmlformats.org/officeDocument/2006/relationships/hyperlink" Target="https://doi.org/http://dx.doi.org/10.1007/s10620-014-3143-1" TargetMode="External"/><Relationship Id="rId146" Type="http://schemas.openxmlformats.org/officeDocument/2006/relationships/hyperlink" Target="https://doi.org/https://dx.doi.org/10.3390/medsci4040020" TargetMode="External"/><Relationship Id="rId167" Type="http://schemas.openxmlformats.org/officeDocument/2006/relationships/hyperlink" Target="https://doi.org/10.1007/BF02208588" TargetMode="External"/><Relationship Id="rId188" Type="http://schemas.openxmlformats.org/officeDocument/2006/relationships/hyperlink" Target="https://doi.org/10.1111/j.1365-2036.2004.01958.x" TargetMode="External"/><Relationship Id="rId311" Type="http://schemas.openxmlformats.org/officeDocument/2006/relationships/hyperlink" Target="https://doi.org/http://dx.doi.org/10.1177/08830738060210010301" TargetMode="External"/><Relationship Id="rId332" Type="http://schemas.openxmlformats.org/officeDocument/2006/relationships/hyperlink" Target="https://doi.org/10.1080/00365520701365112" TargetMode="External"/><Relationship Id="rId353" Type="http://schemas.openxmlformats.org/officeDocument/2006/relationships/hyperlink" Target="https://doi.org/https://dx.doi.org/10.1177/1352458507087268" TargetMode="External"/><Relationship Id="rId374" Type="http://schemas.openxmlformats.org/officeDocument/2006/relationships/hyperlink" Target="https://doi.org/https://dx.doi.org/10.14309/ajg.0000000000001148" TargetMode="External"/><Relationship Id="rId395" Type="http://schemas.openxmlformats.org/officeDocument/2006/relationships/hyperlink" Target="https://doi.org/https://dx.doi.org/10.4103/0973-3930.44081" TargetMode="External"/><Relationship Id="rId409" Type="http://schemas.openxmlformats.org/officeDocument/2006/relationships/image" Target="media/image32.png"/><Relationship Id="rId71" Type="http://schemas.openxmlformats.org/officeDocument/2006/relationships/hyperlink" Target="https://doi.org/10.1373/clinchem.2005.048595" TargetMode="External"/><Relationship Id="rId92" Type="http://schemas.openxmlformats.org/officeDocument/2006/relationships/hyperlink" Target="https://doi.org/10.1373/clinchem.2009.134155" TargetMode="External"/><Relationship Id="rId213" Type="http://schemas.openxmlformats.org/officeDocument/2006/relationships/hyperlink" Target="https://www.england.nhs.uk/national-cost-collection/" TargetMode="External"/><Relationship Id="rId234" Type="http://schemas.openxmlformats.org/officeDocument/2006/relationships/hyperlink" Target="https://doi.org/10.1111/j.1524-4733.2008.00358.x" TargetMode="External"/><Relationship Id="rId420" Type="http://schemas.openxmlformats.org/officeDocument/2006/relationships/image" Target="media/image43.png"/><Relationship Id="rId2" Type="http://schemas.openxmlformats.org/officeDocument/2006/relationships/customXml" Target="../customXml/item2.xml"/><Relationship Id="rId29" Type="http://schemas.openxmlformats.org/officeDocument/2006/relationships/image" Target="media/image12.png"/><Relationship Id="rId255" Type="http://schemas.openxmlformats.org/officeDocument/2006/relationships/hyperlink" Target="https://doi.org/http://dx.doi.org/10.1111/apt.14911" TargetMode="External"/><Relationship Id="rId276" Type="http://schemas.openxmlformats.org/officeDocument/2006/relationships/hyperlink" Target="https://doi.org/10.14309/ajg.0000000000000751" TargetMode="External"/><Relationship Id="rId297" Type="http://schemas.openxmlformats.org/officeDocument/2006/relationships/hyperlink" Target="https://doi.org/https://dx.doi.org/10.1111/j.1756-185X.2011.01681.x" TargetMode="External"/><Relationship Id="rId441" Type="http://schemas.openxmlformats.org/officeDocument/2006/relationships/image" Target="media/image64.png"/><Relationship Id="rId40" Type="http://schemas.openxmlformats.org/officeDocument/2006/relationships/image" Target="media/image19.png"/><Relationship Id="rId115" Type="http://schemas.openxmlformats.org/officeDocument/2006/relationships/hyperlink" Target="https://doi.org/http://dx.doi.org/10.2478/v10011-011-0047-x" TargetMode="External"/><Relationship Id="rId136" Type="http://schemas.openxmlformats.org/officeDocument/2006/relationships/hyperlink" Target="https://doi.org/http://dx.doi.org/10.3390/jcm8122179" TargetMode="External"/><Relationship Id="rId157" Type="http://schemas.openxmlformats.org/officeDocument/2006/relationships/hyperlink" Target="https://doi.org/10.1111/j.1600-0463.2009.02541.x" TargetMode="External"/><Relationship Id="rId178" Type="http://schemas.openxmlformats.org/officeDocument/2006/relationships/hyperlink" Target="https://doi.org/http://dx.doi.org/10.1542/peds.2018-3933" TargetMode="External"/><Relationship Id="rId301" Type="http://schemas.openxmlformats.org/officeDocument/2006/relationships/hyperlink" Target="https://doi.org/http://dx.doi.org/10.1002/art.v69.S4" TargetMode="External"/><Relationship Id="rId322" Type="http://schemas.openxmlformats.org/officeDocument/2006/relationships/hyperlink" Target="https://doi.org/10.1159/000320451" TargetMode="External"/><Relationship Id="rId343" Type="http://schemas.openxmlformats.org/officeDocument/2006/relationships/hyperlink" Target="https://doi.org/http://dx.doi.org/10.1016/S0016-5085%2814%2960611-9" TargetMode="External"/><Relationship Id="rId364" Type="http://schemas.openxmlformats.org/officeDocument/2006/relationships/hyperlink" Target="https://doi.org/http://dx.doi.org/10.1177/0961203313503911" TargetMode="External"/><Relationship Id="rId61" Type="http://schemas.openxmlformats.org/officeDocument/2006/relationships/hyperlink" Target="https://doi.org/http://dx.doi.org/10.1177/2050640619844125" TargetMode="External"/><Relationship Id="rId82" Type="http://schemas.openxmlformats.org/officeDocument/2006/relationships/hyperlink" Target="https://wwwniceorguk/guidance/ng20" TargetMode="External"/><Relationship Id="rId199" Type="http://schemas.openxmlformats.org/officeDocument/2006/relationships/hyperlink" Target="https://doi.org/10.3310/hta21290" TargetMode="External"/><Relationship Id="rId203" Type="http://schemas.openxmlformats.org/officeDocument/2006/relationships/hyperlink" Target="https://doi.org/10.1017/s002966511800277x" TargetMode="External"/><Relationship Id="rId385" Type="http://schemas.openxmlformats.org/officeDocument/2006/relationships/hyperlink" Target="https://doi.org/http://dx.doi.org/10.1097/01.mpg.0000181400.57884.c3" TargetMode="External"/><Relationship Id="rId19" Type="http://schemas.openxmlformats.org/officeDocument/2006/relationships/image" Target="media/image3.png"/><Relationship Id="rId224" Type="http://schemas.openxmlformats.org/officeDocument/2006/relationships/hyperlink" Target="https://doi.org/10.1111/j.1365-2036.2006.03203.x" TargetMode="External"/><Relationship Id="rId245" Type="http://schemas.openxmlformats.org/officeDocument/2006/relationships/hyperlink" Target="https://wwwniceorguk/guidance/ng20" TargetMode="External"/><Relationship Id="rId266" Type="http://schemas.openxmlformats.org/officeDocument/2006/relationships/hyperlink" Target="https://doi.org/10.3399/bjgp13X660724" TargetMode="External"/><Relationship Id="rId287" Type="http://schemas.openxmlformats.org/officeDocument/2006/relationships/hyperlink" Target="https://doi.org/http://dx.doi.org/10.1097/00004836-200209000-00006" TargetMode="External"/><Relationship Id="rId410" Type="http://schemas.openxmlformats.org/officeDocument/2006/relationships/image" Target="media/image33.png"/><Relationship Id="rId431" Type="http://schemas.openxmlformats.org/officeDocument/2006/relationships/image" Target="media/image54.png"/><Relationship Id="rId30" Type="http://schemas.openxmlformats.org/officeDocument/2006/relationships/footer" Target="footer5.xml"/><Relationship Id="rId105" Type="http://schemas.openxmlformats.org/officeDocument/2006/relationships/hyperlink" Target="https://doi.org/10.1186/s13643-016-0384-4" TargetMode="External"/><Relationship Id="rId126" Type="http://schemas.openxmlformats.org/officeDocument/2006/relationships/hyperlink" Target="https://doi.org/http://dx.doi.org/10.1097/MPG.0000000000001773" TargetMode="External"/><Relationship Id="rId147" Type="http://schemas.openxmlformats.org/officeDocument/2006/relationships/hyperlink" Target="https://doi.org/10.1007/s10620-011-1857-x" TargetMode="External"/><Relationship Id="rId168" Type="http://schemas.openxmlformats.org/officeDocument/2006/relationships/hyperlink" Target="https://doi.org/http://dx.doi.org/10.1097/00005176-199808000-00012" TargetMode="External"/><Relationship Id="rId312" Type="http://schemas.openxmlformats.org/officeDocument/2006/relationships/hyperlink" Target="https://doi.org/http://dx.doi.org/10.1007/s00381-014-2387-6" TargetMode="External"/><Relationship Id="rId333" Type="http://schemas.openxmlformats.org/officeDocument/2006/relationships/hyperlink" Target="https://doi.org/http://dx.doi.org/10.1007/s00535-013-0838-6" TargetMode="External"/><Relationship Id="rId354" Type="http://schemas.openxmlformats.org/officeDocument/2006/relationships/hyperlink" Target="https://doi.org/http://dx.doi.org/10.1186/1471-2377-11-31" TargetMode="External"/><Relationship Id="rId51" Type="http://schemas.openxmlformats.org/officeDocument/2006/relationships/image" Target="media/image30.png"/><Relationship Id="rId72" Type="http://schemas.openxmlformats.org/officeDocument/2006/relationships/hyperlink" Target="https://doi.org/10.1371/journal.pone.0032844" TargetMode="External"/><Relationship Id="rId93" Type="http://schemas.openxmlformats.org/officeDocument/2006/relationships/hyperlink" Target="https://doi.org/10.7326/M18-1377" TargetMode="External"/><Relationship Id="rId189" Type="http://schemas.openxmlformats.org/officeDocument/2006/relationships/hyperlink" Target="https://doi.org/10.1177/0272989X06289012" TargetMode="External"/><Relationship Id="rId375" Type="http://schemas.openxmlformats.org/officeDocument/2006/relationships/hyperlink" Target="https://doi.org/http://dx.doi.org/10.3923/tmr.2014.81.97" TargetMode="External"/><Relationship Id="rId396" Type="http://schemas.openxmlformats.org/officeDocument/2006/relationships/hyperlink" Target="https://doi.org/http://dx.doi.org/10.1186/s12902-017-0212-4" TargetMode="External"/><Relationship Id="rId3" Type="http://schemas.openxmlformats.org/officeDocument/2006/relationships/customXml" Target="../customXml/item3.xml"/><Relationship Id="rId214" Type="http://schemas.openxmlformats.org/officeDocument/2006/relationships/hyperlink" Target="https://doi.org/10.1007/s10198-016-0775-4" TargetMode="External"/><Relationship Id="rId235" Type="http://schemas.openxmlformats.org/officeDocument/2006/relationships/hyperlink" Target="https://doi.org/10.1016/j.jval.2020.01.001" TargetMode="External"/><Relationship Id="rId256" Type="http://schemas.openxmlformats.org/officeDocument/2006/relationships/hyperlink" Target="https://doi.org/10.1016/j.jaad.2019.11.039" TargetMode="External"/><Relationship Id="rId277" Type="http://schemas.openxmlformats.org/officeDocument/2006/relationships/hyperlink" Target="https://doi.org/http://dx.doi.org/10.1590/S0004-2803.2017v54n1-07" TargetMode="External"/><Relationship Id="rId298" Type="http://schemas.openxmlformats.org/officeDocument/2006/relationships/hyperlink" Target="https://doi.org/http://dx.doi.org/10.1097/01.mpg.0000516381.25680.b4" TargetMode="External"/><Relationship Id="rId400" Type="http://schemas.openxmlformats.org/officeDocument/2006/relationships/hyperlink" Target="https://doi.org/http://dx.doi.org/10.4158/EP15700.OR" TargetMode="External"/><Relationship Id="rId421" Type="http://schemas.openxmlformats.org/officeDocument/2006/relationships/image" Target="media/image44.png"/><Relationship Id="rId442" Type="http://schemas.openxmlformats.org/officeDocument/2006/relationships/image" Target="media/image65.png"/><Relationship Id="rId116" Type="http://schemas.openxmlformats.org/officeDocument/2006/relationships/hyperlink" Target="https://doi.org/10.1157/13078992" TargetMode="External"/><Relationship Id="rId137" Type="http://schemas.openxmlformats.org/officeDocument/2006/relationships/hyperlink" Target="https://doi.org/10.1097/00042737-200201000-00012" TargetMode="External"/><Relationship Id="rId158" Type="http://schemas.openxmlformats.org/officeDocument/2006/relationships/hyperlink" Target="https://doi.org/10.1038/pr.2011.1000" TargetMode="External"/><Relationship Id="rId302" Type="http://schemas.openxmlformats.org/officeDocument/2006/relationships/hyperlink" Target="https://doi.org/http://dx.doi.org/10.1177/147323000903700127" TargetMode="External"/><Relationship Id="rId323" Type="http://schemas.openxmlformats.org/officeDocument/2006/relationships/hyperlink" Target="https://doi.org/http://dx.doi.org/10.1080/00365521.2018.1509122" TargetMode="External"/><Relationship Id="rId344" Type="http://schemas.openxmlformats.org/officeDocument/2006/relationships/hyperlink" Target="https://doi.org/http://dx.doi.org/10.1186/1471-230X-2-5" TargetMode="External"/><Relationship Id="rId20" Type="http://schemas.openxmlformats.org/officeDocument/2006/relationships/image" Target="media/image4.png"/><Relationship Id="rId41" Type="http://schemas.openxmlformats.org/officeDocument/2006/relationships/image" Target="media/image20.png"/><Relationship Id="rId62" Type="http://schemas.openxmlformats.org/officeDocument/2006/relationships/hyperlink" Target="https://doi.org/10.1097/MPG.0b013e318216f2e5" TargetMode="External"/><Relationship Id="rId83" Type="http://schemas.openxmlformats.org/officeDocument/2006/relationships/hyperlink" Target="https://osfio/q5gyc/" TargetMode="External"/><Relationship Id="rId179" Type="http://schemas.openxmlformats.org/officeDocument/2006/relationships/hyperlink" Target="https://doi.org/10.1111/apa.13533" TargetMode="External"/><Relationship Id="rId365" Type="http://schemas.openxmlformats.org/officeDocument/2006/relationships/hyperlink" Target="https://doi.org/http://dx.doi.org/10.1097/01.mpg.0000516381.25680.b4" TargetMode="External"/><Relationship Id="rId386" Type="http://schemas.openxmlformats.org/officeDocument/2006/relationships/hyperlink" Target="https://doi.org/http://dx.doi.org/10.1111/j.1442-200X.2010.03085.x" TargetMode="External"/><Relationship Id="rId190" Type="http://schemas.openxmlformats.org/officeDocument/2006/relationships/hyperlink" Target="https://doi.org/http://dx.doi.org/10.1542/peds.2005-2123" TargetMode="External"/><Relationship Id="rId204" Type="http://schemas.openxmlformats.org/officeDocument/2006/relationships/hyperlink" Target="https://doi.org/10.1053/j.gastro.2014.08.025" TargetMode="External"/><Relationship Id="rId225" Type="http://schemas.openxmlformats.org/officeDocument/2006/relationships/hyperlink" Target="https://doi.org/10.1053/j.gastro.2010.05.041" TargetMode="External"/><Relationship Id="rId246" Type="http://schemas.openxmlformats.org/officeDocument/2006/relationships/hyperlink" Target="https://doi.org/10.1038/ajg.2010.153" TargetMode="External"/><Relationship Id="rId267" Type="http://schemas.openxmlformats.org/officeDocument/2006/relationships/hyperlink" Target="https://doi.org/10.17235/reed.2015.3758/2015" TargetMode="External"/><Relationship Id="rId288" Type="http://schemas.openxmlformats.org/officeDocument/2006/relationships/hyperlink" Target="https://doi.org/http://dx.doi.org/10.1097/00042737-200304000-00012" TargetMode="External"/><Relationship Id="rId411" Type="http://schemas.openxmlformats.org/officeDocument/2006/relationships/image" Target="media/image34.png"/><Relationship Id="rId432" Type="http://schemas.openxmlformats.org/officeDocument/2006/relationships/image" Target="media/image55.png"/><Relationship Id="rId106" Type="http://schemas.openxmlformats.org/officeDocument/2006/relationships/hyperlink" Target="https://doi.org/10.7326/M21-2234" TargetMode="External"/><Relationship Id="rId127" Type="http://schemas.openxmlformats.org/officeDocument/2006/relationships/hyperlink" Target="https://doi.org/10.1097/00042737-200605000-00006" TargetMode="External"/><Relationship Id="rId313" Type="http://schemas.openxmlformats.org/officeDocument/2006/relationships/hyperlink" Target="https://doi.org/http://dx.doi.org/10.1016/j.pediatrneurol.2009.02.009" TargetMode="External"/><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hyperlink" Target="https://doi.org/10.1136/bmj.328.7435.322" TargetMode="External"/><Relationship Id="rId73" Type="http://schemas.openxmlformats.org/officeDocument/2006/relationships/hyperlink" Target="https://doi.org/10.1136/jamia.2001.0080391" TargetMode="External"/><Relationship Id="rId94" Type="http://schemas.openxmlformats.org/officeDocument/2006/relationships/hyperlink" Target="https://doi.org/10.1093/ije/dyz034" TargetMode="External"/><Relationship Id="rId148" Type="http://schemas.openxmlformats.org/officeDocument/2006/relationships/hyperlink" Target="https://doi.org/https://dx.doi.org/10.3109/00365513.2015.1137348" TargetMode="External"/><Relationship Id="rId169" Type="http://schemas.openxmlformats.org/officeDocument/2006/relationships/hyperlink" Target="https://doi.org/http://dx.doi.org/10.3748/wjg.v11.i24.3762" TargetMode="External"/><Relationship Id="rId334" Type="http://schemas.openxmlformats.org/officeDocument/2006/relationships/hyperlink" Target="https://doi.org/http://dx.doi.org/10.1007/s005350050217" TargetMode="External"/><Relationship Id="rId355" Type="http://schemas.openxmlformats.org/officeDocument/2006/relationships/hyperlink" Target="https://doi.org/10.1111/j.1365-3083.2008.02115.x" TargetMode="External"/><Relationship Id="rId376" Type="http://schemas.openxmlformats.org/officeDocument/2006/relationships/hyperlink" Target="https://doi.org/http://dx.doi.org/10.1111/j.1365-2249.2005.02866.x" TargetMode="External"/><Relationship Id="rId397" Type="http://schemas.openxmlformats.org/officeDocument/2006/relationships/hyperlink" Target="https://doi.org/10.5603/EP.a2016.0017" TargetMode="External"/><Relationship Id="rId4" Type="http://schemas.openxmlformats.org/officeDocument/2006/relationships/customXml" Target="../customXml/item4.xml"/><Relationship Id="rId180" Type="http://schemas.openxmlformats.org/officeDocument/2006/relationships/hyperlink" Target="https://doi.org/http://dx.doi.org/10.1016/j.cgh.2014.09.032" TargetMode="External"/><Relationship Id="rId215" Type="http://schemas.openxmlformats.org/officeDocument/2006/relationships/hyperlink" Target="https://doi.org/10.1016/j.bone.2016.03.006" TargetMode="External"/><Relationship Id="rId236" Type="http://schemas.openxmlformats.org/officeDocument/2006/relationships/hyperlink" Target="https://doi.org/10.1016/j.jval.2020.01.004" TargetMode="External"/><Relationship Id="rId257" Type="http://schemas.openxmlformats.org/officeDocument/2006/relationships/hyperlink" Target="https://doi.org/10.1053/j.gastro.2020.05.016" TargetMode="External"/><Relationship Id="rId278" Type="http://schemas.openxmlformats.org/officeDocument/2006/relationships/hyperlink" Target="https://doi.org/http://dx.doi.org/10.1038/ajg.2011.21" TargetMode="External"/><Relationship Id="rId401" Type="http://schemas.openxmlformats.org/officeDocument/2006/relationships/hyperlink" Target="https://doi.org/http://dx.doi.org/10.1023/A:1005441400107" TargetMode="External"/><Relationship Id="rId422" Type="http://schemas.openxmlformats.org/officeDocument/2006/relationships/image" Target="media/image45.png"/><Relationship Id="rId443" Type="http://schemas.openxmlformats.org/officeDocument/2006/relationships/image" Target="media/image66.tiff"/><Relationship Id="rId303" Type="http://schemas.openxmlformats.org/officeDocument/2006/relationships/hyperlink" Target="https://doi.org/https://dx.doi.org/10.1097/MPG.0b013e31827b7f64" TargetMode="External"/><Relationship Id="rId42" Type="http://schemas.openxmlformats.org/officeDocument/2006/relationships/image" Target="media/image21.png"/><Relationship Id="rId84" Type="http://schemas.openxmlformats.org/officeDocument/2006/relationships/hyperlink" Target="https://doi.org/10.1007/978-3-030-16399-0" TargetMode="External"/><Relationship Id="rId138" Type="http://schemas.openxmlformats.org/officeDocument/2006/relationships/hyperlink" Target="https://doi.org/10.1053/j.gastro.2017.04.023" TargetMode="External"/><Relationship Id="rId345" Type="http://schemas.openxmlformats.org/officeDocument/2006/relationships/hyperlink" Target="https://doi.org/10.1097/00004836-200411000-00014" TargetMode="External"/><Relationship Id="rId387" Type="http://schemas.openxmlformats.org/officeDocument/2006/relationships/hyperlink" Target="https://doi.org/http://dx.doi.org/10.2337/db151385" TargetMode="External"/><Relationship Id="rId191" Type="http://schemas.openxmlformats.org/officeDocument/2006/relationships/hyperlink" Target="https://doi.org/10.1007/s10620-007-9939-5" TargetMode="External"/><Relationship Id="rId205" Type="http://schemas.openxmlformats.org/officeDocument/2006/relationships/hyperlink" Target="https://doi.org/10.1053/j.gastro.2005.02.017" TargetMode="External"/><Relationship Id="rId247" Type="http://schemas.openxmlformats.org/officeDocument/2006/relationships/hyperlink" Target="https://doi.org/10.1016/j.gie.2011.03.1236" TargetMode="External"/><Relationship Id="rId412" Type="http://schemas.openxmlformats.org/officeDocument/2006/relationships/image" Target="media/image35.png"/><Relationship Id="rId107" Type="http://schemas.openxmlformats.org/officeDocument/2006/relationships/hyperlink" Target="https://doi.org/10.1186/s41512-017-0023-0" TargetMode="External"/><Relationship Id="rId289" Type="http://schemas.openxmlformats.org/officeDocument/2006/relationships/hyperlink" Target="https://doi.org/http://dx.doi.org/10.1136/gut.53.1.149" TargetMode="External"/><Relationship Id="rId11" Type="http://schemas.openxmlformats.org/officeDocument/2006/relationships/header" Target="header1.xml"/><Relationship Id="rId53" Type="http://schemas.openxmlformats.org/officeDocument/2006/relationships/hyperlink" Target="https://doi.org/10.1097/EDE.0000000000001006" TargetMode="External"/><Relationship Id="rId149" Type="http://schemas.openxmlformats.org/officeDocument/2006/relationships/hyperlink" Target="https://doi.org/http://dx.doi.org/10.1542/peds.2006-0604" TargetMode="External"/><Relationship Id="rId314" Type="http://schemas.openxmlformats.org/officeDocument/2006/relationships/hyperlink" Target="https://doi.org/http://dx.doi.org/10.1016/j.pediatrneurol.2014.01.021" TargetMode="External"/><Relationship Id="rId356" Type="http://schemas.openxmlformats.org/officeDocument/2006/relationships/hyperlink" Target="https://doi.org/http://dx.doi.org/10.1007/s00198-014-2891-2" TargetMode="External"/><Relationship Id="rId398" Type="http://schemas.openxmlformats.org/officeDocument/2006/relationships/hyperlink" Target="https://doi.org/http://dx.doi.org/10.1016/S0531-5565%2803%2900037-8" TargetMode="External"/><Relationship Id="rId95" Type="http://schemas.openxmlformats.org/officeDocument/2006/relationships/hyperlink" Target="https://doi.org/10.48329/pyc2-we97" TargetMode="External"/><Relationship Id="rId160" Type="http://schemas.openxmlformats.org/officeDocument/2006/relationships/hyperlink" Target="https://doi.org/10.1136/gut.35.6.771" TargetMode="External"/><Relationship Id="rId216" Type="http://schemas.openxmlformats.org/officeDocument/2006/relationships/hyperlink" Target="https://doi.org/10.1007/s00198-015-3277-9" TargetMode="External"/><Relationship Id="rId423" Type="http://schemas.openxmlformats.org/officeDocument/2006/relationships/image" Target="media/image46.png"/><Relationship Id="rId258" Type="http://schemas.openxmlformats.org/officeDocument/2006/relationships/hyperlink" Target="https://doi.org/10.3390/nu10101445" TargetMode="External"/><Relationship Id="rId22" Type="http://schemas.openxmlformats.org/officeDocument/2006/relationships/image" Target="media/image6.png"/><Relationship Id="rId64" Type="http://schemas.openxmlformats.org/officeDocument/2006/relationships/hyperlink" Target="https://doi.org/10.1001/jama.2010.549" TargetMode="External"/><Relationship Id="rId118" Type="http://schemas.openxmlformats.org/officeDocument/2006/relationships/hyperlink" Target="https://doi.org/http://dx.doi.org/10.1097/MEG.0000000000000841" TargetMode="External"/><Relationship Id="rId325" Type="http://schemas.openxmlformats.org/officeDocument/2006/relationships/hyperlink" Target="https://doi.org/http://dx.doi.org/10.1007/s12603-013-0017-8" TargetMode="External"/><Relationship Id="rId367" Type="http://schemas.openxmlformats.org/officeDocument/2006/relationships/hyperlink" Target="https://doi.org/http://dx.doi.org/10.1016/j.fertnstert.2010.11.005" TargetMode="External"/><Relationship Id="rId171" Type="http://schemas.openxmlformats.org/officeDocument/2006/relationships/hyperlink" Target="https://doi.org/10.1080/003130202201479" TargetMode="External"/><Relationship Id="rId227" Type="http://schemas.openxmlformats.org/officeDocument/2006/relationships/hyperlink" Target="https://doi.org/10.2165/00019053-200725010-00002" TargetMode="External"/><Relationship Id="rId269" Type="http://schemas.openxmlformats.org/officeDocument/2006/relationships/hyperlink" Target="https://doi.org/10.1097/01.sla.0000171301.35513.cf" TargetMode="External"/><Relationship Id="rId434" Type="http://schemas.openxmlformats.org/officeDocument/2006/relationships/image" Target="media/image57.png"/><Relationship Id="rId33" Type="http://schemas.openxmlformats.org/officeDocument/2006/relationships/image" Target="media/image15.png"/><Relationship Id="rId129" Type="http://schemas.openxmlformats.org/officeDocument/2006/relationships/hyperlink" Target="https://doi.org/http://dx.doi.org/10.1111/j.1572-0241.2003.07455.x" TargetMode="External"/><Relationship Id="rId280" Type="http://schemas.openxmlformats.org/officeDocument/2006/relationships/hyperlink" Target="https://doi.org/http://dx.doi.org/10.3109/00365521.2013.792389" TargetMode="External"/><Relationship Id="rId336" Type="http://schemas.openxmlformats.org/officeDocument/2006/relationships/hyperlink" Target="https://doi.org/http://dx.doi.org/10.1097/MEG.0000000000001022" TargetMode="External"/><Relationship Id="rId75" Type="http://schemas.openxmlformats.org/officeDocument/2006/relationships/hyperlink" Target="https://doi.org/10.1016/j.jclinepi.2005.02.022" TargetMode="External"/><Relationship Id="rId140" Type="http://schemas.openxmlformats.org/officeDocument/2006/relationships/hyperlink" Target="https://doi.org/http://dx.doi.org/10.1128/CVI.00205-09" TargetMode="External"/><Relationship Id="rId182" Type="http://schemas.openxmlformats.org/officeDocument/2006/relationships/hyperlink" Target="https://youtu.be/M5tfW8-yLfM" TargetMode="External"/><Relationship Id="rId378" Type="http://schemas.openxmlformats.org/officeDocument/2006/relationships/hyperlink" Target="https://doi.org/http://dx.doi.org/10.2337/diacare.26.4.1235" TargetMode="External"/><Relationship Id="rId403" Type="http://schemas.openxmlformats.org/officeDocument/2006/relationships/hyperlink" Target="https://doi.org/http://dx.doi.org/10.1159/000048840" TargetMode="External"/><Relationship Id="rId6" Type="http://schemas.openxmlformats.org/officeDocument/2006/relationships/styles" Target="styles.xml"/><Relationship Id="rId238" Type="http://schemas.openxmlformats.org/officeDocument/2006/relationships/hyperlink" Target="https://doi.org/10.1177/0272989X13505910" TargetMode="External"/><Relationship Id="rId445" Type="http://schemas.openxmlformats.org/officeDocument/2006/relationships/image" Target="media/image68.png"/><Relationship Id="rId291" Type="http://schemas.openxmlformats.org/officeDocument/2006/relationships/hyperlink" Target="https://doi.org/http://dx.doi.org/10.1590/s0004-2803.201800000-15" TargetMode="External"/><Relationship Id="rId305" Type="http://schemas.openxmlformats.org/officeDocument/2006/relationships/hyperlink" Target="http://dx.doi.org/10.1016/j.jpeds.2020.07.052" TargetMode="External"/><Relationship Id="rId347" Type="http://schemas.openxmlformats.org/officeDocument/2006/relationships/hyperlink" Target="https://doi.org/http://dx.doi.org/10.3906/sag-1403-127" TargetMode="External"/><Relationship Id="rId44" Type="http://schemas.openxmlformats.org/officeDocument/2006/relationships/image" Target="media/image23.png"/><Relationship Id="rId86" Type="http://schemas.openxmlformats.org/officeDocument/2006/relationships/hyperlink" Target="https://doi.org/10.1093/ije/dyv098" TargetMode="External"/><Relationship Id="rId151" Type="http://schemas.openxmlformats.org/officeDocument/2006/relationships/hyperlink" Target="https://doi.org/http://dx.doi.org/10.1038/ajg.2015.87" TargetMode="External"/><Relationship Id="rId389" Type="http://schemas.openxmlformats.org/officeDocument/2006/relationships/hyperlink" Target="https://doi.org/http://dx.doi.org/10.1111/j.1749-6632.2009.04619.x" TargetMode="External"/><Relationship Id="rId193" Type="http://schemas.openxmlformats.org/officeDocument/2006/relationships/hyperlink" Target="https://doi.org/10.1111/j.1365-2036.2010.04242.x" TargetMode="External"/><Relationship Id="rId207" Type="http://schemas.openxmlformats.org/officeDocument/2006/relationships/hyperlink" Target="https://doi.org/10.3109/00365521.2011.615858" TargetMode="External"/><Relationship Id="rId249" Type="http://schemas.openxmlformats.org/officeDocument/2006/relationships/hyperlink" Target="https://doi.org/http://dx.doi.org/10.1038/ajg.2016.466" TargetMode="External"/><Relationship Id="rId414" Type="http://schemas.openxmlformats.org/officeDocument/2006/relationships/image" Target="media/image37.png"/><Relationship Id="rId13" Type="http://schemas.openxmlformats.org/officeDocument/2006/relationships/footer" Target="footer1.xml"/><Relationship Id="rId109" Type="http://schemas.openxmlformats.org/officeDocument/2006/relationships/hyperlink" Target="https://doi.org/http://dx.doi.org/10.1016/j.cgh.2006.02.010" TargetMode="External"/><Relationship Id="rId260" Type="http://schemas.openxmlformats.org/officeDocument/2006/relationships/hyperlink" Target="https://doi.org/http://dx.doi.org/10.1371/journal.pone.0121908" TargetMode="External"/><Relationship Id="rId316" Type="http://schemas.openxmlformats.org/officeDocument/2006/relationships/hyperlink" Target="https://doi.org/http://dx.doi.org/10.1590/S0004-282X2003000300002" TargetMode="External"/><Relationship Id="rId55" Type="http://schemas.openxmlformats.org/officeDocument/2006/relationships/hyperlink" Target="https://doi.org/10.1001/jama.281.24.2344" TargetMode="External"/><Relationship Id="rId97" Type="http://schemas.openxmlformats.org/officeDocument/2006/relationships/hyperlink" Target="https://doi.org/10.1093/ije/dys064" TargetMode="External"/><Relationship Id="rId120" Type="http://schemas.openxmlformats.org/officeDocument/2006/relationships/hyperlink" Target="https://doi.org/http://dx.doi.org/10.1177/2050640613502899" TargetMode="External"/><Relationship Id="rId358" Type="http://schemas.openxmlformats.org/officeDocument/2006/relationships/hyperlink" Target="https://doi.org/https://dx.doi.org/10.5021/ad.2013.25.3.298" TargetMode="External"/><Relationship Id="rId162" Type="http://schemas.openxmlformats.org/officeDocument/2006/relationships/hyperlink" Target="https://doi.org/http://dx.doi.org/10.1155/1997/813148" TargetMode="External"/><Relationship Id="rId218" Type="http://schemas.openxmlformats.org/officeDocument/2006/relationships/hyperlink" Target="https://uob.sharepoint.com/teams/grp-HTACoeliaccasefinding/Shared%20Documents/General/Output/Reports/Revisions%202/www.ons.gov.uk/economy/inflationandpriceindices/datasets/consumerpriceinflation" TargetMode="External"/><Relationship Id="rId425" Type="http://schemas.openxmlformats.org/officeDocument/2006/relationships/image" Target="media/image48.png"/><Relationship Id="rId271" Type="http://schemas.openxmlformats.org/officeDocument/2006/relationships/hyperlink" Target="https://doi.org/10.1097/01.meg.0000250586.61232.a3" TargetMode="External"/><Relationship Id="rId24" Type="http://schemas.openxmlformats.org/officeDocument/2006/relationships/image" Target="media/image7.png"/><Relationship Id="rId66" Type="http://schemas.openxmlformats.org/officeDocument/2006/relationships/hyperlink" Target="https://doi.org/10.1590/s0102-67202015000300009" TargetMode="External"/><Relationship Id="rId131" Type="http://schemas.openxmlformats.org/officeDocument/2006/relationships/hyperlink" Target="https://doi.org/10.1111/cei.12000" TargetMode="External"/><Relationship Id="rId327" Type="http://schemas.openxmlformats.org/officeDocument/2006/relationships/hyperlink" Target="https://doi.org/http://dx.doi.org/10.1080/00365520902718929" TargetMode="External"/><Relationship Id="rId369" Type="http://schemas.openxmlformats.org/officeDocument/2006/relationships/hyperlink" Target="https://doi.org/http://dx.doi.org/10.1080/15513815.2017.1346018" TargetMode="External"/><Relationship Id="rId173" Type="http://schemas.openxmlformats.org/officeDocument/2006/relationships/hyperlink" Target="https://doi.org/http://dx.doi.org/10.1157/13074614" TargetMode="External"/><Relationship Id="rId229" Type="http://schemas.openxmlformats.org/officeDocument/2006/relationships/hyperlink" Target="https://doi.org/https://doi.org/10.1016/j.bone.2014.06.011" TargetMode="External"/><Relationship Id="rId380" Type="http://schemas.openxmlformats.org/officeDocument/2006/relationships/hyperlink" Target="https://doi.org/10.1515/jpem-2017-0011" TargetMode="External"/><Relationship Id="rId436" Type="http://schemas.openxmlformats.org/officeDocument/2006/relationships/image" Target="media/image59.png"/><Relationship Id="rId240" Type="http://schemas.openxmlformats.org/officeDocument/2006/relationships/hyperlink" Target="https://doi.org/10.1177/0272989X211026305" TargetMode="External"/><Relationship Id="rId35" Type="http://schemas.openxmlformats.org/officeDocument/2006/relationships/image" Target="media/image17.png"/><Relationship Id="rId77" Type="http://schemas.openxmlformats.org/officeDocument/2006/relationships/hyperlink" Target="https://doi.org/10.1136/gutjnl-2011-301346" TargetMode="External"/><Relationship Id="rId100" Type="http://schemas.openxmlformats.org/officeDocument/2006/relationships/hyperlink" Target="https://doi.org/10.1002/sim.1047" TargetMode="External"/><Relationship Id="rId282" Type="http://schemas.openxmlformats.org/officeDocument/2006/relationships/hyperlink" Target="https://doi.org/http://dx.doi.org/10.1111/j.1749-6632.2009.04755.x" TargetMode="External"/><Relationship Id="rId338" Type="http://schemas.openxmlformats.org/officeDocument/2006/relationships/hyperlink" Target="https://doi.org/http://dx.doi.org/10.5114/pg.2016.57941" TargetMode="External"/><Relationship Id="rId8" Type="http://schemas.openxmlformats.org/officeDocument/2006/relationships/webSettings" Target="webSettings.xml"/><Relationship Id="rId142" Type="http://schemas.openxmlformats.org/officeDocument/2006/relationships/hyperlink" Target="https://doi.org/http://dx.doi.org/10.1136/archdischild-2014-306237.7" TargetMode="External"/><Relationship Id="rId184" Type="http://schemas.openxmlformats.org/officeDocument/2006/relationships/hyperlink" Target="https://youtu.be/GL8tzH4IxAk" TargetMode="External"/><Relationship Id="rId391" Type="http://schemas.openxmlformats.org/officeDocument/2006/relationships/hyperlink" Target="https://doi.org/http://dx.doi.org/10.1097/01.mpg.0000503536.79797.66" TargetMode="External"/><Relationship Id="rId405" Type="http://schemas.openxmlformats.org/officeDocument/2006/relationships/hyperlink" Target="https://doi.org/http://dx.doi.org/10.1097/01.mpg.0000516381.25680.b4" TargetMode="External"/><Relationship Id="rId447" Type="http://schemas.openxmlformats.org/officeDocument/2006/relationships/fontTable" Target="fontTable.xml"/><Relationship Id="rId251" Type="http://schemas.openxmlformats.org/officeDocument/2006/relationships/hyperlink" Target="https://doi.org/10.1007/s00415-018-9025-2" TargetMode="External"/><Relationship Id="rId46" Type="http://schemas.openxmlformats.org/officeDocument/2006/relationships/image" Target="media/image25.png"/><Relationship Id="rId293" Type="http://schemas.openxmlformats.org/officeDocument/2006/relationships/hyperlink" Target="https://doi.org/http://dx.doi.org/10.1097/01.mcg.0000174026.26838.56" TargetMode="External"/><Relationship Id="rId307" Type="http://schemas.openxmlformats.org/officeDocument/2006/relationships/hyperlink" Target="https://doi.org/https://dx.doi.org/10.3390/medicina55050136" TargetMode="External"/><Relationship Id="rId349" Type="http://schemas.openxmlformats.org/officeDocument/2006/relationships/hyperlink" Target="https://doi.org/http://dx.doi.org/10.1002/jcla.20047" TargetMode="External"/><Relationship Id="rId88" Type="http://schemas.openxmlformats.org/officeDocument/2006/relationships/hyperlink" Target="https://doi.org/10.1136/gutjnl-2014-308285" TargetMode="External"/><Relationship Id="rId111" Type="http://schemas.openxmlformats.org/officeDocument/2006/relationships/hyperlink" Target="https://doi.org/http://dx.doi.org/10.1007/s10875-008-9200-9" TargetMode="External"/><Relationship Id="rId153" Type="http://schemas.openxmlformats.org/officeDocument/2006/relationships/hyperlink" Target="https://doi.org/http://dx.doi.org/10.1097/MPG.0000000000002065" TargetMode="External"/><Relationship Id="rId195" Type="http://schemas.openxmlformats.org/officeDocument/2006/relationships/hyperlink" Target="https://doi.org/10.1016/j.cgh.2012.12.037" TargetMode="External"/><Relationship Id="rId209" Type="http://schemas.openxmlformats.org/officeDocument/2006/relationships/hyperlink" Target="https://doi.org/10.1111/j.1365-2036.2008.03609.x" TargetMode="External"/><Relationship Id="rId360" Type="http://schemas.openxmlformats.org/officeDocument/2006/relationships/hyperlink" Target="https://doi.org/10.2340/00015555-0960" TargetMode="External"/><Relationship Id="rId416" Type="http://schemas.openxmlformats.org/officeDocument/2006/relationships/image" Target="media/image39.png"/><Relationship Id="rId220" Type="http://schemas.openxmlformats.org/officeDocument/2006/relationships/hyperlink" Target="https://doi.org/10.1186/s12876-019-0980-6" TargetMode="External"/><Relationship Id="rId15" Type="http://schemas.openxmlformats.org/officeDocument/2006/relationships/header" Target="header3.xml"/><Relationship Id="rId57" Type="http://schemas.openxmlformats.org/officeDocument/2006/relationships/hyperlink" Target="https://doi.org/https://doi.org/10.1016/j.dld.2019.11.010" TargetMode="External"/><Relationship Id="rId262" Type="http://schemas.openxmlformats.org/officeDocument/2006/relationships/hyperlink" Target="https://doi.org/10.1053/j.gastro.2009.05.040" TargetMode="External"/><Relationship Id="rId318" Type="http://schemas.openxmlformats.org/officeDocument/2006/relationships/hyperlink" Target="https://doi.org/http://dx.doi.org/10.1016/S0016-5085%2819%2937130-6" TargetMode="External"/><Relationship Id="rId99" Type="http://schemas.openxmlformats.org/officeDocument/2006/relationships/hyperlink" Target="http://www.bristol.ac.uk/alspac/researchers/our-data/" TargetMode="External"/><Relationship Id="rId122" Type="http://schemas.openxmlformats.org/officeDocument/2006/relationships/hyperlink" Target="https://doi.org/http://dx.doi.org/10.1016/S0016-5085%2814%2961693-0" TargetMode="External"/><Relationship Id="rId164" Type="http://schemas.openxmlformats.org/officeDocument/2006/relationships/hyperlink" Target="https://doi.org/http://dx.doi.org/10.1136/gutjnl-2018-BSGAbstracts.318" TargetMode="External"/><Relationship Id="rId371" Type="http://schemas.openxmlformats.org/officeDocument/2006/relationships/hyperlink" Target="https://doi.org/http://dx.doi.org/10.1016/j.ajog.2012.10.315" TargetMode="External"/><Relationship Id="rId427" Type="http://schemas.openxmlformats.org/officeDocument/2006/relationships/image" Target="media/image50.png"/><Relationship Id="rId26" Type="http://schemas.openxmlformats.org/officeDocument/2006/relationships/image" Target="media/image9.png"/><Relationship Id="rId231" Type="http://schemas.openxmlformats.org/officeDocument/2006/relationships/hyperlink" Target="http://publicationsniceorguk/pmg9" TargetMode="External"/><Relationship Id="rId273" Type="http://schemas.openxmlformats.org/officeDocument/2006/relationships/hyperlink" Target="https://doi.org/http://dx.doi.org/10.1053/j.gastro.2010.05.041" TargetMode="External"/><Relationship Id="rId329" Type="http://schemas.openxmlformats.org/officeDocument/2006/relationships/hyperlink" Target="https://doi.org/http://dx.doi.org/10.1053/j.gastro.2016.11.043" TargetMode="External"/><Relationship Id="rId68" Type="http://schemas.openxmlformats.org/officeDocument/2006/relationships/hyperlink" Target="https://doi.org/10.1136/bmjopen-2020-038994" TargetMode="External"/><Relationship Id="rId133" Type="http://schemas.openxmlformats.org/officeDocument/2006/relationships/hyperlink" Target="https://doi.org/http://dx.doi.org/10.1097/MCG.0b013e3181c378f6" TargetMode="External"/><Relationship Id="rId175" Type="http://schemas.openxmlformats.org/officeDocument/2006/relationships/hyperlink" Target="https://doi.org/http://dx.doi.org/10.1177/2050640614548980" TargetMode="External"/><Relationship Id="rId340" Type="http://schemas.openxmlformats.org/officeDocument/2006/relationships/hyperlink" Target="https://doi.org/http://dx.doi.org/10.1111/nmo.12799" TargetMode="External"/><Relationship Id="rId200" Type="http://schemas.openxmlformats.org/officeDocument/2006/relationships/hyperlink" Target="https://doi.org/10.1186/s40985-018-0093-8" TargetMode="External"/><Relationship Id="rId382" Type="http://schemas.openxmlformats.org/officeDocument/2006/relationships/hyperlink" Target="https://doi.org/http://dx.doi.org/10.1097/MPG.0b013e31815ce5d1" TargetMode="External"/><Relationship Id="rId438" Type="http://schemas.openxmlformats.org/officeDocument/2006/relationships/image" Target="media/image61.tiff"/><Relationship Id="rId242" Type="http://schemas.openxmlformats.org/officeDocument/2006/relationships/hyperlink" Target="https://doi.org/10.1177/0272989X211026305" TargetMode="External"/><Relationship Id="rId284" Type="http://schemas.openxmlformats.org/officeDocument/2006/relationships/hyperlink" Target="https://doi.org/http://dx.doi.org/10.4318/tjg.2009.0024" TargetMode="External"/><Relationship Id="rId37" Type="http://schemas.openxmlformats.org/officeDocument/2006/relationships/header" Target="header4.xml"/><Relationship Id="rId79" Type="http://schemas.openxmlformats.org/officeDocument/2006/relationships/hyperlink" Target="https://doi.org/10.18637/jss.v067.i01" TargetMode="External"/><Relationship Id="rId102" Type="http://schemas.openxmlformats.org/officeDocument/2006/relationships/hyperlink" Target="https://doi.org/10.1007/978-3-319-19425-7" TargetMode="External"/><Relationship Id="rId144" Type="http://schemas.openxmlformats.org/officeDocument/2006/relationships/hyperlink" Target="https://doi.org/http://dx.doi.org/10.14735/amgh2017csgh.info07" TargetMode="External"/><Relationship Id="rId90" Type="http://schemas.openxmlformats.org/officeDocument/2006/relationships/hyperlink" Target="https://doi.org/10.1136/bmjgast-2017-000137" TargetMode="External"/><Relationship Id="rId186" Type="http://schemas.openxmlformats.org/officeDocument/2006/relationships/hyperlink" Target="https://doi.org/10.1177/1049732305276687" TargetMode="External"/><Relationship Id="rId351" Type="http://schemas.openxmlformats.org/officeDocument/2006/relationships/hyperlink" Target="https://doi.org/http://dx.doi.org/10.1111/j.1468-2982.2008.01630.x" TargetMode="External"/><Relationship Id="rId393" Type="http://schemas.openxmlformats.org/officeDocument/2006/relationships/hyperlink" Target="https://doi.org/http://dx.doi.org/10.2337/diacare.24.1.27" TargetMode="External"/><Relationship Id="rId407" Type="http://schemas.openxmlformats.org/officeDocument/2006/relationships/hyperlink" Target="https://doi.org/10.1155/2014/417356" TargetMode="External"/><Relationship Id="rId211" Type="http://schemas.openxmlformats.org/officeDocument/2006/relationships/hyperlink" Target="https://www.england.nhs.uk/national-cost-collection/" TargetMode="External"/><Relationship Id="rId253" Type="http://schemas.openxmlformats.org/officeDocument/2006/relationships/hyperlink" Target="https://doi.org/http://dx.doi.org/10.1089/thy.2016.0108" TargetMode="External"/><Relationship Id="rId295" Type="http://schemas.openxmlformats.org/officeDocument/2006/relationships/hyperlink" Target="https://doi.org/http://dx.doi.org/10.1080/09674845.2003.11783671" TargetMode="External"/><Relationship Id="rId309" Type="http://schemas.openxmlformats.org/officeDocument/2006/relationships/hyperlink" Target="https://doi.org/http://dx.doi.org/10.1097/01.MPG.0000154012.10420.08" TargetMode="External"/><Relationship Id="rId48" Type="http://schemas.openxmlformats.org/officeDocument/2006/relationships/image" Target="media/image27.png"/><Relationship Id="rId113" Type="http://schemas.openxmlformats.org/officeDocument/2006/relationships/hyperlink" Target="https://doi.org/http://dx.doi.org/10.1111/j.1365-2036.2010.04337.x" TargetMode="External"/><Relationship Id="rId320" Type="http://schemas.openxmlformats.org/officeDocument/2006/relationships/hyperlink" Target="https://doi.org/10.1007/s10620-018-5320-0" TargetMode="External"/><Relationship Id="rId155" Type="http://schemas.openxmlformats.org/officeDocument/2006/relationships/hyperlink" Target="https://doi.org/http://dx.doi.org/10.1002/jcla.1012" TargetMode="External"/><Relationship Id="rId197" Type="http://schemas.openxmlformats.org/officeDocument/2006/relationships/hyperlink" Target="https://doi.org/10.3748/wjg.v22.i34.7813" TargetMode="External"/><Relationship Id="rId362" Type="http://schemas.openxmlformats.org/officeDocument/2006/relationships/hyperlink" Target="https://doi.org/https://dx.doi.org/10.1002/jcla.20398" TargetMode="External"/><Relationship Id="rId418" Type="http://schemas.openxmlformats.org/officeDocument/2006/relationships/image" Target="media/image41.png"/><Relationship Id="rId222" Type="http://schemas.openxmlformats.org/officeDocument/2006/relationships/hyperlink" Target="https://doi.org/10.1007/s00198-014-2636-2" TargetMode="External"/><Relationship Id="rId264" Type="http://schemas.openxmlformats.org/officeDocument/2006/relationships/hyperlink" Target="https://doi.org/10.1161/01.cir.97.18.1837" TargetMode="External"/><Relationship Id="rId17" Type="http://schemas.openxmlformats.org/officeDocument/2006/relationships/image" Target="media/image1.png"/><Relationship Id="rId59" Type="http://schemas.openxmlformats.org/officeDocument/2006/relationships/hyperlink" Target="https://doi.org/10.1097/mpg.0000000000002497" TargetMode="External"/><Relationship Id="rId124" Type="http://schemas.openxmlformats.org/officeDocument/2006/relationships/hyperlink" Target="https://doi.org/http://dx.doi.org/10.1373/clinchem.2006.081364" TargetMode="External"/><Relationship Id="rId70" Type="http://schemas.openxmlformats.org/officeDocument/2006/relationships/hyperlink" Target="https://doi.org/10.1371/journal.pone.0258501" TargetMode="External"/><Relationship Id="rId166" Type="http://schemas.openxmlformats.org/officeDocument/2006/relationships/hyperlink" Target="https://doi.org/http://dx.doi.org/10.1016/j.gie.2014.02.009" TargetMode="External"/><Relationship Id="rId331" Type="http://schemas.openxmlformats.org/officeDocument/2006/relationships/hyperlink" Target="https://doi.org/http://dx.doi.org/10.36295/ASRO.2020.231617" TargetMode="External"/><Relationship Id="rId373" Type="http://schemas.openxmlformats.org/officeDocument/2006/relationships/hyperlink" Target="https://doi.org/http://dx.doi.org/10.1097/MPG.0000000000002403" TargetMode="External"/><Relationship Id="rId429" Type="http://schemas.openxmlformats.org/officeDocument/2006/relationships/image" Target="media/image52.png"/><Relationship Id="rId1" Type="http://schemas.openxmlformats.org/officeDocument/2006/relationships/customXml" Target="../customXml/item1.xml"/><Relationship Id="rId233" Type="http://schemas.openxmlformats.org/officeDocument/2006/relationships/hyperlink" Target="https://doi.org/10.1136/archdischild-2016-312027" TargetMode="External"/><Relationship Id="rId440" Type="http://schemas.openxmlformats.org/officeDocument/2006/relationships/image" Target="media/image63.png"/><Relationship Id="rId28" Type="http://schemas.openxmlformats.org/officeDocument/2006/relationships/image" Target="media/image11.png"/><Relationship Id="rId275" Type="http://schemas.openxmlformats.org/officeDocument/2006/relationships/hyperlink" Target="https://doi.org/http://dx.doi.org/10.4274/tpa.672" TargetMode="External"/><Relationship Id="rId300" Type="http://schemas.openxmlformats.org/officeDocument/2006/relationships/hyperlink" Target="https://doi.org/http://dx.doi.org/10.1093/rheumatology/keh531" TargetMode="External"/><Relationship Id="rId81" Type="http://schemas.openxmlformats.org/officeDocument/2006/relationships/hyperlink" Target="https://doi.org/10.1177/2050640619844125" TargetMode="External"/><Relationship Id="rId135" Type="http://schemas.openxmlformats.org/officeDocument/2006/relationships/hyperlink" Target="https://doi.org/http://dx.doi.org/10.1016/j.dld.2011.10.013" TargetMode="External"/><Relationship Id="rId177" Type="http://schemas.openxmlformats.org/officeDocument/2006/relationships/hyperlink" Target="https://doi.org/http://dx.doi.org/10.1097/MPG.0b013e31829ef65d" TargetMode="External"/><Relationship Id="rId342" Type="http://schemas.openxmlformats.org/officeDocument/2006/relationships/hyperlink" Target="https://doi.org/http://dx.doi.org/10.1097/MD.0000000000001779" TargetMode="External"/><Relationship Id="rId384" Type="http://schemas.openxmlformats.org/officeDocument/2006/relationships/hyperlink" Target="https://doi.org/http://dx.doi.org/10.1097/00005176-200110000-00008" TargetMode="External"/><Relationship Id="rId202" Type="http://schemas.openxmlformats.org/officeDocument/2006/relationships/hyperlink" Target="https://doi.org/10.1111/j.1365-2036.2009.04053.x" TargetMode="External"/><Relationship Id="rId244" Type="http://schemas.openxmlformats.org/officeDocument/2006/relationships/hyperlink" Target="https://doi.org/10.1136/bmjopen-2017-01963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7c4dd26-4762-4f92-bdb7-ff59798f80e4">
      <UserInfo>
        <DisplayName>Howard Thom</DisplayName>
        <AccountId>24</AccountId>
        <AccountType/>
      </UserInfo>
      <UserInfo>
        <DisplayName>Rachel O'Donnell</DisplayName>
        <AccountId>12</AccountId>
        <AccountType/>
      </UserInfo>
      <UserInfo>
        <DisplayName>Joni Jackson</DisplayName>
        <AccountId>19</AccountId>
        <AccountType/>
      </UserInfo>
      <UserInfo>
        <DisplayName>Jessica Watson</DisplayName>
        <AccountId>28</AccountId>
        <AccountType/>
      </UserInfo>
      <UserInfo>
        <DisplayName>Alastair Hay</DisplayName>
        <AccountId>29</AccountId>
        <AccountType/>
      </UserInfo>
      <UserInfo>
        <DisplayName>Hayley Jones</DisplayName>
        <AccountId>32</AccountId>
        <AccountType/>
      </UserInfo>
      <UserInfo>
        <DisplayName>Penny Whiting</DisplayName>
        <AccountId>13</AccountId>
        <AccountType/>
      </UserInfo>
      <UserInfo>
        <DisplayName>Martha Elwenspoek</DisplayName>
        <AccountId>9</AccountId>
        <AccountType/>
      </UserInfo>
      <UserInfo>
        <DisplayName>Aisling O'Rourke</DisplayName>
        <AccountId>22</AccountId>
        <AccountType/>
      </UserInfo>
      <UserInfo>
        <DisplayName>athena.sheppard@outlook.com</DisplayName>
        <AccountId>25</AccountId>
        <AccountType/>
      </UserInfo>
      <UserInfo>
        <DisplayName>PETER GILLETT</DisplayName>
        <AccountId>30</AccountId>
        <AccountType/>
      </UserInfo>
      <UserInfo>
        <DisplayName>Gerry Robins</DisplayName>
        <AccountId>31</AccountId>
        <AccountType/>
      </UserInfo>
      <UserInfo>
        <DisplayName>Hazel Everitt</DisplayName>
        <AccountId>27</AccountId>
        <AccountType/>
      </UserInfo>
      <UserInfo>
        <DisplayName>Debbie Lane</DisplayName>
        <AccountId>26</AccountId>
        <AccountType/>
      </UserInfo>
      <UserInfo>
        <DisplayName>Jo Stubbs</DisplayName>
        <AccountId>34</AccountId>
        <AccountType/>
      </UserInfo>
      <UserInfo>
        <DisplayName>Edna Keeney</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300BF2C2E64DE4196BF79C81098BE85" ma:contentTypeVersion="12" ma:contentTypeDescription="Create a new document." ma:contentTypeScope="" ma:versionID="8049247e7b7fba9be5c1199aef65fb71">
  <xsd:schema xmlns:xsd="http://www.w3.org/2001/XMLSchema" xmlns:xs="http://www.w3.org/2001/XMLSchema" xmlns:p="http://schemas.microsoft.com/office/2006/metadata/properties" xmlns:ns2="c646e195-6b96-449d-a402-0ffaca707cc8" xmlns:ns3="77c4dd26-4762-4f92-bdb7-ff59798f80e4" targetNamespace="http://schemas.microsoft.com/office/2006/metadata/properties" ma:root="true" ma:fieldsID="41885cfecb58fcf5b9cb122e9b90b136" ns2:_="" ns3:_="">
    <xsd:import namespace="c646e195-6b96-449d-a402-0ffaca707cc8"/>
    <xsd:import namespace="77c4dd26-4762-4f92-bdb7-ff59798f80e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46e195-6b96-449d-a402-0ffaca707c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c4dd26-4762-4f92-bdb7-ff59798f80e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86D11A-B01B-4246-B5C9-D23B0D13FB07}">
  <ds:schemaRefs>
    <ds:schemaRef ds:uri="http://schemas.microsoft.com/office/2006/metadata/properties"/>
    <ds:schemaRef ds:uri="http://schemas.microsoft.com/office/infopath/2007/PartnerControls"/>
    <ds:schemaRef ds:uri="77c4dd26-4762-4f92-bdb7-ff59798f80e4"/>
  </ds:schemaRefs>
</ds:datastoreItem>
</file>

<file path=customXml/itemProps2.xml><?xml version="1.0" encoding="utf-8"?>
<ds:datastoreItem xmlns:ds="http://schemas.openxmlformats.org/officeDocument/2006/customXml" ds:itemID="{6B9C359E-8C5D-4DF0-9CCA-F8B85F7FB9BA}">
  <ds:schemaRefs>
    <ds:schemaRef ds:uri="http://schemas.openxmlformats.org/officeDocument/2006/bibliography"/>
  </ds:schemaRefs>
</ds:datastoreItem>
</file>

<file path=customXml/itemProps3.xml><?xml version="1.0" encoding="utf-8"?>
<ds:datastoreItem xmlns:ds="http://schemas.openxmlformats.org/officeDocument/2006/customXml" ds:itemID="{3040E9EE-D73E-4CD3-99B3-166F05C17852}">
  <ds:schemaRefs>
    <ds:schemaRef ds:uri="http://schemas.microsoft.com/sharepoint/v3/contenttype/forms"/>
  </ds:schemaRefs>
</ds:datastoreItem>
</file>

<file path=customXml/itemProps4.xml><?xml version="1.0" encoding="utf-8"?>
<ds:datastoreItem xmlns:ds="http://schemas.openxmlformats.org/officeDocument/2006/customXml" ds:itemID="{A1B931F8-4D66-44CC-9CFE-7B550EDEEF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46e195-6b96-449d-a402-0ffaca707cc8"/>
    <ds:schemaRef ds:uri="77c4dd26-4762-4f92-bdb7-ff59798f80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286</Pages>
  <Words>146205</Words>
  <Characters>833374</Characters>
  <Application>Microsoft Office Word</Application>
  <DocSecurity>0</DocSecurity>
  <Lines>6944</Lines>
  <Paragraphs>1955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977624</CharactersWithSpaces>
  <SharedDoc>false</SharedDoc>
  <HLinks>
    <vt:vector size="4098" baseType="variant">
      <vt:variant>
        <vt:i4>2359408</vt:i4>
      </vt:variant>
      <vt:variant>
        <vt:i4>4798</vt:i4>
      </vt:variant>
      <vt:variant>
        <vt:i4>0</vt:i4>
      </vt:variant>
      <vt:variant>
        <vt:i4>5</vt:i4>
      </vt:variant>
      <vt:variant>
        <vt:lpwstr>https://doi.org/10.1155/2014/417356</vt:lpwstr>
      </vt:variant>
      <vt:variant>
        <vt:lpwstr/>
      </vt:variant>
      <vt:variant>
        <vt:i4>8323179</vt:i4>
      </vt:variant>
      <vt:variant>
        <vt:i4>4795</vt:i4>
      </vt:variant>
      <vt:variant>
        <vt:i4>0</vt:i4>
      </vt:variant>
      <vt:variant>
        <vt:i4>5</vt:i4>
      </vt:variant>
      <vt:variant>
        <vt:lpwstr>https://doi.org/http://dx.doi.org/10.1007/s10620-008-0437-1</vt:lpwstr>
      </vt:variant>
      <vt:variant>
        <vt:lpwstr/>
      </vt:variant>
      <vt:variant>
        <vt:i4>6160396</vt:i4>
      </vt:variant>
      <vt:variant>
        <vt:i4>4792</vt:i4>
      </vt:variant>
      <vt:variant>
        <vt:i4>0</vt:i4>
      </vt:variant>
      <vt:variant>
        <vt:i4>5</vt:i4>
      </vt:variant>
      <vt:variant>
        <vt:lpwstr>https://doi.org/http://dx.doi.org/10.1097/01.mpg.0000516381.25680.b4</vt:lpwstr>
      </vt:variant>
      <vt:variant>
        <vt:lpwstr/>
      </vt:variant>
      <vt:variant>
        <vt:i4>8323181</vt:i4>
      </vt:variant>
      <vt:variant>
        <vt:i4>4789</vt:i4>
      </vt:variant>
      <vt:variant>
        <vt:i4>0</vt:i4>
      </vt:variant>
      <vt:variant>
        <vt:i4>5</vt:i4>
      </vt:variant>
      <vt:variant>
        <vt:lpwstr>https://doi.org/http://dx.doi.org/10.1007/s10654-006-9002-4</vt:lpwstr>
      </vt:variant>
      <vt:variant>
        <vt:lpwstr/>
      </vt:variant>
      <vt:variant>
        <vt:i4>6750250</vt:i4>
      </vt:variant>
      <vt:variant>
        <vt:i4>4786</vt:i4>
      </vt:variant>
      <vt:variant>
        <vt:i4>0</vt:i4>
      </vt:variant>
      <vt:variant>
        <vt:i4>5</vt:i4>
      </vt:variant>
      <vt:variant>
        <vt:lpwstr>https://doi.org/http://dx.doi.org/10.1159/000048840</vt:lpwstr>
      </vt:variant>
      <vt:variant>
        <vt:lpwstr/>
      </vt:variant>
      <vt:variant>
        <vt:i4>2490472</vt:i4>
      </vt:variant>
      <vt:variant>
        <vt:i4>4783</vt:i4>
      </vt:variant>
      <vt:variant>
        <vt:i4>0</vt:i4>
      </vt:variant>
      <vt:variant>
        <vt:i4>5</vt:i4>
      </vt:variant>
      <vt:variant>
        <vt:lpwstr>https://doi.org/http://dx.doi.org/10.1111/j.1365-2265.2005.02214.x</vt:lpwstr>
      </vt:variant>
      <vt:variant>
        <vt:lpwstr/>
      </vt:variant>
      <vt:variant>
        <vt:i4>5439561</vt:i4>
      </vt:variant>
      <vt:variant>
        <vt:i4>4780</vt:i4>
      </vt:variant>
      <vt:variant>
        <vt:i4>0</vt:i4>
      </vt:variant>
      <vt:variant>
        <vt:i4>5</vt:i4>
      </vt:variant>
      <vt:variant>
        <vt:lpwstr>https://doi.org/http://dx.doi.org/10.1023/A:1005441400107</vt:lpwstr>
      </vt:variant>
      <vt:variant>
        <vt:lpwstr/>
      </vt:variant>
      <vt:variant>
        <vt:i4>4653083</vt:i4>
      </vt:variant>
      <vt:variant>
        <vt:i4>4777</vt:i4>
      </vt:variant>
      <vt:variant>
        <vt:i4>0</vt:i4>
      </vt:variant>
      <vt:variant>
        <vt:i4>5</vt:i4>
      </vt:variant>
      <vt:variant>
        <vt:lpwstr>https://doi.org/http://dx.doi.org/10.4158/EP15700.OR</vt:lpwstr>
      </vt:variant>
      <vt:variant>
        <vt:lpwstr/>
      </vt:variant>
      <vt:variant>
        <vt:i4>5701697</vt:i4>
      </vt:variant>
      <vt:variant>
        <vt:i4>4774</vt:i4>
      </vt:variant>
      <vt:variant>
        <vt:i4>0</vt:i4>
      </vt:variant>
      <vt:variant>
        <vt:i4>5</vt:i4>
      </vt:variant>
      <vt:variant>
        <vt:lpwstr>https://doi.org/10.4183/aeb.2017.174</vt:lpwstr>
      </vt:variant>
      <vt:variant>
        <vt:lpwstr/>
      </vt:variant>
      <vt:variant>
        <vt:i4>7405687</vt:i4>
      </vt:variant>
      <vt:variant>
        <vt:i4>4771</vt:i4>
      </vt:variant>
      <vt:variant>
        <vt:i4>0</vt:i4>
      </vt:variant>
      <vt:variant>
        <vt:i4>5</vt:i4>
      </vt:variant>
      <vt:variant>
        <vt:lpwstr>https://doi.org/http://dx.doi.org/10.1016/S0531-5565%2803%2900037-8</vt:lpwstr>
      </vt:variant>
      <vt:variant>
        <vt:lpwstr/>
      </vt:variant>
      <vt:variant>
        <vt:i4>65545</vt:i4>
      </vt:variant>
      <vt:variant>
        <vt:i4>4768</vt:i4>
      </vt:variant>
      <vt:variant>
        <vt:i4>0</vt:i4>
      </vt:variant>
      <vt:variant>
        <vt:i4>5</vt:i4>
      </vt:variant>
      <vt:variant>
        <vt:lpwstr>https://doi.org/10.5603/EP.a2016.0017</vt:lpwstr>
      </vt:variant>
      <vt:variant>
        <vt:lpwstr/>
      </vt:variant>
      <vt:variant>
        <vt:i4>7798889</vt:i4>
      </vt:variant>
      <vt:variant>
        <vt:i4>4765</vt:i4>
      </vt:variant>
      <vt:variant>
        <vt:i4>0</vt:i4>
      </vt:variant>
      <vt:variant>
        <vt:i4>5</vt:i4>
      </vt:variant>
      <vt:variant>
        <vt:lpwstr>https://doi.org/http://dx.doi.org/10.1186/s12902-017-0212-4</vt:lpwstr>
      </vt:variant>
      <vt:variant>
        <vt:lpwstr/>
      </vt:variant>
      <vt:variant>
        <vt:i4>6946912</vt:i4>
      </vt:variant>
      <vt:variant>
        <vt:i4>4762</vt:i4>
      </vt:variant>
      <vt:variant>
        <vt:i4>0</vt:i4>
      </vt:variant>
      <vt:variant>
        <vt:i4>5</vt:i4>
      </vt:variant>
      <vt:variant>
        <vt:lpwstr>https://doi.org/https://dx.doi.org/10.4103/0973-3930.44081</vt:lpwstr>
      </vt:variant>
      <vt:variant>
        <vt:lpwstr/>
      </vt:variant>
      <vt:variant>
        <vt:i4>2752555</vt:i4>
      </vt:variant>
      <vt:variant>
        <vt:i4>4759</vt:i4>
      </vt:variant>
      <vt:variant>
        <vt:i4>0</vt:i4>
      </vt:variant>
      <vt:variant>
        <vt:i4>5</vt:i4>
      </vt:variant>
      <vt:variant>
        <vt:lpwstr>https://doi.org/http://dx.doi.org/10.4318/tjg.2010.0045</vt:lpwstr>
      </vt:variant>
      <vt:variant>
        <vt:lpwstr/>
      </vt:variant>
      <vt:variant>
        <vt:i4>983065</vt:i4>
      </vt:variant>
      <vt:variant>
        <vt:i4>4756</vt:i4>
      </vt:variant>
      <vt:variant>
        <vt:i4>0</vt:i4>
      </vt:variant>
      <vt:variant>
        <vt:i4>5</vt:i4>
      </vt:variant>
      <vt:variant>
        <vt:lpwstr>https://doi.org/http://dx.doi.org/10.2337/diacare.24.1.27</vt:lpwstr>
      </vt:variant>
      <vt:variant>
        <vt:lpwstr/>
      </vt:variant>
      <vt:variant>
        <vt:i4>2031644</vt:i4>
      </vt:variant>
      <vt:variant>
        <vt:i4>4753</vt:i4>
      </vt:variant>
      <vt:variant>
        <vt:i4>0</vt:i4>
      </vt:variant>
      <vt:variant>
        <vt:i4>5</vt:i4>
      </vt:variant>
      <vt:variant>
        <vt:lpwstr>https://doi.org/10.1007/s001250051593</vt:lpwstr>
      </vt:variant>
      <vt:variant>
        <vt:lpwstr/>
      </vt:variant>
      <vt:variant>
        <vt:i4>6226011</vt:i4>
      </vt:variant>
      <vt:variant>
        <vt:i4>4750</vt:i4>
      </vt:variant>
      <vt:variant>
        <vt:i4>0</vt:i4>
      </vt:variant>
      <vt:variant>
        <vt:i4>5</vt:i4>
      </vt:variant>
      <vt:variant>
        <vt:lpwstr>https://doi.org/http://dx.doi.org/10.1097/01.mpg.0000503536.79797.66</vt:lpwstr>
      </vt:variant>
      <vt:variant>
        <vt:lpwstr/>
      </vt:variant>
      <vt:variant>
        <vt:i4>2555947</vt:i4>
      </vt:variant>
      <vt:variant>
        <vt:i4>4747</vt:i4>
      </vt:variant>
      <vt:variant>
        <vt:i4>0</vt:i4>
      </vt:variant>
      <vt:variant>
        <vt:i4>5</vt:i4>
      </vt:variant>
      <vt:variant>
        <vt:lpwstr>https://doi.org/http://dx.doi.org/10.4318/tjg.2010.0093</vt:lpwstr>
      </vt:variant>
      <vt:variant>
        <vt:lpwstr/>
      </vt:variant>
      <vt:variant>
        <vt:i4>2752623</vt:i4>
      </vt:variant>
      <vt:variant>
        <vt:i4>4744</vt:i4>
      </vt:variant>
      <vt:variant>
        <vt:i4>0</vt:i4>
      </vt:variant>
      <vt:variant>
        <vt:i4>5</vt:i4>
      </vt:variant>
      <vt:variant>
        <vt:lpwstr>https://doi.org/http://dx.doi.org/10.1111/j.1749-6632.2009.04619.x</vt:lpwstr>
      </vt:variant>
      <vt:variant>
        <vt:lpwstr/>
      </vt:variant>
      <vt:variant>
        <vt:i4>3211303</vt:i4>
      </vt:variant>
      <vt:variant>
        <vt:i4>4741</vt:i4>
      </vt:variant>
      <vt:variant>
        <vt:i4>0</vt:i4>
      </vt:variant>
      <vt:variant>
        <vt:i4>5</vt:i4>
      </vt:variant>
      <vt:variant>
        <vt:lpwstr>https://doi.org/http://dx.doi.org/10.1111/apa.12823</vt:lpwstr>
      </vt:variant>
      <vt:variant>
        <vt:lpwstr/>
      </vt:variant>
      <vt:variant>
        <vt:i4>4128886</vt:i4>
      </vt:variant>
      <vt:variant>
        <vt:i4>4738</vt:i4>
      </vt:variant>
      <vt:variant>
        <vt:i4>0</vt:i4>
      </vt:variant>
      <vt:variant>
        <vt:i4>5</vt:i4>
      </vt:variant>
      <vt:variant>
        <vt:lpwstr>https://doi.org/http://dx.doi.org/10.2337/db151385</vt:lpwstr>
      </vt:variant>
      <vt:variant>
        <vt:lpwstr/>
      </vt:variant>
      <vt:variant>
        <vt:i4>2490412</vt:i4>
      </vt:variant>
      <vt:variant>
        <vt:i4>4735</vt:i4>
      </vt:variant>
      <vt:variant>
        <vt:i4>0</vt:i4>
      </vt:variant>
      <vt:variant>
        <vt:i4>5</vt:i4>
      </vt:variant>
      <vt:variant>
        <vt:lpwstr>https://doi.org/http://dx.doi.org/10.1111/j.1442-200X.2010.03085.x</vt:lpwstr>
      </vt:variant>
      <vt:variant>
        <vt:lpwstr/>
      </vt:variant>
      <vt:variant>
        <vt:i4>5242895</vt:i4>
      </vt:variant>
      <vt:variant>
        <vt:i4>4732</vt:i4>
      </vt:variant>
      <vt:variant>
        <vt:i4>0</vt:i4>
      </vt:variant>
      <vt:variant>
        <vt:i4>5</vt:i4>
      </vt:variant>
      <vt:variant>
        <vt:lpwstr>https://doi.org/http://dx.doi.org/10.1097/01.mpg.0000181400.57884.c3</vt:lpwstr>
      </vt:variant>
      <vt:variant>
        <vt:lpwstr/>
      </vt:variant>
      <vt:variant>
        <vt:i4>7012394</vt:i4>
      </vt:variant>
      <vt:variant>
        <vt:i4>4729</vt:i4>
      </vt:variant>
      <vt:variant>
        <vt:i4>0</vt:i4>
      </vt:variant>
      <vt:variant>
        <vt:i4>5</vt:i4>
      </vt:variant>
      <vt:variant>
        <vt:lpwstr>https://doi.org/http://dx.doi.org/10.1097/00005176-200110000-00008</vt:lpwstr>
      </vt:variant>
      <vt:variant>
        <vt:lpwstr/>
      </vt:variant>
      <vt:variant>
        <vt:i4>5242902</vt:i4>
      </vt:variant>
      <vt:variant>
        <vt:i4>4726</vt:i4>
      </vt:variant>
      <vt:variant>
        <vt:i4>0</vt:i4>
      </vt:variant>
      <vt:variant>
        <vt:i4>5</vt:i4>
      </vt:variant>
      <vt:variant>
        <vt:lpwstr>https://doi.org/http://dx.doi.org/10.1111/pedi.12200</vt:lpwstr>
      </vt:variant>
      <vt:variant>
        <vt:lpwstr/>
      </vt:variant>
      <vt:variant>
        <vt:i4>6815791</vt:i4>
      </vt:variant>
      <vt:variant>
        <vt:i4>4723</vt:i4>
      </vt:variant>
      <vt:variant>
        <vt:i4>0</vt:i4>
      </vt:variant>
      <vt:variant>
        <vt:i4>5</vt:i4>
      </vt:variant>
      <vt:variant>
        <vt:lpwstr>https://doi.org/http://dx.doi.org/10.1097/MPG.0b013e31815ce5d1</vt:lpwstr>
      </vt:variant>
      <vt:variant>
        <vt:lpwstr/>
      </vt:variant>
      <vt:variant>
        <vt:i4>3211318</vt:i4>
      </vt:variant>
      <vt:variant>
        <vt:i4>4720</vt:i4>
      </vt:variant>
      <vt:variant>
        <vt:i4>0</vt:i4>
      </vt:variant>
      <vt:variant>
        <vt:i4>5</vt:i4>
      </vt:variant>
      <vt:variant>
        <vt:lpwstr>https://doi.org/http://dx.doi.org/10.1371/journal.pone.0157510</vt:lpwstr>
      </vt:variant>
      <vt:variant>
        <vt:lpwstr/>
      </vt:variant>
      <vt:variant>
        <vt:i4>2097278</vt:i4>
      </vt:variant>
      <vt:variant>
        <vt:i4>4717</vt:i4>
      </vt:variant>
      <vt:variant>
        <vt:i4>0</vt:i4>
      </vt:variant>
      <vt:variant>
        <vt:i4>5</vt:i4>
      </vt:variant>
      <vt:variant>
        <vt:lpwstr>https://doi.org/10.1515/jpem-2017-0011</vt:lpwstr>
      </vt:variant>
      <vt:variant>
        <vt:lpwstr/>
      </vt:variant>
      <vt:variant>
        <vt:i4>2621487</vt:i4>
      </vt:variant>
      <vt:variant>
        <vt:i4>4714</vt:i4>
      </vt:variant>
      <vt:variant>
        <vt:i4>0</vt:i4>
      </vt:variant>
      <vt:variant>
        <vt:i4>5</vt:i4>
      </vt:variant>
      <vt:variant>
        <vt:lpwstr>https://doi.org/http://dx.doi.org/10.1111/dme.12163</vt:lpwstr>
      </vt:variant>
      <vt:variant>
        <vt:lpwstr/>
      </vt:variant>
      <vt:variant>
        <vt:i4>3670059</vt:i4>
      </vt:variant>
      <vt:variant>
        <vt:i4>4711</vt:i4>
      </vt:variant>
      <vt:variant>
        <vt:i4>0</vt:i4>
      </vt:variant>
      <vt:variant>
        <vt:i4>5</vt:i4>
      </vt:variant>
      <vt:variant>
        <vt:lpwstr>https://doi.org/http://dx.doi.org/10.2337/diacare.26.4.1235</vt:lpwstr>
      </vt:variant>
      <vt:variant>
        <vt:lpwstr/>
      </vt:variant>
      <vt:variant>
        <vt:i4>5373977</vt:i4>
      </vt:variant>
      <vt:variant>
        <vt:i4>4708</vt:i4>
      </vt:variant>
      <vt:variant>
        <vt:i4>0</vt:i4>
      </vt:variant>
      <vt:variant>
        <vt:i4>5</vt:i4>
      </vt:variant>
      <vt:variant>
        <vt:lpwstr>https://doi.org/10.1111/j.1742-1241.2007.01619.x</vt:lpwstr>
      </vt:variant>
      <vt:variant>
        <vt:lpwstr/>
      </vt:variant>
      <vt:variant>
        <vt:i4>2883683</vt:i4>
      </vt:variant>
      <vt:variant>
        <vt:i4>4705</vt:i4>
      </vt:variant>
      <vt:variant>
        <vt:i4>0</vt:i4>
      </vt:variant>
      <vt:variant>
        <vt:i4>5</vt:i4>
      </vt:variant>
      <vt:variant>
        <vt:lpwstr>https://doi.org/http://dx.doi.org/10.1111/j.1365-2249.2005.02866.x</vt:lpwstr>
      </vt:variant>
      <vt:variant>
        <vt:lpwstr/>
      </vt:variant>
      <vt:variant>
        <vt:i4>524295</vt:i4>
      </vt:variant>
      <vt:variant>
        <vt:i4>4702</vt:i4>
      </vt:variant>
      <vt:variant>
        <vt:i4>0</vt:i4>
      </vt:variant>
      <vt:variant>
        <vt:i4>5</vt:i4>
      </vt:variant>
      <vt:variant>
        <vt:lpwstr>https://doi.org/http://dx.doi.org/10.3923/tmr.2014.81.97</vt:lpwstr>
      </vt:variant>
      <vt:variant>
        <vt:lpwstr/>
      </vt:variant>
      <vt:variant>
        <vt:i4>1572955</vt:i4>
      </vt:variant>
      <vt:variant>
        <vt:i4>4699</vt:i4>
      </vt:variant>
      <vt:variant>
        <vt:i4>0</vt:i4>
      </vt:variant>
      <vt:variant>
        <vt:i4>5</vt:i4>
      </vt:variant>
      <vt:variant>
        <vt:lpwstr>https://doi.org/https://dx.doi.org/10.14309/ajg.0000000000001148</vt:lpwstr>
      </vt:variant>
      <vt:variant>
        <vt:lpwstr/>
      </vt:variant>
      <vt:variant>
        <vt:i4>4063265</vt:i4>
      </vt:variant>
      <vt:variant>
        <vt:i4>4696</vt:i4>
      </vt:variant>
      <vt:variant>
        <vt:i4>0</vt:i4>
      </vt:variant>
      <vt:variant>
        <vt:i4>5</vt:i4>
      </vt:variant>
      <vt:variant>
        <vt:lpwstr>https://doi.org/http://dx.doi.org/10.1097/MPG.0000000000002403</vt:lpwstr>
      </vt:variant>
      <vt:variant>
        <vt:lpwstr/>
      </vt:variant>
      <vt:variant>
        <vt:i4>2883636</vt:i4>
      </vt:variant>
      <vt:variant>
        <vt:i4>4693</vt:i4>
      </vt:variant>
      <vt:variant>
        <vt:i4>0</vt:i4>
      </vt:variant>
      <vt:variant>
        <vt:i4>5</vt:i4>
      </vt:variant>
      <vt:variant>
        <vt:lpwstr>https://doi.org/http://dx.doi.org/10.1093/humrep/dei314</vt:lpwstr>
      </vt:variant>
      <vt:variant>
        <vt:lpwstr/>
      </vt:variant>
      <vt:variant>
        <vt:i4>5701710</vt:i4>
      </vt:variant>
      <vt:variant>
        <vt:i4>4690</vt:i4>
      </vt:variant>
      <vt:variant>
        <vt:i4>0</vt:i4>
      </vt:variant>
      <vt:variant>
        <vt:i4>5</vt:i4>
      </vt:variant>
      <vt:variant>
        <vt:lpwstr>https://doi.org/http://dx.doi.org/10.1016/j.ajog.2012.10.315</vt:lpwstr>
      </vt:variant>
      <vt:variant>
        <vt:lpwstr/>
      </vt:variant>
      <vt:variant>
        <vt:i4>2556008</vt:i4>
      </vt:variant>
      <vt:variant>
        <vt:i4>4687</vt:i4>
      </vt:variant>
      <vt:variant>
        <vt:i4>0</vt:i4>
      </vt:variant>
      <vt:variant>
        <vt:i4>5</vt:i4>
      </vt:variant>
      <vt:variant>
        <vt:lpwstr>https://doi.org/http://dx.doi.org/10.1111/j.0001-6349.2004.00592.x</vt:lpwstr>
      </vt:variant>
      <vt:variant>
        <vt:lpwstr/>
      </vt:variant>
      <vt:variant>
        <vt:i4>7733300</vt:i4>
      </vt:variant>
      <vt:variant>
        <vt:i4>4684</vt:i4>
      </vt:variant>
      <vt:variant>
        <vt:i4>0</vt:i4>
      </vt:variant>
      <vt:variant>
        <vt:i4>5</vt:i4>
      </vt:variant>
      <vt:variant>
        <vt:lpwstr>https://doi.org/http://dx.doi.org/10.1080/15513815.2017.1346018</vt:lpwstr>
      </vt:variant>
      <vt:variant>
        <vt:lpwstr/>
      </vt:variant>
      <vt:variant>
        <vt:i4>2752550</vt:i4>
      </vt:variant>
      <vt:variant>
        <vt:i4>4681</vt:i4>
      </vt:variant>
      <vt:variant>
        <vt:i4>0</vt:i4>
      </vt:variant>
      <vt:variant>
        <vt:i4>5</vt:i4>
      </vt:variant>
      <vt:variant>
        <vt:lpwstr>https://doi.org/http://dx.doi.org/10.1111/aji.13127</vt:lpwstr>
      </vt:variant>
      <vt:variant>
        <vt:lpwstr/>
      </vt:variant>
      <vt:variant>
        <vt:i4>2818111</vt:i4>
      </vt:variant>
      <vt:variant>
        <vt:i4>4678</vt:i4>
      </vt:variant>
      <vt:variant>
        <vt:i4>0</vt:i4>
      </vt:variant>
      <vt:variant>
        <vt:i4>5</vt:i4>
      </vt:variant>
      <vt:variant>
        <vt:lpwstr>https://doi.org/http://dx.doi.org/10.1016/j.fertnstert.2010.11.005</vt:lpwstr>
      </vt:variant>
      <vt:variant>
        <vt:lpwstr/>
      </vt:variant>
      <vt:variant>
        <vt:i4>3145781</vt:i4>
      </vt:variant>
      <vt:variant>
        <vt:i4>4675</vt:i4>
      </vt:variant>
      <vt:variant>
        <vt:i4>0</vt:i4>
      </vt:variant>
      <vt:variant>
        <vt:i4>5</vt:i4>
      </vt:variant>
      <vt:variant>
        <vt:lpwstr>https://doi.org/http://dx.doi.org/10.1093/humrep/det209</vt:lpwstr>
      </vt:variant>
      <vt:variant>
        <vt:lpwstr/>
      </vt:variant>
      <vt:variant>
        <vt:i4>6160396</vt:i4>
      </vt:variant>
      <vt:variant>
        <vt:i4>4672</vt:i4>
      </vt:variant>
      <vt:variant>
        <vt:i4>0</vt:i4>
      </vt:variant>
      <vt:variant>
        <vt:i4>5</vt:i4>
      </vt:variant>
      <vt:variant>
        <vt:lpwstr>https://doi.org/http://dx.doi.org/10.1097/01.mpg.0000516381.25680.b4</vt:lpwstr>
      </vt:variant>
      <vt:variant>
        <vt:lpwstr/>
      </vt:variant>
      <vt:variant>
        <vt:i4>6881321</vt:i4>
      </vt:variant>
      <vt:variant>
        <vt:i4>4669</vt:i4>
      </vt:variant>
      <vt:variant>
        <vt:i4>0</vt:i4>
      </vt:variant>
      <vt:variant>
        <vt:i4>5</vt:i4>
      </vt:variant>
      <vt:variant>
        <vt:lpwstr>https://doi.org/http://dx.doi.org/10.1177/0961203313503911</vt:lpwstr>
      </vt:variant>
      <vt:variant>
        <vt:lpwstr/>
      </vt:variant>
      <vt:variant>
        <vt:i4>4718619</vt:i4>
      </vt:variant>
      <vt:variant>
        <vt:i4>4666</vt:i4>
      </vt:variant>
      <vt:variant>
        <vt:i4>0</vt:i4>
      </vt:variant>
      <vt:variant>
        <vt:i4>5</vt:i4>
      </vt:variant>
      <vt:variant>
        <vt:lpwstr>https://doi.org/http://dx.doi.org/10.1191/0961203304lu1004oa</vt:lpwstr>
      </vt:variant>
      <vt:variant>
        <vt:lpwstr/>
      </vt:variant>
      <vt:variant>
        <vt:i4>6094926</vt:i4>
      </vt:variant>
      <vt:variant>
        <vt:i4>4663</vt:i4>
      </vt:variant>
      <vt:variant>
        <vt:i4>0</vt:i4>
      </vt:variant>
      <vt:variant>
        <vt:i4>5</vt:i4>
      </vt:variant>
      <vt:variant>
        <vt:lpwstr>https://doi.org/https://dx.doi.org/10.1002/jcla.20398</vt:lpwstr>
      </vt:variant>
      <vt:variant>
        <vt:lpwstr/>
      </vt:variant>
      <vt:variant>
        <vt:i4>3407986</vt:i4>
      </vt:variant>
      <vt:variant>
        <vt:i4>4660</vt:i4>
      </vt:variant>
      <vt:variant>
        <vt:i4>0</vt:i4>
      </vt:variant>
      <vt:variant>
        <vt:i4>5</vt:i4>
      </vt:variant>
      <vt:variant>
        <vt:lpwstr>https://doi.org/https://dx.doi.org/10.1111/j.1365-2230.2010.03980.x</vt:lpwstr>
      </vt:variant>
      <vt:variant>
        <vt:lpwstr/>
      </vt:variant>
      <vt:variant>
        <vt:i4>1245261</vt:i4>
      </vt:variant>
      <vt:variant>
        <vt:i4>4657</vt:i4>
      </vt:variant>
      <vt:variant>
        <vt:i4>0</vt:i4>
      </vt:variant>
      <vt:variant>
        <vt:i4>5</vt:i4>
      </vt:variant>
      <vt:variant>
        <vt:lpwstr>https://doi.org/10.2340/00015555-0960</vt:lpwstr>
      </vt:variant>
      <vt:variant>
        <vt:lpwstr/>
      </vt:variant>
      <vt:variant>
        <vt:i4>2621481</vt:i4>
      </vt:variant>
      <vt:variant>
        <vt:i4>4654</vt:i4>
      </vt:variant>
      <vt:variant>
        <vt:i4>0</vt:i4>
      </vt:variant>
      <vt:variant>
        <vt:i4>5</vt:i4>
      </vt:variant>
      <vt:variant>
        <vt:lpwstr>https://doi.org/http://dx.doi.org/10.1111/ajd.13308</vt:lpwstr>
      </vt:variant>
      <vt:variant>
        <vt:lpwstr/>
      </vt:variant>
      <vt:variant>
        <vt:i4>3670070</vt:i4>
      </vt:variant>
      <vt:variant>
        <vt:i4>4651</vt:i4>
      </vt:variant>
      <vt:variant>
        <vt:i4>0</vt:i4>
      </vt:variant>
      <vt:variant>
        <vt:i4>5</vt:i4>
      </vt:variant>
      <vt:variant>
        <vt:lpwstr>https://doi.org/https://dx.doi.org/10.5021/ad.2013.25.3.298</vt:lpwstr>
      </vt:variant>
      <vt:variant>
        <vt:lpwstr/>
      </vt:variant>
      <vt:variant>
        <vt:i4>6291494</vt:i4>
      </vt:variant>
      <vt:variant>
        <vt:i4>4648</vt:i4>
      </vt:variant>
      <vt:variant>
        <vt:i4>0</vt:i4>
      </vt:variant>
      <vt:variant>
        <vt:i4>5</vt:i4>
      </vt:variant>
      <vt:variant>
        <vt:lpwstr>https://doi.org/http://dx.doi.org/10.1159/000369615</vt:lpwstr>
      </vt:variant>
      <vt:variant>
        <vt:lpwstr/>
      </vt:variant>
      <vt:variant>
        <vt:i4>7667819</vt:i4>
      </vt:variant>
      <vt:variant>
        <vt:i4>4645</vt:i4>
      </vt:variant>
      <vt:variant>
        <vt:i4>0</vt:i4>
      </vt:variant>
      <vt:variant>
        <vt:i4>5</vt:i4>
      </vt:variant>
      <vt:variant>
        <vt:lpwstr>https://doi.org/http://dx.doi.org/10.1007/s00198-014-2891-2</vt:lpwstr>
      </vt:variant>
      <vt:variant>
        <vt:lpwstr/>
      </vt:variant>
      <vt:variant>
        <vt:i4>5963800</vt:i4>
      </vt:variant>
      <vt:variant>
        <vt:i4>4642</vt:i4>
      </vt:variant>
      <vt:variant>
        <vt:i4>0</vt:i4>
      </vt:variant>
      <vt:variant>
        <vt:i4>5</vt:i4>
      </vt:variant>
      <vt:variant>
        <vt:lpwstr>https://doi.org/10.1111/j.1365-3083.2008.02115.x</vt:lpwstr>
      </vt:variant>
      <vt:variant>
        <vt:lpwstr/>
      </vt:variant>
      <vt:variant>
        <vt:i4>4784154</vt:i4>
      </vt:variant>
      <vt:variant>
        <vt:i4>4639</vt:i4>
      </vt:variant>
      <vt:variant>
        <vt:i4>0</vt:i4>
      </vt:variant>
      <vt:variant>
        <vt:i4>5</vt:i4>
      </vt:variant>
      <vt:variant>
        <vt:lpwstr>https://doi.org/http://dx.doi.org/10.1186/1471-2377-11-31</vt:lpwstr>
      </vt:variant>
      <vt:variant>
        <vt:lpwstr/>
      </vt:variant>
      <vt:variant>
        <vt:i4>7405686</vt:i4>
      </vt:variant>
      <vt:variant>
        <vt:i4>4636</vt:i4>
      </vt:variant>
      <vt:variant>
        <vt:i4>0</vt:i4>
      </vt:variant>
      <vt:variant>
        <vt:i4>5</vt:i4>
      </vt:variant>
      <vt:variant>
        <vt:lpwstr>https://doi.org/https://dx.doi.org/10.1177/1352458507087268</vt:lpwstr>
      </vt:variant>
      <vt:variant>
        <vt:lpwstr/>
      </vt:variant>
      <vt:variant>
        <vt:i4>2752554</vt:i4>
      </vt:variant>
      <vt:variant>
        <vt:i4>4633</vt:i4>
      </vt:variant>
      <vt:variant>
        <vt:i4>0</vt:i4>
      </vt:variant>
      <vt:variant>
        <vt:i4>5</vt:i4>
      </vt:variant>
      <vt:variant>
        <vt:lpwstr>https://doi.org/http://dx.doi.org/10.4318/tjg.2011.0153</vt:lpwstr>
      </vt:variant>
      <vt:variant>
        <vt:lpwstr/>
      </vt:variant>
      <vt:variant>
        <vt:i4>3080293</vt:i4>
      </vt:variant>
      <vt:variant>
        <vt:i4>4630</vt:i4>
      </vt:variant>
      <vt:variant>
        <vt:i4>0</vt:i4>
      </vt:variant>
      <vt:variant>
        <vt:i4>5</vt:i4>
      </vt:variant>
      <vt:variant>
        <vt:lpwstr>https://doi.org/http://dx.doi.org/10.1111/j.1468-2982.2008.01630.x</vt:lpwstr>
      </vt:variant>
      <vt:variant>
        <vt:lpwstr/>
      </vt:variant>
      <vt:variant>
        <vt:i4>8126587</vt:i4>
      </vt:variant>
      <vt:variant>
        <vt:i4>4627</vt:i4>
      </vt:variant>
      <vt:variant>
        <vt:i4>0</vt:i4>
      </vt:variant>
      <vt:variant>
        <vt:i4>5</vt:i4>
      </vt:variant>
      <vt:variant>
        <vt:lpwstr>https://doi.org/https://dx.doi.org/10.1177/0883073816630088</vt:lpwstr>
      </vt:variant>
      <vt:variant>
        <vt:lpwstr/>
      </vt:variant>
      <vt:variant>
        <vt:i4>5832704</vt:i4>
      </vt:variant>
      <vt:variant>
        <vt:i4>4624</vt:i4>
      </vt:variant>
      <vt:variant>
        <vt:i4>0</vt:i4>
      </vt:variant>
      <vt:variant>
        <vt:i4>5</vt:i4>
      </vt:variant>
      <vt:variant>
        <vt:lpwstr>https://doi.org/http://dx.doi.org/10.1002/jcla.20047</vt:lpwstr>
      </vt:variant>
      <vt:variant>
        <vt:lpwstr/>
      </vt:variant>
      <vt:variant>
        <vt:i4>2949153</vt:i4>
      </vt:variant>
      <vt:variant>
        <vt:i4>4621</vt:i4>
      </vt:variant>
      <vt:variant>
        <vt:i4>0</vt:i4>
      </vt:variant>
      <vt:variant>
        <vt:i4>5</vt:i4>
      </vt:variant>
      <vt:variant>
        <vt:lpwstr>https://doi.org/http://dx.doi.org/10.1093/tropej/fmq057</vt:lpwstr>
      </vt:variant>
      <vt:variant>
        <vt:lpwstr/>
      </vt:variant>
      <vt:variant>
        <vt:i4>2162731</vt:i4>
      </vt:variant>
      <vt:variant>
        <vt:i4>4618</vt:i4>
      </vt:variant>
      <vt:variant>
        <vt:i4>0</vt:i4>
      </vt:variant>
      <vt:variant>
        <vt:i4>5</vt:i4>
      </vt:variant>
      <vt:variant>
        <vt:lpwstr>https://doi.org/http://dx.doi.org/10.3906/sag-1403-127</vt:lpwstr>
      </vt:variant>
      <vt:variant>
        <vt:lpwstr/>
      </vt:variant>
      <vt:variant>
        <vt:i4>7143461</vt:i4>
      </vt:variant>
      <vt:variant>
        <vt:i4>4615</vt:i4>
      </vt:variant>
      <vt:variant>
        <vt:i4>0</vt:i4>
      </vt:variant>
      <vt:variant>
        <vt:i4>5</vt:i4>
      </vt:variant>
      <vt:variant>
        <vt:lpwstr>https://doi.org/http://dx.doi.org/10.3109/00365529709002997</vt:lpwstr>
      </vt:variant>
      <vt:variant>
        <vt:lpwstr/>
      </vt:variant>
      <vt:variant>
        <vt:i4>1245278</vt:i4>
      </vt:variant>
      <vt:variant>
        <vt:i4>4612</vt:i4>
      </vt:variant>
      <vt:variant>
        <vt:i4>0</vt:i4>
      </vt:variant>
      <vt:variant>
        <vt:i4>5</vt:i4>
      </vt:variant>
      <vt:variant>
        <vt:lpwstr>https://doi.org/10.1097/00004836-200411000-00014</vt:lpwstr>
      </vt:variant>
      <vt:variant>
        <vt:lpwstr/>
      </vt:variant>
      <vt:variant>
        <vt:i4>6357115</vt:i4>
      </vt:variant>
      <vt:variant>
        <vt:i4>4609</vt:i4>
      </vt:variant>
      <vt:variant>
        <vt:i4>0</vt:i4>
      </vt:variant>
      <vt:variant>
        <vt:i4>5</vt:i4>
      </vt:variant>
      <vt:variant>
        <vt:lpwstr>https://doi.org/http://dx.doi.org/10.1186/1471-230X-2-5</vt:lpwstr>
      </vt:variant>
      <vt:variant>
        <vt:lpwstr/>
      </vt:variant>
      <vt:variant>
        <vt:i4>7667834</vt:i4>
      </vt:variant>
      <vt:variant>
        <vt:i4>4606</vt:i4>
      </vt:variant>
      <vt:variant>
        <vt:i4>0</vt:i4>
      </vt:variant>
      <vt:variant>
        <vt:i4>5</vt:i4>
      </vt:variant>
      <vt:variant>
        <vt:lpwstr>https://doi.org/http://dx.doi.org/10.1016/S0016-5085%2814%2960611-9</vt:lpwstr>
      </vt:variant>
      <vt:variant>
        <vt:lpwstr/>
      </vt:variant>
      <vt:variant>
        <vt:i4>327773</vt:i4>
      </vt:variant>
      <vt:variant>
        <vt:i4>4603</vt:i4>
      </vt:variant>
      <vt:variant>
        <vt:i4>0</vt:i4>
      </vt:variant>
      <vt:variant>
        <vt:i4>5</vt:i4>
      </vt:variant>
      <vt:variant>
        <vt:lpwstr>https://doi.org/http://dx.doi.org/10.1097/MD.0000000000001779</vt:lpwstr>
      </vt:variant>
      <vt:variant>
        <vt:lpwstr/>
      </vt:variant>
      <vt:variant>
        <vt:i4>7995509</vt:i4>
      </vt:variant>
      <vt:variant>
        <vt:i4>4600</vt:i4>
      </vt:variant>
      <vt:variant>
        <vt:i4>0</vt:i4>
      </vt:variant>
      <vt:variant>
        <vt:i4>5</vt:i4>
      </vt:variant>
      <vt:variant>
        <vt:lpwstr>https://doi.org/http://dx.doi.org/10.1016/S0140-6736%2801%2906581-3</vt:lpwstr>
      </vt:variant>
      <vt:variant>
        <vt:lpwstr/>
      </vt:variant>
      <vt:variant>
        <vt:i4>2555945</vt:i4>
      </vt:variant>
      <vt:variant>
        <vt:i4>4597</vt:i4>
      </vt:variant>
      <vt:variant>
        <vt:i4>0</vt:i4>
      </vt:variant>
      <vt:variant>
        <vt:i4>5</vt:i4>
      </vt:variant>
      <vt:variant>
        <vt:lpwstr>https://doi.org/http://dx.doi.org/10.1111/nmo.12799</vt:lpwstr>
      </vt:variant>
      <vt:variant>
        <vt:lpwstr/>
      </vt:variant>
      <vt:variant>
        <vt:i4>4653066</vt:i4>
      </vt:variant>
      <vt:variant>
        <vt:i4>4594</vt:i4>
      </vt:variant>
      <vt:variant>
        <vt:i4>0</vt:i4>
      </vt:variant>
      <vt:variant>
        <vt:i4>5</vt:i4>
      </vt:variant>
      <vt:variant>
        <vt:lpwstr>https://doi.org/http://dx.doi.org/10.1111/1751-2980.12587</vt:lpwstr>
      </vt:variant>
      <vt:variant>
        <vt:lpwstr/>
      </vt:variant>
      <vt:variant>
        <vt:i4>2228351</vt:i4>
      </vt:variant>
      <vt:variant>
        <vt:i4>4591</vt:i4>
      </vt:variant>
      <vt:variant>
        <vt:i4>0</vt:i4>
      </vt:variant>
      <vt:variant>
        <vt:i4>5</vt:i4>
      </vt:variant>
      <vt:variant>
        <vt:lpwstr>https://doi.org/http://dx.doi.org/10.5114/pg.2016.57941</vt:lpwstr>
      </vt:variant>
      <vt:variant>
        <vt:lpwstr/>
      </vt:variant>
      <vt:variant>
        <vt:i4>2097192</vt:i4>
      </vt:variant>
      <vt:variant>
        <vt:i4>4588</vt:i4>
      </vt:variant>
      <vt:variant>
        <vt:i4>0</vt:i4>
      </vt:variant>
      <vt:variant>
        <vt:i4>5</vt:i4>
      </vt:variant>
      <vt:variant>
        <vt:lpwstr>https://doi.org/http://dx.doi.org/10.1053/j.gastro.2011.06.084</vt:lpwstr>
      </vt:variant>
      <vt:variant>
        <vt:lpwstr/>
      </vt:variant>
      <vt:variant>
        <vt:i4>3014688</vt:i4>
      </vt:variant>
      <vt:variant>
        <vt:i4>4585</vt:i4>
      </vt:variant>
      <vt:variant>
        <vt:i4>0</vt:i4>
      </vt:variant>
      <vt:variant>
        <vt:i4>5</vt:i4>
      </vt:variant>
      <vt:variant>
        <vt:lpwstr>https://doi.org/http://dx.doi.org/10.1097/MEG.0000000000001022</vt:lpwstr>
      </vt:variant>
      <vt:variant>
        <vt:lpwstr/>
      </vt:variant>
      <vt:variant>
        <vt:i4>2359414</vt:i4>
      </vt:variant>
      <vt:variant>
        <vt:i4>4582</vt:i4>
      </vt:variant>
      <vt:variant>
        <vt:i4>0</vt:i4>
      </vt:variant>
      <vt:variant>
        <vt:i4>5</vt:i4>
      </vt:variant>
      <vt:variant>
        <vt:lpwstr>https://doi.org/http://dx.doi.org/10.5114/pg.2013.36333</vt:lpwstr>
      </vt:variant>
      <vt:variant>
        <vt:lpwstr/>
      </vt:variant>
      <vt:variant>
        <vt:i4>7274606</vt:i4>
      </vt:variant>
      <vt:variant>
        <vt:i4>4579</vt:i4>
      </vt:variant>
      <vt:variant>
        <vt:i4>0</vt:i4>
      </vt:variant>
      <vt:variant>
        <vt:i4>5</vt:i4>
      </vt:variant>
      <vt:variant>
        <vt:lpwstr>https://doi.org/http://dx.doi.org/10.1007/s005350050217</vt:lpwstr>
      </vt:variant>
      <vt:variant>
        <vt:lpwstr/>
      </vt:variant>
      <vt:variant>
        <vt:i4>7536744</vt:i4>
      </vt:variant>
      <vt:variant>
        <vt:i4>4576</vt:i4>
      </vt:variant>
      <vt:variant>
        <vt:i4>0</vt:i4>
      </vt:variant>
      <vt:variant>
        <vt:i4>5</vt:i4>
      </vt:variant>
      <vt:variant>
        <vt:lpwstr>https://doi.org/http://dx.doi.org/10.1007/s00535-013-0838-6</vt:lpwstr>
      </vt:variant>
      <vt:variant>
        <vt:lpwstr/>
      </vt:variant>
      <vt:variant>
        <vt:i4>2031711</vt:i4>
      </vt:variant>
      <vt:variant>
        <vt:i4>4573</vt:i4>
      </vt:variant>
      <vt:variant>
        <vt:i4>0</vt:i4>
      </vt:variant>
      <vt:variant>
        <vt:i4>5</vt:i4>
      </vt:variant>
      <vt:variant>
        <vt:lpwstr>https://doi.org/10.1080/00365520701365112</vt:lpwstr>
      </vt:variant>
      <vt:variant>
        <vt:lpwstr/>
      </vt:variant>
      <vt:variant>
        <vt:i4>8060985</vt:i4>
      </vt:variant>
      <vt:variant>
        <vt:i4>4570</vt:i4>
      </vt:variant>
      <vt:variant>
        <vt:i4>0</vt:i4>
      </vt:variant>
      <vt:variant>
        <vt:i4>5</vt:i4>
      </vt:variant>
      <vt:variant>
        <vt:lpwstr>https://doi.org/http://dx.doi.org/10.36295/ASRO.2020.231617</vt:lpwstr>
      </vt:variant>
      <vt:variant>
        <vt:lpwstr/>
      </vt:variant>
      <vt:variant>
        <vt:i4>2162721</vt:i4>
      </vt:variant>
      <vt:variant>
        <vt:i4>4567</vt:i4>
      </vt:variant>
      <vt:variant>
        <vt:i4>0</vt:i4>
      </vt:variant>
      <vt:variant>
        <vt:i4>5</vt:i4>
      </vt:variant>
      <vt:variant>
        <vt:lpwstr>https://doi.org/http://dx.doi.org/10.1053/j.gastro.2010.04.007</vt:lpwstr>
      </vt:variant>
      <vt:variant>
        <vt:lpwstr/>
      </vt:variant>
      <vt:variant>
        <vt:i4>2097186</vt:i4>
      </vt:variant>
      <vt:variant>
        <vt:i4>4564</vt:i4>
      </vt:variant>
      <vt:variant>
        <vt:i4>0</vt:i4>
      </vt:variant>
      <vt:variant>
        <vt:i4>5</vt:i4>
      </vt:variant>
      <vt:variant>
        <vt:lpwstr>https://doi.org/http://dx.doi.org/10.1053/j.gastro.2016.11.043</vt:lpwstr>
      </vt:variant>
      <vt:variant>
        <vt:lpwstr/>
      </vt:variant>
      <vt:variant>
        <vt:i4>3801145</vt:i4>
      </vt:variant>
      <vt:variant>
        <vt:i4>4561</vt:i4>
      </vt:variant>
      <vt:variant>
        <vt:i4>0</vt:i4>
      </vt:variant>
      <vt:variant>
        <vt:i4>5</vt:i4>
      </vt:variant>
      <vt:variant>
        <vt:lpwstr>https://doi.org/http://dx.doi.org/10.1136/gut.52.7.960</vt:lpwstr>
      </vt:variant>
      <vt:variant>
        <vt:lpwstr/>
      </vt:variant>
      <vt:variant>
        <vt:i4>6815785</vt:i4>
      </vt:variant>
      <vt:variant>
        <vt:i4>4558</vt:i4>
      </vt:variant>
      <vt:variant>
        <vt:i4>0</vt:i4>
      </vt:variant>
      <vt:variant>
        <vt:i4>5</vt:i4>
      </vt:variant>
      <vt:variant>
        <vt:lpwstr>https://doi.org/http://dx.doi.org/10.1080/00365520902718929</vt:lpwstr>
      </vt:variant>
      <vt:variant>
        <vt:lpwstr/>
      </vt:variant>
      <vt:variant>
        <vt:i4>1441862</vt:i4>
      </vt:variant>
      <vt:variant>
        <vt:i4>4555</vt:i4>
      </vt:variant>
      <vt:variant>
        <vt:i4>0</vt:i4>
      </vt:variant>
      <vt:variant>
        <vt:i4>5</vt:i4>
      </vt:variant>
      <vt:variant>
        <vt:lpwstr>https://doi.org/http://dx.doi.org/10.3390/nu10070849</vt:lpwstr>
      </vt:variant>
      <vt:variant>
        <vt:lpwstr/>
      </vt:variant>
      <vt:variant>
        <vt:i4>7667822</vt:i4>
      </vt:variant>
      <vt:variant>
        <vt:i4>4552</vt:i4>
      </vt:variant>
      <vt:variant>
        <vt:i4>0</vt:i4>
      </vt:variant>
      <vt:variant>
        <vt:i4>5</vt:i4>
      </vt:variant>
      <vt:variant>
        <vt:lpwstr>https://doi.org/http://dx.doi.org/10.1007/s12603-013-0017-8</vt:lpwstr>
      </vt:variant>
      <vt:variant>
        <vt:lpwstr/>
      </vt:variant>
      <vt:variant>
        <vt:i4>4194314</vt:i4>
      </vt:variant>
      <vt:variant>
        <vt:i4>4549</vt:i4>
      </vt:variant>
      <vt:variant>
        <vt:i4>0</vt:i4>
      </vt:variant>
      <vt:variant>
        <vt:i4>5</vt:i4>
      </vt:variant>
      <vt:variant>
        <vt:lpwstr>https://doi.org/http://dx.doi.org/10.1136/annrheumdis-2014-eular.1238</vt:lpwstr>
      </vt:variant>
      <vt:variant>
        <vt:lpwstr/>
      </vt:variant>
      <vt:variant>
        <vt:i4>7798844</vt:i4>
      </vt:variant>
      <vt:variant>
        <vt:i4>4546</vt:i4>
      </vt:variant>
      <vt:variant>
        <vt:i4>0</vt:i4>
      </vt:variant>
      <vt:variant>
        <vt:i4>5</vt:i4>
      </vt:variant>
      <vt:variant>
        <vt:lpwstr>https://doi.org/http://dx.doi.org/10.1080/00365521.2018.1509122</vt:lpwstr>
      </vt:variant>
      <vt:variant>
        <vt:lpwstr/>
      </vt:variant>
      <vt:variant>
        <vt:i4>1048660</vt:i4>
      </vt:variant>
      <vt:variant>
        <vt:i4>4543</vt:i4>
      </vt:variant>
      <vt:variant>
        <vt:i4>0</vt:i4>
      </vt:variant>
      <vt:variant>
        <vt:i4>5</vt:i4>
      </vt:variant>
      <vt:variant>
        <vt:lpwstr>https://doi.org/10.1159/000320451</vt:lpwstr>
      </vt:variant>
      <vt:variant>
        <vt:lpwstr/>
      </vt:variant>
      <vt:variant>
        <vt:i4>6029400</vt:i4>
      </vt:variant>
      <vt:variant>
        <vt:i4>4540</vt:i4>
      </vt:variant>
      <vt:variant>
        <vt:i4>0</vt:i4>
      </vt:variant>
      <vt:variant>
        <vt:i4>5</vt:i4>
      </vt:variant>
      <vt:variant>
        <vt:lpwstr>https://doi.org/10.1016/j.humimm.2006.04.009</vt:lpwstr>
      </vt:variant>
      <vt:variant>
        <vt:lpwstr/>
      </vt:variant>
      <vt:variant>
        <vt:i4>393246</vt:i4>
      </vt:variant>
      <vt:variant>
        <vt:i4>4537</vt:i4>
      </vt:variant>
      <vt:variant>
        <vt:i4>0</vt:i4>
      </vt:variant>
      <vt:variant>
        <vt:i4>5</vt:i4>
      </vt:variant>
      <vt:variant>
        <vt:lpwstr>https://doi.org/10.1007/s10620-018-5320-0</vt:lpwstr>
      </vt:variant>
      <vt:variant>
        <vt:lpwstr/>
      </vt:variant>
      <vt:variant>
        <vt:i4>4849680</vt:i4>
      </vt:variant>
      <vt:variant>
        <vt:i4>4534</vt:i4>
      </vt:variant>
      <vt:variant>
        <vt:i4>0</vt:i4>
      </vt:variant>
      <vt:variant>
        <vt:i4>5</vt:i4>
      </vt:variant>
      <vt:variant>
        <vt:lpwstr>https://doi.org/http://dx.doi.org/10.1001/archinte.163.3.286</vt:lpwstr>
      </vt:variant>
      <vt:variant>
        <vt:lpwstr/>
      </vt:variant>
      <vt:variant>
        <vt:i4>7340148</vt:i4>
      </vt:variant>
      <vt:variant>
        <vt:i4>4531</vt:i4>
      </vt:variant>
      <vt:variant>
        <vt:i4>0</vt:i4>
      </vt:variant>
      <vt:variant>
        <vt:i4>5</vt:i4>
      </vt:variant>
      <vt:variant>
        <vt:lpwstr>https://doi.org/http://dx.doi.org/10.1016/S0016-5085%2819%2937130-6</vt:lpwstr>
      </vt:variant>
      <vt:variant>
        <vt:lpwstr/>
      </vt:variant>
      <vt:variant>
        <vt:i4>6160459</vt:i4>
      </vt:variant>
      <vt:variant>
        <vt:i4>4528</vt:i4>
      </vt:variant>
      <vt:variant>
        <vt:i4>0</vt:i4>
      </vt:variant>
      <vt:variant>
        <vt:i4>5</vt:i4>
      </vt:variant>
      <vt:variant>
        <vt:lpwstr>https://doi.org/http://dx.doi.org/10.1007/s12664-019-00990-3</vt:lpwstr>
      </vt:variant>
      <vt:variant>
        <vt:lpwstr/>
      </vt:variant>
      <vt:variant>
        <vt:i4>655454</vt:i4>
      </vt:variant>
      <vt:variant>
        <vt:i4>4525</vt:i4>
      </vt:variant>
      <vt:variant>
        <vt:i4>0</vt:i4>
      </vt:variant>
      <vt:variant>
        <vt:i4>5</vt:i4>
      </vt:variant>
      <vt:variant>
        <vt:lpwstr>https://doi.org/http://dx.doi.org/10.1590/S0004-282X2003000300002</vt:lpwstr>
      </vt:variant>
      <vt:variant>
        <vt:lpwstr/>
      </vt:variant>
      <vt:variant>
        <vt:i4>7733362</vt:i4>
      </vt:variant>
      <vt:variant>
        <vt:i4>4522</vt:i4>
      </vt:variant>
      <vt:variant>
        <vt:i4>0</vt:i4>
      </vt:variant>
      <vt:variant>
        <vt:i4>5</vt:i4>
      </vt:variant>
      <vt:variant>
        <vt:lpwstr>https://doi.org/http://dx.doi.org/10.1016/S0887-8994%2800%2900129-6</vt:lpwstr>
      </vt:variant>
      <vt:variant>
        <vt:lpwstr/>
      </vt:variant>
      <vt:variant>
        <vt:i4>4915218</vt:i4>
      </vt:variant>
      <vt:variant>
        <vt:i4>4519</vt:i4>
      </vt:variant>
      <vt:variant>
        <vt:i4>0</vt:i4>
      </vt:variant>
      <vt:variant>
        <vt:i4>5</vt:i4>
      </vt:variant>
      <vt:variant>
        <vt:lpwstr>https://doi.org/http://dx.doi.org/10.1016/j.pediatrneurol.2014.01.021</vt:lpwstr>
      </vt:variant>
      <vt:variant>
        <vt:lpwstr/>
      </vt:variant>
      <vt:variant>
        <vt:i4>4456464</vt:i4>
      </vt:variant>
      <vt:variant>
        <vt:i4>4516</vt:i4>
      </vt:variant>
      <vt:variant>
        <vt:i4>0</vt:i4>
      </vt:variant>
      <vt:variant>
        <vt:i4>5</vt:i4>
      </vt:variant>
      <vt:variant>
        <vt:lpwstr>https://doi.org/http://dx.doi.org/10.1016/j.pediatrneurol.2009.02.009</vt:lpwstr>
      </vt:variant>
      <vt:variant>
        <vt:lpwstr/>
      </vt:variant>
      <vt:variant>
        <vt:i4>8323175</vt:i4>
      </vt:variant>
      <vt:variant>
        <vt:i4>4513</vt:i4>
      </vt:variant>
      <vt:variant>
        <vt:i4>0</vt:i4>
      </vt:variant>
      <vt:variant>
        <vt:i4>5</vt:i4>
      </vt:variant>
      <vt:variant>
        <vt:lpwstr>https://doi.org/http://dx.doi.org/10.1007/s00381-014-2387-6</vt:lpwstr>
      </vt:variant>
      <vt:variant>
        <vt:lpwstr/>
      </vt:variant>
      <vt:variant>
        <vt:i4>6946850</vt:i4>
      </vt:variant>
      <vt:variant>
        <vt:i4>4510</vt:i4>
      </vt:variant>
      <vt:variant>
        <vt:i4>0</vt:i4>
      </vt:variant>
      <vt:variant>
        <vt:i4>5</vt:i4>
      </vt:variant>
      <vt:variant>
        <vt:lpwstr>https://doi.org/http://dx.doi.org/10.1177/08830738060210010301</vt:lpwstr>
      </vt:variant>
      <vt:variant>
        <vt:lpwstr/>
      </vt:variant>
      <vt:variant>
        <vt:i4>4915219</vt:i4>
      </vt:variant>
      <vt:variant>
        <vt:i4>4507</vt:i4>
      </vt:variant>
      <vt:variant>
        <vt:i4>0</vt:i4>
      </vt:variant>
      <vt:variant>
        <vt:i4>5</vt:i4>
      </vt:variant>
      <vt:variant>
        <vt:lpwstr>https://doi.org/http://dx.doi.org/10.1016/j.pediatrneurol.2006.11.011</vt:lpwstr>
      </vt:variant>
      <vt:variant>
        <vt:lpwstr/>
      </vt:variant>
      <vt:variant>
        <vt:i4>5374043</vt:i4>
      </vt:variant>
      <vt:variant>
        <vt:i4>4504</vt:i4>
      </vt:variant>
      <vt:variant>
        <vt:i4>0</vt:i4>
      </vt:variant>
      <vt:variant>
        <vt:i4>5</vt:i4>
      </vt:variant>
      <vt:variant>
        <vt:lpwstr>https://doi.org/http://dx.doi.org/10.1097/01.MPG.0000154012.10420.08</vt:lpwstr>
      </vt:variant>
      <vt:variant>
        <vt:lpwstr/>
      </vt:variant>
      <vt:variant>
        <vt:i4>7536765</vt:i4>
      </vt:variant>
      <vt:variant>
        <vt:i4>4501</vt:i4>
      </vt:variant>
      <vt:variant>
        <vt:i4>0</vt:i4>
      </vt:variant>
      <vt:variant>
        <vt:i4>5</vt:i4>
      </vt:variant>
      <vt:variant>
        <vt:lpwstr>https://doi.org/http://dx.doi.org/10.1016/S1542-3565%2804%2900778-5</vt:lpwstr>
      </vt:variant>
      <vt:variant>
        <vt:lpwstr/>
      </vt:variant>
      <vt:variant>
        <vt:i4>8323187</vt:i4>
      </vt:variant>
      <vt:variant>
        <vt:i4>4498</vt:i4>
      </vt:variant>
      <vt:variant>
        <vt:i4>0</vt:i4>
      </vt:variant>
      <vt:variant>
        <vt:i4>5</vt:i4>
      </vt:variant>
      <vt:variant>
        <vt:lpwstr>https://doi.org/https://dx.doi.org/10.3390/medicina55050136</vt:lpwstr>
      </vt:variant>
      <vt:variant>
        <vt:lpwstr/>
      </vt:variant>
      <vt:variant>
        <vt:i4>4784128</vt:i4>
      </vt:variant>
      <vt:variant>
        <vt:i4>4495</vt:i4>
      </vt:variant>
      <vt:variant>
        <vt:i4>0</vt:i4>
      </vt:variant>
      <vt:variant>
        <vt:i4>5</vt:i4>
      </vt:variant>
      <vt:variant>
        <vt:lpwstr>https://doi.org/http://dx.doi.org/10.1006/clim.2000.4983</vt:lpwstr>
      </vt:variant>
      <vt:variant>
        <vt:lpwstr/>
      </vt:variant>
      <vt:variant>
        <vt:i4>5242903</vt:i4>
      </vt:variant>
      <vt:variant>
        <vt:i4>4492</vt:i4>
      </vt:variant>
      <vt:variant>
        <vt:i4>0</vt:i4>
      </vt:variant>
      <vt:variant>
        <vt:i4>5</vt:i4>
      </vt:variant>
      <vt:variant>
        <vt:lpwstr>https://doi.org/http://dx.doi.org/10.1016/j.jpeds.2020.07.052</vt:lpwstr>
      </vt:variant>
      <vt:variant>
        <vt:lpwstr/>
      </vt:variant>
      <vt:variant>
        <vt:i4>6094930</vt:i4>
      </vt:variant>
      <vt:variant>
        <vt:i4>4489</vt:i4>
      </vt:variant>
      <vt:variant>
        <vt:i4>0</vt:i4>
      </vt:variant>
      <vt:variant>
        <vt:i4>5</vt:i4>
      </vt:variant>
      <vt:variant>
        <vt:lpwstr>http://dx.doi.org/10.1016/j.jpeds.2020.07.052</vt:lpwstr>
      </vt:variant>
      <vt:variant>
        <vt:lpwstr/>
      </vt:variant>
      <vt:variant>
        <vt:i4>2490410</vt:i4>
      </vt:variant>
      <vt:variant>
        <vt:i4>4486</vt:i4>
      </vt:variant>
      <vt:variant>
        <vt:i4>0</vt:i4>
      </vt:variant>
      <vt:variant>
        <vt:i4>5</vt:i4>
      </vt:variant>
      <vt:variant>
        <vt:lpwstr>https://doi.org/http://dx.doi.org/10.3906/sag-1502-130</vt:lpwstr>
      </vt:variant>
      <vt:variant>
        <vt:lpwstr/>
      </vt:variant>
      <vt:variant>
        <vt:i4>8192043</vt:i4>
      </vt:variant>
      <vt:variant>
        <vt:i4>4483</vt:i4>
      </vt:variant>
      <vt:variant>
        <vt:i4>0</vt:i4>
      </vt:variant>
      <vt:variant>
        <vt:i4>5</vt:i4>
      </vt:variant>
      <vt:variant>
        <vt:lpwstr>https://doi.org/https://dx.doi.org/10.1097/MPG.0b013e31827b7f64</vt:lpwstr>
      </vt:variant>
      <vt:variant>
        <vt:lpwstr/>
      </vt:variant>
      <vt:variant>
        <vt:i4>5308441</vt:i4>
      </vt:variant>
      <vt:variant>
        <vt:i4>4480</vt:i4>
      </vt:variant>
      <vt:variant>
        <vt:i4>0</vt:i4>
      </vt:variant>
      <vt:variant>
        <vt:i4>5</vt:i4>
      </vt:variant>
      <vt:variant>
        <vt:lpwstr>https://doi.org/http://dx.doi.org/10.1177/147323000903700127</vt:lpwstr>
      </vt:variant>
      <vt:variant>
        <vt:lpwstr/>
      </vt:variant>
      <vt:variant>
        <vt:i4>1966085</vt:i4>
      </vt:variant>
      <vt:variant>
        <vt:i4>4477</vt:i4>
      </vt:variant>
      <vt:variant>
        <vt:i4>0</vt:i4>
      </vt:variant>
      <vt:variant>
        <vt:i4>5</vt:i4>
      </vt:variant>
      <vt:variant>
        <vt:lpwstr>https://doi.org/http://dx.doi.org/10.1002/art.v69.S4</vt:lpwstr>
      </vt:variant>
      <vt:variant>
        <vt:lpwstr/>
      </vt:variant>
      <vt:variant>
        <vt:i4>5374039</vt:i4>
      </vt:variant>
      <vt:variant>
        <vt:i4>4474</vt:i4>
      </vt:variant>
      <vt:variant>
        <vt:i4>0</vt:i4>
      </vt:variant>
      <vt:variant>
        <vt:i4>5</vt:i4>
      </vt:variant>
      <vt:variant>
        <vt:lpwstr>https://doi.org/http://dx.doi.org/10.1093/rheumatology/keh531</vt:lpwstr>
      </vt:variant>
      <vt:variant>
        <vt:lpwstr/>
      </vt:variant>
      <vt:variant>
        <vt:i4>7667833</vt:i4>
      </vt:variant>
      <vt:variant>
        <vt:i4>4471</vt:i4>
      </vt:variant>
      <vt:variant>
        <vt:i4>0</vt:i4>
      </vt:variant>
      <vt:variant>
        <vt:i4>5</vt:i4>
      </vt:variant>
      <vt:variant>
        <vt:lpwstr>https://doi.org/https://dx.doi.org/10.1136/archdischild-2016-311544</vt:lpwstr>
      </vt:variant>
      <vt:variant>
        <vt:lpwstr/>
      </vt:variant>
      <vt:variant>
        <vt:i4>6160396</vt:i4>
      </vt:variant>
      <vt:variant>
        <vt:i4>4468</vt:i4>
      </vt:variant>
      <vt:variant>
        <vt:i4>0</vt:i4>
      </vt:variant>
      <vt:variant>
        <vt:i4>5</vt:i4>
      </vt:variant>
      <vt:variant>
        <vt:lpwstr>https://doi.org/http://dx.doi.org/10.1097/01.mpg.0000516381.25680.b4</vt:lpwstr>
      </vt:variant>
      <vt:variant>
        <vt:lpwstr/>
      </vt:variant>
      <vt:variant>
        <vt:i4>7798911</vt:i4>
      </vt:variant>
      <vt:variant>
        <vt:i4>4465</vt:i4>
      </vt:variant>
      <vt:variant>
        <vt:i4>0</vt:i4>
      </vt:variant>
      <vt:variant>
        <vt:i4>5</vt:i4>
      </vt:variant>
      <vt:variant>
        <vt:lpwstr>https://doi.org/https://dx.doi.org/10.1111/j.1756-185X.2011.01681.x</vt:lpwstr>
      </vt:variant>
      <vt:variant>
        <vt:lpwstr/>
      </vt:variant>
      <vt:variant>
        <vt:i4>7602230</vt:i4>
      </vt:variant>
      <vt:variant>
        <vt:i4>4462</vt:i4>
      </vt:variant>
      <vt:variant>
        <vt:i4>0</vt:i4>
      </vt:variant>
      <vt:variant>
        <vt:i4>5</vt:i4>
      </vt:variant>
      <vt:variant>
        <vt:lpwstr>https://doi.org/http://dx.doi.org/10.1002/jbmr.2380</vt:lpwstr>
      </vt:variant>
      <vt:variant>
        <vt:lpwstr/>
      </vt:variant>
      <vt:variant>
        <vt:i4>4653063</vt:i4>
      </vt:variant>
      <vt:variant>
        <vt:i4>4459</vt:i4>
      </vt:variant>
      <vt:variant>
        <vt:i4>0</vt:i4>
      </vt:variant>
      <vt:variant>
        <vt:i4>5</vt:i4>
      </vt:variant>
      <vt:variant>
        <vt:lpwstr>https://doi.org/http://dx.doi.org/10.1080/09674845.2003.11783671</vt:lpwstr>
      </vt:variant>
      <vt:variant>
        <vt:lpwstr/>
      </vt:variant>
      <vt:variant>
        <vt:i4>5111823</vt:i4>
      </vt:variant>
      <vt:variant>
        <vt:i4>4456</vt:i4>
      </vt:variant>
      <vt:variant>
        <vt:i4>0</vt:i4>
      </vt:variant>
      <vt:variant>
        <vt:i4>5</vt:i4>
      </vt:variant>
      <vt:variant>
        <vt:lpwstr>https://doi.org/http://dx.doi.org/10.1023/B:DDAS.0000007875.72256.e8</vt:lpwstr>
      </vt:variant>
      <vt:variant>
        <vt:lpwstr/>
      </vt:variant>
      <vt:variant>
        <vt:i4>5767244</vt:i4>
      </vt:variant>
      <vt:variant>
        <vt:i4>4453</vt:i4>
      </vt:variant>
      <vt:variant>
        <vt:i4>0</vt:i4>
      </vt:variant>
      <vt:variant>
        <vt:i4>5</vt:i4>
      </vt:variant>
      <vt:variant>
        <vt:lpwstr>https://doi.org/http://dx.doi.org/10.1097/01.mcg.0000174026.26838.56</vt:lpwstr>
      </vt:variant>
      <vt:variant>
        <vt:lpwstr/>
      </vt:variant>
      <vt:variant>
        <vt:i4>7864424</vt:i4>
      </vt:variant>
      <vt:variant>
        <vt:i4>4450</vt:i4>
      </vt:variant>
      <vt:variant>
        <vt:i4>0</vt:i4>
      </vt:variant>
      <vt:variant>
        <vt:i4>5</vt:i4>
      </vt:variant>
      <vt:variant>
        <vt:lpwstr>https://doi.org/http://dx.doi.org/10.1007/s13312-018-1223-6</vt:lpwstr>
      </vt:variant>
      <vt:variant>
        <vt:lpwstr/>
      </vt:variant>
      <vt:variant>
        <vt:i4>4390997</vt:i4>
      </vt:variant>
      <vt:variant>
        <vt:i4>4447</vt:i4>
      </vt:variant>
      <vt:variant>
        <vt:i4>0</vt:i4>
      </vt:variant>
      <vt:variant>
        <vt:i4>5</vt:i4>
      </vt:variant>
      <vt:variant>
        <vt:lpwstr>https://doi.org/http://dx.doi.org/10.1590/s0004-2803.201800000-15</vt:lpwstr>
      </vt:variant>
      <vt:variant>
        <vt:lpwstr/>
      </vt:variant>
      <vt:variant>
        <vt:i4>7077921</vt:i4>
      </vt:variant>
      <vt:variant>
        <vt:i4>4444</vt:i4>
      </vt:variant>
      <vt:variant>
        <vt:i4>0</vt:i4>
      </vt:variant>
      <vt:variant>
        <vt:i4>5</vt:i4>
      </vt:variant>
      <vt:variant>
        <vt:lpwstr>https://doi.org/http://dx.doi.org/10.1080/08035250510025879</vt:lpwstr>
      </vt:variant>
      <vt:variant>
        <vt:lpwstr/>
      </vt:variant>
      <vt:variant>
        <vt:i4>3932219</vt:i4>
      </vt:variant>
      <vt:variant>
        <vt:i4>4441</vt:i4>
      </vt:variant>
      <vt:variant>
        <vt:i4>0</vt:i4>
      </vt:variant>
      <vt:variant>
        <vt:i4>5</vt:i4>
      </vt:variant>
      <vt:variant>
        <vt:lpwstr>https://doi.org/http://dx.doi.org/10.1136/gut.53.1.149</vt:lpwstr>
      </vt:variant>
      <vt:variant>
        <vt:lpwstr/>
      </vt:variant>
      <vt:variant>
        <vt:i4>6488110</vt:i4>
      </vt:variant>
      <vt:variant>
        <vt:i4>4438</vt:i4>
      </vt:variant>
      <vt:variant>
        <vt:i4>0</vt:i4>
      </vt:variant>
      <vt:variant>
        <vt:i4>5</vt:i4>
      </vt:variant>
      <vt:variant>
        <vt:lpwstr>https://doi.org/http://dx.doi.org/10.1097/00042737-200304000-00012</vt:lpwstr>
      </vt:variant>
      <vt:variant>
        <vt:lpwstr/>
      </vt:variant>
      <vt:variant>
        <vt:i4>7143461</vt:i4>
      </vt:variant>
      <vt:variant>
        <vt:i4>4435</vt:i4>
      </vt:variant>
      <vt:variant>
        <vt:i4>0</vt:i4>
      </vt:variant>
      <vt:variant>
        <vt:i4>5</vt:i4>
      </vt:variant>
      <vt:variant>
        <vt:lpwstr>https://doi.org/http://dx.doi.org/10.1097/00004836-200209000-00006</vt:lpwstr>
      </vt:variant>
      <vt:variant>
        <vt:lpwstr/>
      </vt:variant>
      <vt:variant>
        <vt:i4>7798888</vt:i4>
      </vt:variant>
      <vt:variant>
        <vt:i4>4432</vt:i4>
      </vt:variant>
      <vt:variant>
        <vt:i4>0</vt:i4>
      </vt:variant>
      <vt:variant>
        <vt:i4>5</vt:i4>
      </vt:variant>
      <vt:variant>
        <vt:lpwstr>https://doi.org/https://dx.doi.org/10.20452/pamw.15094</vt:lpwstr>
      </vt:variant>
      <vt:variant>
        <vt:lpwstr/>
      </vt:variant>
      <vt:variant>
        <vt:i4>4784218</vt:i4>
      </vt:variant>
      <vt:variant>
        <vt:i4>4429</vt:i4>
      </vt:variant>
      <vt:variant>
        <vt:i4>0</vt:i4>
      </vt:variant>
      <vt:variant>
        <vt:i4>5</vt:i4>
      </vt:variant>
      <vt:variant>
        <vt:lpwstr>https://doi.org/http://dx.doi.org/10.1016/j.rgmx.2016.12.008</vt:lpwstr>
      </vt:variant>
      <vt:variant>
        <vt:lpwstr/>
      </vt:variant>
      <vt:variant>
        <vt:i4>2424874</vt:i4>
      </vt:variant>
      <vt:variant>
        <vt:i4>4426</vt:i4>
      </vt:variant>
      <vt:variant>
        <vt:i4>0</vt:i4>
      </vt:variant>
      <vt:variant>
        <vt:i4>5</vt:i4>
      </vt:variant>
      <vt:variant>
        <vt:lpwstr>https://doi.org/http://dx.doi.org/10.4318/tjg.2009.0024</vt:lpwstr>
      </vt:variant>
      <vt:variant>
        <vt:lpwstr/>
      </vt:variant>
      <vt:variant>
        <vt:i4>8192108</vt:i4>
      </vt:variant>
      <vt:variant>
        <vt:i4>4423</vt:i4>
      </vt:variant>
      <vt:variant>
        <vt:i4>0</vt:i4>
      </vt:variant>
      <vt:variant>
        <vt:i4>5</vt:i4>
      </vt:variant>
      <vt:variant>
        <vt:lpwstr>https://doi.org/http://dx.doi.org/10.1007/s12664-015-0586-z</vt:lpwstr>
      </vt:variant>
      <vt:variant>
        <vt:lpwstr/>
      </vt:variant>
      <vt:variant>
        <vt:i4>2556011</vt:i4>
      </vt:variant>
      <vt:variant>
        <vt:i4>4420</vt:i4>
      </vt:variant>
      <vt:variant>
        <vt:i4>0</vt:i4>
      </vt:variant>
      <vt:variant>
        <vt:i4>5</vt:i4>
      </vt:variant>
      <vt:variant>
        <vt:lpwstr>https://doi.org/http://dx.doi.org/10.1111/j.1749-6632.2009.04755.x</vt:lpwstr>
      </vt:variant>
      <vt:variant>
        <vt:lpwstr/>
      </vt:variant>
      <vt:variant>
        <vt:i4>262217</vt:i4>
      </vt:variant>
      <vt:variant>
        <vt:i4>4417</vt:i4>
      </vt:variant>
      <vt:variant>
        <vt:i4>0</vt:i4>
      </vt:variant>
      <vt:variant>
        <vt:i4>5</vt:i4>
      </vt:variant>
      <vt:variant>
        <vt:lpwstr>https://doi.org/http://dx.doi.org/10.1097/01.meg.0000059104.41030.1c</vt:lpwstr>
      </vt:variant>
      <vt:variant>
        <vt:lpwstr/>
      </vt:variant>
      <vt:variant>
        <vt:i4>7340082</vt:i4>
      </vt:variant>
      <vt:variant>
        <vt:i4>4414</vt:i4>
      </vt:variant>
      <vt:variant>
        <vt:i4>0</vt:i4>
      </vt:variant>
      <vt:variant>
        <vt:i4>5</vt:i4>
      </vt:variant>
      <vt:variant>
        <vt:lpwstr>https://doi.org/http://dx.doi.org/10.3109/00365521.2013.792389</vt:lpwstr>
      </vt:variant>
      <vt:variant>
        <vt:lpwstr/>
      </vt:variant>
      <vt:variant>
        <vt:i4>8061045</vt:i4>
      </vt:variant>
      <vt:variant>
        <vt:i4>4411</vt:i4>
      </vt:variant>
      <vt:variant>
        <vt:i4>0</vt:i4>
      </vt:variant>
      <vt:variant>
        <vt:i4>5</vt:i4>
      </vt:variant>
      <vt:variant>
        <vt:lpwstr>https://doi.org/http://dx.doi.org/10.1016/S0016-5085%2819%2939262-5</vt:lpwstr>
      </vt:variant>
      <vt:variant>
        <vt:lpwstr/>
      </vt:variant>
      <vt:variant>
        <vt:i4>1703949</vt:i4>
      </vt:variant>
      <vt:variant>
        <vt:i4>4408</vt:i4>
      </vt:variant>
      <vt:variant>
        <vt:i4>0</vt:i4>
      </vt:variant>
      <vt:variant>
        <vt:i4>5</vt:i4>
      </vt:variant>
      <vt:variant>
        <vt:lpwstr>https://doi.org/http://dx.doi.org/10.1038/ajg.2011.21</vt:lpwstr>
      </vt:variant>
      <vt:variant>
        <vt:lpwstr/>
      </vt:variant>
      <vt:variant>
        <vt:i4>65537</vt:i4>
      </vt:variant>
      <vt:variant>
        <vt:i4>4405</vt:i4>
      </vt:variant>
      <vt:variant>
        <vt:i4>0</vt:i4>
      </vt:variant>
      <vt:variant>
        <vt:i4>5</vt:i4>
      </vt:variant>
      <vt:variant>
        <vt:lpwstr>https://doi.org/http://dx.doi.org/10.1590/S0004-2803.2017v54n1-07</vt:lpwstr>
      </vt:variant>
      <vt:variant>
        <vt:lpwstr/>
      </vt:variant>
      <vt:variant>
        <vt:i4>327682</vt:i4>
      </vt:variant>
      <vt:variant>
        <vt:i4>4402</vt:i4>
      </vt:variant>
      <vt:variant>
        <vt:i4>0</vt:i4>
      </vt:variant>
      <vt:variant>
        <vt:i4>5</vt:i4>
      </vt:variant>
      <vt:variant>
        <vt:lpwstr>https://doi.org/10.14309/ajg.0000000000000751</vt:lpwstr>
      </vt:variant>
      <vt:variant>
        <vt:lpwstr/>
      </vt:variant>
      <vt:variant>
        <vt:i4>327691</vt:i4>
      </vt:variant>
      <vt:variant>
        <vt:i4>4399</vt:i4>
      </vt:variant>
      <vt:variant>
        <vt:i4>0</vt:i4>
      </vt:variant>
      <vt:variant>
        <vt:i4>5</vt:i4>
      </vt:variant>
      <vt:variant>
        <vt:lpwstr>https://doi.org/http://dx.doi.org/10.4274/tpa.672</vt:lpwstr>
      </vt:variant>
      <vt:variant>
        <vt:lpwstr/>
      </vt:variant>
      <vt:variant>
        <vt:i4>1769559</vt:i4>
      </vt:variant>
      <vt:variant>
        <vt:i4>4396</vt:i4>
      </vt:variant>
      <vt:variant>
        <vt:i4>0</vt:i4>
      </vt:variant>
      <vt:variant>
        <vt:i4>5</vt:i4>
      </vt:variant>
      <vt:variant>
        <vt:lpwstr>https://doi.org/10.1097/00005176-200109000-00004</vt:lpwstr>
      </vt:variant>
      <vt:variant>
        <vt:lpwstr/>
      </vt:variant>
      <vt:variant>
        <vt:i4>2490405</vt:i4>
      </vt:variant>
      <vt:variant>
        <vt:i4>4393</vt:i4>
      </vt:variant>
      <vt:variant>
        <vt:i4>0</vt:i4>
      </vt:variant>
      <vt:variant>
        <vt:i4>5</vt:i4>
      </vt:variant>
      <vt:variant>
        <vt:lpwstr>https://doi.org/http://dx.doi.org/10.1053/j.gastro.2010.05.041</vt:lpwstr>
      </vt:variant>
      <vt:variant>
        <vt:lpwstr/>
      </vt:variant>
      <vt:variant>
        <vt:i4>3604540</vt:i4>
      </vt:variant>
      <vt:variant>
        <vt:i4>4390</vt:i4>
      </vt:variant>
      <vt:variant>
        <vt:i4>0</vt:i4>
      </vt:variant>
      <vt:variant>
        <vt:i4>5</vt:i4>
      </vt:variant>
      <vt:variant>
        <vt:lpwstr>https://doi.org/http://dx.doi.org/10.1111/apt.14625</vt:lpwstr>
      </vt:variant>
      <vt:variant>
        <vt:lpwstr/>
      </vt:variant>
      <vt:variant>
        <vt:i4>2752617</vt:i4>
      </vt:variant>
      <vt:variant>
        <vt:i4>4387</vt:i4>
      </vt:variant>
      <vt:variant>
        <vt:i4>0</vt:i4>
      </vt:variant>
      <vt:variant>
        <vt:i4>5</vt:i4>
      </vt:variant>
      <vt:variant>
        <vt:lpwstr>https://doi.org/10.1097/01.meg.0000250586.61232.a3</vt:lpwstr>
      </vt:variant>
      <vt:variant>
        <vt:lpwstr/>
      </vt:variant>
      <vt:variant>
        <vt:i4>2228321</vt:i4>
      </vt:variant>
      <vt:variant>
        <vt:i4>4384</vt:i4>
      </vt:variant>
      <vt:variant>
        <vt:i4>0</vt:i4>
      </vt:variant>
      <vt:variant>
        <vt:i4>5</vt:i4>
      </vt:variant>
      <vt:variant>
        <vt:lpwstr>https://doi.org/http://dx.doi.org/10.1016/j.cgh.2015.05.014</vt:lpwstr>
      </vt:variant>
      <vt:variant>
        <vt:lpwstr/>
      </vt:variant>
      <vt:variant>
        <vt:i4>7012450</vt:i4>
      </vt:variant>
      <vt:variant>
        <vt:i4>4381</vt:i4>
      </vt:variant>
      <vt:variant>
        <vt:i4>0</vt:i4>
      </vt:variant>
      <vt:variant>
        <vt:i4>5</vt:i4>
      </vt:variant>
      <vt:variant>
        <vt:lpwstr>https://doi.org/10.1097/01.sla.0000171301.35513.cf</vt:lpwstr>
      </vt:variant>
      <vt:variant>
        <vt:lpwstr/>
      </vt:variant>
      <vt:variant>
        <vt:i4>5767251</vt:i4>
      </vt:variant>
      <vt:variant>
        <vt:i4>4378</vt:i4>
      </vt:variant>
      <vt:variant>
        <vt:i4>0</vt:i4>
      </vt:variant>
      <vt:variant>
        <vt:i4>5</vt:i4>
      </vt:variant>
      <vt:variant>
        <vt:lpwstr>https://doi.org/10.1053/j.gastro.2017.11.006</vt:lpwstr>
      </vt:variant>
      <vt:variant>
        <vt:lpwstr/>
      </vt:variant>
      <vt:variant>
        <vt:i4>1769553</vt:i4>
      </vt:variant>
      <vt:variant>
        <vt:i4>4375</vt:i4>
      </vt:variant>
      <vt:variant>
        <vt:i4>0</vt:i4>
      </vt:variant>
      <vt:variant>
        <vt:i4>5</vt:i4>
      </vt:variant>
      <vt:variant>
        <vt:lpwstr>https://doi.org/10.17235/reed.2015.3758/2015</vt:lpwstr>
      </vt:variant>
      <vt:variant>
        <vt:lpwstr/>
      </vt:variant>
      <vt:variant>
        <vt:i4>327709</vt:i4>
      </vt:variant>
      <vt:variant>
        <vt:i4>4372</vt:i4>
      </vt:variant>
      <vt:variant>
        <vt:i4>0</vt:i4>
      </vt:variant>
      <vt:variant>
        <vt:i4>5</vt:i4>
      </vt:variant>
      <vt:variant>
        <vt:lpwstr>https://doi.org/10.3399/bjgp13X660724</vt:lpwstr>
      </vt:variant>
      <vt:variant>
        <vt:lpwstr/>
      </vt:variant>
      <vt:variant>
        <vt:i4>262173</vt:i4>
      </vt:variant>
      <vt:variant>
        <vt:i4>4369</vt:i4>
      </vt:variant>
      <vt:variant>
        <vt:i4>0</vt:i4>
      </vt:variant>
      <vt:variant>
        <vt:i4>5</vt:i4>
      </vt:variant>
      <vt:variant>
        <vt:lpwstr>https://doi.org/10.3399/bjgp13X660733</vt:lpwstr>
      </vt:variant>
      <vt:variant>
        <vt:lpwstr/>
      </vt:variant>
      <vt:variant>
        <vt:i4>1572883</vt:i4>
      </vt:variant>
      <vt:variant>
        <vt:i4>4366</vt:i4>
      </vt:variant>
      <vt:variant>
        <vt:i4>0</vt:i4>
      </vt:variant>
      <vt:variant>
        <vt:i4>5</vt:i4>
      </vt:variant>
      <vt:variant>
        <vt:lpwstr>https://doi.org/10.1161/01.cir.97.18.1837</vt:lpwstr>
      </vt:variant>
      <vt:variant>
        <vt:lpwstr/>
      </vt:variant>
      <vt:variant>
        <vt:i4>8126521</vt:i4>
      </vt:variant>
      <vt:variant>
        <vt:i4>4363</vt:i4>
      </vt:variant>
      <vt:variant>
        <vt:i4>0</vt:i4>
      </vt:variant>
      <vt:variant>
        <vt:i4>5</vt:i4>
      </vt:variant>
      <vt:variant>
        <vt:lpwstr>https://doi.org/10.1136/gutjnl-2012-304110</vt:lpwstr>
      </vt:variant>
      <vt:variant>
        <vt:lpwstr/>
      </vt:variant>
      <vt:variant>
        <vt:i4>5963864</vt:i4>
      </vt:variant>
      <vt:variant>
        <vt:i4>4360</vt:i4>
      </vt:variant>
      <vt:variant>
        <vt:i4>0</vt:i4>
      </vt:variant>
      <vt:variant>
        <vt:i4>5</vt:i4>
      </vt:variant>
      <vt:variant>
        <vt:lpwstr>https://doi.org/10.1053/j.gastro.2009.05.040</vt:lpwstr>
      </vt:variant>
      <vt:variant>
        <vt:lpwstr/>
      </vt:variant>
      <vt:variant>
        <vt:i4>2883621</vt:i4>
      </vt:variant>
      <vt:variant>
        <vt:i4>4357</vt:i4>
      </vt:variant>
      <vt:variant>
        <vt:i4>0</vt:i4>
      </vt:variant>
      <vt:variant>
        <vt:i4>5</vt:i4>
      </vt:variant>
      <vt:variant>
        <vt:lpwstr>https://doi.org/http://dx.doi.org/10.3748/wjg.v20.i42.15830</vt:lpwstr>
      </vt:variant>
      <vt:variant>
        <vt:lpwstr/>
      </vt:variant>
      <vt:variant>
        <vt:i4>3276849</vt:i4>
      </vt:variant>
      <vt:variant>
        <vt:i4>4354</vt:i4>
      </vt:variant>
      <vt:variant>
        <vt:i4>0</vt:i4>
      </vt:variant>
      <vt:variant>
        <vt:i4>5</vt:i4>
      </vt:variant>
      <vt:variant>
        <vt:lpwstr>https://doi.org/http://dx.doi.org/10.1371/journal.pone.0121908</vt:lpwstr>
      </vt:variant>
      <vt:variant>
        <vt:lpwstr/>
      </vt:variant>
      <vt:variant>
        <vt:i4>5570624</vt:i4>
      </vt:variant>
      <vt:variant>
        <vt:i4>4351</vt:i4>
      </vt:variant>
      <vt:variant>
        <vt:i4>0</vt:i4>
      </vt:variant>
      <vt:variant>
        <vt:i4>5</vt:i4>
      </vt:variant>
      <vt:variant>
        <vt:lpwstr>https://doi.org/10.1038/ajg.2015.296</vt:lpwstr>
      </vt:variant>
      <vt:variant>
        <vt:lpwstr/>
      </vt:variant>
      <vt:variant>
        <vt:i4>7077938</vt:i4>
      </vt:variant>
      <vt:variant>
        <vt:i4>4348</vt:i4>
      </vt:variant>
      <vt:variant>
        <vt:i4>0</vt:i4>
      </vt:variant>
      <vt:variant>
        <vt:i4>5</vt:i4>
      </vt:variant>
      <vt:variant>
        <vt:lpwstr>https://doi.org/10.3390/nu10101445</vt:lpwstr>
      </vt:variant>
      <vt:variant>
        <vt:lpwstr/>
      </vt:variant>
      <vt:variant>
        <vt:i4>6226004</vt:i4>
      </vt:variant>
      <vt:variant>
        <vt:i4>4345</vt:i4>
      </vt:variant>
      <vt:variant>
        <vt:i4>0</vt:i4>
      </vt:variant>
      <vt:variant>
        <vt:i4>5</vt:i4>
      </vt:variant>
      <vt:variant>
        <vt:lpwstr>https://doi.org/10.1053/j.gastro.2020.05.016</vt:lpwstr>
      </vt:variant>
      <vt:variant>
        <vt:lpwstr/>
      </vt:variant>
      <vt:variant>
        <vt:i4>2883638</vt:i4>
      </vt:variant>
      <vt:variant>
        <vt:i4>4342</vt:i4>
      </vt:variant>
      <vt:variant>
        <vt:i4>0</vt:i4>
      </vt:variant>
      <vt:variant>
        <vt:i4>5</vt:i4>
      </vt:variant>
      <vt:variant>
        <vt:lpwstr>https://doi.org/10.1016/j.jaad.2019.11.039</vt:lpwstr>
      </vt:variant>
      <vt:variant>
        <vt:lpwstr/>
      </vt:variant>
      <vt:variant>
        <vt:i4>3407923</vt:i4>
      </vt:variant>
      <vt:variant>
        <vt:i4>4339</vt:i4>
      </vt:variant>
      <vt:variant>
        <vt:i4>0</vt:i4>
      </vt:variant>
      <vt:variant>
        <vt:i4>5</vt:i4>
      </vt:variant>
      <vt:variant>
        <vt:lpwstr>https://doi.org/http://dx.doi.org/10.1111/apt.14911</vt:lpwstr>
      </vt:variant>
      <vt:variant>
        <vt:lpwstr/>
      </vt:variant>
      <vt:variant>
        <vt:i4>2228327</vt:i4>
      </vt:variant>
      <vt:variant>
        <vt:i4>4336</vt:i4>
      </vt:variant>
      <vt:variant>
        <vt:i4>0</vt:i4>
      </vt:variant>
      <vt:variant>
        <vt:i4>5</vt:i4>
      </vt:variant>
      <vt:variant>
        <vt:lpwstr>https://doi.org/http://dx.doi.org/10.1111/j.1365-2036.2011.04685.x</vt:lpwstr>
      </vt:variant>
      <vt:variant>
        <vt:lpwstr/>
      </vt:variant>
      <vt:variant>
        <vt:i4>2490422</vt:i4>
      </vt:variant>
      <vt:variant>
        <vt:i4>4333</vt:i4>
      </vt:variant>
      <vt:variant>
        <vt:i4>0</vt:i4>
      </vt:variant>
      <vt:variant>
        <vt:i4>5</vt:i4>
      </vt:variant>
      <vt:variant>
        <vt:lpwstr>https://doi.org/http://dx.doi.org/10.1089/thy.2016.0108</vt:lpwstr>
      </vt:variant>
      <vt:variant>
        <vt:lpwstr/>
      </vt:variant>
      <vt:variant>
        <vt:i4>2949163</vt:i4>
      </vt:variant>
      <vt:variant>
        <vt:i4>4330</vt:i4>
      </vt:variant>
      <vt:variant>
        <vt:i4>0</vt:i4>
      </vt:variant>
      <vt:variant>
        <vt:i4>5</vt:i4>
      </vt:variant>
      <vt:variant>
        <vt:lpwstr>https://doi.org/http://dx.doi.org/10.1097/MCG.0000000000000285</vt:lpwstr>
      </vt:variant>
      <vt:variant>
        <vt:lpwstr/>
      </vt:variant>
      <vt:variant>
        <vt:i4>786459</vt:i4>
      </vt:variant>
      <vt:variant>
        <vt:i4>4327</vt:i4>
      </vt:variant>
      <vt:variant>
        <vt:i4>0</vt:i4>
      </vt:variant>
      <vt:variant>
        <vt:i4>5</vt:i4>
      </vt:variant>
      <vt:variant>
        <vt:lpwstr>https://doi.org/10.1007/s00415-018-9025-2</vt:lpwstr>
      </vt:variant>
      <vt:variant>
        <vt:lpwstr/>
      </vt:variant>
      <vt:variant>
        <vt:i4>6094940</vt:i4>
      </vt:variant>
      <vt:variant>
        <vt:i4>4324</vt:i4>
      </vt:variant>
      <vt:variant>
        <vt:i4>0</vt:i4>
      </vt:variant>
      <vt:variant>
        <vt:i4>5</vt:i4>
      </vt:variant>
      <vt:variant>
        <vt:lpwstr>https://doi.org/10.1053/j.gastro.2018.04.016</vt:lpwstr>
      </vt:variant>
      <vt:variant>
        <vt:lpwstr/>
      </vt:variant>
      <vt:variant>
        <vt:i4>2949179</vt:i4>
      </vt:variant>
      <vt:variant>
        <vt:i4>4321</vt:i4>
      </vt:variant>
      <vt:variant>
        <vt:i4>0</vt:i4>
      </vt:variant>
      <vt:variant>
        <vt:i4>5</vt:i4>
      </vt:variant>
      <vt:variant>
        <vt:lpwstr>https://doi.org/http://dx.doi.org/10.1038/ajg.2016.466</vt:lpwstr>
      </vt:variant>
      <vt:variant>
        <vt:lpwstr/>
      </vt:variant>
      <vt:variant>
        <vt:i4>8192097</vt:i4>
      </vt:variant>
      <vt:variant>
        <vt:i4>4318</vt:i4>
      </vt:variant>
      <vt:variant>
        <vt:i4>0</vt:i4>
      </vt:variant>
      <vt:variant>
        <vt:i4>5</vt:i4>
      </vt:variant>
      <vt:variant>
        <vt:lpwstr>https://doi.org/http://dx.doi.org/10.1007/s11892-014-0517-x</vt:lpwstr>
      </vt:variant>
      <vt:variant>
        <vt:lpwstr/>
      </vt:variant>
      <vt:variant>
        <vt:i4>6291496</vt:i4>
      </vt:variant>
      <vt:variant>
        <vt:i4>4315</vt:i4>
      </vt:variant>
      <vt:variant>
        <vt:i4>0</vt:i4>
      </vt:variant>
      <vt:variant>
        <vt:i4>5</vt:i4>
      </vt:variant>
      <vt:variant>
        <vt:lpwstr>https://doi.org/10.1016/j.gie.2011.03.1236</vt:lpwstr>
      </vt:variant>
      <vt:variant>
        <vt:lpwstr/>
      </vt:variant>
      <vt:variant>
        <vt:i4>5636172</vt:i4>
      </vt:variant>
      <vt:variant>
        <vt:i4>4312</vt:i4>
      </vt:variant>
      <vt:variant>
        <vt:i4>0</vt:i4>
      </vt:variant>
      <vt:variant>
        <vt:i4>5</vt:i4>
      </vt:variant>
      <vt:variant>
        <vt:lpwstr>https://doi.org/10.1038/ajg.2010.153</vt:lpwstr>
      </vt:variant>
      <vt:variant>
        <vt:lpwstr/>
      </vt:variant>
      <vt:variant>
        <vt:i4>6750306</vt:i4>
      </vt:variant>
      <vt:variant>
        <vt:i4>4309</vt:i4>
      </vt:variant>
      <vt:variant>
        <vt:i4>0</vt:i4>
      </vt:variant>
      <vt:variant>
        <vt:i4>5</vt:i4>
      </vt:variant>
      <vt:variant>
        <vt:lpwstr>https://doi.org/10.1136/bmjopen-2017-019637</vt:lpwstr>
      </vt:variant>
      <vt:variant>
        <vt:lpwstr/>
      </vt:variant>
      <vt:variant>
        <vt:i4>7012479</vt:i4>
      </vt:variant>
      <vt:variant>
        <vt:i4>4306</vt:i4>
      </vt:variant>
      <vt:variant>
        <vt:i4>0</vt:i4>
      </vt:variant>
      <vt:variant>
        <vt:i4>5</vt:i4>
      </vt:variant>
      <vt:variant>
        <vt:lpwstr>https://doi.org/10.2147/CCID.S69127</vt:lpwstr>
      </vt:variant>
      <vt:variant>
        <vt:lpwstr/>
      </vt:variant>
      <vt:variant>
        <vt:i4>5439577</vt:i4>
      </vt:variant>
      <vt:variant>
        <vt:i4>4303</vt:i4>
      </vt:variant>
      <vt:variant>
        <vt:i4>0</vt:i4>
      </vt:variant>
      <vt:variant>
        <vt:i4>5</vt:i4>
      </vt:variant>
      <vt:variant>
        <vt:lpwstr>https://doi.org/10.1177/0272989X211026305</vt:lpwstr>
      </vt:variant>
      <vt:variant>
        <vt:lpwstr/>
      </vt:variant>
      <vt:variant>
        <vt:i4>5701709</vt:i4>
      </vt:variant>
      <vt:variant>
        <vt:i4>4300</vt:i4>
      </vt:variant>
      <vt:variant>
        <vt:i4>0</vt:i4>
      </vt:variant>
      <vt:variant>
        <vt:i4>5</vt:i4>
      </vt:variant>
      <vt:variant>
        <vt:lpwstr>https://www.ethnicity-facts-figures.service.gov.uk/uk-population-by-ethnicity/demographics/age-groups/latest</vt:lpwstr>
      </vt:variant>
      <vt:variant>
        <vt:lpwstr>:~:text=by%20ethnicity%20Summary-,The%20data%20shows%20that%3A,aged%2060%20years%20and%20over</vt:lpwstr>
      </vt:variant>
      <vt:variant>
        <vt:i4>6684705</vt:i4>
      </vt:variant>
      <vt:variant>
        <vt:i4>4297</vt:i4>
      </vt:variant>
      <vt:variant>
        <vt:i4>0</vt:i4>
      </vt:variant>
      <vt:variant>
        <vt:i4>5</vt:i4>
      </vt:variant>
      <vt:variant>
        <vt:lpwstr>https://www.ons.gov.uk/peoplepopulationandcommunity/populationandmigration/populationestimates</vt:lpwstr>
      </vt:variant>
      <vt:variant>
        <vt:lpwstr/>
      </vt:variant>
      <vt:variant>
        <vt:i4>5439577</vt:i4>
      </vt:variant>
      <vt:variant>
        <vt:i4>4294</vt:i4>
      </vt:variant>
      <vt:variant>
        <vt:i4>0</vt:i4>
      </vt:variant>
      <vt:variant>
        <vt:i4>5</vt:i4>
      </vt:variant>
      <vt:variant>
        <vt:lpwstr>https://doi.org/10.1177/0272989X211026305</vt:lpwstr>
      </vt:variant>
      <vt:variant>
        <vt:lpwstr/>
      </vt:variant>
      <vt:variant>
        <vt:i4>5374034</vt:i4>
      </vt:variant>
      <vt:variant>
        <vt:i4>4291</vt:i4>
      </vt:variant>
      <vt:variant>
        <vt:i4>0</vt:i4>
      </vt:variant>
      <vt:variant>
        <vt:i4>5</vt:i4>
      </vt:variant>
      <vt:variant>
        <vt:lpwstr>https://doi.org/10.1177/0272989X15575286</vt:lpwstr>
      </vt:variant>
      <vt:variant>
        <vt:lpwstr/>
      </vt:variant>
      <vt:variant>
        <vt:i4>6160475</vt:i4>
      </vt:variant>
      <vt:variant>
        <vt:i4>4288</vt:i4>
      </vt:variant>
      <vt:variant>
        <vt:i4>0</vt:i4>
      </vt:variant>
      <vt:variant>
        <vt:i4>5</vt:i4>
      </vt:variant>
      <vt:variant>
        <vt:lpwstr>https://doi.org/10.1177/0272989X13505910</vt:lpwstr>
      </vt:variant>
      <vt:variant>
        <vt:lpwstr/>
      </vt:variant>
      <vt:variant>
        <vt:i4>2031703</vt:i4>
      </vt:variant>
      <vt:variant>
        <vt:i4>4285</vt:i4>
      </vt:variant>
      <vt:variant>
        <vt:i4>0</vt:i4>
      </vt:variant>
      <vt:variant>
        <vt:i4>5</vt:i4>
      </vt:variant>
      <vt:variant>
        <vt:lpwstr>https://doi.org/10.1177/0962280211419832</vt:lpwstr>
      </vt:variant>
      <vt:variant>
        <vt:lpwstr/>
      </vt:variant>
      <vt:variant>
        <vt:i4>3997757</vt:i4>
      </vt:variant>
      <vt:variant>
        <vt:i4>4282</vt:i4>
      </vt:variant>
      <vt:variant>
        <vt:i4>0</vt:i4>
      </vt:variant>
      <vt:variant>
        <vt:i4>5</vt:i4>
      </vt:variant>
      <vt:variant>
        <vt:lpwstr>https://doi.org/10.1016/j.jval.2020.01.004</vt:lpwstr>
      </vt:variant>
      <vt:variant>
        <vt:lpwstr/>
      </vt:variant>
      <vt:variant>
        <vt:i4>3670077</vt:i4>
      </vt:variant>
      <vt:variant>
        <vt:i4>4279</vt:i4>
      </vt:variant>
      <vt:variant>
        <vt:i4>0</vt:i4>
      </vt:variant>
      <vt:variant>
        <vt:i4>5</vt:i4>
      </vt:variant>
      <vt:variant>
        <vt:lpwstr>https://doi.org/10.1016/j.jval.2020.01.001</vt:lpwstr>
      </vt:variant>
      <vt:variant>
        <vt:lpwstr/>
      </vt:variant>
      <vt:variant>
        <vt:i4>6225949</vt:i4>
      </vt:variant>
      <vt:variant>
        <vt:i4>4276</vt:i4>
      </vt:variant>
      <vt:variant>
        <vt:i4>0</vt:i4>
      </vt:variant>
      <vt:variant>
        <vt:i4>5</vt:i4>
      </vt:variant>
      <vt:variant>
        <vt:lpwstr>https://doi.org/10.1111/j.1524-4733.2008.00358.x</vt:lpwstr>
      </vt:variant>
      <vt:variant>
        <vt:lpwstr/>
      </vt:variant>
      <vt:variant>
        <vt:i4>1376340</vt:i4>
      </vt:variant>
      <vt:variant>
        <vt:i4>4273</vt:i4>
      </vt:variant>
      <vt:variant>
        <vt:i4>0</vt:i4>
      </vt:variant>
      <vt:variant>
        <vt:i4>5</vt:i4>
      </vt:variant>
      <vt:variant>
        <vt:lpwstr>https://doi.org/10.1136/archdischild-2016-312027</vt:lpwstr>
      </vt:variant>
      <vt:variant>
        <vt:lpwstr/>
      </vt:variant>
      <vt:variant>
        <vt:i4>2883634</vt:i4>
      </vt:variant>
      <vt:variant>
        <vt:i4>4270</vt:i4>
      </vt:variant>
      <vt:variant>
        <vt:i4>0</vt:i4>
      </vt:variant>
      <vt:variant>
        <vt:i4>5</vt:i4>
      </vt:variant>
      <vt:variant>
        <vt:lpwstr>https://doi.org/10.1007/s40258-021-00664-2</vt:lpwstr>
      </vt:variant>
      <vt:variant>
        <vt:lpwstr/>
      </vt:variant>
      <vt:variant>
        <vt:i4>5177426</vt:i4>
      </vt:variant>
      <vt:variant>
        <vt:i4>4267</vt:i4>
      </vt:variant>
      <vt:variant>
        <vt:i4>0</vt:i4>
      </vt:variant>
      <vt:variant>
        <vt:i4>5</vt:i4>
      </vt:variant>
      <vt:variant>
        <vt:lpwstr>http://publicationsniceorguk/pmg9</vt:lpwstr>
      </vt:variant>
      <vt:variant>
        <vt:lpwstr/>
      </vt:variant>
      <vt:variant>
        <vt:i4>983120</vt:i4>
      </vt:variant>
      <vt:variant>
        <vt:i4>4264</vt:i4>
      </vt:variant>
      <vt:variant>
        <vt:i4>0</vt:i4>
      </vt:variant>
      <vt:variant>
        <vt:i4>5</vt:i4>
      </vt:variant>
      <vt:variant>
        <vt:lpwstr>https://bnf.nice.org.uk/</vt:lpwstr>
      </vt:variant>
      <vt:variant>
        <vt:lpwstr/>
      </vt:variant>
      <vt:variant>
        <vt:i4>2162810</vt:i4>
      </vt:variant>
      <vt:variant>
        <vt:i4>4261</vt:i4>
      </vt:variant>
      <vt:variant>
        <vt:i4>0</vt:i4>
      </vt:variant>
      <vt:variant>
        <vt:i4>5</vt:i4>
      </vt:variant>
      <vt:variant>
        <vt:lpwstr>https://doi.org/https://doi.org/10.1016/j.bone.2014.06.011</vt:lpwstr>
      </vt:variant>
      <vt:variant>
        <vt:lpwstr/>
      </vt:variant>
      <vt:variant>
        <vt:i4>3342381</vt:i4>
      </vt:variant>
      <vt:variant>
        <vt:i4>4258</vt:i4>
      </vt:variant>
      <vt:variant>
        <vt:i4>0</vt:i4>
      </vt:variant>
      <vt:variant>
        <vt:i4>5</vt:i4>
      </vt:variant>
      <vt:variant>
        <vt:lpwstr>https://wwwonsgovuk/peoplepopulationandcommunity/birthsdeathsandmarriages/lifeexpectancies/datasets/nationallifetablesunitedkingdomreferencetables</vt:lpwstr>
      </vt:variant>
      <vt:variant>
        <vt:lpwstr/>
      </vt:variant>
      <vt:variant>
        <vt:i4>1441873</vt:i4>
      </vt:variant>
      <vt:variant>
        <vt:i4>4255</vt:i4>
      </vt:variant>
      <vt:variant>
        <vt:i4>0</vt:i4>
      </vt:variant>
      <vt:variant>
        <vt:i4>5</vt:i4>
      </vt:variant>
      <vt:variant>
        <vt:lpwstr>https://doi.org/10.2165/00019053-200725010-00002</vt:lpwstr>
      </vt:variant>
      <vt:variant>
        <vt:lpwstr/>
      </vt:variant>
      <vt:variant>
        <vt:i4>1835018</vt:i4>
      </vt:variant>
      <vt:variant>
        <vt:i4>4252</vt:i4>
      </vt:variant>
      <vt:variant>
        <vt:i4>0</vt:i4>
      </vt:variant>
      <vt:variant>
        <vt:i4>5</vt:i4>
      </vt:variant>
      <vt:variant>
        <vt:lpwstr>https://doi.org/10.1186/1471-230X-7-8</vt:lpwstr>
      </vt:variant>
      <vt:variant>
        <vt:lpwstr/>
      </vt:variant>
      <vt:variant>
        <vt:i4>5963857</vt:i4>
      </vt:variant>
      <vt:variant>
        <vt:i4>4249</vt:i4>
      </vt:variant>
      <vt:variant>
        <vt:i4>0</vt:i4>
      </vt:variant>
      <vt:variant>
        <vt:i4>5</vt:i4>
      </vt:variant>
      <vt:variant>
        <vt:lpwstr>https://doi.org/10.1053/j.gastro.2010.05.041</vt:lpwstr>
      </vt:variant>
      <vt:variant>
        <vt:lpwstr/>
      </vt:variant>
      <vt:variant>
        <vt:i4>5898269</vt:i4>
      </vt:variant>
      <vt:variant>
        <vt:i4>4246</vt:i4>
      </vt:variant>
      <vt:variant>
        <vt:i4>0</vt:i4>
      </vt:variant>
      <vt:variant>
        <vt:i4>5</vt:i4>
      </vt:variant>
      <vt:variant>
        <vt:lpwstr>https://doi.org/10.1111/j.1365-2036.2006.03203.x</vt:lpwstr>
      </vt:variant>
      <vt:variant>
        <vt:lpwstr/>
      </vt:variant>
      <vt:variant>
        <vt:i4>720926</vt:i4>
      </vt:variant>
      <vt:variant>
        <vt:i4>4243</vt:i4>
      </vt:variant>
      <vt:variant>
        <vt:i4>0</vt:i4>
      </vt:variant>
      <vt:variant>
        <vt:i4>5</vt:i4>
      </vt:variant>
      <vt:variant>
        <vt:lpwstr>https://doi.org/10.1007/s00277-017-3147-y</vt:lpwstr>
      </vt:variant>
      <vt:variant>
        <vt:lpwstr/>
      </vt:variant>
      <vt:variant>
        <vt:i4>131094</vt:i4>
      </vt:variant>
      <vt:variant>
        <vt:i4>4240</vt:i4>
      </vt:variant>
      <vt:variant>
        <vt:i4>0</vt:i4>
      </vt:variant>
      <vt:variant>
        <vt:i4>5</vt:i4>
      </vt:variant>
      <vt:variant>
        <vt:lpwstr>https://doi.org/10.1007/s00198-014-2636-2</vt:lpwstr>
      </vt:variant>
      <vt:variant>
        <vt:lpwstr/>
      </vt:variant>
      <vt:variant>
        <vt:i4>5308506</vt:i4>
      </vt:variant>
      <vt:variant>
        <vt:i4>4237</vt:i4>
      </vt:variant>
      <vt:variant>
        <vt:i4>0</vt:i4>
      </vt:variant>
      <vt:variant>
        <vt:i4>5</vt:i4>
      </vt:variant>
      <vt:variant>
        <vt:lpwstr>https://doi.org/10.3748/wjg.14.46</vt:lpwstr>
      </vt:variant>
      <vt:variant>
        <vt:lpwstr/>
      </vt:variant>
      <vt:variant>
        <vt:i4>524307</vt:i4>
      </vt:variant>
      <vt:variant>
        <vt:i4>4234</vt:i4>
      </vt:variant>
      <vt:variant>
        <vt:i4>0</vt:i4>
      </vt:variant>
      <vt:variant>
        <vt:i4>5</vt:i4>
      </vt:variant>
      <vt:variant>
        <vt:lpwstr>https://doi.org/10.1186/s12876-019-0980-6</vt:lpwstr>
      </vt:variant>
      <vt:variant>
        <vt:lpwstr/>
      </vt:variant>
      <vt:variant>
        <vt:i4>4587623</vt:i4>
      </vt:variant>
      <vt:variant>
        <vt:i4>4231</vt:i4>
      </vt:variant>
      <vt:variant>
        <vt:i4>0</vt:i4>
      </vt:variant>
      <vt:variant>
        <vt:i4>5</vt:i4>
      </vt:variant>
      <vt:variant>
        <vt:lpwstr>https://doi.org/10.1007/978-94-007-7596-1_3</vt:lpwstr>
      </vt:variant>
      <vt:variant>
        <vt:lpwstr/>
      </vt:variant>
      <vt:variant>
        <vt:i4>4849754</vt:i4>
      </vt:variant>
      <vt:variant>
        <vt:i4>4228</vt:i4>
      </vt:variant>
      <vt:variant>
        <vt:i4>0</vt:i4>
      </vt:variant>
      <vt:variant>
        <vt:i4>5</vt:i4>
      </vt:variant>
      <vt:variant>
        <vt:lpwstr>https://uob.sharepoint.com/teams/grp-HTACoeliaccasefinding/Shared Documents/General/Output/Reports/Revisions/www.ons.gov.uk/economy/inflationandpriceindices/datasets/consumerpriceinflation</vt:lpwstr>
      </vt:variant>
      <vt:variant>
        <vt:lpwstr/>
      </vt:variant>
      <vt:variant>
        <vt:i4>1703955</vt:i4>
      </vt:variant>
      <vt:variant>
        <vt:i4>4225</vt:i4>
      </vt:variant>
      <vt:variant>
        <vt:i4>0</vt:i4>
      </vt:variant>
      <vt:variant>
        <vt:i4>5</vt:i4>
      </vt:variant>
      <vt:variant>
        <vt:lpwstr>https://doi.org/10.1007/s001980050107</vt:lpwstr>
      </vt:variant>
      <vt:variant>
        <vt:lpwstr/>
      </vt:variant>
      <vt:variant>
        <vt:i4>393235</vt:i4>
      </vt:variant>
      <vt:variant>
        <vt:i4>4222</vt:i4>
      </vt:variant>
      <vt:variant>
        <vt:i4>0</vt:i4>
      </vt:variant>
      <vt:variant>
        <vt:i4>5</vt:i4>
      </vt:variant>
      <vt:variant>
        <vt:lpwstr>https://doi.org/10.1007/s00198-015-3277-9</vt:lpwstr>
      </vt:variant>
      <vt:variant>
        <vt:lpwstr/>
      </vt:variant>
      <vt:variant>
        <vt:i4>3014716</vt:i4>
      </vt:variant>
      <vt:variant>
        <vt:i4>4219</vt:i4>
      </vt:variant>
      <vt:variant>
        <vt:i4>0</vt:i4>
      </vt:variant>
      <vt:variant>
        <vt:i4>5</vt:i4>
      </vt:variant>
      <vt:variant>
        <vt:lpwstr>https://doi.org/10.1016/j.bone.2016.03.006</vt:lpwstr>
      </vt:variant>
      <vt:variant>
        <vt:lpwstr/>
      </vt:variant>
      <vt:variant>
        <vt:i4>458772</vt:i4>
      </vt:variant>
      <vt:variant>
        <vt:i4>4216</vt:i4>
      </vt:variant>
      <vt:variant>
        <vt:i4>0</vt:i4>
      </vt:variant>
      <vt:variant>
        <vt:i4>5</vt:i4>
      </vt:variant>
      <vt:variant>
        <vt:lpwstr>https://doi.org/10.1007/s10198-016-0775-4</vt:lpwstr>
      </vt:variant>
      <vt:variant>
        <vt:lpwstr/>
      </vt:variant>
      <vt:variant>
        <vt:i4>4784192</vt:i4>
      </vt:variant>
      <vt:variant>
        <vt:i4>4213</vt:i4>
      </vt:variant>
      <vt:variant>
        <vt:i4>0</vt:i4>
      </vt:variant>
      <vt:variant>
        <vt:i4>5</vt:i4>
      </vt:variant>
      <vt:variant>
        <vt:lpwstr>https://www/</vt:lpwstr>
      </vt:variant>
      <vt:variant>
        <vt:lpwstr/>
      </vt:variant>
      <vt:variant>
        <vt:i4>5963856</vt:i4>
      </vt:variant>
      <vt:variant>
        <vt:i4>4210</vt:i4>
      </vt:variant>
      <vt:variant>
        <vt:i4>0</vt:i4>
      </vt:variant>
      <vt:variant>
        <vt:i4>5</vt:i4>
      </vt:variant>
      <vt:variant>
        <vt:lpwstr>https://www.england.nhs.uk/national-cost-collection/</vt:lpwstr>
      </vt:variant>
      <vt:variant>
        <vt:lpwstr/>
      </vt:variant>
      <vt:variant>
        <vt:i4>5767251</vt:i4>
      </vt:variant>
      <vt:variant>
        <vt:i4>4207</vt:i4>
      </vt:variant>
      <vt:variant>
        <vt:i4>0</vt:i4>
      </vt:variant>
      <vt:variant>
        <vt:i4>5</vt:i4>
      </vt:variant>
      <vt:variant>
        <vt:lpwstr>https://doi.org/10.1097/meg.0000000000000841</vt:lpwstr>
      </vt:variant>
      <vt:variant>
        <vt:lpwstr/>
      </vt:variant>
      <vt:variant>
        <vt:i4>5898269</vt:i4>
      </vt:variant>
      <vt:variant>
        <vt:i4>4204</vt:i4>
      </vt:variant>
      <vt:variant>
        <vt:i4>0</vt:i4>
      </vt:variant>
      <vt:variant>
        <vt:i4>5</vt:i4>
      </vt:variant>
      <vt:variant>
        <vt:lpwstr>https://doi.org/10.1111/j.1365-2036.2008.03609.x</vt:lpwstr>
      </vt:variant>
      <vt:variant>
        <vt:lpwstr/>
      </vt:variant>
      <vt:variant>
        <vt:i4>4784207</vt:i4>
      </vt:variant>
      <vt:variant>
        <vt:i4>4201</vt:i4>
      </vt:variant>
      <vt:variant>
        <vt:i4>0</vt:i4>
      </vt:variant>
      <vt:variant>
        <vt:i4>5</vt:i4>
      </vt:variant>
      <vt:variant>
        <vt:lpwstr>https://doi.org/10.1111/apt.15109</vt:lpwstr>
      </vt:variant>
      <vt:variant>
        <vt:lpwstr/>
      </vt:variant>
      <vt:variant>
        <vt:i4>983119</vt:i4>
      </vt:variant>
      <vt:variant>
        <vt:i4>4198</vt:i4>
      </vt:variant>
      <vt:variant>
        <vt:i4>0</vt:i4>
      </vt:variant>
      <vt:variant>
        <vt:i4>5</vt:i4>
      </vt:variant>
      <vt:variant>
        <vt:lpwstr>https://doi.org/10.3109/00365521.2011.615858</vt:lpwstr>
      </vt:variant>
      <vt:variant>
        <vt:lpwstr/>
      </vt:variant>
      <vt:variant>
        <vt:i4>7536738</vt:i4>
      </vt:variant>
      <vt:variant>
        <vt:i4>4195</vt:i4>
      </vt:variant>
      <vt:variant>
        <vt:i4>0</vt:i4>
      </vt:variant>
      <vt:variant>
        <vt:i4>5</vt:i4>
      </vt:variant>
      <vt:variant>
        <vt:lpwstr>https://doi.org/10.1136/gut.2010.219030</vt:lpwstr>
      </vt:variant>
      <vt:variant>
        <vt:lpwstr/>
      </vt:variant>
      <vt:variant>
        <vt:i4>5963857</vt:i4>
      </vt:variant>
      <vt:variant>
        <vt:i4>4192</vt:i4>
      </vt:variant>
      <vt:variant>
        <vt:i4>0</vt:i4>
      </vt:variant>
      <vt:variant>
        <vt:i4>5</vt:i4>
      </vt:variant>
      <vt:variant>
        <vt:lpwstr>https://doi.org/10.1053/j.gastro.2005.02.017</vt:lpwstr>
      </vt:variant>
      <vt:variant>
        <vt:lpwstr/>
      </vt:variant>
      <vt:variant>
        <vt:i4>5374035</vt:i4>
      </vt:variant>
      <vt:variant>
        <vt:i4>4189</vt:i4>
      </vt:variant>
      <vt:variant>
        <vt:i4>0</vt:i4>
      </vt:variant>
      <vt:variant>
        <vt:i4>5</vt:i4>
      </vt:variant>
      <vt:variant>
        <vt:lpwstr>https://doi.org/10.1053/j.gastro.2014.08.025</vt:lpwstr>
      </vt:variant>
      <vt:variant>
        <vt:lpwstr/>
      </vt:variant>
      <vt:variant>
        <vt:i4>1507359</vt:i4>
      </vt:variant>
      <vt:variant>
        <vt:i4>4186</vt:i4>
      </vt:variant>
      <vt:variant>
        <vt:i4>0</vt:i4>
      </vt:variant>
      <vt:variant>
        <vt:i4>5</vt:i4>
      </vt:variant>
      <vt:variant>
        <vt:lpwstr>https://doi.org/10.1017/s002966511800277x</vt:lpwstr>
      </vt:variant>
      <vt:variant>
        <vt:lpwstr/>
      </vt:variant>
      <vt:variant>
        <vt:i4>5701663</vt:i4>
      </vt:variant>
      <vt:variant>
        <vt:i4>4183</vt:i4>
      </vt:variant>
      <vt:variant>
        <vt:i4>0</vt:i4>
      </vt:variant>
      <vt:variant>
        <vt:i4>5</vt:i4>
      </vt:variant>
      <vt:variant>
        <vt:lpwstr>https://doi.org/10.1111/j.1365-2036.2009.04053.x</vt:lpwstr>
      </vt:variant>
      <vt:variant>
        <vt:lpwstr/>
      </vt:variant>
      <vt:variant>
        <vt:i4>1179737</vt:i4>
      </vt:variant>
      <vt:variant>
        <vt:i4>4180</vt:i4>
      </vt:variant>
      <vt:variant>
        <vt:i4>0</vt:i4>
      </vt:variant>
      <vt:variant>
        <vt:i4>5</vt:i4>
      </vt:variant>
      <vt:variant>
        <vt:lpwstr>https://doi.org/10.1159/000489394</vt:lpwstr>
      </vt:variant>
      <vt:variant>
        <vt:lpwstr/>
      </vt:variant>
      <vt:variant>
        <vt:i4>983060</vt:i4>
      </vt:variant>
      <vt:variant>
        <vt:i4>4177</vt:i4>
      </vt:variant>
      <vt:variant>
        <vt:i4>0</vt:i4>
      </vt:variant>
      <vt:variant>
        <vt:i4>5</vt:i4>
      </vt:variant>
      <vt:variant>
        <vt:lpwstr>https://doi.org/10.1186/s40985-018-0093-8</vt:lpwstr>
      </vt:variant>
      <vt:variant>
        <vt:lpwstr/>
      </vt:variant>
      <vt:variant>
        <vt:i4>5505112</vt:i4>
      </vt:variant>
      <vt:variant>
        <vt:i4>4174</vt:i4>
      </vt:variant>
      <vt:variant>
        <vt:i4>0</vt:i4>
      </vt:variant>
      <vt:variant>
        <vt:i4>5</vt:i4>
      </vt:variant>
      <vt:variant>
        <vt:lpwstr>https://doi.org/10.3310/hta21290</vt:lpwstr>
      </vt:variant>
      <vt:variant>
        <vt:lpwstr/>
      </vt:variant>
      <vt:variant>
        <vt:i4>7667836</vt:i4>
      </vt:variant>
      <vt:variant>
        <vt:i4>4171</vt:i4>
      </vt:variant>
      <vt:variant>
        <vt:i4>0</vt:i4>
      </vt:variant>
      <vt:variant>
        <vt:i4>5</vt:i4>
      </vt:variant>
      <vt:variant>
        <vt:lpwstr>https://www.coeliac.org.uk/healthcare-professionals/management/ongoing-symptoms-and-complications/</vt:lpwstr>
      </vt:variant>
      <vt:variant>
        <vt:lpwstr/>
      </vt:variant>
      <vt:variant>
        <vt:i4>5963866</vt:i4>
      </vt:variant>
      <vt:variant>
        <vt:i4>4168</vt:i4>
      </vt:variant>
      <vt:variant>
        <vt:i4>0</vt:i4>
      </vt:variant>
      <vt:variant>
        <vt:i4>5</vt:i4>
      </vt:variant>
      <vt:variant>
        <vt:lpwstr>https://doi.org/10.3748/wjg.v22.i34.7813</vt:lpwstr>
      </vt:variant>
      <vt:variant>
        <vt:lpwstr/>
      </vt:variant>
      <vt:variant>
        <vt:i4>6029331</vt:i4>
      </vt:variant>
      <vt:variant>
        <vt:i4>4165</vt:i4>
      </vt:variant>
      <vt:variant>
        <vt:i4>0</vt:i4>
      </vt:variant>
      <vt:variant>
        <vt:i4>5</vt:i4>
      </vt:variant>
      <vt:variant>
        <vt:lpwstr>https://doi.org/10.1016/j.cgh.2015.03.022</vt:lpwstr>
      </vt:variant>
      <vt:variant>
        <vt:lpwstr/>
      </vt:variant>
      <vt:variant>
        <vt:i4>5963794</vt:i4>
      </vt:variant>
      <vt:variant>
        <vt:i4>4162</vt:i4>
      </vt:variant>
      <vt:variant>
        <vt:i4>0</vt:i4>
      </vt:variant>
      <vt:variant>
        <vt:i4>5</vt:i4>
      </vt:variant>
      <vt:variant>
        <vt:lpwstr>https://doi.org/10.1016/j.cgh.2012.12.037</vt:lpwstr>
      </vt:variant>
      <vt:variant>
        <vt:lpwstr/>
      </vt:variant>
      <vt:variant>
        <vt:i4>19</vt:i4>
      </vt:variant>
      <vt:variant>
        <vt:i4>4159</vt:i4>
      </vt:variant>
      <vt:variant>
        <vt:i4>0</vt:i4>
      </vt:variant>
      <vt:variant>
        <vt:i4>5</vt:i4>
      </vt:variant>
      <vt:variant>
        <vt:lpwstr>https://doi.org/10.1007/s10198-012-0441-4</vt:lpwstr>
      </vt:variant>
      <vt:variant>
        <vt:lpwstr/>
      </vt:variant>
      <vt:variant>
        <vt:i4>6094879</vt:i4>
      </vt:variant>
      <vt:variant>
        <vt:i4>4156</vt:i4>
      </vt:variant>
      <vt:variant>
        <vt:i4>0</vt:i4>
      </vt:variant>
      <vt:variant>
        <vt:i4>5</vt:i4>
      </vt:variant>
      <vt:variant>
        <vt:lpwstr>https://doi.org/10.1111/j.1365-2036.2010.04242.x</vt:lpwstr>
      </vt:variant>
      <vt:variant>
        <vt:lpwstr/>
      </vt:variant>
      <vt:variant>
        <vt:i4>196693</vt:i4>
      </vt:variant>
      <vt:variant>
        <vt:i4>4153</vt:i4>
      </vt:variant>
      <vt:variant>
        <vt:i4>0</vt:i4>
      </vt:variant>
      <vt:variant>
        <vt:i4>5</vt:i4>
      </vt:variant>
      <vt:variant>
        <vt:lpwstr>https://doi.org/10.1097/MCG.0b013e318187311d</vt:lpwstr>
      </vt:variant>
      <vt:variant>
        <vt:lpwstr/>
      </vt:variant>
      <vt:variant>
        <vt:i4>262172</vt:i4>
      </vt:variant>
      <vt:variant>
        <vt:i4>4150</vt:i4>
      </vt:variant>
      <vt:variant>
        <vt:i4>0</vt:i4>
      </vt:variant>
      <vt:variant>
        <vt:i4>5</vt:i4>
      </vt:variant>
      <vt:variant>
        <vt:lpwstr>https://doi.org/10.1007/s10620-007-9939-5</vt:lpwstr>
      </vt:variant>
      <vt:variant>
        <vt:lpwstr/>
      </vt:variant>
      <vt:variant>
        <vt:i4>5308438</vt:i4>
      </vt:variant>
      <vt:variant>
        <vt:i4>4147</vt:i4>
      </vt:variant>
      <vt:variant>
        <vt:i4>0</vt:i4>
      </vt:variant>
      <vt:variant>
        <vt:i4>5</vt:i4>
      </vt:variant>
      <vt:variant>
        <vt:lpwstr>https://doi.org/http://dx.doi.org/10.1542/peds.2005-2123</vt:lpwstr>
      </vt:variant>
      <vt:variant>
        <vt:lpwstr/>
      </vt:variant>
      <vt:variant>
        <vt:i4>5767249</vt:i4>
      </vt:variant>
      <vt:variant>
        <vt:i4>4144</vt:i4>
      </vt:variant>
      <vt:variant>
        <vt:i4>0</vt:i4>
      </vt:variant>
      <vt:variant>
        <vt:i4>5</vt:i4>
      </vt:variant>
      <vt:variant>
        <vt:lpwstr>https://doi.org/10.1177/0272989x06289012</vt:lpwstr>
      </vt:variant>
      <vt:variant>
        <vt:lpwstr/>
      </vt:variant>
      <vt:variant>
        <vt:i4>6226000</vt:i4>
      </vt:variant>
      <vt:variant>
        <vt:i4>4141</vt:i4>
      </vt:variant>
      <vt:variant>
        <vt:i4>0</vt:i4>
      </vt:variant>
      <vt:variant>
        <vt:i4>5</vt:i4>
      </vt:variant>
      <vt:variant>
        <vt:lpwstr>https://doi.org/10.1053/j.gastro.2004.03.012</vt:lpwstr>
      </vt:variant>
      <vt:variant>
        <vt:lpwstr/>
      </vt:variant>
      <vt:variant>
        <vt:i4>5767194</vt:i4>
      </vt:variant>
      <vt:variant>
        <vt:i4>4138</vt:i4>
      </vt:variant>
      <vt:variant>
        <vt:i4>0</vt:i4>
      </vt:variant>
      <vt:variant>
        <vt:i4>5</vt:i4>
      </vt:variant>
      <vt:variant>
        <vt:lpwstr>https://doi.org/10.1111/j.1365-2036.2004.01958.x</vt:lpwstr>
      </vt:variant>
      <vt:variant>
        <vt:lpwstr/>
      </vt:variant>
      <vt:variant>
        <vt:i4>2818110</vt:i4>
      </vt:variant>
      <vt:variant>
        <vt:i4>4135</vt:i4>
      </vt:variant>
      <vt:variant>
        <vt:i4>0</vt:i4>
      </vt:variant>
      <vt:variant>
        <vt:i4>5</vt:i4>
      </vt:variant>
      <vt:variant>
        <vt:lpwstr>https://doi.org/10.1023/a:1012396408370</vt:lpwstr>
      </vt:variant>
      <vt:variant>
        <vt:lpwstr/>
      </vt:variant>
      <vt:variant>
        <vt:i4>1966160</vt:i4>
      </vt:variant>
      <vt:variant>
        <vt:i4>4132</vt:i4>
      </vt:variant>
      <vt:variant>
        <vt:i4>0</vt:i4>
      </vt:variant>
      <vt:variant>
        <vt:i4>5</vt:i4>
      </vt:variant>
      <vt:variant>
        <vt:lpwstr>https://doi.org/10.1177/1049732305276687</vt:lpwstr>
      </vt:variant>
      <vt:variant>
        <vt:lpwstr/>
      </vt:variant>
      <vt:variant>
        <vt:i4>5636120</vt:i4>
      </vt:variant>
      <vt:variant>
        <vt:i4>4129</vt:i4>
      </vt:variant>
      <vt:variant>
        <vt:i4>0</vt:i4>
      </vt:variant>
      <vt:variant>
        <vt:i4>5</vt:i4>
      </vt:variant>
      <vt:variant>
        <vt:lpwstr>https://doi.org/10.1111/j.1365-2036.2009.04220.x</vt:lpwstr>
      </vt:variant>
      <vt:variant>
        <vt:lpwstr/>
      </vt:variant>
      <vt:variant>
        <vt:i4>4390924</vt:i4>
      </vt:variant>
      <vt:variant>
        <vt:i4>4126</vt:i4>
      </vt:variant>
      <vt:variant>
        <vt:i4>0</vt:i4>
      </vt:variant>
      <vt:variant>
        <vt:i4>5</vt:i4>
      </vt:variant>
      <vt:variant>
        <vt:lpwstr>https://youtu.be/GL8tzH4IxAk</vt:lpwstr>
      </vt:variant>
      <vt:variant>
        <vt:lpwstr/>
      </vt:variant>
      <vt:variant>
        <vt:i4>7340108</vt:i4>
      </vt:variant>
      <vt:variant>
        <vt:i4>4123</vt:i4>
      </vt:variant>
      <vt:variant>
        <vt:i4>0</vt:i4>
      </vt:variant>
      <vt:variant>
        <vt:i4>5</vt:i4>
      </vt:variant>
      <vt:variant>
        <vt:lpwstr>https://youtu.be/_PVLGDVSL3E</vt:lpwstr>
      </vt:variant>
      <vt:variant>
        <vt:lpwstr/>
      </vt:variant>
      <vt:variant>
        <vt:i4>196608</vt:i4>
      </vt:variant>
      <vt:variant>
        <vt:i4>4120</vt:i4>
      </vt:variant>
      <vt:variant>
        <vt:i4>0</vt:i4>
      </vt:variant>
      <vt:variant>
        <vt:i4>5</vt:i4>
      </vt:variant>
      <vt:variant>
        <vt:lpwstr>https://youtu.be/M5tfW8-yLfM</vt:lpwstr>
      </vt:variant>
      <vt:variant>
        <vt:lpwstr/>
      </vt:variant>
      <vt:variant>
        <vt:i4>2883696</vt:i4>
      </vt:variant>
      <vt:variant>
        <vt:i4>4117</vt:i4>
      </vt:variant>
      <vt:variant>
        <vt:i4>0</vt:i4>
      </vt:variant>
      <vt:variant>
        <vt:i4>5</vt:i4>
      </vt:variant>
      <vt:variant>
        <vt:lpwstr>https://www.videoscribe.co/en/</vt:lpwstr>
      </vt:variant>
      <vt:variant>
        <vt:lpwstr/>
      </vt:variant>
      <vt:variant>
        <vt:i4>2162797</vt:i4>
      </vt:variant>
      <vt:variant>
        <vt:i4>4114</vt:i4>
      </vt:variant>
      <vt:variant>
        <vt:i4>0</vt:i4>
      </vt:variant>
      <vt:variant>
        <vt:i4>5</vt:i4>
      </vt:variant>
      <vt:variant>
        <vt:lpwstr>https://doi.org/http://dx.doi.org/10.1016/j.cgh.2014.09.032</vt:lpwstr>
      </vt:variant>
      <vt:variant>
        <vt:lpwstr/>
      </vt:variant>
      <vt:variant>
        <vt:i4>4980830</vt:i4>
      </vt:variant>
      <vt:variant>
        <vt:i4>4111</vt:i4>
      </vt:variant>
      <vt:variant>
        <vt:i4>0</vt:i4>
      </vt:variant>
      <vt:variant>
        <vt:i4>5</vt:i4>
      </vt:variant>
      <vt:variant>
        <vt:lpwstr>https://doi.org/10.1111/apa.13533</vt:lpwstr>
      </vt:variant>
      <vt:variant>
        <vt:lpwstr/>
      </vt:variant>
      <vt:variant>
        <vt:i4>5767195</vt:i4>
      </vt:variant>
      <vt:variant>
        <vt:i4>4108</vt:i4>
      </vt:variant>
      <vt:variant>
        <vt:i4>0</vt:i4>
      </vt:variant>
      <vt:variant>
        <vt:i4>5</vt:i4>
      </vt:variant>
      <vt:variant>
        <vt:lpwstr>https://doi.org/http://dx.doi.org/10.1542/peds.2018-3933</vt:lpwstr>
      </vt:variant>
      <vt:variant>
        <vt:lpwstr/>
      </vt:variant>
      <vt:variant>
        <vt:i4>3866737</vt:i4>
      </vt:variant>
      <vt:variant>
        <vt:i4>4105</vt:i4>
      </vt:variant>
      <vt:variant>
        <vt:i4>0</vt:i4>
      </vt:variant>
      <vt:variant>
        <vt:i4>5</vt:i4>
      </vt:variant>
      <vt:variant>
        <vt:lpwstr>https://doi.org/http://dx.doi.org/10.1097/MPG.0b013e31829ef65d</vt:lpwstr>
      </vt:variant>
      <vt:variant>
        <vt:lpwstr/>
      </vt:variant>
      <vt:variant>
        <vt:i4>3801135</vt:i4>
      </vt:variant>
      <vt:variant>
        <vt:i4>4102</vt:i4>
      </vt:variant>
      <vt:variant>
        <vt:i4>0</vt:i4>
      </vt:variant>
      <vt:variant>
        <vt:i4>5</vt:i4>
      </vt:variant>
      <vt:variant>
        <vt:lpwstr>https://doi.org/http://dx.doi.org/10.1097/MPG.0b013e3181b477a6</vt:lpwstr>
      </vt:variant>
      <vt:variant>
        <vt:lpwstr/>
      </vt:variant>
      <vt:variant>
        <vt:i4>6422573</vt:i4>
      </vt:variant>
      <vt:variant>
        <vt:i4>4099</vt:i4>
      </vt:variant>
      <vt:variant>
        <vt:i4>0</vt:i4>
      </vt:variant>
      <vt:variant>
        <vt:i4>5</vt:i4>
      </vt:variant>
      <vt:variant>
        <vt:lpwstr>https://doi.org/http://dx.doi.org/10.1177/2050640614548980</vt:lpwstr>
      </vt:variant>
      <vt:variant>
        <vt:lpwstr/>
      </vt:variant>
      <vt:variant>
        <vt:i4>7995426</vt:i4>
      </vt:variant>
      <vt:variant>
        <vt:i4>4096</vt:i4>
      </vt:variant>
      <vt:variant>
        <vt:i4>0</vt:i4>
      </vt:variant>
      <vt:variant>
        <vt:i4>5</vt:i4>
      </vt:variant>
      <vt:variant>
        <vt:lpwstr>https://doi.org/10.1136/gutjnl-2013-304907.059</vt:lpwstr>
      </vt:variant>
      <vt:variant>
        <vt:lpwstr/>
      </vt:variant>
      <vt:variant>
        <vt:i4>7143468</vt:i4>
      </vt:variant>
      <vt:variant>
        <vt:i4>4093</vt:i4>
      </vt:variant>
      <vt:variant>
        <vt:i4>0</vt:i4>
      </vt:variant>
      <vt:variant>
        <vt:i4>5</vt:i4>
      </vt:variant>
      <vt:variant>
        <vt:lpwstr>https://doi.org/http://dx.doi.org/10.1157/13074614</vt:lpwstr>
      </vt:variant>
      <vt:variant>
        <vt:lpwstr/>
      </vt:variant>
      <vt:variant>
        <vt:i4>1966170</vt:i4>
      </vt:variant>
      <vt:variant>
        <vt:i4>4090</vt:i4>
      </vt:variant>
      <vt:variant>
        <vt:i4>0</vt:i4>
      </vt:variant>
      <vt:variant>
        <vt:i4>5</vt:i4>
      </vt:variant>
      <vt:variant>
        <vt:lpwstr>https://doi.org/10.3109/00365529409096837</vt:lpwstr>
      </vt:variant>
      <vt:variant>
        <vt:lpwstr/>
      </vt:variant>
      <vt:variant>
        <vt:i4>3014766</vt:i4>
      </vt:variant>
      <vt:variant>
        <vt:i4>4087</vt:i4>
      </vt:variant>
      <vt:variant>
        <vt:i4>0</vt:i4>
      </vt:variant>
      <vt:variant>
        <vt:i4>5</vt:i4>
      </vt:variant>
      <vt:variant>
        <vt:lpwstr>https://doi.org/10.1080/003130202201479</vt:lpwstr>
      </vt:variant>
      <vt:variant>
        <vt:lpwstr/>
      </vt:variant>
      <vt:variant>
        <vt:i4>3014707</vt:i4>
      </vt:variant>
      <vt:variant>
        <vt:i4>4084</vt:i4>
      </vt:variant>
      <vt:variant>
        <vt:i4>0</vt:i4>
      </vt:variant>
      <vt:variant>
        <vt:i4>5</vt:i4>
      </vt:variant>
      <vt:variant>
        <vt:lpwstr>https://doi.org/https://doi.org/10.1111/j.1651-2227.1995.tb13631.x</vt:lpwstr>
      </vt:variant>
      <vt:variant>
        <vt:lpwstr/>
      </vt:variant>
      <vt:variant>
        <vt:i4>2752558</vt:i4>
      </vt:variant>
      <vt:variant>
        <vt:i4>4081</vt:i4>
      </vt:variant>
      <vt:variant>
        <vt:i4>0</vt:i4>
      </vt:variant>
      <vt:variant>
        <vt:i4>5</vt:i4>
      </vt:variant>
      <vt:variant>
        <vt:lpwstr>https://doi.org/http://dx.doi.org/10.3748/wjg.v11.i24.3762</vt:lpwstr>
      </vt:variant>
      <vt:variant>
        <vt:lpwstr/>
      </vt:variant>
      <vt:variant>
        <vt:i4>6946851</vt:i4>
      </vt:variant>
      <vt:variant>
        <vt:i4>4078</vt:i4>
      </vt:variant>
      <vt:variant>
        <vt:i4>0</vt:i4>
      </vt:variant>
      <vt:variant>
        <vt:i4>5</vt:i4>
      </vt:variant>
      <vt:variant>
        <vt:lpwstr>https://doi.org/http://dx.doi.org/10.1097/00005176-199808000-00012</vt:lpwstr>
      </vt:variant>
      <vt:variant>
        <vt:lpwstr/>
      </vt:variant>
      <vt:variant>
        <vt:i4>7995453</vt:i4>
      </vt:variant>
      <vt:variant>
        <vt:i4>4075</vt:i4>
      </vt:variant>
      <vt:variant>
        <vt:i4>0</vt:i4>
      </vt:variant>
      <vt:variant>
        <vt:i4>5</vt:i4>
      </vt:variant>
      <vt:variant>
        <vt:lpwstr>https://doi.org/10.1007/BF02208588</vt:lpwstr>
      </vt:variant>
      <vt:variant>
        <vt:lpwstr/>
      </vt:variant>
      <vt:variant>
        <vt:i4>2883695</vt:i4>
      </vt:variant>
      <vt:variant>
        <vt:i4>4072</vt:i4>
      </vt:variant>
      <vt:variant>
        <vt:i4>0</vt:i4>
      </vt:variant>
      <vt:variant>
        <vt:i4>5</vt:i4>
      </vt:variant>
      <vt:variant>
        <vt:lpwstr>https://doi.org/http://dx.doi.org/10.1016/j.gie.2014.02.009</vt:lpwstr>
      </vt:variant>
      <vt:variant>
        <vt:lpwstr/>
      </vt:variant>
      <vt:variant>
        <vt:i4>4390989</vt:i4>
      </vt:variant>
      <vt:variant>
        <vt:i4>4069</vt:i4>
      </vt:variant>
      <vt:variant>
        <vt:i4>0</vt:i4>
      </vt:variant>
      <vt:variant>
        <vt:i4>5</vt:i4>
      </vt:variant>
      <vt:variant>
        <vt:lpwstr>https://doi.org/10.1136/bmj.303.6811.1163</vt:lpwstr>
      </vt:variant>
      <vt:variant>
        <vt:lpwstr/>
      </vt:variant>
      <vt:variant>
        <vt:i4>3670120</vt:i4>
      </vt:variant>
      <vt:variant>
        <vt:i4>4066</vt:i4>
      </vt:variant>
      <vt:variant>
        <vt:i4>0</vt:i4>
      </vt:variant>
      <vt:variant>
        <vt:i4>5</vt:i4>
      </vt:variant>
      <vt:variant>
        <vt:lpwstr>https://doi.org/http://dx.doi.org/10.1136/gutjnl-2018-BSGAbstracts.318</vt:lpwstr>
      </vt:variant>
      <vt:variant>
        <vt:lpwstr/>
      </vt:variant>
      <vt:variant>
        <vt:i4>6881312</vt:i4>
      </vt:variant>
      <vt:variant>
        <vt:i4>4063</vt:i4>
      </vt:variant>
      <vt:variant>
        <vt:i4>0</vt:i4>
      </vt:variant>
      <vt:variant>
        <vt:i4>5</vt:i4>
      </vt:variant>
      <vt:variant>
        <vt:lpwstr>https://doi.org/http://dx.doi.org/10.1097/00042737-199706000-00002</vt:lpwstr>
      </vt:variant>
      <vt:variant>
        <vt:lpwstr/>
      </vt:variant>
      <vt:variant>
        <vt:i4>5898253</vt:i4>
      </vt:variant>
      <vt:variant>
        <vt:i4>4060</vt:i4>
      </vt:variant>
      <vt:variant>
        <vt:i4>0</vt:i4>
      </vt:variant>
      <vt:variant>
        <vt:i4>5</vt:i4>
      </vt:variant>
      <vt:variant>
        <vt:lpwstr>https://doi.org/http://dx.doi.org/10.1155/1997/813148</vt:lpwstr>
      </vt:variant>
      <vt:variant>
        <vt:lpwstr/>
      </vt:variant>
      <vt:variant>
        <vt:i4>6357107</vt:i4>
      </vt:variant>
      <vt:variant>
        <vt:i4>4057</vt:i4>
      </vt:variant>
      <vt:variant>
        <vt:i4>0</vt:i4>
      </vt:variant>
      <vt:variant>
        <vt:i4>5</vt:i4>
      </vt:variant>
      <vt:variant>
        <vt:lpwstr>https://doi.org/10.5001/omj.2013.68</vt:lpwstr>
      </vt:variant>
      <vt:variant>
        <vt:lpwstr/>
      </vt:variant>
      <vt:variant>
        <vt:i4>5111882</vt:i4>
      </vt:variant>
      <vt:variant>
        <vt:i4>4054</vt:i4>
      </vt:variant>
      <vt:variant>
        <vt:i4>0</vt:i4>
      </vt:variant>
      <vt:variant>
        <vt:i4>5</vt:i4>
      </vt:variant>
      <vt:variant>
        <vt:lpwstr>https://doi.org/10.1136/gut.35.6.771</vt:lpwstr>
      </vt:variant>
      <vt:variant>
        <vt:lpwstr/>
      </vt:variant>
      <vt:variant>
        <vt:i4>2424941</vt:i4>
      </vt:variant>
      <vt:variant>
        <vt:i4>4051</vt:i4>
      </vt:variant>
      <vt:variant>
        <vt:i4>0</vt:i4>
      </vt:variant>
      <vt:variant>
        <vt:i4>5</vt:i4>
      </vt:variant>
      <vt:variant>
        <vt:lpwstr>https://doi.org/10.1177/000456320003700406</vt:lpwstr>
      </vt:variant>
      <vt:variant>
        <vt:lpwstr/>
      </vt:variant>
      <vt:variant>
        <vt:i4>5177356</vt:i4>
      </vt:variant>
      <vt:variant>
        <vt:i4>4048</vt:i4>
      </vt:variant>
      <vt:variant>
        <vt:i4>0</vt:i4>
      </vt:variant>
      <vt:variant>
        <vt:i4>5</vt:i4>
      </vt:variant>
      <vt:variant>
        <vt:lpwstr>https://doi.org/10.1038/pr.2011.1000</vt:lpwstr>
      </vt:variant>
      <vt:variant>
        <vt:lpwstr/>
      </vt:variant>
      <vt:variant>
        <vt:i4>5701663</vt:i4>
      </vt:variant>
      <vt:variant>
        <vt:i4>4045</vt:i4>
      </vt:variant>
      <vt:variant>
        <vt:i4>0</vt:i4>
      </vt:variant>
      <vt:variant>
        <vt:i4>5</vt:i4>
      </vt:variant>
      <vt:variant>
        <vt:lpwstr>https://doi.org/10.1111/j.1600-0463.2009.02541.x</vt:lpwstr>
      </vt:variant>
      <vt:variant>
        <vt:lpwstr/>
      </vt:variant>
      <vt:variant>
        <vt:i4>2818089</vt:i4>
      </vt:variant>
      <vt:variant>
        <vt:i4>4042</vt:i4>
      </vt:variant>
      <vt:variant>
        <vt:i4>0</vt:i4>
      </vt:variant>
      <vt:variant>
        <vt:i4>5</vt:i4>
      </vt:variant>
      <vt:variant>
        <vt:lpwstr>https://doi.org/http://dx.doi.org/10.1002/eji.200990286</vt:lpwstr>
      </vt:variant>
      <vt:variant>
        <vt:lpwstr/>
      </vt:variant>
      <vt:variant>
        <vt:i4>7077940</vt:i4>
      </vt:variant>
      <vt:variant>
        <vt:i4>4039</vt:i4>
      </vt:variant>
      <vt:variant>
        <vt:i4>0</vt:i4>
      </vt:variant>
      <vt:variant>
        <vt:i4>5</vt:i4>
      </vt:variant>
      <vt:variant>
        <vt:lpwstr>https://doi.org/http://dx.doi.org/10.1002/jcla.1012</vt:lpwstr>
      </vt:variant>
      <vt:variant>
        <vt:lpwstr/>
      </vt:variant>
      <vt:variant>
        <vt:i4>5373983</vt:i4>
      </vt:variant>
      <vt:variant>
        <vt:i4>4036</vt:i4>
      </vt:variant>
      <vt:variant>
        <vt:i4>0</vt:i4>
      </vt:variant>
      <vt:variant>
        <vt:i4>5</vt:i4>
      </vt:variant>
      <vt:variant>
        <vt:lpwstr>https://doi.org/http://dx.doi.org/10.1542/peds.2004-1392</vt:lpwstr>
      </vt:variant>
      <vt:variant>
        <vt:lpwstr/>
      </vt:variant>
      <vt:variant>
        <vt:i4>3932199</vt:i4>
      </vt:variant>
      <vt:variant>
        <vt:i4>4033</vt:i4>
      </vt:variant>
      <vt:variant>
        <vt:i4>0</vt:i4>
      </vt:variant>
      <vt:variant>
        <vt:i4>5</vt:i4>
      </vt:variant>
      <vt:variant>
        <vt:lpwstr>https://doi.org/http://dx.doi.org/10.1097/MPG.0000000000002065</vt:lpwstr>
      </vt:variant>
      <vt:variant>
        <vt:lpwstr/>
      </vt:variant>
      <vt:variant>
        <vt:i4>8192059</vt:i4>
      </vt:variant>
      <vt:variant>
        <vt:i4>4030</vt:i4>
      </vt:variant>
      <vt:variant>
        <vt:i4>0</vt:i4>
      </vt:variant>
      <vt:variant>
        <vt:i4>5</vt:i4>
      </vt:variant>
      <vt:variant>
        <vt:lpwstr>https://doi.org/http://dx.doi.org/10.1515/CCLM.2011.518</vt:lpwstr>
      </vt:variant>
      <vt:variant>
        <vt:lpwstr/>
      </vt:variant>
      <vt:variant>
        <vt:i4>1310733</vt:i4>
      </vt:variant>
      <vt:variant>
        <vt:i4>4027</vt:i4>
      </vt:variant>
      <vt:variant>
        <vt:i4>0</vt:i4>
      </vt:variant>
      <vt:variant>
        <vt:i4>5</vt:i4>
      </vt:variant>
      <vt:variant>
        <vt:lpwstr>https://doi.org/http://dx.doi.org/10.1038/ajg.2015.87</vt:lpwstr>
      </vt:variant>
      <vt:variant>
        <vt:lpwstr/>
      </vt:variant>
      <vt:variant>
        <vt:i4>2162788</vt:i4>
      </vt:variant>
      <vt:variant>
        <vt:i4>4024</vt:i4>
      </vt:variant>
      <vt:variant>
        <vt:i4>0</vt:i4>
      </vt:variant>
      <vt:variant>
        <vt:i4>5</vt:i4>
      </vt:variant>
      <vt:variant>
        <vt:lpwstr>https://doi.org/http://dx.doi.org/10.1016/j.cgh.2007.01.003</vt:lpwstr>
      </vt:variant>
      <vt:variant>
        <vt:lpwstr/>
      </vt:variant>
      <vt:variant>
        <vt:i4>5308437</vt:i4>
      </vt:variant>
      <vt:variant>
        <vt:i4>4021</vt:i4>
      </vt:variant>
      <vt:variant>
        <vt:i4>0</vt:i4>
      </vt:variant>
      <vt:variant>
        <vt:i4>5</vt:i4>
      </vt:variant>
      <vt:variant>
        <vt:lpwstr>https://doi.org/http://dx.doi.org/10.1542/peds.2006-0604</vt:lpwstr>
      </vt:variant>
      <vt:variant>
        <vt:lpwstr/>
      </vt:variant>
      <vt:variant>
        <vt:i4>5439568</vt:i4>
      </vt:variant>
      <vt:variant>
        <vt:i4>4018</vt:i4>
      </vt:variant>
      <vt:variant>
        <vt:i4>0</vt:i4>
      </vt:variant>
      <vt:variant>
        <vt:i4>5</vt:i4>
      </vt:variant>
      <vt:variant>
        <vt:lpwstr>https://doi.org/https://dx.doi.org/10.3109/00365513.2015.1137348</vt:lpwstr>
      </vt:variant>
      <vt:variant>
        <vt:lpwstr/>
      </vt:variant>
      <vt:variant>
        <vt:i4>786450</vt:i4>
      </vt:variant>
      <vt:variant>
        <vt:i4>4015</vt:i4>
      </vt:variant>
      <vt:variant>
        <vt:i4>0</vt:i4>
      </vt:variant>
      <vt:variant>
        <vt:i4>5</vt:i4>
      </vt:variant>
      <vt:variant>
        <vt:lpwstr>https://doi.org/10.1007/s10620-011-1857-x</vt:lpwstr>
      </vt:variant>
      <vt:variant>
        <vt:lpwstr/>
      </vt:variant>
      <vt:variant>
        <vt:i4>1507339</vt:i4>
      </vt:variant>
      <vt:variant>
        <vt:i4>4012</vt:i4>
      </vt:variant>
      <vt:variant>
        <vt:i4>0</vt:i4>
      </vt:variant>
      <vt:variant>
        <vt:i4>5</vt:i4>
      </vt:variant>
      <vt:variant>
        <vt:lpwstr>https://doi.org/https://dx.doi.org/10.3390/medsci4040020</vt:lpwstr>
      </vt:variant>
      <vt:variant>
        <vt:lpwstr/>
      </vt:variant>
      <vt:variant>
        <vt:i4>8192096</vt:i4>
      </vt:variant>
      <vt:variant>
        <vt:i4>4009</vt:i4>
      </vt:variant>
      <vt:variant>
        <vt:i4>0</vt:i4>
      </vt:variant>
      <vt:variant>
        <vt:i4>5</vt:i4>
      </vt:variant>
      <vt:variant>
        <vt:lpwstr>https://doi.org/http://dx.doi.org/10.1007/s12098-017-2323-3</vt:lpwstr>
      </vt:variant>
      <vt:variant>
        <vt:lpwstr/>
      </vt:variant>
      <vt:variant>
        <vt:i4>6946848</vt:i4>
      </vt:variant>
      <vt:variant>
        <vt:i4>4006</vt:i4>
      </vt:variant>
      <vt:variant>
        <vt:i4>0</vt:i4>
      </vt:variant>
      <vt:variant>
        <vt:i4>5</vt:i4>
      </vt:variant>
      <vt:variant>
        <vt:lpwstr>https://doi.org/http://dx.doi.org/10.14735/amgh2017csgh.info07</vt:lpwstr>
      </vt:variant>
      <vt:variant>
        <vt:lpwstr/>
      </vt:variant>
      <vt:variant>
        <vt:i4>2687087</vt:i4>
      </vt:variant>
      <vt:variant>
        <vt:i4>4003</vt:i4>
      </vt:variant>
      <vt:variant>
        <vt:i4>0</vt:i4>
      </vt:variant>
      <vt:variant>
        <vt:i4>5</vt:i4>
      </vt:variant>
      <vt:variant>
        <vt:lpwstr>https://doi.org/http://dx.doi.org/10.1111/j.1600-0463.2011.02817.x</vt:lpwstr>
      </vt:variant>
      <vt:variant>
        <vt:lpwstr/>
      </vt:variant>
      <vt:variant>
        <vt:i4>6029321</vt:i4>
      </vt:variant>
      <vt:variant>
        <vt:i4>4000</vt:i4>
      </vt:variant>
      <vt:variant>
        <vt:i4>0</vt:i4>
      </vt:variant>
      <vt:variant>
        <vt:i4>5</vt:i4>
      </vt:variant>
      <vt:variant>
        <vt:lpwstr>https://doi.org/http://dx.doi.org/10.1136/archdischild-2014-306237.7</vt:lpwstr>
      </vt:variant>
      <vt:variant>
        <vt:lpwstr/>
      </vt:variant>
      <vt:variant>
        <vt:i4>7929903</vt:i4>
      </vt:variant>
      <vt:variant>
        <vt:i4>3997</vt:i4>
      </vt:variant>
      <vt:variant>
        <vt:i4>0</vt:i4>
      </vt:variant>
      <vt:variant>
        <vt:i4>5</vt:i4>
      </vt:variant>
      <vt:variant>
        <vt:lpwstr>https://doi.org/http://dx.doi.org/10.1097/MCG.0b013e31802fc1e3</vt:lpwstr>
      </vt:variant>
      <vt:variant>
        <vt:lpwstr/>
      </vt:variant>
      <vt:variant>
        <vt:i4>2097194</vt:i4>
      </vt:variant>
      <vt:variant>
        <vt:i4>3994</vt:i4>
      </vt:variant>
      <vt:variant>
        <vt:i4>0</vt:i4>
      </vt:variant>
      <vt:variant>
        <vt:i4>5</vt:i4>
      </vt:variant>
      <vt:variant>
        <vt:lpwstr>https://doi.org/http://dx.doi.org/10.1128/CVI.00205-09</vt:lpwstr>
      </vt:variant>
      <vt:variant>
        <vt:lpwstr/>
      </vt:variant>
      <vt:variant>
        <vt:i4>3866750</vt:i4>
      </vt:variant>
      <vt:variant>
        <vt:i4>3991</vt:i4>
      </vt:variant>
      <vt:variant>
        <vt:i4>0</vt:i4>
      </vt:variant>
      <vt:variant>
        <vt:i4>5</vt:i4>
      </vt:variant>
      <vt:variant>
        <vt:lpwstr>https://doi.org/https://dx.doi.org/10.1111/j.1651-2227.2010.02124.x</vt:lpwstr>
      </vt:variant>
      <vt:variant>
        <vt:lpwstr/>
      </vt:variant>
      <vt:variant>
        <vt:i4>5767248</vt:i4>
      </vt:variant>
      <vt:variant>
        <vt:i4>3988</vt:i4>
      </vt:variant>
      <vt:variant>
        <vt:i4>0</vt:i4>
      </vt:variant>
      <vt:variant>
        <vt:i4>5</vt:i4>
      </vt:variant>
      <vt:variant>
        <vt:lpwstr>https://doi.org/10.1053/j.gastro.2017.04.023</vt:lpwstr>
      </vt:variant>
      <vt:variant>
        <vt:lpwstr/>
      </vt:variant>
      <vt:variant>
        <vt:i4>1966174</vt:i4>
      </vt:variant>
      <vt:variant>
        <vt:i4>3985</vt:i4>
      </vt:variant>
      <vt:variant>
        <vt:i4>0</vt:i4>
      </vt:variant>
      <vt:variant>
        <vt:i4>5</vt:i4>
      </vt:variant>
      <vt:variant>
        <vt:lpwstr>https://doi.org/10.1097/00042737-200201000-00012</vt:lpwstr>
      </vt:variant>
      <vt:variant>
        <vt:lpwstr/>
      </vt:variant>
      <vt:variant>
        <vt:i4>262174</vt:i4>
      </vt:variant>
      <vt:variant>
        <vt:i4>3982</vt:i4>
      </vt:variant>
      <vt:variant>
        <vt:i4>0</vt:i4>
      </vt:variant>
      <vt:variant>
        <vt:i4>5</vt:i4>
      </vt:variant>
      <vt:variant>
        <vt:lpwstr>https://doi.org/http://dx.doi.org/10.3390/jcm8122179</vt:lpwstr>
      </vt:variant>
      <vt:variant>
        <vt:lpwstr/>
      </vt:variant>
      <vt:variant>
        <vt:i4>2883695</vt:i4>
      </vt:variant>
      <vt:variant>
        <vt:i4>3979</vt:i4>
      </vt:variant>
      <vt:variant>
        <vt:i4>0</vt:i4>
      </vt:variant>
      <vt:variant>
        <vt:i4>5</vt:i4>
      </vt:variant>
      <vt:variant>
        <vt:lpwstr>https://doi.org/http://dx.doi.org/10.1016/j.dld.2011.10.013</vt:lpwstr>
      </vt:variant>
      <vt:variant>
        <vt:lpwstr/>
      </vt:variant>
      <vt:variant>
        <vt:i4>8060951</vt:i4>
      </vt:variant>
      <vt:variant>
        <vt:i4>3976</vt:i4>
      </vt:variant>
      <vt:variant>
        <vt:i4>0</vt:i4>
      </vt:variant>
      <vt:variant>
        <vt:i4>5</vt:i4>
      </vt:variant>
      <vt:variant>
        <vt:lpwstr>https://doi.org/10.1136/gut.48.suppl_1.A77</vt:lpwstr>
      </vt:variant>
      <vt:variant>
        <vt:lpwstr/>
      </vt:variant>
      <vt:variant>
        <vt:i4>2162729</vt:i4>
      </vt:variant>
      <vt:variant>
        <vt:i4>3973</vt:i4>
      </vt:variant>
      <vt:variant>
        <vt:i4>0</vt:i4>
      </vt:variant>
      <vt:variant>
        <vt:i4>5</vt:i4>
      </vt:variant>
      <vt:variant>
        <vt:lpwstr>https://doi.org/http://dx.doi.org/10.1097/MCG.0b013e3181c378f6</vt:lpwstr>
      </vt:variant>
      <vt:variant>
        <vt:lpwstr/>
      </vt:variant>
      <vt:variant>
        <vt:i4>2490468</vt:i4>
      </vt:variant>
      <vt:variant>
        <vt:i4>3970</vt:i4>
      </vt:variant>
      <vt:variant>
        <vt:i4>0</vt:i4>
      </vt:variant>
      <vt:variant>
        <vt:i4>5</vt:i4>
      </vt:variant>
      <vt:variant>
        <vt:lpwstr>https://doi.org/http://dx.doi.org/10.1046/j.1365-2036.2003.01595.x</vt:lpwstr>
      </vt:variant>
      <vt:variant>
        <vt:lpwstr/>
      </vt:variant>
      <vt:variant>
        <vt:i4>5963857</vt:i4>
      </vt:variant>
      <vt:variant>
        <vt:i4>3967</vt:i4>
      </vt:variant>
      <vt:variant>
        <vt:i4>0</vt:i4>
      </vt:variant>
      <vt:variant>
        <vt:i4>5</vt:i4>
      </vt:variant>
      <vt:variant>
        <vt:lpwstr>https://doi.org/10.1111/cei.12000</vt:lpwstr>
      </vt:variant>
      <vt:variant>
        <vt:lpwstr/>
      </vt:variant>
      <vt:variant>
        <vt:i4>2752554</vt:i4>
      </vt:variant>
      <vt:variant>
        <vt:i4>3964</vt:i4>
      </vt:variant>
      <vt:variant>
        <vt:i4>0</vt:i4>
      </vt:variant>
      <vt:variant>
        <vt:i4>5</vt:i4>
      </vt:variant>
      <vt:variant>
        <vt:lpwstr>https://doi.org/http://dx.doi.org/10.3748/wjg.v16.i25.3144</vt:lpwstr>
      </vt:variant>
      <vt:variant>
        <vt:lpwstr/>
      </vt:variant>
      <vt:variant>
        <vt:i4>2490476</vt:i4>
      </vt:variant>
      <vt:variant>
        <vt:i4>3961</vt:i4>
      </vt:variant>
      <vt:variant>
        <vt:i4>0</vt:i4>
      </vt:variant>
      <vt:variant>
        <vt:i4>5</vt:i4>
      </vt:variant>
      <vt:variant>
        <vt:lpwstr>https://doi.org/http://dx.doi.org/10.1111/j.1572-0241.2003.07455.x</vt:lpwstr>
      </vt:variant>
      <vt:variant>
        <vt:lpwstr/>
      </vt:variant>
      <vt:variant>
        <vt:i4>2883692</vt:i4>
      </vt:variant>
      <vt:variant>
        <vt:i4>3958</vt:i4>
      </vt:variant>
      <vt:variant>
        <vt:i4>0</vt:i4>
      </vt:variant>
      <vt:variant>
        <vt:i4>5</vt:i4>
      </vt:variant>
      <vt:variant>
        <vt:lpwstr>https://doi.org/http://dx.doi.org/10.1111/j.1365-2036.2008.03652.x</vt:lpwstr>
      </vt:variant>
      <vt:variant>
        <vt:lpwstr/>
      </vt:variant>
      <vt:variant>
        <vt:i4>1704031</vt:i4>
      </vt:variant>
      <vt:variant>
        <vt:i4>3955</vt:i4>
      </vt:variant>
      <vt:variant>
        <vt:i4>0</vt:i4>
      </vt:variant>
      <vt:variant>
        <vt:i4>5</vt:i4>
      </vt:variant>
      <vt:variant>
        <vt:lpwstr>https://doi.org/10.1097/00042737-200605000-00006</vt:lpwstr>
      </vt:variant>
      <vt:variant>
        <vt:lpwstr/>
      </vt:variant>
      <vt:variant>
        <vt:i4>3997733</vt:i4>
      </vt:variant>
      <vt:variant>
        <vt:i4>3952</vt:i4>
      </vt:variant>
      <vt:variant>
        <vt:i4>0</vt:i4>
      </vt:variant>
      <vt:variant>
        <vt:i4>5</vt:i4>
      </vt:variant>
      <vt:variant>
        <vt:lpwstr>https://doi.org/http://dx.doi.org/10.1097/MPG.0000000000001773</vt:lpwstr>
      </vt:variant>
      <vt:variant>
        <vt:lpwstr/>
      </vt:variant>
      <vt:variant>
        <vt:i4>7798891</vt:i4>
      </vt:variant>
      <vt:variant>
        <vt:i4>3949</vt:i4>
      </vt:variant>
      <vt:variant>
        <vt:i4>0</vt:i4>
      </vt:variant>
      <vt:variant>
        <vt:i4>5</vt:i4>
      </vt:variant>
      <vt:variant>
        <vt:lpwstr>https://doi.org/http://dx.doi.org/10.1007/s10620-014-3143-1</vt:lpwstr>
      </vt:variant>
      <vt:variant>
        <vt:lpwstr/>
      </vt:variant>
      <vt:variant>
        <vt:i4>8192061</vt:i4>
      </vt:variant>
      <vt:variant>
        <vt:i4>3946</vt:i4>
      </vt:variant>
      <vt:variant>
        <vt:i4>0</vt:i4>
      </vt:variant>
      <vt:variant>
        <vt:i4>5</vt:i4>
      </vt:variant>
      <vt:variant>
        <vt:lpwstr>https://doi.org/http://dx.doi.org/10.1373/clinchem.2006.081364</vt:lpwstr>
      </vt:variant>
      <vt:variant>
        <vt:lpwstr/>
      </vt:variant>
      <vt:variant>
        <vt:i4>2228325</vt:i4>
      </vt:variant>
      <vt:variant>
        <vt:i4>3943</vt:i4>
      </vt:variant>
      <vt:variant>
        <vt:i4>0</vt:i4>
      </vt:variant>
      <vt:variant>
        <vt:i4>5</vt:i4>
      </vt:variant>
      <vt:variant>
        <vt:lpwstr>https://doi.org/http://dx.doi.org/10.1016/j.cgh.2015.01.010</vt:lpwstr>
      </vt:variant>
      <vt:variant>
        <vt:lpwstr/>
      </vt:variant>
      <vt:variant>
        <vt:i4>8126584</vt:i4>
      </vt:variant>
      <vt:variant>
        <vt:i4>3940</vt:i4>
      </vt:variant>
      <vt:variant>
        <vt:i4>0</vt:i4>
      </vt:variant>
      <vt:variant>
        <vt:i4>5</vt:i4>
      </vt:variant>
      <vt:variant>
        <vt:lpwstr>https://doi.org/http://dx.doi.org/10.1016/S0016-5085%2814%2961693-0</vt:lpwstr>
      </vt:variant>
      <vt:variant>
        <vt:lpwstr/>
      </vt:variant>
      <vt:variant>
        <vt:i4>8257646</vt:i4>
      </vt:variant>
      <vt:variant>
        <vt:i4>3937</vt:i4>
      </vt:variant>
      <vt:variant>
        <vt:i4>0</vt:i4>
      </vt:variant>
      <vt:variant>
        <vt:i4>5</vt:i4>
      </vt:variant>
      <vt:variant>
        <vt:lpwstr>https://doi.org/http://dx.doi.org/10.1038/s41395-018-0143-3</vt:lpwstr>
      </vt:variant>
      <vt:variant>
        <vt:lpwstr/>
      </vt:variant>
      <vt:variant>
        <vt:i4>6881318</vt:i4>
      </vt:variant>
      <vt:variant>
        <vt:i4>3934</vt:i4>
      </vt:variant>
      <vt:variant>
        <vt:i4>0</vt:i4>
      </vt:variant>
      <vt:variant>
        <vt:i4>5</vt:i4>
      </vt:variant>
      <vt:variant>
        <vt:lpwstr>https://doi.org/http://dx.doi.org/10.1177/2050640613502899</vt:lpwstr>
      </vt:variant>
      <vt:variant>
        <vt:lpwstr/>
      </vt:variant>
      <vt:variant>
        <vt:i4>2097255</vt:i4>
      </vt:variant>
      <vt:variant>
        <vt:i4>3931</vt:i4>
      </vt:variant>
      <vt:variant>
        <vt:i4>0</vt:i4>
      </vt:variant>
      <vt:variant>
        <vt:i4>5</vt:i4>
      </vt:variant>
      <vt:variant>
        <vt:lpwstr>https://doi.org/http://dx.doi.org/10.1016/j.cgh.2007.12.008</vt:lpwstr>
      </vt:variant>
      <vt:variant>
        <vt:lpwstr/>
      </vt:variant>
      <vt:variant>
        <vt:i4>2424871</vt:i4>
      </vt:variant>
      <vt:variant>
        <vt:i4>3928</vt:i4>
      </vt:variant>
      <vt:variant>
        <vt:i4>0</vt:i4>
      </vt:variant>
      <vt:variant>
        <vt:i4>5</vt:i4>
      </vt:variant>
      <vt:variant>
        <vt:lpwstr>https://doi.org/http://dx.doi.org/10.1097/MEG.0000000000000841</vt:lpwstr>
      </vt:variant>
      <vt:variant>
        <vt:lpwstr/>
      </vt:variant>
      <vt:variant>
        <vt:i4>3080306</vt:i4>
      </vt:variant>
      <vt:variant>
        <vt:i4>3925</vt:i4>
      </vt:variant>
      <vt:variant>
        <vt:i4>0</vt:i4>
      </vt:variant>
      <vt:variant>
        <vt:i4>5</vt:i4>
      </vt:variant>
      <vt:variant>
        <vt:lpwstr>https://doi.org/10.7326/0003-4819-147-5-200709040-00003</vt:lpwstr>
      </vt:variant>
      <vt:variant>
        <vt:lpwstr/>
      </vt:variant>
      <vt:variant>
        <vt:i4>1638492</vt:i4>
      </vt:variant>
      <vt:variant>
        <vt:i4>3922</vt:i4>
      </vt:variant>
      <vt:variant>
        <vt:i4>0</vt:i4>
      </vt:variant>
      <vt:variant>
        <vt:i4>5</vt:i4>
      </vt:variant>
      <vt:variant>
        <vt:lpwstr>https://doi.org/10.1157/13078992</vt:lpwstr>
      </vt:variant>
      <vt:variant>
        <vt:lpwstr/>
      </vt:variant>
      <vt:variant>
        <vt:i4>7471203</vt:i4>
      </vt:variant>
      <vt:variant>
        <vt:i4>3919</vt:i4>
      </vt:variant>
      <vt:variant>
        <vt:i4>0</vt:i4>
      </vt:variant>
      <vt:variant>
        <vt:i4>5</vt:i4>
      </vt:variant>
      <vt:variant>
        <vt:lpwstr>https://doi.org/http://dx.doi.org/10.2478/v10011-011-0047-x</vt:lpwstr>
      </vt:variant>
      <vt:variant>
        <vt:lpwstr/>
      </vt:variant>
      <vt:variant>
        <vt:i4>7667814</vt:i4>
      </vt:variant>
      <vt:variant>
        <vt:i4>3916</vt:i4>
      </vt:variant>
      <vt:variant>
        <vt:i4>0</vt:i4>
      </vt:variant>
      <vt:variant>
        <vt:i4>5</vt:i4>
      </vt:variant>
      <vt:variant>
        <vt:lpwstr>https://doi.org/http://dx.doi.org/10.1007/s10620-009-0789-1</vt:lpwstr>
      </vt:variant>
      <vt:variant>
        <vt:lpwstr/>
      </vt:variant>
      <vt:variant>
        <vt:i4>2359404</vt:i4>
      </vt:variant>
      <vt:variant>
        <vt:i4>3913</vt:i4>
      </vt:variant>
      <vt:variant>
        <vt:i4>0</vt:i4>
      </vt:variant>
      <vt:variant>
        <vt:i4>5</vt:i4>
      </vt:variant>
      <vt:variant>
        <vt:lpwstr>https://doi.org/http://dx.doi.org/10.1111/j.1365-2036.2010.04337.x</vt:lpwstr>
      </vt:variant>
      <vt:variant>
        <vt:lpwstr/>
      </vt:variant>
      <vt:variant>
        <vt:i4>4390988</vt:i4>
      </vt:variant>
      <vt:variant>
        <vt:i4>3910</vt:i4>
      </vt:variant>
      <vt:variant>
        <vt:i4>0</vt:i4>
      </vt:variant>
      <vt:variant>
        <vt:i4>5</vt:i4>
      </vt:variant>
      <vt:variant>
        <vt:lpwstr>https://doi.org/http://dx.doi.org/10.1055/s-0033-1359200</vt:lpwstr>
      </vt:variant>
      <vt:variant>
        <vt:lpwstr/>
      </vt:variant>
      <vt:variant>
        <vt:i4>8257647</vt:i4>
      </vt:variant>
      <vt:variant>
        <vt:i4>3907</vt:i4>
      </vt:variant>
      <vt:variant>
        <vt:i4>0</vt:i4>
      </vt:variant>
      <vt:variant>
        <vt:i4>5</vt:i4>
      </vt:variant>
      <vt:variant>
        <vt:lpwstr>https://doi.org/http://dx.doi.org/10.1007/s10875-008-9200-9</vt:lpwstr>
      </vt:variant>
      <vt:variant>
        <vt:lpwstr/>
      </vt:variant>
      <vt:variant>
        <vt:i4>7274559</vt:i4>
      </vt:variant>
      <vt:variant>
        <vt:i4>3904</vt:i4>
      </vt:variant>
      <vt:variant>
        <vt:i4>0</vt:i4>
      </vt:variant>
      <vt:variant>
        <vt:i4>5</vt:i4>
      </vt:variant>
      <vt:variant>
        <vt:lpwstr>https://doi.org/https://dx.doi.org/10.5001/omj.2013.68</vt:lpwstr>
      </vt:variant>
      <vt:variant>
        <vt:lpwstr/>
      </vt:variant>
      <vt:variant>
        <vt:i4>2162791</vt:i4>
      </vt:variant>
      <vt:variant>
        <vt:i4>3901</vt:i4>
      </vt:variant>
      <vt:variant>
        <vt:i4>0</vt:i4>
      </vt:variant>
      <vt:variant>
        <vt:i4>5</vt:i4>
      </vt:variant>
      <vt:variant>
        <vt:lpwstr>https://doi.org/http://dx.doi.org/10.1016/j.cgh.2006.02.010</vt:lpwstr>
      </vt:variant>
      <vt:variant>
        <vt:lpwstr/>
      </vt:variant>
      <vt:variant>
        <vt:i4>2293856</vt:i4>
      </vt:variant>
      <vt:variant>
        <vt:i4>3898</vt:i4>
      </vt:variant>
      <vt:variant>
        <vt:i4>0</vt:i4>
      </vt:variant>
      <vt:variant>
        <vt:i4>5</vt:i4>
      </vt:variant>
      <vt:variant>
        <vt:lpwstr>https://doi.org/http://dx.doi.org/10.1016/j.cgh.2017.04.025</vt:lpwstr>
      </vt:variant>
      <vt:variant>
        <vt:lpwstr/>
      </vt:variant>
      <vt:variant>
        <vt:i4>28</vt:i4>
      </vt:variant>
      <vt:variant>
        <vt:i4>3895</vt:i4>
      </vt:variant>
      <vt:variant>
        <vt:i4>0</vt:i4>
      </vt:variant>
      <vt:variant>
        <vt:i4>5</vt:i4>
      </vt:variant>
      <vt:variant>
        <vt:lpwstr>https://doi.org/10.1186/s41512-017-0023-0</vt:lpwstr>
      </vt:variant>
      <vt:variant>
        <vt:lpwstr/>
      </vt:variant>
      <vt:variant>
        <vt:i4>917506</vt:i4>
      </vt:variant>
      <vt:variant>
        <vt:i4>3892</vt:i4>
      </vt:variant>
      <vt:variant>
        <vt:i4>0</vt:i4>
      </vt:variant>
      <vt:variant>
        <vt:i4>5</vt:i4>
      </vt:variant>
      <vt:variant>
        <vt:lpwstr>https://doi.org/10.7326/M21-2234</vt:lpwstr>
      </vt:variant>
      <vt:variant>
        <vt:lpwstr/>
      </vt:variant>
      <vt:variant>
        <vt:i4>786463</vt:i4>
      </vt:variant>
      <vt:variant>
        <vt:i4>3889</vt:i4>
      </vt:variant>
      <vt:variant>
        <vt:i4>0</vt:i4>
      </vt:variant>
      <vt:variant>
        <vt:i4>5</vt:i4>
      </vt:variant>
      <vt:variant>
        <vt:lpwstr>https://doi.org/10.1186/s13643-016-0384-4</vt:lpwstr>
      </vt:variant>
      <vt:variant>
        <vt:lpwstr/>
      </vt:variant>
      <vt:variant>
        <vt:i4>5636190</vt:i4>
      </vt:variant>
      <vt:variant>
        <vt:i4>3886</vt:i4>
      </vt:variant>
      <vt:variant>
        <vt:i4>0</vt:i4>
      </vt:variant>
      <vt:variant>
        <vt:i4>5</vt:i4>
      </vt:variant>
      <vt:variant>
        <vt:lpwstr>https://doi.org/10.1097/MCG.0000000000001081</vt:lpwstr>
      </vt:variant>
      <vt:variant>
        <vt:lpwstr/>
      </vt:variant>
      <vt:variant>
        <vt:i4>2490412</vt:i4>
      </vt:variant>
      <vt:variant>
        <vt:i4>3883</vt:i4>
      </vt:variant>
      <vt:variant>
        <vt:i4>0</vt:i4>
      </vt:variant>
      <vt:variant>
        <vt:i4>5</vt:i4>
      </vt:variant>
      <vt:variant>
        <vt:lpwstr>https://doi.org/10.1016/j.jclinepi.2013.05.014</vt:lpwstr>
      </vt:variant>
      <vt:variant>
        <vt:lpwstr/>
      </vt:variant>
      <vt:variant>
        <vt:i4>1966165</vt:i4>
      </vt:variant>
      <vt:variant>
        <vt:i4>3880</vt:i4>
      </vt:variant>
      <vt:variant>
        <vt:i4>0</vt:i4>
      </vt:variant>
      <vt:variant>
        <vt:i4>5</vt:i4>
      </vt:variant>
      <vt:variant>
        <vt:lpwstr>https://doi.org/10.1007/978-3-319-19425-7</vt:lpwstr>
      </vt:variant>
      <vt:variant>
        <vt:lpwstr/>
      </vt:variant>
      <vt:variant>
        <vt:i4>6619181</vt:i4>
      </vt:variant>
      <vt:variant>
        <vt:i4>3877</vt:i4>
      </vt:variant>
      <vt:variant>
        <vt:i4>0</vt:i4>
      </vt:variant>
      <vt:variant>
        <vt:i4>5</vt:i4>
      </vt:variant>
      <vt:variant>
        <vt:lpwstr>https://doi.org/10.1093/biomet/80.1.27</vt:lpwstr>
      </vt:variant>
      <vt:variant>
        <vt:lpwstr/>
      </vt:variant>
      <vt:variant>
        <vt:i4>5439555</vt:i4>
      </vt:variant>
      <vt:variant>
        <vt:i4>3874</vt:i4>
      </vt:variant>
      <vt:variant>
        <vt:i4>0</vt:i4>
      </vt:variant>
      <vt:variant>
        <vt:i4>5</vt:i4>
      </vt:variant>
      <vt:variant>
        <vt:lpwstr>https://doi.org/10.1002/sim.1047</vt:lpwstr>
      </vt:variant>
      <vt:variant>
        <vt:lpwstr/>
      </vt:variant>
      <vt:variant>
        <vt:i4>6225998</vt:i4>
      </vt:variant>
      <vt:variant>
        <vt:i4>3871</vt:i4>
      </vt:variant>
      <vt:variant>
        <vt:i4>0</vt:i4>
      </vt:variant>
      <vt:variant>
        <vt:i4>5</vt:i4>
      </vt:variant>
      <vt:variant>
        <vt:lpwstr>http://www.bristol.ac.uk/alspac/researchers/our-data/</vt:lpwstr>
      </vt:variant>
      <vt:variant>
        <vt:lpwstr/>
      </vt:variant>
      <vt:variant>
        <vt:i4>2097268</vt:i4>
      </vt:variant>
      <vt:variant>
        <vt:i4>3868</vt:i4>
      </vt:variant>
      <vt:variant>
        <vt:i4>0</vt:i4>
      </vt:variant>
      <vt:variant>
        <vt:i4>5</vt:i4>
      </vt:variant>
      <vt:variant>
        <vt:lpwstr>https://doi.org/10.1093/ije/dys066</vt:lpwstr>
      </vt:variant>
      <vt:variant>
        <vt:lpwstr/>
      </vt:variant>
      <vt:variant>
        <vt:i4>2228340</vt:i4>
      </vt:variant>
      <vt:variant>
        <vt:i4>3865</vt:i4>
      </vt:variant>
      <vt:variant>
        <vt:i4>0</vt:i4>
      </vt:variant>
      <vt:variant>
        <vt:i4>5</vt:i4>
      </vt:variant>
      <vt:variant>
        <vt:lpwstr>https://doi.org/10.1093/ije/dys064</vt:lpwstr>
      </vt:variant>
      <vt:variant>
        <vt:lpwstr/>
      </vt:variant>
      <vt:variant>
        <vt:i4>6029338</vt:i4>
      </vt:variant>
      <vt:variant>
        <vt:i4>3862</vt:i4>
      </vt:variant>
      <vt:variant>
        <vt:i4>0</vt:i4>
      </vt:variant>
      <vt:variant>
        <vt:i4>5</vt:i4>
      </vt:variant>
      <vt:variant>
        <vt:lpwstr>https://doi.org/10.1046/j.1365-3016.2001.00325.x</vt:lpwstr>
      </vt:variant>
      <vt:variant>
        <vt:lpwstr/>
      </vt:variant>
      <vt:variant>
        <vt:i4>7274618</vt:i4>
      </vt:variant>
      <vt:variant>
        <vt:i4>3859</vt:i4>
      </vt:variant>
      <vt:variant>
        <vt:i4>0</vt:i4>
      </vt:variant>
      <vt:variant>
        <vt:i4>5</vt:i4>
      </vt:variant>
      <vt:variant>
        <vt:lpwstr>https://doi.org/10.48329/pyc2-we97</vt:lpwstr>
      </vt:variant>
      <vt:variant>
        <vt:lpwstr/>
      </vt:variant>
      <vt:variant>
        <vt:i4>2228344</vt:i4>
      </vt:variant>
      <vt:variant>
        <vt:i4>3856</vt:i4>
      </vt:variant>
      <vt:variant>
        <vt:i4>0</vt:i4>
      </vt:variant>
      <vt:variant>
        <vt:i4>5</vt:i4>
      </vt:variant>
      <vt:variant>
        <vt:lpwstr>https://doi.org/10.1093/ije/dyz034</vt:lpwstr>
      </vt:variant>
      <vt:variant>
        <vt:lpwstr/>
      </vt:variant>
      <vt:variant>
        <vt:i4>983052</vt:i4>
      </vt:variant>
      <vt:variant>
        <vt:i4>3853</vt:i4>
      </vt:variant>
      <vt:variant>
        <vt:i4>0</vt:i4>
      </vt:variant>
      <vt:variant>
        <vt:i4>5</vt:i4>
      </vt:variant>
      <vt:variant>
        <vt:lpwstr>https://doi.org/10.7326/M18-1377</vt:lpwstr>
      </vt:variant>
      <vt:variant>
        <vt:lpwstr/>
      </vt:variant>
      <vt:variant>
        <vt:i4>524353</vt:i4>
      </vt:variant>
      <vt:variant>
        <vt:i4>3850</vt:i4>
      </vt:variant>
      <vt:variant>
        <vt:i4>0</vt:i4>
      </vt:variant>
      <vt:variant>
        <vt:i4>5</vt:i4>
      </vt:variant>
      <vt:variant>
        <vt:lpwstr>https://doi.org/10.1373/clinchem.2009.134155</vt:lpwstr>
      </vt:variant>
      <vt:variant>
        <vt:lpwstr/>
      </vt:variant>
      <vt:variant>
        <vt:i4>2883696</vt:i4>
      </vt:variant>
      <vt:variant>
        <vt:i4>3847</vt:i4>
      </vt:variant>
      <vt:variant>
        <vt:i4>0</vt:i4>
      </vt:variant>
      <vt:variant>
        <vt:i4>5</vt:i4>
      </vt:variant>
      <vt:variant>
        <vt:lpwstr>https://doi.org/10.1186/1471-2288-8-48</vt:lpwstr>
      </vt:variant>
      <vt:variant>
        <vt:lpwstr/>
      </vt:variant>
      <vt:variant>
        <vt:i4>7340143</vt:i4>
      </vt:variant>
      <vt:variant>
        <vt:i4>3844</vt:i4>
      </vt:variant>
      <vt:variant>
        <vt:i4>0</vt:i4>
      </vt:variant>
      <vt:variant>
        <vt:i4>5</vt:i4>
      </vt:variant>
      <vt:variant>
        <vt:lpwstr>https://doi.org/10.1136/bmjgast-2017-000137</vt:lpwstr>
      </vt:variant>
      <vt:variant>
        <vt:lpwstr/>
      </vt:variant>
      <vt:variant>
        <vt:i4>4390980</vt:i4>
      </vt:variant>
      <vt:variant>
        <vt:i4>3841</vt:i4>
      </vt:variant>
      <vt:variant>
        <vt:i4>0</vt:i4>
      </vt:variant>
      <vt:variant>
        <vt:i4>5</vt:i4>
      </vt:variant>
      <vt:variant>
        <vt:lpwstr>https://doi.org/10.1371/journal.pone.0041308</vt:lpwstr>
      </vt:variant>
      <vt:variant>
        <vt:lpwstr/>
      </vt:variant>
      <vt:variant>
        <vt:i4>7995450</vt:i4>
      </vt:variant>
      <vt:variant>
        <vt:i4>3838</vt:i4>
      </vt:variant>
      <vt:variant>
        <vt:i4>0</vt:i4>
      </vt:variant>
      <vt:variant>
        <vt:i4>5</vt:i4>
      </vt:variant>
      <vt:variant>
        <vt:lpwstr>https://doi.org/10.1136/gutjnl-2014-308285</vt:lpwstr>
      </vt:variant>
      <vt:variant>
        <vt:lpwstr/>
      </vt:variant>
      <vt:variant>
        <vt:i4>7995455</vt:i4>
      </vt:variant>
      <vt:variant>
        <vt:i4>3835</vt:i4>
      </vt:variant>
      <vt:variant>
        <vt:i4>0</vt:i4>
      </vt:variant>
      <vt:variant>
        <vt:i4>5</vt:i4>
      </vt:variant>
      <vt:variant>
        <vt:lpwstr>https://doi.org/10.48329/7308-xf35</vt:lpwstr>
      </vt:variant>
      <vt:variant>
        <vt:lpwstr/>
      </vt:variant>
      <vt:variant>
        <vt:i4>3014782</vt:i4>
      </vt:variant>
      <vt:variant>
        <vt:i4>3832</vt:i4>
      </vt:variant>
      <vt:variant>
        <vt:i4>0</vt:i4>
      </vt:variant>
      <vt:variant>
        <vt:i4>5</vt:i4>
      </vt:variant>
      <vt:variant>
        <vt:lpwstr>https://doi.org/10.1093/ije/dyv098</vt:lpwstr>
      </vt:variant>
      <vt:variant>
        <vt:lpwstr/>
      </vt:variant>
      <vt:variant>
        <vt:i4>3801127</vt:i4>
      </vt:variant>
      <vt:variant>
        <vt:i4>3829</vt:i4>
      </vt:variant>
      <vt:variant>
        <vt:i4>0</vt:i4>
      </vt:variant>
      <vt:variant>
        <vt:i4>5</vt:i4>
      </vt:variant>
      <vt:variant>
        <vt:lpwstr>https://doi.org/10.7326/L15-5093-2</vt:lpwstr>
      </vt:variant>
      <vt:variant>
        <vt:lpwstr/>
      </vt:variant>
      <vt:variant>
        <vt:i4>1572948</vt:i4>
      </vt:variant>
      <vt:variant>
        <vt:i4>3826</vt:i4>
      </vt:variant>
      <vt:variant>
        <vt:i4>0</vt:i4>
      </vt:variant>
      <vt:variant>
        <vt:i4>5</vt:i4>
      </vt:variant>
      <vt:variant>
        <vt:lpwstr>https://doi.org/10.1007/978-3-030-16399-0</vt:lpwstr>
      </vt:variant>
      <vt:variant>
        <vt:lpwstr/>
      </vt:variant>
      <vt:variant>
        <vt:i4>4653139</vt:i4>
      </vt:variant>
      <vt:variant>
        <vt:i4>3823</vt:i4>
      </vt:variant>
      <vt:variant>
        <vt:i4>0</vt:i4>
      </vt:variant>
      <vt:variant>
        <vt:i4>5</vt:i4>
      </vt:variant>
      <vt:variant>
        <vt:lpwstr>https://osfio/q5gyc/</vt:lpwstr>
      </vt:variant>
      <vt:variant>
        <vt:lpwstr/>
      </vt:variant>
      <vt:variant>
        <vt:i4>8126498</vt:i4>
      </vt:variant>
      <vt:variant>
        <vt:i4>3820</vt:i4>
      </vt:variant>
      <vt:variant>
        <vt:i4>0</vt:i4>
      </vt:variant>
      <vt:variant>
        <vt:i4>5</vt:i4>
      </vt:variant>
      <vt:variant>
        <vt:lpwstr>https://wwwniceorguk/guidance/ng20</vt:lpwstr>
      </vt:variant>
      <vt:variant>
        <vt:lpwstr/>
      </vt:variant>
      <vt:variant>
        <vt:i4>2031698</vt:i4>
      </vt:variant>
      <vt:variant>
        <vt:i4>3817</vt:i4>
      </vt:variant>
      <vt:variant>
        <vt:i4>0</vt:i4>
      </vt:variant>
      <vt:variant>
        <vt:i4>5</vt:i4>
      </vt:variant>
      <vt:variant>
        <vt:lpwstr>https://doi.org/10.1177/2050640619844125</vt:lpwstr>
      </vt:variant>
      <vt:variant>
        <vt:lpwstr/>
      </vt:variant>
      <vt:variant>
        <vt:i4>7340092</vt:i4>
      </vt:variant>
      <vt:variant>
        <vt:i4>3814</vt:i4>
      </vt:variant>
      <vt:variant>
        <vt:i4>0</vt:i4>
      </vt:variant>
      <vt:variant>
        <vt:i4>5</vt:i4>
      </vt:variant>
      <vt:variant>
        <vt:lpwstr>https://doi.org/10.1136/gutjnl-2013-306578</vt:lpwstr>
      </vt:variant>
      <vt:variant>
        <vt:lpwstr/>
      </vt:variant>
      <vt:variant>
        <vt:i4>4849741</vt:i4>
      </vt:variant>
      <vt:variant>
        <vt:i4>3811</vt:i4>
      </vt:variant>
      <vt:variant>
        <vt:i4>0</vt:i4>
      </vt:variant>
      <vt:variant>
        <vt:i4>5</vt:i4>
      </vt:variant>
      <vt:variant>
        <vt:lpwstr>https://doi.org/10.18637/jss.v067.i01</vt:lpwstr>
      </vt:variant>
      <vt:variant>
        <vt:lpwstr/>
      </vt:variant>
      <vt:variant>
        <vt:i4>6225942</vt:i4>
      </vt:variant>
      <vt:variant>
        <vt:i4>3808</vt:i4>
      </vt:variant>
      <vt:variant>
        <vt:i4>0</vt:i4>
      </vt:variant>
      <vt:variant>
        <vt:i4>5</vt:i4>
      </vt:variant>
      <vt:variant>
        <vt:lpwstr>https://doi.org/10.1016/j.cgh.2017.06.037</vt:lpwstr>
      </vt:variant>
      <vt:variant>
        <vt:lpwstr/>
      </vt:variant>
      <vt:variant>
        <vt:i4>7864378</vt:i4>
      </vt:variant>
      <vt:variant>
        <vt:i4>3805</vt:i4>
      </vt:variant>
      <vt:variant>
        <vt:i4>0</vt:i4>
      </vt:variant>
      <vt:variant>
        <vt:i4>5</vt:i4>
      </vt:variant>
      <vt:variant>
        <vt:lpwstr>https://doi.org/10.1136/gutjnl-2011-301346</vt:lpwstr>
      </vt:variant>
      <vt:variant>
        <vt:lpwstr/>
      </vt:variant>
      <vt:variant>
        <vt:i4>2162729</vt:i4>
      </vt:variant>
      <vt:variant>
        <vt:i4>3802</vt:i4>
      </vt:variant>
      <vt:variant>
        <vt:i4>0</vt:i4>
      </vt:variant>
      <vt:variant>
        <vt:i4>5</vt:i4>
      </vt:variant>
      <vt:variant>
        <vt:lpwstr>https://doi.org/10.1016/j.jclinepi.2006.06.011</vt:lpwstr>
      </vt:variant>
      <vt:variant>
        <vt:lpwstr/>
      </vt:variant>
      <vt:variant>
        <vt:i4>2490409</vt:i4>
      </vt:variant>
      <vt:variant>
        <vt:i4>3799</vt:i4>
      </vt:variant>
      <vt:variant>
        <vt:i4>0</vt:i4>
      </vt:variant>
      <vt:variant>
        <vt:i4>5</vt:i4>
      </vt:variant>
      <vt:variant>
        <vt:lpwstr>https://doi.org/10.1016/j.jclinepi.2005.02.022</vt:lpwstr>
      </vt:variant>
      <vt:variant>
        <vt:lpwstr/>
      </vt:variant>
      <vt:variant>
        <vt:i4>2949244</vt:i4>
      </vt:variant>
      <vt:variant>
        <vt:i4>3796</vt:i4>
      </vt:variant>
      <vt:variant>
        <vt:i4>0</vt:i4>
      </vt:variant>
      <vt:variant>
        <vt:i4>5</vt:i4>
      </vt:variant>
      <vt:variant>
        <vt:lpwstr>https://doi.org/10.7326/0003-4819-155-8-201110180-00009</vt:lpwstr>
      </vt:variant>
      <vt:variant>
        <vt:lpwstr/>
      </vt:variant>
      <vt:variant>
        <vt:i4>3997742</vt:i4>
      </vt:variant>
      <vt:variant>
        <vt:i4>3793</vt:i4>
      </vt:variant>
      <vt:variant>
        <vt:i4>0</vt:i4>
      </vt:variant>
      <vt:variant>
        <vt:i4>5</vt:i4>
      </vt:variant>
      <vt:variant>
        <vt:lpwstr>https://doi.org/10.1136/jamia.2001.0080391</vt:lpwstr>
      </vt:variant>
      <vt:variant>
        <vt:lpwstr/>
      </vt:variant>
      <vt:variant>
        <vt:i4>4390979</vt:i4>
      </vt:variant>
      <vt:variant>
        <vt:i4>3790</vt:i4>
      </vt:variant>
      <vt:variant>
        <vt:i4>0</vt:i4>
      </vt:variant>
      <vt:variant>
        <vt:i4>5</vt:i4>
      </vt:variant>
      <vt:variant>
        <vt:lpwstr>https://doi.org/10.1371/journal.pone.0032844</vt:lpwstr>
      </vt:variant>
      <vt:variant>
        <vt:lpwstr/>
      </vt:variant>
      <vt:variant>
        <vt:i4>720972</vt:i4>
      </vt:variant>
      <vt:variant>
        <vt:i4>3787</vt:i4>
      </vt:variant>
      <vt:variant>
        <vt:i4>0</vt:i4>
      </vt:variant>
      <vt:variant>
        <vt:i4>5</vt:i4>
      </vt:variant>
      <vt:variant>
        <vt:lpwstr>https://doi.org/10.1373/clinchem.2005.048595</vt:lpwstr>
      </vt:variant>
      <vt:variant>
        <vt:lpwstr/>
      </vt:variant>
      <vt:variant>
        <vt:i4>5046351</vt:i4>
      </vt:variant>
      <vt:variant>
        <vt:i4>3784</vt:i4>
      </vt:variant>
      <vt:variant>
        <vt:i4>0</vt:i4>
      </vt:variant>
      <vt:variant>
        <vt:i4>5</vt:i4>
      </vt:variant>
      <vt:variant>
        <vt:lpwstr>https://doi.org/10.1371/journal.pone.0258501</vt:lpwstr>
      </vt:variant>
      <vt:variant>
        <vt:lpwstr/>
      </vt:variant>
      <vt:variant>
        <vt:i4>3211381</vt:i4>
      </vt:variant>
      <vt:variant>
        <vt:i4>3781</vt:i4>
      </vt:variant>
      <vt:variant>
        <vt:i4>0</vt:i4>
      </vt:variant>
      <vt:variant>
        <vt:i4>5</vt:i4>
      </vt:variant>
      <vt:variant>
        <vt:lpwstr>https://doi.org/10.1001/jama.2017.19163</vt:lpwstr>
      </vt:variant>
      <vt:variant>
        <vt:lpwstr/>
      </vt:variant>
      <vt:variant>
        <vt:i4>7012460</vt:i4>
      </vt:variant>
      <vt:variant>
        <vt:i4>3778</vt:i4>
      </vt:variant>
      <vt:variant>
        <vt:i4>0</vt:i4>
      </vt:variant>
      <vt:variant>
        <vt:i4>5</vt:i4>
      </vt:variant>
      <vt:variant>
        <vt:lpwstr>https://doi.org/10.1136/bmjopen-2020-038994</vt:lpwstr>
      </vt:variant>
      <vt:variant>
        <vt:lpwstr/>
      </vt:variant>
      <vt:variant>
        <vt:i4>1245192</vt:i4>
      </vt:variant>
      <vt:variant>
        <vt:i4>3775</vt:i4>
      </vt:variant>
      <vt:variant>
        <vt:i4>0</vt:i4>
      </vt:variant>
      <vt:variant>
        <vt:i4>5</vt:i4>
      </vt:variant>
      <vt:variant>
        <vt:lpwstr>https://doi.org/10.1097/MPG.0b013e31821a23d0</vt:lpwstr>
      </vt:variant>
      <vt:variant>
        <vt:lpwstr/>
      </vt:variant>
      <vt:variant>
        <vt:i4>3538984</vt:i4>
      </vt:variant>
      <vt:variant>
        <vt:i4>3772</vt:i4>
      </vt:variant>
      <vt:variant>
        <vt:i4>0</vt:i4>
      </vt:variant>
      <vt:variant>
        <vt:i4>5</vt:i4>
      </vt:variant>
      <vt:variant>
        <vt:lpwstr>https://doi.org/10.1590/s0102-67202015000300009</vt:lpwstr>
      </vt:variant>
      <vt:variant>
        <vt:lpwstr/>
      </vt:variant>
      <vt:variant>
        <vt:i4>655427</vt:i4>
      </vt:variant>
      <vt:variant>
        <vt:i4>3769</vt:i4>
      </vt:variant>
      <vt:variant>
        <vt:i4>0</vt:i4>
      </vt:variant>
      <vt:variant>
        <vt:i4>5</vt:i4>
      </vt:variant>
      <vt:variant>
        <vt:lpwstr>https://doi.org/https://doi.org/10.1016/S0140-6736(17)31796-8</vt:lpwstr>
      </vt:variant>
      <vt:variant>
        <vt:lpwstr/>
      </vt:variant>
      <vt:variant>
        <vt:i4>655431</vt:i4>
      </vt:variant>
      <vt:variant>
        <vt:i4>3766</vt:i4>
      </vt:variant>
      <vt:variant>
        <vt:i4>0</vt:i4>
      </vt:variant>
      <vt:variant>
        <vt:i4>5</vt:i4>
      </vt:variant>
      <vt:variant>
        <vt:lpwstr>https://doi.org/10.1001/jama.2010.549</vt:lpwstr>
      </vt:variant>
      <vt:variant>
        <vt:lpwstr/>
      </vt:variant>
      <vt:variant>
        <vt:i4>1704019</vt:i4>
      </vt:variant>
      <vt:variant>
        <vt:i4>3763</vt:i4>
      </vt:variant>
      <vt:variant>
        <vt:i4>0</vt:i4>
      </vt:variant>
      <vt:variant>
        <vt:i4>5</vt:i4>
      </vt:variant>
      <vt:variant>
        <vt:lpwstr>https://doi.org/10.1177/2050640613502788</vt:lpwstr>
      </vt:variant>
      <vt:variant>
        <vt:lpwstr/>
      </vt:variant>
      <vt:variant>
        <vt:i4>4194397</vt:i4>
      </vt:variant>
      <vt:variant>
        <vt:i4>3760</vt:i4>
      </vt:variant>
      <vt:variant>
        <vt:i4>0</vt:i4>
      </vt:variant>
      <vt:variant>
        <vt:i4>5</vt:i4>
      </vt:variant>
      <vt:variant>
        <vt:lpwstr>https://doi.org/10.1097/MPG.0b013e318216f2e5</vt:lpwstr>
      </vt:variant>
      <vt:variant>
        <vt:lpwstr/>
      </vt:variant>
      <vt:variant>
        <vt:i4>6422566</vt:i4>
      </vt:variant>
      <vt:variant>
        <vt:i4>3757</vt:i4>
      </vt:variant>
      <vt:variant>
        <vt:i4>0</vt:i4>
      </vt:variant>
      <vt:variant>
        <vt:i4>5</vt:i4>
      </vt:variant>
      <vt:variant>
        <vt:lpwstr>https://doi.org/http://dx.doi.org/10.1177/2050640619844125</vt:lpwstr>
      </vt:variant>
      <vt:variant>
        <vt:lpwstr/>
      </vt:variant>
      <vt:variant>
        <vt:i4>3801128</vt:i4>
      </vt:variant>
      <vt:variant>
        <vt:i4>3754</vt:i4>
      </vt:variant>
      <vt:variant>
        <vt:i4>0</vt:i4>
      </vt:variant>
      <vt:variant>
        <vt:i4>5</vt:i4>
      </vt:variant>
      <vt:variant>
        <vt:lpwstr>https://doi.org/http://dx.doi.org/10.1097/MPG.0000000000002497</vt:lpwstr>
      </vt:variant>
      <vt:variant>
        <vt:lpwstr/>
      </vt:variant>
      <vt:variant>
        <vt:i4>4653148</vt:i4>
      </vt:variant>
      <vt:variant>
        <vt:i4>3751</vt:i4>
      </vt:variant>
      <vt:variant>
        <vt:i4>0</vt:i4>
      </vt:variant>
      <vt:variant>
        <vt:i4>5</vt:i4>
      </vt:variant>
      <vt:variant>
        <vt:lpwstr>https://doi.org/10.1097/mpg.0000000000002497</vt:lpwstr>
      </vt:variant>
      <vt:variant>
        <vt:lpwstr/>
      </vt:variant>
      <vt:variant>
        <vt:i4>8126498</vt:i4>
      </vt:variant>
      <vt:variant>
        <vt:i4>3748</vt:i4>
      </vt:variant>
      <vt:variant>
        <vt:i4>0</vt:i4>
      </vt:variant>
      <vt:variant>
        <vt:i4>5</vt:i4>
      </vt:variant>
      <vt:variant>
        <vt:lpwstr>https://wwwniceorguk/guidance/ng20</vt:lpwstr>
      </vt:variant>
      <vt:variant>
        <vt:lpwstr/>
      </vt:variant>
      <vt:variant>
        <vt:i4>2359350</vt:i4>
      </vt:variant>
      <vt:variant>
        <vt:i4>3745</vt:i4>
      </vt:variant>
      <vt:variant>
        <vt:i4>0</vt:i4>
      </vt:variant>
      <vt:variant>
        <vt:i4>5</vt:i4>
      </vt:variant>
      <vt:variant>
        <vt:lpwstr>https://doi.org/10.1186/s12876-021-01737-1</vt:lpwstr>
      </vt:variant>
      <vt:variant>
        <vt:lpwstr/>
      </vt:variant>
      <vt:variant>
        <vt:i4>5505119</vt:i4>
      </vt:variant>
      <vt:variant>
        <vt:i4>3742</vt:i4>
      </vt:variant>
      <vt:variant>
        <vt:i4>0</vt:i4>
      </vt:variant>
      <vt:variant>
        <vt:i4>5</vt:i4>
      </vt:variant>
      <vt:variant>
        <vt:lpwstr>https://doi.org/https://doi.org/10.1016/j.dld.2019.11.010</vt:lpwstr>
      </vt:variant>
      <vt:variant>
        <vt:lpwstr/>
      </vt:variant>
      <vt:variant>
        <vt:i4>524294</vt:i4>
      </vt:variant>
      <vt:variant>
        <vt:i4>3739</vt:i4>
      </vt:variant>
      <vt:variant>
        <vt:i4>0</vt:i4>
      </vt:variant>
      <vt:variant>
        <vt:i4>5</vt:i4>
      </vt:variant>
      <vt:variant>
        <vt:lpwstr>https://doi.org/10.1016/S0140-6736(03)14027-5</vt:lpwstr>
      </vt:variant>
      <vt:variant>
        <vt:lpwstr/>
      </vt:variant>
      <vt:variant>
        <vt:i4>720982</vt:i4>
      </vt:variant>
      <vt:variant>
        <vt:i4>3736</vt:i4>
      </vt:variant>
      <vt:variant>
        <vt:i4>0</vt:i4>
      </vt:variant>
      <vt:variant>
        <vt:i4>5</vt:i4>
      </vt:variant>
      <vt:variant>
        <vt:lpwstr>https://doi.org/10.1001/jama.281.24.2344</vt:lpwstr>
      </vt:variant>
      <vt:variant>
        <vt:lpwstr/>
      </vt:variant>
      <vt:variant>
        <vt:i4>6619257</vt:i4>
      </vt:variant>
      <vt:variant>
        <vt:i4>3733</vt:i4>
      </vt:variant>
      <vt:variant>
        <vt:i4>0</vt:i4>
      </vt:variant>
      <vt:variant>
        <vt:i4>5</vt:i4>
      </vt:variant>
      <vt:variant>
        <vt:lpwstr>https://doi.org/10.1038/ajg.2014.55</vt:lpwstr>
      </vt:variant>
      <vt:variant>
        <vt:lpwstr/>
      </vt:variant>
      <vt:variant>
        <vt:i4>5636188</vt:i4>
      </vt:variant>
      <vt:variant>
        <vt:i4>3730</vt:i4>
      </vt:variant>
      <vt:variant>
        <vt:i4>0</vt:i4>
      </vt:variant>
      <vt:variant>
        <vt:i4>5</vt:i4>
      </vt:variant>
      <vt:variant>
        <vt:lpwstr>https://doi.org/10.1097/EDE.0000000000001006</vt:lpwstr>
      </vt:variant>
      <vt:variant>
        <vt:lpwstr/>
      </vt:variant>
      <vt:variant>
        <vt:i4>5177414</vt:i4>
      </vt:variant>
      <vt:variant>
        <vt:i4>3727</vt:i4>
      </vt:variant>
      <vt:variant>
        <vt:i4>0</vt:i4>
      </vt:variant>
      <vt:variant>
        <vt:i4>5</vt:i4>
      </vt:variant>
      <vt:variant>
        <vt:lpwstr>https://doi.org/10.1136/bmj.328.7435.322</vt:lpwstr>
      </vt:variant>
      <vt:variant>
        <vt:lpwstr/>
      </vt:variant>
      <vt:variant>
        <vt:i4>1048637</vt:i4>
      </vt:variant>
      <vt:variant>
        <vt:i4>1952</vt:i4>
      </vt:variant>
      <vt:variant>
        <vt:i4>0</vt:i4>
      </vt:variant>
      <vt:variant>
        <vt:i4>5</vt:i4>
      </vt:variant>
      <vt:variant>
        <vt:lpwstr/>
      </vt:variant>
      <vt:variant>
        <vt:lpwstr>_Toc97304838</vt:lpwstr>
      </vt:variant>
      <vt:variant>
        <vt:i4>2031677</vt:i4>
      </vt:variant>
      <vt:variant>
        <vt:i4>1946</vt:i4>
      </vt:variant>
      <vt:variant>
        <vt:i4>0</vt:i4>
      </vt:variant>
      <vt:variant>
        <vt:i4>5</vt:i4>
      </vt:variant>
      <vt:variant>
        <vt:lpwstr/>
      </vt:variant>
      <vt:variant>
        <vt:lpwstr>_Toc97304837</vt:lpwstr>
      </vt:variant>
      <vt:variant>
        <vt:i4>1966141</vt:i4>
      </vt:variant>
      <vt:variant>
        <vt:i4>1940</vt:i4>
      </vt:variant>
      <vt:variant>
        <vt:i4>0</vt:i4>
      </vt:variant>
      <vt:variant>
        <vt:i4>5</vt:i4>
      </vt:variant>
      <vt:variant>
        <vt:lpwstr/>
      </vt:variant>
      <vt:variant>
        <vt:lpwstr>_Toc97304836</vt:lpwstr>
      </vt:variant>
      <vt:variant>
        <vt:i4>1900605</vt:i4>
      </vt:variant>
      <vt:variant>
        <vt:i4>1934</vt:i4>
      </vt:variant>
      <vt:variant>
        <vt:i4>0</vt:i4>
      </vt:variant>
      <vt:variant>
        <vt:i4>5</vt:i4>
      </vt:variant>
      <vt:variant>
        <vt:lpwstr/>
      </vt:variant>
      <vt:variant>
        <vt:lpwstr>_Toc97304835</vt:lpwstr>
      </vt:variant>
      <vt:variant>
        <vt:i4>1835069</vt:i4>
      </vt:variant>
      <vt:variant>
        <vt:i4>1928</vt:i4>
      </vt:variant>
      <vt:variant>
        <vt:i4>0</vt:i4>
      </vt:variant>
      <vt:variant>
        <vt:i4>5</vt:i4>
      </vt:variant>
      <vt:variant>
        <vt:lpwstr/>
      </vt:variant>
      <vt:variant>
        <vt:lpwstr>_Toc97304834</vt:lpwstr>
      </vt:variant>
      <vt:variant>
        <vt:i4>1769533</vt:i4>
      </vt:variant>
      <vt:variant>
        <vt:i4>1922</vt:i4>
      </vt:variant>
      <vt:variant>
        <vt:i4>0</vt:i4>
      </vt:variant>
      <vt:variant>
        <vt:i4>5</vt:i4>
      </vt:variant>
      <vt:variant>
        <vt:lpwstr/>
      </vt:variant>
      <vt:variant>
        <vt:lpwstr>_Toc97304833</vt:lpwstr>
      </vt:variant>
      <vt:variant>
        <vt:i4>1703997</vt:i4>
      </vt:variant>
      <vt:variant>
        <vt:i4>1916</vt:i4>
      </vt:variant>
      <vt:variant>
        <vt:i4>0</vt:i4>
      </vt:variant>
      <vt:variant>
        <vt:i4>5</vt:i4>
      </vt:variant>
      <vt:variant>
        <vt:lpwstr/>
      </vt:variant>
      <vt:variant>
        <vt:lpwstr>_Toc97304832</vt:lpwstr>
      </vt:variant>
      <vt:variant>
        <vt:i4>1638461</vt:i4>
      </vt:variant>
      <vt:variant>
        <vt:i4>1910</vt:i4>
      </vt:variant>
      <vt:variant>
        <vt:i4>0</vt:i4>
      </vt:variant>
      <vt:variant>
        <vt:i4>5</vt:i4>
      </vt:variant>
      <vt:variant>
        <vt:lpwstr/>
      </vt:variant>
      <vt:variant>
        <vt:lpwstr>_Toc97304831</vt:lpwstr>
      </vt:variant>
      <vt:variant>
        <vt:i4>1572925</vt:i4>
      </vt:variant>
      <vt:variant>
        <vt:i4>1904</vt:i4>
      </vt:variant>
      <vt:variant>
        <vt:i4>0</vt:i4>
      </vt:variant>
      <vt:variant>
        <vt:i4>5</vt:i4>
      </vt:variant>
      <vt:variant>
        <vt:lpwstr/>
      </vt:variant>
      <vt:variant>
        <vt:lpwstr>_Toc97304830</vt:lpwstr>
      </vt:variant>
      <vt:variant>
        <vt:i4>1114172</vt:i4>
      </vt:variant>
      <vt:variant>
        <vt:i4>1898</vt:i4>
      </vt:variant>
      <vt:variant>
        <vt:i4>0</vt:i4>
      </vt:variant>
      <vt:variant>
        <vt:i4>5</vt:i4>
      </vt:variant>
      <vt:variant>
        <vt:lpwstr/>
      </vt:variant>
      <vt:variant>
        <vt:lpwstr>_Toc97304829</vt:lpwstr>
      </vt:variant>
      <vt:variant>
        <vt:i4>1048636</vt:i4>
      </vt:variant>
      <vt:variant>
        <vt:i4>1892</vt:i4>
      </vt:variant>
      <vt:variant>
        <vt:i4>0</vt:i4>
      </vt:variant>
      <vt:variant>
        <vt:i4>5</vt:i4>
      </vt:variant>
      <vt:variant>
        <vt:lpwstr/>
      </vt:variant>
      <vt:variant>
        <vt:lpwstr>_Toc97304828</vt:lpwstr>
      </vt:variant>
      <vt:variant>
        <vt:i4>2031676</vt:i4>
      </vt:variant>
      <vt:variant>
        <vt:i4>1886</vt:i4>
      </vt:variant>
      <vt:variant>
        <vt:i4>0</vt:i4>
      </vt:variant>
      <vt:variant>
        <vt:i4>5</vt:i4>
      </vt:variant>
      <vt:variant>
        <vt:lpwstr/>
      </vt:variant>
      <vt:variant>
        <vt:lpwstr>_Toc97304827</vt:lpwstr>
      </vt:variant>
      <vt:variant>
        <vt:i4>1966140</vt:i4>
      </vt:variant>
      <vt:variant>
        <vt:i4>1880</vt:i4>
      </vt:variant>
      <vt:variant>
        <vt:i4>0</vt:i4>
      </vt:variant>
      <vt:variant>
        <vt:i4>5</vt:i4>
      </vt:variant>
      <vt:variant>
        <vt:lpwstr/>
      </vt:variant>
      <vt:variant>
        <vt:lpwstr>_Toc97304826</vt:lpwstr>
      </vt:variant>
      <vt:variant>
        <vt:i4>1900604</vt:i4>
      </vt:variant>
      <vt:variant>
        <vt:i4>1874</vt:i4>
      </vt:variant>
      <vt:variant>
        <vt:i4>0</vt:i4>
      </vt:variant>
      <vt:variant>
        <vt:i4>5</vt:i4>
      </vt:variant>
      <vt:variant>
        <vt:lpwstr/>
      </vt:variant>
      <vt:variant>
        <vt:lpwstr>_Toc97304825</vt:lpwstr>
      </vt:variant>
      <vt:variant>
        <vt:i4>1835068</vt:i4>
      </vt:variant>
      <vt:variant>
        <vt:i4>1868</vt:i4>
      </vt:variant>
      <vt:variant>
        <vt:i4>0</vt:i4>
      </vt:variant>
      <vt:variant>
        <vt:i4>5</vt:i4>
      </vt:variant>
      <vt:variant>
        <vt:lpwstr/>
      </vt:variant>
      <vt:variant>
        <vt:lpwstr>_Toc97304824</vt:lpwstr>
      </vt:variant>
      <vt:variant>
        <vt:i4>1769532</vt:i4>
      </vt:variant>
      <vt:variant>
        <vt:i4>1862</vt:i4>
      </vt:variant>
      <vt:variant>
        <vt:i4>0</vt:i4>
      </vt:variant>
      <vt:variant>
        <vt:i4>5</vt:i4>
      </vt:variant>
      <vt:variant>
        <vt:lpwstr/>
      </vt:variant>
      <vt:variant>
        <vt:lpwstr>_Toc97304823</vt:lpwstr>
      </vt:variant>
      <vt:variant>
        <vt:i4>1703996</vt:i4>
      </vt:variant>
      <vt:variant>
        <vt:i4>1856</vt:i4>
      </vt:variant>
      <vt:variant>
        <vt:i4>0</vt:i4>
      </vt:variant>
      <vt:variant>
        <vt:i4>5</vt:i4>
      </vt:variant>
      <vt:variant>
        <vt:lpwstr/>
      </vt:variant>
      <vt:variant>
        <vt:lpwstr>_Toc97304822</vt:lpwstr>
      </vt:variant>
      <vt:variant>
        <vt:i4>1638460</vt:i4>
      </vt:variant>
      <vt:variant>
        <vt:i4>1850</vt:i4>
      </vt:variant>
      <vt:variant>
        <vt:i4>0</vt:i4>
      </vt:variant>
      <vt:variant>
        <vt:i4>5</vt:i4>
      </vt:variant>
      <vt:variant>
        <vt:lpwstr/>
      </vt:variant>
      <vt:variant>
        <vt:lpwstr>_Toc97304821</vt:lpwstr>
      </vt:variant>
      <vt:variant>
        <vt:i4>1572924</vt:i4>
      </vt:variant>
      <vt:variant>
        <vt:i4>1844</vt:i4>
      </vt:variant>
      <vt:variant>
        <vt:i4>0</vt:i4>
      </vt:variant>
      <vt:variant>
        <vt:i4>5</vt:i4>
      </vt:variant>
      <vt:variant>
        <vt:lpwstr/>
      </vt:variant>
      <vt:variant>
        <vt:lpwstr>_Toc97304820</vt:lpwstr>
      </vt:variant>
      <vt:variant>
        <vt:i4>1114175</vt:i4>
      </vt:variant>
      <vt:variant>
        <vt:i4>1838</vt:i4>
      </vt:variant>
      <vt:variant>
        <vt:i4>0</vt:i4>
      </vt:variant>
      <vt:variant>
        <vt:i4>5</vt:i4>
      </vt:variant>
      <vt:variant>
        <vt:lpwstr/>
      </vt:variant>
      <vt:variant>
        <vt:lpwstr>_Toc97304819</vt:lpwstr>
      </vt:variant>
      <vt:variant>
        <vt:i4>1048639</vt:i4>
      </vt:variant>
      <vt:variant>
        <vt:i4>1832</vt:i4>
      </vt:variant>
      <vt:variant>
        <vt:i4>0</vt:i4>
      </vt:variant>
      <vt:variant>
        <vt:i4>5</vt:i4>
      </vt:variant>
      <vt:variant>
        <vt:lpwstr/>
      </vt:variant>
      <vt:variant>
        <vt:lpwstr>_Toc97304818</vt:lpwstr>
      </vt:variant>
      <vt:variant>
        <vt:i4>2031679</vt:i4>
      </vt:variant>
      <vt:variant>
        <vt:i4>1826</vt:i4>
      </vt:variant>
      <vt:variant>
        <vt:i4>0</vt:i4>
      </vt:variant>
      <vt:variant>
        <vt:i4>5</vt:i4>
      </vt:variant>
      <vt:variant>
        <vt:lpwstr/>
      </vt:variant>
      <vt:variant>
        <vt:lpwstr>_Toc97304817</vt:lpwstr>
      </vt:variant>
      <vt:variant>
        <vt:i4>1966143</vt:i4>
      </vt:variant>
      <vt:variant>
        <vt:i4>1820</vt:i4>
      </vt:variant>
      <vt:variant>
        <vt:i4>0</vt:i4>
      </vt:variant>
      <vt:variant>
        <vt:i4>5</vt:i4>
      </vt:variant>
      <vt:variant>
        <vt:lpwstr/>
      </vt:variant>
      <vt:variant>
        <vt:lpwstr>_Toc97304816</vt:lpwstr>
      </vt:variant>
      <vt:variant>
        <vt:i4>1900607</vt:i4>
      </vt:variant>
      <vt:variant>
        <vt:i4>1814</vt:i4>
      </vt:variant>
      <vt:variant>
        <vt:i4>0</vt:i4>
      </vt:variant>
      <vt:variant>
        <vt:i4>5</vt:i4>
      </vt:variant>
      <vt:variant>
        <vt:lpwstr/>
      </vt:variant>
      <vt:variant>
        <vt:lpwstr>_Toc97304815</vt:lpwstr>
      </vt:variant>
      <vt:variant>
        <vt:i4>1835071</vt:i4>
      </vt:variant>
      <vt:variant>
        <vt:i4>1808</vt:i4>
      </vt:variant>
      <vt:variant>
        <vt:i4>0</vt:i4>
      </vt:variant>
      <vt:variant>
        <vt:i4>5</vt:i4>
      </vt:variant>
      <vt:variant>
        <vt:lpwstr/>
      </vt:variant>
      <vt:variant>
        <vt:lpwstr>_Toc97304814</vt:lpwstr>
      </vt:variant>
      <vt:variant>
        <vt:i4>1769535</vt:i4>
      </vt:variant>
      <vt:variant>
        <vt:i4>1802</vt:i4>
      </vt:variant>
      <vt:variant>
        <vt:i4>0</vt:i4>
      </vt:variant>
      <vt:variant>
        <vt:i4>5</vt:i4>
      </vt:variant>
      <vt:variant>
        <vt:lpwstr/>
      </vt:variant>
      <vt:variant>
        <vt:lpwstr>_Toc97304813</vt:lpwstr>
      </vt:variant>
      <vt:variant>
        <vt:i4>1703999</vt:i4>
      </vt:variant>
      <vt:variant>
        <vt:i4>1796</vt:i4>
      </vt:variant>
      <vt:variant>
        <vt:i4>0</vt:i4>
      </vt:variant>
      <vt:variant>
        <vt:i4>5</vt:i4>
      </vt:variant>
      <vt:variant>
        <vt:lpwstr/>
      </vt:variant>
      <vt:variant>
        <vt:lpwstr>_Toc97304812</vt:lpwstr>
      </vt:variant>
      <vt:variant>
        <vt:i4>1638463</vt:i4>
      </vt:variant>
      <vt:variant>
        <vt:i4>1790</vt:i4>
      </vt:variant>
      <vt:variant>
        <vt:i4>0</vt:i4>
      </vt:variant>
      <vt:variant>
        <vt:i4>5</vt:i4>
      </vt:variant>
      <vt:variant>
        <vt:lpwstr/>
      </vt:variant>
      <vt:variant>
        <vt:lpwstr>_Toc97304811</vt:lpwstr>
      </vt:variant>
      <vt:variant>
        <vt:i4>1572927</vt:i4>
      </vt:variant>
      <vt:variant>
        <vt:i4>1784</vt:i4>
      </vt:variant>
      <vt:variant>
        <vt:i4>0</vt:i4>
      </vt:variant>
      <vt:variant>
        <vt:i4>5</vt:i4>
      </vt:variant>
      <vt:variant>
        <vt:lpwstr/>
      </vt:variant>
      <vt:variant>
        <vt:lpwstr>_Toc97304810</vt:lpwstr>
      </vt:variant>
      <vt:variant>
        <vt:i4>1114174</vt:i4>
      </vt:variant>
      <vt:variant>
        <vt:i4>1778</vt:i4>
      </vt:variant>
      <vt:variant>
        <vt:i4>0</vt:i4>
      </vt:variant>
      <vt:variant>
        <vt:i4>5</vt:i4>
      </vt:variant>
      <vt:variant>
        <vt:lpwstr/>
      </vt:variant>
      <vt:variant>
        <vt:lpwstr>_Toc97304809</vt:lpwstr>
      </vt:variant>
      <vt:variant>
        <vt:i4>1048638</vt:i4>
      </vt:variant>
      <vt:variant>
        <vt:i4>1772</vt:i4>
      </vt:variant>
      <vt:variant>
        <vt:i4>0</vt:i4>
      </vt:variant>
      <vt:variant>
        <vt:i4>5</vt:i4>
      </vt:variant>
      <vt:variant>
        <vt:lpwstr/>
      </vt:variant>
      <vt:variant>
        <vt:lpwstr>_Toc97304808</vt:lpwstr>
      </vt:variant>
      <vt:variant>
        <vt:i4>2031678</vt:i4>
      </vt:variant>
      <vt:variant>
        <vt:i4>1766</vt:i4>
      </vt:variant>
      <vt:variant>
        <vt:i4>0</vt:i4>
      </vt:variant>
      <vt:variant>
        <vt:i4>5</vt:i4>
      </vt:variant>
      <vt:variant>
        <vt:lpwstr/>
      </vt:variant>
      <vt:variant>
        <vt:lpwstr>_Toc97304807</vt:lpwstr>
      </vt:variant>
      <vt:variant>
        <vt:i4>1966142</vt:i4>
      </vt:variant>
      <vt:variant>
        <vt:i4>1760</vt:i4>
      </vt:variant>
      <vt:variant>
        <vt:i4>0</vt:i4>
      </vt:variant>
      <vt:variant>
        <vt:i4>5</vt:i4>
      </vt:variant>
      <vt:variant>
        <vt:lpwstr/>
      </vt:variant>
      <vt:variant>
        <vt:lpwstr>_Toc97304806</vt:lpwstr>
      </vt:variant>
      <vt:variant>
        <vt:i4>1900606</vt:i4>
      </vt:variant>
      <vt:variant>
        <vt:i4>1754</vt:i4>
      </vt:variant>
      <vt:variant>
        <vt:i4>0</vt:i4>
      </vt:variant>
      <vt:variant>
        <vt:i4>5</vt:i4>
      </vt:variant>
      <vt:variant>
        <vt:lpwstr/>
      </vt:variant>
      <vt:variant>
        <vt:lpwstr>_Toc97304805</vt:lpwstr>
      </vt:variant>
      <vt:variant>
        <vt:i4>1835070</vt:i4>
      </vt:variant>
      <vt:variant>
        <vt:i4>1748</vt:i4>
      </vt:variant>
      <vt:variant>
        <vt:i4>0</vt:i4>
      </vt:variant>
      <vt:variant>
        <vt:i4>5</vt:i4>
      </vt:variant>
      <vt:variant>
        <vt:lpwstr/>
      </vt:variant>
      <vt:variant>
        <vt:lpwstr>_Toc97304804</vt:lpwstr>
      </vt:variant>
      <vt:variant>
        <vt:i4>1769534</vt:i4>
      </vt:variant>
      <vt:variant>
        <vt:i4>1742</vt:i4>
      </vt:variant>
      <vt:variant>
        <vt:i4>0</vt:i4>
      </vt:variant>
      <vt:variant>
        <vt:i4>5</vt:i4>
      </vt:variant>
      <vt:variant>
        <vt:lpwstr/>
      </vt:variant>
      <vt:variant>
        <vt:lpwstr>_Toc97304803</vt:lpwstr>
      </vt:variant>
      <vt:variant>
        <vt:i4>1703998</vt:i4>
      </vt:variant>
      <vt:variant>
        <vt:i4>1736</vt:i4>
      </vt:variant>
      <vt:variant>
        <vt:i4>0</vt:i4>
      </vt:variant>
      <vt:variant>
        <vt:i4>5</vt:i4>
      </vt:variant>
      <vt:variant>
        <vt:lpwstr/>
      </vt:variant>
      <vt:variant>
        <vt:lpwstr>_Toc97304802</vt:lpwstr>
      </vt:variant>
      <vt:variant>
        <vt:i4>1638462</vt:i4>
      </vt:variant>
      <vt:variant>
        <vt:i4>1730</vt:i4>
      </vt:variant>
      <vt:variant>
        <vt:i4>0</vt:i4>
      </vt:variant>
      <vt:variant>
        <vt:i4>5</vt:i4>
      </vt:variant>
      <vt:variant>
        <vt:lpwstr/>
      </vt:variant>
      <vt:variant>
        <vt:lpwstr>_Toc97304801</vt:lpwstr>
      </vt:variant>
      <vt:variant>
        <vt:i4>1572926</vt:i4>
      </vt:variant>
      <vt:variant>
        <vt:i4>1724</vt:i4>
      </vt:variant>
      <vt:variant>
        <vt:i4>0</vt:i4>
      </vt:variant>
      <vt:variant>
        <vt:i4>5</vt:i4>
      </vt:variant>
      <vt:variant>
        <vt:lpwstr/>
      </vt:variant>
      <vt:variant>
        <vt:lpwstr>_Toc97304800</vt:lpwstr>
      </vt:variant>
      <vt:variant>
        <vt:i4>1966135</vt:i4>
      </vt:variant>
      <vt:variant>
        <vt:i4>1718</vt:i4>
      </vt:variant>
      <vt:variant>
        <vt:i4>0</vt:i4>
      </vt:variant>
      <vt:variant>
        <vt:i4>5</vt:i4>
      </vt:variant>
      <vt:variant>
        <vt:lpwstr/>
      </vt:variant>
      <vt:variant>
        <vt:lpwstr>_Toc97304799</vt:lpwstr>
      </vt:variant>
      <vt:variant>
        <vt:i4>2031671</vt:i4>
      </vt:variant>
      <vt:variant>
        <vt:i4>1712</vt:i4>
      </vt:variant>
      <vt:variant>
        <vt:i4>0</vt:i4>
      </vt:variant>
      <vt:variant>
        <vt:i4>5</vt:i4>
      </vt:variant>
      <vt:variant>
        <vt:lpwstr/>
      </vt:variant>
      <vt:variant>
        <vt:lpwstr>_Toc97304798</vt:lpwstr>
      </vt:variant>
      <vt:variant>
        <vt:i4>1048631</vt:i4>
      </vt:variant>
      <vt:variant>
        <vt:i4>1706</vt:i4>
      </vt:variant>
      <vt:variant>
        <vt:i4>0</vt:i4>
      </vt:variant>
      <vt:variant>
        <vt:i4>5</vt:i4>
      </vt:variant>
      <vt:variant>
        <vt:lpwstr/>
      </vt:variant>
      <vt:variant>
        <vt:lpwstr>_Toc97304797</vt:lpwstr>
      </vt:variant>
      <vt:variant>
        <vt:i4>1114167</vt:i4>
      </vt:variant>
      <vt:variant>
        <vt:i4>1700</vt:i4>
      </vt:variant>
      <vt:variant>
        <vt:i4>0</vt:i4>
      </vt:variant>
      <vt:variant>
        <vt:i4>5</vt:i4>
      </vt:variant>
      <vt:variant>
        <vt:lpwstr/>
      </vt:variant>
      <vt:variant>
        <vt:lpwstr>_Toc97304796</vt:lpwstr>
      </vt:variant>
      <vt:variant>
        <vt:i4>1179703</vt:i4>
      </vt:variant>
      <vt:variant>
        <vt:i4>1694</vt:i4>
      </vt:variant>
      <vt:variant>
        <vt:i4>0</vt:i4>
      </vt:variant>
      <vt:variant>
        <vt:i4>5</vt:i4>
      </vt:variant>
      <vt:variant>
        <vt:lpwstr/>
      </vt:variant>
      <vt:variant>
        <vt:lpwstr>_Toc97304795</vt:lpwstr>
      </vt:variant>
      <vt:variant>
        <vt:i4>1245239</vt:i4>
      </vt:variant>
      <vt:variant>
        <vt:i4>1688</vt:i4>
      </vt:variant>
      <vt:variant>
        <vt:i4>0</vt:i4>
      </vt:variant>
      <vt:variant>
        <vt:i4>5</vt:i4>
      </vt:variant>
      <vt:variant>
        <vt:lpwstr/>
      </vt:variant>
      <vt:variant>
        <vt:lpwstr>_Toc97304794</vt:lpwstr>
      </vt:variant>
      <vt:variant>
        <vt:i4>1310775</vt:i4>
      </vt:variant>
      <vt:variant>
        <vt:i4>1682</vt:i4>
      </vt:variant>
      <vt:variant>
        <vt:i4>0</vt:i4>
      </vt:variant>
      <vt:variant>
        <vt:i4>5</vt:i4>
      </vt:variant>
      <vt:variant>
        <vt:lpwstr/>
      </vt:variant>
      <vt:variant>
        <vt:lpwstr>_Toc97304793</vt:lpwstr>
      </vt:variant>
      <vt:variant>
        <vt:i4>1376311</vt:i4>
      </vt:variant>
      <vt:variant>
        <vt:i4>1676</vt:i4>
      </vt:variant>
      <vt:variant>
        <vt:i4>0</vt:i4>
      </vt:variant>
      <vt:variant>
        <vt:i4>5</vt:i4>
      </vt:variant>
      <vt:variant>
        <vt:lpwstr/>
      </vt:variant>
      <vt:variant>
        <vt:lpwstr>_Toc97304792</vt:lpwstr>
      </vt:variant>
      <vt:variant>
        <vt:i4>1441847</vt:i4>
      </vt:variant>
      <vt:variant>
        <vt:i4>1670</vt:i4>
      </vt:variant>
      <vt:variant>
        <vt:i4>0</vt:i4>
      </vt:variant>
      <vt:variant>
        <vt:i4>5</vt:i4>
      </vt:variant>
      <vt:variant>
        <vt:lpwstr/>
      </vt:variant>
      <vt:variant>
        <vt:lpwstr>_Toc97304791</vt:lpwstr>
      </vt:variant>
      <vt:variant>
        <vt:i4>1507383</vt:i4>
      </vt:variant>
      <vt:variant>
        <vt:i4>1664</vt:i4>
      </vt:variant>
      <vt:variant>
        <vt:i4>0</vt:i4>
      </vt:variant>
      <vt:variant>
        <vt:i4>5</vt:i4>
      </vt:variant>
      <vt:variant>
        <vt:lpwstr/>
      </vt:variant>
      <vt:variant>
        <vt:lpwstr>_Toc97304790</vt:lpwstr>
      </vt:variant>
      <vt:variant>
        <vt:i4>1966134</vt:i4>
      </vt:variant>
      <vt:variant>
        <vt:i4>1658</vt:i4>
      </vt:variant>
      <vt:variant>
        <vt:i4>0</vt:i4>
      </vt:variant>
      <vt:variant>
        <vt:i4>5</vt:i4>
      </vt:variant>
      <vt:variant>
        <vt:lpwstr/>
      </vt:variant>
      <vt:variant>
        <vt:lpwstr>_Toc97304789</vt:lpwstr>
      </vt:variant>
      <vt:variant>
        <vt:i4>2031670</vt:i4>
      </vt:variant>
      <vt:variant>
        <vt:i4>1652</vt:i4>
      </vt:variant>
      <vt:variant>
        <vt:i4>0</vt:i4>
      </vt:variant>
      <vt:variant>
        <vt:i4>5</vt:i4>
      </vt:variant>
      <vt:variant>
        <vt:lpwstr/>
      </vt:variant>
      <vt:variant>
        <vt:lpwstr>_Toc97304788</vt:lpwstr>
      </vt:variant>
      <vt:variant>
        <vt:i4>1048630</vt:i4>
      </vt:variant>
      <vt:variant>
        <vt:i4>1646</vt:i4>
      </vt:variant>
      <vt:variant>
        <vt:i4>0</vt:i4>
      </vt:variant>
      <vt:variant>
        <vt:i4>5</vt:i4>
      </vt:variant>
      <vt:variant>
        <vt:lpwstr/>
      </vt:variant>
      <vt:variant>
        <vt:lpwstr>_Toc97304787</vt:lpwstr>
      </vt:variant>
      <vt:variant>
        <vt:i4>1114166</vt:i4>
      </vt:variant>
      <vt:variant>
        <vt:i4>1640</vt:i4>
      </vt:variant>
      <vt:variant>
        <vt:i4>0</vt:i4>
      </vt:variant>
      <vt:variant>
        <vt:i4>5</vt:i4>
      </vt:variant>
      <vt:variant>
        <vt:lpwstr/>
      </vt:variant>
      <vt:variant>
        <vt:lpwstr>_Toc97304786</vt:lpwstr>
      </vt:variant>
      <vt:variant>
        <vt:i4>1179702</vt:i4>
      </vt:variant>
      <vt:variant>
        <vt:i4>1634</vt:i4>
      </vt:variant>
      <vt:variant>
        <vt:i4>0</vt:i4>
      </vt:variant>
      <vt:variant>
        <vt:i4>5</vt:i4>
      </vt:variant>
      <vt:variant>
        <vt:lpwstr/>
      </vt:variant>
      <vt:variant>
        <vt:lpwstr>_Toc97304785</vt:lpwstr>
      </vt:variant>
      <vt:variant>
        <vt:i4>1245238</vt:i4>
      </vt:variant>
      <vt:variant>
        <vt:i4>1628</vt:i4>
      </vt:variant>
      <vt:variant>
        <vt:i4>0</vt:i4>
      </vt:variant>
      <vt:variant>
        <vt:i4>5</vt:i4>
      </vt:variant>
      <vt:variant>
        <vt:lpwstr/>
      </vt:variant>
      <vt:variant>
        <vt:lpwstr>_Toc97304784</vt:lpwstr>
      </vt:variant>
      <vt:variant>
        <vt:i4>1310774</vt:i4>
      </vt:variant>
      <vt:variant>
        <vt:i4>1622</vt:i4>
      </vt:variant>
      <vt:variant>
        <vt:i4>0</vt:i4>
      </vt:variant>
      <vt:variant>
        <vt:i4>5</vt:i4>
      </vt:variant>
      <vt:variant>
        <vt:lpwstr/>
      </vt:variant>
      <vt:variant>
        <vt:lpwstr>_Toc97304783</vt:lpwstr>
      </vt:variant>
      <vt:variant>
        <vt:i4>1376310</vt:i4>
      </vt:variant>
      <vt:variant>
        <vt:i4>1616</vt:i4>
      </vt:variant>
      <vt:variant>
        <vt:i4>0</vt:i4>
      </vt:variant>
      <vt:variant>
        <vt:i4>5</vt:i4>
      </vt:variant>
      <vt:variant>
        <vt:lpwstr/>
      </vt:variant>
      <vt:variant>
        <vt:lpwstr>_Toc97304782</vt:lpwstr>
      </vt:variant>
      <vt:variant>
        <vt:i4>1441846</vt:i4>
      </vt:variant>
      <vt:variant>
        <vt:i4>1610</vt:i4>
      </vt:variant>
      <vt:variant>
        <vt:i4>0</vt:i4>
      </vt:variant>
      <vt:variant>
        <vt:i4>5</vt:i4>
      </vt:variant>
      <vt:variant>
        <vt:lpwstr/>
      </vt:variant>
      <vt:variant>
        <vt:lpwstr>_Toc97304781</vt:lpwstr>
      </vt:variant>
      <vt:variant>
        <vt:i4>1507382</vt:i4>
      </vt:variant>
      <vt:variant>
        <vt:i4>1604</vt:i4>
      </vt:variant>
      <vt:variant>
        <vt:i4>0</vt:i4>
      </vt:variant>
      <vt:variant>
        <vt:i4>5</vt:i4>
      </vt:variant>
      <vt:variant>
        <vt:lpwstr/>
      </vt:variant>
      <vt:variant>
        <vt:lpwstr>_Toc97304780</vt:lpwstr>
      </vt:variant>
      <vt:variant>
        <vt:i4>1966137</vt:i4>
      </vt:variant>
      <vt:variant>
        <vt:i4>1598</vt:i4>
      </vt:variant>
      <vt:variant>
        <vt:i4>0</vt:i4>
      </vt:variant>
      <vt:variant>
        <vt:i4>5</vt:i4>
      </vt:variant>
      <vt:variant>
        <vt:lpwstr/>
      </vt:variant>
      <vt:variant>
        <vt:lpwstr>_Toc97304779</vt:lpwstr>
      </vt:variant>
      <vt:variant>
        <vt:i4>2031673</vt:i4>
      </vt:variant>
      <vt:variant>
        <vt:i4>1592</vt:i4>
      </vt:variant>
      <vt:variant>
        <vt:i4>0</vt:i4>
      </vt:variant>
      <vt:variant>
        <vt:i4>5</vt:i4>
      </vt:variant>
      <vt:variant>
        <vt:lpwstr/>
      </vt:variant>
      <vt:variant>
        <vt:lpwstr>_Toc97304778</vt:lpwstr>
      </vt:variant>
      <vt:variant>
        <vt:i4>1048633</vt:i4>
      </vt:variant>
      <vt:variant>
        <vt:i4>1586</vt:i4>
      </vt:variant>
      <vt:variant>
        <vt:i4>0</vt:i4>
      </vt:variant>
      <vt:variant>
        <vt:i4>5</vt:i4>
      </vt:variant>
      <vt:variant>
        <vt:lpwstr/>
      </vt:variant>
      <vt:variant>
        <vt:lpwstr>_Toc97304777</vt:lpwstr>
      </vt:variant>
      <vt:variant>
        <vt:i4>1114169</vt:i4>
      </vt:variant>
      <vt:variant>
        <vt:i4>1577</vt:i4>
      </vt:variant>
      <vt:variant>
        <vt:i4>0</vt:i4>
      </vt:variant>
      <vt:variant>
        <vt:i4>5</vt:i4>
      </vt:variant>
      <vt:variant>
        <vt:lpwstr/>
      </vt:variant>
      <vt:variant>
        <vt:lpwstr>_Toc97304776</vt:lpwstr>
      </vt:variant>
      <vt:variant>
        <vt:i4>1179705</vt:i4>
      </vt:variant>
      <vt:variant>
        <vt:i4>1571</vt:i4>
      </vt:variant>
      <vt:variant>
        <vt:i4>0</vt:i4>
      </vt:variant>
      <vt:variant>
        <vt:i4>5</vt:i4>
      </vt:variant>
      <vt:variant>
        <vt:lpwstr/>
      </vt:variant>
      <vt:variant>
        <vt:lpwstr>_Toc97304775</vt:lpwstr>
      </vt:variant>
      <vt:variant>
        <vt:i4>1245241</vt:i4>
      </vt:variant>
      <vt:variant>
        <vt:i4>1565</vt:i4>
      </vt:variant>
      <vt:variant>
        <vt:i4>0</vt:i4>
      </vt:variant>
      <vt:variant>
        <vt:i4>5</vt:i4>
      </vt:variant>
      <vt:variant>
        <vt:lpwstr/>
      </vt:variant>
      <vt:variant>
        <vt:lpwstr>_Toc97304774</vt:lpwstr>
      </vt:variant>
      <vt:variant>
        <vt:i4>1310777</vt:i4>
      </vt:variant>
      <vt:variant>
        <vt:i4>1559</vt:i4>
      </vt:variant>
      <vt:variant>
        <vt:i4>0</vt:i4>
      </vt:variant>
      <vt:variant>
        <vt:i4>5</vt:i4>
      </vt:variant>
      <vt:variant>
        <vt:lpwstr/>
      </vt:variant>
      <vt:variant>
        <vt:lpwstr>_Toc97304773</vt:lpwstr>
      </vt:variant>
      <vt:variant>
        <vt:i4>1376313</vt:i4>
      </vt:variant>
      <vt:variant>
        <vt:i4>1553</vt:i4>
      </vt:variant>
      <vt:variant>
        <vt:i4>0</vt:i4>
      </vt:variant>
      <vt:variant>
        <vt:i4>5</vt:i4>
      </vt:variant>
      <vt:variant>
        <vt:lpwstr/>
      </vt:variant>
      <vt:variant>
        <vt:lpwstr>_Toc97304772</vt:lpwstr>
      </vt:variant>
      <vt:variant>
        <vt:i4>1441849</vt:i4>
      </vt:variant>
      <vt:variant>
        <vt:i4>1547</vt:i4>
      </vt:variant>
      <vt:variant>
        <vt:i4>0</vt:i4>
      </vt:variant>
      <vt:variant>
        <vt:i4>5</vt:i4>
      </vt:variant>
      <vt:variant>
        <vt:lpwstr/>
      </vt:variant>
      <vt:variant>
        <vt:lpwstr>_Toc97304771</vt:lpwstr>
      </vt:variant>
      <vt:variant>
        <vt:i4>1507385</vt:i4>
      </vt:variant>
      <vt:variant>
        <vt:i4>1541</vt:i4>
      </vt:variant>
      <vt:variant>
        <vt:i4>0</vt:i4>
      </vt:variant>
      <vt:variant>
        <vt:i4>5</vt:i4>
      </vt:variant>
      <vt:variant>
        <vt:lpwstr/>
      </vt:variant>
      <vt:variant>
        <vt:lpwstr>_Toc97304770</vt:lpwstr>
      </vt:variant>
      <vt:variant>
        <vt:i4>1966136</vt:i4>
      </vt:variant>
      <vt:variant>
        <vt:i4>1535</vt:i4>
      </vt:variant>
      <vt:variant>
        <vt:i4>0</vt:i4>
      </vt:variant>
      <vt:variant>
        <vt:i4>5</vt:i4>
      </vt:variant>
      <vt:variant>
        <vt:lpwstr/>
      </vt:variant>
      <vt:variant>
        <vt:lpwstr>_Toc97304769</vt:lpwstr>
      </vt:variant>
      <vt:variant>
        <vt:i4>2031672</vt:i4>
      </vt:variant>
      <vt:variant>
        <vt:i4>1529</vt:i4>
      </vt:variant>
      <vt:variant>
        <vt:i4>0</vt:i4>
      </vt:variant>
      <vt:variant>
        <vt:i4>5</vt:i4>
      </vt:variant>
      <vt:variant>
        <vt:lpwstr/>
      </vt:variant>
      <vt:variant>
        <vt:lpwstr>_Toc97304768</vt:lpwstr>
      </vt:variant>
      <vt:variant>
        <vt:i4>1048632</vt:i4>
      </vt:variant>
      <vt:variant>
        <vt:i4>1523</vt:i4>
      </vt:variant>
      <vt:variant>
        <vt:i4>0</vt:i4>
      </vt:variant>
      <vt:variant>
        <vt:i4>5</vt:i4>
      </vt:variant>
      <vt:variant>
        <vt:lpwstr/>
      </vt:variant>
      <vt:variant>
        <vt:lpwstr>_Toc97304767</vt:lpwstr>
      </vt:variant>
      <vt:variant>
        <vt:i4>1114168</vt:i4>
      </vt:variant>
      <vt:variant>
        <vt:i4>1517</vt:i4>
      </vt:variant>
      <vt:variant>
        <vt:i4>0</vt:i4>
      </vt:variant>
      <vt:variant>
        <vt:i4>5</vt:i4>
      </vt:variant>
      <vt:variant>
        <vt:lpwstr/>
      </vt:variant>
      <vt:variant>
        <vt:lpwstr>_Toc97304766</vt:lpwstr>
      </vt:variant>
      <vt:variant>
        <vt:i4>1179704</vt:i4>
      </vt:variant>
      <vt:variant>
        <vt:i4>1511</vt:i4>
      </vt:variant>
      <vt:variant>
        <vt:i4>0</vt:i4>
      </vt:variant>
      <vt:variant>
        <vt:i4>5</vt:i4>
      </vt:variant>
      <vt:variant>
        <vt:lpwstr/>
      </vt:variant>
      <vt:variant>
        <vt:lpwstr>_Toc97304765</vt:lpwstr>
      </vt:variant>
      <vt:variant>
        <vt:i4>1245240</vt:i4>
      </vt:variant>
      <vt:variant>
        <vt:i4>1505</vt:i4>
      </vt:variant>
      <vt:variant>
        <vt:i4>0</vt:i4>
      </vt:variant>
      <vt:variant>
        <vt:i4>5</vt:i4>
      </vt:variant>
      <vt:variant>
        <vt:lpwstr/>
      </vt:variant>
      <vt:variant>
        <vt:lpwstr>_Toc97304764</vt:lpwstr>
      </vt:variant>
      <vt:variant>
        <vt:i4>1310776</vt:i4>
      </vt:variant>
      <vt:variant>
        <vt:i4>1499</vt:i4>
      </vt:variant>
      <vt:variant>
        <vt:i4>0</vt:i4>
      </vt:variant>
      <vt:variant>
        <vt:i4>5</vt:i4>
      </vt:variant>
      <vt:variant>
        <vt:lpwstr/>
      </vt:variant>
      <vt:variant>
        <vt:lpwstr>_Toc97304763</vt:lpwstr>
      </vt:variant>
      <vt:variant>
        <vt:i4>1376312</vt:i4>
      </vt:variant>
      <vt:variant>
        <vt:i4>1493</vt:i4>
      </vt:variant>
      <vt:variant>
        <vt:i4>0</vt:i4>
      </vt:variant>
      <vt:variant>
        <vt:i4>5</vt:i4>
      </vt:variant>
      <vt:variant>
        <vt:lpwstr/>
      </vt:variant>
      <vt:variant>
        <vt:lpwstr>_Toc97304762</vt:lpwstr>
      </vt:variant>
      <vt:variant>
        <vt:i4>1441848</vt:i4>
      </vt:variant>
      <vt:variant>
        <vt:i4>1487</vt:i4>
      </vt:variant>
      <vt:variant>
        <vt:i4>0</vt:i4>
      </vt:variant>
      <vt:variant>
        <vt:i4>5</vt:i4>
      </vt:variant>
      <vt:variant>
        <vt:lpwstr/>
      </vt:variant>
      <vt:variant>
        <vt:lpwstr>_Toc97304761</vt:lpwstr>
      </vt:variant>
      <vt:variant>
        <vt:i4>1507384</vt:i4>
      </vt:variant>
      <vt:variant>
        <vt:i4>1481</vt:i4>
      </vt:variant>
      <vt:variant>
        <vt:i4>0</vt:i4>
      </vt:variant>
      <vt:variant>
        <vt:i4>5</vt:i4>
      </vt:variant>
      <vt:variant>
        <vt:lpwstr/>
      </vt:variant>
      <vt:variant>
        <vt:lpwstr>_Toc97304760</vt:lpwstr>
      </vt:variant>
      <vt:variant>
        <vt:i4>1966139</vt:i4>
      </vt:variant>
      <vt:variant>
        <vt:i4>1475</vt:i4>
      </vt:variant>
      <vt:variant>
        <vt:i4>0</vt:i4>
      </vt:variant>
      <vt:variant>
        <vt:i4>5</vt:i4>
      </vt:variant>
      <vt:variant>
        <vt:lpwstr/>
      </vt:variant>
      <vt:variant>
        <vt:lpwstr>_Toc97304759</vt:lpwstr>
      </vt:variant>
      <vt:variant>
        <vt:i4>2031675</vt:i4>
      </vt:variant>
      <vt:variant>
        <vt:i4>1469</vt:i4>
      </vt:variant>
      <vt:variant>
        <vt:i4>0</vt:i4>
      </vt:variant>
      <vt:variant>
        <vt:i4>5</vt:i4>
      </vt:variant>
      <vt:variant>
        <vt:lpwstr/>
      </vt:variant>
      <vt:variant>
        <vt:lpwstr>_Toc97304758</vt:lpwstr>
      </vt:variant>
      <vt:variant>
        <vt:i4>1048635</vt:i4>
      </vt:variant>
      <vt:variant>
        <vt:i4>1463</vt:i4>
      </vt:variant>
      <vt:variant>
        <vt:i4>0</vt:i4>
      </vt:variant>
      <vt:variant>
        <vt:i4>5</vt:i4>
      </vt:variant>
      <vt:variant>
        <vt:lpwstr/>
      </vt:variant>
      <vt:variant>
        <vt:lpwstr>_Toc97304757</vt:lpwstr>
      </vt:variant>
      <vt:variant>
        <vt:i4>1114171</vt:i4>
      </vt:variant>
      <vt:variant>
        <vt:i4>1457</vt:i4>
      </vt:variant>
      <vt:variant>
        <vt:i4>0</vt:i4>
      </vt:variant>
      <vt:variant>
        <vt:i4>5</vt:i4>
      </vt:variant>
      <vt:variant>
        <vt:lpwstr/>
      </vt:variant>
      <vt:variant>
        <vt:lpwstr>_Toc97304756</vt:lpwstr>
      </vt:variant>
      <vt:variant>
        <vt:i4>1179707</vt:i4>
      </vt:variant>
      <vt:variant>
        <vt:i4>1451</vt:i4>
      </vt:variant>
      <vt:variant>
        <vt:i4>0</vt:i4>
      </vt:variant>
      <vt:variant>
        <vt:i4>5</vt:i4>
      </vt:variant>
      <vt:variant>
        <vt:lpwstr/>
      </vt:variant>
      <vt:variant>
        <vt:lpwstr>_Toc97304755</vt:lpwstr>
      </vt:variant>
      <vt:variant>
        <vt:i4>1245243</vt:i4>
      </vt:variant>
      <vt:variant>
        <vt:i4>1445</vt:i4>
      </vt:variant>
      <vt:variant>
        <vt:i4>0</vt:i4>
      </vt:variant>
      <vt:variant>
        <vt:i4>5</vt:i4>
      </vt:variant>
      <vt:variant>
        <vt:lpwstr/>
      </vt:variant>
      <vt:variant>
        <vt:lpwstr>_Toc97304754</vt:lpwstr>
      </vt:variant>
      <vt:variant>
        <vt:i4>1310779</vt:i4>
      </vt:variant>
      <vt:variant>
        <vt:i4>1439</vt:i4>
      </vt:variant>
      <vt:variant>
        <vt:i4>0</vt:i4>
      </vt:variant>
      <vt:variant>
        <vt:i4>5</vt:i4>
      </vt:variant>
      <vt:variant>
        <vt:lpwstr/>
      </vt:variant>
      <vt:variant>
        <vt:lpwstr>_Toc97304753</vt:lpwstr>
      </vt:variant>
      <vt:variant>
        <vt:i4>1376315</vt:i4>
      </vt:variant>
      <vt:variant>
        <vt:i4>1433</vt:i4>
      </vt:variant>
      <vt:variant>
        <vt:i4>0</vt:i4>
      </vt:variant>
      <vt:variant>
        <vt:i4>5</vt:i4>
      </vt:variant>
      <vt:variant>
        <vt:lpwstr/>
      </vt:variant>
      <vt:variant>
        <vt:lpwstr>_Toc97304752</vt:lpwstr>
      </vt:variant>
      <vt:variant>
        <vt:i4>1441851</vt:i4>
      </vt:variant>
      <vt:variant>
        <vt:i4>1427</vt:i4>
      </vt:variant>
      <vt:variant>
        <vt:i4>0</vt:i4>
      </vt:variant>
      <vt:variant>
        <vt:i4>5</vt:i4>
      </vt:variant>
      <vt:variant>
        <vt:lpwstr/>
      </vt:variant>
      <vt:variant>
        <vt:lpwstr>_Toc97304751</vt:lpwstr>
      </vt:variant>
      <vt:variant>
        <vt:i4>1507387</vt:i4>
      </vt:variant>
      <vt:variant>
        <vt:i4>1421</vt:i4>
      </vt:variant>
      <vt:variant>
        <vt:i4>0</vt:i4>
      </vt:variant>
      <vt:variant>
        <vt:i4>5</vt:i4>
      </vt:variant>
      <vt:variant>
        <vt:lpwstr/>
      </vt:variant>
      <vt:variant>
        <vt:lpwstr>_Toc97304750</vt:lpwstr>
      </vt:variant>
      <vt:variant>
        <vt:i4>1966138</vt:i4>
      </vt:variant>
      <vt:variant>
        <vt:i4>1415</vt:i4>
      </vt:variant>
      <vt:variant>
        <vt:i4>0</vt:i4>
      </vt:variant>
      <vt:variant>
        <vt:i4>5</vt:i4>
      </vt:variant>
      <vt:variant>
        <vt:lpwstr/>
      </vt:variant>
      <vt:variant>
        <vt:lpwstr>_Toc97304749</vt:lpwstr>
      </vt:variant>
      <vt:variant>
        <vt:i4>2031674</vt:i4>
      </vt:variant>
      <vt:variant>
        <vt:i4>1409</vt:i4>
      </vt:variant>
      <vt:variant>
        <vt:i4>0</vt:i4>
      </vt:variant>
      <vt:variant>
        <vt:i4>5</vt:i4>
      </vt:variant>
      <vt:variant>
        <vt:lpwstr/>
      </vt:variant>
      <vt:variant>
        <vt:lpwstr>_Toc97304748</vt:lpwstr>
      </vt:variant>
      <vt:variant>
        <vt:i4>1048634</vt:i4>
      </vt:variant>
      <vt:variant>
        <vt:i4>1403</vt:i4>
      </vt:variant>
      <vt:variant>
        <vt:i4>0</vt:i4>
      </vt:variant>
      <vt:variant>
        <vt:i4>5</vt:i4>
      </vt:variant>
      <vt:variant>
        <vt:lpwstr/>
      </vt:variant>
      <vt:variant>
        <vt:lpwstr>_Toc97304747</vt:lpwstr>
      </vt:variant>
      <vt:variant>
        <vt:i4>1114170</vt:i4>
      </vt:variant>
      <vt:variant>
        <vt:i4>1397</vt:i4>
      </vt:variant>
      <vt:variant>
        <vt:i4>0</vt:i4>
      </vt:variant>
      <vt:variant>
        <vt:i4>5</vt:i4>
      </vt:variant>
      <vt:variant>
        <vt:lpwstr/>
      </vt:variant>
      <vt:variant>
        <vt:lpwstr>_Toc97304746</vt:lpwstr>
      </vt:variant>
      <vt:variant>
        <vt:i4>1179706</vt:i4>
      </vt:variant>
      <vt:variant>
        <vt:i4>1391</vt:i4>
      </vt:variant>
      <vt:variant>
        <vt:i4>0</vt:i4>
      </vt:variant>
      <vt:variant>
        <vt:i4>5</vt:i4>
      </vt:variant>
      <vt:variant>
        <vt:lpwstr/>
      </vt:variant>
      <vt:variant>
        <vt:lpwstr>_Toc97304745</vt:lpwstr>
      </vt:variant>
      <vt:variant>
        <vt:i4>1245242</vt:i4>
      </vt:variant>
      <vt:variant>
        <vt:i4>1385</vt:i4>
      </vt:variant>
      <vt:variant>
        <vt:i4>0</vt:i4>
      </vt:variant>
      <vt:variant>
        <vt:i4>5</vt:i4>
      </vt:variant>
      <vt:variant>
        <vt:lpwstr/>
      </vt:variant>
      <vt:variant>
        <vt:lpwstr>_Toc97304744</vt:lpwstr>
      </vt:variant>
      <vt:variant>
        <vt:i4>1310778</vt:i4>
      </vt:variant>
      <vt:variant>
        <vt:i4>1379</vt:i4>
      </vt:variant>
      <vt:variant>
        <vt:i4>0</vt:i4>
      </vt:variant>
      <vt:variant>
        <vt:i4>5</vt:i4>
      </vt:variant>
      <vt:variant>
        <vt:lpwstr/>
      </vt:variant>
      <vt:variant>
        <vt:lpwstr>_Toc97304743</vt:lpwstr>
      </vt:variant>
      <vt:variant>
        <vt:i4>1376314</vt:i4>
      </vt:variant>
      <vt:variant>
        <vt:i4>1373</vt:i4>
      </vt:variant>
      <vt:variant>
        <vt:i4>0</vt:i4>
      </vt:variant>
      <vt:variant>
        <vt:i4>5</vt:i4>
      </vt:variant>
      <vt:variant>
        <vt:lpwstr/>
      </vt:variant>
      <vt:variant>
        <vt:lpwstr>_Toc97304742</vt:lpwstr>
      </vt:variant>
      <vt:variant>
        <vt:i4>1441850</vt:i4>
      </vt:variant>
      <vt:variant>
        <vt:i4>1367</vt:i4>
      </vt:variant>
      <vt:variant>
        <vt:i4>0</vt:i4>
      </vt:variant>
      <vt:variant>
        <vt:i4>5</vt:i4>
      </vt:variant>
      <vt:variant>
        <vt:lpwstr/>
      </vt:variant>
      <vt:variant>
        <vt:lpwstr>_Toc97304741</vt:lpwstr>
      </vt:variant>
      <vt:variant>
        <vt:i4>1507386</vt:i4>
      </vt:variant>
      <vt:variant>
        <vt:i4>1361</vt:i4>
      </vt:variant>
      <vt:variant>
        <vt:i4>0</vt:i4>
      </vt:variant>
      <vt:variant>
        <vt:i4>5</vt:i4>
      </vt:variant>
      <vt:variant>
        <vt:lpwstr/>
      </vt:variant>
      <vt:variant>
        <vt:lpwstr>_Toc97304740</vt:lpwstr>
      </vt:variant>
      <vt:variant>
        <vt:i4>1966141</vt:i4>
      </vt:variant>
      <vt:variant>
        <vt:i4>1355</vt:i4>
      </vt:variant>
      <vt:variant>
        <vt:i4>0</vt:i4>
      </vt:variant>
      <vt:variant>
        <vt:i4>5</vt:i4>
      </vt:variant>
      <vt:variant>
        <vt:lpwstr/>
      </vt:variant>
      <vt:variant>
        <vt:lpwstr>_Toc97304739</vt:lpwstr>
      </vt:variant>
      <vt:variant>
        <vt:i4>2031677</vt:i4>
      </vt:variant>
      <vt:variant>
        <vt:i4>1349</vt:i4>
      </vt:variant>
      <vt:variant>
        <vt:i4>0</vt:i4>
      </vt:variant>
      <vt:variant>
        <vt:i4>5</vt:i4>
      </vt:variant>
      <vt:variant>
        <vt:lpwstr/>
      </vt:variant>
      <vt:variant>
        <vt:lpwstr>_Toc97304738</vt:lpwstr>
      </vt:variant>
      <vt:variant>
        <vt:i4>1048637</vt:i4>
      </vt:variant>
      <vt:variant>
        <vt:i4>1343</vt:i4>
      </vt:variant>
      <vt:variant>
        <vt:i4>0</vt:i4>
      </vt:variant>
      <vt:variant>
        <vt:i4>5</vt:i4>
      </vt:variant>
      <vt:variant>
        <vt:lpwstr/>
      </vt:variant>
      <vt:variant>
        <vt:lpwstr>_Toc97304737</vt:lpwstr>
      </vt:variant>
      <vt:variant>
        <vt:i4>1114173</vt:i4>
      </vt:variant>
      <vt:variant>
        <vt:i4>1337</vt:i4>
      </vt:variant>
      <vt:variant>
        <vt:i4>0</vt:i4>
      </vt:variant>
      <vt:variant>
        <vt:i4>5</vt:i4>
      </vt:variant>
      <vt:variant>
        <vt:lpwstr/>
      </vt:variant>
      <vt:variant>
        <vt:lpwstr>_Toc97304736</vt:lpwstr>
      </vt:variant>
      <vt:variant>
        <vt:i4>1179709</vt:i4>
      </vt:variant>
      <vt:variant>
        <vt:i4>1331</vt:i4>
      </vt:variant>
      <vt:variant>
        <vt:i4>0</vt:i4>
      </vt:variant>
      <vt:variant>
        <vt:i4>5</vt:i4>
      </vt:variant>
      <vt:variant>
        <vt:lpwstr/>
      </vt:variant>
      <vt:variant>
        <vt:lpwstr>_Toc97304735</vt:lpwstr>
      </vt:variant>
      <vt:variant>
        <vt:i4>1245245</vt:i4>
      </vt:variant>
      <vt:variant>
        <vt:i4>1325</vt:i4>
      </vt:variant>
      <vt:variant>
        <vt:i4>0</vt:i4>
      </vt:variant>
      <vt:variant>
        <vt:i4>5</vt:i4>
      </vt:variant>
      <vt:variant>
        <vt:lpwstr/>
      </vt:variant>
      <vt:variant>
        <vt:lpwstr>_Toc97304734</vt:lpwstr>
      </vt:variant>
      <vt:variant>
        <vt:i4>1310781</vt:i4>
      </vt:variant>
      <vt:variant>
        <vt:i4>1319</vt:i4>
      </vt:variant>
      <vt:variant>
        <vt:i4>0</vt:i4>
      </vt:variant>
      <vt:variant>
        <vt:i4>5</vt:i4>
      </vt:variant>
      <vt:variant>
        <vt:lpwstr/>
      </vt:variant>
      <vt:variant>
        <vt:lpwstr>_Toc97304733</vt:lpwstr>
      </vt:variant>
      <vt:variant>
        <vt:i4>1376317</vt:i4>
      </vt:variant>
      <vt:variant>
        <vt:i4>1313</vt:i4>
      </vt:variant>
      <vt:variant>
        <vt:i4>0</vt:i4>
      </vt:variant>
      <vt:variant>
        <vt:i4>5</vt:i4>
      </vt:variant>
      <vt:variant>
        <vt:lpwstr/>
      </vt:variant>
      <vt:variant>
        <vt:lpwstr>_Toc97304732</vt:lpwstr>
      </vt:variant>
      <vt:variant>
        <vt:i4>1441853</vt:i4>
      </vt:variant>
      <vt:variant>
        <vt:i4>1307</vt:i4>
      </vt:variant>
      <vt:variant>
        <vt:i4>0</vt:i4>
      </vt:variant>
      <vt:variant>
        <vt:i4>5</vt:i4>
      </vt:variant>
      <vt:variant>
        <vt:lpwstr/>
      </vt:variant>
      <vt:variant>
        <vt:lpwstr>_Toc97304731</vt:lpwstr>
      </vt:variant>
      <vt:variant>
        <vt:i4>1507389</vt:i4>
      </vt:variant>
      <vt:variant>
        <vt:i4>1301</vt:i4>
      </vt:variant>
      <vt:variant>
        <vt:i4>0</vt:i4>
      </vt:variant>
      <vt:variant>
        <vt:i4>5</vt:i4>
      </vt:variant>
      <vt:variant>
        <vt:lpwstr/>
      </vt:variant>
      <vt:variant>
        <vt:lpwstr>_Toc97304730</vt:lpwstr>
      </vt:variant>
      <vt:variant>
        <vt:i4>1966140</vt:i4>
      </vt:variant>
      <vt:variant>
        <vt:i4>1295</vt:i4>
      </vt:variant>
      <vt:variant>
        <vt:i4>0</vt:i4>
      </vt:variant>
      <vt:variant>
        <vt:i4>5</vt:i4>
      </vt:variant>
      <vt:variant>
        <vt:lpwstr/>
      </vt:variant>
      <vt:variant>
        <vt:lpwstr>_Toc97304729</vt:lpwstr>
      </vt:variant>
      <vt:variant>
        <vt:i4>2031676</vt:i4>
      </vt:variant>
      <vt:variant>
        <vt:i4>1289</vt:i4>
      </vt:variant>
      <vt:variant>
        <vt:i4>0</vt:i4>
      </vt:variant>
      <vt:variant>
        <vt:i4>5</vt:i4>
      </vt:variant>
      <vt:variant>
        <vt:lpwstr/>
      </vt:variant>
      <vt:variant>
        <vt:lpwstr>_Toc97304728</vt:lpwstr>
      </vt:variant>
      <vt:variant>
        <vt:i4>1048636</vt:i4>
      </vt:variant>
      <vt:variant>
        <vt:i4>1283</vt:i4>
      </vt:variant>
      <vt:variant>
        <vt:i4>0</vt:i4>
      </vt:variant>
      <vt:variant>
        <vt:i4>5</vt:i4>
      </vt:variant>
      <vt:variant>
        <vt:lpwstr/>
      </vt:variant>
      <vt:variant>
        <vt:lpwstr>_Toc97304727</vt:lpwstr>
      </vt:variant>
      <vt:variant>
        <vt:i4>1114172</vt:i4>
      </vt:variant>
      <vt:variant>
        <vt:i4>1277</vt:i4>
      </vt:variant>
      <vt:variant>
        <vt:i4>0</vt:i4>
      </vt:variant>
      <vt:variant>
        <vt:i4>5</vt:i4>
      </vt:variant>
      <vt:variant>
        <vt:lpwstr/>
      </vt:variant>
      <vt:variant>
        <vt:lpwstr>_Toc97304726</vt:lpwstr>
      </vt:variant>
      <vt:variant>
        <vt:i4>1179708</vt:i4>
      </vt:variant>
      <vt:variant>
        <vt:i4>1271</vt:i4>
      </vt:variant>
      <vt:variant>
        <vt:i4>0</vt:i4>
      </vt:variant>
      <vt:variant>
        <vt:i4>5</vt:i4>
      </vt:variant>
      <vt:variant>
        <vt:lpwstr/>
      </vt:variant>
      <vt:variant>
        <vt:lpwstr>_Toc97304725</vt:lpwstr>
      </vt:variant>
      <vt:variant>
        <vt:i4>1245244</vt:i4>
      </vt:variant>
      <vt:variant>
        <vt:i4>1265</vt:i4>
      </vt:variant>
      <vt:variant>
        <vt:i4>0</vt:i4>
      </vt:variant>
      <vt:variant>
        <vt:i4>5</vt:i4>
      </vt:variant>
      <vt:variant>
        <vt:lpwstr/>
      </vt:variant>
      <vt:variant>
        <vt:lpwstr>_Toc97304724</vt:lpwstr>
      </vt:variant>
      <vt:variant>
        <vt:i4>1310780</vt:i4>
      </vt:variant>
      <vt:variant>
        <vt:i4>1259</vt:i4>
      </vt:variant>
      <vt:variant>
        <vt:i4>0</vt:i4>
      </vt:variant>
      <vt:variant>
        <vt:i4>5</vt:i4>
      </vt:variant>
      <vt:variant>
        <vt:lpwstr/>
      </vt:variant>
      <vt:variant>
        <vt:lpwstr>_Toc97304723</vt:lpwstr>
      </vt:variant>
      <vt:variant>
        <vt:i4>1376316</vt:i4>
      </vt:variant>
      <vt:variant>
        <vt:i4>1253</vt:i4>
      </vt:variant>
      <vt:variant>
        <vt:i4>0</vt:i4>
      </vt:variant>
      <vt:variant>
        <vt:i4>5</vt:i4>
      </vt:variant>
      <vt:variant>
        <vt:lpwstr/>
      </vt:variant>
      <vt:variant>
        <vt:lpwstr>_Toc97304722</vt:lpwstr>
      </vt:variant>
      <vt:variant>
        <vt:i4>1441852</vt:i4>
      </vt:variant>
      <vt:variant>
        <vt:i4>1247</vt:i4>
      </vt:variant>
      <vt:variant>
        <vt:i4>0</vt:i4>
      </vt:variant>
      <vt:variant>
        <vt:i4>5</vt:i4>
      </vt:variant>
      <vt:variant>
        <vt:lpwstr/>
      </vt:variant>
      <vt:variant>
        <vt:lpwstr>_Toc97304721</vt:lpwstr>
      </vt:variant>
      <vt:variant>
        <vt:i4>1507388</vt:i4>
      </vt:variant>
      <vt:variant>
        <vt:i4>1241</vt:i4>
      </vt:variant>
      <vt:variant>
        <vt:i4>0</vt:i4>
      </vt:variant>
      <vt:variant>
        <vt:i4>5</vt:i4>
      </vt:variant>
      <vt:variant>
        <vt:lpwstr/>
      </vt:variant>
      <vt:variant>
        <vt:lpwstr>_Toc97304720</vt:lpwstr>
      </vt:variant>
      <vt:variant>
        <vt:i4>1966143</vt:i4>
      </vt:variant>
      <vt:variant>
        <vt:i4>1235</vt:i4>
      </vt:variant>
      <vt:variant>
        <vt:i4>0</vt:i4>
      </vt:variant>
      <vt:variant>
        <vt:i4>5</vt:i4>
      </vt:variant>
      <vt:variant>
        <vt:lpwstr/>
      </vt:variant>
      <vt:variant>
        <vt:lpwstr>_Toc97304719</vt:lpwstr>
      </vt:variant>
      <vt:variant>
        <vt:i4>2031679</vt:i4>
      </vt:variant>
      <vt:variant>
        <vt:i4>1229</vt:i4>
      </vt:variant>
      <vt:variant>
        <vt:i4>0</vt:i4>
      </vt:variant>
      <vt:variant>
        <vt:i4>5</vt:i4>
      </vt:variant>
      <vt:variant>
        <vt:lpwstr/>
      </vt:variant>
      <vt:variant>
        <vt:lpwstr>_Toc97304718</vt:lpwstr>
      </vt:variant>
      <vt:variant>
        <vt:i4>1048639</vt:i4>
      </vt:variant>
      <vt:variant>
        <vt:i4>1223</vt:i4>
      </vt:variant>
      <vt:variant>
        <vt:i4>0</vt:i4>
      </vt:variant>
      <vt:variant>
        <vt:i4>5</vt:i4>
      </vt:variant>
      <vt:variant>
        <vt:lpwstr/>
      </vt:variant>
      <vt:variant>
        <vt:lpwstr>_Toc97304717</vt:lpwstr>
      </vt:variant>
      <vt:variant>
        <vt:i4>1114175</vt:i4>
      </vt:variant>
      <vt:variant>
        <vt:i4>1217</vt:i4>
      </vt:variant>
      <vt:variant>
        <vt:i4>0</vt:i4>
      </vt:variant>
      <vt:variant>
        <vt:i4>5</vt:i4>
      </vt:variant>
      <vt:variant>
        <vt:lpwstr/>
      </vt:variant>
      <vt:variant>
        <vt:lpwstr>_Toc97304716</vt:lpwstr>
      </vt:variant>
      <vt:variant>
        <vt:i4>1179711</vt:i4>
      </vt:variant>
      <vt:variant>
        <vt:i4>1211</vt:i4>
      </vt:variant>
      <vt:variant>
        <vt:i4>0</vt:i4>
      </vt:variant>
      <vt:variant>
        <vt:i4>5</vt:i4>
      </vt:variant>
      <vt:variant>
        <vt:lpwstr/>
      </vt:variant>
      <vt:variant>
        <vt:lpwstr>_Toc97304715</vt:lpwstr>
      </vt:variant>
      <vt:variant>
        <vt:i4>1245247</vt:i4>
      </vt:variant>
      <vt:variant>
        <vt:i4>1205</vt:i4>
      </vt:variant>
      <vt:variant>
        <vt:i4>0</vt:i4>
      </vt:variant>
      <vt:variant>
        <vt:i4>5</vt:i4>
      </vt:variant>
      <vt:variant>
        <vt:lpwstr/>
      </vt:variant>
      <vt:variant>
        <vt:lpwstr>_Toc97304714</vt:lpwstr>
      </vt:variant>
      <vt:variant>
        <vt:i4>1310783</vt:i4>
      </vt:variant>
      <vt:variant>
        <vt:i4>1199</vt:i4>
      </vt:variant>
      <vt:variant>
        <vt:i4>0</vt:i4>
      </vt:variant>
      <vt:variant>
        <vt:i4>5</vt:i4>
      </vt:variant>
      <vt:variant>
        <vt:lpwstr/>
      </vt:variant>
      <vt:variant>
        <vt:lpwstr>_Toc97304713</vt:lpwstr>
      </vt:variant>
      <vt:variant>
        <vt:i4>1376319</vt:i4>
      </vt:variant>
      <vt:variant>
        <vt:i4>1193</vt:i4>
      </vt:variant>
      <vt:variant>
        <vt:i4>0</vt:i4>
      </vt:variant>
      <vt:variant>
        <vt:i4>5</vt:i4>
      </vt:variant>
      <vt:variant>
        <vt:lpwstr/>
      </vt:variant>
      <vt:variant>
        <vt:lpwstr>_Toc97304712</vt:lpwstr>
      </vt:variant>
      <vt:variant>
        <vt:i4>1441855</vt:i4>
      </vt:variant>
      <vt:variant>
        <vt:i4>1187</vt:i4>
      </vt:variant>
      <vt:variant>
        <vt:i4>0</vt:i4>
      </vt:variant>
      <vt:variant>
        <vt:i4>5</vt:i4>
      </vt:variant>
      <vt:variant>
        <vt:lpwstr/>
      </vt:variant>
      <vt:variant>
        <vt:lpwstr>_Toc97304711</vt:lpwstr>
      </vt:variant>
      <vt:variant>
        <vt:i4>1507391</vt:i4>
      </vt:variant>
      <vt:variant>
        <vt:i4>1181</vt:i4>
      </vt:variant>
      <vt:variant>
        <vt:i4>0</vt:i4>
      </vt:variant>
      <vt:variant>
        <vt:i4>5</vt:i4>
      </vt:variant>
      <vt:variant>
        <vt:lpwstr/>
      </vt:variant>
      <vt:variant>
        <vt:lpwstr>_Toc97304710</vt:lpwstr>
      </vt:variant>
      <vt:variant>
        <vt:i4>1966142</vt:i4>
      </vt:variant>
      <vt:variant>
        <vt:i4>1175</vt:i4>
      </vt:variant>
      <vt:variant>
        <vt:i4>0</vt:i4>
      </vt:variant>
      <vt:variant>
        <vt:i4>5</vt:i4>
      </vt:variant>
      <vt:variant>
        <vt:lpwstr/>
      </vt:variant>
      <vt:variant>
        <vt:lpwstr>_Toc97304709</vt:lpwstr>
      </vt:variant>
      <vt:variant>
        <vt:i4>2031678</vt:i4>
      </vt:variant>
      <vt:variant>
        <vt:i4>1169</vt:i4>
      </vt:variant>
      <vt:variant>
        <vt:i4>0</vt:i4>
      </vt:variant>
      <vt:variant>
        <vt:i4>5</vt:i4>
      </vt:variant>
      <vt:variant>
        <vt:lpwstr/>
      </vt:variant>
      <vt:variant>
        <vt:lpwstr>_Toc97304708</vt:lpwstr>
      </vt:variant>
      <vt:variant>
        <vt:i4>1048638</vt:i4>
      </vt:variant>
      <vt:variant>
        <vt:i4>1163</vt:i4>
      </vt:variant>
      <vt:variant>
        <vt:i4>0</vt:i4>
      </vt:variant>
      <vt:variant>
        <vt:i4>5</vt:i4>
      </vt:variant>
      <vt:variant>
        <vt:lpwstr/>
      </vt:variant>
      <vt:variant>
        <vt:lpwstr>_Toc97304707</vt:lpwstr>
      </vt:variant>
      <vt:variant>
        <vt:i4>1245245</vt:i4>
      </vt:variant>
      <vt:variant>
        <vt:i4>1154</vt:i4>
      </vt:variant>
      <vt:variant>
        <vt:i4>0</vt:i4>
      </vt:variant>
      <vt:variant>
        <vt:i4>5</vt:i4>
      </vt:variant>
      <vt:variant>
        <vt:lpwstr/>
      </vt:variant>
      <vt:variant>
        <vt:lpwstr>_Toc95145306</vt:lpwstr>
      </vt:variant>
      <vt:variant>
        <vt:i4>1048637</vt:i4>
      </vt:variant>
      <vt:variant>
        <vt:i4>1148</vt:i4>
      </vt:variant>
      <vt:variant>
        <vt:i4>0</vt:i4>
      </vt:variant>
      <vt:variant>
        <vt:i4>5</vt:i4>
      </vt:variant>
      <vt:variant>
        <vt:lpwstr/>
      </vt:variant>
      <vt:variant>
        <vt:lpwstr>_Toc95145305</vt:lpwstr>
      </vt:variant>
      <vt:variant>
        <vt:i4>1114173</vt:i4>
      </vt:variant>
      <vt:variant>
        <vt:i4>1142</vt:i4>
      </vt:variant>
      <vt:variant>
        <vt:i4>0</vt:i4>
      </vt:variant>
      <vt:variant>
        <vt:i4>5</vt:i4>
      </vt:variant>
      <vt:variant>
        <vt:lpwstr/>
      </vt:variant>
      <vt:variant>
        <vt:lpwstr>_Toc95145304</vt:lpwstr>
      </vt:variant>
      <vt:variant>
        <vt:i4>1441853</vt:i4>
      </vt:variant>
      <vt:variant>
        <vt:i4>1136</vt:i4>
      </vt:variant>
      <vt:variant>
        <vt:i4>0</vt:i4>
      </vt:variant>
      <vt:variant>
        <vt:i4>5</vt:i4>
      </vt:variant>
      <vt:variant>
        <vt:lpwstr/>
      </vt:variant>
      <vt:variant>
        <vt:lpwstr>_Toc95145303</vt:lpwstr>
      </vt:variant>
      <vt:variant>
        <vt:i4>1507389</vt:i4>
      </vt:variant>
      <vt:variant>
        <vt:i4>1130</vt:i4>
      </vt:variant>
      <vt:variant>
        <vt:i4>0</vt:i4>
      </vt:variant>
      <vt:variant>
        <vt:i4>5</vt:i4>
      </vt:variant>
      <vt:variant>
        <vt:lpwstr/>
      </vt:variant>
      <vt:variant>
        <vt:lpwstr>_Toc95145302</vt:lpwstr>
      </vt:variant>
      <vt:variant>
        <vt:i4>1310781</vt:i4>
      </vt:variant>
      <vt:variant>
        <vt:i4>1124</vt:i4>
      </vt:variant>
      <vt:variant>
        <vt:i4>0</vt:i4>
      </vt:variant>
      <vt:variant>
        <vt:i4>5</vt:i4>
      </vt:variant>
      <vt:variant>
        <vt:lpwstr/>
      </vt:variant>
      <vt:variant>
        <vt:lpwstr>_Toc95145301</vt:lpwstr>
      </vt:variant>
      <vt:variant>
        <vt:i4>1376317</vt:i4>
      </vt:variant>
      <vt:variant>
        <vt:i4>1118</vt:i4>
      </vt:variant>
      <vt:variant>
        <vt:i4>0</vt:i4>
      </vt:variant>
      <vt:variant>
        <vt:i4>5</vt:i4>
      </vt:variant>
      <vt:variant>
        <vt:lpwstr/>
      </vt:variant>
      <vt:variant>
        <vt:lpwstr>_Toc95145300</vt:lpwstr>
      </vt:variant>
      <vt:variant>
        <vt:i4>1900596</vt:i4>
      </vt:variant>
      <vt:variant>
        <vt:i4>1112</vt:i4>
      </vt:variant>
      <vt:variant>
        <vt:i4>0</vt:i4>
      </vt:variant>
      <vt:variant>
        <vt:i4>5</vt:i4>
      </vt:variant>
      <vt:variant>
        <vt:lpwstr/>
      </vt:variant>
      <vt:variant>
        <vt:lpwstr>_Toc95145299</vt:lpwstr>
      </vt:variant>
      <vt:variant>
        <vt:i4>1835060</vt:i4>
      </vt:variant>
      <vt:variant>
        <vt:i4>1106</vt:i4>
      </vt:variant>
      <vt:variant>
        <vt:i4>0</vt:i4>
      </vt:variant>
      <vt:variant>
        <vt:i4>5</vt:i4>
      </vt:variant>
      <vt:variant>
        <vt:lpwstr/>
      </vt:variant>
      <vt:variant>
        <vt:lpwstr>_Toc95145298</vt:lpwstr>
      </vt:variant>
      <vt:variant>
        <vt:i4>1245236</vt:i4>
      </vt:variant>
      <vt:variant>
        <vt:i4>1100</vt:i4>
      </vt:variant>
      <vt:variant>
        <vt:i4>0</vt:i4>
      </vt:variant>
      <vt:variant>
        <vt:i4>5</vt:i4>
      </vt:variant>
      <vt:variant>
        <vt:lpwstr/>
      </vt:variant>
      <vt:variant>
        <vt:lpwstr>_Toc95145297</vt:lpwstr>
      </vt:variant>
      <vt:variant>
        <vt:i4>1179700</vt:i4>
      </vt:variant>
      <vt:variant>
        <vt:i4>1094</vt:i4>
      </vt:variant>
      <vt:variant>
        <vt:i4>0</vt:i4>
      </vt:variant>
      <vt:variant>
        <vt:i4>5</vt:i4>
      </vt:variant>
      <vt:variant>
        <vt:lpwstr/>
      </vt:variant>
      <vt:variant>
        <vt:lpwstr>_Toc95145296</vt:lpwstr>
      </vt:variant>
      <vt:variant>
        <vt:i4>1114164</vt:i4>
      </vt:variant>
      <vt:variant>
        <vt:i4>1088</vt:i4>
      </vt:variant>
      <vt:variant>
        <vt:i4>0</vt:i4>
      </vt:variant>
      <vt:variant>
        <vt:i4>5</vt:i4>
      </vt:variant>
      <vt:variant>
        <vt:lpwstr/>
      </vt:variant>
      <vt:variant>
        <vt:lpwstr>_Toc95145295</vt:lpwstr>
      </vt:variant>
      <vt:variant>
        <vt:i4>1048628</vt:i4>
      </vt:variant>
      <vt:variant>
        <vt:i4>1082</vt:i4>
      </vt:variant>
      <vt:variant>
        <vt:i4>0</vt:i4>
      </vt:variant>
      <vt:variant>
        <vt:i4>5</vt:i4>
      </vt:variant>
      <vt:variant>
        <vt:lpwstr/>
      </vt:variant>
      <vt:variant>
        <vt:lpwstr>_Toc95145294</vt:lpwstr>
      </vt:variant>
      <vt:variant>
        <vt:i4>1507380</vt:i4>
      </vt:variant>
      <vt:variant>
        <vt:i4>1076</vt:i4>
      </vt:variant>
      <vt:variant>
        <vt:i4>0</vt:i4>
      </vt:variant>
      <vt:variant>
        <vt:i4>5</vt:i4>
      </vt:variant>
      <vt:variant>
        <vt:lpwstr/>
      </vt:variant>
      <vt:variant>
        <vt:lpwstr>_Toc95145293</vt:lpwstr>
      </vt:variant>
      <vt:variant>
        <vt:i4>1441844</vt:i4>
      </vt:variant>
      <vt:variant>
        <vt:i4>1070</vt:i4>
      </vt:variant>
      <vt:variant>
        <vt:i4>0</vt:i4>
      </vt:variant>
      <vt:variant>
        <vt:i4>5</vt:i4>
      </vt:variant>
      <vt:variant>
        <vt:lpwstr/>
      </vt:variant>
      <vt:variant>
        <vt:lpwstr>_Toc95145292</vt:lpwstr>
      </vt:variant>
      <vt:variant>
        <vt:i4>1376308</vt:i4>
      </vt:variant>
      <vt:variant>
        <vt:i4>1064</vt:i4>
      </vt:variant>
      <vt:variant>
        <vt:i4>0</vt:i4>
      </vt:variant>
      <vt:variant>
        <vt:i4>5</vt:i4>
      </vt:variant>
      <vt:variant>
        <vt:lpwstr/>
      </vt:variant>
      <vt:variant>
        <vt:lpwstr>_Toc95145291</vt:lpwstr>
      </vt:variant>
      <vt:variant>
        <vt:i4>1310772</vt:i4>
      </vt:variant>
      <vt:variant>
        <vt:i4>1058</vt:i4>
      </vt:variant>
      <vt:variant>
        <vt:i4>0</vt:i4>
      </vt:variant>
      <vt:variant>
        <vt:i4>5</vt:i4>
      </vt:variant>
      <vt:variant>
        <vt:lpwstr/>
      </vt:variant>
      <vt:variant>
        <vt:lpwstr>_Toc95145290</vt:lpwstr>
      </vt:variant>
      <vt:variant>
        <vt:i4>1900597</vt:i4>
      </vt:variant>
      <vt:variant>
        <vt:i4>1052</vt:i4>
      </vt:variant>
      <vt:variant>
        <vt:i4>0</vt:i4>
      </vt:variant>
      <vt:variant>
        <vt:i4>5</vt:i4>
      </vt:variant>
      <vt:variant>
        <vt:lpwstr/>
      </vt:variant>
      <vt:variant>
        <vt:lpwstr>_Toc95145289</vt:lpwstr>
      </vt:variant>
      <vt:variant>
        <vt:i4>1835061</vt:i4>
      </vt:variant>
      <vt:variant>
        <vt:i4>1046</vt:i4>
      </vt:variant>
      <vt:variant>
        <vt:i4>0</vt:i4>
      </vt:variant>
      <vt:variant>
        <vt:i4>5</vt:i4>
      </vt:variant>
      <vt:variant>
        <vt:lpwstr/>
      </vt:variant>
      <vt:variant>
        <vt:lpwstr>_Toc95145288</vt:lpwstr>
      </vt:variant>
      <vt:variant>
        <vt:i4>1245237</vt:i4>
      </vt:variant>
      <vt:variant>
        <vt:i4>1040</vt:i4>
      </vt:variant>
      <vt:variant>
        <vt:i4>0</vt:i4>
      </vt:variant>
      <vt:variant>
        <vt:i4>5</vt:i4>
      </vt:variant>
      <vt:variant>
        <vt:lpwstr/>
      </vt:variant>
      <vt:variant>
        <vt:lpwstr>_Toc95145287</vt:lpwstr>
      </vt:variant>
      <vt:variant>
        <vt:i4>1179701</vt:i4>
      </vt:variant>
      <vt:variant>
        <vt:i4>1034</vt:i4>
      </vt:variant>
      <vt:variant>
        <vt:i4>0</vt:i4>
      </vt:variant>
      <vt:variant>
        <vt:i4>5</vt:i4>
      </vt:variant>
      <vt:variant>
        <vt:lpwstr/>
      </vt:variant>
      <vt:variant>
        <vt:lpwstr>_Toc95145286</vt:lpwstr>
      </vt:variant>
      <vt:variant>
        <vt:i4>1114165</vt:i4>
      </vt:variant>
      <vt:variant>
        <vt:i4>1028</vt:i4>
      </vt:variant>
      <vt:variant>
        <vt:i4>0</vt:i4>
      </vt:variant>
      <vt:variant>
        <vt:i4>5</vt:i4>
      </vt:variant>
      <vt:variant>
        <vt:lpwstr/>
      </vt:variant>
      <vt:variant>
        <vt:lpwstr>_Toc95145285</vt:lpwstr>
      </vt:variant>
      <vt:variant>
        <vt:i4>1048629</vt:i4>
      </vt:variant>
      <vt:variant>
        <vt:i4>1022</vt:i4>
      </vt:variant>
      <vt:variant>
        <vt:i4>0</vt:i4>
      </vt:variant>
      <vt:variant>
        <vt:i4>5</vt:i4>
      </vt:variant>
      <vt:variant>
        <vt:lpwstr/>
      </vt:variant>
      <vt:variant>
        <vt:lpwstr>_Toc95145284</vt:lpwstr>
      </vt:variant>
      <vt:variant>
        <vt:i4>1507381</vt:i4>
      </vt:variant>
      <vt:variant>
        <vt:i4>1016</vt:i4>
      </vt:variant>
      <vt:variant>
        <vt:i4>0</vt:i4>
      </vt:variant>
      <vt:variant>
        <vt:i4>5</vt:i4>
      </vt:variant>
      <vt:variant>
        <vt:lpwstr/>
      </vt:variant>
      <vt:variant>
        <vt:lpwstr>_Toc95145283</vt:lpwstr>
      </vt:variant>
      <vt:variant>
        <vt:i4>1441845</vt:i4>
      </vt:variant>
      <vt:variant>
        <vt:i4>1010</vt:i4>
      </vt:variant>
      <vt:variant>
        <vt:i4>0</vt:i4>
      </vt:variant>
      <vt:variant>
        <vt:i4>5</vt:i4>
      </vt:variant>
      <vt:variant>
        <vt:lpwstr/>
      </vt:variant>
      <vt:variant>
        <vt:lpwstr>_Toc95145282</vt:lpwstr>
      </vt:variant>
      <vt:variant>
        <vt:i4>1376309</vt:i4>
      </vt:variant>
      <vt:variant>
        <vt:i4>1004</vt:i4>
      </vt:variant>
      <vt:variant>
        <vt:i4>0</vt:i4>
      </vt:variant>
      <vt:variant>
        <vt:i4>5</vt:i4>
      </vt:variant>
      <vt:variant>
        <vt:lpwstr/>
      </vt:variant>
      <vt:variant>
        <vt:lpwstr>_Toc95145281</vt:lpwstr>
      </vt:variant>
      <vt:variant>
        <vt:i4>1310773</vt:i4>
      </vt:variant>
      <vt:variant>
        <vt:i4>998</vt:i4>
      </vt:variant>
      <vt:variant>
        <vt:i4>0</vt:i4>
      </vt:variant>
      <vt:variant>
        <vt:i4>5</vt:i4>
      </vt:variant>
      <vt:variant>
        <vt:lpwstr/>
      </vt:variant>
      <vt:variant>
        <vt:lpwstr>_Toc95145280</vt:lpwstr>
      </vt:variant>
      <vt:variant>
        <vt:i4>1900602</vt:i4>
      </vt:variant>
      <vt:variant>
        <vt:i4>992</vt:i4>
      </vt:variant>
      <vt:variant>
        <vt:i4>0</vt:i4>
      </vt:variant>
      <vt:variant>
        <vt:i4>5</vt:i4>
      </vt:variant>
      <vt:variant>
        <vt:lpwstr/>
      </vt:variant>
      <vt:variant>
        <vt:lpwstr>_Toc95145279</vt:lpwstr>
      </vt:variant>
      <vt:variant>
        <vt:i4>1835066</vt:i4>
      </vt:variant>
      <vt:variant>
        <vt:i4>986</vt:i4>
      </vt:variant>
      <vt:variant>
        <vt:i4>0</vt:i4>
      </vt:variant>
      <vt:variant>
        <vt:i4>5</vt:i4>
      </vt:variant>
      <vt:variant>
        <vt:lpwstr/>
      </vt:variant>
      <vt:variant>
        <vt:lpwstr>_Toc95145278</vt:lpwstr>
      </vt:variant>
      <vt:variant>
        <vt:i4>1245242</vt:i4>
      </vt:variant>
      <vt:variant>
        <vt:i4>980</vt:i4>
      </vt:variant>
      <vt:variant>
        <vt:i4>0</vt:i4>
      </vt:variant>
      <vt:variant>
        <vt:i4>5</vt:i4>
      </vt:variant>
      <vt:variant>
        <vt:lpwstr/>
      </vt:variant>
      <vt:variant>
        <vt:lpwstr>_Toc95145277</vt:lpwstr>
      </vt:variant>
      <vt:variant>
        <vt:i4>1179706</vt:i4>
      </vt:variant>
      <vt:variant>
        <vt:i4>974</vt:i4>
      </vt:variant>
      <vt:variant>
        <vt:i4>0</vt:i4>
      </vt:variant>
      <vt:variant>
        <vt:i4>5</vt:i4>
      </vt:variant>
      <vt:variant>
        <vt:lpwstr/>
      </vt:variant>
      <vt:variant>
        <vt:lpwstr>_Toc95145276</vt:lpwstr>
      </vt:variant>
      <vt:variant>
        <vt:i4>1114170</vt:i4>
      </vt:variant>
      <vt:variant>
        <vt:i4>968</vt:i4>
      </vt:variant>
      <vt:variant>
        <vt:i4>0</vt:i4>
      </vt:variant>
      <vt:variant>
        <vt:i4>5</vt:i4>
      </vt:variant>
      <vt:variant>
        <vt:lpwstr/>
      </vt:variant>
      <vt:variant>
        <vt:lpwstr>_Toc95145275</vt:lpwstr>
      </vt:variant>
      <vt:variant>
        <vt:i4>1048634</vt:i4>
      </vt:variant>
      <vt:variant>
        <vt:i4>962</vt:i4>
      </vt:variant>
      <vt:variant>
        <vt:i4>0</vt:i4>
      </vt:variant>
      <vt:variant>
        <vt:i4>5</vt:i4>
      </vt:variant>
      <vt:variant>
        <vt:lpwstr/>
      </vt:variant>
      <vt:variant>
        <vt:lpwstr>_Toc95145274</vt:lpwstr>
      </vt:variant>
      <vt:variant>
        <vt:i4>1507386</vt:i4>
      </vt:variant>
      <vt:variant>
        <vt:i4>956</vt:i4>
      </vt:variant>
      <vt:variant>
        <vt:i4>0</vt:i4>
      </vt:variant>
      <vt:variant>
        <vt:i4>5</vt:i4>
      </vt:variant>
      <vt:variant>
        <vt:lpwstr/>
      </vt:variant>
      <vt:variant>
        <vt:lpwstr>_Toc95145273</vt:lpwstr>
      </vt:variant>
      <vt:variant>
        <vt:i4>1441850</vt:i4>
      </vt:variant>
      <vt:variant>
        <vt:i4>950</vt:i4>
      </vt:variant>
      <vt:variant>
        <vt:i4>0</vt:i4>
      </vt:variant>
      <vt:variant>
        <vt:i4>5</vt:i4>
      </vt:variant>
      <vt:variant>
        <vt:lpwstr/>
      </vt:variant>
      <vt:variant>
        <vt:lpwstr>_Toc95145272</vt:lpwstr>
      </vt:variant>
      <vt:variant>
        <vt:i4>1376314</vt:i4>
      </vt:variant>
      <vt:variant>
        <vt:i4>944</vt:i4>
      </vt:variant>
      <vt:variant>
        <vt:i4>0</vt:i4>
      </vt:variant>
      <vt:variant>
        <vt:i4>5</vt:i4>
      </vt:variant>
      <vt:variant>
        <vt:lpwstr/>
      </vt:variant>
      <vt:variant>
        <vt:lpwstr>_Toc95145271</vt:lpwstr>
      </vt:variant>
      <vt:variant>
        <vt:i4>1310778</vt:i4>
      </vt:variant>
      <vt:variant>
        <vt:i4>938</vt:i4>
      </vt:variant>
      <vt:variant>
        <vt:i4>0</vt:i4>
      </vt:variant>
      <vt:variant>
        <vt:i4>5</vt:i4>
      </vt:variant>
      <vt:variant>
        <vt:lpwstr/>
      </vt:variant>
      <vt:variant>
        <vt:lpwstr>_Toc95145270</vt:lpwstr>
      </vt:variant>
      <vt:variant>
        <vt:i4>1900603</vt:i4>
      </vt:variant>
      <vt:variant>
        <vt:i4>932</vt:i4>
      </vt:variant>
      <vt:variant>
        <vt:i4>0</vt:i4>
      </vt:variant>
      <vt:variant>
        <vt:i4>5</vt:i4>
      </vt:variant>
      <vt:variant>
        <vt:lpwstr/>
      </vt:variant>
      <vt:variant>
        <vt:lpwstr>_Toc95145269</vt:lpwstr>
      </vt:variant>
      <vt:variant>
        <vt:i4>1835067</vt:i4>
      </vt:variant>
      <vt:variant>
        <vt:i4>926</vt:i4>
      </vt:variant>
      <vt:variant>
        <vt:i4>0</vt:i4>
      </vt:variant>
      <vt:variant>
        <vt:i4>5</vt:i4>
      </vt:variant>
      <vt:variant>
        <vt:lpwstr/>
      </vt:variant>
      <vt:variant>
        <vt:lpwstr>_Toc95145268</vt:lpwstr>
      </vt:variant>
      <vt:variant>
        <vt:i4>1245243</vt:i4>
      </vt:variant>
      <vt:variant>
        <vt:i4>920</vt:i4>
      </vt:variant>
      <vt:variant>
        <vt:i4>0</vt:i4>
      </vt:variant>
      <vt:variant>
        <vt:i4>5</vt:i4>
      </vt:variant>
      <vt:variant>
        <vt:lpwstr/>
      </vt:variant>
      <vt:variant>
        <vt:lpwstr>_Toc95145267</vt:lpwstr>
      </vt:variant>
      <vt:variant>
        <vt:i4>1179707</vt:i4>
      </vt:variant>
      <vt:variant>
        <vt:i4>914</vt:i4>
      </vt:variant>
      <vt:variant>
        <vt:i4>0</vt:i4>
      </vt:variant>
      <vt:variant>
        <vt:i4>5</vt:i4>
      </vt:variant>
      <vt:variant>
        <vt:lpwstr/>
      </vt:variant>
      <vt:variant>
        <vt:lpwstr>_Toc95145266</vt:lpwstr>
      </vt:variant>
      <vt:variant>
        <vt:i4>1114171</vt:i4>
      </vt:variant>
      <vt:variant>
        <vt:i4>908</vt:i4>
      </vt:variant>
      <vt:variant>
        <vt:i4>0</vt:i4>
      </vt:variant>
      <vt:variant>
        <vt:i4>5</vt:i4>
      </vt:variant>
      <vt:variant>
        <vt:lpwstr/>
      </vt:variant>
      <vt:variant>
        <vt:lpwstr>_Toc95145265</vt:lpwstr>
      </vt:variant>
      <vt:variant>
        <vt:i4>1048635</vt:i4>
      </vt:variant>
      <vt:variant>
        <vt:i4>902</vt:i4>
      </vt:variant>
      <vt:variant>
        <vt:i4>0</vt:i4>
      </vt:variant>
      <vt:variant>
        <vt:i4>5</vt:i4>
      </vt:variant>
      <vt:variant>
        <vt:lpwstr/>
      </vt:variant>
      <vt:variant>
        <vt:lpwstr>_Toc95145264</vt:lpwstr>
      </vt:variant>
      <vt:variant>
        <vt:i4>1507387</vt:i4>
      </vt:variant>
      <vt:variant>
        <vt:i4>896</vt:i4>
      </vt:variant>
      <vt:variant>
        <vt:i4>0</vt:i4>
      </vt:variant>
      <vt:variant>
        <vt:i4>5</vt:i4>
      </vt:variant>
      <vt:variant>
        <vt:lpwstr/>
      </vt:variant>
      <vt:variant>
        <vt:lpwstr>_Toc95145263</vt:lpwstr>
      </vt:variant>
      <vt:variant>
        <vt:i4>1441851</vt:i4>
      </vt:variant>
      <vt:variant>
        <vt:i4>890</vt:i4>
      </vt:variant>
      <vt:variant>
        <vt:i4>0</vt:i4>
      </vt:variant>
      <vt:variant>
        <vt:i4>5</vt:i4>
      </vt:variant>
      <vt:variant>
        <vt:lpwstr/>
      </vt:variant>
      <vt:variant>
        <vt:lpwstr>_Toc95145262</vt:lpwstr>
      </vt:variant>
      <vt:variant>
        <vt:i4>1376315</vt:i4>
      </vt:variant>
      <vt:variant>
        <vt:i4>884</vt:i4>
      </vt:variant>
      <vt:variant>
        <vt:i4>0</vt:i4>
      </vt:variant>
      <vt:variant>
        <vt:i4>5</vt:i4>
      </vt:variant>
      <vt:variant>
        <vt:lpwstr/>
      </vt:variant>
      <vt:variant>
        <vt:lpwstr>_Toc95145261</vt:lpwstr>
      </vt:variant>
      <vt:variant>
        <vt:i4>1310779</vt:i4>
      </vt:variant>
      <vt:variant>
        <vt:i4>878</vt:i4>
      </vt:variant>
      <vt:variant>
        <vt:i4>0</vt:i4>
      </vt:variant>
      <vt:variant>
        <vt:i4>5</vt:i4>
      </vt:variant>
      <vt:variant>
        <vt:lpwstr/>
      </vt:variant>
      <vt:variant>
        <vt:lpwstr>_Toc95145260</vt:lpwstr>
      </vt:variant>
      <vt:variant>
        <vt:i4>1900600</vt:i4>
      </vt:variant>
      <vt:variant>
        <vt:i4>872</vt:i4>
      </vt:variant>
      <vt:variant>
        <vt:i4>0</vt:i4>
      </vt:variant>
      <vt:variant>
        <vt:i4>5</vt:i4>
      </vt:variant>
      <vt:variant>
        <vt:lpwstr/>
      </vt:variant>
      <vt:variant>
        <vt:lpwstr>_Toc95145259</vt:lpwstr>
      </vt:variant>
      <vt:variant>
        <vt:i4>1835064</vt:i4>
      </vt:variant>
      <vt:variant>
        <vt:i4>866</vt:i4>
      </vt:variant>
      <vt:variant>
        <vt:i4>0</vt:i4>
      </vt:variant>
      <vt:variant>
        <vt:i4>5</vt:i4>
      </vt:variant>
      <vt:variant>
        <vt:lpwstr/>
      </vt:variant>
      <vt:variant>
        <vt:lpwstr>_Toc95145258</vt:lpwstr>
      </vt:variant>
      <vt:variant>
        <vt:i4>1245240</vt:i4>
      </vt:variant>
      <vt:variant>
        <vt:i4>860</vt:i4>
      </vt:variant>
      <vt:variant>
        <vt:i4>0</vt:i4>
      </vt:variant>
      <vt:variant>
        <vt:i4>5</vt:i4>
      </vt:variant>
      <vt:variant>
        <vt:lpwstr/>
      </vt:variant>
      <vt:variant>
        <vt:lpwstr>_Toc95145257</vt:lpwstr>
      </vt:variant>
      <vt:variant>
        <vt:i4>1179704</vt:i4>
      </vt:variant>
      <vt:variant>
        <vt:i4>854</vt:i4>
      </vt:variant>
      <vt:variant>
        <vt:i4>0</vt:i4>
      </vt:variant>
      <vt:variant>
        <vt:i4>5</vt:i4>
      </vt:variant>
      <vt:variant>
        <vt:lpwstr/>
      </vt:variant>
      <vt:variant>
        <vt:lpwstr>_Toc95145256</vt:lpwstr>
      </vt:variant>
      <vt:variant>
        <vt:i4>1114168</vt:i4>
      </vt:variant>
      <vt:variant>
        <vt:i4>848</vt:i4>
      </vt:variant>
      <vt:variant>
        <vt:i4>0</vt:i4>
      </vt:variant>
      <vt:variant>
        <vt:i4>5</vt:i4>
      </vt:variant>
      <vt:variant>
        <vt:lpwstr/>
      </vt:variant>
      <vt:variant>
        <vt:lpwstr>_Toc95145255</vt:lpwstr>
      </vt:variant>
      <vt:variant>
        <vt:i4>1048632</vt:i4>
      </vt:variant>
      <vt:variant>
        <vt:i4>842</vt:i4>
      </vt:variant>
      <vt:variant>
        <vt:i4>0</vt:i4>
      </vt:variant>
      <vt:variant>
        <vt:i4>5</vt:i4>
      </vt:variant>
      <vt:variant>
        <vt:lpwstr/>
      </vt:variant>
      <vt:variant>
        <vt:lpwstr>_Toc95145254</vt:lpwstr>
      </vt:variant>
      <vt:variant>
        <vt:i4>1507384</vt:i4>
      </vt:variant>
      <vt:variant>
        <vt:i4>836</vt:i4>
      </vt:variant>
      <vt:variant>
        <vt:i4>0</vt:i4>
      </vt:variant>
      <vt:variant>
        <vt:i4>5</vt:i4>
      </vt:variant>
      <vt:variant>
        <vt:lpwstr/>
      </vt:variant>
      <vt:variant>
        <vt:lpwstr>_Toc95145253</vt:lpwstr>
      </vt:variant>
      <vt:variant>
        <vt:i4>1441848</vt:i4>
      </vt:variant>
      <vt:variant>
        <vt:i4>830</vt:i4>
      </vt:variant>
      <vt:variant>
        <vt:i4>0</vt:i4>
      </vt:variant>
      <vt:variant>
        <vt:i4>5</vt:i4>
      </vt:variant>
      <vt:variant>
        <vt:lpwstr/>
      </vt:variant>
      <vt:variant>
        <vt:lpwstr>_Toc95145252</vt:lpwstr>
      </vt:variant>
      <vt:variant>
        <vt:i4>1376312</vt:i4>
      </vt:variant>
      <vt:variant>
        <vt:i4>824</vt:i4>
      </vt:variant>
      <vt:variant>
        <vt:i4>0</vt:i4>
      </vt:variant>
      <vt:variant>
        <vt:i4>5</vt:i4>
      </vt:variant>
      <vt:variant>
        <vt:lpwstr/>
      </vt:variant>
      <vt:variant>
        <vt:lpwstr>_Toc95145251</vt:lpwstr>
      </vt:variant>
      <vt:variant>
        <vt:i4>1310776</vt:i4>
      </vt:variant>
      <vt:variant>
        <vt:i4>818</vt:i4>
      </vt:variant>
      <vt:variant>
        <vt:i4>0</vt:i4>
      </vt:variant>
      <vt:variant>
        <vt:i4>5</vt:i4>
      </vt:variant>
      <vt:variant>
        <vt:lpwstr/>
      </vt:variant>
      <vt:variant>
        <vt:lpwstr>_Toc95145250</vt:lpwstr>
      </vt:variant>
      <vt:variant>
        <vt:i4>1900601</vt:i4>
      </vt:variant>
      <vt:variant>
        <vt:i4>812</vt:i4>
      </vt:variant>
      <vt:variant>
        <vt:i4>0</vt:i4>
      </vt:variant>
      <vt:variant>
        <vt:i4>5</vt:i4>
      </vt:variant>
      <vt:variant>
        <vt:lpwstr/>
      </vt:variant>
      <vt:variant>
        <vt:lpwstr>_Toc95145249</vt:lpwstr>
      </vt:variant>
      <vt:variant>
        <vt:i4>1835065</vt:i4>
      </vt:variant>
      <vt:variant>
        <vt:i4>806</vt:i4>
      </vt:variant>
      <vt:variant>
        <vt:i4>0</vt:i4>
      </vt:variant>
      <vt:variant>
        <vt:i4>5</vt:i4>
      </vt:variant>
      <vt:variant>
        <vt:lpwstr/>
      </vt:variant>
      <vt:variant>
        <vt:lpwstr>_Toc95145248</vt:lpwstr>
      </vt:variant>
      <vt:variant>
        <vt:i4>1245241</vt:i4>
      </vt:variant>
      <vt:variant>
        <vt:i4>800</vt:i4>
      </vt:variant>
      <vt:variant>
        <vt:i4>0</vt:i4>
      </vt:variant>
      <vt:variant>
        <vt:i4>5</vt:i4>
      </vt:variant>
      <vt:variant>
        <vt:lpwstr/>
      </vt:variant>
      <vt:variant>
        <vt:lpwstr>_Toc95145247</vt:lpwstr>
      </vt:variant>
      <vt:variant>
        <vt:i4>1179705</vt:i4>
      </vt:variant>
      <vt:variant>
        <vt:i4>794</vt:i4>
      </vt:variant>
      <vt:variant>
        <vt:i4>0</vt:i4>
      </vt:variant>
      <vt:variant>
        <vt:i4>5</vt:i4>
      </vt:variant>
      <vt:variant>
        <vt:lpwstr/>
      </vt:variant>
      <vt:variant>
        <vt:lpwstr>_Toc95145246</vt:lpwstr>
      </vt:variant>
      <vt:variant>
        <vt:i4>1114169</vt:i4>
      </vt:variant>
      <vt:variant>
        <vt:i4>788</vt:i4>
      </vt:variant>
      <vt:variant>
        <vt:i4>0</vt:i4>
      </vt:variant>
      <vt:variant>
        <vt:i4>5</vt:i4>
      </vt:variant>
      <vt:variant>
        <vt:lpwstr/>
      </vt:variant>
      <vt:variant>
        <vt:lpwstr>_Toc95145245</vt:lpwstr>
      </vt:variant>
      <vt:variant>
        <vt:i4>1048633</vt:i4>
      </vt:variant>
      <vt:variant>
        <vt:i4>782</vt:i4>
      </vt:variant>
      <vt:variant>
        <vt:i4>0</vt:i4>
      </vt:variant>
      <vt:variant>
        <vt:i4>5</vt:i4>
      </vt:variant>
      <vt:variant>
        <vt:lpwstr/>
      </vt:variant>
      <vt:variant>
        <vt:lpwstr>_Toc95145244</vt:lpwstr>
      </vt:variant>
      <vt:variant>
        <vt:i4>1507385</vt:i4>
      </vt:variant>
      <vt:variant>
        <vt:i4>776</vt:i4>
      </vt:variant>
      <vt:variant>
        <vt:i4>0</vt:i4>
      </vt:variant>
      <vt:variant>
        <vt:i4>5</vt:i4>
      </vt:variant>
      <vt:variant>
        <vt:lpwstr/>
      </vt:variant>
      <vt:variant>
        <vt:lpwstr>_Toc95145243</vt:lpwstr>
      </vt:variant>
      <vt:variant>
        <vt:i4>1441849</vt:i4>
      </vt:variant>
      <vt:variant>
        <vt:i4>770</vt:i4>
      </vt:variant>
      <vt:variant>
        <vt:i4>0</vt:i4>
      </vt:variant>
      <vt:variant>
        <vt:i4>5</vt:i4>
      </vt:variant>
      <vt:variant>
        <vt:lpwstr/>
      </vt:variant>
      <vt:variant>
        <vt:lpwstr>_Toc95145242</vt:lpwstr>
      </vt:variant>
      <vt:variant>
        <vt:i4>1376313</vt:i4>
      </vt:variant>
      <vt:variant>
        <vt:i4>764</vt:i4>
      </vt:variant>
      <vt:variant>
        <vt:i4>0</vt:i4>
      </vt:variant>
      <vt:variant>
        <vt:i4>5</vt:i4>
      </vt:variant>
      <vt:variant>
        <vt:lpwstr/>
      </vt:variant>
      <vt:variant>
        <vt:lpwstr>_Toc95145241</vt:lpwstr>
      </vt:variant>
      <vt:variant>
        <vt:i4>1310777</vt:i4>
      </vt:variant>
      <vt:variant>
        <vt:i4>758</vt:i4>
      </vt:variant>
      <vt:variant>
        <vt:i4>0</vt:i4>
      </vt:variant>
      <vt:variant>
        <vt:i4>5</vt:i4>
      </vt:variant>
      <vt:variant>
        <vt:lpwstr/>
      </vt:variant>
      <vt:variant>
        <vt:lpwstr>_Toc95145240</vt:lpwstr>
      </vt:variant>
      <vt:variant>
        <vt:i4>1900606</vt:i4>
      </vt:variant>
      <vt:variant>
        <vt:i4>752</vt:i4>
      </vt:variant>
      <vt:variant>
        <vt:i4>0</vt:i4>
      </vt:variant>
      <vt:variant>
        <vt:i4>5</vt:i4>
      </vt:variant>
      <vt:variant>
        <vt:lpwstr/>
      </vt:variant>
      <vt:variant>
        <vt:lpwstr>_Toc95145239</vt:lpwstr>
      </vt:variant>
      <vt:variant>
        <vt:i4>1835070</vt:i4>
      </vt:variant>
      <vt:variant>
        <vt:i4>746</vt:i4>
      </vt:variant>
      <vt:variant>
        <vt:i4>0</vt:i4>
      </vt:variant>
      <vt:variant>
        <vt:i4>5</vt:i4>
      </vt:variant>
      <vt:variant>
        <vt:lpwstr/>
      </vt:variant>
      <vt:variant>
        <vt:lpwstr>_Toc95145238</vt:lpwstr>
      </vt:variant>
      <vt:variant>
        <vt:i4>1245246</vt:i4>
      </vt:variant>
      <vt:variant>
        <vt:i4>740</vt:i4>
      </vt:variant>
      <vt:variant>
        <vt:i4>0</vt:i4>
      </vt:variant>
      <vt:variant>
        <vt:i4>5</vt:i4>
      </vt:variant>
      <vt:variant>
        <vt:lpwstr/>
      </vt:variant>
      <vt:variant>
        <vt:lpwstr>_Toc95145237</vt:lpwstr>
      </vt:variant>
      <vt:variant>
        <vt:i4>1179710</vt:i4>
      </vt:variant>
      <vt:variant>
        <vt:i4>734</vt:i4>
      </vt:variant>
      <vt:variant>
        <vt:i4>0</vt:i4>
      </vt:variant>
      <vt:variant>
        <vt:i4>5</vt:i4>
      </vt:variant>
      <vt:variant>
        <vt:lpwstr/>
      </vt:variant>
      <vt:variant>
        <vt:lpwstr>_Toc95145236</vt:lpwstr>
      </vt:variant>
      <vt:variant>
        <vt:i4>1114174</vt:i4>
      </vt:variant>
      <vt:variant>
        <vt:i4>728</vt:i4>
      </vt:variant>
      <vt:variant>
        <vt:i4>0</vt:i4>
      </vt:variant>
      <vt:variant>
        <vt:i4>5</vt:i4>
      </vt:variant>
      <vt:variant>
        <vt:lpwstr/>
      </vt:variant>
      <vt:variant>
        <vt:lpwstr>_Toc95145235</vt:lpwstr>
      </vt:variant>
      <vt:variant>
        <vt:i4>1048638</vt:i4>
      </vt:variant>
      <vt:variant>
        <vt:i4>722</vt:i4>
      </vt:variant>
      <vt:variant>
        <vt:i4>0</vt:i4>
      </vt:variant>
      <vt:variant>
        <vt:i4>5</vt:i4>
      </vt:variant>
      <vt:variant>
        <vt:lpwstr/>
      </vt:variant>
      <vt:variant>
        <vt:lpwstr>_Toc95145234</vt:lpwstr>
      </vt:variant>
      <vt:variant>
        <vt:i4>1507390</vt:i4>
      </vt:variant>
      <vt:variant>
        <vt:i4>716</vt:i4>
      </vt:variant>
      <vt:variant>
        <vt:i4>0</vt:i4>
      </vt:variant>
      <vt:variant>
        <vt:i4>5</vt:i4>
      </vt:variant>
      <vt:variant>
        <vt:lpwstr/>
      </vt:variant>
      <vt:variant>
        <vt:lpwstr>_Toc95145233</vt:lpwstr>
      </vt:variant>
      <vt:variant>
        <vt:i4>1441854</vt:i4>
      </vt:variant>
      <vt:variant>
        <vt:i4>710</vt:i4>
      </vt:variant>
      <vt:variant>
        <vt:i4>0</vt:i4>
      </vt:variant>
      <vt:variant>
        <vt:i4>5</vt:i4>
      </vt:variant>
      <vt:variant>
        <vt:lpwstr/>
      </vt:variant>
      <vt:variant>
        <vt:lpwstr>_Toc95145232</vt:lpwstr>
      </vt:variant>
      <vt:variant>
        <vt:i4>1376318</vt:i4>
      </vt:variant>
      <vt:variant>
        <vt:i4>704</vt:i4>
      </vt:variant>
      <vt:variant>
        <vt:i4>0</vt:i4>
      </vt:variant>
      <vt:variant>
        <vt:i4>5</vt:i4>
      </vt:variant>
      <vt:variant>
        <vt:lpwstr/>
      </vt:variant>
      <vt:variant>
        <vt:lpwstr>_Toc95145231</vt:lpwstr>
      </vt:variant>
      <vt:variant>
        <vt:i4>1310782</vt:i4>
      </vt:variant>
      <vt:variant>
        <vt:i4>698</vt:i4>
      </vt:variant>
      <vt:variant>
        <vt:i4>0</vt:i4>
      </vt:variant>
      <vt:variant>
        <vt:i4>5</vt:i4>
      </vt:variant>
      <vt:variant>
        <vt:lpwstr/>
      </vt:variant>
      <vt:variant>
        <vt:lpwstr>_Toc95145230</vt:lpwstr>
      </vt:variant>
      <vt:variant>
        <vt:i4>1900607</vt:i4>
      </vt:variant>
      <vt:variant>
        <vt:i4>692</vt:i4>
      </vt:variant>
      <vt:variant>
        <vt:i4>0</vt:i4>
      </vt:variant>
      <vt:variant>
        <vt:i4>5</vt:i4>
      </vt:variant>
      <vt:variant>
        <vt:lpwstr/>
      </vt:variant>
      <vt:variant>
        <vt:lpwstr>_Toc95145229</vt:lpwstr>
      </vt:variant>
      <vt:variant>
        <vt:i4>1835071</vt:i4>
      </vt:variant>
      <vt:variant>
        <vt:i4>686</vt:i4>
      </vt:variant>
      <vt:variant>
        <vt:i4>0</vt:i4>
      </vt:variant>
      <vt:variant>
        <vt:i4>5</vt:i4>
      </vt:variant>
      <vt:variant>
        <vt:lpwstr/>
      </vt:variant>
      <vt:variant>
        <vt:lpwstr>_Toc95145228</vt:lpwstr>
      </vt:variant>
      <vt:variant>
        <vt:i4>1245247</vt:i4>
      </vt:variant>
      <vt:variant>
        <vt:i4>680</vt:i4>
      </vt:variant>
      <vt:variant>
        <vt:i4>0</vt:i4>
      </vt:variant>
      <vt:variant>
        <vt:i4>5</vt:i4>
      </vt:variant>
      <vt:variant>
        <vt:lpwstr/>
      </vt:variant>
      <vt:variant>
        <vt:lpwstr>_Toc95145227</vt:lpwstr>
      </vt:variant>
      <vt:variant>
        <vt:i4>1179711</vt:i4>
      </vt:variant>
      <vt:variant>
        <vt:i4>674</vt:i4>
      </vt:variant>
      <vt:variant>
        <vt:i4>0</vt:i4>
      </vt:variant>
      <vt:variant>
        <vt:i4>5</vt:i4>
      </vt:variant>
      <vt:variant>
        <vt:lpwstr/>
      </vt:variant>
      <vt:variant>
        <vt:lpwstr>_Toc95145226</vt:lpwstr>
      </vt:variant>
      <vt:variant>
        <vt:i4>1114175</vt:i4>
      </vt:variant>
      <vt:variant>
        <vt:i4>668</vt:i4>
      </vt:variant>
      <vt:variant>
        <vt:i4>0</vt:i4>
      </vt:variant>
      <vt:variant>
        <vt:i4>5</vt:i4>
      </vt:variant>
      <vt:variant>
        <vt:lpwstr/>
      </vt:variant>
      <vt:variant>
        <vt:lpwstr>_Toc95145225</vt:lpwstr>
      </vt:variant>
      <vt:variant>
        <vt:i4>1048639</vt:i4>
      </vt:variant>
      <vt:variant>
        <vt:i4>662</vt:i4>
      </vt:variant>
      <vt:variant>
        <vt:i4>0</vt:i4>
      </vt:variant>
      <vt:variant>
        <vt:i4>5</vt:i4>
      </vt:variant>
      <vt:variant>
        <vt:lpwstr/>
      </vt:variant>
      <vt:variant>
        <vt:lpwstr>_Toc95145224</vt:lpwstr>
      </vt:variant>
      <vt:variant>
        <vt:i4>1507391</vt:i4>
      </vt:variant>
      <vt:variant>
        <vt:i4>656</vt:i4>
      </vt:variant>
      <vt:variant>
        <vt:i4>0</vt:i4>
      </vt:variant>
      <vt:variant>
        <vt:i4>5</vt:i4>
      </vt:variant>
      <vt:variant>
        <vt:lpwstr/>
      </vt:variant>
      <vt:variant>
        <vt:lpwstr>_Toc95145223</vt:lpwstr>
      </vt:variant>
      <vt:variant>
        <vt:i4>1441855</vt:i4>
      </vt:variant>
      <vt:variant>
        <vt:i4>650</vt:i4>
      </vt:variant>
      <vt:variant>
        <vt:i4>0</vt:i4>
      </vt:variant>
      <vt:variant>
        <vt:i4>5</vt:i4>
      </vt:variant>
      <vt:variant>
        <vt:lpwstr/>
      </vt:variant>
      <vt:variant>
        <vt:lpwstr>_Toc95145222</vt:lpwstr>
      </vt:variant>
      <vt:variant>
        <vt:i4>1376319</vt:i4>
      </vt:variant>
      <vt:variant>
        <vt:i4>644</vt:i4>
      </vt:variant>
      <vt:variant>
        <vt:i4>0</vt:i4>
      </vt:variant>
      <vt:variant>
        <vt:i4>5</vt:i4>
      </vt:variant>
      <vt:variant>
        <vt:lpwstr/>
      </vt:variant>
      <vt:variant>
        <vt:lpwstr>_Toc95145221</vt:lpwstr>
      </vt:variant>
      <vt:variant>
        <vt:i4>1310783</vt:i4>
      </vt:variant>
      <vt:variant>
        <vt:i4>638</vt:i4>
      </vt:variant>
      <vt:variant>
        <vt:i4>0</vt:i4>
      </vt:variant>
      <vt:variant>
        <vt:i4>5</vt:i4>
      </vt:variant>
      <vt:variant>
        <vt:lpwstr/>
      </vt:variant>
      <vt:variant>
        <vt:lpwstr>_Toc95145220</vt:lpwstr>
      </vt:variant>
      <vt:variant>
        <vt:i4>1900604</vt:i4>
      </vt:variant>
      <vt:variant>
        <vt:i4>632</vt:i4>
      </vt:variant>
      <vt:variant>
        <vt:i4>0</vt:i4>
      </vt:variant>
      <vt:variant>
        <vt:i4>5</vt:i4>
      </vt:variant>
      <vt:variant>
        <vt:lpwstr/>
      </vt:variant>
      <vt:variant>
        <vt:lpwstr>_Toc95145219</vt:lpwstr>
      </vt:variant>
      <vt:variant>
        <vt:i4>1835068</vt:i4>
      </vt:variant>
      <vt:variant>
        <vt:i4>626</vt:i4>
      </vt:variant>
      <vt:variant>
        <vt:i4>0</vt:i4>
      </vt:variant>
      <vt:variant>
        <vt:i4>5</vt:i4>
      </vt:variant>
      <vt:variant>
        <vt:lpwstr/>
      </vt:variant>
      <vt:variant>
        <vt:lpwstr>_Toc95145218</vt:lpwstr>
      </vt:variant>
      <vt:variant>
        <vt:i4>1245244</vt:i4>
      </vt:variant>
      <vt:variant>
        <vt:i4>620</vt:i4>
      </vt:variant>
      <vt:variant>
        <vt:i4>0</vt:i4>
      </vt:variant>
      <vt:variant>
        <vt:i4>5</vt:i4>
      </vt:variant>
      <vt:variant>
        <vt:lpwstr/>
      </vt:variant>
      <vt:variant>
        <vt:lpwstr>_Toc95145217</vt:lpwstr>
      </vt:variant>
      <vt:variant>
        <vt:i4>1179708</vt:i4>
      </vt:variant>
      <vt:variant>
        <vt:i4>614</vt:i4>
      </vt:variant>
      <vt:variant>
        <vt:i4>0</vt:i4>
      </vt:variant>
      <vt:variant>
        <vt:i4>5</vt:i4>
      </vt:variant>
      <vt:variant>
        <vt:lpwstr/>
      </vt:variant>
      <vt:variant>
        <vt:lpwstr>_Toc95145216</vt:lpwstr>
      </vt:variant>
      <vt:variant>
        <vt:i4>1114172</vt:i4>
      </vt:variant>
      <vt:variant>
        <vt:i4>608</vt:i4>
      </vt:variant>
      <vt:variant>
        <vt:i4>0</vt:i4>
      </vt:variant>
      <vt:variant>
        <vt:i4>5</vt:i4>
      </vt:variant>
      <vt:variant>
        <vt:lpwstr/>
      </vt:variant>
      <vt:variant>
        <vt:lpwstr>_Toc95145215</vt:lpwstr>
      </vt:variant>
      <vt:variant>
        <vt:i4>1048636</vt:i4>
      </vt:variant>
      <vt:variant>
        <vt:i4>602</vt:i4>
      </vt:variant>
      <vt:variant>
        <vt:i4>0</vt:i4>
      </vt:variant>
      <vt:variant>
        <vt:i4>5</vt:i4>
      </vt:variant>
      <vt:variant>
        <vt:lpwstr/>
      </vt:variant>
      <vt:variant>
        <vt:lpwstr>_Toc95145214</vt:lpwstr>
      </vt:variant>
      <vt:variant>
        <vt:i4>1507388</vt:i4>
      </vt:variant>
      <vt:variant>
        <vt:i4>596</vt:i4>
      </vt:variant>
      <vt:variant>
        <vt:i4>0</vt:i4>
      </vt:variant>
      <vt:variant>
        <vt:i4>5</vt:i4>
      </vt:variant>
      <vt:variant>
        <vt:lpwstr/>
      </vt:variant>
      <vt:variant>
        <vt:lpwstr>_Toc95145213</vt:lpwstr>
      </vt:variant>
      <vt:variant>
        <vt:i4>1441852</vt:i4>
      </vt:variant>
      <vt:variant>
        <vt:i4>590</vt:i4>
      </vt:variant>
      <vt:variant>
        <vt:i4>0</vt:i4>
      </vt:variant>
      <vt:variant>
        <vt:i4>5</vt:i4>
      </vt:variant>
      <vt:variant>
        <vt:lpwstr/>
      </vt:variant>
      <vt:variant>
        <vt:lpwstr>_Toc95145212</vt:lpwstr>
      </vt:variant>
      <vt:variant>
        <vt:i4>1376316</vt:i4>
      </vt:variant>
      <vt:variant>
        <vt:i4>584</vt:i4>
      </vt:variant>
      <vt:variant>
        <vt:i4>0</vt:i4>
      </vt:variant>
      <vt:variant>
        <vt:i4>5</vt:i4>
      </vt:variant>
      <vt:variant>
        <vt:lpwstr/>
      </vt:variant>
      <vt:variant>
        <vt:lpwstr>_Toc95145211</vt:lpwstr>
      </vt:variant>
      <vt:variant>
        <vt:i4>1310780</vt:i4>
      </vt:variant>
      <vt:variant>
        <vt:i4>578</vt:i4>
      </vt:variant>
      <vt:variant>
        <vt:i4>0</vt:i4>
      </vt:variant>
      <vt:variant>
        <vt:i4>5</vt:i4>
      </vt:variant>
      <vt:variant>
        <vt:lpwstr/>
      </vt:variant>
      <vt:variant>
        <vt:lpwstr>_Toc95145210</vt:lpwstr>
      </vt:variant>
      <vt:variant>
        <vt:i4>1900605</vt:i4>
      </vt:variant>
      <vt:variant>
        <vt:i4>572</vt:i4>
      </vt:variant>
      <vt:variant>
        <vt:i4>0</vt:i4>
      </vt:variant>
      <vt:variant>
        <vt:i4>5</vt:i4>
      </vt:variant>
      <vt:variant>
        <vt:lpwstr/>
      </vt:variant>
      <vt:variant>
        <vt:lpwstr>_Toc95145209</vt:lpwstr>
      </vt:variant>
      <vt:variant>
        <vt:i4>1835069</vt:i4>
      </vt:variant>
      <vt:variant>
        <vt:i4>566</vt:i4>
      </vt:variant>
      <vt:variant>
        <vt:i4>0</vt:i4>
      </vt:variant>
      <vt:variant>
        <vt:i4>5</vt:i4>
      </vt:variant>
      <vt:variant>
        <vt:lpwstr/>
      </vt:variant>
      <vt:variant>
        <vt:lpwstr>_Toc95145208</vt:lpwstr>
      </vt:variant>
      <vt:variant>
        <vt:i4>1245245</vt:i4>
      </vt:variant>
      <vt:variant>
        <vt:i4>560</vt:i4>
      </vt:variant>
      <vt:variant>
        <vt:i4>0</vt:i4>
      </vt:variant>
      <vt:variant>
        <vt:i4>5</vt:i4>
      </vt:variant>
      <vt:variant>
        <vt:lpwstr/>
      </vt:variant>
      <vt:variant>
        <vt:lpwstr>_Toc95145207</vt:lpwstr>
      </vt:variant>
      <vt:variant>
        <vt:i4>1179709</vt:i4>
      </vt:variant>
      <vt:variant>
        <vt:i4>554</vt:i4>
      </vt:variant>
      <vt:variant>
        <vt:i4>0</vt:i4>
      </vt:variant>
      <vt:variant>
        <vt:i4>5</vt:i4>
      </vt:variant>
      <vt:variant>
        <vt:lpwstr/>
      </vt:variant>
      <vt:variant>
        <vt:lpwstr>_Toc95145206</vt:lpwstr>
      </vt:variant>
      <vt:variant>
        <vt:i4>1114173</vt:i4>
      </vt:variant>
      <vt:variant>
        <vt:i4>548</vt:i4>
      </vt:variant>
      <vt:variant>
        <vt:i4>0</vt:i4>
      </vt:variant>
      <vt:variant>
        <vt:i4>5</vt:i4>
      </vt:variant>
      <vt:variant>
        <vt:lpwstr/>
      </vt:variant>
      <vt:variant>
        <vt:lpwstr>_Toc95145205</vt:lpwstr>
      </vt:variant>
      <vt:variant>
        <vt:i4>1048637</vt:i4>
      </vt:variant>
      <vt:variant>
        <vt:i4>542</vt:i4>
      </vt:variant>
      <vt:variant>
        <vt:i4>0</vt:i4>
      </vt:variant>
      <vt:variant>
        <vt:i4>5</vt:i4>
      </vt:variant>
      <vt:variant>
        <vt:lpwstr/>
      </vt:variant>
      <vt:variant>
        <vt:lpwstr>_Toc95145204</vt:lpwstr>
      </vt:variant>
      <vt:variant>
        <vt:i4>1507389</vt:i4>
      </vt:variant>
      <vt:variant>
        <vt:i4>536</vt:i4>
      </vt:variant>
      <vt:variant>
        <vt:i4>0</vt:i4>
      </vt:variant>
      <vt:variant>
        <vt:i4>5</vt:i4>
      </vt:variant>
      <vt:variant>
        <vt:lpwstr/>
      </vt:variant>
      <vt:variant>
        <vt:lpwstr>_Toc95145203</vt:lpwstr>
      </vt:variant>
      <vt:variant>
        <vt:i4>1441853</vt:i4>
      </vt:variant>
      <vt:variant>
        <vt:i4>530</vt:i4>
      </vt:variant>
      <vt:variant>
        <vt:i4>0</vt:i4>
      </vt:variant>
      <vt:variant>
        <vt:i4>5</vt:i4>
      </vt:variant>
      <vt:variant>
        <vt:lpwstr/>
      </vt:variant>
      <vt:variant>
        <vt:lpwstr>_Toc95145202</vt:lpwstr>
      </vt:variant>
      <vt:variant>
        <vt:i4>1376317</vt:i4>
      </vt:variant>
      <vt:variant>
        <vt:i4>524</vt:i4>
      </vt:variant>
      <vt:variant>
        <vt:i4>0</vt:i4>
      </vt:variant>
      <vt:variant>
        <vt:i4>5</vt:i4>
      </vt:variant>
      <vt:variant>
        <vt:lpwstr/>
      </vt:variant>
      <vt:variant>
        <vt:lpwstr>_Toc95145201</vt:lpwstr>
      </vt:variant>
      <vt:variant>
        <vt:i4>1310781</vt:i4>
      </vt:variant>
      <vt:variant>
        <vt:i4>518</vt:i4>
      </vt:variant>
      <vt:variant>
        <vt:i4>0</vt:i4>
      </vt:variant>
      <vt:variant>
        <vt:i4>5</vt:i4>
      </vt:variant>
      <vt:variant>
        <vt:lpwstr/>
      </vt:variant>
      <vt:variant>
        <vt:lpwstr>_Toc95145200</vt:lpwstr>
      </vt:variant>
      <vt:variant>
        <vt:i4>1966132</vt:i4>
      </vt:variant>
      <vt:variant>
        <vt:i4>512</vt:i4>
      </vt:variant>
      <vt:variant>
        <vt:i4>0</vt:i4>
      </vt:variant>
      <vt:variant>
        <vt:i4>5</vt:i4>
      </vt:variant>
      <vt:variant>
        <vt:lpwstr/>
      </vt:variant>
      <vt:variant>
        <vt:lpwstr>_Toc95145199</vt:lpwstr>
      </vt:variant>
      <vt:variant>
        <vt:i4>2031668</vt:i4>
      </vt:variant>
      <vt:variant>
        <vt:i4>506</vt:i4>
      </vt:variant>
      <vt:variant>
        <vt:i4>0</vt:i4>
      </vt:variant>
      <vt:variant>
        <vt:i4>5</vt:i4>
      </vt:variant>
      <vt:variant>
        <vt:lpwstr/>
      </vt:variant>
      <vt:variant>
        <vt:lpwstr>_Toc95145198</vt:lpwstr>
      </vt:variant>
      <vt:variant>
        <vt:i4>1048628</vt:i4>
      </vt:variant>
      <vt:variant>
        <vt:i4>500</vt:i4>
      </vt:variant>
      <vt:variant>
        <vt:i4>0</vt:i4>
      </vt:variant>
      <vt:variant>
        <vt:i4>5</vt:i4>
      </vt:variant>
      <vt:variant>
        <vt:lpwstr/>
      </vt:variant>
      <vt:variant>
        <vt:lpwstr>_Toc95145197</vt:lpwstr>
      </vt:variant>
      <vt:variant>
        <vt:i4>1114164</vt:i4>
      </vt:variant>
      <vt:variant>
        <vt:i4>494</vt:i4>
      </vt:variant>
      <vt:variant>
        <vt:i4>0</vt:i4>
      </vt:variant>
      <vt:variant>
        <vt:i4>5</vt:i4>
      </vt:variant>
      <vt:variant>
        <vt:lpwstr/>
      </vt:variant>
      <vt:variant>
        <vt:lpwstr>_Toc95145196</vt:lpwstr>
      </vt:variant>
      <vt:variant>
        <vt:i4>1179700</vt:i4>
      </vt:variant>
      <vt:variant>
        <vt:i4>488</vt:i4>
      </vt:variant>
      <vt:variant>
        <vt:i4>0</vt:i4>
      </vt:variant>
      <vt:variant>
        <vt:i4>5</vt:i4>
      </vt:variant>
      <vt:variant>
        <vt:lpwstr/>
      </vt:variant>
      <vt:variant>
        <vt:lpwstr>_Toc95145195</vt:lpwstr>
      </vt:variant>
      <vt:variant>
        <vt:i4>1245236</vt:i4>
      </vt:variant>
      <vt:variant>
        <vt:i4>482</vt:i4>
      </vt:variant>
      <vt:variant>
        <vt:i4>0</vt:i4>
      </vt:variant>
      <vt:variant>
        <vt:i4>5</vt:i4>
      </vt:variant>
      <vt:variant>
        <vt:lpwstr/>
      </vt:variant>
      <vt:variant>
        <vt:lpwstr>_Toc95145194</vt:lpwstr>
      </vt:variant>
      <vt:variant>
        <vt:i4>1310772</vt:i4>
      </vt:variant>
      <vt:variant>
        <vt:i4>476</vt:i4>
      </vt:variant>
      <vt:variant>
        <vt:i4>0</vt:i4>
      </vt:variant>
      <vt:variant>
        <vt:i4>5</vt:i4>
      </vt:variant>
      <vt:variant>
        <vt:lpwstr/>
      </vt:variant>
      <vt:variant>
        <vt:lpwstr>_Toc95145193</vt:lpwstr>
      </vt:variant>
      <vt:variant>
        <vt:i4>1376308</vt:i4>
      </vt:variant>
      <vt:variant>
        <vt:i4>470</vt:i4>
      </vt:variant>
      <vt:variant>
        <vt:i4>0</vt:i4>
      </vt:variant>
      <vt:variant>
        <vt:i4>5</vt:i4>
      </vt:variant>
      <vt:variant>
        <vt:lpwstr/>
      </vt:variant>
      <vt:variant>
        <vt:lpwstr>_Toc95145192</vt:lpwstr>
      </vt:variant>
      <vt:variant>
        <vt:i4>1441844</vt:i4>
      </vt:variant>
      <vt:variant>
        <vt:i4>464</vt:i4>
      </vt:variant>
      <vt:variant>
        <vt:i4>0</vt:i4>
      </vt:variant>
      <vt:variant>
        <vt:i4>5</vt:i4>
      </vt:variant>
      <vt:variant>
        <vt:lpwstr/>
      </vt:variant>
      <vt:variant>
        <vt:lpwstr>_Toc95145191</vt:lpwstr>
      </vt:variant>
      <vt:variant>
        <vt:i4>1507380</vt:i4>
      </vt:variant>
      <vt:variant>
        <vt:i4>458</vt:i4>
      </vt:variant>
      <vt:variant>
        <vt:i4>0</vt:i4>
      </vt:variant>
      <vt:variant>
        <vt:i4>5</vt:i4>
      </vt:variant>
      <vt:variant>
        <vt:lpwstr/>
      </vt:variant>
      <vt:variant>
        <vt:lpwstr>_Toc95145190</vt:lpwstr>
      </vt:variant>
      <vt:variant>
        <vt:i4>1966133</vt:i4>
      </vt:variant>
      <vt:variant>
        <vt:i4>452</vt:i4>
      </vt:variant>
      <vt:variant>
        <vt:i4>0</vt:i4>
      </vt:variant>
      <vt:variant>
        <vt:i4>5</vt:i4>
      </vt:variant>
      <vt:variant>
        <vt:lpwstr/>
      </vt:variant>
      <vt:variant>
        <vt:lpwstr>_Toc95145189</vt:lpwstr>
      </vt:variant>
      <vt:variant>
        <vt:i4>2031669</vt:i4>
      </vt:variant>
      <vt:variant>
        <vt:i4>446</vt:i4>
      </vt:variant>
      <vt:variant>
        <vt:i4>0</vt:i4>
      </vt:variant>
      <vt:variant>
        <vt:i4>5</vt:i4>
      </vt:variant>
      <vt:variant>
        <vt:lpwstr/>
      </vt:variant>
      <vt:variant>
        <vt:lpwstr>_Toc95145188</vt:lpwstr>
      </vt:variant>
      <vt:variant>
        <vt:i4>1048629</vt:i4>
      </vt:variant>
      <vt:variant>
        <vt:i4>440</vt:i4>
      </vt:variant>
      <vt:variant>
        <vt:i4>0</vt:i4>
      </vt:variant>
      <vt:variant>
        <vt:i4>5</vt:i4>
      </vt:variant>
      <vt:variant>
        <vt:lpwstr/>
      </vt:variant>
      <vt:variant>
        <vt:lpwstr>_Toc95145187</vt:lpwstr>
      </vt:variant>
      <vt:variant>
        <vt:i4>1114165</vt:i4>
      </vt:variant>
      <vt:variant>
        <vt:i4>434</vt:i4>
      </vt:variant>
      <vt:variant>
        <vt:i4>0</vt:i4>
      </vt:variant>
      <vt:variant>
        <vt:i4>5</vt:i4>
      </vt:variant>
      <vt:variant>
        <vt:lpwstr/>
      </vt:variant>
      <vt:variant>
        <vt:lpwstr>_Toc95145186</vt:lpwstr>
      </vt:variant>
      <vt:variant>
        <vt:i4>1179701</vt:i4>
      </vt:variant>
      <vt:variant>
        <vt:i4>428</vt:i4>
      </vt:variant>
      <vt:variant>
        <vt:i4>0</vt:i4>
      </vt:variant>
      <vt:variant>
        <vt:i4>5</vt:i4>
      </vt:variant>
      <vt:variant>
        <vt:lpwstr/>
      </vt:variant>
      <vt:variant>
        <vt:lpwstr>_Toc95145185</vt:lpwstr>
      </vt:variant>
      <vt:variant>
        <vt:i4>1245237</vt:i4>
      </vt:variant>
      <vt:variant>
        <vt:i4>422</vt:i4>
      </vt:variant>
      <vt:variant>
        <vt:i4>0</vt:i4>
      </vt:variant>
      <vt:variant>
        <vt:i4>5</vt:i4>
      </vt:variant>
      <vt:variant>
        <vt:lpwstr/>
      </vt:variant>
      <vt:variant>
        <vt:lpwstr>_Toc95145184</vt:lpwstr>
      </vt:variant>
      <vt:variant>
        <vt:i4>1310773</vt:i4>
      </vt:variant>
      <vt:variant>
        <vt:i4>416</vt:i4>
      </vt:variant>
      <vt:variant>
        <vt:i4>0</vt:i4>
      </vt:variant>
      <vt:variant>
        <vt:i4>5</vt:i4>
      </vt:variant>
      <vt:variant>
        <vt:lpwstr/>
      </vt:variant>
      <vt:variant>
        <vt:lpwstr>_Toc95145183</vt:lpwstr>
      </vt:variant>
      <vt:variant>
        <vt:i4>1376309</vt:i4>
      </vt:variant>
      <vt:variant>
        <vt:i4>410</vt:i4>
      </vt:variant>
      <vt:variant>
        <vt:i4>0</vt:i4>
      </vt:variant>
      <vt:variant>
        <vt:i4>5</vt:i4>
      </vt:variant>
      <vt:variant>
        <vt:lpwstr/>
      </vt:variant>
      <vt:variant>
        <vt:lpwstr>_Toc95145182</vt:lpwstr>
      </vt:variant>
      <vt:variant>
        <vt:i4>1441845</vt:i4>
      </vt:variant>
      <vt:variant>
        <vt:i4>404</vt:i4>
      </vt:variant>
      <vt:variant>
        <vt:i4>0</vt:i4>
      </vt:variant>
      <vt:variant>
        <vt:i4>5</vt:i4>
      </vt:variant>
      <vt:variant>
        <vt:lpwstr/>
      </vt:variant>
      <vt:variant>
        <vt:lpwstr>_Toc95145181</vt:lpwstr>
      </vt:variant>
      <vt:variant>
        <vt:i4>1507381</vt:i4>
      </vt:variant>
      <vt:variant>
        <vt:i4>398</vt:i4>
      </vt:variant>
      <vt:variant>
        <vt:i4>0</vt:i4>
      </vt:variant>
      <vt:variant>
        <vt:i4>5</vt:i4>
      </vt:variant>
      <vt:variant>
        <vt:lpwstr/>
      </vt:variant>
      <vt:variant>
        <vt:lpwstr>_Toc95145180</vt:lpwstr>
      </vt:variant>
      <vt:variant>
        <vt:i4>1966138</vt:i4>
      </vt:variant>
      <vt:variant>
        <vt:i4>392</vt:i4>
      </vt:variant>
      <vt:variant>
        <vt:i4>0</vt:i4>
      </vt:variant>
      <vt:variant>
        <vt:i4>5</vt:i4>
      </vt:variant>
      <vt:variant>
        <vt:lpwstr/>
      </vt:variant>
      <vt:variant>
        <vt:lpwstr>_Toc95145179</vt:lpwstr>
      </vt:variant>
      <vt:variant>
        <vt:i4>2031674</vt:i4>
      </vt:variant>
      <vt:variant>
        <vt:i4>386</vt:i4>
      </vt:variant>
      <vt:variant>
        <vt:i4>0</vt:i4>
      </vt:variant>
      <vt:variant>
        <vt:i4>5</vt:i4>
      </vt:variant>
      <vt:variant>
        <vt:lpwstr/>
      </vt:variant>
      <vt:variant>
        <vt:lpwstr>_Toc95145178</vt:lpwstr>
      </vt:variant>
      <vt:variant>
        <vt:i4>1048634</vt:i4>
      </vt:variant>
      <vt:variant>
        <vt:i4>380</vt:i4>
      </vt:variant>
      <vt:variant>
        <vt:i4>0</vt:i4>
      </vt:variant>
      <vt:variant>
        <vt:i4>5</vt:i4>
      </vt:variant>
      <vt:variant>
        <vt:lpwstr/>
      </vt:variant>
      <vt:variant>
        <vt:lpwstr>_Toc95145177</vt:lpwstr>
      </vt:variant>
      <vt:variant>
        <vt:i4>1114170</vt:i4>
      </vt:variant>
      <vt:variant>
        <vt:i4>374</vt:i4>
      </vt:variant>
      <vt:variant>
        <vt:i4>0</vt:i4>
      </vt:variant>
      <vt:variant>
        <vt:i4>5</vt:i4>
      </vt:variant>
      <vt:variant>
        <vt:lpwstr/>
      </vt:variant>
      <vt:variant>
        <vt:lpwstr>_Toc95145176</vt:lpwstr>
      </vt:variant>
      <vt:variant>
        <vt:i4>1179706</vt:i4>
      </vt:variant>
      <vt:variant>
        <vt:i4>368</vt:i4>
      </vt:variant>
      <vt:variant>
        <vt:i4>0</vt:i4>
      </vt:variant>
      <vt:variant>
        <vt:i4>5</vt:i4>
      </vt:variant>
      <vt:variant>
        <vt:lpwstr/>
      </vt:variant>
      <vt:variant>
        <vt:lpwstr>_Toc95145175</vt:lpwstr>
      </vt:variant>
      <vt:variant>
        <vt:i4>1245242</vt:i4>
      </vt:variant>
      <vt:variant>
        <vt:i4>362</vt:i4>
      </vt:variant>
      <vt:variant>
        <vt:i4>0</vt:i4>
      </vt:variant>
      <vt:variant>
        <vt:i4>5</vt:i4>
      </vt:variant>
      <vt:variant>
        <vt:lpwstr/>
      </vt:variant>
      <vt:variant>
        <vt:lpwstr>_Toc95145174</vt:lpwstr>
      </vt:variant>
      <vt:variant>
        <vt:i4>1310778</vt:i4>
      </vt:variant>
      <vt:variant>
        <vt:i4>356</vt:i4>
      </vt:variant>
      <vt:variant>
        <vt:i4>0</vt:i4>
      </vt:variant>
      <vt:variant>
        <vt:i4>5</vt:i4>
      </vt:variant>
      <vt:variant>
        <vt:lpwstr/>
      </vt:variant>
      <vt:variant>
        <vt:lpwstr>_Toc95145173</vt:lpwstr>
      </vt:variant>
      <vt:variant>
        <vt:i4>1376314</vt:i4>
      </vt:variant>
      <vt:variant>
        <vt:i4>350</vt:i4>
      </vt:variant>
      <vt:variant>
        <vt:i4>0</vt:i4>
      </vt:variant>
      <vt:variant>
        <vt:i4>5</vt:i4>
      </vt:variant>
      <vt:variant>
        <vt:lpwstr/>
      </vt:variant>
      <vt:variant>
        <vt:lpwstr>_Toc95145172</vt:lpwstr>
      </vt:variant>
      <vt:variant>
        <vt:i4>1441850</vt:i4>
      </vt:variant>
      <vt:variant>
        <vt:i4>344</vt:i4>
      </vt:variant>
      <vt:variant>
        <vt:i4>0</vt:i4>
      </vt:variant>
      <vt:variant>
        <vt:i4>5</vt:i4>
      </vt:variant>
      <vt:variant>
        <vt:lpwstr/>
      </vt:variant>
      <vt:variant>
        <vt:lpwstr>_Toc95145171</vt:lpwstr>
      </vt:variant>
      <vt:variant>
        <vt:i4>1507386</vt:i4>
      </vt:variant>
      <vt:variant>
        <vt:i4>338</vt:i4>
      </vt:variant>
      <vt:variant>
        <vt:i4>0</vt:i4>
      </vt:variant>
      <vt:variant>
        <vt:i4>5</vt:i4>
      </vt:variant>
      <vt:variant>
        <vt:lpwstr/>
      </vt:variant>
      <vt:variant>
        <vt:lpwstr>_Toc95145170</vt:lpwstr>
      </vt:variant>
      <vt:variant>
        <vt:i4>1966139</vt:i4>
      </vt:variant>
      <vt:variant>
        <vt:i4>332</vt:i4>
      </vt:variant>
      <vt:variant>
        <vt:i4>0</vt:i4>
      </vt:variant>
      <vt:variant>
        <vt:i4>5</vt:i4>
      </vt:variant>
      <vt:variant>
        <vt:lpwstr/>
      </vt:variant>
      <vt:variant>
        <vt:lpwstr>_Toc95145169</vt:lpwstr>
      </vt:variant>
      <vt:variant>
        <vt:i4>2031675</vt:i4>
      </vt:variant>
      <vt:variant>
        <vt:i4>326</vt:i4>
      </vt:variant>
      <vt:variant>
        <vt:i4>0</vt:i4>
      </vt:variant>
      <vt:variant>
        <vt:i4>5</vt:i4>
      </vt:variant>
      <vt:variant>
        <vt:lpwstr/>
      </vt:variant>
      <vt:variant>
        <vt:lpwstr>_Toc95145168</vt:lpwstr>
      </vt:variant>
      <vt:variant>
        <vt:i4>1048635</vt:i4>
      </vt:variant>
      <vt:variant>
        <vt:i4>320</vt:i4>
      </vt:variant>
      <vt:variant>
        <vt:i4>0</vt:i4>
      </vt:variant>
      <vt:variant>
        <vt:i4>5</vt:i4>
      </vt:variant>
      <vt:variant>
        <vt:lpwstr/>
      </vt:variant>
      <vt:variant>
        <vt:lpwstr>_Toc95145167</vt:lpwstr>
      </vt:variant>
      <vt:variant>
        <vt:i4>1114171</vt:i4>
      </vt:variant>
      <vt:variant>
        <vt:i4>314</vt:i4>
      </vt:variant>
      <vt:variant>
        <vt:i4>0</vt:i4>
      </vt:variant>
      <vt:variant>
        <vt:i4>5</vt:i4>
      </vt:variant>
      <vt:variant>
        <vt:lpwstr/>
      </vt:variant>
      <vt:variant>
        <vt:lpwstr>_Toc95145166</vt:lpwstr>
      </vt:variant>
      <vt:variant>
        <vt:i4>1179707</vt:i4>
      </vt:variant>
      <vt:variant>
        <vt:i4>308</vt:i4>
      </vt:variant>
      <vt:variant>
        <vt:i4>0</vt:i4>
      </vt:variant>
      <vt:variant>
        <vt:i4>5</vt:i4>
      </vt:variant>
      <vt:variant>
        <vt:lpwstr/>
      </vt:variant>
      <vt:variant>
        <vt:lpwstr>_Toc95145165</vt:lpwstr>
      </vt:variant>
      <vt:variant>
        <vt:i4>1245243</vt:i4>
      </vt:variant>
      <vt:variant>
        <vt:i4>302</vt:i4>
      </vt:variant>
      <vt:variant>
        <vt:i4>0</vt:i4>
      </vt:variant>
      <vt:variant>
        <vt:i4>5</vt:i4>
      </vt:variant>
      <vt:variant>
        <vt:lpwstr/>
      </vt:variant>
      <vt:variant>
        <vt:lpwstr>_Toc95145164</vt:lpwstr>
      </vt:variant>
      <vt:variant>
        <vt:i4>1310779</vt:i4>
      </vt:variant>
      <vt:variant>
        <vt:i4>296</vt:i4>
      </vt:variant>
      <vt:variant>
        <vt:i4>0</vt:i4>
      </vt:variant>
      <vt:variant>
        <vt:i4>5</vt:i4>
      </vt:variant>
      <vt:variant>
        <vt:lpwstr/>
      </vt:variant>
      <vt:variant>
        <vt:lpwstr>_Toc95145163</vt:lpwstr>
      </vt:variant>
      <vt:variant>
        <vt:i4>1376315</vt:i4>
      </vt:variant>
      <vt:variant>
        <vt:i4>290</vt:i4>
      </vt:variant>
      <vt:variant>
        <vt:i4>0</vt:i4>
      </vt:variant>
      <vt:variant>
        <vt:i4>5</vt:i4>
      </vt:variant>
      <vt:variant>
        <vt:lpwstr/>
      </vt:variant>
      <vt:variant>
        <vt:lpwstr>_Toc95145162</vt:lpwstr>
      </vt:variant>
      <vt:variant>
        <vt:i4>1441851</vt:i4>
      </vt:variant>
      <vt:variant>
        <vt:i4>284</vt:i4>
      </vt:variant>
      <vt:variant>
        <vt:i4>0</vt:i4>
      </vt:variant>
      <vt:variant>
        <vt:i4>5</vt:i4>
      </vt:variant>
      <vt:variant>
        <vt:lpwstr/>
      </vt:variant>
      <vt:variant>
        <vt:lpwstr>_Toc95145161</vt:lpwstr>
      </vt:variant>
      <vt:variant>
        <vt:i4>1507387</vt:i4>
      </vt:variant>
      <vt:variant>
        <vt:i4>278</vt:i4>
      </vt:variant>
      <vt:variant>
        <vt:i4>0</vt:i4>
      </vt:variant>
      <vt:variant>
        <vt:i4>5</vt:i4>
      </vt:variant>
      <vt:variant>
        <vt:lpwstr/>
      </vt:variant>
      <vt:variant>
        <vt:lpwstr>_Toc95145160</vt:lpwstr>
      </vt:variant>
      <vt:variant>
        <vt:i4>1966136</vt:i4>
      </vt:variant>
      <vt:variant>
        <vt:i4>272</vt:i4>
      </vt:variant>
      <vt:variant>
        <vt:i4>0</vt:i4>
      </vt:variant>
      <vt:variant>
        <vt:i4>5</vt:i4>
      </vt:variant>
      <vt:variant>
        <vt:lpwstr/>
      </vt:variant>
      <vt:variant>
        <vt:lpwstr>_Toc95145159</vt:lpwstr>
      </vt:variant>
      <vt:variant>
        <vt:i4>2031672</vt:i4>
      </vt:variant>
      <vt:variant>
        <vt:i4>266</vt:i4>
      </vt:variant>
      <vt:variant>
        <vt:i4>0</vt:i4>
      </vt:variant>
      <vt:variant>
        <vt:i4>5</vt:i4>
      </vt:variant>
      <vt:variant>
        <vt:lpwstr/>
      </vt:variant>
      <vt:variant>
        <vt:lpwstr>_Toc95145158</vt:lpwstr>
      </vt:variant>
      <vt:variant>
        <vt:i4>1048632</vt:i4>
      </vt:variant>
      <vt:variant>
        <vt:i4>260</vt:i4>
      </vt:variant>
      <vt:variant>
        <vt:i4>0</vt:i4>
      </vt:variant>
      <vt:variant>
        <vt:i4>5</vt:i4>
      </vt:variant>
      <vt:variant>
        <vt:lpwstr/>
      </vt:variant>
      <vt:variant>
        <vt:lpwstr>_Toc95145157</vt:lpwstr>
      </vt:variant>
      <vt:variant>
        <vt:i4>1114168</vt:i4>
      </vt:variant>
      <vt:variant>
        <vt:i4>254</vt:i4>
      </vt:variant>
      <vt:variant>
        <vt:i4>0</vt:i4>
      </vt:variant>
      <vt:variant>
        <vt:i4>5</vt:i4>
      </vt:variant>
      <vt:variant>
        <vt:lpwstr/>
      </vt:variant>
      <vt:variant>
        <vt:lpwstr>_Toc95145156</vt:lpwstr>
      </vt:variant>
      <vt:variant>
        <vt:i4>1179704</vt:i4>
      </vt:variant>
      <vt:variant>
        <vt:i4>248</vt:i4>
      </vt:variant>
      <vt:variant>
        <vt:i4>0</vt:i4>
      </vt:variant>
      <vt:variant>
        <vt:i4>5</vt:i4>
      </vt:variant>
      <vt:variant>
        <vt:lpwstr/>
      </vt:variant>
      <vt:variant>
        <vt:lpwstr>_Toc95145155</vt:lpwstr>
      </vt:variant>
      <vt:variant>
        <vt:i4>1245240</vt:i4>
      </vt:variant>
      <vt:variant>
        <vt:i4>242</vt:i4>
      </vt:variant>
      <vt:variant>
        <vt:i4>0</vt:i4>
      </vt:variant>
      <vt:variant>
        <vt:i4>5</vt:i4>
      </vt:variant>
      <vt:variant>
        <vt:lpwstr/>
      </vt:variant>
      <vt:variant>
        <vt:lpwstr>_Toc95145154</vt:lpwstr>
      </vt:variant>
      <vt:variant>
        <vt:i4>1310776</vt:i4>
      </vt:variant>
      <vt:variant>
        <vt:i4>236</vt:i4>
      </vt:variant>
      <vt:variant>
        <vt:i4>0</vt:i4>
      </vt:variant>
      <vt:variant>
        <vt:i4>5</vt:i4>
      </vt:variant>
      <vt:variant>
        <vt:lpwstr/>
      </vt:variant>
      <vt:variant>
        <vt:lpwstr>_Toc95145153</vt:lpwstr>
      </vt:variant>
      <vt:variant>
        <vt:i4>1376312</vt:i4>
      </vt:variant>
      <vt:variant>
        <vt:i4>230</vt:i4>
      </vt:variant>
      <vt:variant>
        <vt:i4>0</vt:i4>
      </vt:variant>
      <vt:variant>
        <vt:i4>5</vt:i4>
      </vt:variant>
      <vt:variant>
        <vt:lpwstr/>
      </vt:variant>
      <vt:variant>
        <vt:lpwstr>_Toc95145152</vt:lpwstr>
      </vt:variant>
      <vt:variant>
        <vt:i4>1441848</vt:i4>
      </vt:variant>
      <vt:variant>
        <vt:i4>224</vt:i4>
      </vt:variant>
      <vt:variant>
        <vt:i4>0</vt:i4>
      </vt:variant>
      <vt:variant>
        <vt:i4>5</vt:i4>
      </vt:variant>
      <vt:variant>
        <vt:lpwstr/>
      </vt:variant>
      <vt:variant>
        <vt:lpwstr>_Toc95145151</vt:lpwstr>
      </vt:variant>
      <vt:variant>
        <vt:i4>1507384</vt:i4>
      </vt:variant>
      <vt:variant>
        <vt:i4>218</vt:i4>
      </vt:variant>
      <vt:variant>
        <vt:i4>0</vt:i4>
      </vt:variant>
      <vt:variant>
        <vt:i4>5</vt:i4>
      </vt:variant>
      <vt:variant>
        <vt:lpwstr/>
      </vt:variant>
      <vt:variant>
        <vt:lpwstr>_Toc95145150</vt:lpwstr>
      </vt:variant>
      <vt:variant>
        <vt:i4>1966137</vt:i4>
      </vt:variant>
      <vt:variant>
        <vt:i4>212</vt:i4>
      </vt:variant>
      <vt:variant>
        <vt:i4>0</vt:i4>
      </vt:variant>
      <vt:variant>
        <vt:i4>5</vt:i4>
      </vt:variant>
      <vt:variant>
        <vt:lpwstr/>
      </vt:variant>
      <vt:variant>
        <vt:lpwstr>_Toc95145149</vt:lpwstr>
      </vt:variant>
      <vt:variant>
        <vt:i4>2031673</vt:i4>
      </vt:variant>
      <vt:variant>
        <vt:i4>206</vt:i4>
      </vt:variant>
      <vt:variant>
        <vt:i4>0</vt:i4>
      </vt:variant>
      <vt:variant>
        <vt:i4>5</vt:i4>
      </vt:variant>
      <vt:variant>
        <vt:lpwstr/>
      </vt:variant>
      <vt:variant>
        <vt:lpwstr>_Toc95145148</vt:lpwstr>
      </vt:variant>
      <vt:variant>
        <vt:i4>1048633</vt:i4>
      </vt:variant>
      <vt:variant>
        <vt:i4>200</vt:i4>
      </vt:variant>
      <vt:variant>
        <vt:i4>0</vt:i4>
      </vt:variant>
      <vt:variant>
        <vt:i4>5</vt:i4>
      </vt:variant>
      <vt:variant>
        <vt:lpwstr/>
      </vt:variant>
      <vt:variant>
        <vt:lpwstr>_Toc95145147</vt:lpwstr>
      </vt:variant>
      <vt:variant>
        <vt:i4>1114169</vt:i4>
      </vt:variant>
      <vt:variant>
        <vt:i4>194</vt:i4>
      </vt:variant>
      <vt:variant>
        <vt:i4>0</vt:i4>
      </vt:variant>
      <vt:variant>
        <vt:i4>5</vt:i4>
      </vt:variant>
      <vt:variant>
        <vt:lpwstr/>
      </vt:variant>
      <vt:variant>
        <vt:lpwstr>_Toc95145146</vt:lpwstr>
      </vt:variant>
      <vt:variant>
        <vt:i4>1179705</vt:i4>
      </vt:variant>
      <vt:variant>
        <vt:i4>188</vt:i4>
      </vt:variant>
      <vt:variant>
        <vt:i4>0</vt:i4>
      </vt:variant>
      <vt:variant>
        <vt:i4>5</vt:i4>
      </vt:variant>
      <vt:variant>
        <vt:lpwstr/>
      </vt:variant>
      <vt:variant>
        <vt:lpwstr>_Toc95145145</vt:lpwstr>
      </vt:variant>
      <vt:variant>
        <vt:i4>1245241</vt:i4>
      </vt:variant>
      <vt:variant>
        <vt:i4>182</vt:i4>
      </vt:variant>
      <vt:variant>
        <vt:i4>0</vt:i4>
      </vt:variant>
      <vt:variant>
        <vt:i4>5</vt:i4>
      </vt:variant>
      <vt:variant>
        <vt:lpwstr/>
      </vt:variant>
      <vt:variant>
        <vt:lpwstr>_Toc95145144</vt:lpwstr>
      </vt:variant>
      <vt:variant>
        <vt:i4>1310777</vt:i4>
      </vt:variant>
      <vt:variant>
        <vt:i4>176</vt:i4>
      </vt:variant>
      <vt:variant>
        <vt:i4>0</vt:i4>
      </vt:variant>
      <vt:variant>
        <vt:i4>5</vt:i4>
      </vt:variant>
      <vt:variant>
        <vt:lpwstr/>
      </vt:variant>
      <vt:variant>
        <vt:lpwstr>_Toc95145143</vt:lpwstr>
      </vt:variant>
      <vt:variant>
        <vt:i4>1376313</vt:i4>
      </vt:variant>
      <vt:variant>
        <vt:i4>170</vt:i4>
      </vt:variant>
      <vt:variant>
        <vt:i4>0</vt:i4>
      </vt:variant>
      <vt:variant>
        <vt:i4>5</vt:i4>
      </vt:variant>
      <vt:variant>
        <vt:lpwstr/>
      </vt:variant>
      <vt:variant>
        <vt:lpwstr>_Toc95145142</vt:lpwstr>
      </vt:variant>
      <vt:variant>
        <vt:i4>1441849</vt:i4>
      </vt:variant>
      <vt:variant>
        <vt:i4>164</vt:i4>
      </vt:variant>
      <vt:variant>
        <vt:i4>0</vt:i4>
      </vt:variant>
      <vt:variant>
        <vt:i4>5</vt:i4>
      </vt:variant>
      <vt:variant>
        <vt:lpwstr/>
      </vt:variant>
      <vt:variant>
        <vt:lpwstr>_Toc95145141</vt:lpwstr>
      </vt:variant>
      <vt:variant>
        <vt:i4>1507385</vt:i4>
      </vt:variant>
      <vt:variant>
        <vt:i4>158</vt:i4>
      </vt:variant>
      <vt:variant>
        <vt:i4>0</vt:i4>
      </vt:variant>
      <vt:variant>
        <vt:i4>5</vt:i4>
      </vt:variant>
      <vt:variant>
        <vt:lpwstr/>
      </vt:variant>
      <vt:variant>
        <vt:lpwstr>_Toc95145140</vt:lpwstr>
      </vt:variant>
      <vt:variant>
        <vt:i4>1966142</vt:i4>
      </vt:variant>
      <vt:variant>
        <vt:i4>152</vt:i4>
      </vt:variant>
      <vt:variant>
        <vt:i4>0</vt:i4>
      </vt:variant>
      <vt:variant>
        <vt:i4>5</vt:i4>
      </vt:variant>
      <vt:variant>
        <vt:lpwstr/>
      </vt:variant>
      <vt:variant>
        <vt:lpwstr>_Toc95145139</vt:lpwstr>
      </vt:variant>
      <vt:variant>
        <vt:i4>2031678</vt:i4>
      </vt:variant>
      <vt:variant>
        <vt:i4>146</vt:i4>
      </vt:variant>
      <vt:variant>
        <vt:i4>0</vt:i4>
      </vt:variant>
      <vt:variant>
        <vt:i4>5</vt:i4>
      </vt:variant>
      <vt:variant>
        <vt:lpwstr/>
      </vt:variant>
      <vt:variant>
        <vt:lpwstr>_Toc95145138</vt:lpwstr>
      </vt:variant>
      <vt:variant>
        <vt:i4>1048638</vt:i4>
      </vt:variant>
      <vt:variant>
        <vt:i4>140</vt:i4>
      </vt:variant>
      <vt:variant>
        <vt:i4>0</vt:i4>
      </vt:variant>
      <vt:variant>
        <vt:i4>5</vt:i4>
      </vt:variant>
      <vt:variant>
        <vt:lpwstr/>
      </vt:variant>
      <vt:variant>
        <vt:lpwstr>_Toc95145137</vt:lpwstr>
      </vt:variant>
      <vt:variant>
        <vt:i4>1114174</vt:i4>
      </vt:variant>
      <vt:variant>
        <vt:i4>134</vt:i4>
      </vt:variant>
      <vt:variant>
        <vt:i4>0</vt:i4>
      </vt:variant>
      <vt:variant>
        <vt:i4>5</vt:i4>
      </vt:variant>
      <vt:variant>
        <vt:lpwstr/>
      </vt:variant>
      <vt:variant>
        <vt:lpwstr>_Toc95145136</vt:lpwstr>
      </vt:variant>
      <vt:variant>
        <vt:i4>1179710</vt:i4>
      </vt:variant>
      <vt:variant>
        <vt:i4>128</vt:i4>
      </vt:variant>
      <vt:variant>
        <vt:i4>0</vt:i4>
      </vt:variant>
      <vt:variant>
        <vt:i4>5</vt:i4>
      </vt:variant>
      <vt:variant>
        <vt:lpwstr/>
      </vt:variant>
      <vt:variant>
        <vt:lpwstr>_Toc95145135</vt:lpwstr>
      </vt:variant>
      <vt:variant>
        <vt:i4>1245246</vt:i4>
      </vt:variant>
      <vt:variant>
        <vt:i4>122</vt:i4>
      </vt:variant>
      <vt:variant>
        <vt:i4>0</vt:i4>
      </vt:variant>
      <vt:variant>
        <vt:i4>5</vt:i4>
      </vt:variant>
      <vt:variant>
        <vt:lpwstr/>
      </vt:variant>
      <vt:variant>
        <vt:lpwstr>_Toc95145134</vt:lpwstr>
      </vt:variant>
      <vt:variant>
        <vt:i4>1310782</vt:i4>
      </vt:variant>
      <vt:variant>
        <vt:i4>116</vt:i4>
      </vt:variant>
      <vt:variant>
        <vt:i4>0</vt:i4>
      </vt:variant>
      <vt:variant>
        <vt:i4>5</vt:i4>
      </vt:variant>
      <vt:variant>
        <vt:lpwstr/>
      </vt:variant>
      <vt:variant>
        <vt:lpwstr>_Toc95145133</vt:lpwstr>
      </vt:variant>
      <vt:variant>
        <vt:i4>1376318</vt:i4>
      </vt:variant>
      <vt:variant>
        <vt:i4>110</vt:i4>
      </vt:variant>
      <vt:variant>
        <vt:i4>0</vt:i4>
      </vt:variant>
      <vt:variant>
        <vt:i4>5</vt:i4>
      </vt:variant>
      <vt:variant>
        <vt:lpwstr/>
      </vt:variant>
      <vt:variant>
        <vt:lpwstr>_Toc95145132</vt:lpwstr>
      </vt:variant>
      <vt:variant>
        <vt:i4>1441854</vt:i4>
      </vt:variant>
      <vt:variant>
        <vt:i4>104</vt:i4>
      </vt:variant>
      <vt:variant>
        <vt:i4>0</vt:i4>
      </vt:variant>
      <vt:variant>
        <vt:i4>5</vt:i4>
      </vt:variant>
      <vt:variant>
        <vt:lpwstr/>
      </vt:variant>
      <vt:variant>
        <vt:lpwstr>_Toc95145131</vt:lpwstr>
      </vt:variant>
      <vt:variant>
        <vt:i4>1507390</vt:i4>
      </vt:variant>
      <vt:variant>
        <vt:i4>98</vt:i4>
      </vt:variant>
      <vt:variant>
        <vt:i4>0</vt:i4>
      </vt:variant>
      <vt:variant>
        <vt:i4>5</vt:i4>
      </vt:variant>
      <vt:variant>
        <vt:lpwstr/>
      </vt:variant>
      <vt:variant>
        <vt:lpwstr>_Toc95145130</vt:lpwstr>
      </vt:variant>
      <vt:variant>
        <vt:i4>1966143</vt:i4>
      </vt:variant>
      <vt:variant>
        <vt:i4>92</vt:i4>
      </vt:variant>
      <vt:variant>
        <vt:i4>0</vt:i4>
      </vt:variant>
      <vt:variant>
        <vt:i4>5</vt:i4>
      </vt:variant>
      <vt:variant>
        <vt:lpwstr/>
      </vt:variant>
      <vt:variant>
        <vt:lpwstr>_Toc95145129</vt:lpwstr>
      </vt:variant>
      <vt:variant>
        <vt:i4>2031679</vt:i4>
      </vt:variant>
      <vt:variant>
        <vt:i4>86</vt:i4>
      </vt:variant>
      <vt:variant>
        <vt:i4>0</vt:i4>
      </vt:variant>
      <vt:variant>
        <vt:i4>5</vt:i4>
      </vt:variant>
      <vt:variant>
        <vt:lpwstr/>
      </vt:variant>
      <vt:variant>
        <vt:lpwstr>_Toc95145128</vt:lpwstr>
      </vt:variant>
      <vt:variant>
        <vt:i4>1048639</vt:i4>
      </vt:variant>
      <vt:variant>
        <vt:i4>80</vt:i4>
      </vt:variant>
      <vt:variant>
        <vt:i4>0</vt:i4>
      </vt:variant>
      <vt:variant>
        <vt:i4>5</vt:i4>
      </vt:variant>
      <vt:variant>
        <vt:lpwstr/>
      </vt:variant>
      <vt:variant>
        <vt:lpwstr>_Toc95145127</vt:lpwstr>
      </vt:variant>
      <vt:variant>
        <vt:i4>1114175</vt:i4>
      </vt:variant>
      <vt:variant>
        <vt:i4>74</vt:i4>
      </vt:variant>
      <vt:variant>
        <vt:i4>0</vt:i4>
      </vt:variant>
      <vt:variant>
        <vt:i4>5</vt:i4>
      </vt:variant>
      <vt:variant>
        <vt:lpwstr/>
      </vt:variant>
      <vt:variant>
        <vt:lpwstr>_Toc95145126</vt:lpwstr>
      </vt:variant>
      <vt:variant>
        <vt:i4>1179711</vt:i4>
      </vt:variant>
      <vt:variant>
        <vt:i4>68</vt:i4>
      </vt:variant>
      <vt:variant>
        <vt:i4>0</vt:i4>
      </vt:variant>
      <vt:variant>
        <vt:i4>5</vt:i4>
      </vt:variant>
      <vt:variant>
        <vt:lpwstr/>
      </vt:variant>
      <vt:variant>
        <vt:lpwstr>_Toc95145125</vt:lpwstr>
      </vt:variant>
      <vt:variant>
        <vt:i4>1245247</vt:i4>
      </vt:variant>
      <vt:variant>
        <vt:i4>62</vt:i4>
      </vt:variant>
      <vt:variant>
        <vt:i4>0</vt:i4>
      </vt:variant>
      <vt:variant>
        <vt:i4>5</vt:i4>
      </vt:variant>
      <vt:variant>
        <vt:lpwstr/>
      </vt:variant>
      <vt:variant>
        <vt:lpwstr>_Toc95145124</vt:lpwstr>
      </vt:variant>
      <vt:variant>
        <vt:i4>1310783</vt:i4>
      </vt:variant>
      <vt:variant>
        <vt:i4>56</vt:i4>
      </vt:variant>
      <vt:variant>
        <vt:i4>0</vt:i4>
      </vt:variant>
      <vt:variant>
        <vt:i4>5</vt:i4>
      </vt:variant>
      <vt:variant>
        <vt:lpwstr/>
      </vt:variant>
      <vt:variant>
        <vt:lpwstr>_Toc95145123</vt:lpwstr>
      </vt:variant>
      <vt:variant>
        <vt:i4>1376319</vt:i4>
      </vt:variant>
      <vt:variant>
        <vt:i4>50</vt:i4>
      </vt:variant>
      <vt:variant>
        <vt:i4>0</vt:i4>
      </vt:variant>
      <vt:variant>
        <vt:i4>5</vt:i4>
      </vt:variant>
      <vt:variant>
        <vt:lpwstr/>
      </vt:variant>
      <vt:variant>
        <vt:lpwstr>_Toc95145122</vt:lpwstr>
      </vt:variant>
      <vt:variant>
        <vt:i4>1441855</vt:i4>
      </vt:variant>
      <vt:variant>
        <vt:i4>44</vt:i4>
      </vt:variant>
      <vt:variant>
        <vt:i4>0</vt:i4>
      </vt:variant>
      <vt:variant>
        <vt:i4>5</vt:i4>
      </vt:variant>
      <vt:variant>
        <vt:lpwstr/>
      </vt:variant>
      <vt:variant>
        <vt:lpwstr>_Toc95145121</vt:lpwstr>
      </vt:variant>
      <vt:variant>
        <vt:i4>1507391</vt:i4>
      </vt:variant>
      <vt:variant>
        <vt:i4>38</vt:i4>
      </vt:variant>
      <vt:variant>
        <vt:i4>0</vt:i4>
      </vt:variant>
      <vt:variant>
        <vt:i4>5</vt:i4>
      </vt:variant>
      <vt:variant>
        <vt:lpwstr/>
      </vt:variant>
      <vt:variant>
        <vt:lpwstr>_Toc95145120</vt:lpwstr>
      </vt:variant>
      <vt:variant>
        <vt:i4>1966140</vt:i4>
      </vt:variant>
      <vt:variant>
        <vt:i4>32</vt:i4>
      </vt:variant>
      <vt:variant>
        <vt:i4>0</vt:i4>
      </vt:variant>
      <vt:variant>
        <vt:i4>5</vt:i4>
      </vt:variant>
      <vt:variant>
        <vt:lpwstr/>
      </vt:variant>
      <vt:variant>
        <vt:lpwstr>_Toc95145119</vt:lpwstr>
      </vt:variant>
      <vt:variant>
        <vt:i4>2031676</vt:i4>
      </vt:variant>
      <vt:variant>
        <vt:i4>26</vt:i4>
      </vt:variant>
      <vt:variant>
        <vt:i4>0</vt:i4>
      </vt:variant>
      <vt:variant>
        <vt:i4>5</vt:i4>
      </vt:variant>
      <vt:variant>
        <vt:lpwstr/>
      </vt:variant>
      <vt:variant>
        <vt:lpwstr>_Toc95145118</vt:lpwstr>
      </vt:variant>
      <vt:variant>
        <vt:i4>1048636</vt:i4>
      </vt:variant>
      <vt:variant>
        <vt:i4>20</vt:i4>
      </vt:variant>
      <vt:variant>
        <vt:i4>0</vt:i4>
      </vt:variant>
      <vt:variant>
        <vt:i4>5</vt:i4>
      </vt:variant>
      <vt:variant>
        <vt:lpwstr/>
      </vt:variant>
      <vt:variant>
        <vt:lpwstr>_Toc95145117</vt:lpwstr>
      </vt:variant>
      <vt:variant>
        <vt:i4>1114172</vt:i4>
      </vt:variant>
      <vt:variant>
        <vt:i4>14</vt:i4>
      </vt:variant>
      <vt:variant>
        <vt:i4>0</vt:i4>
      </vt:variant>
      <vt:variant>
        <vt:i4>5</vt:i4>
      </vt:variant>
      <vt:variant>
        <vt:lpwstr/>
      </vt:variant>
      <vt:variant>
        <vt:lpwstr>_Toc95145116</vt:lpwstr>
      </vt:variant>
      <vt:variant>
        <vt:i4>1179708</vt:i4>
      </vt:variant>
      <vt:variant>
        <vt:i4>8</vt:i4>
      </vt:variant>
      <vt:variant>
        <vt:i4>0</vt:i4>
      </vt:variant>
      <vt:variant>
        <vt:i4>5</vt:i4>
      </vt:variant>
      <vt:variant>
        <vt:lpwstr/>
      </vt:variant>
      <vt:variant>
        <vt:lpwstr>_Toc95145115</vt:lpwstr>
      </vt:variant>
      <vt:variant>
        <vt:i4>1245244</vt:i4>
      </vt:variant>
      <vt:variant>
        <vt:i4>2</vt:i4>
      </vt:variant>
      <vt:variant>
        <vt:i4>0</vt:i4>
      </vt:variant>
      <vt:variant>
        <vt:i4>5</vt:i4>
      </vt:variant>
      <vt:variant>
        <vt:lpwstr/>
      </vt:variant>
      <vt:variant>
        <vt:lpwstr>_Toc95145114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Martha Elwenspoek</dc:creator>
  <cp:keywords/>
  <dc:description/>
  <cp:lastModifiedBy>Eva Nansukusa</cp:lastModifiedBy>
  <cp:revision>2</cp:revision>
  <dcterms:created xsi:type="dcterms:W3CDTF">2022-04-07T14:15:00Z</dcterms:created>
  <dcterms:modified xsi:type="dcterms:W3CDTF">2022-04-07T14:15:00Z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0x0101002300BF2C2E64DE4196BF79C81098BE85</vt:lpwstr>
  </property>
  <property fmtid="{D5CDD505-2E9C-101B-9397-08002B2CF9AE}" pid="3" name="MSIP_Label_7f8f13dc-fde9-4565-8fe8-16daab2c2cf7_Enabled">
    <vt:lpwstr>True</vt:lpwstr>
  </property>
  <property fmtid="{D5CDD505-2E9C-101B-9397-08002B2CF9AE}" pid="4" name="MSIP_Label_7f8f13dc-fde9-4565-8fe8-16daab2c2cf7_SiteId">
    <vt:lpwstr>b2e47f30-cd7d-4a4e-a5da-b18cf1a4151b</vt:lpwstr>
  </property>
  <property fmtid="{D5CDD505-2E9C-101B-9397-08002B2CF9AE}" pid="5" name="MSIP_Label_7f8f13dc-fde9-4565-8fe8-16daab2c2cf7_Owner">
    <vt:lpwstr>eppfw@bristol.ac.uk</vt:lpwstr>
  </property>
  <property fmtid="{D5CDD505-2E9C-101B-9397-08002B2CF9AE}" pid="6" name="MSIP_Label_7f8f13dc-fde9-4565-8fe8-16daab2c2cf7_SetDate">
    <vt:lpwstr>2022-01-26T14:49:54.2255086Z</vt:lpwstr>
  </property>
  <property fmtid="{D5CDD505-2E9C-101B-9397-08002B2CF9AE}" pid="7" name="MSIP_Label_7f8f13dc-fde9-4565-8fe8-16daab2c2cf7_Name">
    <vt:lpwstr>Not classifiable or in progress</vt:lpwstr>
  </property>
  <property fmtid="{D5CDD505-2E9C-101B-9397-08002B2CF9AE}" pid="8" name="MSIP_Label_7f8f13dc-fde9-4565-8fe8-16daab2c2cf7_Application">
    <vt:lpwstr>Microsoft Azure Information Protection</vt:lpwstr>
  </property>
  <property fmtid="{D5CDD505-2E9C-101B-9397-08002B2CF9AE}" pid="9" name="MSIP_Label_7f8f13dc-fde9-4565-8fe8-16daab2c2cf7_ActionId">
    <vt:lpwstr>89f9b1d6-aa52-4026-90f8-6543029db1c8</vt:lpwstr>
  </property>
  <property fmtid="{D5CDD505-2E9C-101B-9397-08002B2CF9AE}" pid="10" name="MSIP_Label_7f8f13dc-fde9-4565-8fe8-16daab2c2cf7_Extended_MSFT_Method">
    <vt:lpwstr>Manual</vt:lpwstr>
  </property>
  <property fmtid="{D5CDD505-2E9C-101B-9397-08002B2CF9AE}" pid="11" name="Sensitivity">
    <vt:lpwstr>Not classifiable or in progress</vt:lpwstr>
  </property>
</Properties>
</file>